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4AC7F" w14:textId="5DF45737" w:rsidR="00B54742" w:rsidRPr="00A56B91" w:rsidRDefault="006340F0" w:rsidP="006340F0">
      <w:pPr>
        <w:pStyle w:val="Pagedecouverture"/>
        <w:rPr>
          <w:noProof/>
        </w:rPr>
      </w:pPr>
      <w:bookmarkStart w:id="0" w:name="LW_BM_COVERPAGE"/>
      <w:r>
        <w:rPr>
          <w:noProof/>
        </w:rPr>
        <w:pict w14:anchorId="14E5E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9B842335-7B61-4606-B1A1-71D6650427CC" style="width:455.25pt;height:351.75pt">
            <v:imagedata r:id="rId11" o:title=""/>
          </v:shape>
        </w:pict>
      </w:r>
    </w:p>
    <w:bookmarkEnd w:id="0"/>
    <w:p w14:paraId="23759573" w14:textId="77777777" w:rsidR="00B54742" w:rsidRPr="00A56B91" w:rsidRDefault="00B54742" w:rsidP="00D8269C">
      <w:pPr>
        <w:spacing w:after="240" w:line="240" w:lineRule="auto"/>
        <w:rPr>
          <w:rFonts w:ascii="Times New Roman" w:hAnsi="Times New Roman" w:cs="Times New Roman"/>
          <w:noProof/>
          <w:sz w:val="24"/>
          <w:lang w:val="en-IE"/>
        </w:rPr>
        <w:sectPr w:rsidR="00B54742" w:rsidRPr="00A56B91" w:rsidSect="006340F0">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1BBEE578" w14:textId="58A6DBB0" w:rsidR="00330EEF" w:rsidRPr="00C67017" w:rsidRDefault="00FF6B15" w:rsidP="00285723">
      <w:pPr>
        <w:pStyle w:val="Heading1"/>
      </w:pPr>
      <w:bookmarkStart w:id="1" w:name="_GoBack"/>
      <w:bookmarkEnd w:id="1"/>
      <w:r>
        <w:lastRenderedPageBreak/>
        <w:t>INLEDNING</w:t>
      </w:r>
    </w:p>
    <w:p w14:paraId="35B5395D" w14:textId="4473FD1A" w:rsidR="00427E50" w:rsidRPr="00A56B91" w:rsidRDefault="0083092D" w:rsidP="002E727D">
      <w:pPr>
        <w:rPr>
          <w:rFonts w:ascii="Times New Roman" w:hAnsi="Times New Roman" w:cs="Times New Roman"/>
          <w:noProof/>
          <w:sz w:val="24"/>
        </w:rPr>
      </w:pPr>
      <w:r>
        <w:rPr>
          <w:rFonts w:ascii="Times New Roman" w:hAnsi="Times New Roman"/>
          <w:b/>
          <w:noProof/>
          <w:sz w:val="24"/>
        </w:rPr>
        <w:t xml:space="preserve">Människor över hela Europa lever längre, friskare liv. </w:t>
      </w:r>
      <w:r>
        <w:rPr>
          <w:rFonts w:ascii="Times New Roman" w:hAnsi="Times New Roman"/>
          <w:noProof/>
          <w:sz w:val="24"/>
        </w:rPr>
        <w:t>Den förväntade livslängden i Europa har ökat de senaste årtiondena tack vare omfattande sociala och ekonomiska framsteg, däribland förbättrad levnadsstandard, tillgång till utbildning och framsteg inom hälso- och sjukvård och medicin. I takt med att den förväntade livslängden ökar måste Europa bygga ett samhälle som sätter värde på längre och friskare liv, stärker äldre medborgare och främjar både nuvarande och kommande generationers välfärd och välbefinnande.</w:t>
      </w:r>
    </w:p>
    <w:p w14:paraId="6C4DAD49" w14:textId="4F06DB69" w:rsidR="003603EB" w:rsidRPr="00A56B91" w:rsidRDefault="00127A94" w:rsidP="002E727D">
      <w:pPr>
        <w:rPr>
          <w:rFonts w:ascii="Times New Roman" w:hAnsi="Times New Roman" w:cs="Times New Roman"/>
          <w:noProof/>
          <w:sz w:val="24"/>
        </w:rPr>
      </w:pPr>
      <w:r>
        <w:rPr>
          <w:rFonts w:ascii="Times New Roman" w:hAnsi="Times New Roman"/>
          <w:b/>
          <w:noProof/>
          <w:sz w:val="24"/>
        </w:rPr>
        <w:t>Befolkningsutvecklingen har dock en direkt inverkan på EU:s humankapital och konkurrenskraft.</w:t>
      </w:r>
      <w:r>
        <w:rPr>
          <w:rFonts w:ascii="Times New Roman" w:hAnsi="Times New Roman"/>
          <w:noProof/>
          <w:sz w:val="24"/>
        </w:rPr>
        <w:t xml:space="preserve"> Kombinationen av en åldrande befolkning och en krympande befolkning i arbetsför ålder förväntas förvärra bristen på arbetskraft och öka trycket på de offentliga budgetarna. En åldrande befolkning kommer sannolikt också att ha en djupgående inverkan på investeringar, produktivitet och näringsverksamhet. Dessutom påverkar befolkningsutvecklingen den sociala, territoriella och generationsöverskridande sammanhållningen i våra demokratiska samhällen, eftersom vissa medlemsstater och regioner påverkas mer än andra. </w:t>
      </w:r>
    </w:p>
    <w:p w14:paraId="26E11A61" w14:textId="5D58881F" w:rsidR="00362125" w:rsidRPr="00A56B91" w:rsidRDefault="00362125" w:rsidP="002E727D">
      <w:pPr>
        <w:rPr>
          <w:rFonts w:ascii="Times New Roman" w:hAnsi="Times New Roman" w:cs="Times New Roman"/>
          <w:noProof/>
          <w:sz w:val="24"/>
        </w:rPr>
      </w:pPr>
      <w:r>
        <w:rPr>
          <w:rFonts w:ascii="Times New Roman" w:hAnsi="Times New Roman"/>
          <w:b/>
          <w:noProof/>
          <w:sz w:val="24"/>
        </w:rPr>
        <w:t>I sina slutsatser från juni 2023 efterfrågade Europeiska rådet en verktygslåda för att ta itu med de demografiska utmaningarna, och särskilt deras inverkan på Europas konkurrensfördel.</w:t>
      </w:r>
      <w:r>
        <w:rPr>
          <w:rFonts w:ascii="Times New Roman" w:hAnsi="Times New Roman"/>
          <w:noProof/>
          <w:sz w:val="24"/>
        </w:rPr>
        <w:t xml:space="preserve"> Medborgarna förväntar sig att EU och de nationella myndigheterna vidtar gemensamma åtgärder för att hantera befolkningsutvecklingen och dess konsekvenser. Relevant politik bör vägledas av principerna om jämställdhet och rättvisa mellan generationerna</w:t>
      </w:r>
      <w:r>
        <w:rPr>
          <w:rStyle w:val="FootnoteReference"/>
          <w:rFonts w:ascii="Times New Roman" w:hAnsi="Times New Roman" w:cs="Times New Roman"/>
          <w:noProof/>
          <w:sz w:val="24"/>
          <w:lang w:val="en-IE"/>
        </w:rPr>
        <w:footnoteReference w:id="2"/>
      </w:r>
      <w:r>
        <w:rPr>
          <w:rFonts w:ascii="Times New Roman" w:hAnsi="Times New Roman"/>
          <w:noProof/>
          <w:sz w:val="24"/>
        </w:rPr>
        <w:t>, utgå från lokala förhållanden som tar hänsyn till landsbygdsområden och avlägsna områden samt omfatta andra globala megatrender, t.ex. den gröna och den digitala omställningen. Uppgiftens omfattning kräver en samordnad myndighetsövergripande strategi som involverar alla aktörer i ekonomin och samhället på ett demokratiskt och inkluderande sätt. Med en sådan strategi kan demografiska trender hanteras på ett sätt som stärker Europas motståndskraft överlag, något som EU-medborgarna betonade i samband med konferensen om Europas framtid.</w:t>
      </w:r>
      <w:r>
        <w:rPr>
          <w:rStyle w:val="FootnoteReference"/>
          <w:rFonts w:ascii="Times New Roman" w:hAnsi="Times New Roman" w:cs="Times New Roman"/>
          <w:noProof/>
          <w:sz w:val="24"/>
          <w:lang w:val="en-IE"/>
        </w:rPr>
        <w:footnoteReference w:id="3"/>
      </w:r>
    </w:p>
    <w:p w14:paraId="022942D8" w14:textId="14476D12" w:rsidR="007C5EAA" w:rsidRPr="00A56B91" w:rsidRDefault="00035566" w:rsidP="00637EF0">
      <w:pPr>
        <w:rPr>
          <w:rFonts w:ascii="Times New Roman" w:hAnsi="Times New Roman" w:cs="Times New Roman"/>
          <w:noProof/>
          <w:sz w:val="24"/>
        </w:rPr>
      </w:pPr>
      <w:r>
        <w:rPr>
          <w:rFonts w:ascii="Times New Roman" w:hAnsi="Times New Roman"/>
          <w:b/>
          <w:noProof/>
          <w:sz w:val="24"/>
        </w:rPr>
        <w:t xml:space="preserve">Befolkningsutvecklingen beror främst på de livsval enskilda personer och familjer gör. </w:t>
      </w:r>
      <w:r>
        <w:rPr>
          <w:rFonts w:ascii="Times New Roman" w:hAnsi="Times New Roman"/>
          <w:noProof/>
          <w:sz w:val="24"/>
        </w:rPr>
        <w:t>EU:s och medlemsstaternas politik bör dock bidra till att människor i Europa kan förverkliga sina ambitioner. I detta syfte bör offentlig politik och offentligt stöd på relevant nivå anpassas för att</w:t>
      </w:r>
    </w:p>
    <w:p w14:paraId="42E490DA" w14:textId="286AF424" w:rsidR="00D268A2" w:rsidRPr="006260B2" w:rsidRDefault="00965B43" w:rsidP="004E1DBA">
      <w:pPr>
        <w:pStyle w:val="ListParagraph"/>
        <w:rPr>
          <w:noProof/>
        </w:rPr>
      </w:pPr>
      <w:r>
        <w:rPr>
          <w:noProof/>
        </w:rPr>
        <w:t xml:space="preserve">göra det lättare att förena </w:t>
      </w:r>
      <w:r>
        <w:rPr>
          <w:b/>
          <w:noProof/>
        </w:rPr>
        <w:t>familjelivet och lönearbete</w:t>
      </w:r>
      <w:r>
        <w:rPr>
          <w:noProof/>
        </w:rPr>
        <w:t xml:space="preserve">, särskilt genom att säkerställa tillgång till barnomsorg av hög kvalitet och balans mellan arbete och privatliv, i syfte att främja jämställdhet, </w:t>
      </w:r>
    </w:p>
    <w:p w14:paraId="70318AE7" w14:textId="495AF7F7" w:rsidR="00D268A2" w:rsidRPr="006260B2" w:rsidRDefault="00B413E1" w:rsidP="004E1DBA">
      <w:pPr>
        <w:pStyle w:val="ListParagraph"/>
        <w:rPr>
          <w:noProof/>
        </w:rPr>
      </w:pPr>
      <w:r>
        <w:rPr>
          <w:noProof/>
        </w:rPr>
        <w:t xml:space="preserve">stärka och hjälpa </w:t>
      </w:r>
      <w:r>
        <w:rPr>
          <w:b/>
          <w:noProof/>
        </w:rPr>
        <w:t>yngre generationer</w:t>
      </w:r>
      <w:r>
        <w:rPr>
          <w:noProof/>
        </w:rPr>
        <w:t xml:space="preserve"> att blomstra, utveckla sina färdigheter och få tillträde på arbetsmarknaden samt tillgång till ekonomiskt överkomliga bostäder, </w:t>
      </w:r>
    </w:p>
    <w:p w14:paraId="2D56EE79" w14:textId="7340F7AE" w:rsidR="00D268A2" w:rsidRPr="006260B2" w:rsidRDefault="00B413E1" w:rsidP="004E1DBA">
      <w:pPr>
        <w:pStyle w:val="ListParagraph"/>
        <w:rPr>
          <w:noProof/>
        </w:rPr>
      </w:pPr>
      <w:r>
        <w:rPr>
          <w:noProof/>
        </w:rPr>
        <w:t xml:space="preserve">stärka </w:t>
      </w:r>
      <w:r>
        <w:rPr>
          <w:b/>
          <w:noProof/>
        </w:rPr>
        <w:t>äldre generationer</w:t>
      </w:r>
      <w:r>
        <w:rPr>
          <w:noProof/>
        </w:rPr>
        <w:t xml:space="preserve"> och upprätthålla deras välfärd genom reformer i kombination med lämpliga arbetsmarknads- och arbetsplatsåtgärder, </w:t>
      </w:r>
    </w:p>
    <w:p w14:paraId="6BF61CC3" w14:textId="60A42B43" w:rsidR="006D3FE7" w:rsidRPr="006260B2" w:rsidRDefault="009B1120" w:rsidP="004E1DBA">
      <w:pPr>
        <w:pStyle w:val="ListParagraph"/>
        <w:rPr>
          <w:noProof/>
        </w:rPr>
      </w:pPr>
      <w:r>
        <w:rPr>
          <w:noProof/>
        </w:rPr>
        <w:t xml:space="preserve">vid behov bidra till att avhjälpa bristen på arbetskraft genom </w:t>
      </w:r>
      <w:r>
        <w:rPr>
          <w:b/>
          <w:noProof/>
        </w:rPr>
        <w:t>reglerad laglig migration</w:t>
      </w:r>
      <w:r>
        <w:rPr>
          <w:noProof/>
        </w:rPr>
        <w:t xml:space="preserve"> som till fullo kompletterar utnyttjandet av talanger inom unionen. </w:t>
      </w:r>
    </w:p>
    <w:p w14:paraId="0ABCBE75" w14:textId="42504D50" w:rsidR="002A6B24" w:rsidRPr="00A56B91" w:rsidRDefault="00656208" w:rsidP="002E727D">
      <w:pPr>
        <w:rPr>
          <w:rFonts w:ascii="Times New Roman" w:hAnsi="Times New Roman" w:cs="Times New Roman"/>
          <w:noProof/>
          <w:sz w:val="24"/>
        </w:rPr>
      </w:pPr>
      <w:r>
        <w:rPr>
          <w:rFonts w:ascii="Times New Roman" w:hAnsi="Times New Roman"/>
          <w:noProof/>
          <w:sz w:val="24"/>
        </w:rPr>
        <w:t xml:space="preserve">EU:s verktyg – rättsliga instrument, politiska ramar och finansiering – bör på ett effektivt sätt kombineras med nationell och regional politik för att stärka och stödja alla generationer så att de kan förverkliga sina livsval och sin potential i ekonomin och samhället i stort. </w:t>
      </w:r>
    </w:p>
    <w:p w14:paraId="68279D66" w14:textId="5D9B85A0" w:rsidR="006C73F9" w:rsidRPr="00C67017" w:rsidRDefault="007B492A" w:rsidP="00285723">
      <w:pPr>
        <w:pStyle w:val="Heading1"/>
      </w:pPr>
      <w:r>
        <w:t xml:space="preserve">BEFOLKNINGSUTVECKLINGEN OMFORMAR VÅRA EKONOMIER OCH SAMHÄLLEN </w:t>
      </w:r>
    </w:p>
    <w:p w14:paraId="794E59D2" w14:textId="1DB2D6A6" w:rsidR="00405D7C" w:rsidRPr="00A56B91" w:rsidRDefault="00120558" w:rsidP="002E727D">
      <w:pPr>
        <w:rPr>
          <w:rFonts w:ascii="Times New Roman" w:hAnsi="Times New Roman" w:cs="Times New Roman"/>
          <w:noProof/>
          <w:sz w:val="24"/>
        </w:rPr>
      </w:pPr>
      <w:r>
        <w:rPr>
          <w:rFonts w:ascii="Times New Roman" w:hAnsi="Times New Roman"/>
          <w:b/>
          <w:noProof/>
          <w:sz w:val="24"/>
        </w:rPr>
        <w:t>Under de kommande åren riskerar EU:s krympande och fortsatt åldrande befolkning att inverka negativt på EU:s långsiktiga konkurrenskraft.</w:t>
      </w:r>
      <w:r>
        <w:rPr>
          <w:rFonts w:ascii="Times New Roman" w:hAnsi="Times New Roman"/>
          <w:noProof/>
          <w:sz w:val="24"/>
        </w:rPr>
        <w:t xml:space="preserve"> Jordens befolkning beräknas växa under 2000-talet, och en åldrande befolkning kommer att utgöra en allt vanligare demografisk trend världen över</w:t>
      </w:r>
      <w:r>
        <w:rPr>
          <w:rStyle w:val="FootnoteReference"/>
          <w:rFonts w:ascii="Times New Roman" w:hAnsi="Times New Roman" w:cs="Times New Roman"/>
          <w:noProof/>
          <w:sz w:val="24"/>
        </w:rPr>
        <w:footnoteReference w:id="4"/>
      </w:r>
      <w:r>
        <w:rPr>
          <w:noProof/>
        </w:rPr>
        <w:t>.</w:t>
      </w:r>
      <w:r>
        <w:rPr>
          <w:rFonts w:ascii="Times New Roman" w:hAnsi="Times New Roman"/>
          <w:noProof/>
          <w:sz w:val="24"/>
        </w:rPr>
        <w:t xml:space="preserve"> Förändringstakten varierar mellan länderna och en stor del av den globala befolkningstillväxten beräknas äga rum i låginkomstländer. På grund av en åldrande befolkning och allt lägre födelsetal i EU kommer befolkningen att nå sin kulmen omkring 2026 och gradvis minska under årtiondena därefter. </w:t>
      </w:r>
      <w:bookmarkStart w:id="2" w:name="_Hlk147516040"/>
      <w:r>
        <w:rPr>
          <w:rFonts w:ascii="Times New Roman" w:hAnsi="Times New Roman"/>
          <w:noProof/>
          <w:sz w:val="24"/>
        </w:rPr>
        <w:t>Den del av EU:s befolkning som är i arbetsför ålder beräknas minska (med 57,4 miljoner fram till 2100), och den demografiska försörjningskvoten för äldre beräknas öka (från 33 % till 60 % fram till 2100)</w:t>
      </w:r>
      <w:r>
        <w:rPr>
          <w:rStyle w:val="FootnoteReference"/>
          <w:rFonts w:ascii="Times New Roman" w:hAnsi="Times New Roman" w:cs="Times New Roman"/>
          <w:noProof/>
          <w:sz w:val="24"/>
        </w:rPr>
        <w:footnoteReference w:id="5"/>
      </w:r>
      <w:r>
        <w:rPr>
          <w:noProof/>
        </w:rPr>
        <w:t>.</w:t>
      </w:r>
      <w:r>
        <w:rPr>
          <w:rFonts w:ascii="Times New Roman" w:hAnsi="Times New Roman"/>
          <w:noProof/>
          <w:sz w:val="24"/>
        </w:rPr>
        <w:t xml:space="preserve"> </w:t>
      </w:r>
      <w:bookmarkEnd w:id="2"/>
      <w:r>
        <w:rPr>
          <w:rFonts w:ascii="Times New Roman" w:hAnsi="Times New Roman"/>
          <w:noProof/>
          <w:sz w:val="24"/>
        </w:rPr>
        <w:t>Till följd av denna utveckling kommer EU:s andel av jordens befolkning fortsätta att minska (från 6 % i dag till under 4 % år 2070</w:t>
      </w:r>
      <w:r>
        <w:rPr>
          <w:rStyle w:val="FootnoteReference"/>
          <w:rFonts w:ascii="Times New Roman" w:hAnsi="Times New Roman" w:cs="Times New Roman"/>
          <w:noProof/>
          <w:sz w:val="24"/>
        </w:rPr>
        <w:footnoteReference w:id="6"/>
      </w:r>
      <w:r>
        <w:rPr>
          <w:rFonts w:ascii="Times New Roman" w:hAnsi="Times New Roman"/>
          <w:noProof/>
          <w:sz w:val="24"/>
        </w:rPr>
        <w:t xml:space="preserve">), vilket eventuellt kommer att minska den inre marknadens betydelse i relation till den globala ekonomin och minska EU:s geopolitiska inflytande. </w:t>
      </w:r>
    </w:p>
    <w:p w14:paraId="00A43D93" w14:textId="632B24C6" w:rsidR="00BC0EE9" w:rsidRPr="00A56B91" w:rsidRDefault="00BC0EE9" w:rsidP="00695AB2">
      <w:pPr>
        <w:pStyle w:val="Subtitle"/>
        <w:rPr>
          <w:rFonts w:ascii="Times New Roman" w:hAnsi="Times New Roman"/>
          <w:noProof/>
          <w:sz w:val="24"/>
          <w:szCs w:val="24"/>
        </w:rPr>
      </w:pPr>
      <w:r>
        <w:rPr>
          <w:rFonts w:ascii="Times New Roman" w:hAnsi="Times New Roman"/>
          <w:noProof/>
          <w:sz w:val="24"/>
        </w:rPr>
        <w:t>Beräknad andel av jordens befolkning efter världsdel, 1960–2100 (i %)</w:t>
      </w:r>
    </w:p>
    <w:p w14:paraId="15F40DCA" w14:textId="3BC6D358" w:rsidR="00E5614D" w:rsidRPr="00A56B91" w:rsidRDefault="007B2105" w:rsidP="00E5614D">
      <w:pPr>
        <w:jc w:val="center"/>
        <w:rPr>
          <w:rFonts w:ascii="Times New Roman" w:hAnsi="Times New Roman" w:cs="Times New Roman"/>
          <w:i/>
          <w:noProof/>
          <w:sz w:val="24"/>
        </w:rPr>
      </w:pPr>
      <w:r w:rsidRPr="007B2105">
        <w:rPr>
          <w:noProof/>
          <w:lang w:val="en-GB" w:eastAsia="en-GB"/>
        </w:rPr>
        <w:drawing>
          <wp:inline distT="0" distB="0" distL="0" distR="0" wp14:anchorId="06EAEA02" wp14:editId="70746154">
            <wp:extent cx="5149850" cy="2457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9850" cy="2457450"/>
                    </a:xfrm>
                    <a:prstGeom prst="rect">
                      <a:avLst/>
                    </a:prstGeom>
                    <a:noFill/>
                    <a:ln>
                      <a:noFill/>
                    </a:ln>
                  </pic:spPr>
                </pic:pic>
              </a:graphicData>
            </a:graphic>
          </wp:inline>
        </w:drawing>
      </w:r>
    </w:p>
    <w:p w14:paraId="64214DA4" w14:textId="5BBF06CC" w:rsidR="0029489F" w:rsidRPr="00A56B91" w:rsidRDefault="00B70936" w:rsidP="00C67017">
      <w:pPr>
        <w:pStyle w:val="pf0"/>
        <w:spacing w:after="160" w:afterAutospacing="0" w:line="259" w:lineRule="auto"/>
        <w:rPr>
          <w:noProof/>
          <w:sz w:val="24"/>
        </w:rPr>
      </w:pPr>
      <w:r>
        <w:rPr>
          <w:b/>
          <w:noProof/>
          <w:sz w:val="24"/>
        </w:rPr>
        <w:t>Om befolkningsutvecklingen inte hanteras kan den komma att ytterligare förvärra bristen på arbetskraft och skapa flaskhalsar i ekonomin.</w:t>
      </w:r>
      <w:r>
        <w:rPr>
          <w:noProof/>
          <w:sz w:val="24"/>
        </w:rPr>
        <w:t xml:space="preserve"> Redan nu ligger bristen på arbetskraft i EU på rekordhöga nivåer, och en minskande befolkning i arbetsför ålder är en av flera olika faktorer. Efterfrågan är särskilt stor inom STEM-sektorn (naturvetenskap, teknik, ingenjörsvetenskap och matematik), IKT (informations- och kommunikationsteknik), byggindustrin, hälso-och sjukvården och transport (särskilt på lastbils- och busschaufförer) i flera medlemsstater och regioner</w:t>
      </w:r>
      <w:r>
        <w:rPr>
          <w:rStyle w:val="FootnoteReference"/>
          <w:bCs/>
          <w:noProof/>
          <w:sz w:val="24"/>
        </w:rPr>
        <w:footnoteReference w:id="7"/>
      </w:r>
      <w:r>
        <w:rPr>
          <w:noProof/>
        </w:rPr>
        <w:t>.</w:t>
      </w:r>
      <w:r>
        <w:rPr>
          <w:noProof/>
          <w:sz w:val="24"/>
        </w:rPr>
        <w:t xml:space="preserve"> Eftersom personer födda mellan mitten av 1940-talet och mitten av 1960-talet går i pension fram till och med mitten av 2030-talet beräknas bristen på arbetskraft inom både hög- och lågkvalificerade yrken öka avsevärt i avsaknad av trender som uppväger denna brist. Aktivering på arbetsmarknaden och löneökningar inom yrken som drabbats särskilt hårt kan dämpa bristen på arbetskraft, men om löneökningarna inte åtföljs av produktivitetsökningar kan dock stigande arbetskraftskostnader också komma att påverka EU-företagens konkurrenskraft gentemot konkurrenter i andra större ekonomier. </w:t>
      </w:r>
    </w:p>
    <w:p w14:paraId="2D3838F7" w14:textId="4A74A38A" w:rsidR="0050139B" w:rsidRDefault="009520F1" w:rsidP="002E727D">
      <w:pPr>
        <w:rPr>
          <w:rFonts w:ascii="Times New Roman" w:hAnsi="Times New Roman" w:cs="Times New Roman"/>
          <w:b/>
          <w:noProof/>
          <w:sz w:val="24"/>
        </w:rPr>
      </w:pPr>
      <w:r>
        <w:rPr>
          <w:rFonts w:ascii="Times New Roman" w:hAnsi="Times New Roman"/>
          <w:b/>
          <w:noProof/>
          <w:sz w:val="24"/>
        </w:rPr>
        <w:t xml:space="preserve">Befolkningsutvecklingen kan skapa nya möjligheter inom flera olika sektorer men också förvärra vissa risker med koppling till strategiska beroenden. </w:t>
      </w:r>
      <w:r>
        <w:rPr>
          <w:rFonts w:ascii="Times New Roman" w:hAnsi="Times New Roman"/>
          <w:noProof/>
          <w:sz w:val="24"/>
        </w:rPr>
        <w:t>Europas åldrande befolkning ökar potentialen i den så kallade silverekonomin, som beräknas uppgå till 28,1 % av EU:s BNP år 2025</w:t>
      </w:r>
      <w:r>
        <w:rPr>
          <w:rStyle w:val="FootnoteReference"/>
          <w:rFonts w:ascii="Times New Roman" w:hAnsi="Times New Roman" w:cs="Times New Roman"/>
          <w:noProof/>
          <w:sz w:val="24"/>
          <w:lang w:val="en-GB"/>
        </w:rPr>
        <w:footnoteReference w:id="8"/>
      </w:r>
      <w:r>
        <w:rPr>
          <w:noProof/>
        </w:rPr>
        <w:t>.</w:t>
      </w:r>
      <w:r>
        <w:rPr>
          <w:rFonts w:ascii="Times New Roman" w:hAnsi="Times New Roman"/>
          <w:noProof/>
          <w:sz w:val="24"/>
        </w:rPr>
        <w:t xml:space="preserve"> I ett samhälle där människor lever allt längre och friskare liv uppstår möjligheter inom vitt skilda sektorer och områden, t.ex. teknik, vård och omsorg, medicin, kost och välbefinnande, utbildning och livslångt lärande, transport och finansiella tjänster samt den sociala ekonomin. Befolkningsutvecklingen påverkar också tillgången till vissa kritiska läkemedel genom att efterfrågan på läkemedel för åldersrelaterade sjukdomar och äldrevård ökar, vilket påverkar forskningsprioriteringarna på läkemedelsområdet. Dessutom kan bristen på arbetskraft utgöra hinder för ambitionerna att öka den lokala produktionen.</w:t>
      </w:r>
      <w:r>
        <w:rPr>
          <w:rFonts w:ascii="Times New Roman" w:hAnsi="Times New Roman"/>
          <w:b/>
          <w:noProof/>
          <w:sz w:val="24"/>
        </w:rPr>
        <w:t xml:space="preserve"> </w:t>
      </w:r>
    </w:p>
    <w:p w14:paraId="32CC720F" w14:textId="77B2C064" w:rsidR="002C49C0" w:rsidRPr="00A56B91" w:rsidRDefault="00A47633" w:rsidP="002E727D">
      <w:pPr>
        <w:rPr>
          <w:rFonts w:ascii="Times New Roman" w:hAnsi="Times New Roman" w:cs="Times New Roman"/>
          <w:noProof/>
          <w:sz w:val="24"/>
        </w:rPr>
      </w:pPr>
      <w:r>
        <w:rPr>
          <w:rFonts w:ascii="Times New Roman" w:hAnsi="Times New Roman"/>
          <w:b/>
          <w:noProof/>
          <w:sz w:val="24"/>
        </w:rPr>
        <w:t>Befolkningsutvecklingen försvårar produktivitetsutmaningen.</w:t>
      </w:r>
      <w:r>
        <w:rPr>
          <w:rFonts w:ascii="Times New Roman" w:hAnsi="Times New Roman"/>
          <w:noProof/>
          <w:sz w:val="24"/>
        </w:rPr>
        <w:t xml:space="preserve"> Högre produktivitet, som delvis vilar på innovation och automatisering (t.ex. användning av robotteknik och artificiell intelligens), och ackumulerande löner med koppling till dessa framsteg kan leda till avkastning som gynnar ett samhälle där människor lever allt längre och friskare liv, och som bidrar till att uppväga effekterna av en krympande befolkning i arbetsför ålder. Det kan dock visa sig svårt att uppnå ihållande produktivitetsökningar, särskilt eftersom äldre generationers lägre sparande innebär att resurser går till konsumtion snarare än till produktiva investeringar. Äldre arbetstagare känner eventuellt också större oro över behovet av att behöva uppdatera sina färdigheter. Dessutom har en åldrande befolkning en dämpande inverkan på näringsverksamhet eftersom det är mindre sannolikt att personer i äldre åldersgrupper startar nya företag, samt eftersom generationsöverskridande företagsöverlåtelser blir allt mer komplexa och mindre vanliga.</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56"/>
      </w:tblGrid>
      <w:tr w:rsidR="00E5614D" w:rsidRPr="00A56B91" w14:paraId="5B4D25E3" w14:textId="77777777" w:rsidTr="00637EF0">
        <w:trPr>
          <w:trHeight w:val="416"/>
        </w:trPr>
        <w:tc>
          <w:tcPr>
            <w:tcW w:w="9356" w:type="dxa"/>
            <w:shd w:val="clear" w:color="auto" w:fill="FFF2CC" w:themeFill="accent1" w:themeFillTint="33"/>
          </w:tcPr>
          <w:p w14:paraId="7862D6B2" w14:textId="23C55230" w:rsidR="00E5614D" w:rsidRPr="00A56B91" w:rsidRDefault="00E5614D" w:rsidP="00637EF0">
            <w:pPr>
              <w:pStyle w:val="Boxtitle"/>
              <w:rPr>
                <w:rFonts w:ascii="Times New Roman" w:hAnsi="Times New Roman"/>
                <w:noProof/>
              </w:rPr>
            </w:pPr>
            <w:r>
              <w:rPr>
                <w:rFonts w:ascii="Times New Roman" w:hAnsi="Times New Roman"/>
                <w:noProof/>
              </w:rPr>
              <w:t>Hur ser EU:s medborgare på befolkningsutvecklingen och dess konsekvenser?</w:t>
            </w:r>
          </w:p>
          <w:p w14:paraId="69C446A4" w14:textId="69D54A02" w:rsidR="00EE7D11" w:rsidRPr="00A56B91" w:rsidRDefault="00E5614D" w:rsidP="00DE4A7D">
            <w:pPr>
              <w:pStyle w:val="Boxbody"/>
              <w:rPr>
                <w:rFonts w:ascii="Times New Roman" w:hAnsi="Times New Roman"/>
                <w:noProof/>
                <w:sz w:val="24"/>
                <w:szCs w:val="24"/>
              </w:rPr>
            </w:pPr>
            <w:r>
              <w:rPr>
                <w:rFonts w:ascii="Times New Roman" w:hAnsi="Times New Roman"/>
                <w:noProof/>
                <w:sz w:val="24"/>
              </w:rPr>
              <w:t xml:space="preserve">Enligt nya </w:t>
            </w:r>
            <w:r w:rsidR="002912AA">
              <w:rPr>
                <w:rFonts w:ascii="Times New Roman" w:hAnsi="Times New Roman"/>
                <w:noProof/>
                <w:sz w:val="24"/>
              </w:rPr>
              <w:t>enkät</w:t>
            </w:r>
            <w:r>
              <w:rPr>
                <w:rFonts w:ascii="Times New Roman" w:hAnsi="Times New Roman"/>
                <w:noProof/>
                <w:sz w:val="24"/>
              </w:rPr>
              <w:t xml:space="preserve">resultat från Eurobarometern är sju av tio EU-medborgare överens om att de demografiska trenderna innebär en risk för EU:s ekonomiska </w:t>
            </w:r>
            <w:r>
              <w:rPr>
                <w:rFonts w:ascii="Times New Roman" w:hAnsi="Times New Roman"/>
                <w:b/>
                <w:noProof/>
                <w:sz w:val="24"/>
              </w:rPr>
              <w:t>välstånd och konkurrenskraft</w:t>
            </w:r>
            <w:r>
              <w:rPr>
                <w:rFonts w:ascii="Times New Roman" w:hAnsi="Times New Roman"/>
                <w:noProof/>
                <w:sz w:val="24"/>
              </w:rPr>
              <w:t xml:space="preserve"> på lång sikt. </w:t>
            </w:r>
          </w:p>
          <w:p w14:paraId="4A179985" w14:textId="23ED670D" w:rsidR="00304366" w:rsidRPr="00A56B91" w:rsidRDefault="007B2105" w:rsidP="00EE7D11">
            <w:pPr>
              <w:pStyle w:val="Boxbody"/>
              <w:jc w:val="center"/>
              <w:rPr>
                <w:rFonts w:ascii="Times New Roman" w:hAnsi="Times New Roman"/>
                <w:noProof/>
                <w:sz w:val="24"/>
                <w:szCs w:val="24"/>
              </w:rPr>
            </w:pPr>
            <w:r w:rsidRPr="007B2105">
              <w:rPr>
                <w:rFonts w:ascii="Times New Roman" w:hAnsi="Times New Roman"/>
                <w:noProof/>
                <w:sz w:val="24"/>
                <w:szCs w:val="24"/>
                <w:lang w:val="en-GB" w:eastAsia="en-GB"/>
              </w:rPr>
              <w:drawing>
                <wp:inline distT="0" distB="0" distL="0" distR="0" wp14:anchorId="42FC2176" wp14:editId="421E6AA0">
                  <wp:extent cx="5556250" cy="3676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6250" cy="3676650"/>
                          </a:xfrm>
                          <a:prstGeom prst="rect">
                            <a:avLst/>
                          </a:prstGeom>
                          <a:noFill/>
                          <a:ln>
                            <a:noFill/>
                          </a:ln>
                        </pic:spPr>
                      </pic:pic>
                    </a:graphicData>
                  </a:graphic>
                </wp:inline>
              </w:drawing>
            </w:r>
          </w:p>
          <w:p w14:paraId="038C7A44" w14:textId="77777777" w:rsidR="00E5614D" w:rsidRPr="00A56B91" w:rsidRDefault="00E5614D" w:rsidP="00DE4A7D">
            <w:pPr>
              <w:pStyle w:val="Boxbody"/>
              <w:rPr>
                <w:rFonts w:ascii="Times New Roman" w:hAnsi="Times New Roman"/>
                <w:noProof/>
                <w:sz w:val="24"/>
                <w:szCs w:val="24"/>
              </w:rPr>
            </w:pPr>
            <w:r>
              <w:rPr>
                <w:rFonts w:ascii="Times New Roman" w:hAnsi="Times New Roman"/>
                <w:noProof/>
                <w:sz w:val="24"/>
              </w:rPr>
              <w:t xml:space="preserve">Majoriteten av EU-medborgarna (51 %) anser att hanteringen av befolkningsutvecklingen bör </w:t>
            </w:r>
            <w:r>
              <w:rPr>
                <w:rFonts w:ascii="Times New Roman" w:hAnsi="Times New Roman"/>
                <w:b/>
                <w:noProof/>
                <w:sz w:val="24"/>
              </w:rPr>
              <w:t>fortsätta att vara en politisk prioritering</w:t>
            </w:r>
            <w:r>
              <w:rPr>
                <w:rFonts w:ascii="Times New Roman" w:hAnsi="Times New Roman"/>
                <w:noProof/>
                <w:sz w:val="24"/>
              </w:rPr>
              <w:t xml:space="preserve"> både för EU och medlemsstaterna, och en stor majoritet – 85 % – är överens om att detta kräver ett </w:t>
            </w:r>
            <w:r>
              <w:rPr>
                <w:rFonts w:ascii="Times New Roman" w:hAnsi="Times New Roman"/>
                <w:b/>
                <w:noProof/>
                <w:sz w:val="24"/>
              </w:rPr>
              <w:t>nära samarbete mellan myndigheter på alla nivåer</w:t>
            </w:r>
            <w:r>
              <w:rPr>
                <w:rFonts w:ascii="Times New Roman" w:hAnsi="Times New Roman"/>
                <w:noProof/>
                <w:sz w:val="24"/>
              </w:rPr>
              <w:t>.</w:t>
            </w:r>
          </w:p>
          <w:p w14:paraId="3F3B26D2" w14:textId="76CC11D0" w:rsidR="00E5614D" w:rsidRPr="00A56B91" w:rsidRDefault="00E5614D" w:rsidP="008D6DF0">
            <w:pPr>
              <w:pStyle w:val="Boxbody"/>
              <w:spacing w:after="0"/>
              <w:rPr>
                <w:rFonts w:ascii="Times New Roman" w:hAnsi="Times New Roman"/>
                <w:b/>
                <w:noProof/>
                <w:sz w:val="24"/>
                <w:szCs w:val="24"/>
              </w:rPr>
            </w:pPr>
            <w:r>
              <w:rPr>
                <w:rFonts w:ascii="Times New Roman" w:hAnsi="Times New Roman"/>
                <w:noProof/>
                <w:sz w:val="24"/>
              </w:rPr>
              <w:t xml:space="preserve">Enligt enkätsvaren föredrog medborgarna följande politiska lösningar och åtgärder för att hantera följderna av en åldrande befolkning: tillräckliga </w:t>
            </w:r>
            <w:r>
              <w:rPr>
                <w:rFonts w:ascii="Times New Roman" w:hAnsi="Times New Roman"/>
                <w:b/>
                <w:noProof/>
                <w:sz w:val="24"/>
              </w:rPr>
              <w:t>pensioner</w:t>
            </w:r>
            <w:r>
              <w:rPr>
                <w:rFonts w:ascii="Times New Roman" w:hAnsi="Times New Roman"/>
                <w:noProof/>
                <w:sz w:val="24"/>
              </w:rPr>
              <w:t xml:space="preserve"> som kommer att vara fortsatt ekonomiskt överkomliga också för </w:t>
            </w:r>
            <w:r>
              <w:rPr>
                <w:rFonts w:ascii="Times New Roman" w:hAnsi="Times New Roman"/>
                <w:b/>
                <w:noProof/>
                <w:sz w:val="24"/>
              </w:rPr>
              <w:t>kommande generationer</w:t>
            </w:r>
            <w:r>
              <w:rPr>
                <w:rFonts w:ascii="Times New Roman" w:hAnsi="Times New Roman"/>
                <w:noProof/>
                <w:sz w:val="24"/>
              </w:rPr>
              <w:t xml:space="preserve"> (49 %) och tillhandahållande av </w:t>
            </w:r>
            <w:r>
              <w:rPr>
                <w:rFonts w:ascii="Times New Roman" w:hAnsi="Times New Roman"/>
                <w:b/>
                <w:noProof/>
                <w:sz w:val="24"/>
              </w:rPr>
              <w:t>hälso- och sjukvård</w:t>
            </w:r>
            <w:r>
              <w:rPr>
                <w:rFonts w:ascii="Times New Roman" w:hAnsi="Times New Roman"/>
                <w:noProof/>
                <w:sz w:val="24"/>
              </w:rPr>
              <w:t xml:space="preserve"> av hög kvalitet till överkomliga priser (49 %). När det gällde arbetsmarknaden ansåg medborgarna att åtgärder för att motverka </w:t>
            </w:r>
            <w:r>
              <w:rPr>
                <w:rFonts w:ascii="Times New Roman" w:hAnsi="Times New Roman"/>
                <w:b/>
                <w:noProof/>
                <w:sz w:val="24"/>
              </w:rPr>
              <w:t>ungdomsarbetslöshet</w:t>
            </w:r>
            <w:r>
              <w:rPr>
                <w:rFonts w:ascii="Times New Roman" w:hAnsi="Times New Roman"/>
                <w:noProof/>
                <w:sz w:val="24"/>
              </w:rPr>
              <w:t xml:space="preserve"> är de mest effektiva (61 %), följt av åtgärder för att uppnå </w:t>
            </w:r>
            <w:r>
              <w:rPr>
                <w:rFonts w:ascii="Times New Roman" w:hAnsi="Times New Roman"/>
                <w:b/>
                <w:noProof/>
                <w:sz w:val="24"/>
              </w:rPr>
              <w:t>balans mellan arbete och privatliv</w:t>
            </w:r>
            <w:r>
              <w:rPr>
                <w:rFonts w:ascii="Times New Roman" w:hAnsi="Times New Roman"/>
                <w:noProof/>
                <w:sz w:val="24"/>
              </w:rPr>
              <w:t xml:space="preserve"> (48 %)</w:t>
            </w:r>
            <w:r>
              <w:rPr>
                <w:rStyle w:val="FootnoteReference"/>
                <w:rFonts w:ascii="Times New Roman" w:hAnsi="Times New Roman"/>
                <w:noProof/>
                <w:sz w:val="24"/>
                <w:szCs w:val="24"/>
              </w:rPr>
              <w:footnoteReference w:id="9"/>
            </w:r>
            <w:r>
              <w:rPr>
                <w:noProof/>
              </w:rPr>
              <w:t>.</w:t>
            </w:r>
          </w:p>
        </w:tc>
      </w:tr>
    </w:tbl>
    <w:p w14:paraId="63767781" w14:textId="193B7379" w:rsidR="00605E38" w:rsidRPr="00A56B91" w:rsidRDefault="00303160" w:rsidP="00C67017">
      <w:pPr>
        <w:pStyle w:val="pf0"/>
        <w:spacing w:before="160" w:beforeAutospacing="0" w:after="160" w:afterAutospacing="0" w:line="259" w:lineRule="auto"/>
        <w:rPr>
          <w:noProof/>
          <w:sz w:val="24"/>
        </w:rPr>
      </w:pPr>
      <w:r>
        <w:rPr>
          <w:b/>
          <w:noProof/>
          <w:sz w:val="24"/>
        </w:rPr>
        <w:t xml:space="preserve">En åldrande befolkning ökar trycket på de offentliga budgetarna. </w:t>
      </w:r>
      <w:r>
        <w:rPr>
          <w:noProof/>
          <w:sz w:val="24"/>
        </w:rPr>
        <w:t>En krympande befolkning i arbetsför ålder utövar ett nedåtriktat tryck på intäkter från inkomstskatter och socialförsäkringsavgifter. När befolkningen däremot blir äldre beräknas utgifterna för hälso- och sjukvård, långvarig vård och omsorg samt pensioner öka från 24,6 % av BNP 2019 till nästan 27 % 2040</w:t>
      </w:r>
      <w:r>
        <w:rPr>
          <w:rStyle w:val="FootnoteReference"/>
          <w:noProof/>
          <w:sz w:val="24"/>
          <w:lang w:val="en-GB"/>
        </w:rPr>
        <w:footnoteReference w:id="10"/>
      </w:r>
      <w:r>
        <w:rPr>
          <w:noProof/>
        </w:rPr>
        <w:t>.</w:t>
      </w:r>
      <w:r>
        <w:rPr>
          <w:noProof/>
          <w:sz w:val="24"/>
        </w:rPr>
        <w:t xml:space="preserve"> Trycket på de offentliga budgetarna kan därför komma att minska det finanspolitiska utrymmet för investeringar inom andra politiska prioriteringar, t.ex. den gröna och den digitala omställningen. Dessutom behöver ett åldrande samhälle investera i anpassade rörlighets- och infrastrukturlösningar</w:t>
      </w:r>
      <w:r>
        <w:rPr>
          <w:rStyle w:val="FootnoteReference"/>
          <w:bCs/>
          <w:noProof/>
          <w:sz w:val="24"/>
          <w:lang w:val="en-GB"/>
        </w:rPr>
        <w:footnoteReference w:id="11"/>
      </w:r>
      <w:r>
        <w:rPr>
          <w:noProof/>
          <w:sz w:val="24"/>
        </w:rPr>
        <w:t xml:space="preserve"> som kan gynna hela befolkningen och genomföras på ett miljö- och digitalvänligt sätt. </w:t>
      </w:r>
    </w:p>
    <w:p w14:paraId="6C5BBF6A" w14:textId="60A6CF77" w:rsidR="00E12F9C" w:rsidRPr="00A56B91" w:rsidRDefault="00E12F9C" w:rsidP="00C67017">
      <w:pPr>
        <w:pStyle w:val="pf0"/>
        <w:spacing w:before="0" w:beforeAutospacing="0" w:after="160" w:afterAutospacing="0" w:line="259" w:lineRule="auto"/>
        <w:rPr>
          <w:noProof/>
          <w:sz w:val="24"/>
        </w:rPr>
      </w:pPr>
      <w:r>
        <w:rPr>
          <w:b/>
          <w:noProof/>
          <w:sz w:val="24"/>
        </w:rPr>
        <w:t xml:space="preserve">De demografiska förändringarna i EU samverkar med andra globala megatrender, t.ex. den gröna och den digitala omställningen. </w:t>
      </w:r>
      <w:r>
        <w:rPr>
          <w:noProof/>
          <w:sz w:val="24"/>
        </w:rPr>
        <w:t xml:space="preserve">Koldioxidutsläppen hör nära samman med inkomstnivå, men också med konsumenters åldersprofil. Äldre människor konsumerar mindre i absoluta termer, men eftersom de ofta bor i mindre hushåll och har större energibehov har de högre utsläpp per capita. De är också högre representerade på landsbygden där beroendet av bil är större. Eftersom andelen äldre i befolkningen håller på att öka uppskattas det att upp till 39 % av utsläppen år 2060 kommer att genereras av personer över 65 år. Samtidigt har klimatförändringarna och luftföroreningar en negativ inverkan på befolkningens dödlighets- och sjuklighetstal, och detta gäller särskilt för sårbara grupper, däribland äldre. </w:t>
      </w:r>
      <w:bookmarkStart w:id="3" w:name="_Hlk147512185"/>
      <w:r>
        <w:rPr>
          <w:noProof/>
          <w:sz w:val="24"/>
        </w:rPr>
        <w:t>Klimatkrisen och miljöförstöringen kan också spela in när det gäller att välja om man vill ha barn eller inte.</w:t>
      </w:r>
      <w:bookmarkEnd w:id="3"/>
      <w:r>
        <w:rPr>
          <w:noProof/>
          <w:sz w:val="24"/>
        </w:rPr>
        <w:t xml:space="preserve"> Mot bakgrund av den digitala omställningen kan tekniken bidra till att göra hälso- och sjukvården och långvarig vård och omsorg mer kostnadseffektiv samt förbättra tillgången till och kvaliteten på tjänster, även på landsbygden och i avlägsna områden och för personer med funktionsnedsättning eller nedsatt rörlighet. Undermålig digital infrastruktur och låg digital kompetens kan dock förvärra klyftorna mellan regioner, samhällsgrupper och generationer.</w:t>
      </w:r>
    </w:p>
    <w:p w14:paraId="485F1DEB" w14:textId="06036CAA" w:rsidR="00E5614D" w:rsidRPr="00A56B91" w:rsidRDefault="002B2F4A" w:rsidP="00695AB2">
      <w:pPr>
        <w:pStyle w:val="Subtitle"/>
        <w:rPr>
          <w:rFonts w:ascii="Times New Roman" w:hAnsi="Times New Roman"/>
          <w:noProof/>
          <w:sz w:val="24"/>
          <w:szCs w:val="24"/>
        </w:rPr>
      </w:pPr>
      <w:r>
        <w:rPr>
          <w:rFonts w:ascii="Times New Roman" w:hAnsi="Times New Roman"/>
          <w:noProof/>
          <w:sz w:val="24"/>
        </w:rPr>
        <w:t>Befolkningsutveckling, 2021–2050</w:t>
      </w:r>
    </w:p>
    <w:p w14:paraId="72A1592A" w14:textId="685D85A9" w:rsidR="00637EF0" w:rsidRPr="00A56B91" w:rsidRDefault="007B2105" w:rsidP="00D74989">
      <w:pPr>
        <w:spacing w:after="240" w:line="240" w:lineRule="auto"/>
        <w:jc w:val="center"/>
        <w:rPr>
          <w:rFonts w:ascii="Times New Roman" w:hAnsi="Times New Roman" w:cs="Times New Roman"/>
          <w:noProof/>
          <w:sz w:val="24"/>
        </w:rPr>
      </w:pPr>
      <w:r w:rsidRPr="007B2105">
        <w:rPr>
          <w:noProof/>
          <w:lang w:val="en-GB" w:eastAsia="en-GB"/>
        </w:rPr>
        <w:drawing>
          <wp:inline distT="0" distB="0" distL="0" distR="0" wp14:anchorId="22616BD3" wp14:editId="7BC00E4C">
            <wp:extent cx="594360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68DB646B" w14:textId="4813D5EA" w:rsidR="00DA401A" w:rsidRPr="00A56B91" w:rsidRDefault="00F5387A" w:rsidP="00637EF0">
      <w:pPr>
        <w:rPr>
          <w:rFonts w:ascii="Times New Roman" w:hAnsi="Times New Roman" w:cs="Times New Roman"/>
          <w:noProof/>
          <w:sz w:val="24"/>
        </w:rPr>
      </w:pPr>
      <w:bookmarkStart w:id="4" w:name="_Hlk147511025"/>
      <w:r>
        <w:rPr>
          <w:rFonts w:ascii="Times New Roman" w:hAnsi="Times New Roman"/>
          <w:b/>
          <w:noProof/>
          <w:sz w:val="24"/>
        </w:rPr>
        <w:t>Territoriella skillnader riskerar att öka inom och mellan medlemsstaterna.</w:t>
      </w:r>
      <w:r>
        <w:rPr>
          <w:rFonts w:ascii="Times New Roman" w:hAnsi="Times New Roman"/>
          <w:noProof/>
          <w:sz w:val="24"/>
        </w:rPr>
        <w:t xml:space="preserve"> Vissa regioner står inför de kombinerade utmaningarna med en åldrande befolkning, en låg och stagnerande andel personer med högre utbildning och utvandring av unga och utbildade. Detta riskerar att försätta dem i en kompetensutvecklingsfälla, vilket begränsar deras förmåga att bygga upp hållbara, konkurrenskraftiga och kunskapsbaserade ekonomier</w:t>
      </w:r>
      <w:r>
        <w:rPr>
          <w:rStyle w:val="FootnoteReference"/>
          <w:rFonts w:ascii="Times New Roman" w:hAnsi="Times New Roman" w:cs="Times New Roman"/>
          <w:noProof/>
          <w:sz w:val="24"/>
          <w:lang w:val="en-GB"/>
        </w:rPr>
        <w:footnoteReference w:id="12"/>
      </w:r>
      <w:r>
        <w:rPr>
          <w:noProof/>
        </w:rPr>
        <w:t>.</w:t>
      </w:r>
      <w:r>
        <w:rPr>
          <w:rFonts w:ascii="Times New Roman" w:hAnsi="Times New Roman"/>
          <w:noProof/>
          <w:sz w:val="24"/>
        </w:rPr>
        <w:t xml:space="preserve"> </w:t>
      </w:r>
      <w:bookmarkEnd w:id="4"/>
      <w:r>
        <w:rPr>
          <w:rFonts w:ascii="Times New Roman" w:hAnsi="Times New Roman"/>
          <w:noProof/>
          <w:sz w:val="24"/>
        </w:rPr>
        <w:t>Till följd av demografiska förändringar och strukturella omställningsprocesser hotas många mindre utvecklade regioner och landsbygdsregioner i allt högre grad av brist på arbetskraft och kompetens samt låg regional konkurrenskraft och förmåga att locka investeringar, med stora skillnader mellan städer och landsbygd i vissa länder</w:t>
      </w:r>
      <w:r>
        <w:rPr>
          <w:rStyle w:val="FootnoteReference"/>
          <w:rFonts w:ascii="Times New Roman" w:hAnsi="Times New Roman" w:cs="Times New Roman"/>
          <w:noProof/>
          <w:sz w:val="24"/>
          <w:lang w:val="en-GB"/>
        </w:rPr>
        <w:footnoteReference w:id="13"/>
      </w:r>
      <w:r>
        <w:rPr>
          <w:noProof/>
        </w:rPr>
        <w:t>.</w:t>
      </w:r>
      <w:r>
        <w:rPr>
          <w:rFonts w:ascii="Times New Roman" w:hAnsi="Times New Roman"/>
          <w:noProof/>
          <w:sz w:val="24"/>
        </w:rPr>
        <w:t xml:space="preserve"> Sådana territoriella skillnader undergräver också den sociala sammanhållningen och förtroendet för demokratiska institutioner och processer i Europa</w:t>
      </w:r>
      <w:r>
        <w:rPr>
          <w:rStyle w:val="FootnoteReference"/>
          <w:rFonts w:ascii="Times New Roman" w:hAnsi="Times New Roman" w:cs="Times New Roman"/>
          <w:noProof/>
          <w:sz w:val="24"/>
          <w:lang w:val="en-GB"/>
        </w:rPr>
        <w:footnoteReference w:id="14"/>
      </w:r>
      <w:r>
        <w:rPr>
          <w:noProof/>
        </w:rPr>
        <w:t>.</w:t>
      </w:r>
      <w:r>
        <w:rPr>
          <w:rFonts w:ascii="Times New Roman" w:hAnsi="Times New Roman"/>
          <w:noProof/>
          <w:sz w:val="24"/>
        </w:rPr>
        <w:t xml:space="preserve"> </w:t>
      </w:r>
    </w:p>
    <w:p w14:paraId="2A639D83" w14:textId="4388E7DE" w:rsidR="00D8269C" w:rsidRPr="00C67017" w:rsidRDefault="00FA090B" w:rsidP="00285723">
      <w:pPr>
        <w:pStyle w:val="Heading1"/>
      </w:pPr>
      <w:r>
        <w:t>POLITISKA VERKTYG: TA ITU MED OCH HANTERA BEFOLKNINGSUTVECKLINGEN</w:t>
      </w:r>
    </w:p>
    <w:p w14:paraId="3A5CECEC" w14:textId="09B69AE7" w:rsidR="00122E5E" w:rsidRPr="00A56B91" w:rsidRDefault="00071866" w:rsidP="002E727D">
      <w:pPr>
        <w:rPr>
          <w:rFonts w:ascii="Times New Roman" w:hAnsi="Times New Roman" w:cs="Times New Roman"/>
          <w:noProof/>
          <w:sz w:val="24"/>
        </w:rPr>
      </w:pPr>
      <w:r>
        <w:rPr>
          <w:rFonts w:ascii="Times New Roman" w:hAnsi="Times New Roman"/>
          <w:b/>
          <w:noProof/>
          <w:sz w:val="24"/>
        </w:rPr>
        <w:t>Beslutsfattare på alla nivåer måste skapa en miljö som gör det möjligt för människor i hela unionen att förverkliga sina livsval och förena familj och yrkesliv.</w:t>
      </w:r>
      <w:r>
        <w:rPr>
          <w:rFonts w:ascii="Times New Roman" w:hAnsi="Times New Roman"/>
          <w:noProof/>
          <w:sz w:val="24"/>
        </w:rPr>
        <w:t xml:space="preserve"> Som ett komplement till dessa insatser kan laglig migration och effektiv integration av tredjelandsmedborgare som är lagligen bosatta i EU bidra till att minska trycket på arbetsmarknaden och ytterligare främja innovation och entreprenörskap. Det finns redan en omfattande uppsättning politiska verktyg på EU-nivå för att hjälpa medlemsstaterna att hantera befolkningsutvecklingen och dess konsekvenser. Den verktygslåda som presenteras i detta meddelande bygger på bästa och lovande praxis från hela unionen och kompletterar åtgärder på nationell nivå. Den tar hänsyn till behovet av att beakta befolkningsutvecklingens territoriella dimension, särskilt i regioner med befolkningsminskning och en betydande utflyttning av unga arbetstagare (”kompetensflykt”). </w:t>
      </w:r>
    </w:p>
    <w:p w14:paraId="52BB7DF4" w14:textId="64277A9B" w:rsidR="00215C25" w:rsidRPr="00A56B91" w:rsidRDefault="00F12C40" w:rsidP="00695AB2">
      <w:pPr>
        <w:pStyle w:val="Subtitle"/>
        <w:rPr>
          <w:rFonts w:ascii="Times New Roman" w:hAnsi="Times New Roman"/>
          <w:noProof/>
          <w:sz w:val="24"/>
          <w:szCs w:val="24"/>
        </w:rPr>
      </w:pPr>
      <w:r>
        <w:rPr>
          <w:rFonts w:ascii="Times New Roman" w:hAnsi="Times New Roman"/>
          <w:noProof/>
          <w:sz w:val="24"/>
        </w:rPr>
        <w:t>En övergripande strategi för befolkningsutvecklingen</w:t>
      </w:r>
    </w:p>
    <w:p w14:paraId="5003E707" w14:textId="19DFAFE5" w:rsidR="00E6572A" w:rsidRPr="00A56B91" w:rsidRDefault="007B2105" w:rsidP="00026833">
      <w:pPr>
        <w:spacing w:after="0" w:line="240" w:lineRule="auto"/>
        <w:jc w:val="center"/>
        <w:rPr>
          <w:rFonts w:ascii="Times New Roman" w:hAnsi="Times New Roman" w:cs="Times New Roman"/>
          <w:noProof/>
          <w:sz w:val="24"/>
        </w:rPr>
      </w:pPr>
      <w:r w:rsidRPr="007B2105">
        <w:rPr>
          <w:noProof/>
          <w:lang w:val="en-GB" w:eastAsia="en-GB"/>
        </w:rPr>
        <w:drawing>
          <wp:inline distT="0" distB="0" distL="0" distR="0" wp14:anchorId="736CB2DE" wp14:editId="4A14C53E">
            <wp:extent cx="4972050" cy="2559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2050" cy="2559050"/>
                    </a:xfrm>
                    <a:prstGeom prst="rect">
                      <a:avLst/>
                    </a:prstGeom>
                    <a:noFill/>
                    <a:ln>
                      <a:noFill/>
                    </a:ln>
                  </pic:spPr>
                </pic:pic>
              </a:graphicData>
            </a:graphic>
          </wp:inline>
        </w:drawing>
      </w:r>
    </w:p>
    <w:p w14:paraId="5EDD496A" w14:textId="6F65538E" w:rsidR="00275101" w:rsidRPr="00C67017" w:rsidRDefault="004C777D" w:rsidP="00B36950">
      <w:pPr>
        <w:pStyle w:val="Heading2"/>
        <w:rPr>
          <w:noProof/>
        </w:rPr>
      </w:pPr>
      <w:r>
        <w:rPr>
          <w:noProof/>
        </w:rPr>
        <w:t>Göra det möjligt att förena familjeliv och avlönat arbete</w:t>
      </w:r>
    </w:p>
    <w:p w14:paraId="6A565640" w14:textId="4900FB27" w:rsidR="00275101" w:rsidRPr="00A56B91" w:rsidRDefault="000A2F5C" w:rsidP="002E727D">
      <w:pPr>
        <w:rPr>
          <w:rFonts w:ascii="Times New Roman" w:hAnsi="Times New Roman" w:cs="Times New Roman"/>
          <w:noProof/>
          <w:sz w:val="24"/>
        </w:rPr>
      </w:pPr>
      <w:r>
        <w:rPr>
          <w:rFonts w:ascii="Times New Roman" w:hAnsi="Times New Roman"/>
          <w:b/>
          <w:noProof/>
          <w:sz w:val="24"/>
        </w:rPr>
        <w:t>Alla bör få stöd så att de kan välja att ha både en karriär och familj.</w:t>
      </w:r>
      <w:r>
        <w:rPr>
          <w:rFonts w:ascii="Times New Roman" w:hAnsi="Times New Roman"/>
          <w:noProof/>
          <w:sz w:val="24"/>
        </w:rPr>
        <w:t xml:space="preserve"> Att skaffa barn är ett personligt val. Livskvalitet, tillgång till omsorg och bostad samt sysselsättningsmöjligheter och en tillräcklig inkomst kan dock påverka dessa val. Det blir allt vanligare bland ungdomar att skjuta upp beslutet att bilda familj, eller att begränsa familjens storlek. När de tillfrågas anger dock många av dem, särskilt högutbildade kvinnor, att de skulle vilja ha fler barn än de faktiskt har. Viktiga faktorer som kan förklara skillnaden mellan faktisk och önskad familjestorlek är svårigheten att förena arbete och omsorgsansvar och ihållande bristande jämställdhet samt ekonomisk och social osäkerhet kopplad till anställningsmöjligheter, levnadskostnader och bostäder. </w:t>
      </w:r>
    </w:p>
    <w:p w14:paraId="5443FA0B" w14:textId="56C28299" w:rsidR="0035175D" w:rsidRPr="00A56B91" w:rsidRDefault="0035175D" w:rsidP="0076202B">
      <w:pPr>
        <w:pStyle w:val="Subtitle"/>
        <w:spacing w:before="240" w:after="0"/>
        <w:rPr>
          <w:rFonts w:ascii="Times New Roman" w:hAnsi="Times New Roman"/>
          <w:noProof/>
          <w:sz w:val="24"/>
          <w:szCs w:val="24"/>
        </w:rPr>
      </w:pPr>
      <w:r>
        <w:rPr>
          <w:rFonts w:ascii="Times New Roman" w:hAnsi="Times New Roman"/>
          <w:noProof/>
          <w:sz w:val="24"/>
        </w:rPr>
        <w:t>Sysselsättningsgraden bland kvinnor samt födelsetal i EU</w:t>
      </w:r>
    </w:p>
    <w:p w14:paraId="4EDC63D1" w14:textId="67B5F55F" w:rsidR="0035175D" w:rsidRPr="00A56B91" w:rsidRDefault="007B2105" w:rsidP="0035175D">
      <w:pPr>
        <w:rPr>
          <w:rFonts w:ascii="Times New Roman" w:hAnsi="Times New Roman" w:cs="Times New Roman"/>
          <w:noProof/>
          <w:sz w:val="24"/>
        </w:rPr>
      </w:pPr>
      <w:r w:rsidRPr="007B2105">
        <w:rPr>
          <w:noProof/>
          <w:lang w:val="en-GB" w:eastAsia="en-GB"/>
        </w:rPr>
        <w:drawing>
          <wp:inline distT="0" distB="0" distL="0" distR="0" wp14:anchorId="7B9C042A" wp14:editId="7FB3B060">
            <wp:extent cx="5943600" cy="3365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65500"/>
                    </a:xfrm>
                    <a:prstGeom prst="rect">
                      <a:avLst/>
                    </a:prstGeom>
                    <a:noFill/>
                    <a:ln>
                      <a:noFill/>
                    </a:ln>
                  </pic:spPr>
                </pic:pic>
              </a:graphicData>
            </a:graphic>
          </wp:inline>
        </w:drawing>
      </w:r>
    </w:p>
    <w:p w14:paraId="14CEAF4B" w14:textId="1FB70114" w:rsidR="0090194C" w:rsidRPr="00A56B91" w:rsidRDefault="00075809" w:rsidP="002E727D">
      <w:pPr>
        <w:rPr>
          <w:rFonts w:ascii="Times New Roman" w:hAnsi="Times New Roman" w:cs="Times New Roman"/>
          <w:noProof/>
          <w:sz w:val="24"/>
        </w:rPr>
      </w:pPr>
      <w:r>
        <w:rPr>
          <w:rFonts w:ascii="Times New Roman" w:hAnsi="Times New Roman"/>
          <w:b/>
          <w:noProof/>
          <w:sz w:val="24"/>
        </w:rPr>
        <w:t>För att uppnå EU:s sysselsättningsmål för 2030</w:t>
      </w:r>
      <w:r>
        <w:rPr>
          <w:rStyle w:val="FootnoteReference"/>
          <w:rFonts w:ascii="Times New Roman" w:hAnsi="Times New Roman" w:cs="Times New Roman"/>
          <w:b/>
          <w:bCs/>
          <w:noProof/>
          <w:sz w:val="24"/>
          <w:lang w:val="en-IE"/>
        </w:rPr>
        <w:footnoteReference w:id="15"/>
      </w:r>
      <w:r>
        <w:rPr>
          <w:rFonts w:ascii="Times New Roman" w:hAnsi="Times New Roman"/>
          <w:b/>
          <w:noProof/>
          <w:sz w:val="24"/>
        </w:rPr>
        <w:t xml:space="preserve"> måste vi sträva efter att åtminstone halvera skillnaden i sysselsättningsgrad mellan kvinnor och män jämfört med 2019. </w:t>
      </w:r>
      <w:r>
        <w:rPr>
          <w:rFonts w:ascii="Times New Roman" w:hAnsi="Times New Roman"/>
          <w:noProof/>
          <w:sz w:val="24"/>
        </w:rPr>
        <w:t>Att öka kvinnors deltagande i arbetslivet kan vara en av de effektivaste lösningarna på de negativa konsekvenserna av en åldrande befolkning</w:t>
      </w:r>
      <w:r>
        <w:rPr>
          <w:rStyle w:val="FootnoteReference"/>
          <w:rFonts w:ascii="Times New Roman" w:hAnsi="Times New Roman" w:cs="Times New Roman"/>
          <w:noProof/>
          <w:sz w:val="24"/>
        </w:rPr>
        <w:footnoteReference w:id="16"/>
      </w:r>
      <w:r>
        <w:rPr>
          <w:noProof/>
        </w:rPr>
        <w:t>.</w:t>
      </w:r>
      <w:r>
        <w:rPr>
          <w:rFonts w:ascii="Times New Roman" w:hAnsi="Times New Roman"/>
          <w:b/>
          <w:noProof/>
          <w:sz w:val="24"/>
        </w:rPr>
        <w:t xml:space="preserve"> </w:t>
      </w:r>
      <w:r>
        <w:rPr>
          <w:rFonts w:ascii="Times New Roman" w:hAnsi="Times New Roman"/>
          <w:noProof/>
          <w:sz w:val="24"/>
        </w:rPr>
        <w:t>Trots förbättringar de senaste årtiondena är kvinnors deltagande på arbetsmarknaden fortfarande lägre än männens. I EU ligger sysselsättningsgraden bland kvinnor fortfarande 10,7 procentenheter under männens och varierar avsevärt mellan medlemsstaterna (från 20,1 procentenheter i Rumänien till 1,4 procentenheter i Litauen).</w:t>
      </w:r>
      <w:r>
        <w:rPr>
          <w:rStyle w:val="FootnoteReference"/>
          <w:rFonts w:ascii="Times New Roman" w:hAnsi="Times New Roman"/>
          <w:noProof/>
          <w:sz w:val="24"/>
        </w:rPr>
        <w:t xml:space="preserve"> </w:t>
      </w:r>
      <w:r>
        <w:rPr>
          <w:rStyle w:val="FootnoteReference"/>
          <w:rFonts w:ascii="Times New Roman" w:hAnsi="Times New Roman" w:cs="Times New Roman"/>
          <w:noProof/>
          <w:sz w:val="24"/>
          <w:lang w:val="en-GB"/>
        </w:rPr>
        <w:footnoteReference w:id="17"/>
      </w:r>
      <w:r>
        <w:rPr>
          <w:rFonts w:ascii="Times New Roman" w:hAnsi="Times New Roman"/>
          <w:noProof/>
          <w:sz w:val="24"/>
        </w:rPr>
        <w:t xml:space="preserve"> I vissa medlemsstater – t.ex. </w:t>
      </w:r>
      <w:r>
        <w:rPr>
          <w:rFonts w:ascii="Times New Roman" w:hAnsi="Times New Roman"/>
          <w:b/>
          <w:noProof/>
          <w:sz w:val="24"/>
        </w:rPr>
        <w:t>Sverige och Danmark</w:t>
      </w:r>
      <w:r>
        <w:rPr>
          <w:rFonts w:ascii="Times New Roman" w:hAnsi="Times New Roman"/>
          <w:noProof/>
          <w:sz w:val="24"/>
        </w:rPr>
        <w:t xml:space="preserve"> – är sysselsättningsgraden bland kvinnor relativt hög och ligger på 75 % (och skillnaderna i sysselsättningsgrad mellan kvinnor och män ligger under genomsnittet) samtidigt som födelsetalen i dessa länder ligger på en relativt hög nivå jämfört med resten av EU. Kvinnor arbetar dock oftare deltid än män i nästan alla medlemsstater, inklusive de som nämns ovan, och löneskillnaderna mellan könen är fortfarande stora, särskilt för kvinnor med barn, med stora skillnader mellan medlemsstaterna</w:t>
      </w:r>
      <w:r>
        <w:rPr>
          <w:rStyle w:val="FootnoteReference"/>
          <w:rFonts w:ascii="Times New Roman" w:hAnsi="Times New Roman" w:cs="Times New Roman"/>
          <w:noProof/>
          <w:sz w:val="24"/>
          <w:lang w:val="en-GB"/>
        </w:rPr>
        <w:footnoteReference w:id="18"/>
      </w:r>
      <w:r>
        <w:rPr>
          <w:noProof/>
        </w:rPr>
        <w:t>.</w:t>
      </w:r>
    </w:p>
    <w:p w14:paraId="03B010F2" w14:textId="46D8DA79" w:rsidR="008D2701" w:rsidRPr="00A56B91" w:rsidRDefault="006340F0" w:rsidP="002E727D">
      <w:pPr>
        <w:rPr>
          <w:rFonts w:ascii="Times New Roman" w:hAnsi="Times New Roman" w:cs="Times New Roman"/>
          <w:noProof/>
          <w:sz w:val="24"/>
        </w:rPr>
      </w:pPr>
      <w:r>
        <w:rPr>
          <w:rFonts w:ascii="Times New Roman" w:hAnsi="Times New Roman"/>
          <w:noProof/>
          <w:sz w:val="24"/>
        </w:rPr>
        <w:pict w14:anchorId="383B9269">
          <v:roundrect id="_x0000_s2058" style="position:absolute;left:0;text-align:left;margin-left:248.15pt;margin-top:177.15pt;width:218.55pt;height:194pt;z-index:251658241;visibility:visible;mso-wrap-distance-left:14.2pt;mso-wrap-distance-right:14.2pt;mso-wrap-distance-bottom:14.2pt;mso-position-horizontal-relative:margin;mso-width-relative:margin;mso-height-relative:margin;v-text-anchor:middle" arcsize="4560f" fillcolor="#def8f8 [664]" strokecolor="#5fdfdc [3208]" strokeweight="2.5pt">
            <v:stroke joinstyle="miter"/>
            <v:shadow color="#868686"/>
            <v:textbox style="mso-next-textbox:#_x0000_s2058" inset=",5mm,,5mm">
              <w:txbxContent>
                <w:p w14:paraId="73C6A644" w14:textId="1ABCB1B0" w:rsidR="000E0C90" w:rsidRPr="00241384" w:rsidRDefault="006E2E77" w:rsidP="006E2E77">
                  <w:pPr>
                    <w:pStyle w:val="Framebody"/>
                    <w:rPr>
                      <w:sz w:val="24"/>
                      <w:szCs w:val="24"/>
                    </w:rPr>
                  </w:pPr>
                  <w:r>
                    <w:rPr>
                      <w:b/>
                      <w:sz w:val="24"/>
                    </w:rPr>
                    <w:t>Kroatien</w:t>
                  </w:r>
                  <w:r>
                    <w:rPr>
                      <w:sz w:val="24"/>
                    </w:rPr>
                    <w:t xml:space="preserve"> har i sin återhämtnings- och resiliensplan som mål att utvidga förskoleverksamhet och barnomsorg genom att investera omkring 215 miljoner euro. Syftet är att garantera alla barn som är äldre än fyra år en plats i förskoleverksamhet och barnomsorg och samtidigt skapa 22 500 nya platser genom investeringar i byggnation och renovering, vilket minskar skillnaderna mellan olika regioner.</w:t>
                  </w:r>
                </w:p>
              </w:txbxContent>
            </v:textbox>
            <w10:wrap type="square" anchorx="margin"/>
          </v:roundrect>
        </w:pict>
      </w:r>
      <w:r w:rsidR="00275101">
        <w:rPr>
          <w:rFonts w:ascii="Times New Roman" w:hAnsi="Times New Roman"/>
          <w:b/>
          <w:noProof/>
          <w:sz w:val="24"/>
        </w:rPr>
        <w:t>Obetalt omsorgsansvar håller uppskattningsvis 7,7 miljoner kvinnor utanför arbetsmarknaden i EU.</w:t>
      </w:r>
      <w:r w:rsidR="00275101">
        <w:rPr>
          <w:rFonts w:ascii="Times New Roman" w:hAnsi="Times New Roman"/>
          <w:noProof/>
          <w:sz w:val="24"/>
        </w:rPr>
        <w:t xml:space="preserve"> Som jämförelse uppskattas endast 450 000 män påverkas i detta avseende</w:t>
      </w:r>
      <w:r w:rsidR="00275101">
        <w:rPr>
          <w:rStyle w:val="FootnoteReference"/>
          <w:rFonts w:ascii="Times New Roman" w:hAnsi="Times New Roman" w:cs="Times New Roman"/>
          <w:noProof/>
          <w:sz w:val="24"/>
          <w:lang w:val="en-GB"/>
        </w:rPr>
        <w:footnoteReference w:id="19"/>
      </w:r>
      <w:r w:rsidR="00275101">
        <w:rPr>
          <w:noProof/>
        </w:rPr>
        <w:t>.</w:t>
      </w:r>
      <w:r w:rsidR="00275101">
        <w:rPr>
          <w:rFonts w:ascii="Times New Roman" w:hAnsi="Times New Roman"/>
          <w:noProof/>
          <w:sz w:val="24"/>
        </w:rPr>
        <w:t xml:space="preserve"> Deltagandet på arbetsmarknaden bland mammor med spädbarn har till och med försämrats de senaste två årtiondena</w:t>
      </w:r>
      <w:r w:rsidR="00275101">
        <w:rPr>
          <w:rStyle w:val="FootnoteReference"/>
          <w:rFonts w:ascii="Times New Roman" w:hAnsi="Times New Roman" w:cs="Times New Roman"/>
          <w:noProof/>
          <w:sz w:val="24"/>
          <w:lang w:val="en-IE"/>
        </w:rPr>
        <w:footnoteReference w:id="20"/>
      </w:r>
      <w:r w:rsidR="00275101">
        <w:rPr>
          <w:rFonts w:ascii="Times New Roman" w:hAnsi="Times New Roman"/>
          <w:noProof/>
          <w:sz w:val="24"/>
        </w:rPr>
        <w:t>, vilket ofta har påverkat deras karriärer och inkomster i åratal. Hur tidsintensivt omsorgsarbetet är spelar också in. Endast 35 % av de anhörigvårdare som tillhandahåller mer än 40 timmar vård och omsorg per vecka har anställning (jämfört med 71 % av dem som tillhandahåller mindre än 10 timmar)</w:t>
      </w:r>
      <w:r w:rsidR="00275101">
        <w:rPr>
          <w:rStyle w:val="FootnoteReference"/>
          <w:rFonts w:ascii="Times New Roman" w:hAnsi="Times New Roman" w:cs="Times New Roman"/>
          <w:noProof/>
          <w:sz w:val="24"/>
          <w:lang w:val="en-IE"/>
        </w:rPr>
        <w:footnoteReference w:id="21"/>
      </w:r>
      <w:r w:rsidR="00275101">
        <w:rPr>
          <w:noProof/>
        </w:rPr>
        <w:t>.</w:t>
      </w:r>
      <w:r w:rsidR="00275101">
        <w:rPr>
          <w:rFonts w:ascii="Times New Roman" w:hAnsi="Times New Roman"/>
          <w:noProof/>
          <w:sz w:val="24"/>
        </w:rPr>
        <w:t xml:space="preserve"> Kvinnor är fortfarande starkt underrepresenterade i många bristyrken, t.ex. inom IKT. Detta förvärrar bristen på arbetskraft och den demografiska försörjningskvoten för äldre, med färre ekonomiskt aktiva personer både i dag och i framtiden. Ytterligare ökat behov av vård och omsorg på grund av åldrande kan komma att påverka kvinnor i oproportionerligt hög grad, eftersom bördan av informellt vård- och omsorgsansvar fortfarande är ojämlikt fördelad.</w:t>
      </w:r>
    </w:p>
    <w:p w14:paraId="14BE525F" w14:textId="600BFC3F" w:rsidR="00CD2BAB" w:rsidRPr="00A56B91" w:rsidRDefault="00C67017" w:rsidP="00241384">
      <w:pPr>
        <w:rPr>
          <w:rFonts w:ascii="Times New Roman" w:hAnsi="Times New Roman" w:cs="Times New Roman"/>
          <w:noProof/>
          <w:sz w:val="24"/>
        </w:rPr>
      </w:pPr>
      <w:r>
        <w:rPr>
          <w:rFonts w:ascii="Times New Roman" w:hAnsi="Times New Roman"/>
          <w:b/>
          <w:noProof/>
          <w:sz w:val="24"/>
        </w:rPr>
        <w:t>Ekonomiskt överkomlig och tillgänglig barnomsorg av hög kvalitet gör det möjligt för föräldrar att förena avlönat arbete och familjeliv.</w:t>
      </w:r>
      <w:r>
        <w:rPr>
          <w:rFonts w:ascii="Times New Roman" w:hAnsi="Times New Roman"/>
          <w:noProof/>
          <w:sz w:val="24"/>
        </w:rPr>
        <w:t xml:space="preserve"> I EU:s strategi för barnets rättigheter</w:t>
      </w:r>
      <w:r>
        <w:rPr>
          <w:rStyle w:val="FootnoteReference"/>
          <w:rFonts w:ascii="Times New Roman" w:hAnsi="Times New Roman" w:cs="Times New Roman"/>
          <w:noProof/>
          <w:sz w:val="24"/>
          <w:lang w:val="en-IE"/>
        </w:rPr>
        <w:footnoteReference w:id="22"/>
      </w:r>
      <w:r>
        <w:rPr>
          <w:rFonts w:ascii="Times New Roman" w:hAnsi="Times New Roman"/>
          <w:noProof/>
          <w:sz w:val="24"/>
        </w:rPr>
        <w:t xml:space="preserve"> betonades att tillgång till inkluderande, icke-segregerad utbildning av god kvalitet bör garanteras. Under 2022 deltog endast en dryg tredjedel av barnen under tre år (35,7 %) i EU i formell förskoleverksamhet och barnomsorg, med betydande skillnader inom och mellan länder och betydligt lägre deltagande bland barn från mindre gynnade förhållanden. Endast nio medlemsstater har uppnått det reviderade Barcelonamålet för 2030 om deltagande på 45 % i förskoleverksamhet och barnomsorg. Det är bara i </w:t>
      </w:r>
      <w:r>
        <w:rPr>
          <w:rFonts w:ascii="Times New Roman" w:hAnsi="Times New Roman"/>
          <w:b/>
          <w:noProof/>
          <w:sz w:val="24"/>
        </w:rPr>
        <w:t>Danmark</w:t>
      </w:r>
      <w:r>
        <w:rPr>
          <w:rFonts w:ascii="Times New Roman" w:hAnsi="Times New Roman"/>
          <w:noProof/>
          <w:sz w:val="24"/>
        </w:rPr>
        <w:t xml:space="preserve"> som majoriteten av alla barn under tre år åtnjuter barnomsorg nästan på heltid. Att utöka antalet ekonomiskt överkomliga vård- och omsorgstjänster av god kvalitet, vilket bland annat gjorts i stor utsträckning i </w:t>
      </w:r>
      <w:r>
        <w:rPr>
          <w:rFonts w:ascii="Times New Roman" w:hAnsi="Times New Roman"/>
          <w:b/>
          <w:noProof/>
          <w:sz w:val="24"/>
        </w:rPr>
        <w:t>Portugals</w:t>
      </w:r>
      <w:r>
        <w:rPr>
          <w:rFonts w:ascii="Times New Roman" w:hAnsi="Times New Roman"/>
          <w:noProof/>
          <w:sz w:val="24"/>
        </w:rPr>
        <w:t xml:space="preserve"> plan för återhämtning och resiliens, kan få en positiv inverkan på kvinnors sysselsättningsgrad, särskilt i länder där både kvinnors deltagande på arbetsmarknaden och utbudet av formella vårdtjänster för närvarande är lågt. Landsbygdsområden och avlägsna områden med låg tillgång till vård- och omsorgstjänster skulle gynnas avsevärt av en utökning av den sociala infrastrukturen. Tillgång till ekonomiskt överkomlig barnomsorg av hög kvalitet gör det i sin tur möjligt för föräldrar att bilda familj och samtidigt ha en egen inkomst och karriär.</w:t>
      </w:r>
    </w:p>
    <w:p w14:paraId="7D1EFB91" w14:textId="77777777" w:rsidR="00BF3E17" w:rsidRPr="00A56B91" w:rsidRDefault="00BF3E17" w:rsidP="00BF3E17">
      <w:pPr>
        <w:pStyle w:val="Subtitle"/>
        <w:rPr>
          <w:rFonts w:ascii="Times New Roman" w:hAnsi="Times New Roman"/>
          <w:noProof/>
          <w:sz w:val="24"/>
          <w:szCs w:val="24"/>
        </w:rPr>
      </w:pPr>
      <w:r>
        <w:rPr>
          <w:rFonts w:ascii="Times New Roman" w:hAnsi="Times New Roman"/>
          <w:noProof/>
          <w:sz w:val="24"/>
        </w:rPr>
        <w:t>Barn i formell barnomsorg</w:t>
      </w:r>
      <w:r>
        <w:rPr>
          <w:noProof/>
        </w:rPr>
        <w:t xml:space="preserve"> </w:t>
      </w:r>
      <w:r>
        <w:rPr>
          <w:noProof/>
        </w:rPr>
        <w:br/>
      </w:r>
      <w:r>
        <w:rPr>
          <w:rFonts w:ascii="Times New Roman" w:hAnsi="Times New Roman"/>
          <w:noProof/>
          <w:sz w:val="24"/>
        </w:rPr>
        <w:t>(andel barn under tre år, i %)</w:t>
      </w:r>
    </w:p>
    <w:p w14:paraId="0AAB9085" w14:textId="449D5733" w:rsidR="0035175D" w:rsidRPr="00A56B91" w:rsidRDefault="007B2105" w:rsidP="00241384">
      <w:pPr>
        <w:jc w:val="center"/>
        <w:rPr>
          <w:rFonts w:ascii="Times New Roman" w:hAnsi="Times New Roman" w:cs="Times New Roman"/>
          <w:noProof/>
          <w:sz w:val="24"/>
        </w:rPr>
      </w:pPr>
      <w:r w:rsidRPr="007B2105">
        <w:rPr>
          <w:noProof/>
          <w:lang w:val="en-GB" w:eastAsia="en-GB"/>
        </w:rPr>
        <w:drawing>
          <wp:inline distT="0" distB="0" distL="0" distR="0" wp14:anchorId="57C213BC" wp14:editId="79AAD331">
            <wp:extent cx="5943600" cy="2444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444750"/>
                    </a:xfrm>
                    <a:prstGeom prst="rect">
                      <a:avLst/>
                    </a:prstGeom>
                    <a:noFill/>
                    <a:ln>
                      <a:noFill/>
                    </a:ln>
                  </pic:spPr>
                </pic:pic>
              </a:graphicData>
            </a:graphic>
          </wp:inline>
        </w:drawing>
      </w:r>
    </w:p>
    <w:p w14:paraId="6D7072E8" w14:textId="67104048" w:rsidR="00275101" w:rsidRPr="00A56B91" w:rsidRDefault="00D26E57" w:rsidP="002E727D">
      <w:pPr>
        <w:rPr>
          <w:rFonts w:ascii="Times New Roman" w:hAnsi="Times New Roman" w:cs="Times New Roman"/>
          <w:noProof/>
          <w:sz w:val="24"/>
        </w:rPr>
      </w:pPr>
      <w:r>
        <w:rPr>
          <w:rFonts w:ascii="Times New Roman" w:hAnsi="Times New Roman"/>
          <w:b/>
          <w:noProof/>
          <w:sz w:val="24"/>
        </w:rPr>
        <w:t>Flexibla arbetsformer och åtgärder för balans mellan arbete och privatliv kan minska omsorgsbördan för kvinnor.</w:t>
      </w:r>
      <w:r>
        <w:rPr>
          <w:rFonts w:ascii="Times New Roman" w:hAnsi="Times New Roman"/>
          <w:noProof/>
          <w:sz w:val="24"/>
        </w:rPr>
        <w:t xml:space="preserve"> Erfarenheter från medlemsstaterna visar att flera olika åtgärder kan få långvariga effekter på omfördelningen av omsorgsbördan mellan föräldrar, däribland flexibla arbetsmönster, rätt till ledighet, särskilt pappaledighet och välbetald, icke överförbar föräldraledighet, i kombination med åtgärder som ser till att dessa rättigheter utnyttjas i högre grad. Pappor i EU har rätt till minst tio dagars betald pappaledighet och fyra månaders betald föräldraledighet, men dessa rättigheter har hittills införlivats på olika sätt. Till exempel erbjuder </w:t>
      </w:r>
      <w:r>
        <w:rPr>
          <w:rFonts w:ascii="Times New Roman" w:hAnsi="Times New Roman"/>
          <w:b/>
          <w:noProof/>
          <w:sz w:val="24"/>
        </w:rPr>
        <w:t>Spanien</w:t>
      </w:r>
      <w:r>
        <w:rPr>
          <w:rFonts w:ascii="Times New Roman" w:hAnsi="Times New Roman"/>
          <w:noProof/>
          <w:sz w:val="24"/>
        </w:rPr>
        <w:t xml:space="preserve"> och </w:t>
      </w:r>
      <w:r>
        <w:rPr>
          <w:rFonts w:ascii="Times New Roman" w:hAnsi="Times New Roman"/>
          <w:b/>
          <w:noProof/>
          <w:sz w:val="24"/>
        </w:rPr>
        <w:t>Finland</w:t>
      </w:r>
      <w:r>
        <w:rPr>
          <w:rFonts w:ascii="Times New Roman" w:hAnsi="Times New Roman"/>
          <w:noProof/>
          <w:sz w:val="24"/>
        </w:rPr>
        <w:t xml:space="preserve"> jämförelsevis lång pappaledighet</w:t>
      </w:r>
      <w:r>
        <w:rPr>
          <w:rStyle w:val="FootnoteReference"/>
          <w:rFonts w:ascii="Times New Roman" w:hAnsi="Times New Roman" w:cs="Times New Roman"/>
          <w:noProof/>
          <w:sz w:val="24"/>
          <w:lang w:val="en-IE"/>
        </w:rPr>
        <w:footnoteReference w:id="23"/>
      </w:r>
      <w:r>
        <w:rPr>
          <w:noProof/>
        </w:rPr>
        <w:t>.</w:t>
      </w:r>
      <w:r>
        <w:rPr>
          <w:rFonts w:ascii="Times New Roman" w:hAnsi="Times New Roman"/>
          <w:noProof/>
          <w:sz w:val="24"/>
        </w:rPr>
        <w:t xml:space="preserve"> Ändå är pappornas utnyttjande av föräldraledigheten i allmänhet lågt. Ledighet för vård av anhörig, som den som erbjuds generöst i t.ex. </w:t>
      </w:r>
      <w:r>
        <w:rPr>
          <w:rFonts w:ascii="Times New Roman" w:hAnsi="Times New Roman"/>
          <w:b/>
          <w:noProof/>
          <w:sz w:val="24"/>
        </w:rPr>
        <w:t>Nederländerna</w:t>
      </w:r>
      <w:r>
        <w:rPr>
          <w:rFonts w:ascii="Times New Roman" w:hAnsi="Times New Roman"/>
          <w:noProof/>
          <w:sz w:val="24"/>
        </w:rPr>
        <w:t xml:space="preserve">, kan också hjälpa personer med omsorgsansvar för andra anhöriga att bli kvar på arbetsmarknaden. Flexibla arbetsformer kan göra det enklare att anpassa arbetstiden till familjeåtaganden, bland annat genom att fördela deltidsarbete jämnt mellan könen. Distansarbete under rätt förhållanden och där så är möjligt kan också göra det enklare att förena familj och arbetsliv. </w:t>
      </w:r>
    </w:p>
    <w:p w14:paraId="0DF52F50" w14:textId="757F09D5" w:rsidR="00275101" w:rsidRPr="00A56B91" w:rsidRDefault="00275101" w:rsidP="002E727D">
      <w:pPr>
        <w:rPr>
          <w:rFonts w:ascii="Times New Roman" w:hAnsi="Times New Roman" w:cs="Times New Roman"/>
          <w:noProof/>
          <w:sz w:val="24"/>
        </w:rPr>
      </w:pPr>
      <w:r>
        <w:rPr>
          <w:rFonts w:ascii="Times New Roman" w:hAnsi="Times New Roman"/>
          <w:b/>
          <w:noProof/>
          <w:sz w:val="24"/>
        </w:rPr>
        <w:t>Riktade skatte- och bidragsreformer kan säkerställa att det lönar sig att arbeta.</w:t>
      </w:r>
      <w:r>
        <w:rPr>
          <w:rFonts w:ascii="Times New Roman" w:hAnsi="Times New Roman"/>
          <w:noProof/>
          <w:sz w:val="24"/>
        </w:rPr>
        <w:t xml:space="preserve"> I genomsnitt förlorar en lågavlönad, ensamstående mamma med anställning i EU omkring två tredjedelar av sin bruttoinkomst på grund av en kombination av kostnader för barnomsorg, indragna bidrag och skatter</w:t>
      </w:r>
      <w:r>
        <w:rPr>
          <w:rFonts w:ascii="Times New Roman" w:hAnsi="Times New Roman" w:cs="Times New Roman"/>
          <w:noProof/>
          <w:sz w:val="24"/>
          <w:vertAlign w:val="superscript"/>
          <w:lang w:val="en-GB"/>
        </w:rPr>
        <w:footnoteReference w:id="24"/>
      </w:r>
      <w:r>
        <w:rPr>
          <w:rFonts w:ascii="Times New Roman" w:hAnsi="Times New Roman"/>
          <w:noProof/>
          <w:sz w:val="24"/>
        </w:rPr>
        <w:t xml:space="preserve">. Väl utformade skatte- och bidragssystem säkerställer att både enskilda personer och familjer får det bättre ekonomiskt när de förvärvsarbetar, till exempel genom att undanröja skattehinder för andraförsörjare. Lägre inkomstskatt för privatpersoner eller införande/utvidgning av inkomstskatteavdrag för låginkomsttagare kan leda till att människor i högre grad börjar förvärvsarbeta, samtidigt som progressiviteten i direktbeskattningen bibehålls för att säkerställa finansieringen av socialt skydd och offentliga investeringar. Barnbidrag kan fungera som tillfälligt stöd under familjebildning. Det är dock viktigt att se till att utformningen av dessa är riktad och inte motverkar att kvinnor tar avlönat arbete, vilket bland annat är fallet med </w:t>
      </w:r>
      <w:r>
        <w:rPr>
          <w:rFonts w:ascii="Times New Roman" w:hAnsi="Times New Roman"/>
          <w:b/>
          <w:noProof/>
          <w:sz w:val="24"/>
        </w:rPr>
        <w:t>Finlands</w:t>
      </w:r>
      <w:r>
        <w:rPr>
          <w:rFonts w:ascii="Times New Roman" w:hAnsi="Times New Roman"/>
          <w:noProof/>
          <w:sz w:val="24"/>
        </w:rPr>
        <w:t xml:space="preserve"> ”flexibla vårdpenning”.</w:t>
      </w: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90"/>
      </w:tblGrid>
      <w:tr w:rsidR="00275101" w:rsidRPr="004934AD" w14:paraId="15699C83" w14:textId="77777777" w:rsidTr="0076202B">
        <w:tc>
          <w:tcPr>
            <w:tcW w:w="9390" w:type="dxa"/>
            <w:shd w:val="clear" w:color="auto" w:fill="FFF2CC" w:themeFill="accent1" w:themeFillTint="33"/>
          </w:tcPr>
          <w:p w14:paraId="1224BB73" w14:textId="77777777" w:rsidR="00275101" w:rsidRPr="004934AD" w:rsidRDefault="00275101" w:rsidP="00C67017">
            <w:pPr>
              <w:pStyle w:val="Boxtitle"/>
              <w:jc w:val="both"/>
              <w:rPr>
                <w:rFonts w:ascii="Times New Roman" w:hAnsi="Times New Roman"/>
                <w:noProof/>
              </w:rPr>
            </w:pPr>
            <w:r>
              <w:rPr>
                <w:rFonts w:ascii="Times New Roman" w:hAnsi="Times New Roman"/>
                <w:noProof/>
              </w:rPr>
              <w:t>Viktiga verktyg på EU-nivå:</w:t>
            </w:r>
          </w:p>
          <w:p w14:paraId="2637E4C6" w14:textId="5F01F243" w:rsidR="00275101" w:rsidRPr="006260B2" w:rsidRDefault="00275101" w:rsidP="00C67017">
            <w:pPr>
              <w:pStyle w:val="Paragraphedelistebullets"/>
              <w:jc w:val="both"/>
              <w:rPr>
                <w:noProof/>
              </w:rPr>
            </w:pPr>
            <w:r>
              <w:rPr>
                <w:noProof/>
              </w:rPr>
              <w:t xml:space="preserve">Genom </w:t>
            </w:r>
            <w:r>
              <w:rPr>
                <w:b/>
                <w:noProof/>
              </w:rPr>
              <w:t>direktivet om balans mellan arbete och privatliv</w:t>
            </w:r>
            <w:r>
              <w:rPr>
                <w:rStyle w:val="FootnoteReference"/>
                <w:noProof/>
              </w:rPr>
              <w:footnoteReference w:id="25"/>
            </w:r>
            <w:r>
              <w:rPr>
                <w:noProof/>
              </w:rPr>
              <w:t xml:space="preserve"> infördes rätten till betald pappaledighet och betald föräldraledighet, rätten till ledighet för vård av anhörig och rätten för alla arbetande föräldrar (med barn upp till minst åtta år) att begära flexibla arbetsformer.</w:t>
            </w:r>
          </w:p>
          <w:p w14:paraId="49504A09" w14:textId="4A4B788D" w:rsidR="00275101" w:rsidRPr="006260B2" w:rsidRDefault="00275101" w:rsidP="00C67017">
            <w:pPr>
              <w:pStyle w:val="Paragraphedelistebullets"/>
              <w:ind w:left="312" w:right="0" w:hanging="238"/>
              <w:jc w:val="both"/>
              <w:rPr>
                <w:noProof/>
              </w:rPr>
            </w:pPr>
            <w:r>
              <w:rPr>
                <w:noProof/>
              </w:rPr>
              <w:t xml:space="preserve">Ytterligare rättsligt skydd innefattar i synnerhet </w:t>
            </w:r>
            <w:r>
              <w:rPr>
                <w:b/>
                <w:noProof/>
              </w:rPr>
              <w:t>mödraskyddsdirektivet</w:t>
            </w:r>
            <w:r>
              <w:rPr>
                <w:rStyle w:val="FootnoteReference"/>
                <w:noProof/>
              </w:rPr>
              <w:footnoteReference w:id="26"/>
            </w:r>
            <w:r>
              <w:rPr>
                <w:noProof/>
              </w:rPr>
              <w:t xml:space="preserve"> (rätten till minimistadgad mammaledighet och skydd mot uppsägning under ledigheten) och </w:t>
            </w:r>
            <w:r>
              <w:rPr>
                <w:b/>
                <w:noProof/>
              </w:rPr>
              <w:t>direktivet om lika möjligheter och likabehandling av kvinnor och män i arbetslivet</w:t>
            </w:r>
            <w:r>
              <w:rPr>
                <w:rStyle w:val="FootnoteReference"/>
                <w:noProof/>
              </w:rPr>
              <w:footnoteReference w:id="27"/>
            </w:r>
            <w:r>
              <w:rPr>
                <w:noProof/>
              </w:rPr>
              <w:t xml:space="preserve"> (skydd mot uppsägning under pappaledighet och ledighet vid adoption).</w:t>
            </w:r>
          </w:p>
          <w:p w14:paraId="625A371A" w14:textId="245B4E32" w:rsidR="007C23EE" w:rsidRPr="006260B2" w:rsidRDefault="007C23EE" w:rsidP="00C67017">
            <w:pPr>
              <w:pStyle w:val="Paragraphedelistebullets"/>
              <w:jc w:val="both"/>
              <w:rPr>
                <w:noProof/>
              </w:rPr>
            </w:pPr>
            <w:r>
              <w:rPr>
                <w:noProof/>
              </w:rPr>
              <w:t xml:space="preserve">I </w:t>
            </w:r>
            <w:r>
              <w:rPr>
                <w:b/>
                <w:noProof/>
              </w:rPr>
              <w:t>rådets rekommendation om förskoleverksamhet och barnomsorg</w:t>
            </w:r>
            <w:r>
              <w:rPr>
                <w:rStyle w:val="FootnoteReference"/>
                <w:noProof/>
              </w:rPr>
              <w:footnoteReference w:id="28"/>
            </w:r>
            <w:r>
              <w:rPr>
                <w:noProof/>
              </w:rPr>
              <w:t xml:space="preserve"> uppmuntras medlemsstaterna att öka utnyttjandet av dessa tjänster genom att fastställa ambitiösa mål. I rekommendationen stöds också tillhandahållandet av ekonomiskt överkomliga och tillgängliga tjänster av god kvalitet, med särskilt fokus på inkludering av barn från mindre gynnade förhållanden.</w:t>
            </w:r>
          </w:p>
          <w:p w14:paraId="72376379" w14:textId="25A91E00" w:rsidR="007A608B" w:rsidRPr="006260B2" w:rsidRDefault="004D347D" w:rsidP="00C67017">
            <w:pPr>
              <w:pStyle w:val="Paragraphedelistebullets"/>
              <w:jc w:val="both"/>
              <w:rPr>
                <w:noProof/>
              </w:rPr>
            </w:pPr>
            <w:r>
              <w:rPr>
                <w:noProof/>
              </w:rPr>
              <w:t xml:space="preserve">Genom </w:t>
            </w:r>
            <w:r>
              <w:rPr>
                <w:b/>
                <w:noProof/>
              </w:rPr>
              <w:t>förklaringen ”Women in Digital”</w:t>
            </w:r>
            <w:r>
              <w:rPr>
                <w:noProof/>
              </w:rPr>
              <w:t xml:space="preserve"> åläggs medlemsstaterna att öka kvinnors deltagande i det digitala landskapet och att samarbeta med den offentliga och privata sektorn och det civila samhället för att uppnå jämställdhet inom tekniksektorn.</w:t>
            </w:r>
          </w:p>
          <w:p w14:paraId="780B2C61" w14:textId="2398C5E8" w:rsidR="00D3202F" w:rsidRPr="004934AD" w:rsidRDefault="00D3202F" w:rsidP="00C67017">
            <w:pPr>
              <w:pStyle w:val="Boxtitle"/>
              <w:jc w:val="both"/>
              <w:rPr>
                <w:rFonts w:ascii="Times New Roman" w:hAnsi="Times New Roman"/>
                <w:noProof/>
              </w:rPr>
            </w:pPr>
            <w:r>
              <w:rPr>
                <w:rFonts w:ascii="Times New Roman" w:hAnsi="Times New Roman"/>
                <w:noProof/>
              </w:rPr>
              <w:t>Nästa steg:</w:t>
            </w:r>
          </w:p>
          <w:p w14:paraId="51195EB4" w14:textId="6DBB39F9" w:rsidR="00D3202F" w:rsidRPr="006260B2" w:rsidRDefault="00454184" w:rsidP="00C67017">
            <w:pPr>
              <w:pStyle w:val="Paragraphedelistebullets"/>
              <w:jc w:val="both"/>
              <w:rPr>
                <w:noProof/>
              </w:rPr>
            </w:pPr>
            <w:r>
              <w:rPr>
                <w:noProof/>
              </w:rPr>
              <w:t xml:space="preserve">Översynen av </w:t>
            </w:r>
            <w:r>
              <w:rPr>
                <w:b/>
                <w:noProof/>
              </w:rPr>
              <w:t>direktivet om balans mellan arbete och privatliv</w:t>
            </w:r>
            <w:r>
              <w:rPr>
                <w:noProof/>
              </w:rPr>
              <w:t xml:space="preserve"> under 2027 kommer att utgöra en möjlighet att bedöma huruvida reglerna fortfarande är lämpliga med tanke på att arbetspraxis förändras.</w:t>
            </w:r>
          </w:p>
          <w:p w14:paraId="73FC9E03" w14:textId="5D0B8E96" w:rsidR="003606E7" w:rsidRPr="006260B2" w:rsidRDefault="00841D95" w:rsidP="00C67017">
            <w:pPr>
              <w:pStyle w:val="Paragraphedelistebullets"/>
              <w:jc w:val="both"/>
              <w:rPr>
                <w:noProof/>
              </w:rPr>
            </w:pPr>
            <w:r>
              <w:rPr>
                <w:noProof/>
              </w:rPr>
              <w:t xml:space="preserve">Inom ramen för sin jämställdhetsstrategi kommer kommissionen att anordna en </w:t>
            </w:r>
            <w:r>
              <w:rPr>
                <w:b/>
                <w:noProof/>
              </w:rPr>
              <w:t>kampanj om rätten till balans mellan arbete och privatliv</w:t>
            </w:r>
            <w:r>
              <w:rPr>
                <w:noProof/>
              </w:rPr>
              <w:t xml:space="preserve"> för att öka arbetande föräldrars och anhörigvårdares medvetenhet om sina rättigheter samt inleda en ansökningsomgång inom ramen för </w:t>
            </w:r>
            <w:r>
              <w:rPr>
                <w:b/>
                <w:noProof/>
              </w:rPr>
              <w:t>programmet för medborgare, jämlikhet, rättigheter och värden</w:t>
            </w:r>
            <w:r>
              <w:rPr>
                <w:noProof/>
              </w:rPr>
              <w:t xml:space="preserve"> avseende projekt som syftar till att främja familjevänliga arbetstidslösningar och erkänna värdet av omsorg.</w:t>
            </w:r>
          </w:p>
          <w:p w14:paraId="28350766" w14:textId="7A9CC6D6" w:rsidR="00332F6F" w:rsidRPr="006260B2" w:rsidRDefault="00B6439C" w:rsidP="00C67017">
            <w:pPr>
              <w:pStyle w:val="Paragraphedelistebullets"/>
              <w:jc w:val="both"/>
              <w:rPr>
                <w:noProof/>
              </w:rPr>
            </w:pPr>
            <w:r>
              <w:rPr>
                <w:noProof/>
              </w:rPr>
              <w:t xml:space="preserve">Senast i juni 2024 förväntas medlemsstaterna informera kommissionen om de åtgärder som genomförts eller planeras inom ramen för </w:t>
            </w:r>
            <w:r>
              <w:rPr>
                <w:b/>
                <w:noProof/>
              </w:rPr>
              <w:t>rådets rekommendation om förskoleverksamhet och barnomsorg</w:t>
            </w:r>
            <w:r>
              <w:rPr>
                <w:noProof/>
              </w:rPr>
              <w:t xml:space="preserve"> för att uppnå de överenskomna målen för 2030.</w:t>
            </w:r>
          </w:p>
        </w:tc>
      </w:tr>
    </w:tbl>
    <w:p w14:paraId="29B9366A" w14:textId="031FE9D9" w:rsidR="009C741F" w:rsidRPr="00C67017" w:rsidRDefault="00DF1397" w:rsidP="00B36950">
      <w:pPr>
        <w:pStyle w:val="Heading2"/>
        <w:rPr>
          <w:noProof/>
        </w:rPr>
      </w:pPr>
      <w:r>
        <w:rPr>
          <w:noProof/>
        </w:rPr>
        <w:t>Stödja och ge de yngre generationerna möjlighet att blomstra</w:t>
      </w:r>
    </w:p>
    <w:p w14:paraId="48B42396" w14:textId="3D63AFA5" w:rsidR="005B2947" w:rsidRPr="00A56B91" w:rsidRDefault="0051300E" w:rsidP="002E727D">
      <w:pPr>
        <w:rPr>
          <w:rFonts w:ascii="Times New Roman" w:hAnsi="Times New Roman" w:cs="Times New Roman"/>
          <w:noProof/>
          <w:color w:val="000000" w:themeColor="text1"/>
          <w:sz w:val="24"/>
        </w:rPr>
      </w:pPr>
      <w:r>
        <w:rPr>
          <w:rFonts w:ascii="Times New Roman" w:hAnsi="Times New Roman"/>
          <w:b/>
          <w:noProof/>
          <w:sz w:val="24"/>
        </w:rPr>
        <w:t>Ungas potential har ännu inte förverkligats fullt ut i EU.</w:t>
      </w:r>
      <w:r>
        <w:rPr>
          <w:rFonts w:ascii="Times New Roman" w:hAnsi="Times New Roman"/>
          <w:noProof/>
          <w:sz w:val="24"/>
        </w:rPr>
        <w:t xml:space="preserve"> År 2022 var det i EU mer än en av tio personer i åldern 15–29 som varken arbetade eller studerade</w:t>
      </w:r>
      <w:r>
        <w:rPr>
          <w:rStyle w:val="FootnoteReference"/>
          <w:rFonts w:ascii="Times New Roman" w:hAnsi="Times New Roman" w:cs="Times New Roman"/>
          <w:noProof/>
          <w:sz w:val="24"/>
          <w:lang w:val="en-IE"/>
        </w:rPr>
        <w:footnoteReference w:id="29"/>
      </w:r>
      <w:r>
        <w:rPr>
          <w:rFonts w:ascii="Times New Roman" w:hAnsi="Times New Roman"/>
          <w:noProof/>
          <w:sz w:val="24"/>
        </w:rPr>
        <w:t xml:space="preserve">, vilket inbegriper 13,1 % av unga kvinnor, 20 % av de som är födda utanför EU och 56 % av unga romer i åldern 16–24 år. Detta problem visar på stora territoriella skillnader inom EU, med särskilt många unga som varken arbetar eller studerar i EU:s södra och östra regioner samt i Frankrikes yttersta randområden. I vissa av dessa regioner var det över en fjärdedel av alla ungdomar som varken arbetade eller studerade. Unga personer från familjer med mindre gynnad bakgrund, till exempel de som har föräldrar med låg utbildningsnivå, tenderar att prestera sämre i skolan och löper större risk att hoppa av skolan i förtid. Att varken gå i skolan eller ha ett arbete gör att ungdomar går miste om erfarenhet och lärande på arbetsplatsen, vilket kan påverka deras anställningsmöjligheter på lång sikt. </w:t>
      </w:r>
      <w:r>
        <w:rPr>
          <w:rFonts w:ascii="Times New Roman" w:hAnsi="Times New Roman"/>
          <w:noProof/>
          <w:color w:val="000000" w:themeColor="text1"/>
          <w:sz w:val="24"/>
        </w:rPr>
        <w:t>Detta försämrar försörjningskvoten för den aktiva, arbetande delen av befolkningen i förhållande till dem som inte arbetar.</w:t>
      </w:r>
    </w:p>
    <w:p w14:paraId="699B3A40" w14:textId="08F2A467" w:rsidR="00683F60" w:rsidRPr="00A56B91" w:rsidRDefault="00683F60" w:rsidP="00683F60">
      <w:pPr>
        <w:pStyle w:val="Subtitle"/>
        <w:rPr>
          <w:rFonts w:ascii="Times New Roman" w:hAnsi="Times New Roman"/>
          <w:noProof/>
          <w:sz w:val="24"/>
          <w:szCs w:val="24"/>
        </w:rPr>
      </w:pPr>
      <w:r>
        <w:rPr>
          <w:rFonts w:ascii="Times New Roman" w:hAnsi="Times New Roman"/>
          <w:noProof/>
          <w:sz w:val="24"/>
        </w:rPr>
        <w:t>Unga (15–29 år) som varken arbetar eller studerar, 2022</w:t>
      </w:r>
    </w:p>
    <w:p w14:paraId="39DE916F" w14:textId="5B8A27B4" w:rsidR="00AA6308" w:rsidRPr="00A56B91" w:rsidRDefault="007B2105" w:rsidP="002E727D">
      <w:pPr>
        <w:rPr>
          <w:rFonts w:ascii="Times New Roman" w:hAnsi="Times New Roman" w:cs="Times New Roman"/>
          <w:noProof/>
          <w:sz w:val="24"/>
        </w:rPr>
      </w:pPr>
      <w:r w:rsidRPr="007B2105">
        <w:rPr>
          <w:noProof/>
          <w:lang w:val="en-GB" w:eastAsia="en-GB"/>
        </w:rPr>
        <w:drawing>
          <wp:inline distT="0" distB="0" distL="0" distR="0" wp14:anchorId="5F1E31AD" wp14:editId="6ED7D414">
            <wp:extent cx="5943600" cy="2000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000250"/>
                    </a:xfrm>
                    <a:prstGeom prst="rect">
                      <a:avLst/>
                    </a:prstGeom>
                    <a:noFill/>
                    <a:ln>
                      <a:noFill/>
                    </a:ln>
                  </pic:spPr>
                </pic:pic>
              </a:graphicData>
            </a:graphic>
          </wp:inline>
        </w:drawing>
      </w:r>
      <w:r w:rsidR="661962E0">
        <w:rPr>
          <w:rFonts w:ascii="Times New Roman" w:hAnsi="Times New Roman"/>
          <w:b/>
          <w:noProof/>
          <w:sz w:val="24"/>
        </w:rPr>
        <w:t xml:space="preserve">Att stärka unga människor börjar med främjandet av en utvecklande miljö för alla barn. </w:t>
      </w:r>
      <w:r w:rsidR="661962E0">
        <w:rPr>
          <w:rFonts w:ascii="Times New Roman" w:hAnsi="Times New Roman"/>
          <w:noProof/>
          <w:sz w:val="24"/>
        </w:rPr>
        <w:t>Barn måste skyddas, stödjas och ges egenmakt. Detta är av särskild vikt under utvecklingsåren i ett barns liv.</w:t>
      </w:r>
      <w:r w:rsidR="661962E0">
        <w:rPr>
          <w:rFonts w:ascii="Times New Roman" w:hAnsi="Times New Roman"/>
          <w:b/>
          <w:noProof/>
          <w:sz w:val="24"/>
        </w:rPr>
        <w:t xml:space="preserve"> </w:t>
      </w:r>
      <w:r w:rsidR="661962E0">
        <w:rPr>
          <w:rFonts w:ascii="Times New Roman" w:hAnsi="Times New Roman"/>
          <w:noProof/>
          <w:sz w:val="24"/>
        </w:rPr>
        <w:t xml:space="preserve">Viktiga politiska lösningar, utöver inkomststöd till barnfamiljer, omfattar garanterad tillgång till inkluderande tjänster av hög kvalitet för barn, särskilt förskoleverksamhet och barnomsorg, grundläggande utbildning (inklusive skolbaserade aktiviteter), hälso- och sjukvård och näringsrik kost. Bland annat investerar </w:t>
      </w:r>
      <w:r w:rsidR="661962E0">
        <w:rPr>
          <w:rFonts w:ascii="Times New Roman" w:hAnsi="Times New Roman"/>
          <w:b/>
          <w:noProof/>
          <w:sz w:val="24"/>
        </w:rPr>
        <w:t>Bulgarien</w:t>
      </w:r>
      <w:r w:rsidR="661962E0">
        <w:rPr>
          <w:rFonts w:ascii="Times New Roman" w:hAnsi="Times New Roman"/>
          <w:noProof/>
          <w:sz w:val="24"/>
        </w:rPr>
        <w:t xml:space="preserve"> 245 miljoner euro från faciliteten för återhämtning och resiliens för att modernisera undervisningsverktygen och förbättra inlärningen av ämnena naturvetenskap, teknik, ingenjörsvetenskap och matematik (STEM) i skolorna genom inrättandet av ett nationellt och tre regionala STEM-centrum samt över 2 200 STEM-laboratorier och högteknologiska klassrum. Ungdomar med mångsidiga eller flera sårbarheter, t.ex. elever som hoppar av skolan i förtid eller ungdomar med funktionsnedsättning eller hälsoproblem, bör få anpassat stöd. </w:t>
      </w:r>
    </w:p>
    <w:p w14:paraId="1DD8F516" w14:textId="3A03A1A1" w:rsidR="005F609A" w:rsidRPr="00A56B91" w:rsidRDefault="00593288" w:rsidP="00C67017">
      <w:pPr>
        <w:spacing w:after="0" w:line="240" w:lineRule="auto"/>
        <w:rPr>
          <w:rFonts w:ascii="Times New Roman" w:hAnsi="Times New Roman" w:cs="Times New Roman"/>
          <w:noProof/>
          <w:sz w:val="24"/>
        </w:rPr>
      </w:pPr>
      <w:r>
        <w:rPr>
          <w:rFonts w:ascii="Times New Roman" w:hAnsi="Times New Roman"/>
          <w:b/>
          <w:noProof/>
          <w:sz w:val="24"/>
        </w:rPr>
        <w:t>Att förbättra ungas tillgång till jobb av god kvalitet, ekonomiskt överkomliga bostäder och möjlighet till en anständig levnadsstandard är avgörande för deras möjligheter på lång sikt.</w:t>
      </w:r>
      <w:r>
        <w:rPr>
          <w:rFonts w:ascii="Times New Roman" w:hAnsi="Times New Roman"/>
          <w:noProof/>
          <w:sz w:val="24"/>
        </w:rPr>
        <w:t xml:space="preserve"> Det behövs investeringar i utbildning för att mobilisera ungdomar och utrusta dem med grundläggande färdigheter som behövs i framtiden, till exempel för den gröna och den digitala omställningen, vilket gjordes i </w:t>
      </w:r>
      <w:r>
        <w:rPr>
          <w:rFonts w:ascii="Times New Roman" w:hAnsi="Times New Roman"/>
          <w:b/>
          <w:noProof/>
          <w:sz w:val="24"/>
        </w:rPr>
        <w:t>Italien</w:t>
      </w:r>
      <w:r>
        <w:rPr>
          <w:rFonts w:ascii="Times New Roman" w:hAnsi="Times New Roman"/>
          <w:noProof/>
          <w:sz w:val="24"/>
        </w:rPr>
        <w:t xml:space="preserve"> genom initiativet ”Skola 4.0”, som syftade till att omvandla 100 000 klassrum till innovativa platser för lärande. Såsom betonas i 2023 års strategiska framsynsrapport behöver EU robusta verktyg för att kunna ta fram en detaljerad prognos av kompetens och arbetskraftsbehov inom nyckelsektorer för att kunna hantera befolkningsutvecklingen. </w:t>
      </w:r>
      <w:r>
        <w:rPr>
          <w:rFonts w:ascii="Times New Roman" w:hAnsi="Times New Roman"/>
          <w:noProof/>
          <w:color w:val="000000" w:themeColor="text1"/>
          <w:sz w:val="24"/>
        </w:rPr>
        <w:t xml:space="preserve">För att underlätta övergången från skola till arbete spelar dessutom utåtriktad verksamhet till ungdomar en viktig roll. Bland annat </w:t>
      </w:r>
      <w:r>
        <w:rPr>
          <w:rFonts w:ascii="Times New Roman" w:hAnsi="Times New Roman"/>
          <w:b/>
          <w:noProof/>
          <w:color w:val="000000" w:themeColor="text1"/>
          <w:sz w:val="24"/>
        </w:rPr>
        <w:t>Slovenien</w:t>
      </w:r>
      <w:r>
        <w:rPr>
          <w:rFonts w:ascii="Times New Roman" w:hAnsi="Times New Roman"/>
          <w:noProof/>
          <w:color w:val="000000" w:themeColor="text1"/>
          <w:sz w:val="24"/>
        </w:rPr>
        <w:t xml:space="preserve"> har sådan verksamhet i form av lokala ”ungdomsambassadörer” som informerar sina jämnåriga om möjligheterna inom ramen för ungdomsgarantin, samt praktikplatser av god kvalitet och yrkesutbildning, inklusive lärlingsutbildningar.</w:t>
      </w:r>
      <w:r>
        <w:rPr>
          <w:rFonts w:ascii="Times New Roman" w:hAnsi="Times New Roman"/>
          <w:noProof/>
          <w:sz w:val="24"/>
        </w:rPr>
        <w:t xml:space="preserve"> Tillfällig rörlighet mellan regioner och länder i utbildningssyfte kan öka ungas möjligheter. Förutom förbättrad integration på arbetsmarknaden är också tillgången till grundläggande tjänster (inklusive psykisk vård) och energieffektiva bostäder till rimliga priser avgörande för ungdomars möjligheter att bilda familj. I </w:t>
      </w:r>
      <w:r>
        <w:rPr>
          <w:rFonts w:ascii="Times New Roman" w:hAnsi="Times New Roman"/>
          <w:b/>
          <w:noProof/>
          <w:sz w:val="24"/>
        </w:rPr>
        <w:t>Ungern</w:t>
      </w:r>
      <w:r>
        <w:rPr>
          <w:rFonts w:ascii="Times New Roman" w:hAnsi="Times New Roman"/>
          <w:noProof/>
          <w:sz w:val="24"/>
        </w:rPr>
        <w:t xml:space="preserve"> är bostadsbidraget för familjer ett icke återbetalningspliktigt statligt stöd till familjer med minst ett barn, inbegripet par av samma kön, för att köpa eller bygga ut en lägenhet eller ett hus. Familjer i mindre samhällen är berättigade till bostadsbidrag för bostäder på landsbygden för att få befolkningen att stanna kvar i landsbygdsområden. Regioner som befinner sig i en ”kompetensutvecklingsfälla” (eller som löper risk för detta) behöver riktat, platsbaserat stöd till ekonomisk förnyelse, utbildningsmöjligheter och bättre tillgång till tjänster och bostäder.</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22"/>
      </w:tblGrid>
      <w:tr w:rsidR="00FA6748" w:rsidRPr="0018291D" w14:paraId="39F805C9" w14:textId="77777777" w:rsidTr="0076202B">
        <w:tc>
          <w:tcPr>
            <w:tcW w:w="9322" w:type="dxa"/>
            <w:shd w:val="clear" w:color="auto" w:fill="FFF2CC" w:themeFill="accent1" w:themeFillTint="33"/>
          </w:tcPr>
          <w:p w14:paraId="6EF4CB05" w14:textId="47244558" w:rsidR="0017277F" w:rsidRPr="0018291D" w:rsidRDefault="6EFA3BBA" w:rsidP="00C67017">
            <w:pPr>
              <w:pStyle w:val="Boxtitle"/>
              <w:jc w:val="both"/>
              <w:rPr>
                <w:rFonts w:ascii="Times New Roman" w:hAnsi="Times New Roman"/>
                <w:noProof/>
              </w:rPr>
            </w:pPr>
            <w:r>
              <w:rPr>
                <w:rFonts w:ascii="Times New Roman" w:hAnsi="Times New Roman"/>
                <w:noProof/>
              </w:rPr>
              <w:t>Viktiga verktyg på EU-nivå:</w:t>
            </w:r>
          </w:p>
          <w:p w14:paraId="401D617F" w14:textId="08D6B46F" w:rsidR="0017277F" w:rsidRPr="006260B2" w:rsidRDefault="0050308B" w:rsidP="00C67017">
            <w:pPr>
              <w:pStyle w:val="Paragraphedelistebullets"/>
              <w:jc w:val="both"/>
              <w:rPr>
                <w:noProof/>
              </w:rPr>
            </w:pPr>
            <w:r>
              <w:rPr>
                <w:noProof/>
              </w:rPr>
              <w:t xml:space="preserve">Inom ramen för EU:s strategi för barnets rättigheter syftar den </w:t>
            </w:r>
            <w:r>
              <w:rPr>
                <w:b/>
                <w:noProof/>
              </w:rPr>
              <w:t>europeiska barngarantin</w:t>
            </w:r>
            <w:r>
              <w:rPr>
                <w:rStyle w:val="FootnoteReference"/>
                <w:noProof/>
              </w:rPr>
              <w:footnoteReference w:id="30"/>
            </w:r>
            <w:r>
              <w:rPr>
                <w:noProof/>
              </w:rPr>
              <w:t xml:space="preserve"> till att ta itu med social utestängning genom att garantera behövande barn tillgång till grundläggande tjänster, inbegripet kostnadsfri tillgång till förskola och barnomsorg. </w:t>
            </w:r>
          </w:p>
          <w:p w14:paraId="42322785" w14:textId="0BA40038" w:rsidR="0017277F" w:rsidRPr="006260B2" w:rsidRDefault="0017277F" w:rsidP="00C67017">
            <w:pPr>
              <w:pStyle w:val="Paragraphedelistebullets"/>
              <w:jc w:val="both"/>
              <w:rPr>
                <w:noProof/>
              </w:rPr>
            </w:pPr>
            <w:r>
              <w:rPr>
                <w:noProof/>
              </w:rPr>
              <w:t xml:space="preserve">Inom det </w:t>
            </w:r>
            <w:r>
              <w:rPr>
                <w:b/>
                <w:noProof/>
              </w:rPr>
              <w:t>europeiska området för utbildning</w:t>
            </w:r>
            <w:r>
              <w:rPr>
                <w:noProof/>
              </w:rPr>
              <w:t xml:space="preserve"> fastställs sju mål för 2025 och 2030</w:t>
            </w:r>
            <w:r>
              <w:rPr>
                <w:rStyle w:val="FootnoteReference"/>
                <w:noProof/>
              </w:rPr>
              <w:footnoteReference w:id="31"/>
            </w:r>
            <w:r>
              <w:rPr>
                <w:noProof/>
              </w:rPr>
              <w:t>, bland annat avseende deltagande i förskoleverksamhet och barnomsorg, elever som lämnar skolan i förtid och underpresterande elever.</w:t>
            </w:r>
          </w:p>
          <w:p w14:paraId="395F0B5B" w14:textId="385C6425" w:rsidR="00571009" w:rsidRPr="006260B2" w:rsidRDefault="005D778C" w:rsidP="00C67017">
            <w:pPr>
              <w:pStyle w:val="Paragraphedelistebullets"/>
              <w:jc w:val="both"/>
              <w:rPr>
                <w:noProof/>
              </w:rPr>
            </w:pPr>
            <w:r>
              <w:rPr>
                <w:b/>
                <w:noProof/>
              </w:rPr>
              <w:t>Paketet för stöd till ungdomssysselsättning</w:t>
            </w:r>
            <w:r>
              <w:rPr>
                <w:rStyle w:val="FootnoteReference"/>
                <w:noProof/>
              </w:rPr>
              <w:footnoteReference w:id="32"/>
            </w:r>
            <w:r>
              <w:rPr>
                <w:noProof/>
              </w:rPr>
              <w:t xml:space="preserve"> stärker </w:t>
            </w:r>
            <w:r>
              <w:rPr>
                <w:b/>
                <w:noProof/>
              </w:rPr>
              <w:t>ungdomsgarantin</w:t>
            </w:r>
            <w:r>
              <w:rPr>
                <w:rStyle w:val="FootnoteReference"/>
                <w:noProof/>
              </w:rPr>
              <w:footnoteReference w:id="33"/>
            </w:r>
            <w:r>
              <w:rPr>
                <w:noProof/>
              </w:rPr>
              <w:t xml:space="preserve"> och förbättrar integreringen av unga på arbetsmarknaden, bland annat genom att stärka kompetensen för den digitala och gröna omställningen.</w:t>
            </w:r>
          </w:p>
          <w:p w14:paraId="3FC2184D" w14:textId="4634CD83" w:rsidR="00E96168" w:rsidRPr="006260B2" w:rsidRDefault="00571009" w:rsidP="00C67017">
            <w:pPr>
              <w:pStyle w:val="Paragraphedelistebullets"/>
              <w:jc w:val="both"/>
              <w:rPr>
                <w:noProof/>
              </w:rPr>
            </w:pPr>
            <w:r>
              <w:rPr>
                <w:b/>
                <w:noProof/>
              </w:rPr>
              <w:t>Rådets rekommendation om yrkesutbildning</w:t>
            </w:r>
            <w:r>
              <w:rPr>
                <w:noProof/>
              </w:rPr>
              <w:t xml:space="preserve"> syftar till att modernisera yrkesutbildningen och stärka insatserna för lärlingsutbildningar och den europeiska ramen för ändamålsenliga lärlingsutbildningar av god kvalitet.</w:t>
            </w:r>
          </w:p>
          <w:p w14:paraId="12DDA6F2" w14:textId="297B5234" w:rsidR="00F07E1C" w:rsidRPr="006260B2" w:rsidRDefault="00F52F90" w:rsidP="00C67017">
            <w:pPr>
              <w:pStyle w:val="Paragraphedelistebullets"/>
              <w:jc w:val="both"/>
              <w:rPr>
                <w:noProof/>
              </w:rPr>
            </w:pPr>
            <w:r>
              <w:rPr>
                <w:b/>
                <w:noProof/>
              </w:rPr>
              <w:t>Initiativet ALMA (Aim, Learn, Master, Achieve)</w:t>
            </w:r>
            <w:r>
              <w:rPr>
                <w:noProof/>
              </w:rPr>
              <w:t xml:space="preserve"> är ett gränsöverskridande program för ungdomars rörlighet som syftar till att hjälpa ungdomar och unga som varken arbetar eller studerar att integreras på arbetsmarknaden.</w:t>
            </w:r>
          </w:p>
          <w:p w14:paraId="7DBD0359" w14:textId="7B6D35B8" w:rsidR="00A202F7" w:rsidRPr="006260B2" w:rsidRDefault="00A202F7" w:rsidP="00C67017">
            <w:pPr>
              <w:pStyle w:val="Paragraphedelistebullets"/>
              <w:jc w:val="both"/>
              <w:rPr>
                <w:noProof/>
              </w:rPr>
            </w:pPr>
            <w:r>
              <w:rPr>
                <w:b/>
                <w:noProof/>
              </w:rPr>
              <w:t>Programmet för ett digitalt Europa</w:t>
            </w:r>
            <w:r>
              <w:rPr>
                <w:noProof/>
              </w:rPr>
              <w:t xml:space="preserve"> stöder specialiserade utbildningsprogram på området avancerade digitala färdigheter samt utvecklingen av digitala färdigheter bland ungdomar, särskilt flickor, bland annat genom den </w:t>
            </w:r>
            <w:r>
              <w:rPr>
                <w:b/>
                <w:noProof/>
              </w:rPr>
              <w:t>europeiska kodveckan</w:t>
            </w:r>
            <w:r>
              <w:rPr>
                <w:noProof/>
              </w:rPr>
              <w:t>.</w:t>
            </w:r>
          </w:p>
          <w:p w14:paraId="3B9F69DF" w14:textId="55AB2146" w:rsidR="00AB55C6" w:rsidRPr="008B675D" w:rsidRDefault="00AB55C6" w:rsidP="00045BA7">
            <w:pPr>
              <w:pStyle w:val="Paragraphedelistebullets"/>
              <w:jc w:val="both"/>
              <w:rPr>
                <w:noProof/>
                <w:szCs w:val="24"/>
              </w:rPr>
            </w:pPr>
            <w:r>
              <w:rPr>
                <w:b/>
                <w:noProof/>
              </w:rPr>
              <w:t>Strategin för hållbar och smart mobilitet</w:t>
            </w:r>
            <w:r>
              <w:rPr>
                <w:noProof/>
              </w:rPr>
              <w:t xml:space="preserve"> stöder utvecklingen av smarta mobilitetslösningar som bidrar till att förhindra avfolkning och ger ungdomar tillgång till grundläggande tjänster (hälso- och sjukvård, utbildning) och sysselsättningsmöjligheter.</w:t>
            </w:r>
          </w:p>
          <w:p w14:paraId="34BA2394" w14:textId="3D94316A" w:rsidR="00813F6F" w:rsidRPr="006260B2" w:rsidRDefault="00813F6F" w:rsidP="00C67017">
            <w:pPr>
              <w:pStyle w:val="Paragraphedelistebullets"/>
              <w:jc w:val="both"/>
              <w:rPr>
                <w:noProof/>
              </w:rPr>
            </w:pPr>
            <w:r>
              <w:rPr>
                <w:b/>
                <w:noProof/>
              </w:rPr>
              <w:t>Renoveringsvågen</w:t>
            </w:r>
            <w:r>
              <w:rPr>
                <w:rStyle w:val="FootnoteReference"/>
                <w:noProof/>
              </w:rPr>
              <w:footnoteReference w:id="34"/>
            </w:r>
            <w:r>
              <w:rPr>
                <w:noProof/>
              </w:rPr>
              <w:t xml:space="preserve"> syftar till att fördubbla den årliga energirenoveringstakten under de kommande tio åren. </w:t>
            </w:r>
            <w:r>
              <w:rPr>
                <w:b/>
                <w:noProof/>
              </w:rPr>
              <w:t>Initiativet för bostäder till rimliga priser</w:t>
            </w:r>
            <w:r>
              <w:rPr>
                <w:noProof/>
              </w:rPr>
              <w:t xml:space="preserve"> syftar till att förbättra tillgången till bostäder till rimliga priser genom lokala projekts tillgång till teknisk kapacitet och innovationskapacitet.</w:t>
            </w:r>
          </w:p>
          <w:p w14:paraId="0707C671" w14:textId="6E94FDF7" w:rsidR="0098411B" w:rsidRPr="006260B2" w:rsidRDefault="00E7265B" w:rsidP="00C67017">
            <w:pPr>
              <w:pStyle w:val="Paragraphedelistebullets"/>
              <w:jc w:val="both"/>
              <w:rPr>
                <w:noProof/>
              </w:rPr>
            </w:pPr>
            <w:r>
              <w:rPr>
                <w:rStyle w:val="normaltextrun"/>
                <w:b/>
                <w:noProof/>
              </w:rPr>
              <w:t>Mekanismen för talangsatsningar</w:t>
            </w:r>
            <w:r>
              <w:rPr>
                <w:rStyle w:val="normaltextrun"/>
                <w:noProof/>
              </w:rPr>
              <w:t xml:space="preserve"> hjälper EU:s regioner att utbilda, behålla och locka människor samt att hantera effekterna av den demografiska omställningen.</w:t>
            </w:r>
            <w:r>
              <w:rPr>
                <w:noProof/>
              </w:rPr>
              <w:t xml:space="preserve"> </w:t>
            </w:r>
          </w:p>
          <w:p w14:paraId="7C65C830" w14:textId="27B2C7E9" w:rsidR="00B13C74" w:rsidRPr="006260B2" w:rsidRDefault="00D51DD5" w:rsidP="00C67017">
            <w:pPr>
              <w:pStyle w:val="Paragraphedelistebullets"/>
              <w:jc w:val="both"/>
              <w:rPr>
                <w:noProof/>
              </w:rPr>
            </w:pPr>
            <w:r>
              <w:rPr>
                <w:b/>
                <w:noProof/>
              </w:rPr>
              <w:t>EU:s/OECD-INFE:s ram för finansiell kompetens för barn och unga i EU</w:t>
            </w:r>
            <w:r>
              <w:rPr>
                <w:noProof/>
              </w:rPr>
              <w:t xml:space="preserve"> syftar till att förbättra deras kunskaper inom finanskunskap så att de kan fatta beslut om pengar som ligger i deras egna bästa intresse, även senare i livet. </w:t>
            </w:r>
          </w:p>
          <w:p w14:paraId="7603DE88" w14:textId="4C5A8E7E" w:rsidR="006A1DFF" w:rsidRPr="0018291D" w:rsidRDefault="006A1DFF" w:rsidP="00C67017">
            <w:pPr>
              <w:pStyle w:val="Boxtitle"/>
              <w:jc w:val="both"/>
              <w:rPr>
                <w:rFonts w:ascii="Times New Roman" w:hAnsi="Times New Roman"/>
                <w:noProof/>
              </w:rPr>
            </w:pPr>
            <w:r>
              <w:rPr>
                <w:rFonts w:ascii="Times New Roman" w:hAnsi="Times New Roman"/>
                <w:noProof/>
              </w:rPr>
              <w:t>Nästa steg:</w:t>
            </w:r>
          </w:p>
          <w:p w14:paraId="4719C9F8" w14:textId="6ED4ED61" w:rsidR="00FA6748" w:rsidRPr="008B675D" w:rsidRDefault="00FA6748" w:rsidP="00045BA7">
            <w:pPr>
              <w:pStyle w:val="Paragraphedelistebullets"/>
              <w:jc w:val="both"/>
              <w:rPr>
                <w:noProof/>
                <w:szCs w:val="24"/>
              </w:rPr>
            </w:pPr>
            <w:r>
              <w:rPr>
                <w:noProof/>
              </w:rPr>
              <w:t xml:space="preserve">I början av 2024 kommer kommissionen att uppdatera </w:t>
            </w:r>
            <w:r>
              <w:rPr>
                <w:b/>
                <w:noProof/>
              </w:rPr>
              <w:t>kvalitetskriterierna för praktikprogram</w:t>
            </w:r>
            <w:r>
              <w:rPr>
                <w:noProof/>
              </w:rPr>
              <w:t>, som stöder ungdomars övergång från utbildning och arbetslöshet till sysselsättning genom praktikplatser av god kvalitet.</w:t>
            </w:r>
          </w:p>
          <w:p w14:paraId="2423620C" w14:textId="7517310C" w:rsidR="007975A1" w:rsidRPr="006260B2" w:rsidRDefault="00CF252E" w:rsidP="00C67017">
            <w:pPr>
              <w:pStyle w:val="Paragraphedelistebullets"/>
              <w:jc w:val="both"/>
              <w:rPr>
                <w:noProof/>
              </w:rPr>
            </w:pPr>
            <w:r>
              <w:rPr>
                <w:noProof/>
              </w:rPr>
              <w:t xml:space="preserve">24 medlemsstater har inom ramen för den </w:t>
            </w:r>
            <w:r>
              <w:rPr>
                <w:b/>
                <w:noProof/>
              </w:rPr>
              <w:t>europeiska barngarantin</w:t>
            </w:r>
            <w:r>
              <w:rPr>
                <w:noProof/>
              </w:rPr>
              <w:t xml:space="preserve"> lämnat in nationella handlingsplaner. Medlemsstaterna kommer att rapportera om sina framsteg med genomförandet vartannat år (med början i mars 2024), och kommissionen kommer att se över de övergripande framstegen under 2026. </w:t>
            </w:r>
          </w:p>
          <w:p w14:paraId="2BDE8A12" w14:textId="50A481E2" w:rsidR="009602FF" w:rsidRPr="006260B2" w:rsidRDefault="000E4590" w:rsidP="00C67017">
            <w:pPr>
              <w:pStyle w:val="Paragraphedelistebullets"/>
              <w:jc w:val="both"/>
              <w:rPr>
                <w:noProof/>
              </w:rPr>
            </w:pPr>
            <w:r>
              <w:rPr>
                <w:noProof/>
              </w:rPr>
              <w:t xml:space="preserve">År 2023 genomförs en halvtidsöversyn av det </w:t>
            </w:r>
            <w:r>
              <w:rPr>
                <w:b/>
                <w:noProof/>
              </w:rPr>
              <w:t>europeiska området för utbildning</w:t>
            </w:r>
            <w:r>
              <w:rPr>
                <w:noProof/>
              </w:rPr>
              <w:t xml:space="preserve"> som stöd för genomförandet. År 2025 kommer kommissionen att offentliggöra en slutrapport om det europeiska området för utbildning.</w:t>
            </w:r>
          </w:p>
          <w:p w14:paraId="2F9F9F4D" w14:textId="5456578B" w:rsidR="00C86873" w:rsidRPr="006260B2" w:rsidRDefault="00D15736" w:rsidP="00C67017">
            <w:pPr>
              <w:pStyle w:val="Paragraphedelistebullets"/>
              <w:jc w:val="both"/>
              <w:rPr>
                <w:noProof/>
              </w:rPr>
            </w:pPr>
            <w:r>
              <w:rPr>
                <w:noProof/>
              </w:rPr>
              <w:t xml:space="preserve">Kommissionen övervakar framstegen mot de mål för 2025 som fastställs i den </w:t>
            </w:r>
            <w:r>
              <w:rPr>
                <w:b/>
                <w:noProof/>
              </w:rPr>
              <w:t>europeiska kompetensagendan</w:t>
            </w:r>
            <w:r>
              <w:rPr>
                <w:noProof/>
              </w:rPr>
              <w:t>.</w:t>
            </w:r>
          </w:p>
          <w:p w14:paraId="159616DE" w14:textId="309CD173" w:rsidR="005831F1" w:rsidRPr="006260B2" w:rsidRDefault="00032F0D" w:rsidP="00C67017">
            <w:pPr>
              <w:pStyle w:val="Paragraphedelistebullets"/>
              <w:jc w:val="both"/>
              <w:rPr>
                <w:noProof/>
              </w:rPr>
            </w:pPr>
            <w:r>
              <w:rPr>
                <w:noProof/>
              </w:rPr>
              <w:t xml:space="preserve">Kommissionens senaste förslag till </w:t>
            </w:r>
            <w:r>
              <w:rPr>
                <w:b/>
                <w:noProof/>
              </w:rPr>
              <w:t>rådets rekommendationer</w:t>
            </w:r>
            <w:r>
              <w:rPr>
                <w:noProof/>
              </w:rPr>
              <w:t xml:space="preserve"> kommer, om medlemsstaterna samtycker till detta, att hjälpa nationella myndigheter och utbildningssektorn att tillhandahålla inkluderande och tillgänglig </w:t>
            </w:r>
            <w:r>
              <w:rPr>
                <w:b/>
                <w:noProof/>
              </w:rPr>
              <w:t>digital utbildning</w:t>
            </w:r>
            <w:r>
              <w:rPr>
                <w:noProof/>
              </w:rPr>
              <w:t xml:space="preserve"> av hög kvalitet för att utveckla de europeiska medborgarnas </w:t>
            </w:r>
            <w:r>
              <w:rPr>
                <w:b/>
                <w:noProof/>
              </w:rPr>
              <w:t>digitala färdigheter</w:t>
            </w:r>
            <w:r>
              <w:rPr>
                <w:noProof/>
              </w:rPr>
              <w:t>.</w:t>
            </w:r>
          </w:p>
        </w:tc>
      </w:tr>
    </w:tbl>
    <w:p w14:paraId="62C17725" w14:textId="6CC49EEA" w:rsidR="00FC5346" w:rsidRPr="00C67017" w:rsidRDefault="002414F2" w:rsidP="00B36950">
      <w:pPr>
        <w:pStyle w:val="Heading2"/>
        <w:rPr>
          <w:noProof/>
        </w:rPr>
      </w:pPr>
      <w:r>
        <w:rPr>
          <w:noProof/>
        </w:rPr>
        <w:t>Stärka äldre generationer och upprätthålla deras välfärd</w:t>
      </w:r>
    </w:p>
    <w:p w14:paraId="1A8CFCF6" w14:textId="19907A4F" w:rsidR="006E0510" w:rsidRDefault="008B07E8" w:rsidP="002E727D">
      <w:pPr>
        <w:rPr>
          <w:rStyle w:val="normaltextrun"/>
          <w:rFonts w:ascii="Times New Roman" w:hAnsi="Times New Roman" w:cs="Times New Roman"/>
          <w:b/>
          <w:bCs/>
          <w:noProof/>
          <w:color w:val="000000"/>
          <w:sz w:val="24"/>
          <w:shd w:val="clear" w:color="auto" w:fill="FFFFFF"/>
        </w:rPr>
      </w:pPr>
      <w:r>
        <w:rPr>
          <w:rStyle w:val="normaltextrun"/>
          <w:rFonts w:ascii="Times New Roman" w:hAnsi="Times New Roman"/>
          <w:b/>
          <w:noProof/>
          <w:color w:val="000000"/>
          <w:sz w:val="24"/>
          <w:shd w:val="clear" w:color="auto" w:fill="FFFFFF"/>
        </w:rPr>
        <w:t xml:space="preserve">I ett åldrande samhälle är det mycket viktigt att ge äldre arbetstagare möjlighet att förbli aktiva längre. </w:t>
      </w:r>
      <w:r>
        <w:rPr>
          <w:rFonts w:ascii="Times New Roman" w:hAnsi="Times New Roman"/>
          <w:noProof/>
          <w:sz w:val="24"/>
        </w:rPr>
        <w:t>Den genomsnittliga sysselsättningsgraden bland arbetstagare mellan 55 och 64 år har ökat från 45 % 2011 till 60,5 % 2021. Skillnaderna mellan medlemsstaterna är dock fortfarande stora, vilket tyder på att det fortfarande finns utrymme för förbättringar.</w:t>
      </w:r>
      <w:r>
        <w:rPr>
          <w:rStyle w:val="normaltextrun"/>
          <w:rFonts w:ascii="Times New Roman" w:hAnsi="Times New Roman"/>
          <w:b/>
          <w:noProof/>
          <w:color w:val="000000"/>
          <w:sz w:val="24"/>
          <w:shd w:val="clear" w:color="auto" w:fill="FFFFFF"/>
        </w:rPr>
        <w:t xml:space="preserve"> </w:t>
      </w:r>
      <w:r>
        <w:rPr>
          <w:rFonts w:ascii="Times New Roman" w:hAnsi="Times New Roman"/>
          <w:noProof/>
          <w:sz w:val="24"/>
        </w:rPr>
        <w:t xml:space="preserve">Ett längre arbetsliv kan göra det möjligt för människor att uppdatera sina färdigheter på jobbet och förbli aktiva, vilket hjälper arbetsgivarna att behålla personal, samtidigt som kunskapsöverföring i generationsöverskridande arbetskraft främjas. Flexibla arbetstidslösningar, till exempel flexibel eller förkortad arbetstid, bidrar till att äldre arbetstagare stannar kvar och gör det möjligt för människor att ha kvar sin anställning längre om de så önskar. En arbetstagares rättighet att begära flexibelt arbete (som beviljas i bl.a. </w:t>
      </w:r>
      <w:r>
        <w:rPr>
          <w:rFonts w:ascii="Times New Roman" w:hAnsi="Times New Roman"/>
          <w:b/>
          <w:noProof/>
          <w:sz w:val="24"/>
        </w:rPr>
        <w:t>Belgien, Frankrike, Tyskland och Nederländerna</w:t>
      </w:r>
      <w:r>
        <w:rPr>
          <w:rFonts w:ascii="Times New Roman" w:hAnsi="Times New Roman"/>
          <w:noProof/>
          <w:sz w:val="24"/>
        </w:rPr>
        <w:t>) kan bidra till en kulturell förändring i riktning mot mer inkluderande arbetsmetoder och arbetsplatser.</w:t>
      </w:r>
    </w:p>
    <w:p w14:paraId="7591CB69" w14:textId="77777777" w:rsidR="00400585" w:rsidRPr="00A56B91" w:rsidRDefault="00400585" w:rsidP="00C67017">
      <w:pPr>
        <w:pStyle w:val="Subtitle"/>
        <w:spacing w:before="240"/>
        <w:rPr>
          <w:rStyle w:val="SubtitleChar"/>
          <w:rFonts w:ascii="Times New Roman" w:hAnsi="Times New Roman"/>
          <w:b/>
          <w:bCs/>
          <w:caps/>
          <w:noProof/>
          <w:sz w:val="24"/>
          <w:szCs w:val="24"/>
        </w:rPr>
      </w:pPr>
      <w:r>
        <w:rPr>
          <w:rFonts w:ascii="Times New Roman" w:hAnsi="Times New Roman"/>
          <w:noProof/>
          <w:sz w:val="24"/>
        </w:rPr>
        <w:t xml:space="preserve">Sysselsättningsgrad efter </w:t>
      </w:r>
      <w:r>
        <w:rPr>
          <w:rStyle w:val="SubtitleChar"/>
          <w:rFonts w:ascii="Times New Roman" w:hAnsi="Times New Roman"/>
          <w:b/>
          <w:caps/>
          <w:noProof/>
          <w:sz w:val="24"/>
        </w:rPr>
        <w:t>åldersgrupp</w:t>
      </w:r>
      <w:r>
        <w:rPr>
          <w:rFonts w:ascii="Times New Roman" w:hAnsi="Times New Roman"/>
          <w:noProof/>
          <w:sz w:val="24"/>
        </w:rPr>
        <w:t xml:space="preserve"> (%)</w:t>
      </w:r>
    </w:p>
    <w:p w14:paraId="2B2478E8" w14:textId="7BF07D55" w:rsidR="00400585" w:rsidRPr="00A56B91" w:rsidRDefault="007B2105" w:rsidP="00400585">
      <w:pPr>
        <w:rPr>
          <w:rFonts w:ascii="Times New Roman" w:hAnsi="Times New Roman" w:cs="Times New Roman"/>
          <w:noProof/>
          <w:sz w:val="24"/>
        </w:rPr>
      </w:pPr>
      <w:r w:rsidRPr="007B2105">
        <w:rPr>
          <w:noProof/>
          <w:lang w:val="en-GB" w:eastAsia="en-GB"/>
        </w:rPr>
        <w:drawing>
          <wp:inline distT="0" distB="0" distL="0" distR="0" wp14:anchorId="50026735" wp14:editId="3AA05050">
            <wp:extent cx="5943600" cy="2559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559050"/>
                    </a:xfrm>
                    <a:prstGeom prst="rect">
                      <a:avLst/>
                    </a:prstGeom>
                    <a:noFill/>
                    <a:ln>
                      <a:noFill/>
                    </a:ln>
                  </pic:spPr>
                </pic:pic>
              </a:graphicData>
            </a:graphic>
          </wp:inline>
        </w:drawing>
      </w:r>
    </w:p>
    <w:p w14:paraId="71F11D2D" w14:textId="77777777" w:rsidR="00045BA7" w:rsidRDefault="00045BA7" w:rsidP="000A39C7">
      <w:pPr>
        <w:rPr>
          <w:rFonts w:ascii="Times New Roman" w:hAnsi="Times New Roman" w:cs="Times New Roman"/>
          <w:b/>
          <w:noProof/>
          <w:sz w:val="24"/>
          <w:lang w:val="en-IE"/>
        </w:rPr>
      </w:pPr>
    </w:p>
    <w:p w14:paraId="73EDD878" w14:textId="4F98C2CD" w:rsidR="00B97FE3" w:rsidRDefault="003E64A5" w:rsidP="000A39C7">
      <w:pPr>
        <w:rPr>
          <w:rFonts w:ascii="Times New Roman" w:hAnsi="Times New Roman" w:cs="Times New Roman"/>
          <w:noProof/>
          <w:sz w:val="24"/>
        </w:rPr>
      </w:pPr>
      <w:r>
        <w:rPr>
          <w:rFonts w:ascii="Times New Roman" w:hAnsi="Times New Roman"/>
          <w:b/>
          <w:noProof/>
          <w:sz w:val="24"/>
        </w:rPr>
        <w:t>Företag och arbetstagare måste samarbeta för att anpassa arbetsmetoder och för att ändra förutfattade meningar och bekämpa stereotyper som är generationsrelaterade.</w:t>
      </w:r>
      <w:r>
        <w:rPr>
          <w:rFonts w:ascii="Times New Roman" w:hAnsi="Times New Roman"/>
          <w:noProof/>
          <w:sz w:val="24"/>
        </w:rPr>
        <w:t xml:space="preserve"> Respekt för äldre medborgare och deras välbefinnande är en hörnsten i ett blomstrande samhälle där människor lever längre och friskare liv. I jämlikhetsunionens strategier, som antogs av kommissionen 2020 och 2021</w:t>
      </w:r>
      <w:r>
        <w:rPr>
          <w:rStyle w:val="FootnoteReference"/>
          <w:rFonts w:ascii="Times New Roman" w:hAnsi="Times New Roman" w:cs="Times New Roman"/>
          <w:noProof/>
          <w:sz w:val="24"/>
          <w:lang w:val="en-GB"/>
        </w:rPr>
        <w:footnoteReference w:id="35"/>
      </w:r>
      <w:r>
        <w:rPr>
          <w:rFonts w:ascii="Times New Roman" w:hAnsi="Times New Roman"/>
          <w:noProof/>
          <w:sz w:val="24"/>
        </w:rPr>
        <w:t xml:space="preserve">, betonas behovet av att bekämpa stereotyper och åldersbaserad diskriminering inom respektive behörighetsområde, främja mångfald och inkludering på arbetsplatsen och ge alla lika möjligheter att bidra och blomstra. Teknikens potential att skapa arbetsplatser som är anpassade till föränderliga behov under hela livet bör utnyttjas fullt ut (t.ex. ökad tillgång till ergonomiska arbetsstationer och användning av så kallade ”cobots” eller hybridmonteringssystem för att minska risken för belastningsskador). </w:t>
      </w:r>
    </w:p>
    <w:p w14:paraId="72010755" w14:textId="13A55340" w:rsidR="00843807" w:rsidRPr="00A56B91" w:rsidRDefault="006D3D0F" w:rsidP="002E727D">
      <w:pPr>
        <w:rPr>
          <w:rFonts w:ascii="Times New Roman" w:hAnsi="Times New Roman" w:cs="Times New Roman"/>
          <w:noProof/>
          <w:sz w:val="24"/>
        </w:rPr>
      </w:pPr>
      <w:r>
        <w:rPr>
          <w:rFonts w:ascii="Times New Roman" w:hAnsi="Times New Roman"/>
          <w:b/>
          <w:noProof/>
          <w:sz w:val="24"/>
        </w:rPr>
        <w:t xml:space="preserve">En åldrande befolkning kommer att leda till ökade krav på ekonomisk livscykelplanering. </w:t>
      </w:r>
      <w:r>
        <w:rPr>
          <w:rFonts w:ascii="Times New Roman" w:hAnsi="Times New Roman"/>
          <w:noProof/>
          <w:sz w:val="24"/>
        </w:rPr>
        <w:t>Ökat deltagande i kompletterande tjänstepensionssystem och privata pensionsplaner kan komplettera pensionsinkomsterna, bland annat genom strukturer som syftar till att öka andelen som ansluter sig till tjänstepensionssystem eller tecknar en paneuropeisk privat pensionsprodukt</w:t>
      </w:r>
      <w:r>
        <w:rPr>
          <w:rStyle w:val="FootnoteReference"/>
          <w:rFonts w:ascii="Times New Roman" w:hAnsi="Times New Roman" w:cs="Times New Roman"/>
          <w:noProof/>
          <w:sz w:val="24"/>
          <w:lang w:val="en-GB"/>
        </w:rPr>
        <w:footnoteReference w:id="36"/>
      </w:r>
      <w:r>
        <w:rPr>
          <w:noProof/>
        </w:rPr>
        <w:t>.</w:t>
      </w:r>
      <w:r>
        <w:rPr>
          <w:rFonts w:ascii="Times New Roman" w:hAnsi="Times New Roman"/>
          <w:noProof/>
          <w:sz w:val="24"/>
        </w:rPr>
        <w:t xml:space="preserve"> Att uppnå bättre resultat för medborgare som investerar för att förbereda sig inför framtida händelser (t.ex. pensionering, barnens utbildning eller tillgång till bostäder) är ett centralt mål för kapitalmarknadsunionen</w:t>
      </w:r>
      <w:r>
        <w:rPr>
          <w:rStyle w:val="FootnoteReference"/>
          <w:rFonts w:ascii="Times New Roman" w:hAnsi="Times New Roman"/>
          <w:noProof/>
          <w:sz w:val="24"/>
        </w:rPr>
        <w:footnoteReference w:id="37"/>
      </w:r>
      <w:r>
        <w:rPr>
          <w:noProof/>
        </w:rPr>
        <w:t>.</w:t>
      </w:r>
      <w:r>
        <w:rPr>
          <w:rFonts w:ascii="Times New Roman" w:hAnsi="Times New Roman"/>
          <w:noProof/>
          <w:sz w:val="24"/>
        </w:rPr>
        <w:t xml:space="preserve"> Den gränsöverskridande integreringen av finansiella tjänster kan också förbättra tillhandahållandet av relevanta finansiella instrument, såsom försäkringar för långvarig vård och omsorg. Bättre utbildning i finanskunskap kan stärka medborgarna i detta avseende. Parallellt med detta kan insatser för att främja inkluderande tillgång till betal- och banktjänster säkerställa att ingen lämnas utanför, i synnerhet inte äldre. </w:t>
      </w:r>
    </w:p>
    <w:p w14:paraId="0FDC99A7" w14:textId="487784E8" w:rsidR="009C6BC1" w:rsidRPr="00A56B91" w:rsidRDefault="009C6BC1" w:rsidP="00563020">
      <w:pPr>
        <w:rPr>
          <w:rFonts w:ascii="Times New Roman" w:hAnsi="Times New Roman" w:cs="Times New Roman"/>
          <w:noProof/>
          <w:sz w:val="24"/>
        </w:rPr>
      </w:pPr>
      <w:r>
        <w:rPr>
          <w:rFonts w:ascii="Times New Roman" w:hAnsi="Times New Roman"/>
          <w:b/>
          <w:noProof/>
          <w:sz w:val="24"/>
        </w:rPr>
        <w:t>Främjande av hälsa och förebyggande av sjukdomar är viktiga faktorer för ett långt och friskt liv.</w:t>
      </w:r>
      <w:r>
        <w:rPr>
          <w:rFonts w:ascii="Times New Roman" w:hAnsi="Times New Roman"/>
          <w:noProof/>
          <w:sz w:val="24"/>
        </w:rPr>
        <w:t xml:space="preserve"> I takt med att den förväntade livslängden ökar bördan av icke-överförbara sjukdomar, även när det gäller cancer, som drabbar äldre i oproportionerligt hög grad. Detta kräver förbättrad tillgång och åtkomst till sjukdomsförebyggande tjänster, diagnos och behandling av icke-överförbara sjukdomar. En hälsosam livsstil kräver en övergripande personcentrerad vårdstrategi och stödtjänster som främjar övergången från behandling till främjande av hälsa och förebyggande av sjukdomar, integrering och samordning av tjänster i hela vårdkedjan, självständighet och självständigt boende, och en aktiv och hälsosam livsstil för alla generationer i kombination med god psykisk hälsa och välbefinnande, vilket kan inbegripa samhällstjänster och volontärverksamhet. Med hjälp av faciliteten för återhämtning och resiliens bidrar till exempel utvecklingen av systemet för e-hälsa och telemedicin i </w:t>
      </w:r>
      <w:r>
        <w:rPr>
          <w:rFonts w:ascii="Times New Roman" w:hAnsi="Times New Roman"/>
          <w:b/>
          <w:noProof/>
          <w:sz w:val="24"/>
        </w:rPr>
        <w:t>Rumänien</w:t>
      </w:r>
      <w:r>
        <w:rPr>
          <w:rFonts w:ascii="Times New Roman" w:hAnsi="Times New Roman"/>
          <w:noProof/>
          <w:sz w:val="24"/>
        </w:rPr>
        <w:t xml:space="preserve"> till att förbättra tillgången till en stor rad hälso- och sjukvårdstjänster, särskilt på landsbygden och i mindre städer.</w:t>
      </w:r>
    </w:p>
    <w:p w14:paraId="0B841962" w14:textId="12CC4299" w:rsidR="000A2452" w:rsidRPr="00A56B91" w:rsidRDefault="006340F0" w:rsidP="00563020">
      <w:pPr>
        <w:rPr>
          <w:rFonts w:ascii="Times New Roman" w:hAnsi="Times New Roman" w:cs="Times New Roman"/>
          <w:noProof/>
          <w:sz w:val="24"/>
        </w:rPr>
      </w:pPr>
      <w:r>
        <w:rPr>
          <w:rFonts w:ascii="Times New Roman" w:hAnsi="Times New Roman"/>
          <w:b/>
          <w:noProof/>
          <w:color w:val="000000"/>
          <w:sz w:val="24"/>
        </w:rPr>
        <w:pict w14:anchorId="6AE6DF11">
          <v:roundrect id="_x0000_s2086" style="position:absolute;left:0;text-align:left;margin-left:277.15pt;margin-top:188pt;width:189.55pt;height:153.55pt;z-index:251658243;visibility:visible;mso-wrap-distance-left:14.2pt;mso-wrap-distance-right:14.2pt;mso-wrap-distance-bottom:14.2pt;mso-position-horizontal-relative:margin;mso-width-relative:margin;mso-height-relative:margin;v-text-anchor:middle" arcsize="3477f" fillcolor="#def8f8 [664]" strokecolor="#5fdfdc [3208]" strokeweight="2.5pt">
            <v:stroke joinstyle="miter"/>
            <v:shadow color="#868686"/>
            <v:textbox style="mso-next-textbox:#_x0000_s2086">
              <w:txbxContent>
                <w:p w14:paraId="296FDFA1" w14:textId="77777777" w:rsidR="00045BA7" w:rsidRPr="00F10C0E" w:rsidRDefault="00045BA7" w:rsidP="00045BA7">
                  <w:pPr>
                    <w:pStyle w:val="Framebody"/>
                    <w:rPr>
                      <w:sz w:val="22"/>
                      <w:szCs w:val="22"/>
                    </w:rPr>
                  </w:pPr>
                  <w:r w:rsidRPr="00F10C0E">
                    <w:rPr>
                      <w:b/>
                      <w:sz w:val="22"/>
                      <w:szCs w:val="18"/>
                    </w:rPr>
                    <w:t>Italiens sysselsättningsgaranti för arbetstagare</w:t>
                  </w:r>
                  <w:r w:rsidRPr="00F10C0E">
                    <w:rPr>
                      <w:sz w:val="22"/>
                      <w:szCs w:val="18"/>
                    </w:rPr>
                    <w:t xml:space="preserve"> syftar till att hjälpa människor att integreras på arbetsmarknaden, med särskilt fokus på kvinnor, långtidsarbetslösa, arbetstagare med funktionsnedsättning samt unga och äldre arbetstagare. En budget på 4,4 miljarder euro från NextGenerationEU anslås till initiativet. </w:t>
                  </w:r>
                </w:p>
              </w:txbxContent>
            </v:textbox>
            <w10:wrap type="square" anchorx="margin"/>
          </v:roundrect>
        </w:pict>
      </w:r>
      <w:r w:rsidR="003A7A7F">
        <w:rPr>
          <w:rFonts w:ascii="Times New Roman" w:hAnsi="Times New Roman"/>
          <w:b/>
          <w:noProof/>
          <w:sz w:val="24"/>
        </w:rPr>
        <w:t>Hälso- och sjukvården och långvarig vård och omsorg måste stärkas och bli mer kostnadseffektiv och samtidigt minska fattigdomen bland äldre, som särskilt drabbar kvinnor.</w:t>
      </w:r>
      <w:r w:rsidR="003A7A7F">
        <w:rPr>
          <w:rFonts w:ascii="Times New Roman" w:hAnsi="Times New Roman"/>
          <w:noProof/>
          <w:sz w:val="24"/>
        </w:rPr>
        <w:t xml:space="preserve"> I synnerhet kan dagverksamhet av god kvalitet minska vård- och omsorgsansvaret för EU:s cirka 53 miljoner anhörigvårdare, varav endast 65 % arbetar heltid. Det är viktigt att investera i vård och omsorg för att locka och behålla talanger inom sektorn. Formella omsorgsgivare måste få bättre löner och arbetsvillkor och lämplig utbildning, och berörda yrken måste bli mer attraktiva, vilket till exempel återspeglas i </w:t>
      </w:r>
      <w:r w:rsidR="003A7A7F">
        <w:rPr>
          <w:rFonts w:ascii="Times New Roman" w:hAnsi="Times New Roman"/>
          <w:b/>
          <w:noProof/>
          <w:sz w:val="24"/>
        </w:rPr>
        <w:t>Frankrikes</w:t>
      </w:r>
      <w:r w:rsidR="003A7A7F">
        <w:rPr>
          <w:rFonts w:ascii="Times New Roman" w:hAnsi="Times New Roman"/>
          <w:noProof/>
          <w:sz w:val="24"/>
        </w:rPr>
        <w:t xml:space="preserve"> färdplan för att stödja de franska medborgarnas åldrande i hemmet</w:t>
      </w:r>
      <w:r w:rsidR="003A7A7F">
        <w:rPr>
          <w:rStyle w:val="FootnoteReference"/>
          <w:rFonts w:ascii="Times New Roman" w:hAnsi="Times New Roman" w:cs="Times New Roman"/>
          <w:noProof/>
          <w:sz w:val="24"/>
          <w:lang w:val="en-GB"/>
        </w:rPr>
        <w:footnoteReference w:id="38"/>
      </w:r>
      <w:r w:rsidR="003A7A7F">
        <w:rPr>
          <w:noProof/>
        </w:rPr>
        <w:t>.</w:t>
      </w:r>
      <w:r w:rsidR="003A7A7F">
        <w:rPr>
          <w:rFonts w:ascii="Times New Roman" w:hAnsi="Times New Roman"/>
          <w:noProof/>
          <w:sz w:val="24"/>
        </w:rPr>
        <w:t xml:space="preserve"> Hälso- och sjukvårdspersonal påverkas också av den obalans som är kopplad till åldrande arbetstagare, brist på ersättare från vårdutbildningar och stark internationell konkurrens för läkare och sjuksköterskor. På territoriell nivå förvärras denna obalans av behovet av att rationalisera hälso- och sjukvårdstjänster i regioner med minskande befolkning. Förutsatt att användarna samt hälso- och sjukvårdspersonal har relevanta digitala färdigheter kan digital teknik leda till kostnadseffektiva tjänster av högre kvalitet i form av digitala hälsoverktyg och tekniska hjälpmedel. Dessutom kan de främja social kontakt för att minska ensamhet, vilket också påverkar den psykiska hälsan. </w:t>
      </w:r>
    </w:p>
    <w:p w14:paraId="6ABA575A" w14:textId="1C9B7460" w:rsidR="00B97FE3" w:rsidRDefault="00C67017" w:rsidP="002E727D">
      <w:pPr>
        <w:rPr>
          <w:rFonts w:ascii="Times New Roman" w:hAnsi="Times New Roman" w:cs="Times New Roman"/>
          <w:b/>
          <w:bCs/>
          <w:noProof/>
          <w:sz w:val="24"/>
        </w:rPr>
      </w:pPr>
      <w:r>
        <w:rPr>
          <w:rStyle w:val="normaltextrun"/>
          <w:rFonts w:ascii="Times New Roman" w:hAnsi="Times New Roman"/>
          <w:b/>
          <w:noProof/>
          <w:color w:val="000000"/>
          <w:sz w:val="24"/>
          <w:shd w:val="clear" w:color="auto" w:fill="FFFFFF"/>
        </w:rPr>
        <w:t xml:space="preserve">För att säkerställa tillräckliga och långsiktigt bärkraftiga pensioner måste pensionsreformerna åtföljas av en stödjande arbetsmarknadspolitik. </w:t>
      </w:r>
      <w:r>
        <w:rPr>
          <w:rFonts w:ascii="Times New Roman" w:hAnsi="Times New Roman"/>
          <w:noProof/>
          <w:sz w:val="24"/>
        </w:rPr>
        <w:t>Många medlemsstater har genomfört pensionsreformer de senaste två årtiondena, med höjd lagstadgad pensionsålder och ändrade villkor. Vissa medlemsstater släpar dock fortfarande efter</w:t>
      </w:r>
      <w:r>
        <w:rPr>
          <w:rStyle w:val="FootnoteReference"/>
          <w:rFonts w:ascii="Times New Roman" w:hAnsi="Times New Roman" w:cs="Times New Roman"/>
          <w:noProof/>
          <w:sz w:val="24"/>
          <w:lang w:val="en-GB"/>
        </w:rPr>
        <w:footnoteReference w:id="39"/>
      </w:r>
      <w:r>
        <w:rPr>
          <w:rFonts w:ascii="Times New Roman" w:hAnsi="Times New Roman"/>
          <w:noProof/>
          <w:sz w:val="24"/>
        </w:rPr>
        <w:t xml:space="preserve">, och pensionsreformer kräver att åtföljande åtgärder ger resultat. Bland dessa ingår arbetsmarknadsreformer för att tillhandahålla anpassat stöd möjligheter till livslångt lärande, uppmuntra till arbetssökande och ge anställningsstöd till äldre arbetstagare, såsom gjorts i </w:t>
      </w:r>
      <w:r>
        <w:rPr>
          <w:rFonts w:ascii="Times New Roman" w:hAnsi="Times New Roman"/>
          <w:b/>
          <w:noProof/>
          <w:sz w:val="24"/>
        </w:rPr>
        <w:t>Österrikes</w:t>
      </w:r>
      <w:r>
        <w:rPr>
          <w:rFonts w:ascii="Times New Roman" w:hAnsi="Times New Roman"/>
          <w:noProof/>
          <w:sz w:val="24"/>
        </w:rPr>
        <w:t xml:space="preserve"> riktade sysselsättningsinitiativ för personer över 50. Sådana aktiva arbetsmarknadsåtgärder behövs för att hjälpa långtidsarbetslösa att hitta tillbaka till arbete samtidigt som hänsyn tas till deras olika behov. Äldre personer som vill fortsätta arbeta efter pensionsåldern bör få stöd för detta. Politiska justeringar bör erbjuda attraktiva alternativ för att skjuta upp pensioneringen och undanröja gränser för hur mycket man får tjäna samt andra hinder.</w:t>
      </w:r>
    </w:p>
    <w:p w14:paraId="5A5811F4" w14:textId="52899631" w:rsidR="00DE3922" w:rsidRPr="00A56B91" w:rsidRDefault="003A7A7F" w:rsidP="002E727D">
      <w:pPr>
        <w:rPr>
          <w:rFonts w:ascii="Times New Roman" w:hAnsi="Times New Roman" w:cs="Times New Roman"/>
          <w:noProof/>
          <w:sz w:val="24"/>
        </w:rPr>
      </w:pPr>
      <w:r>
        <w:rPr>
          <w:rFonts w:ascii="Times New Roman" w:hAnsi="Times New Roman"/>
          <w:b/>
          <w:noProof/>
          <w:sz w:val="24"/>
        </w:rPr>
        <w:t xml:space="preserve">Den offentligfinansiella hållbarheten och tillräckligheten kan stärkas genom att de offentliga finansernas sammansättning och inkomstunderlaget för de sociala trygghetssystemen förbättras. </w:t>
      </w:r>
      <w:r>
        <w:rPr>
          <w:rFonts w:ascii="Times New Roman" w:hAnsi="Times New Roman"/>
          <w:noProof/>
          <w:sz w:val="24"/>
        </w:rPr>
        <w:t>Intäkter som genereras av arbetsinkomster</w:t>
      </w:r>
      <w:r>
        <w:rPr>
          <w:rStyle w:val="FootnoteReference"/>
          <w:rFonts w:ascii="Times New Roman" w:hAnsi="Times New Roman" w:cs="Times New Roman"/>
          <w:noProof/>
          <w:sz w:val="24"/>
        </w:rPr>
        <w:footnoteReference w:id="40"/>
      </w:r>
      <w:r>
        <w:rPr>
          <w:rFonts w:ascii="Times New Roman" w:hAnsi="Times New Roman"/>
          <w:noProof/>
          <w:sz w:val="24"/>
        </w:rPr>
        <w:t xml:space="preserve"> kommer att fortsätta spela en roll i finansieringen av välfärdsstaten, men mot bakgrund av de demografiska trenderna behövs det en bredare diskussion om den optimala skattemixen, bland annat en bedömning av möjligheterna till ökad kapitalbeskattning för att kompensera för en krympande andel inkomstskatt. Dessutom kan de offentliga finansernas sammansättning göras mer tillväxt-, sysselsättnings- och miljövänlig genom att skattebördan flyttas från arbete</w:t>
      </w:r>
      <w:r>
        <w:rPr>
          <w:rStyle w:val="FootnoteReference"/>
          <w:rFonts w:ascii="Times New Roman" w:eastAsia="Calibri" w:hAnsi="Times New Roman" w:cs="Times New Roman"/>
          <w:noProof/>
          <w:sz w:val="24"/>
          <w:lang w:val="en-GB"/>
        </w:rPr>
        <w:footnoteReference w:id="41"/>
      </w:r>
      <w:r>
        <w:rPr>
          <w:rFonts w:ascii="Times New Roman" w:hAnsi="Times New Roman"/>
          <w:noProof/>
          <w:sz w:val="24"/>
        </w:rPr>
        <w:t xml:space="preserve"> till energi- och miljöbeskattning. Sedan 2022 anordnar kommissionen ett årligt skattesymposium där beslutsfattare, akademiker, företag och det civila samhället samlas för att diskutera hur vår skattemix ska anpassas inför 2050. Slutligen kan nedskärningar av lågprioriterade eller ineffektiva utgifter bidra till att prioritera och förbättra de offentliga budgetarnas effektivitet.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356"/>
      </w:tblGrid>
      <w:tr w:rsidR="003A49A2" w:rsidRPr="00A56B91" w14:paraId="584AD105" w14:textId="77777777" w:rsidTr="00F82902">
        <w:tc>
          <w:tcPr>
            <w:tcW w:w="9356" w:type="dxa"/>
            <w:shd w:val="clear" w:color="auto" w:fill="FFF2CC" w:themeFill="accent1" w:themeFillTint="33"/>
          </w:tcPr>
          <w:p w14:paraId="35FB77A4" w14:textId="1D5012E9" w:rsidR="003A49A2" w:rsidRPr="00A56B91" w:rsidRDefault="003A49A2" w:rsidP="00C67017">
            <w:pPr>
              <w:pStyle w:val="Boxtitle"/>
              <w:jc w:val="both"/>
              <w:rPr>
                <w:rFonts w:ascii="Times New Roman" w:hAnsi="Times New Roman"/>
                <w:noProof/>
              </w:rPr>
            </w:pPr>
            <w:r>
              <w:rPr>
                <w:rFonts w:ascii="Times New Roman" w:hAnsi="Times New Roman"/>
                <w:noProof/>
              </w:rPr>
              <w:t>Viktiga verktyg på EU-nivå:</w:t>
            </w:r>
          </w:p>
          <w:p w14:paraId="6E654B44" w14:textId="7E3CFF75" w:rsidR="009428F7" w:rsidRPr="006260B2" w:rsidRDefault="00C760C2" w:rsidP="00C67017">
            <w:pPr>
              <w:pStyle w:val="Paragraphedelistebullets"/>
              <w:jc w:val="both"/>
              <w:rPr>
                <w:noProof/>
              </w:rPr>
            </w:pPr>
            <w:r>
              <w:rPr>
                <w:noProof/>
              </w:rPr>
              <w:t xml:space="preserve">EU:s </w:t>
            </w:r>
            <w:r>
              <w:rPr>
                <w:b/>
                <w:noProof/>
              </w:rPr>
              <w:t>ramdirektiv om säkerhet och hälsa i arbetet</w:t>
            </w:r>
            <w:r>
              <w:rPr>
                <w:rStyle w:val="FootnoteReference"/>
                <w:noProof/>
              </w:rPr>
              <w:footnoteReference w:id="42"/>
            </w:r>
            <w:r>
              <w:rPr>
                <w:noProof/>
              </w:rPr>
              <w:t xml:space="preserve"> syftar till att säkerställa människors säkerhet och hälsa i arbetet.</w:t>
            </w:r>
          </w:p>
          <w:p w14:paraId="11588B6E" w14:textId="2FA4F9A2" w:rsidR="00664E2E" w:rsidRPr="006260B2" w:rsidRDefault="004F6050" w:rsidP="00C67017">
            <w:pPr>
              <w:pStyle w:val="Paragraphedelistebullets"/>
              <w:jc w:val="both"/>
              <w:rPr>
                <w:noProof/>
              </w:rPr>
            </w:pPr>
            <w:r>
              <w:rPr>
                <w:b/>
                <w:noProof/>
              </w:rPr>
              <w:t>Direktivet om likabehandling i arbetslivet</w:t>
            </w:r>
            <w:r>
              <w:rPr>
                <w:rStyle w:val="FootnoteReference"/>
                <w:noProof/>
                <w:szCs w:val="24"/>
              </w:rPr>
              <w:footnoteReference w:id="43"/>
            </w:r>
            <w:r>
              <w:rPr>
                <w:noProof/>
              </w:rPr>
              <w:t xml:space="preserve"> skyddar mot åldersdiskriminering på arbetsplatsen. </w:t>
            </w:r>
          </w:p>
          <w:p w14:paraId="5DCEDCF1" w14:textId="7677287E" w:rsidR="0018760B" w:rsidRPr="006260B2" w:rsidRDefault="0018760B" w:rsidP="00C67017">
            <w:pPr>
              <w:pStyle w:val="Paragraphedelistebullets"/>
              <w:jc w:val="both"/>
              <w:rPr>
                <w:noProof/>
              </w:rPr>
            </w:pPr>
            <w:r>
              <w:rPr>
                <w:b/>
                <w:noProof/>
              </w:rPr>
              <w:t>Rådets rekommendation om långtidsarbetslösas återinträde på arbetsmarknaden</w:t>
            </w:r>
            <w:r>
              <w:rPr>
                <w:rStyle w:val="FootnoteReference"/>
                <w:noProof/>
              </w:rPr>
              <w:footnoteReference w:id="44"/>
            </w:r>
            <w:r>
              <w:rPr>
                <w:noProof/>
              </w:rPr>
              <w:t xml:space="preserve"> ger politisk vägledning för aktiveringsåtgärder på nationell nivå.</w:t>
            </w:r>
          </w:p>
          <w:p w14:paraId="0B2994A4" w14:textId="53C59309" w:rsidR="003A49A2" w:rsidRPr="006260B2" w:rsidRDefault="00003C06" w:rsidP="00C67017">
            <w:pPr>
              <w:pStyle w:val="Paragraphedelistebullets"/>
              <w:jc w:val="both"/>
              <w:rPr>
                <w:noProof/>
              </w:rPr>
            </w:pPr>
            <w:r>
              <w:rPr>
                <w:noProof/>
              </w:rPr>
              <w:t xml:space="preserve">Inom ramen för den europeiska strategin för vård- och omsorg ger </w:t>
            </w:r>
            <w:r>
              <w:rPr>
                <w:b/>
                <w:noProof/>
              </w:rPr>
              <w:t>rådets rekommendation om tillgång till långvarig vård och omsorg till överkomliga priser och av god kvalitet</w:t>
            </w:r>
            <w:r>
              <w:rPr>
                <w:rStyle w:val="FootnoteReference"/>
                <w:noProof/>
              </w:rPr>
              <w:footnoteReference w:id="45"/>
            </w:r>
            <w:r>
              <w:rPr>
                <w:noProof/>
              </w:rPr>
              <w:t xml:space="preserve"> vägledning till medlemsstaterna för att göra långvarig vård och omsorg mer tillräcklig, tillgänglig och bättre för alla som behöver den samt för att förbättra arbetsvillkoren för omsorgsgivare.</w:t>
            </w:r>
          </w:p>
          <w:p w14:paraId="553804AF" w14:textId="05B6DACD" w:rsidR="003A49A2" w:rsidRPr="006260B2" w:rsidRDefault="00B34E64" w:rsidP="00C67017">
            <w:pPr>
              <w:pStyle w:val="Paragraphedelistebullets"/>
              <w:jc w:val="both"/>
              <w:rPr>
                <w:noProof/>
              </w:rPr>
            </w:pPr>
            <w:r>
              <w:rPr>
                <w:b/>
                <w:noProof/>
              </w:rPr>
              <w:t>Rådets rekommendation om tillräcklig minimiinkomst som säkerställer aktiv inkludering</w:t>
            </w:r>
            <w:r>
              <w:rPr>
                <w:rStyle w:val="FootnoteReference"/>
                <w:noProof/>
              </w:rPr>
              <w:footnoteReference w:id="46"/>
            </w:r>
            <w:r>
              <w:rPr>
                <w:noProof/>
              </w:rPr>
              <w:t xml:space="preserve"> hjälper medlemsstaterna att reformera sina sociala skyddsnät genom att främja ett tillräckligt inkomststöd, täckning och utnyttjande, tillgång till tjänster och integration på arbetsmarknaden.</w:t>
            </w:r>
          </w:p>
          <w:p w14:paraId="40BDE707" w14:textId="52F49EEC" w:rsidR="00BA48F2" w:rsidRPr="006260B2" w:rsidRDefault="00E375F9" w:rsidP="00C67017">
            <w:pPr>
              <w:pStyle w:val="Paragraphedelistebullets"/>
              <w:jc w:val="both"/>
              <w:rPr>
                <w:noProof/>
              </w:rPr>
            </w:pPr>
            <w:r>
              <w:rPr>
                <w:noProof/>
              </w:rPr>
              <w:t xml:space="preserve">Genom den </w:t>
            </w:r>
            <w:r>
              <w:rPr>
                <w:b/>
                <w:noProof/>
              </w:rPr>
              <w:t>europeiska tillgänglighetslagen</w:t>
            </w:r>
            <w:r>
              <w:rPr>
                <w:rStyle w:val="FootnoteReference"/>
                <w:noProof/>
              </w:rPr>
              <w:footnoteReference w:id="47"/>
            </w:r>
            <w:r>
              <w:rPr>
                <w:noProof/>
              </w:rPr>
              <w:t xml:space="preserve"> görs viktiga produkter och tjänster mer tillgängliga för äldre och personer med funktionsnedsättning, däribland e-tjänster och vissa delar av kollektivtrafiktjänster.</w:t>
            </w:r>
          </w:p>
          <w:p w14:paraId="1D4E7E07" w14:textId="71652B26" w:rsidR="00640576" w:rsidRDefault="00C64698" w:rsidP="00045BA7">
            <w:pPr>
              <w:pStyle w:val="Paragraphedelistebullets"/>
              <w:jc w:val="both"/>
              <w:rPr>
                <w:noProof/>
              </w:rPr>
            </w:pPr>
            <w:r>
              <w:rPr>
                <w:b/>
                <w:noProof/>
              </w:rPr>
              <w:t>Initiativet ”Healthier together”</w:t>
            </w:r>
            <w:r>
              <w:rPr>
                <w:noProof/>
              </w:rPr>
              <w:t xml:space="preserve"> hjälper EU-länderna att minska bördan av allvarliga sjukdomar och att förbättra medborgarnas hälsa och välbefinnande, vilket bidrar till ett hälsosamt åldrande. </w:t>
            </w:r>
          </w:p>
          <w:p w14:paraId="3F730A50" w14:textId="51354445" w:rsidR="00AB556B" w:rsidRPr="006260B2" w:rsidRDefault="00640576" w:rsidP="00C67017">
            <w:pPr>
              <w:pStyle w:val="Paragraphedelistebullets"/>
              <w:jc w:val="both"/>
              <w:rPr>
                <w:noProof/>
              </w:rPr>
            </w:pPr>
            <w:r>
              <w:rPr>
                <w:noProof/>
              </w:rPr>
              <w:t xml:space="preserve">Den </w:t>
            </w:r>
            <w:r>
              <w:rPr>
                <w:b/>
                <w:noProof/>
              </w:rPr>
              <w:t>övergripande strategin för psykisk hälsa</w:t>
            </w:r>
            <w:r>
              <w:rPr>
                <w:noProof/>
              </w:rPr>
              <w:t xml:space="preserve"> innehåller 20 flaggskeppsinitiativ och lägger 1,23 miljarder euro i EU-stöd på verksamhet som främjar god psykisk hälsa för alla generationer, med fokus på utsatta grupper.</w:t>
            </w:r>
          </w:p>
          <w:p w14:paraId="4559462D" w14:textId="5DCCFEC4" w:rsidR="00470295" w:rsidRPr="00C55E7D" w:rsidRDefault="00470295" w:rsidP="00045BA7">
            <w:pPr>
              <w:pStyle w:val="Paragraphedelistebullets"/>
              <w:jc w:val="both"/>
              <w:rPr>
                <w:noProof/>
              </w:rPr>
            </w:pPr>
            <w:r>
              <w:rPr>
                <w:b/>
                <w:noProof/>
              </w:rPr>
              <w:t>Europas plan mot cancer</w:t>
            </w:r>
            <w:r>
              <w:rPr>
                <w:noProof/>
              </w:rPr>
              <w:t xml:space="preserve"> stöder, samordnar och kompletterar medlemsstaternas åtgärder för att minska cancerbördan genom hela sjukdomsförloppet, bland annat med </w:t>
            </w:r>
            <w:r>
              <w:rPr>
                <w:b/>
                <w:noProof/>
              </w:rPr>
              <w:t>rådets rekommendation om en ny EU-strategi för cancerscreening</w:t>
            </w:r>
            <w:r>
              <w:rPr>
                <w:rStyle w:val="FootnoteReference"/>
                <w:noProof/>
                <w:szCs w:val="24"/>
              </w:rPr>
              <w:footnoteReference w:id="48"/>
            </w:r>
            <w:r>
              <w:rPr>
                <w:noProof/>
              </w:rPr>
              <w:t>.</w:t>
            </w:r>
          </w:p>
          <w:p w14:paraId="22461DAA" w14:textId="77777777" w:rsidR="00377A64" w:rsidRPr="006260B2" w:rsidRDefault="003A49A2" w:rsidP="00C67017">
            <w:pPr>
              <w:pStyle w:val="Paragraphedelistebullets"/>
              <w:jc w:val="both"/>
              <w:rPr>
                <w:noProof/>
              </w:rPr>
            </w:pPr>
            <w:r>
              <w:rPr>
                <w:noProof/>
              </w:rPr>
              <w:t xml:space="preserve">Den </w:t>
            </w:r>
            <w:r>
              <w:rPr>
                <w:b/>
                <w:noProof/>
              </w:rPr>
              <w:t>paneuropeiska personliga pensionsprodukten</w:t>
            </w:r>
            <w:r>
              <w:rPr>
                <w:noProof/>
              </w:rPr>
              <w:t xml:space="preserve"> är ett frivilligt privat pensionssystem som erbjuds av finansinstitut för att medborgarna ska få ett nytt alternativ för deras pensionssparande. </w:t>
            </w:r>
          </w:p>
          <w:p w14:paraId="52737E3D" w14:textId="7A02B030" w:rsidR="001C4012" w:rsidRPr="006260B2" w:rsidRDefault="001C4012" w:rsidP="00C67017">
            <w:pPr>
              <w:pStyle w:val="Paragraphedelistebullets"/>
              <w:jc w:val="both"/>
              <w:rPr>
                <w:noProof/>
              </w:rPr>
            </w:pPr>
            <w:r>
              <w:rPr>
                <w:b/>
                <w:noProof/>
              </w:rPr>
              <w:t>EU:s/OECD-INFE:s ram för finansiell kompetens för vuxna i EU</w:t>
            </w:r>
            <w:r>
              <w:rPr>
                <w:noProof/>
              </w:rPr>
              <w:t xml:space="preserve"> främjar vuxnas finanskunskap genom att bland annat stödja program för finanskunskap och utbyte av god praxis.</w:t>
            </w:r>
          </w:p>
          <w:p w14:paraId="2E08131C" w14:textId="47530AE1" w:rsidR="00C55E7D" w:rsidRPr="007640CE" w:rsidRDefault="00C55E7D" w:rsidP="00045BA7">
            <w:pPr>
              <w:pStyle w:val="Paragraphedelistebullets"/>
              <w:jc w:val="both"/>
              <w:rPr>
                <w:noProof/>
              </w:rPr>
            </w:pPr>
            <w:r>
              <w:rPr>
                <w:b/>
                <w:noProof/>
              </w:rPr>
              <w:t>Kalkylatorn för konsumentavtryck</w:t>
            </w:r>
            <w:r>
              <w:rPr>
                <w:rStyle w:val="FootnoteReference"/>
                <w:noProof/>
                <w:szCs w:val="24"/>
              </w:rPr>
              <w:footnoteReference w:id="49"/>
            </w:r>
            <w:r>
              <w:rPr>
                <w:noProof/>
              </w:rPr>
              <w:t xml:space="preserve"> gör det möjligt för medborgarna att beräkna sitt miljöavtryck och erbjuder tips för att skapa mer hållbara beteendemönster.</w:t>
            </w:r>
          </w:p>
          <w:p w14:paraId="61D802AF" w14:textId="7FF18F90" w:rsidR="0043217B" w:rsidRPr="00A56B91" w:rsidRDefault="00590F38" w:rsidP="00C67017">
            <w:pPr>
              <w:pStyle w:val="Boxtitle"/>
              <w:jc w:val="both"/>
              <w:rPr>
                <w:rFonts w:ascii="Times New Roman" w:hAnsi="Times New Roman"/>
                <w:noProof/>
              </w:rPr>
            </w:pPr>
            <w:r>
              <w:rPr>
                <w:rFonts w:ascii="Times New Roman" w:hAnsi="Times New Roman"/>
                <w:noProof/>
              </w:rPr>
              <w:t xml:space="preserve">Nästa steg: </w:t>
            </w:r>
          </w:p>
          <w:p w14:paraId="7E6608A5" w14:textId="4E308ACE" w:rsidR="00B66BED" w:rsidRPr="00C67017" w:rsidRDefault="008C5EE0" w:rsidP="00C67017">
            <w:pPr>
              <w:pStyle w:val="Paragraphedelistebullets"/>
              <w:jc w:val="both"/>
              <w:rPr>
                <w:noProof/>
              </w:rPr>
            </w:pPr>
            <w:r>
              <w:rPr>
                <w:noProof/>
              </w:rPr>
              <w:t xml:space="preserve">Kommissionen uppmanar medlagstiftarna att arbeta för en snabb överenskommelse om dess förslag till </w:t>
            </w:r>
            <w:r>
              <w:rPr>
                <w:b/>
                <w:noProof/>
              </w:rPr>
              <w:t>standarder för likabehandlingsorgan</w:t>
            </w:r>
            <w:r>
              <w:rPr>
                <w:rStyle w:val="FootnoteReference"/>
                <w:noProof/>
              </w:rPr>
              <w:footnoteReference w:id="50"/>
            </w:r>
            <w:r>
              <w:rPr>
                <w:noProof/>
              </w:rPr>
              <w:t xml:space="preserve">. </w:t>
            </w:r>
          </w:p>
          <w:p w14:paraId="2867DF89" w14:textId="7188B3DF" w:rsidR="008C5EE0" w:rsidRPr="006260B2" w:rsidRDefault="00100C69" w:rsidP="00C67017">
            <w:pPr>
              <w:pStyle w:val="Paragraphedelistebullets"/>
              <w:jc w:val="both"/>
              <w:rPr>
                <w:b/>
                <w:noProof/>
              </w:rPr>
            </w:pPr>
            <w:r>
              <w:rPr>
                <w:b/>
                <w:noProof/>
              </w:rPr>
              <w:t>Högnivågruppen för icke-diskriminering, jämlikhet och mångfald</w:t>
            </w:r>
            <w:r>
              <w:rPr>
                <w:noProof/>
              </w:rPr>
              <w:t xml:space="preserve"> främjar utbyte av praxis avseende jämlikhet mellan personer i olika ålder och bekämpande av ålderism, och kommer att offentliggöra ett resultatdokument våren 2024.</w:t>
            </w:r>
          </w:p>
          <w:p w14:paraId="3F21C9AA" w14:textId="25FDEC5D" w:rsidR="000E4084" w:rsidRPr="006260B2" w:rsidRDefault="000E4084" w:rsidP="00C67017">
            <w:pPr>
              <w:pStyle w:val="Paragraphedelistebullets"/>
              <w:jc w:val="both"/>
              <w:rPr>
                <w:b/>
                <w:noProof/>
                <w:u w:val="single"/>
              </w:rPr>
            </w:pPr>
            <w:r>
              <w:rPr>
                <w:noProof/>
              </w:rPr>
              <w:t xml:space="preserve">Senast i juni 2024 rekommenderas medlemsstaterna att informera kommissionen om de åtgärder som genomförts eller planeras utifrån </w:t>
            </w:r>
            <w:r>
              <w:rPr>
                <w:b/>
                <w:noProof/>
              </w:rPr>
              <w:t>rådets rekommendation om tillgång till långvarig vård och omsorg till överkomliga priser och av god kvalitet</w:t>
            </w:r>
            <w:r>
              <w:rPr>
                <w:noProof/>
              </w:rPr>
              <w:t>, och som kompletterar den kontinuerliga övervakningen och stödet för nationella reformer.</w:t>
            </w:r>
          </w:p>
          <w:p w14:paraId="52821954" w14:textId="31726BCE" w:rsidR="005831F1" w:rsidRPr="006260B2" w:rsidRDefault="00A26753" w:rsidP="00C67017">
            <w:pPr>
              <w:pStyle w:val="Paragraphedelistebullets"/>
              <w:jc w:val="both"/>
              <w:rPr>
                <w:noProof/>
              </w:rPr>
            </w:pPr>
            <w:r>
              <w:rPr>
                <w:noProof/>
              </w:rPr>
              <w:t xml:space="preserve">Vinnarna av </w:t>
            </w:r>
            <w:r>
              <w:rPr>
                <w:b/>
                <w:noProof/>
              </w:rPr>
              <w:t>2024 års ”Access City Award”</w:t>
            </w:r>
            <w:r>
              <w:rPr>
                <w:noProof/>
              </w:rPr>
              <w:t xml:space="preserve"> kommer att tillkännages under konferensen som uppmärksammar internationella funktionshindersdagen i december 2023. </w:t>
            </w:r>
          </w:p>
          <w:p w14:paraId="2E6B581C" w14:textId="13C6CC38" w:rsidR="00337893" w:rsidRDefault="00337893" w:rsidP="00045BA7">
            <w:pPr>
              <w:pStyle w:val="Paragraphedelistebullets"/>
              <w:jc w:val="both"/>
              <w:rPr>
                <w:noProof/>
              </w:rPr>
            </w:pPr>
            <w:r>
              <w:rPr>
                <w:noProof/>
              </w:rPr>
              <w:t xml:space="preserve">År 2024 kommer kommissionen att offentliggöra </w:t>
            </w:r>
            <w:r>
              <w:rPr>
                <w:b/>
                <w:noProof/>
              </w:rPr>
              <w:t>rapporten om pensionernas tillräcklighet</w:t>
            </w:r>
            <w:r>
              <w:rPr>
                <w:noProof/>
              </w:rPr>
              <w:t xml:space="preserve"> (tillsammans med kommittén för socialt skydd) och </w:t>
            </w:r>
            <w:r>
              <w:rPr>
                <w:b/>
                <w:noProof/>
              </w:rPr>
              <w:t>åldranderapporten</w:t>
            </w:r>
            <w:r>
              <w:rPr>
                <w:noProof/>
              </w:rPr>
              <w:t xml:space="preserve"> (tillsammans med gruppen för åldrande).</w:t>
            </w:r>
          </w:p>
          <w:p w14:paraId="0FAF6F3B" w14:textId="02291B80" w:rsidR="00FD693E" w:rsidRPr="006260B2" w:rsidRDefault="00FD693E" w:rsidP="00C67017">
            <w:pPr>
              <w:pStyle w:val="Paragraphedelistebullets"/>
              <w:jc w:val="both"/>
              <w:rPr>
                <w:noProof/>
              </w:rPr>
            </w:pPr>
            <w:r>
              <w:rPr>
                <w:noProof/>
              </w:rPr>
              <w:t xml:space="preserve">Senast i december 2025 rekommenderas medlemsstaterna att rapportera om genomförandet av </w:t>
            </w:r>
            <w:r>
              <w:rPr>
                <w:b/>
                <w:noProof/>
              </w:rPr>
              <w:t>rådets rekommendation om en ny EU-strategi för cancerscreening</w:t>
            </w:r>
            <w:r>
              <w:rPr>
                <w:noProof/>
              </w:rPr>
              <w:t>.</w:t>
            </w:r>
          </w:p>
        </w:tc>
      </w:tr>
    </w:tbl>
    <w:p w14:paraId="549B7D79" w14:textId="4454A1DD" w:rsidR="002414F2" w:rsidRPr="00C67017" w:rsidRDefault="002C7FBD" w:rsidP="00B36950">
      <w:pPr>
        <w:pStyle w:val="Heading2"/>
        <w:rPr>
          <w:noProof/>
        </w:rPr>
      </w:pPr>
      <w:r>
        <w:rPr>
          <w:noProof/>
        </w:rPr>
        <w:t>Arbetskraftsbrist och reglerad laglig migration</w:t>
      </w:r>
    </w:p>
    <w:p w14:paraId="52602154" w14:textId="13818A7F" w:rsidR="001101D5" w:rsidRPr="001101D5" w:rsidRDefault="00792460" w:rsidP="001101D5">
      <w:pPr>
        <w:rPr>
          <w:rFonts w:ascii="Times New Roman" w:hAnsi="Times New Roman" w:cs="Times New Roman"/>
          <w:noProof/>
          <w:sz w:val="24"/>
        </w:rPr>
      </w:pPr>
      <w:r>
        <w:rPr>
          <w:rFonts w:ascii="Times New Roman" w:hAnsi="Times New Roman"/>
          <w:b/>
          <w:noProof/>
          <w:sz w:val="24"/>
        </w:rPr>
        <w:t xml:space="preserve">År 2022 låg bristen på arbetskraft i EU på en historiskt hög nivå. </w:t>
      </w:r>
      <w:r>
        <w:rPr>
          <w:rFonts w:ascii="Times New Roman" w:hAnsi="Times New Roman"/>
          <w:noProof/>
          <w:sz w:val="24"/>
        </w:rPr>
        <w:t>Sysselsättningsgraden i EU nådde en ny rekordhög nivå, men omkring 30 % av alla företag rapporterade brist på arbetskraft</w:t>
      </w:r>
      <w:r>
        <w:rPr>
          <w:rStyle w:val="FootnoteReference"/>
          <w:rFonts w:ascii="Times New Roman" w:hAnsi="Times New Roman" w:cs="Times New Roman"/>
          <w:noProof/>
          <w:sz w:val="24"/>
        </w:rPr>
        <w:footnoteReference w:id="51"/>
      </w:r>
      <w:r>
        <w:rPr>
          <w:rFonts w:ascii="Times New Roman" w:hAnsi="Times New Roman"/>
          <w:noProof/>
          <w:sz w:val="24"/>
        </w:rPr>
        <w:t xml:space="preserve"> och 74 % av de små och medelstora företagen rapporterar att de har brist på kvalificerad arbetskraft</w:t>
      </w:r>
      <w:r>
        <w:rPr>
          <w:rStyle w:val="FootnoteReference"/>
          <w:rFonts w:ascii="Times New Roman" w:hAnsi="Times New Roman" w:cs="Times New Roman"/>
          <w:noProof/>
          <w:sz w:val="24"/>
        </w:rPr>
        <w:footnoteReference w:id="52"/>
      </w:r>
      <w:r>
        <w:rPr>
          <w:noProof/>
        </w:rPr>
        <w:t>.</w:t>
      </w:r>
      <w:r>
        <w:rPr>
          <w:rFonts w:ascii="Times New Roman" w:hAnsi="Times New Roman"/>
          <w:noProof/>
          <w:sz w:val="24"/>
        </w:rPr>
        <w:t xml:space="preserve"> Bristen på arbetskraft förekommer inom olika sektorer och yrken på alla kompetensnivåer och kommer att öka. Även om aktivering av personer i arbetsför ålder, särskilt kvinnor, unga och äldre, minskning av kompetensbristen, förbättrade arbetsvillkor i vissa sektorer och rörlighet inom EU är avgörande för att minska bristen på arbetskraft kommer det inte att vara tillräckligt för att tillgodose behoven inom alla bristyrken</w:t>
      </w:r>
      <w:r>
        <w:rPr>
          <w:rStyle w:val="FootnoteReference"/>
          <w:rFonts w:ascii="Times New Roman" w:eastAsia="Times New Roman" w:hAnsi="Times New Roman" w:cs="Times New Roman"/>
          <w:noProof/>
          <w:color w:val="000000" w:themeColor="text1"/>
          <w:sz w:val="24"/>
          <w:lang w:val="en-IE"/>
        </w:rPr>
        <w:footnoteReference w:id="53"/>
      </w:r>
      <w:r>
        <w:rPr>
          <w:noProof/>
        </w:rPr>
        <w:t>.</w:t>
      </w:r>
      <w:r>
        <w:rPr>
          <w:rFonts w:ascii="Times New Roman" w:hAnsi="Times New Roman"/>
          <w:b/>
          <w:noProof/>
          <w:sz w:val="24"/>
        </w:rPr>
        <w:t xml:space="preserve"> </w:t>
      </w:r>
      <w:r>
        <w:rPr>
          <w:rFonts w:ascii="Times New Roman" w:hAnsi="Times New Roman"/>
          <w:noProof/>
          <w:sz w:val="24"/>
        </w:rPr>
        <w:t>Laglig migration från länder utanför EU kan också hjälpa arbetsgivare att tillsätta lediga platser på alla kompetensnivåer, till exempel inom yrken som spelar en avgörande roll för EU:s ekonomi och den gröna och den digitala omställningen inom ramen för industriplanen i den gröna given. Med tanke på arbetsmarknadens storlek är arbetskraftsinvandringen till EU fortfarande låg i internationell jämförelse</w:t>
      </w:r>
      <w:r>
        <w:rPr>
          <w:rStyle w:val="FootnoteReference"/>
          <w:rFonts w:ascii="Times New Roman" w:eastAsia="Times New Roman" w:hAnsi="Times New Roman" w:cs="Times New Roman"/>
          <w:noProof/>
          <w:color w:val="000000" w:themeColor="text1"/>
          <w:sz w:val="24"/>
          <w:lang w:val="en-IE"/>
        </w:rPr>
        <w:footnoteReference w:id="54"/>
      </w:r>
      <w:r>
        <w:rPr>
          <w:noProof/>
        </w:rPr>
        <w:t>.</w:t>
      </w:r>
      <w:r>
        <w:rPr>
          <w:rFonts w:ascii="Times New Roman" w:hAnsi="Times New Roman"/>
          <w:noProof/>
          <w:sz w:val="24"/>
        </w:rPr>
        <w:t xml:space="preserve"> </w:t>
      </w:r>
    </w:p>
    <w:p w14:paraId="33D6791F" w14:textId="77777777" w:rsidR="00AE11B5" w:rsidRPr="00C67017" w:rsidRDefault="00AE11B5" w:rsidP="00AE11B5">
      <w:pPr>
        <w:pStyle w:val="Subtitle"/>
        <w:rPr>
          <w:rStyle w:val="SubtitleChar"/>
          <w:rFonts w:ascii="Times New Roman" w:hAnsi="Times New Roman"/>
          <w:b/>
          <w:caps/>
          <w:noProof/>
          <w:sz w:val="24"/>
        </w:rPr>
      </w:pPr>
      <w:r>
        <w:rPr>
          <w:rFonts w:ascii="Times New Roman" w:hAnsi="Times New Roman"/>
          <w:noProof/>
          <w:sz w:val="24"/>
        </w:rPr>
        <w:t xml:space="preserve">Små och medelstora företag som står inför kompetensbrist </w:t>
      </w:r>
      <w:r>
        <w:rPr>
          <w:rStyle w:val="SubtitleChar"/>
          <w:rFonts w:ascii="Times New Roman" w:hAnsi="Times New Roman"/>
          <w:b/>
          <w:caps/>
          <w:noProof/>
          <w:sz w:val="24"/>
        </w:rPr>
        <w:t>(%)</w:t>
      </w:r>
    </w:p>
    <w:p w14:paraId="2CC69F4B" w14:textId="1156B0AB" w:rsidR="006D289C" w:rsidRPr="006D289C" w:rsidRDefault="007B2105" w:rsidP="00241384">
      <w:pPr>
        <w:rPr>
          <w:noProof/>
        </w:rPr>
      </w:pPr>
      <w:r w:rsidRPr="007B2105">
        <w:rPr>
          <w:noProof/>
          <w:lang w:val="en-GB" w:eastAsia="en-GB"/>
        </w:rPr>
        <w:drawing>
          <wp:inline distT="0" distB="0" distL="0" distR="0" wp14:anchorId="5D25EA6C" wp14:editId="08138128">
            <wp:extent cx="5943600" cy="1911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911350"/>
                    </a:xfrm>
                    <a:prstGeom prst="rect">
                      <a:avLst/>
                    </a:prstGeom>
                    <a:noFill/>
                    <a:ln>
                      <a:noFill/>
                    </a:ln>
                  </pic:spPr>
                </pic:pic>
              </a:graphicData>
            </a:graphic>
          </wp:inline>
        </w:drawing>
      </w:r>
    </w:p>
    <w:p w14:paraId="4B1C075E" w14:textId="5680517A" w:rsidR="004E0484" w:rsidRPr="00C67017" w:rsidRDefault="006340F0" w:rsidP="00C67017">
      <w:pPr>
        <w:autoSpaceDE w:val="0"/>
        <w:autoSpaceDN w:val="0"/>
        <w:rPr>
          <w:rFonts w:ascii="Times New Roman" w:hAnsi="Times New Roman"/>
          <w:i/>
          <w:noProof/>
          <w:sz w:val="24"/>
          <w:u w:val="single"/>
        </w:rPr>
      </w:pPr>
      <w:r>
        <w:rPr>
          <w:rFonts w:ascii="Times New Roman" w:hAnsi="Times New Roman"/>
          <w:noProof/>
          <w:sz w:val="24"/>
        </w:rPr>
        <w:pict w14:anchorId="2838C9B7">
          <v:roundrect id="Rectangle: Rounded Corners 12" o:spid="_x0000_s2083" style="position:absolute;left:0;text-align:left;margin-left:297.4pt;margin-top:102.5pt;width:164.75pt;height:132.1pt;z-index:251658240;visibility:visible;mso-wrap-distance-left:14.2pt;mso-wrap-distance-right:14.2pt;mso-wrap-distance-bottom:11.35pt;mso-position-horizontal-relative:margin;mso-width-relative:margin;mso-height-relative:margin;v-text-anchor:middle" arcsize="5273f" fillcolor="#def8f8 [664]" strokecolor="#5fdfdc [3208]" strokeweight="2.5pt">
            <v:stroke joinstyle="miter"/>
            <v:shadow color="#868686"/>
            <v:textbox style="mso-next-textbox:#Rectangle: Rounded Corners 12">
              <w:txbxContent>
                <w:p w14:paraId="7EADE19D" w14:textId="5B34B675" w:rsidR="008F0C07" w:rsidRPr="00241384" w:rsidRDefault="00A769F4" w:rsidP="00637EF0">
                  <w:pPr>
                    <w:pStyle w:val="Framebody"/>
                    <w:rPr>
                      <w:sz w:val="24"/>
                      <w:szCs w:val="24"/>
                    </w:rPr>
                  </w:pPr>
                  <w:r>
                    <w:rPr>
                      <w:b/>
                      <w:sz w:val="24"/>
                    </w:rPr>
                    <w:t>Sverige</w:t>
                  </w:r>
                  <w:r>
                    <w:rPr>
                      <w:sz w:val="24"/>
                    </w:rPr>
                    <w:t xml:space="preserve"> lockar och behåller internationell talang genom ett </w:t>
                  </w:r>
                  <w:r>
                    <w:rPr>
                      <w:b/>
                      <w:sz w:val="24"/>
                    </w:rPr>
                    <w:t>nytt uppehållstillstånd för högkvalificerade tredjelandsmedborgare</w:t>
                  </w:r>
                  <w:r>
                    <w:rPr>
                      <w:sz w:val="24"/>
                    </w:rPr>
                    <w:t xml:space="preserve"> och förstärkta kontrollåtgärder för att hantera missbruk av migrationsvägar.</w:t>
                  </w:r>
                </w:p>
              </w:txbxContent>
            </v:textbox>
            <w10:wrap type="square" anchorx="margin"/>
          </v:roundrect>
        </w:pict>
      </w:r>
      <w:r w:rsidR="00C67017">
        <w:rPr>
          <w:rFonts w:ascii="Times New Roman" w:hAnsi="Times New Roman"/>
          <w:b/>
          <w:noProof/>
          <w:sz w:val="24"/>
        </w:rPr>
        <w:t>Förbättrade lagliga migrationsvägar till EU kan bidra till att lediga platser kan tillsättas, samtidigt som ursprungsländerna gynnas.</w:t>
      </w:r>
      <w:r w:rsidR="00C67017">
        <w:rPr>
          <w:rFonts w:ascii="Times New Roman" w:hAnsi="Times New Roman"/>
          <w:noProof/>
          <w:sz w:val="24"/>
        </w:rPr>
        <w:t xml:space="preserve"> Industrin i EU understryker konsekvent behovet av att göra Europa mer attraktivt för talanger från tredjeländer. Detta kräver proaktiva åtgärder för att hjälpa arbetsgivare och arbetstagare att hitta varandra. Denna insikt har nåtts av flera medlemsstater, vilket framgår av det ökande antalet arbetstillstånd som utfärdas till tredjelandsmedborgare av anställningsrelaterade skäl</w:t>
      </w:r>
      <w:r w:rsidR="00C67017">
        <w:rPr>
          <w:rStyle w:val="FootnoteReference"/>
          <w:rFonts w:ascii="Times New Roman" w:eastAsia="Times New Roman" w:hAnsi="Times New Roman" w:cs="Times New Roman"/>
          <w:noProof/>
          <w:sz w:val="24"/>
          <w:lang w:val="en-IE"/>
        </w:rPr>
        <w:footnoteReference w:id="55"/>
      </w:r>
      <w:r w:rsidR="00C67017">
        <w:rPr>
          <w:noProof/>
        </w:rPr>
        <w:t>.</w:t>
      </w:r>
      <w:r w:rsidR="00C67017">
        <w:rPr>
          <w:rFonts w:ascii="Times New Roman" w:hAnsi="Times New Roman"/>
          <w:noProof/>
          <w:sz w:val="24"/>
        </w:rPr>
        <w:t xml:space="preserve"> </w:t>
      </w:r>
      <w:r w:rsidR="00C67017">
        <w:rPr>
          <w:rFonts w:ascii="Times New Roman" w:hAnsi="Times New Roman"/>
          <w:noProof/>
          <w:color w:val="000000" w:themeColor="text1"/>
          <w:sz w:val="24"/>
        </w:rPr>
        <w:t xml:space="preserve">EU strävar efter att stödja ursprungsländerna genom talangpartnerskap för att stärka deras ekonomiska bas och humankapital. </w:t>
      </w:r>
      <w:r w:rsidR="00C67017">
        <w:rPr>
          <w:rFonts w:ascii="Times New Roman" w:hAnsi="Times New Roman"/>
          <w:noProof/>
          <w:sz w:val="24"/>
        </w:rPr>
        <w:t>Att locka talanger från hela världen kräver riktade initiativ för arbetskraftsmigration som syftar till att ta itu med arbetskraftsbrist som inte går att åtgärda genom den inhemska arbetskraften, samtidigt som man tar hänsyn till tredjelandsmedborgares egna ambitioner och ursprungsländernas prioriteringar. Talangpartnerskapen mellan EU och tredjeländer kombinerar direkt stöd till rörlighetsprogram för arbete eller utbildning med kapacitetsuppbyggnad och investeringar i humankapital</w:t>
      </w:r>
      <w:r w:rsidR="00C67017">
        <w:rPr>
          <w:rStyle w:val="FootnoteReference"/>
          <w:rFonts w:ascii="Times New Roman" w:hAnsi="Times New Roman" w:cs="Times New Roman"/>
          <w:noProof/>
          <w:sz w:val="24"/>
        </w:rPr>
        <w:footnoteReference w:id="56"/>
      </w:r>
      <w:r w:rsidR="00C67017">
        <w:rPr>
          <w:rFonts w:ascii="Times New Roman" w:hAnsi="Times New Roman"/>
          <w:noProof/>
          <w:sz w:val="24"/>
        </w:rPr>
        <w:t xml:space="preserve"> för att säkerställa lika fördelar för medlemsstaterna, partnerländerna, näringslivet på båda sidor och de personer som gynnas. Enligt OECD tar endast fyra EU-länder</w:t>
      </w:r>
      <w:r w:rsidR="00C67017">
        <w:rPr>
          <w:rStyle w:val="FootnoteReference"/>
          <w:rFonts w:ascii="Times New Roman" w:eastAsia="Times New Roman" w:hAnsi="Times New Roman" w:cs="Times New Roman"/>
          <w:noProof/>
          <w:sz w:val="24"/>
          <w:lang w:val="en-IE"/>
        </w:rPr>
        <w:footnoteReference w:id="57"/>
      </w:r>
      <w:r w:rsidR="00C67017">
        <w:rPr>
          <w:rFonts w:ascii="Times New Roman" w:hAnsi="Times New Roman"/>
          <w:noProof/>
          <w:sz w:val="24"/>
        </w:rPr>
        <w:t xml:space="preserve"> plats bland de tio länder som är bäst på att locka till sig högutbildade talanger och entreprenörer från utlandet, däribland Sverige med sina gynnsamma villkor för utfärdande av visum för entreprenörer och en inkluderande, familjevänlig miljö</w:t>
      </w:r>
      <w:r w:rsidR="00C67017">
        <w:rPr>
          <w:rStyle w:val="FootnoteReference"/>
          <w:rFonts w:ascii="Times New Roman" w:eastAsia="Times New Roman" w:hAnsi="Times New Roman" w:cs="Times New Roman"/>
          <w:noProof/>
          <w:sz w:val="24"/>
          <w:lang w:val="en-IE"/>
        </w:rPr>
        <w:footnoteReference w:id="58"/>
      </w:r>
      <w:r w:rsidR="00C67017">
        <w:rPr>
          <w:noProof/>
        </w:rPr>
        <w:t>.</w:t>
      </w:r>
      <w:r w:rsidR="00C67017">
        <w:rPr>
          <w:rStyle w:val="FootnoteReference"/>
          <w:rFonts w:ascii="Times New Roman" w:hAnsi="Times New Roman"/>
          <w:noProof/>
          <w:sz w:val="24"/>
        </w:rPr>
        <w:t xml:space="preserve"> </w:t>
      </w:r>
      <w:r w:rsidR="00C67017">
        <w:rPr>
          <w:rFonts w:ascii="Times New Roman" w:hAnsi="Times New Roman"/>
          <w:noProof/>
          <w:sz w:val="24"/>
        </w:rPr>
        <w:t>Politiken måste också främja en framgångsrik integration av tredjelandsmedborgare i de europeiska samhällena, där integration och respekt för EU:s grundläggande värden och principer är både en rättighet och en skyldighet.</w:t>
      </w:r>
    </w:p>
    <w:p w14:paraId="40A58670" w14:textId="6629E6AD" w:rsidR="00AD2D92" w:rsidRPr="00A56B91" w:rsidRDefault="000E3BFE" w:rsidP="002E727D">
      <w:pPr>
        <w:rPr>
          <w:rFonts w:ascii="Times New Roman" w:hAnsi="Times New Roman" w:cs="Times New Roman"/>
          <w:noProof/>
          <w:sz w:val="24"/>
        </w:rPr>
      </w:pPr>
      <w:r>
        <w:rPr>
          <w:rFonts w:ascii="Times New Roman" w:hAnsi="Times New Roman"/>
          <w:b/>
          <w:noProof/>
          <w:sz w:val="24"/>
        </w:rPr>
        <w:t xml:space="preserve">Jobbmatchning och användning av lagliga migrationsvägar är ofta besvärlig och kostsam för både migranter och arbetsgivare. </w:t>
      </w:r>
      <w:r>
        <w:rPr>
          <w:rFonts w:ascii="Times New Roman" w:hAnsi="Times New Roman"/>
          <w:noProof/>
          <w:sz w:val="24"/>
        </w:rPr>
        <w:t xml:space="preserve">Tillträde till arbetsmarknaden bör underlättas genom att lagliga migranter garanteras rättvisa arbetsvillkor och genom snabbt erkännande av utländska kvalifikationer samt stöd för att undanröja administrativa och språkliga hinder. </w:t>
      </w:r>
      <w:r>
        <w:rPr>
          <w:rFonts w:ascii="Times New Roman" w:hAnsi="Times New Roman"/>
          <w:b/>
          <w:noProof/>
          <w:sz w:val="24"/>
        </w:rPr>
        <w:t>Tjeckien</w:t>
      </w:r>
      <w:r>
        <w:rPr>
          <w:rFonts w:ascii="Times New Roman" w:hAnsi="Times New Roman"/>
          <w:noProof/>
          <w:sz w:val="24"/>
        </w:rPr>
        <w:t xml:space="preserve"> har till exempel inrättat ett särskilt it-verktyg för bedömning av arbetskraftsbehov som skulle kunna tillgodoses genom migration, och </w:t>
      </w:r>
      <w:r>
        <w:rPr>
          <w:rFonts w:ascii="Times New Roman" w:hAnsi="Times New Roman"/>
          <w:b/>
          <w:noProof/>
          <w:sz w:val="24"/>
        </w:rPr>
        <w:t>Grekland</w:t>
      </w:r>
      <w:r>
        <w:rPr>
          <w:rFonts w:ascii="Times New Roman" w:hAnsi="Times New Roman"/>
          <w:noProof/>
          <w:sz w:val="24"/>
        </w:rPr>
        <w:t xml:space="preserve"> har en användarvänlig onlineplattform för att bättre matcha utbud och efterfrågan på kompetens. En mer samordnad strategi för att möta behoven hos arbetsgivare som söker arbetstagare i EU och hos dem som söker arbete bör främjas. Migranter har ofta jobb som inte motsvarar deras kompetens, och nästan 40 % av dem är överkvalificerade för sina jobb (jämfört med 20 % av EU-medborgarna). Medborgare från länder utanför EU och personer med migrationsbakgrund drabbas också ofta av diskriminering, dåliga arbetsvillkor och kan ibland sakna nödvändiga språkkunskaper. Till följd av detta har tredjelandsmedborgare i medlemsstaterna en lägre sysselsättningsgrad än inhemska medborgare och andra EU-medborgare, och det gäller även unga</w:t>
      </w:r>
      <w:r>
        <w:rPr>
          <w:rStyle w:val="FootnoteReference"/>
          <w:rFonts w:ascii="Times New Roman" w:eastAsia="Times New Roman" w:hAnsi="Times New Roman" w:cs="Times New Roman"/>
          <w:noProof/>
          <w:color w:val="000000" w:themeColor="text1"/>
          <w:sz w:val="24"/>
          <w:lang w:val="en-IE"/>
        </w:rPr>
        <w:footnoteReference w:id="59"/>
      </w:r>
      <w:r>
        <w:rPr>
          <w:noProof/>
        </w:rPr>
        <w:t>.</w:t>
      </w:r>
      <w:r>
        <w:rPr>
          <w:rFonts w:ascii="Times New Roman" w:hAnsi="Times New Roman"/>
          <w:noProof/>
          <w:sz w:val="24"/>
        </w:rPr>
        <w:t xml:space="preserve"> Detta motiverar ytterligare behovet av välorganiserade och välordnade kanaler för arbetskraftinvandring till EU.</w:t>
      </w: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498"/>
      </w:tblGrid>
      <w:tr w:rsidR="00AB1E7F" w:rsidRPr="00A56B91" w14:paraId="2A218BE0" w14:textId="77777777" w:rsidTr="00637EF0">
        <w:trPr>
          <w:trHeight w:val="274"/>
        </w:trPr>
        <w:tc>
          <w:tcPr>
            <w:tcW w:w="9498" w:type="dxa"/>
            <w:shd w:val="clear" w:color="auto" w:fill="FFF2CC" w:themeFill="accent1" w:themeFillTint="33"/>
          </w:tcPr>
          <w:p w14:paraId="5D479D8E" w14:textId="43F70BCF" w:rsidR="00AB1E7F" w:rsidRPr="00A56B91" w:rsidRDefault="00AB1E7F" w:rsidP="00C67017">
            <w:pPr>
              <w:pStyle w:val="Boxtitle"/>
              <w:jc w:val="both"/>
              <w:rPr>
                <w:rFonts w:ascii="Times New Roman" w:hAnsi="Times New Roman"/>
                <w:noProof/>
              </w:rPr>
            </w:pPr>
            <w:r>
              <w:rPr>
                <w:rFonts w:ascii="Times New Roman" w:hAnsi="Times New Roman"/>
                <w:noProof/>
              </w:rPr>
              <w:t>Viktiga verktyg på EU-nivå:</w:t>
            </w:r>
          </w:p>
          <w:p w14:paraId="1C0AF039" w14:textId="6FABB9FC" w:rsidR="008E2979" w:rsidRPr="00C67017" w:rsidRDefault="30FF6C4F" w:rsidP="00C67017">
            <w:pPr>
              <w:pStyle w:val="Paragraphedelistebullets"/>
              <w:jc w:val="both"/>
              <w:rPr>
                <w:rStyle w:val="eop"/>
                <w:rFonts w:ascii="EC Square Sans Pro" w:hAnsi="EC Square Sans Pro"/>
                <w:b/>
                <w:noProof/>
                <w:color w:val="5FDFDC" w:themeColor="accent5"/>
              </w:rPr>
            </w:pPr>
            <w:r>
              <w:rPr>
                <w:rStyle w:val="normaltextrun"/>
                <w:b/>
                <w:noProof/>
              </w:rPr>
              <w:t>EU:s reviderade blåkortsdirektiv</w:t>
            </w:r>
            <w:r>
              <w:rPr>
                <w:rStyle w:val="FootnoteReference"/>
                <w:noProof/>
              </w:rPr>
              <w:footnoteReference w:id="60"/>
            </w:r>
            <w:r>
              <w:rPr>
                <w:rStyle w:val="normaltextrun"/>
                <w:noProof/>
              </w:rPr>
              <w:t>, som kommer att träda i kraft den 19 november 2023, kommer att underlätta rekryteringen av högkvalificerade arbetstagare i EU.</w:t>
            </w:r>
            <w:r>
              <w:rPr>
                <w:rStyle w:val="eop"/>
                <w:rFonts w:ascii="Calibri" w:hAnsi="Calibri"/>
                <w:noProof/>
                <w:color w:val="000000" w:themeColor="text1"/>
              </w:rPr>
              <w:t xml:space="preserve"> </w:t>
            </w:r>
          </w:p>
          <w:p w14:paraId="3AB90E6B" w14:textId="7B09A1F3" w:rsidR="009C0EDF" w:rsidRPr="00C67017" w:rsidRDefault="009C0EDF" w:rsidP="00C67017">
            <w:pPr>
              <w:pStyle w:val="Paragraphedelistebullets"/>
              <w:jc w:val="both"/>
              <w:rPr>
                <w:rStyle w:val="normaltextrun"/>
                <w:rFonts w:ascii="EC Square Sans Pro" w:hAnsi="EC Square Sans Pro"/>
                <w:noProof/>
                <w:sz w:val="22"/>
              </w:rPr>
            </w:pPr>
            <w:r>
              <w:rPr>
                <w:rStyle w:val="normaltextrun"/>
                <w:noProof/>
              </w:rPr>
              <w:t xml:space="preserve">Genom </w:t>
            </w:r>
            <w:r>
              <w:rPr>
                <w:rStyle w:val="normaltextrun"/>
                <w:b/>
                <w:noProof/>
              </w:rPr>
              <w:t>direktivet om kombinerat tillstånd</w:t>
            </w:r>
            <w:r>
              <w:rPr>
                <w:rStyle w:val="FootnoteReference"/>
                <w:noProof/>
              </w:rPr>
              <w:footnoteReference w:id="61"/>
            </w:r>
            <w:r>
              <w:rPr>
                <w:rStyle w:val="FootnoteReference"/>
                <w:noProof/>
              </w:rPr>
              <w:t xml:space="preserve"> </w:t>
            </w:r>
            <w:r>
              <w:rPr>
                <w:noProof/>
              </w:rPr>
              <w:t xml:space="preserve"> </w:t>
            </w:r>
            <w:r>
              <w:rPr>
                <w:rStyle w:val="normaltextrun"/>
                <w:noProof/>
              </w:rPr>
              <w:t xml:space="preserve">inrättas ett enda tillstånd för rätten att arbeta samt en uppsättning rättigheter för arbetstagare från tredjeländer, och i </w:t>
            </w:r>
            <w:r>
              <w:rPr>
                <w:rStyle w:val="normaltextrun"/>
                <w:b/>
                <w:noProof/>
              </w:rPr>
              <w:t>direktivet om varaktigt bosatta tredjelandsmedborgare</w:t>
            </w:r>
            <w:r>
              <w:rPr>
                <w:rStyle w:val="FootnoteReference"/>
                <w:noProof/>
              </w:rPr>
              <w:footnoteReference w:id="62"/>
            </w:r>
            <w:r>
              <w:rPr>
                <w:rStyle w:val="normaltextrun"/>
                <w:noProof/>
              </w:rPr>
              <w:t xml:space="preserve"> fastställs de regler som gäller för att erhålla ställning som varaktigt bosatt i EU. Båda direktiven håller på att ses över</w:t>
            </w:r>
            <w:r>
              <w:rPr>
                <w:noProof/>
              </w:rPr>
              <w:t xml:space="preserve"> i syfte att effektivisera och </w:t>
            </w:r>
            <w:r>
              <w:rPr>
                <w:rStyle w:val="normaltextrun"/>
                <w:noProof/>
              </w:rPr>
              <w:t xml:space="preserve">underlätta integrationen av tredjelandsmedborgare och stärka deras rättigheter. </w:t>
            </w:r>
          </w:p>
          <w:p w14:paraId="699C4D49" w14:textId="2CA4041D" w:rsidR="006734F8" w:rsidRPr="00C67017" w:rsidRDefault="009777DE" w:rsidP="00C67017">
            <w:pPr>
              <w:pStyle w:val="Paragraphedelistebullets"/>
              <w:jc w:val="both"/>
              <w:rPr>
                <w:rStyle w:val="eop"/>
                <w:rFonts w:ascii="EC Square Sans Pro" w:hAnsi="EC Square Sans Pro"/>
                <w:noProof/>
                <w:sz w:val="22"/>
              </w:rPr>
            </w:pPr>
            <w:r>
              <w:rPr>
                <w:rStyle w:val="normaltextrun"/>
                <w:b/>
                <w:noProof/>
              </w:rPr>
              <w:t>Talangpartnerskap</w:t>
            </w:r>
            <w:r>
              <w:rPr>
                <w:rStyle w:val="normaltextrun"/>
                <w:noProof/>
              </w:rPr>
              <w:t xml:space="preserve"> med utvalda tredjeländer (för närvarande Marocko, Tunisien, Egypten, Bangladesh och Pakistan</w:t>
            </w:r>
            <w:r>
              <w:rPr>
                <w:rStyle w:val="FootnoteReference"/>
                <w:noProof/>
              </w:rPr>
              <w:footnoteReference w:id="63"/>
            </w:r>
            <w:r>
              <w:rPr>
                <w:rStyle w:val="normaltextrun"/>
                <w:noProof/>
              </w:rPr>
              <w:t>) stärker de lagliga vägarna avseende internationell rörlighet för arbetskraft och utvecklar talang på ett sätt som är ömsesidigt, med respekt för partnerländernas eventuella farhågor.</w:t>
            </w:r>
          </w:p>
          <w:p w14:paraId="12A39F83" w14:textId="249C81F4" w:rsidR="00962B78" w:rsidRPr="006260B2" w:rsidRDefault="4EF77D6F" w:rsidP="00C67017">
            <w:pPr>
              <w:pStyle w:val="Paragraphedelistebullets"/>
              <w:jc w:val="both"/>
              <w:rPr>
                <w:noProof/>
              </w:rPr>
            </w:pPr>
            <w:r>
              <w:rPr>
                <w:noProof/>
              </w:rPr>
              <w:t xml:space="preserve">I </w:t>
            </w:r>
            <w:r>
              <w:rPr>
                <w:b/>
                <w:noProof/>
              </w:rPr>
              <w:t>handlingsplanen för integration och inkludering för 2021–2027</w:t>
            </w:r>
            <w:r>
              <w:rPr>
                <w:rStyle w:val="FootnoteReference"/>
                <w:noProof/>
              </w:rPr>
              <w:footnoteReference w:id="64"/>
            </w:r>
            <w:r>
              <w:rPr>
                <w:noProof/>
              </w:rPr>
              <w:t xml:space="preserve"> föreslås stöd till medlemsstaterna genom åtgärder som bland annat syftar till att förbättra sysselsättningsmöjligheter och erkännandet av migranters kvalifikationer eller till att ta fram inkluderande utbildning. </w:t>
            </w:r>
          </w:p>
          <w:p w14:paraId="5C67DEC8" w14:textId="3B96DA98" w:rsidR="00FB0D15" w:rsidRPr="006260B2" w:rsidRDefault="00EA71F6" w:rsidP="00C67017">
            <w:pPr>
              <w:pStyle w:val="Paragraphedelistebullets"/>
              <w:jc w:val="both"/>
              <w:rPr>
                <w:noProof/>
              </w:rPr>
            </w:pPr>
            <w:r>
              <w:rPr>
                <w:b/>
                <w:noProof/>
              </w:rPr>
              <w:t>Frihandelsavtal</w:t>
            </w:r>
            <w:r>
              <w:rPr>
                <w:noProof/>
              </w:rPr>
              <w:t xml:space="preserve"> med tredjeländer, inbegripet de avtal som är föremål för nuvarande förhandlingar med Australien, Indonesien, Indien och Thailand, bör innehålla bestämmelser som stöder rörligheten för kvalificerade yrkesutövare.</w:t>
            </w:r>
          </w:p>
          <w:p w14:paraId="0477A295" w14:textId="5E2D0F32" w:rsidR="00962B78" w:rsidRPr="00A56B91" w:rsidRDefault="00590F38" w:rsidP="008D6DF0">
            <w:pPr>
              <w:pStyle w:val="Boxtitle"/>
              <w:jc w:val="both"/>
              <w:rPr>
                <w:rFonts w:ascii="Times New Roman" w:hAnsi="Times New Roman"/>
                <w:noProof/>
              </w:rPr>
            </w:pPr>
            <w:r>
              <w:rPr>
                <w:rFonts w:ascii="Times New Roman" w:hAnsi="Times New Roman"/>
                <w:noProof/>
              </w:rPr>
              <w:t>Nästa steg:</w:t>
            </w:r>
          </w:p>
          <w:p w14:paraId="58B7C9F5" w14:textId="254CC1AD" w:rsidR="00A24BB1" w:rsidRPr="006260B2" w:rsidRDefault="002F7406" w:rsidP="00C67017">
            <w:pPr>
              <w:pStyle w:val="Paragraphedelistebullets"/>
              <w:jc w:val="both"/>
              <w:rPr>
                <w:noProof/>
              </w:rPr>
            </w:pPr>
            <w:r>
              <w:rPr>
                <w:noProof/>
              </w:rPr>
              <w:t xml:space="preserve">Kommissionen kommer att lägga fram ett </w:t>
            </w:r>
            <w:r>
              <w:rPr>
                <w:b/>
                <w:noProof/>
              </w:rPr>
              <w:t>paket om talangers möjlighet till rörlighet</w:t>
            </w:r>
            <w:r>
              <w:rPr>
                <w:noProof/>
              </w:rPr>
              <w:t xml:space="preserve"> i november 2023, inklusive ett förslag om en EU-talangreserv i form av en it-plattform för att underlätta jobbmatchning mellan arbetsgivare i EU och arbetssökande från tredjeländer, en rekommendation om erkännande av tredjelandsmedborgares kvalifikationer samt ett förslag till rådets rekommendation om en ram för rörlighet i utbildningssyfte.</w:t>
            </w:r>
          </w:p>
          <w:p w14:paraId="3CE4A1D7" w14:textId="64D33F8E" w:rsidR="00625A78" w:rsidRPr="006260B2" w:rsidRDefault="0089612F" w:rsidP="00C67017">
            <w:pPr>
              <w:pStyle w:val="Paragraphedelistebullets"/>
              <w:jc w:val="both"/>
              <w:rPr>
                <w:noProof/>
              </w:rPr>
            </w:pPr>
            <w:r>
              <w:rPr>
                <w:noProof/>
              </w:rPr>
              <w:t xml:space="preserve">Genom </w:t>
            </w:r>
            <w:r>
              <w:rPr>
                <w:b/>
                <w:noProof/>
              </w:rPr>
              <w:t>plattformen för arbetskraftsmigration</w:t>
            </w:r>
            <w:r>
              <w:rPr>
                <w:noProof/>
              </w:rPr>
              <w:t xml:space="preserve"> kommer medlemsstaterna och kommissionen att ytterligare stärka samarbetet för att underlätta migration så att den regionala bristen på arbetskraft i alla medlemsstater kan avhjälpas. </w:t>
            </w:r>
          </w:p>
        </w:tc>
      </w:tr>
    </w:tbl>
    <w:p w14:paraId="5F6B7ACE" w14:textId="65E43617" w:rsidR="00831E11" w:rsidRPr="00C67017" w:rsidRDefault="00D76196" w:rsidP="00285723">
      <w:pPr>
        <w:pStyle w:val="Heading1"/>
      </w:pPr>
      <w:r>
        <w:t xml:space="preserve">GENOMFÖRANDET AV DEN DEMOGRAFISKA VERKTYGSLÅDAN </w:t>
      </w:r>
    </w:p>
    <w:p w14:paraId="3DCD3E0B" w14:textId="3F6E4BFB" w:rsidR="00307E6B" w:rsidRPr="00A56B91" w:rsidRDefault="00923AFB" w:rsidP="002E727D">
      <w:pPr>
        <w:rPr>
          <w:rFonts w:ascii="Times New Roman" w:hAnsi="Times New Roman" w:cs="Times New Roman"/>
          <w:noProof/>
          <w:sz w:val="24"/>
        </w:rPr>
      </w:pPr>
      <w:r>
        <w:rPr>
          <w:rFonts w:ascii="Times New Roman" w:hAnsi="Times New Roman"/>
          <w:b/>
          <w:noProof/>
          <w:sz w:val="24"/>
        </w:rPr>
        <w:t xml:space="preserve">Den demografiska verktygslådan kan bidra till att mobilisera politiska åtgärder på EU-nivå och nationell nivå. </w:t>
      </w:r>
      <w:r>
        <w:rPr>
          <w:rFonts w:ascii="Times New Roman" w:hAnsi="Times New Roman"/>
          <w:noProof/>
          <w:sz w:val="24"/>
        </w:rPr>
        <w:t>Kommissionen uppmanar medlemsstaterna att inrätta och genomföra integrerade strategier för att ta itu med befolkningsutvecklingen och integrera demografiska aspekter i all politik. Medlemsstaterna uppmanas att, i kombination med nationell politik, använda de verktyg som finns tillgängliga på EU-nivå. Genom den europeiska planeringsterminen mottog medlemsstaterna landsspecifika rekommendationer inom relevanta områden såsom pensioner, hälso- och sjukvård och långvarig vård och omsorg (samt om deras tillräcklighet och hållbarhet), barnomsorg, beskattning, subventionerade bostäder, kompetens, vuxenutbildning och sysselsättningspolitik. Åtgärder för att hantera befolkningsutvecklingen och dess konsekvenser bidrar också till mer omfattande framsteg i samhället, i linje med målen för hållbar utveckling.</w:t>
      </w:r>
    </w:p>
    <w:p w14:paraId="67FFD75E" w14:textId="2A596005" w:rsidR="005923B8" w:rsidRPr="00A56B91" w:rsidRDefault="006340F0" w:rsidP="005923B8">
      <w:pPr>
        <w:rPr>
          <w:rFonts w:ascii="Times New Roman" w:hAnsi="Times New Roman" w:cs="Times New Roman"/>
          <w:noProof/>
          <w:sz w:val="24"/>
        </w:rPr>
      </w:pPr>
      <w:r>
        <w:rPr>
          <w:rFonts w:ascii="Times New Roman" w:hAnsi="Times New Roman"/>
          <w:noProof/>
          <w:sz w:val="24"/>
        </w:rPr>
        <w:pict w14:anchorId="51AFFC2A">
          <v:roundrect id="_x0000_s2080" style="position:absolute;left:0;text-align:left;margin-left:272.05pt;margin-top:86.45pt;width:194.25pt;height:146.85pt;z-index:251658242;visibility:visible;mso-wrap-distance-left:14.2pt;mso-wrap-distance-right:14.2pt;mso-wrap-distance-bottom:11.35pt;mso-position-horizontal-relative:margin;mso-width-relative:margin;mso-height-relative:margin;v-text-anchor:middle" arcsize="5124f" fillcolor="#def8f8 [664]" strokecolor="#5fdfdc [3208]" strokeweight="2.5pt">
            <v:stroke joinstyle="miter"/>
            <v:shadow color="#868686"/>
            <v:textbox style="mso-next-textbox:#_x0000_s2080;mso-fit-shape-to-text:t" inset=",2.5mm,,2.5mm">
              <w:txbxContent>
                <w:p w14:paraId="64E3F042" w14:textId="463FA65A" w:rsidR="00EF7766" w:rsidRPr="00241384" w:rsidRDefault="00EF7766" w:rsidP="00241384">
                  <w:pPr>
                    <w:pStyle w:val="Framebody"/>
                    <w:rPr>
                      <w:sz w:val="24"/>
                      <w:szCs w:val="24"/>
                    </w:rPr>
                  </w:pPr>
                  <w:r>
                    <w:rPr>
                      <w:sz w:val="24"/>
                    </w:rPr>
                    <w:t xml:space="preserve">Sedan </w:t>
                  </w:r>
                  <w:r>
                    <w:rPr>
                      <w:b/>
                      <w:sz w:val="24"/>
                    </w:rPr>
                    <w:t>2006</w:t>
                  </w:r>
                  <w:r>
                    <w:rPr>
                      <w:sz w:val="24"/>
                    </w:rPr>
                    <w:t xml:space="preserve"> har Tyskland inrättat mer än </w:t>
                  </w:r>
                  <w:r>
                    <w:rPr>
                      <w:b/>
                      <w:sz w:val="24"/>
                    </w:rPr>
                    <w:t>540 flergenerationsboenden</w:t>
                  </w:r>
                  <w:r>
                    <w:rPr>
                      <w:sz w:val="24"/>
                    </w:rPr>
                    <w:t xml:space="preserve"> som ”centrala mötesplatser” för att främja social sammanhållning mellan generationerna. Dessa centrum ger det omgivande samhället stöd när det gäller att ta itu med utmaningarna med befolkningsutvecklingen på lokal nivå.</w:t>
                  </w:r>
                </w:p>
              </w:txbxContent>
            </v:textbox>
            <w10:wrap type="square" anchorx="margin"/>
          </v:roundrect>
        </w:pict>
      </w:r>
      <w:r w:rsidR="00C67017">
        <w:rPr>
          <w:rFonts w:ascii="Times New Roman" w:hAnsi="Times New Roman"/>
          <w:b/>
          <w:noProof/>
          <w:sz w:val="24"/>
        </w:rPr>
        <w:t xml:space="preserve">Jämställdhet, icke-diskriminering och rättvisa mellan generationerna måste stå i centrum för alla politiska åtgärder. </w:t>
      </w:r>
      <w:r w:rsidR="00C67017">
        <w:rPr>
          <w:rFonts w:ascii="Times New Roman" w:hAnsi="Times New Roman"/>
          <w:noProof/>
          <w:sz w:val="24"/>
        </w:rPr>
        <w:t>Det är absolut nödvändigt att de valda åtgärderna alltid slår vakt om och bidrar till jämställdhet och lika möjligheter, särskilt genom att förbättra kvinnors faktiska tillträde till arbetsmarknaden och göra det möjligt för människor i Europa att förverkliga sina personliga ambitioner och val. I detta avseende är den breda formella bestämmelsen om långvarig vård och omsorg av god kvalitet och till överkomliga priser en viktig politisk lösning. Samtidigt håller politiska lösningar som på ett ömsesidigt sätt gynnar flera eller alla generationer på att genomföras, och dessa bör stödjas inom flera olika politikområden såsom utbildning (t.ex. lärande mellan generationer, vilket främjar kunskap och gemensamt utvecklad kompetens), bostäder och omsorg (t.ex. flergenerationsboenden och samhällsbaserad vård, inklusive dagverksamhet för vuxna) samt på arbetsplatsen (t.ex. arbetskraft som består av personer från olika generationer, och som tillgodoser olika behov och investerar i ömsesidig kunskaps- och kompetensöverföring mellan generationer).</w:t>
      </w:r>
    </w:p>
    <w:p w14:paraId="275C2D4F" w14:textId="41C563DA" w:rsidR="005923B8" w:rsidRPr="00A56B91" w:rsidRDefault="005923B8" w:rsidP="002E727D">
      <w:pPr>
        <w:rPr>
          <w:rFonts w:ascii="Times New Roman" w:hAnsi="Times New Roman" w:cs="Times New Roman"/>
          <w:bCs/>
          <w:noProof/>
          <w:sz w:val="24"/>
        </w:rPr>
      </w:pPr>
      <w:r>
        <w:rPr>
          <w:rFonts w:ascii="Times New Roman" w:hAnsi="Times New Roman"/>
          <w:b/>
          <w:noProof/>
          <w:sz w:val="24"/>
        </w:rPr>
        <w:t xml:space="preserve">Medlemsstaternas politik för att hantera befolkningsutvecklingen bör utgå från lokala förhållanden. </w:t>
      </w:r>
      <w:r>
        <w:rPr>
          <w:rFonts w:ascii="Times New Roman" w:hAnsi="Times New Roman"/>
          <w:noProof/>
          <w:sz w:val="24"/>
        </w:rPr>
        <w:t xml:space="preserve">Eftersom utmaningarna skiljer sig åt mellan medlemsstater och regioner bör politiska åtgärder utformas och genomföras som en samordnad insats med aktivt deltagande av regionala och lokala myndigheter. Offentliga arbetsförmedlingar, arbetsmarknadens parter och det civila samhällets organisationer har också en roll att spela. Kommissionen är beredd att stödja medlemsstaterna i detta arbete, bland annat genom att främja ömsesidigt lärande och utbyte av bästa praxis på alla nivåer, till exempel inom ramen för mekanismen för talangsatsningar, som hjälper EU:s regioner att hantera effekterna av den demografiska omställningen. </w:t>
      </w:r>
      <w:bookmarkStart w:id="5" w:name="_Hlk147483407"/>
      <w:r>
        <w:rPr>
          <w:rFonts w:ascii="Times New Roman" w:hAnsi="Times New Roman"/>
          <w:noProof/>
          <w:sz w:val="24"/>
        </w:rPr>
        <w:t>Kommissionen kommer också att ägna särskild uppmärksamhet åt de särskilda utmaningar som hänger samman med landsbygdsområdenas befolkningsutveckling i sin kommande rapport om genomförandet av den långsiktiga visionen för landsbygdsområden, som planeras att offentliggöras i början av 2024.</w:t>
      </w:r>
    </w:p>
    <w:bookmarkEnd w:id="5"/>
    <w:p w14:paraId="34A926FD" w14:textId="77777777" w:rsidR="003831DC" w:rsidRDefault="00C911F6" w:rsidP="00241384">
      <w:pPr>
        <w:pStyle w:val="Subtitle"/>
        <w:spacing w:after="0"/>
        <w:rPr>
          <w:rFonts w:ascii="Times New Roman" w:hAnsi="Times New Roman"/>
          <w:noProof/>
          <w:sz w:val="24"/>
          <w:szCs w:val="24"/>
        </w:rPr>
      </w:pPr>
      <w:r>
        <w:rPr>
          <w:rFonts w:ascii="Times New Roman" w:hAnsi="Times New Roman"/>
          <w:noProof/>
          <w:sz w:val="24"/>
        </w:rPr>
        <w:t xml:space="preserve">Demografisk verktygslåda: </w:t>
      </w:r>
    </w:p>
    <w:p w14:paraId="355E7103" w14:textId="66BB4404" w:rsidR="005E18EB" w:rsidRPr="00A56B91" w:rsidRDefault="00C911F6" w:rsidP="003831DC">
      <w:pPr>
        <w:pStyle w:val="Subtitle"/>
        <w:rPr>
          <w:rFonts w:ascii="Times New Roman" w:hAnsi="Times New Roman"/>
          <w:noProof/>
          <w:sz w:val="24"/>
          <w:szCs w:val="24"/>
        </w:rPr>
      </w:pPr>
      <w:r>
        <w:rPr>
          <w:rFonts w:ascii="Times New Roman" w:hAnsi="Times New Roman"/>
          <w:noProof/>
          <w:sz w:val="24"/>
        </w:rPr>
        <w:t xml:space="preserve">viktiga verktyg på EU-nivå som är tillgängliga för medlemsstaterna </w:t>
      </w:r>
      <w:r w:rsidR="007B2105" w:rsidRPr="007B2105">
        <w:rPr>
          <w:noProof/>
          <w:lang w:val="en-GB" w:eastAsia="en-GB"/>
        </w:rPr>
        <w:drawing>
          <wp:inline distT="0" distB="0" distL="0" distR="0" wp14:anchorId="24FA9E5B" wp14:editId="5117C3C6">
            <wp:extent cx="5943600" cy="4248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248150"/>
                    </a:xfrm>
                    <a:prstGeom prst="rect">
                      <a:avLst/>
                    </a:prstGeom>
                    <a:noFill/>
                    <a:ln>
                      <a:noFill/>
                    </a:ln>
                  </pic:spPr>
                </pic:pic>
              </a:graphicData>
            </a:graphic>
          </wp:inline>
        </w:drawing>
      </w:r>
    </w:p>
    <w:p w14:paraId="6AAD9B82" w14:textId="5265C027" w:rsidR="00501D74" w:rsidRPr="00A56B91" w:rsidRDefault="00886C22" w:rsidP="00DE4A7D">
      <w:pPr>
        <w:rPr>
          <w:rFonts w:ascii="Times New Roman" w:hAnsi="Times New Roman" w:cs="Times New Roman"/>
          <w:noProof/>
          <w:sz w:val="24"/>
        </w:rPr>
      </w:pPr>
      <w:r>
        <w:rPr>
          <w:rFonts w:ascii="Times New Roman" w:hAnsi="Times New Roman"/>
          <w:b/>
          <w:noProof/>
          <w:sz w:val="24"/>
        </w:rPr>
        <w:t>Digital teknik kan stärka Europas konkurrensfördelar och bidra till att uppväga befolkningsutvecklingens konsekvenser.</w:t>
      </w:r>
      <w:r>
        <w:rPr>
          <w:rFonts w:ascii="Times New Roman" w:hAnsi="Times New Roman"/>
          <w:noProof/>
          <w:sz w:val="24"/>
        </w:rPr>
        <w:t xml:space="preserve"> Artificiell intelligens och automatisering håller redan på att omvandla ekonomin och arbetsmarknaderna i Europa. Om de utformas och genomförs väl kan politiska åtgärder som främjar innovation och en ökad tillämpning av teknik bidra till att uppväga befolkningsutvecklingens effekter på produktiviteten och den finanspolitiska hållbarheten. Tekniken kan också göra hälso- och sjukvården och långvarig vård och omsorg mer kostnadseffektiv samt förbättra tillgången till och kvaliteten på detta område för äldre människor och för personer med funktionsnedsättning eller nedsatt rörlighet, även på landsbygden och i avlägsna områden. Dessutom kan digitala verktyg bidra till en åldrande befolknings välbefinnande och främja hälsosammare och mer aktiva liv. De kan också underlätta social kontakt och därigenom minska den sociala isoleringen bland äldre personer, särskilt när digitala verktyg används för att underlätta verklig mellanmänsklig interaktion.</w:t>
      </w:r>
    </w:p>
    <w:p w14:paraId="30C020D6" w14:textId="7EF63EC6" w:rsidR="008051C2" w:rsidRPr="00A56B91" w:rsidRDefault="00EC49A3" w:rsidP="00DE4A7D">
      <w:pPr>
        <w:rPr>
          <w:rStyle w:val="normaltextrun"/>
          <w:rFonts w:ascii="Times New Roman" w:hAnsi="Times New Roman" w:cs="Times New Roman"/>
          <w:noProof/>
          <w:sz w:val="24"/>
          <w:highlight w:val="green"/>
        </w:rPr>
      </w:pPr>
      <w:r>
        <w:rPr>
          <w:rFonts w:ascii="Times New Roman" w:hAnsi="Times New Roman"/>
          <w:b/>
          <w:noProof/>
          <w:sz w:val="24"/>
        </w:rPr>
        <w:t>Utöver de rättsliga instrument och politiska ramar som anges ovan finns det en rad finansieringsinstrument på EU-nivå för att stödja medlemsstaterna.</w:t>
      </w:r>
      <w:r>
        <w:rPr>
          <w:rFonts w:ascii="Times New Roman" w:hAnsi="Times New Roman"/>
          <w:noProof/>
          <w:sz w:val="24"/>
        </w:rPr>
        <w:t xml:space="preserve"> Faciliteten för återhämtning och resiliens främjar reformer och investeringar inom verktygslådans fyra pelare, i synnerhet genom cirka 8 miljarder euro till förskoleverksamhet och barnomsorg</w:t>
      </w:r>
      <w:r>
        <w:rPr>
          <w:rStyle w:val="FootnoteReference"/>
          <w:rFonts w:ascii="Times New Roman" w:hAnsi="Times New Roman" w:cs="Times New Roman"/>
          <w:noProof/>
          <w:sz w:val="24"/>
        </w:rPr>
        <w:footnoteReference w:id="65"/>
      </w:r>
      <w:r>
        <w:rPr>
          <w:rFonts w:ascii="Times New Roman" w:hAnsi="Times New Roman"/>
          <w:noProof/>
          <w:sz w:val="24"/>
        </w:rPr>
        <w:t>, cirka 43,2 miljarder euro till utbildning</w:t>
      </w:r>
      <w:r>
        <w:rPr>
          <w:rStyle w:val="FootnoteReference"/>
          <w:rFonts w:ascii="Times New Roman" w:hAnsi="Times New Roman" w:cs="Times New Roman"/>
          <w:noProof/>
          <w:sz w:val="24"/>
        </w:rPr>
        <w:footnoteReference w:id="66"/>
      </w:r>
      <w:r>
        <w:rPr>
          <w:rFonts w:ascii="Times New Roman" w:hAnsi="Times New Roman"/>
          <w:noProof/>
          <w:sz w:val="24"/>
        </w:rPr>
        <w:t>, cirka 41,7 miljarder euro till kompetenshöjning och omskolning</w:t>
      </w:r>
      <w:r>
        <w:rPr>
          <w:rStyle w:val="FootnoteReference"/>
          <w:rFonts w:ascii="Times New Roman" w:hAnsi="Times New Roman" w:cs="Times New Roman"/>
          <w:noProof/>
          <w:sz w:val="24"/>
        </w:rPr>
        <w:footnoteReference w:id="67"/>
      </w:r>
      <w:r>
        <w:rPr>
          <w:rFonts w:ascii="Times New Roman" w:hAnsi="Times New Roman"/>
          <w:noProof/>
          <w:sz w:val="24"/>
        </w:rPr>
        <w:t>, cirka 48,2 miljarder euro till stöd för hälso- och sjukvård och långvarig vård och omsorg</w:t>
      </w:r>
      <w:r>
        <w:rPr>
          <w:rStyle w:val="FootnoteReference"/>
          <w:rFonts w:ascii="Times New Roman" w:hAnsi="Times New Roman" w:cs="Times New Roman"/>
          <w:noProof/>
          <w:sz w:val="24"/>
        </w:rPr>
        <w:footnoteReference w:id="68"/>
      </w:r>
      <w:r>
        <w:rPr>
          <w:rFonts w:ascii="Times New Roman" w:hAnsi="Times New Roman"/>
          <w:noProof/>
          <w:sz w:val="24"/>
        </w:rPr>
        <w:t xml:space="preserve"> samt cirka 15,1 miljarder euro till subventionerat boende och social infrastruktur</w:t>
      </w:r>
      <w:r>
        <w:rPr>
          <w:rStyle w:val="FootnoteReference"/>
          <w:rFonts w:ascii="Times New Roman" w:hAnsi="Times New Roman" w:cs="Times New Roman"/>
          <w:noProof/>
          <w:sz w:val="24"/>
        </w:rPr>
        <w:footnoteReference w:id="69"/>
      </w:r>
      <w:r>
        <w:rPr>
          <w:rFonts w:ascii="Times New Roman" w:hAnsi="Times New Roman"/>
          <w:noProof/>
          <w:sz w:val="24"/>
        </w:rPr>
        <w:t xml:space="preserve">. I partnerskapsavtalen för 2021–2027 har 26 medlemsstater angett att demografi är en stor utmaning för sina territorier och att den ska hanteras med stöd från sammanhållningsfonderna. Europeiska socialfonden+ (ESF+), EU:s främsta instrument för att investera i människor, tillhandahåller tillsammans med medlemsstaterna nästan 7 miljarder euro för att främja en jämn könsfördelning på arbetsmarknaden, lika arbetsvillkor och en bättre balans mellan arbete och privatliv, samt 427 miljoner euro för att stödja arbetstagarnas aktiva och hälsosamma åldrande. </w:t>
      </w:r>
      <w:r>
        <w:rPr>
          <w:rStyle w:val="normaltextrun"/>
          <w:rFonts w:ascii="Times New Roman" w:hAnsi="Times New Roman"/>
          <w:noProof/>
          <w:sz w:val="24"/>
        </w:rPr>
        <w:t>Den kommande halvtidsöversynen av de sammanhållningspolitiska programmen</w:t>
      </w:r>
      <w:r>
        <w:rPr>
          <w:rStyle w:val="FootnoteReference"/>
          <w:rFonts w:ascii="Times New Roman" w:hAnsi="Times New Roman" w:cs="Times New Roman"/>
          <w:noProof/>
          <w:sz w:val="24"/>
        </w:rPr>
        <w:footnoteReference w:id="70"/>
      </w:r>
      <w:r>
        <w:rPr>
          <w:rStyle w:val="normaltextrun"/>
          <w:rFonts w:ascii="Times New Roman" w:hAnsi="Times New Roman"/>
          <w:noProof/>
          <w:sz w:val="24"/>
        </w:rPr>
        <w:t xml:space="preserve">, som planeras vara klar i mitten av 2025 och styrs av de landsspecifika rekommendationer som antas 2024, kommer att utgöra ett tillfälle att bedöma situationen i dessa regioner och vid behov anpassa programplaneringen av de sammanhållningspolitiska medlen. </w:t>
      </w:r>
      <w:r>
        <w:rPr>
          <w:rFonts w:ascii="Times New Roman" w:hAnsi="Times New Roman"/>
          <w:noProof/>
          <w:sz w:val="24"/>
        </w:rPr>
        <w:t>Dessutom finansierar Horisont Europa forskning för att minska kompetensbrist och kompetensgap med 43 miljoner euro, samt för att hantera de samhällsekonomiska effekterna av befolkningsutvecklingen med 27 miljoner euro.</w:t>
      </w:r>
    </w:p>
    <w:p w14:paraId="0FC35678" w14:textId="47D326F8" w:rsidR="003B70B8" w:rsidRDefault="00B259C0" w:rsidP="00F82902">
      <w:pPr>
        <w:rPr>
          <w:rFonts w:ascii="Times New Roman" w:hAnsi="Times New Roman" w:cs="Times New Roman"/>
          <w:noProof/>
          <w:sz w:val="24"/>
        </w:rPr>
      </w:pPr>
      <w:r>
        <w:rPr>
          <w:rFonts w:ascii="Times New Roman" w:hAnsi="Times New Roman"/>
          <w:b/>
          <w:noProof/>
          <w:sz w:val="24"/>
        </w:rPr>
        <w:t>En effektiv hantering av befolkningsutvecklingen kräver omfattande kapacitet och detaljerade uppgifter av hög kvalitet på EU-nivå och nationell nivå för att man ska kunna samla in och bedöma uppgifter samt expertis i syfte att tillhandahålla analyser och vägledning om lämpliga lösningar.</w:t>
      </w:r>
      <w:r>
        <w:rPr>
          <w:rFonts w:ascii="Times New Roman" w:hAnsi="Times New Roman"/>
          <w:noProof/>
          <w:sz w:val="24"/>
        </w:rPr>
        <w:t xml:space="preserve"> Samordningsinsatser är också avgörande. På nationell nivå har medlemsstaterna gjort eller håller på att göra bedömningar av befolkningsutvecklingen och dess konsekvenser, bland annat i </w:t>
      </w:r>
      <w:r>
        <w:rPr>
          <w:rFonts w:ascii="Times New Roman" w:hAnsi="Times New Roman"/>
          <w:b/>
          <w:noProof/>
          <w:sz w:val="24"/>
        </w:rPr>
        <w:t>Nederländerna</w:t>
      </w:r>
      <w:r>
        <w:rPr>
          <w:rFonts w:ascii="Times New Roman" w:hAnsi="Times New Roman"/>
          <w:noProof/>
          <w:sz w:val="24"/>
        </w:rPr>
        <w:t xml:space="preserve"> genom den nya ”statliga kommittén för demografiska förändringar fram till 2050”. Som ett komplement till denna verksamhet innehåller den europeiska befolknings- och migrationsstatistiken och EU:s befolkningsatlas redan en unik mängd uppgifter, interaktiva kartor och diagram på området, utöver andra verktyg såsom observationsorganet för landsbygden. Det kommer dock att behöva läggas större fokus på att bygga upp faktaunderlaget och kapaciteten för att bedöma och ytterligare förutse demografiska trender och dess konsekvenser, inbegripet hur politiken kan utformas på ett bättre sätt för att tillgodose den föränderliga gruppen av äldre i våra samhällen. Ett viktigt steg i denna riktning är förslaget till förordning om europeisk statistik om befolkning och bostäder</w:t>
      </w:r>
      <w:r>
        <w:rPr>
          <w:rStyle w:val="FootnoteReference"/>
          <w:rFonts w:ascii="Times New Roman" w:hAnsi="Times New Roman" w:cs="Times New Roman"/>
          <w:noProof/>
          <w:sz w:val="24"/>
        </w:rPr>
        <w:footnoteReference w:id="71"/>
      </w:r>
      <w:r>
        <w:rPr>
          <w:rFonts w:ascii="Times New Roman" w:hAnsi="Times New Roman"/>
          <w:noProof/>
          <w:sz w:val="24"/>
        </w:rPr>
        <w:t xml:space="preserve"> som syftar till att modernisera och integrera befolkningsstatistik, internationell migration och folk- och bostadsräkning.</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1" w:themeFillTint="33"/>
        <w:tblCellMar>
          <w:top w:w="142" w:type="dxa"/>
          <w:left w:w="142" w:type="dxa"/>
          <w:bottom w:w="142" w:type="dxa"/>
          <w:right w:w="142" w:type="dxa"/>
        </w:tblCellMar>
        <w:tblLook w:val="04A0" w:firstRow="1" w:lastRow="0" w:firstColumn="1" w:lastColumn="0" w:noHBand="0" w:noVBand="1"/>
      </w:tblPr>
      <w:tblGrid>
        <w:gridCol w:w="9434"/>
      </w:tblGrid>
      <w:tr w:rsidR="005771E8" w:rsidRPr="00A56B91" w14:paraId="12855BF3" w14:textId="77777777" w:rsidTr="00555773">
        <w:tc>
          <w:tcPr>
            <w:tcW w:w="9434" w:type="dxa"/>
            <w:shd w:val="clear" w:color="auto" w:fill="FFF2CC" w:themeFill="accent1" w:themeFillTint="33"/>
          </w:tcPr>
          <w:p w14:paraId="51594D00" w14:textId="00DD825B" w:rsidR="00E02B27" w:rsidRPr="00A56B91" w:rsidRDefault="003B70B8" w:rsidP="00406AA2">
            <w:pPr>
              <w:pStyle w:val="Boxtitle"/>
              <w:rPr>
                <w:rFonts w:ascii="Times New Roman" w:hAnsi="Times New Roman"/>
                <w:noProof/>
              </w:rPr>
            </w:pPr>
            <w:r>
              <w:rPr>
                <w:noProof/>
              </w:rPr>
              <w:br w:type="page"/>
            </w:r>
            <w:r w:rsidR="00EE1B0E">
              <w:rPr>
                <w:rFonts w:ascii="Times New Roman" w:hAnsi="Times New Roman"/>
                <w:noProof/>
              </w:rPr>
              <w:t xml:space="preserve">I syfte att förbättra de tillgängliga verktygen kommer kommissionen att göra följande: </w:t>
            </w:r>
          </w:p>
          <w:p w14:paraId="5A706720" w14:textId="2DC01977" w:rsidR="005F4B8D" w:rsidRPr="00A56B91" w:rsidRDefault="005F4B8D" w:rsidP="00406AA2">
            <w:pPr>
              <w:pStyle w:val="Framesubtitle"/>
              <w:rPr>
                <w:rFonts w:ascii="Times New Roman" w:hAnsi="Times New Roman"/>
                <w:noProof/>
                <w:sz w:val="24"/>
                <w:szCs w:val="24"/>
              </w:rPr>
            </w:pPr>
            <w:r>
              <w:rPr>
                <w:rFonts w:ascii="Times New Roman" w:hAnsi="Times New Roman"/>
                <w:noProof/>
                <w:sz w:val="24"/>
              </w:rPr>
              <w:t>Förstärka uppgifts- och faktaunderlaget</w:t>
            </w:r>
          </w:p>
          <w:p w14:paraId="22475FC9" w14:textId="74D447DB" w:rsidR="00A469B7" w:rsidRPr="006260B2" w:rsidRDefault="00B067D3" w:rsidP="00C67017">
            <w:pPr>
              <w:pStyle w:val="Paragraphedelistebullets"/>
              <w:jc w:val="both"/>
              <w:rPr>
                <w:noProof/>
              </w:rPr>
            </w:pPr>
            <w:r>
              <w:rPr>
                <w:noProof/>
              </w:rPr>
              <w:t xml:space="preserve">Göra om </w:t>
            </w:r>
            <w:r>
              <w:rPr>
                <w:b/>
                <w:noProof/>
              </w:rPr>
              <w:t>befolkningsatlasen</w:t>
            </w:r>
            <w:r>
              <w:rPr>
                <w:noProof/>
              </w:rPr>
              <w:t xml:space="preserve"> till en dynamisk plattform där kunskap om befolkningsstatistik kan skapas och sprida på EU-nivå och därigenom underlätta utbytet mellan medlemsstaterna. </w:t>
            </w:r>
          </w:p>
          <w:p w14:paraId="69F58C5D" w14:textId="7437B5F8" w:rsidR="00173985" w:rsidRPr="006260B2" w:rsidRDefault="009B4FD4" w:rsidP="00C67017">
            <w:pPr>
              <w:pStyle w:val="Paragraphedelistebullets"/>
              <w:jc w:val="both"/>
              <w:rPr>
                <w:noProof/>
              </w:rPr>
            </w:pPr>
            <w:r>
              <w:rPr>
                <w:noProof/>
              </w:rPr>
              <w:t xml:space="preserve">Stödja medlemsstaterna i att inom ramen för det europeiska statistiksystemet </w:t>
            </w:r>
            <w:r>
              <w:rPr>
                <w:b/>
                <w:noProof/>
              </w:rPr>
              <w:t>förbättra sin statistik över befolkning och bostäder</w:t>
            </w:r>
            <w:r>
              <w:rPr>
                <w:noProof/>
              </w:rPr>
              <w:t>, samt genomföra innovativa åtgärder på grundval av det framtida regelverket för europeisk statistik om befolkning och bostäder.</w:t>
            </w:r>
          </w:p>
          <w:p w14:paraId="47E27B95" w14:textId="3421FFA0" w:rsidR="00F34DF3" w:rsidRPr="006260B2" w:rsidRDefault="009B4FD4" w:rsidP="00C67017">
            <w:pPr>
              <w:pStyle w:val="Paragraphedelistebullets"/>
              <w:jc w:val="both"/>
              <w:rPr>
                <w:noProof/>
              </w:rPr>
            </w:pPr>
            <w:r>
              <w:rPr>
                <w:noProof/>
              </w:rPr>
              <w:t xml:space="preserve">Stödja analytisk verksamhet inom ramen för </w:t>
            </w:r>
            <w:r>
              <w:rPr>
                <w:b/>
                <w:noProof/>
              </w:rPr>
              <w:t>delen om sysselsättning och social innovation i Europeiska socialfonden+</w:t>
            </w:r>
            <w:r>
              <w:rPr>
                <w:noProof/>
              </w:rPr>
              <w:t xml:space="preserve"> under 2024 och ta itu med viktiga aspekter av demografiska förändringar, särskilt när det gäller en längre förväntad livslängd, åldrande och långvarig vård och omsorg.</w:t>
            </w:r>
          </w:p>
          <w:p w14:paraId="34F0765B" w14:textId="179FEBD6" w:rsidR="008A053D" w:rsidRPr="006260B2" w:rsidRDefault="00DB5969" w:rsidP="00C67017">
            <w:pPr>
              <w:pStyle w:val="Paragraphedelistebullets"/>
              <w:jc w:val="both"/>
              <w:rPr>
                <w:noProof/>
              </w:rPr>
            </w:pPr>
            <w:r>
              <w:rPr>
                <w:noProof/>
              </w:rPr>
              <w:t xml:space="preserve">Stödja </w:t>
            </w:r>
            <w:r>
              <w:rPr>
                <w:b/>
                <w:noProof/>
              </w:rPr>
              <w:t>forskning</w:t>
            </w:r>
            <w:r>
              <w:rPr>
                <w:noProof/>
              </w:rPr>
              <w:t xml:space="preserve"> om politiska åtgärder avseende de demografiska utmaningarna </w:t>
            </w:r>
            <w:r>
              <w:rPr>
                <w:b/>
                <w:noProof/>
              </w:rPr>
              <w:t>genom Horisont Europa</w:t>
            </w:r>
            <w:r>
              <w:rPr>
                <w:noProof/>
              </w:rPr>
              <w:t>, inbegripet en studie om konsekvenserna av det ökade behovet av långvarig vård och omsorg som ska offentliggöras senast 2025.</w:t>
            </w:r>
          </w:p>
          <w:p w14:paraId="54BAF589" w14:textId="5E5DD503" w:rsidR="005F4B8D" w:rsidRPr="00A56B91" w:rsidRDefault="00173985" w:rsidP="00406AA2">
            <w:pPr>
              <w:pStyle w:val="Framesubtitle"/>
              <w:rPr>
                <w:rFonts w:ascii="Times New Roman" w:hAnsi="Times New Roman"/>
                <w:noProof/>
                <w:sz w:val="24"/>
                <w:szCs w:val="24"/>
              </w:rPr>
            </w:pPr>
            <w:r>
              <w:rPr>
                <w:rFonts w:ascii="Times New Roman" w:hAnsi="Times New Roman"/>
                <w:noProof/>
                <w:sz w:val="24"/>
              </w:rPr>
              <w:t>Stödja översyn och uppdatering av demografirelaterad politik på alla nivåer</w:t>
            </w:r>
          </w:p>
          <w:p w14:paraId="738805B3" w14:textId="4C12D8E9" w:rsidR="002D693A" w:rsidRPr="006260B2" w:rsidRDefault="009B4FD4" w:rsidP="00C67017">
            <w:pPr>
              <w:pStyle w:val="Paragraphedelistebullets"/>
              <w:jc w:val="both"/>
              <w:rPr>
                <w:noProof/>
              </w:rPr>
            </w:pPr>
            <w:r>
              <w:rPr>
                <w:noProof/>
              </w:rPr>
              <w:t xml:space="preserve">I samarbete med ordförandeskapet uppmuntra till </w:t>
            </w:r>
            <w:r>
              <w:rPr>
                <w:b/>
                <w:noProof/>
              </w:rPr>
              <w:t>regelbundna dialoger och utbyten</w:t>
            </w:r>
            <w:r>
              <w:rPr>
                <w:noProof/>
              </w:rPr>
              <w:t xml:space="preserve"> med medlemsstaterna om alla aspekter av demografi genom särskilda strukturer och resurser.</w:t>
            </w:r>
          </w:p>
          <w:p w14:paraId="7A839844" w14:textId="2256E96F" w:rsidR="00472F73" w:rsidRPr="006260B2" w:rsidRDefault="007B3C27" w:rsidP="00C67017">
            <w:pPr>
              <w:pStyle w:val="Paragraphedelistebullets"/>
              <w:jc w:val="both"/>
              <w:rPr>
                <w:noProof/>
              </w:rPr>
            </w:pPr>
            <w:r>
              <w:rPr>
                <w:noProof/>
              </w:rPr>
              <w:t xml:space="preserve">Utnyttja </w:t>
            </w:r>
            <w:r>
              <w:rPr>
                <w:b/>
                <w:noProof/>
              </w:rPr>
              <w:t>instrumentet för tekniskt stöd</w:t>
            </w:r>
            <w:r>
              <w:rPr>
                <w:noProof/>
              </w:rPr>
              <w:t xml:space="preserve"> för att på begäran hjälpa nationella myndigheter att utveckla eller uppdatera nationella strategier som syftar till att hantera befolkningsutvecklingen, särskilt med de tematiska flaggskeppen ”De unga först”, ”Kompetens”, ”Att undanröja hinder för regional utveckling” och ”Integrera migranter och locka talanger”.</w:t>
            </w:r>
          </w:p>
          <w:p w14:paraId="18AB16D8" w14:textId="472936D8" w:rsidR="00B25D05" w:rsidRPr="006260B2" w:rsidRDefault="009B4FD4" w:rsidP="00C67017">
            <w:pPr>
              <w:pStyle w:val="Paragraphedelistebullets"/>
              <w:jc w:val="both"/>
              <w:rPr>
                <w:b/>
                <w:noProof/>
              </w:rPr>
            </w:pPr>
            <w:r>
              <w:rPr>
                <w:noProof/>
              </w:rPr>
              <w:t xml:space="preserve">I början av 2024 offentliggörs den </w:t>
            </w:r>
            <w:r>
              <w:rPr>
                <w:b/>
                <w:noProof/>
              </w:rPr>
              <w:t>nionde sammanhållningsrapporten</w:t>
            </w:r>
            <w:r>
              <w:rPr>
                <w:noProof/>
              </w:rPr>
              <w:t>, som kommer att ge möjlighet till reflektion över hur sammanhållningspolitiken hjälper medlemsstaterna att ta itu med de demografiska utmaningarna.</w:t>
            </w:r>
          </w:p>
          <w:p w14:paraId="4C91A7A5" w14:textId="6A4CDA12" w:rsidR="00173985" w:rsidRPr="006260B2" w:rsidRDefault="003F4663" w:rsidP="00C67017">
            <w:pPr>
              <w:pStyle w:val="Paragraphedelistebullets"/>
              <w:jc w:val="both"/>
              <w:rPr>
                <w:noProof/>
              </w:rPr>
            </w:pPr>
            <w:r>
              <w:rPr>
                <w:b/>
                <w:noProof/>
              </w:rPr>
              <w:t>Integrera demografiska aspekter</w:t>
            </w:r>
            <w:r>
              <w:rPr>
                <w:noProof/>
              </w:rPr>
              <w:t xml:space="preserve"> i relevanta politiska förslag </w:t>
            </w:r>
            <w:r>
              <w:rPr>
                <w:b/>
                <w:noProof/>
              </w:rPr>
              <w:t>på EU-nivå</w:t>
            </w:r>
            <w:r>
              <w:rPr>
                <w:noProof/>
              </w:rPr>
              <w:t>, i tillämpliga fall med åtföljande konsekvensbedömningar.</w:t>
            </w:r>
          </w:p>
          <w:p w14:paraId="2E00BB35" w14:textId="187BF7FB" w:rsidR="003F4663" w:rsidRPr="006260B2" w:rsidRDefault="003F4663" w:rsidP="00C67017">
            <w:pPr>
              <w:pStyle w:val="Paragraphedelistebullets"/>
              <w:jc w:val="both"/>
              <w:rPr>
                <w:noProof/>
              </w:rPr>
            </w:pPr>
            <w:r>
              <w:rPr>
                <w:b/>
                <w:noProof/>
              </w:rPr>
              <w:t>Anordna en tematisk konferens under första halvan av 2024</w:t>
            </w:r>
            <w:r>
              <w:rPr>
                <w:noProof/>
              </w:rPr>
              <w:t xml:space="preserve"> med diskussioner om hur system och politik kan upprätthålla livslängden i Europa, med utgångspunkt i de viktigaste resultaten av rapporterna om pensionernas tillräcklighet och åldrande.</w:t>
            </w:r>
          </w:p>
          <w:p w14:paraId="4E492884" w14:textId="30A1BDFA" w:rsidR="00173985" w:rsidRPr="00A56B91" w:rsidRDefault="005611E3" w:rsidP="00406AA2">
            <w:pPr>
              <w:pStyle w:val="Framesubtitle"/>
              <w:rPr>
                <w:rFonts w:ascii="Times New Roman" w:hAnsi="Times New Roman"/>
                <w:noProof/>
                <w:sz w:val="24"/>
                <w:szCs w:val="24"/>
              </w:rPr>
            </w:pPr>
            <w:r>
              <w:rPr>
                <w:rFonts w:ascii="Times New Roman" w:hAnsi="Times New Roman"/>
                <w:noProof/>
                <w:sz w:val="24"/>
              </w:rPr>
              <w:t>Se till att ingen region i EU lämnas utanför</w:t>
            </w:r>
          </w:p>
          <w:p w14:paraId="63253DD4" w14:textId="324AA56F" w:rsidR="0016116F" w:rsidRPr="006260B2" w:rsidRDefault="001245DC" w:rsidP="00C67017">
            <w:pPr>
              <w:pStyle w:val="Paragraphedelistebullets"/>
              <w:jc w:val="both"/>
              <w:rPr>
                <w:b/>
                <w:i/>
                <w:noProof/>
              </w:rPr>
            </w:pPr>
            <w:r>
              <w:rPr>
                <w:noProof/>
              </w:rPr>
              <w:t xml:space="preserve">Officiellt lansera plattformen </w:t>
            </w:r>
            <w:r>
              <w:rPr>
                <w:b/>
                <w:noProof/>
              </w:rPr>
              <w:t>”Harnessing Talent”</w:t>
            </w:r>
            <w:r>
              <w:rPr>
                <w:noProof/>
              </w:rPr>
              <w:t xml:space="preserve"> den 23–24 november 2023 och gå vidare med ytterligare ansökningsomgångar inom ramen för mekanismen för talangsatsningar. </w:t>
            </w:r>
          </w:p>
          <w:p w14:paraId="527E2A82" w14:textId="3252CBC4" w:rsidR="00D841A8" w:rsidRPr="006260B2" w:rsidRDefault="00D841A8" w:rsidP="00C67017">
            <w:pPr>
              <w:pStyle w:val="Paragraphedelistebullets"/>
              <w:jc w:val="both"/>
              <w:rPr>
                <w:noProof/>
              </w:rPr>
            </w:pPr>
            <w:bookmarkStart w:id="6" w:name="_Hlk147483384"/>
            <w:r>
              <w:rPr>
                <w:noProof/>
              </w:rPr>
              <w:t xml:space="preserve">Rikta särskild uppmärksamhet åt de särskilda utmaningar som hänger samman med landsbygdsområdenas befolkningsutveckling i den kommande </w:t>
            </w:r>
            <w:r>
              <w:rPr>
                <w:b/>
                <w:noProof/>
              </w:rPr>
              <w:t>rapporten om genomförandet av den långsiktiga visionen för landsbygdsområden</w:t>
            </w:r>
            <w:r>
              <w:rPr>
                <w:noProof/>
              </w:rPr>
              <w:t>.</w:t>
            </w:r>
          </w:p>
          <w:bookmarkEnd w:id="6"/>
          <w:p w14:paraId="5D0F8579" w14:textId="0145DB1A" w:rsidR="00472632" w:rsidRPr="006260B2" w:rsidRDefault="001030EA" w:rsidP="00C67017">
            <w:pPr>
              <w:pStyle w:val="Paragraphedelistebullets"/>
              <w:jc w:val="both"/>
              <w:rPr>
                <w:b/>
                <w:i/>
                <w:noProof/>
              </w:rPr>
            </w:pPr>
            <w:r>
              <w:rPr>
                <w:noProof/>
              </w:rPr>
              <w:t xml:space="preserve">Bidra till att skapa </w:t>
            </w:r>
            <w:r>
              <w:rPr>
                <w:b/>
                <w:noProof/>
              </w:rPr>
              <w:t>100 regionala innovationsdalar</w:t>
            </w:r>
            <w:r>
              <w:rPr>
                <w:noProof/>
              </w:rPr>
              <w:t xml:space="preserve"> som involverar EU-regioner med sämre resultat vad gäller innovation, med en finansiering på 100 miljoner euro från Horisont Europa och 70 miljoner euro från instrumentet interregionala innovationsinvesteringar (I3) inom ramen för Eruf.</w:t>
            </w:r>
          </w:p>
          <w:p w14:paraId="5FB6B43B" w14:textId="339A0798" w:rsidR="00A25974" w:rsidRPr="006260B2" w:rsidRDefault="1C370CBB" w:rsidP="00C67017">
            <w:pPr>
              <w:pStyle w:val="Paragraphedelistebullets"/>
              <w:jc w:val="both"/>
              <w:rPr>
                <w:noProof/>
              </w:rPr>
            </w:pPr>
            <w:r>
              <w:rPr>
                <w:noProof/>
              </w:rPr>
              <w:t xml:space="preserve">Föra en regelbunden dialog i den av </w:t>
            </w:r>
            <w:r>
              <w:rPr>
                <w:b/>
                <w:noProof/>
              </w:rPr>
              <w:t>kommissionens expertgrupper</w:t>
            </w:r>
            <w:r>
              <w:rPr>
                <w:noProof/>
              </w:rPr>
              <w:t xml:space="preserve"> som arbetar med sammanhållningspolitiska fonder</w:t>
            </w:r>
            <w:r>
              <w:rPr>
                <w:rStyle w:val="FootnoteReference"/>
                <w:noProof/>
                <w:szCs w:val="24"/>
              </w:rPr>
              <w:footnoteReference w:id="72"/>
            </w:r>
            <w:r>
              <w:rPr>
                <w:noProof/>
              </w:rPr>
              <w:t xml:space="preserve"> om demografiska utmaningar och stöd från relevanta fonder, i syfte att säkerställa att demografiska utmaningar hanteras på lämpligt sätt under hela programplaneringen och genomförandet.</w:t>
            </w:r>
          </w:p>
          <w:p w14:paraId="0323E142" w14:textId="37222A1C" w:rsidR="005771E8" w:rsidRPr="006260B2" w:rsidRDefault="1C370CBB" w:rsidP="00C67017">
            <w:pPr>
              <w:pStyle w:val="Paragraphedelistebullets"/>
              <w:jc w:val="both"/>
              <w:rPr>
                <w:noProof/>
              </w:rPr>
            </w:pPr>
            <w:r>
              <w:rPr>
                <w:noProof/>
              </w:rPr>
              <w:t xml:space="preserve">Uppmana medlemsstaterna att utnyttja den kommande </w:t>
            </w:r>
            <w:r>
              <w:rPr>
                <w:b/>
                <w:noProof/>
              </w:rPr>
              <w:t>halvtidsöversynen av de sammanhållningspolitiska programmen</w:t>
            </w:r>
            <w:r>
              <w:rPr>
                <w:noProof/>
              </w:rPr>
              <w:t xml:space="preserve"> för att vid behov anpassa programmen till de behov som uppstår till följd av de demografiska utmaningarna.</w:t>
            </w:r>
            <w:r>
              <w:rPr>
                <w:b/>
                <w:i/>
                <w:noProof/>
              </w:rPr>
              <w:t xml:space="preserve"> </w:t>
            </w:r>
          </w:p>
        </w:tc>
      </w:tr>
    </w:tbl>
    <w:p w14:paraId="55769AED" w14:textId="5F65BBEE" w:rsidR="007B492A" w:rsidRPr="00C67017" w:rsidRDefault="007B492A" w:rsidP="00285723">
      <w:pPr>
        <w:pStyle w:val="Heading1"/>
      </w:pPr>
      <w:r>
        <w:t>SLUTSATS</w:t>
      </w:r>
    </w:p>
    <w:p w14:paraId="66D3318E" w14:textId="27FE705A" w:rsidR="00BE6548" w:rsidRPr="00A56B91" w:rsidRDefault="00F96C14" w:rsidP="00DE4A7D">
      <w:pPr>
        <w:rPr>
          <w:rFonts w:ascii="Times New Roman" w:hAnsi="Times New Roman" w:cs="Times New Roman"/>
          <w:noProof/>
          <w:sz w:val="24"/>
        </w:rPr>
      </w:pPr>
      <w:r>
        <w:rPr>
          <w:rFonts w:ascii="Times New Roman" w:hAnsi="Times New Roman"/>
          <w:b/>
          <w:noProof/>
          <w:sz w:val="24"/>
        </w:rPr>
        <w:t xml:space="preserve">Befolkningsutvecklingen har en djupgående inverkan på våra liv och vår ekonomis konkurrenskraft. </w:t>
      </w:r>
      <w:r>
        <w:rPr>
          <w:rFonts w:ascii="Times New Roman" w:hAnsi="Times New Roman"/>
          <w:noProof/>
          <w:sz w:val="24"/>
        </w:rPr>
        <w:t>Samtidigt som ett samhälle där människor lever allt längre och friskare liv kan hjälpa oss att anpassa oss och utnyttja nya möjligheter kan en åldrande befolkning och en krympande befolkning i arbetsför ålder försvåra de befintliga utmaningarna som hänger samman med bristen på arbetskraft, produktivitet och offentliga budgetar, vilket har en negativ inverkan på ekonomin och samhället i stort. Demografiska trender kan också bidra till att öka klyftorna mellan regioner och länder, vilket kan undergräva den sociala sammanhållningen och förtroendet för våra demokratiska institutioner och deras förmåga att skapa välstånd och välbefinnande för alla.</w:t>
      </w:r>
    </w:p>
    <w:p w14:paraId="5B8C0B20" w14:textId="3A3EDBA3" w:rsidR="005B2A1B" w:rsidRPr="00A56B91" w:rsidRDefault="007C030D" w:rsidP="00DE4A7D">
      <w:pPr>
        <w:rPr>
          <w:rFonts w:ascii="Times New Roman" w:hAnsi="Times New Roman" w:cs="Times New Roman"/>
          <w:noProof/>
          <w:sz w:val="24"/>
        </w:rPr>
      </w:pPr>
      <w:r>
        <w:rPr>
          <w:rFonts w:ascii="Times New Roman" w:hAnsi="Times New Roman"/>
          <w:b/>
          <w:noProof/>
          <w:sz w:val="24"/>
        </w:rPr>
        <w:t xml:space="preserve">EU måste följa en övergripande strategi som ger alla generationer möjlighet att förverkliga sina talanger och ambitioner. </w:t>
      </w:r>
      <w:r>
        <w:rPr>
          <w:rFonts w:ascii="Times New Roman" w:hAnsi="Times New Roman"/>
          <w:noProof/>
          <w:sz w:val="24"/>
        </w:rPr>
        <w:t>I Granada uttryckte EU-ländernas ledare sin beslutsamhet att investera i framtidens kompetens och ta itu med de demografiska utmaningarna.</w:t>
      </w:r>
      <w:r>
        <w:rPr>
          <w:rFonts w:ascii="Times New Roman" w:hAnsi="Times New Roman"/>
          <w:b/>
          <w:noProof/>
          <w:sz w:val="24"/>
        </w:rPr>
        <w:t xml:space="preserve"> </w:t>
      </w:r>
      <w:r>
        <w:rPr>
          <w:rFonts w:ascii="Times New Roman" w:hAnsi="Times New Roman"/>
          <w:noProof/>
          <w:sz w:val="24"/>
        </w:rPr>
        <w:t>För att bygga upp en motståndskraftig, hållbar ekonomi för människor och ett samhälle där människor kan förverkliga sin potential är det viktigt att varsamt balansera olika politiska mål. EU:s och medlemsstaternas politik bör göra det möjligt för människor i hela Europa att förena familjeliv och avlönat arbete. Jämställdhet, icke-diskriminering, respekt för grundläggande rättigheter och rättvisa mellan generationerna måste alltid ligga till grund för vårt arbete. Mot bakgrund av en akut arbetskraftsbrist som pressar företag i hela EU är det också avgörande med laglig migration och en effektiv integration av tredjelandsmedborgare, som ett komplement till utnyttjandet av talang från unionen. Det planerade toppmötet om den sociala dialogen i Val Duchesse under första halvan av 2024 kommer att utgöra ett tillfälle att ytterligare ta itu med det akuta problemet med arbetskrafts- och kompetensbrist. För att ta itu med problemet med konkurrenskraft överlag har kommissionens ordförande gett Mario Draghi, f.d. ordförande för Europeiska centralbanken och Italiens regeringschef, i uppdrag att ta fram en rapport om framtiden för EU:s konkurrenskraft senast sommaren 2024.</w:t>
      </w:r>
    </w:p>
    <w:p w14:paraId="2EFFC39A" w14:textId="77523F9F" w:rsidR="00810036" w:rsidRPr="00A56B91" w:rsidRDefault="00825C51" w:rsidP="008D6DF0">
      <w:pPr>
        <w:rPr>
          <w:rFonts w:ascii="Times New Roman" w:hAnsi="Times New Roman" w:cs="Times New Roman"/>
          <w:noProof/>
          <w:sz w:val="24"/>
        </w:rPr>
      </w:pPr>
      <w:r>
        <w:rPr>
          <w:rFonts w:ascii="Times New Roman" w:hAnsi="Times New Roman"/>
          <w:b/>
          <w:noProof/>
          <w:sz w:val="24"/>
        </w:rPr>
        <w:t xml:space="preserve">Genom att arbeta tillsammans kan vi bli ett starkare och mer dynamiskt, konkurrenskraftigt och sammanhållet Europa. </w:t>
      </w:r>
      <w:r>
        <w:rPr>
          <w:rFonts w:ascii="Times New Roman" w:hAnsi="Times New Roman"/>
          <w:noProof/>
          <w:sz w:val="24"/>
        </w:rPr>
        <w:t>Detta meddelande tar upp viktiga reformer och investeringar som kommer att behövas för att ta itu med och hantera befolkningsutvecklingen i Europa. Såsom anges ovan bör beslutsfattare i medlemsstaterna tillämpa dessa på nationell och regional nivå enligt en strategi som omfattar hela statsförvaltningen. Kommissionen har åtagit sig att hjälpa medlemsstaterna att på ett effektivt sätt använda de verktyg som står till buds och att i detta syfte fortsätta att vidareutveckla dem. I sitt arbete bör beslutsfattarna också främja aktivt deltagande av medborgarna och involvera alla aktörer – bland annat arbetsmarknadens parter och civilsamhällets organisationer – och därigenom föra en politik som är grundad i lokala förhållanden. På så sätt kan vi hjälpa individer och samhällen att blomstra och främja både nuvarande och kommande generationers välfärd och välbefinnande.</w:t>
      </w:r>
    </w:p>
    <w:sectPr w:rsidR="00810036" w:rsidRPr="00A56B91" w:rsidSect="00637EF0">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851" w:left="1440" w:header="708" w:footer="5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76B7B" w14:textId="77777777" w:rsidR="006260B2" w:rsidRDefault="006260B2" w:rsidP="00B54742">
      <w:pPr>
        <w:spacing w:after="0" w:line="240" w:lineRule="auto"/>
      </w:pPr>
      <w:r>
        <w:separator/>
      </w:r>
    </w:p>
    <w:p w14:paraId="2BE30428" w14:textId="77777777" w:rsidR="006260B2" w:rsidRDefault="006260B2"/>
  </w:endnote>
  <w:endnote w:type="continuationSeparator" w:id="0">
    <w:p w14:paraId="488346B1" w14:textId="77777777" w:rsidR="006260B2" w:rsidRDefault="006260B2" w:rsidP="00B54742">
      <w:pPr>
        <w:spacing w:after="0" w:line="240" w:lineRule="auto"/>
      </w:pPr>
      <w:r>
        <w:continuationSeparator/>
      </w:r>
    </w:p>
    <w:p w14:paraId="6F3BD182" w14:textId="77777777" w:rsidR="006260B2" w:rsidRDefault="006260B2"/>
  </w:endnote>
  <w:endnote w:type="continuationNotice" w:id="1">
    <w:p w14:paraId="3636984C" w14:textId="77777777" w:rsidR="006260B2" w:rsidRDefault="006260B2">
      <w:pPr>
        <w:spacing w:after="0" w:line="240" w:lineRule="auto"/>
      </w:pPr>
    </w:p>
    <w:p w14:paraId="677D5B4C" w14:textId="77777777" w:rsidR="006260B2" w:rsidRDefault="00626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EC Square Sans Pro">
    <w:altName w:val="Calibri"/>
    <w:charset w:val="00"/>
    <w:family w:val="swiss"/>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C Square Sans Cond Pro Medium">
    <w:altName w:val="Arial"/>
    <w:charset w:val="00"/>
    <w:family w:val="swiss"/>
    <w:pitch w:val="variable"/>
    <w:sig w:usb0="20000287" w:usb1="00000001" w:usb2="00000000" w:usb3="00000000" w:csb0="0000019F" w:csb1="00000000"/>
  </w:font>
  <w:font w:name="EC Square Sans Pro Medium">
    <w:altName w:val="Arial"/>
    <w:charset w:val="00"/>
    <w:family w:val="swiss"/>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E88D" w14:textId="736A606B" w:rsidR="00DB1E6C" w:rsidRPr="006340F0" w:rsidRDefault="00DB1E6C" w:rsidP="00634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FD5B" w14:textId="0D47FB96" w:rsidR="00DB1E6C" w:rsidRPr="006340F0" w:rsidRDefault="006340F0" w:rsidP="006340F0">
    <w:pPr>
      <w:pStyle w:val="FooterCoverPage"/>
      <w:rPr>
        <w:rFonts w:ascii="Arial" w:hAnsi="Arial" w:cs="Arial"/>
        <w:b/>
        <w:sz w:val="48"/>
      </w:rPr>
    </w:pPr>
    <w:r w:rsidRPr="006340F0">
      <w:rPr>
        <w:rFonts w:ascii="Arial" w:hAnsi="Arial" w:cs="Arial"/>
        <w:b/>
        <w:sz w:val="48"/>
      </w:rPr>
      <w:t>SV</w:t>
    </w:r>
    <w:r w:rsidRPr="006340F0">
      <w:rPr>
        <w:rFonts w:ascii="Arial" w:hAnsi="Arial" w:cs="Arial"/>
        <w:b/>
        <w:sz w:val="48"/>
      </w:rPr>
      <w:tab/>
    </w:r>
    <w:r w:rsidRPr="006340F0">
      <w:rPr>
        <w:rFonts w:ascii="Arial" w:hAnsi="Arial" w:cs="Arial"/>
        <w:b/>
        <w:sz w:val="48"/>
      </w:rPr>
      <w:tab/>
    </w:r>
    <w:r w:rsidRPr="006340F0">
      <w:tab/>
    </w:r>
    <w:r w:rsidRPr="006340F0">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8EC4D" w14:textId="77777777" w:rsidR="006340F0" w:rsidRPr="006340F0" w:rsidRDefault="006340F0" w:rsidP="006340F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0930" w14:textId="77777777" w:rsidR="00B54742" w:rsidRDefault="00B54742">
    <w:pPr>
      <w:pStyle w:val="Footer"/>
    </w:pPr>
  </w:p>
  <w:p w14:paraId="0CF0CFAF" w14:textId="77777777" w:rsidR="001723BE" w:rsidRDefault="001723BE"/>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441347337"/>
      <w:docPartObj>
        <w:docPartGallery w:val="Page Numbers (Bottom of Page)"/>
        <w:docPartUnique/>
      </w:docPartObj>
    </w:sdtPr>
    <w:sdtEndPr>
      <w:rPr>
        <w:noProof/>
      </w:rPr>
    </w:sdtEndPr>
    <w:sdtContent>
      <w:p w14:paraId="0A4ECC06" w14:textId="7D76DD70" w:rsidR="005363DA" w:rsidRPr="005363DA" w:rsidRDefault="005363DA">
        <w:pPr>
          <w:pStyle w:val="Footer"/>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6340F0" w:rsidRPr="006340F0">
          <w:rPr>
            <w:rFonts w:ascii="Times New Roman" w:hAnsi="Times New Roman" w:cs="Times New Roman"/>
            <w:noProof/>
          </w:rPr>
          <w:t>1</w:t>
        </w:r>
        <w:r>
          <w:rPr>
            <w:rFonts w:ascii="Times New Roman" w:hAnsi="Times New Roman" w:cs="Times New Roma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AC84" w14:textId="77777777" w:rsidR="00B54742" w:rsidRDefault="00B54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26454" w14:textId="77777777" w:rsidR="006260B2" w:rsidRPr="00E963CF" w:rsidRDefault="006260B2" w:rsidP="00E963CF">
      <w:pPr>
        <w:spacing w:after="0" w:line="240" w:lineRule="auto"/>
        <w:rPr>
          <w:b/>
          <w:color w:val="FFC000" w:themeColor="accent1"/>
          <w:sz w:val="28"/>
          <w:szCs w:val="28"/>
        </w:rPr>
      </w:pPr>
      <w:r>
        <w:rPr>
          <w:b/>
          <w:color w:val="FFC000" w:themeColor="accent1"/>
          <w:sz w:val="28"/>
          <w:szCs w:val="28"/>
        </w:rPr>
        <w:separator/>
      </w:r>
    </w:p>
  </w:footnote>
  <w:footnote w:type="continuationSeparator" w:id="0">
    <w:p w14:paraId="50CD148E" w14:textId="77777777" w:rsidR="006260B2" w:rsidRDefault="006260B2" w:rsidP="00B54742">
      <w:pPr>
        <w:spacing w:after="0" w:line="240" w:lineRule="auto"/>
      </w:pPr>
      <w:r>
        <w:continuationSeparator/>
      </w:r>
    </w:p>
    <w:p w14:paraId="669A6E44" w14:textId="77777777" w:rsidR="006260B2" w:rsidRDefault="006260B2"/>
  </w:footnote>
  <w:footnote w:type="continuationNotice" w:id="1">
    <w:p w14:paraId="0729EFDB" w14:textId="77777777" w:rsidR="006260B2" w:rsidRPr="00637EF0" w:rsidRDefault="006260B2" w:rsidP="00637EF0">
      <w:pPr>
        <w:pStyle w:val="Footer"/>
      </w:pPr>
    </w:p>
  </w:footnote>
  <w:footnote w:id="2">
    <w:p w14:paraId="049490F5" w14:textId="4E0E3210" w:rsidR="009646C4" w:rsidRPr="00241384" w:rsidRDefault="009646C4">
      <w:pPr>
        <w:pStyle w:val="FootnoteText"/>
        <w:rPr>
          <w:rFonts w:ascii="Times New Roman" w:hAnsi="Times New Roman" w:cs="Times New Roman"/>
        </w:rPr>
      </w:pPr>
      <w:r>
        <w:rPr>
          <w:rStyle w:val="FootnoteReference"/>
          <w:rFonts w:ascii="Times New Roman" w:hAnsi="Times New Roman" w:cs="Times New Roman"/>
          <w:sz w:val="16"/>
          <w:szCs w:val="16"/>
        </w:rPr>
        <w:footnoteRef/>
      </w:r>
      <w:r>
        <w:rPr>
          <w:rFonts w:ascii="Times New Roman" w:hAnsi="Times New Roman"/>
        </w:rPr>
        <w:t xml:space="preserve"> </w:t>
      </w:r>
      <w:r>
        <w:rPr>
          <w:rFonts w:ascii="Times New Roman" w:hAnsi="Times New Roman"/>
          <w:sz w:val="16"/>
        </w:rPr>
        <w:t>Rättvisa mellan generationerna är idén om rättvisa eller rättvisa mellan olika generationer. Begreppet kan tillämpas på rättvisa i dynamiken mellan barn, ungdomar, vuxna och äldre samt mellan nuvarande och kommande generationer. Det omfattar flera områden och ämnen, t.ex. ekonomisk eller social rättvisa, levnadsstandard eller klimatförändringar.</w:t>
      </w:r>
    </w:p>
  </w:footnote>
  <w:footnote w:id="3">
    <w:p w14:paraId="5D21928A" w14:textId="77777777" w:rsidR="00362125" w:rsidRPr="00C67017" w:rsidRDefault="00362125" w:rsidP="00362125">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Konferensen om Europas framtid, rapport om slutresultatet, maj 2022 (15. Förslag: Demografisk omställning).</w:t>
      </w:r>
    </w:p>
  </w:footnote>
  <w:footnote w:id="4">
    <w:p w14:paraId="497F3A54" w14:textId="76FAEDE0" w:rsidR="009A4D5A" w:rsidRPr="00C67017" w:rsidRDefault="009A4D5A"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FN:s avdelning för ekonomiska och sociala frågor, befolkningsavdelningen, om utsikterna för världens befolkning 2022.</w:t>
      </w:r>
    </w:p>
  </w:footnote>
  <w:footnote w:id="5">
    <w:p w14:paraId="2124DAF8" w14:textId="33F2C79D" w:rsidR="00364987" w:rsidRPr="002B65B0" w:rsidRDefault="00364987" w:rsidP="00DA3ACC">
      <w:pPr>
        <w:pStyle w:val="FootnoteText"/>
        <w:rPr>
          <w:rFonts w:ascii="Times New Roman" w:hAnsi="Times New Roman" w:cs="Times New Roman"/>
          <w:sz w:val="16"/>
          <w:szCs w:val="16"/>
          <w:lang w:val="en-IE"/>
        </w:rPr>
      </w:pPr>
      <w:r>
        <w:rPr>
          <w:rStyle w:val="FootnoteReference"/>
          <w:rFonts w:ascii="Times New Roman" w:hAnsi="Times New Roman" w:cs="Times New Roman"/>
          <w:sz w:val="16"/>
          <w:szCs w:val="16"/>
        </w:rPr>
        <w:footnoteRef/>
      </w:r>
      <w:r w:rsidRPr="002B65B0">
        <w:rPr>
          <w:rFonts w:ascii="Times New Roman" w:hAnsi="Times New Roman"/>
          <w:sz w:val="16"/>
          <w:lang w:val="en-IE"/>
        </w:rPr>
        <w:t xml:space="preserve"> </w:t>
      </w:r>
      <w:r w:rsidRPr="002B65B0">
        <w:rPr>
          <w:rFonts w:ascii="Times New Roman" w:hAnsi="Times New Roman"/>
          <w:i/>
          <w:sz w:val="16"/>
          <w:lang w:val="en-IE"/>
        </w:rPr>
        <w:t>Employment and Social Developments in Europe</w:t>
      </w:r>
      <w:r w:rsidRPr="002B65B0">
        <w:rPr>
          <w:rFonts w:ascii="Times New Roman" w:hAnsi="Times New Roman"/>
          <w:sz w:val="16"/>
          <w:lang w:val="en-IE"/>
        </w:rPr>
        <w:t xml:space="preserve">, </w:t>
      </w:r>
      <w:r w:rsidRPr="002B65B0">
        <w:rPr>
          <w:rFonts w:ascii="Times New Roman" w:hAnsi="Times New Roman"/>
          <w:i/>
          <w:iCs/>
          <w:sz w:val="16"/>
          <w:lang w:val="en-IE"/>
        </w:rPr>
        <w:t>Annual Review</w:t>
      </w:r>
      <w:r w:rsidRPr="002B65B0">
        <w:rPr>
          <w:rFonts w:ascii="Times New Roman" w:hAnsi="Times New Roman"/>
          <w:sz w:val="16"/>
          <w:lang w:val="en-IE"/>
        </w:rPr>
        <w:t>, SWD(2023) 248 final.</w:t>
      </w:r>
    </w:p>
  </w:footnote>
  <w:footnote w:id="6">
    <w:p w14:paraId="57A45B59" w14:textId="1BD2DD9A" w:rsidR="0065384B" w:rsidRPr="002B65B0" w:rsidRDefault="0065384B" w:rsidP="00DA3ACC">
      <w:pPr>
        <w:pStyle w:val="FootnoteText"/>
        <w:rPr>
          <w:rFonts w:ascii="Times New Roman" w:hAnsi="Times New Roman"/>
          <w:sz w:val="16"/>
          <w:lang w:val="en-IE"/>
        </w:rPr>
      </w:pPr>
      <w:r>
        <w:rPr>
          <w:rStyle w:val="FootnoteReference"/>
          <w:rFonts w:ascii="Times New Roman" w:hAnsi="Times New Roman"/>
          <w:sz w:val="16"/>
        </w:rPr>
        <w:footnoteRef/>
      </w:r>
      <w:r>
        <w:rPr>
          <w:rFonts w:ascii="Times New Roman" w:hAnsi="Times New Roman"/>
          <w:sz w:val="16"/>
        </w:rPr>
        <w:t xml:space="preserve"> Se rapporten om de demografiska förändringarnas konsekvenser, COM(2020) 241 final. </w:t>
      </w:r>
      <w:r w:rsidRPr="002B65B0">
        <w:rPr>
          <w:rFonts w:ascii="Times New Roman" w:hAnsi="Times New Roman"/>
          <w:i/>
          <w:iCs/>
          <w:sz w:val="16"/>
          <w:lang w:val="en-IE"/>
        </w:rPr>
        <w:t>The impact of demographic change – in a changing environment</w:t>
      </w:r>
      <w:r w:rsidRPr="002B65B0">
        <w:rPr>
          <w:rFonts w:ascii="Times New Roman" w:hAnsi="Times New Roman"/>
          <w:sz w:val="16"/>
          <w:lang w:val="en-IE"/>
        </w:rPr>
        <w:t xml:space="preserve"> (inte översatt till svenska), SWD(2023) 21 final.</w:t>
      </w:r>
    </w:p>
  </w:footnote>
  <w:footnote w:id="7">
    <w:p w14:paraId="4FC5C0B3" w14:textId="5C374D2B" w:rsidR="002302E6" w:rsidRPr="002B65B0" w:rsidRDefault="002302E6" w:rsidP="002302E6">
      <w:pPr>
        <w:pStyle w:val="FootnoteText"/>
        <w:rPr>
          <w:rFonts w:ascii="Times New Roman" w:hAnsi="Times New Roman" w:cs="Times New Roman"/>
          <w:sz w:val="16"/>
          <w:szCs w:val="16"/>
          <w:lang w:val="en-IE"/>
        </w:rPr>
      </w:pPr>
      <w:r>
        <w:rPr>
          <w:rStyle w:val="FootnoteReference"/>
          <w:rFonts w:ascii="Times New Roman" w:hAnsi="Times New Roman" w:cs="Times New Roman"/>
          <w:sz w:val="16"/>
          <w:szCs w:val="16"/>
        </w:rPr>
        <w:footnoteRef/>
      </w:r>
      <w:r w:rsidRPr="002B65B0">
        <w:rPr>
          <w:rFonts w:ascii="Times New Roman" w:hAnsi="Times New Roman"/>
          <w:sz w:val="16"/>
          <w:lang w:val="en-IE"/>
        </w:rPr>
        <w:t xml:space="preserve"> </w:t>
      </w:r>
      <w:r w:rsidRPr="002B65B0">
        <w:rPr>
          <w:rFonts w:ascii="Times New Roman" w:hAnsi="Times New Roman"/>
          <w:i/>
          <w:sz w:val="16"/>
          <w:lang w:val="en-IE"/>
        </w:rPr>
        <w:t>Employment and Social Developments in Europe</w:t>
      </w:r>
      <w:r w:rsidRPr="002B65B0">
        <w:rPr>
          <w:rFonts w:ascii="Times New Roman" w:hAnsi="Times New Roman"/>
          <w:sz w:val="16"/>
          <w:lang w:val="en-IE"/>
        </w:rPr>
        <w:t>, Annual Review, SWD(2023) 248 final.</w:t>
      </w:r>
    </w:p>
  </w:footnote>
  <w:footnote w:id="8">
    <w:p w14:paraId="49D3BD40" w14:textId="4C8C67BC" w:rsidR="002C49C0" w:rsidRPr="00C67017" w:rsidRDefault="002C49C0" w:rsidP="002C49C0">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 en ”silverekonomi” tillgodoser den ekonomiska verksamheten behoven hos personer över 50 år, till exempel genom de produkter och tjänster som köps och den ytterligare ekonomiska verksamhet som dessa utgifter ger upphov till. Europeiska kommissionen (2018), Silverekonomin – Slutrapport, Europeiska unionens publikationsbyrå, Luxemburg.</w:t>
      </w:r>
    </w:p>
  </w:footnote>
  <w:footnote w:id="9">
    <w:p w14:paraId="39B35DB1" w14:textId="417477CE" w:rsidR="00E5614D" w:rsidRPr="00C67017" w:rsidRDefault="00E5614D" w:rsidP="00E5614D">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Flash Eurobarometer 534 om befolkningsutveckling i Europa (Fältarbete: 1.9–14.9.2023).</w:t>
      </w:r>
    </w:p>
  </w:footnote>
  <w:footnote w:id="10">
    <w:p w14:paraId="185E2831" w14:textId="2C24F1E1" w:rsidR="00C24091" w:rsidRPr="00C67017" w:rsidRDefault="00C24091">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Europeiska kommissionen (2021), </w:t>
      </w:r>
      <w:r>
        <w:rPr>
          <w:rFonts w:ascii="Times New Roman" w:hAnsi="Times New Roman"/>
          <w:i/>
          <w:sz w:val="16"/>
        </w:rPr>
        <w:t>The 2021 Ageing Report, Economic &amp; Budgetary Projections for the EU Member States</w:t>
      </w:r>
      <w:r>
        <w:rPr>
          <w:rFonts w:ascii="Times New Roman" w:hAnsi="Times New Roman"/>
          <w:sz w:val="16"/>
        </w:rPr>
        <w:t xml:space="preserve"> (inte översatt till svenska).</w:t>
      </w:r>
    </w:p>
  </w:footnote>
  <w:footnote w:id="11">
    <w:p w14:paraId="337207B0" w14:textId="1B54D573" w:rsidR="00B479BF" w:rsidRPr="00241384" w:rsidRDefault="00B479BF" w:rsidP="00B479BF">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Se högnivågruppens slutrapport om framtiden för socialt skydd och välfärdsstaten i EU (2023).</w:t>
      </w:r>
    </w:p>
  </w:footnote>
  <w:footnote w:id="12">
    <w:p w14:paraId="2EB11C43" w14:textId="35B4A11D" w:rsidR="00F5387A" w:rsidRPr="00C67017" w:rsidRDefault="00F5387A" w:rsidP="00F5387A">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Meddelande från kommissionen till Europaparlamentet, rådet, Europeiska ekonomiska och sociala kommittén samt Regionkommittén: </w:t>
      </w:r>
      <w:r>
        <w:rPr>
          <w:rFonts w:ascii="Times New Roman" w:hAnsi="Times New Roman"/>
          <w:i/>
          <w:sz w:val="16"/>
        </w:rPr>
        <w:t>Utnyttja talangen i Europas regioner</w:t>
      </w:r>
      <w:r>
        <w:rPr>
          <w:rFonts w:ascii="Times New Roman" w:hAnsi="Times New Roman"/>
          <w:sz w:val="16"/>
        </w:rPr>
        <w:t xml:space="preserve">, COM(2023) 32 final. </w:t>
      </w:r>
    </w:p>
  </w:footnote>
  <w:footnote w:id="13">
    <w:p w14:paraId="4417A6BE" w14:textId="6D95A914" w:rsidR="006D32D4" w:rsidRPr="00C67017" w:rsidRDefault="006D32D4">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Arbetsdokument från kommissionens avdelningar, SWD(2022) 24 final (följedokument till meddelandet om den åttonde sammanhållningsrapporten: Sammanhållning i Europa på väg mot 2050).</w:t>
      </w:r>
    </w:p>
  </w:footnote>
  <w:footnote w:id="14">
    <w:p w14:paraId="48FAF4A4" w14:textId="4C2BE3A6" w:rsidR="00DF43AC" w:rsidRPr="00C67017" w:rsidRDefault="00DF43AC">
      <w:pPr>
        <w:pStyle w:val="FootnoteText"/>
        <w:rPr>
          <w:rFonts w:ascii="Times New Roman" w:hAnsi="Times New Roman"/>
          <w:sz w:val="16"/>
        </w:rPr>
      </w:pPr>
      <w:r>
        <w:rPr>
          <w:rStyle w:val="FootnoteReference"/>
          <w:rFonts w:ascii="Times New Roman" w:hAnsi="Times New Roman"/>
          <w:sz w:val="16"/>
        </w:rPr>
        <w:footnoteRef/>
      </w:r>
      <w:r>
        <w:rPr>
          <w:rStyle w:val="FootnoteReference"/>
          <w:rFonts w:ascii="Times New Roman" w:hAnsi="Times New Roman"/>
          <w:sz w:val="16"/>
        </w:rPr>
        <w:t xml:space="preserve"> </w:t>
      </w:r>
      <w:r>
        <w:rPr>
          <w:rFonts w:ascii="Times New Roman" w:hAnsi="Times New Roman"/>
          <w:sz w:val="16"/>
        </w:rPr>
        <w:t xml:space="preserve">Europeiska kommissionen (2021), </w:t>
      </w:r>
      <w:r>
        <w:rPr>
          <w:rFonts w:ascii="Times New Roman" w:hAnsi="Times New Roman"/>
          <w:i/>
          <w:sz w:val="16"/>
        </w:rPr>
        <w:t>The Demographic Landscape of EU Territories</w:t>
      </w:r>
      <w:r>
        <w:rPr>
          <w:rFonts w:ascii="Times New Roman" w:hAnsi="Times New Roman"/>
          <w:sz w:val="16"/>
        </w:rPr>
        <w:t>, Europeiska unionens publikationsbyrå, Luxemburg.</w:t>
      </w:r>
    </w:p>
  </w:footnote>
  <w:footnote w:id="15">
    <w:p w14:paraId="7C5F17D2" w14:textId="3BC127A1" w:rsidR="004246DD" w:rsidRPr="00C67017" w:rsidRDefault="004246DD" w:rsidP="00DE4A7D">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Vid det sociala toppmötet i Porto 2021 stödde EU:s stats- och regeringschefer bland annat det överordnade målet för 2030 i den europeiska pelaren för sociala rättigheter om att minst 78 % av dem i åldern 20–64 år ska vara i sysselsättning senast 2030.</w:t>
      </w:r>
    </w:p>
  </w:footnote>
  <w:footnote w:id="16">
    <w:p w14:paraId="0556C02F" w14:textId="6C5A6095" w:rsidR="008928B0" w:rsidRPr="00C67017" w:rsidRDefault="008928B0" w:rsidP="008928B0">
      <w:pPr>
        <w:pStyle w:val="FootnoteText"/>
        <w:rPr>
          <w:rFonts w:ascii="Times New Roman" w:hAnsi="Times New Roman"/>
          <w:sz w:val="16"/>
        </w:rPr>
      </w:pPr>
      <w:r>
        <w:rPr>
          <w:rStyle w:val="FootnoteReference"/>
          <w:rFonts w:ascii="Times New Roman" w:hAnsi="Times New Roman"/>
          <w:sz w:val="16"/>
        </w:rPr>
        <w:footnoteRef/>
      </w:r>
      <w:r>
        <w:t xml:space="preserve"> </w:t>
      </w:r>
      <w:r>
        <w:rPr>
          <w:rFonts w:ascii="Times New Roman" w:hAnsi="Times New Roman"/>
          <w:sz w:val="16"/>
        </w:rPr>
        <w:t xml:space="preserve">Europeiska kommissionen (2019), </w:t>
      </w:r>
      <w:r>
        <w:rPr>
          <w:rFonts w:ascii="Times New Roman" w:hAnsi="Times New Roman"/>
          <w:i/>
          <w:sz w:val="16"/>
        </w:rPr>
        <w:t>Demographic Scenarios for the EU:</w:t>
      </w:r>
      <w:r>
        <w:rPr>
          <w:rFonts w:ascii="Times New Roman" w:hAnsi="Times New Roman"/>
          <w:sz w:val="16"/>
        </w:rPr>
        <w:t xml:space="preserve"> </w:t>
      </w:r>
      <w:r>
        <w:rPr>
          <w:rFonts w:ascii="Times New Roman" w:hAnsi="Times New Roman"/>
          <w:i/>
          <w:sz w:val="16"/>
        </w:rPr>
        <w:t>Migration, population and education</w:t>
      </w:r>
      <w:r>
        <w:rPr>
          <w:rFonts w:ascii="Times New Roman" w:hAnsi="Times New Roman"/>
          <w:sz w:val="16"/>
        </w:rPr>
        <w:t xml:space="preserve"> (inte översatt till svenska). Europeiska unionens publikationsbyrå, Luxemburg.</w:t>
      </w:r>
    </w:p>
  </w:footnote>
  <w:footnote w:id="17">
    <w:p w14:paraId="0E764F74" w14:textId="160A3CE3" w:rsidR="009311E9" w:rsidRPr="00C67017" w:rsidRDefault="009311E9" w:rsidP="009311E9">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Se den sociala resultattavlan för den europeiska pelaren för sociala rättigheter.</w:t>
      </w:r>
    </w:p>
  </w:footnote>
  <w:footnote w:id="18">
    <w:p w14:paraId="6845F3E9" w14:textId="77777777" w:rsidR="00900178" w:rsidRPr="00241384" w:rsidRDefault="00900178" w:rsidP="00900178">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År 2021 var kvinnornas bruttotimlön i EU i medeltal 12,7 % lägre än männens. Den största löneskillnaden mellan kvinnor och män i EU registrerades i Estland (20,5 %) och den minsta i Luxemburg (–0,2 %).</w:t>
      </w:r>
    </w:p>
  </w:footnote>
  <w:footnote w:id="19">
    <w:p w14:paraId="445DE732" w14:textId="6F8A7099" w:rsidR="00275101" w:rsidRPr="002B65B0" w:rsidRDefault="00275101" w:rsidP="00275101">
      <w:pPr>
        <w:pStyle w:val="FootnoteText"/>
        <w:rPr>
          <w:rFonts w:ascii="Times New Roman" w:hAnsi="Times New Roman"/>
          <w:sz w:val="16"/>
          <w:lang w:val="en-IE"/>
        </w:rPr>
      </w:pPr>
      <w:r>
        <w:rPr>
          <w:rStyle w:val="FootnoteReference"/>
          <w:rFonts w:ascii="Times New Roman" w:hAnsi="Times New Roman"/>
          <w:sz w:val="16"/>
        </w:rPr>
        <w:footnoteRef/>
      </w:r>
      <w:r w:rsidRPr="002B65B0">
        <w:rPr>
          <w:rFonts w:ascii="Times New Roman" w:hAnsi="Times New Roman"/>
          <w:sz w:val="16"/>
          <w:lang w:val="en-IE"/>
        </w:rPr>
        <w:t xml:space="preserve"> Europeiska jämställdhetsinstitutet (2020), </w:t>
      </w:r>
      <w:r w:rsidRPr="002B65B0">
        <w:rPr>
          <w:rFonts w:ascii="Times New Roman" w:hAnsi="Times New Roman"/>
          <w:i/>
          <w:sz w:val="16"/>
          <w:lang w:val="en-IE"/>
        </w:rPr>
        <w:t>Gender equality in care and consequences for the labour market</w:t>
      </w:r>
      <w:r w:rsidRPr="002B65B0">
        <w:rPr>
          <w:rFonts w:ascii="Times New Roman" w:hAnsi="Times New Roman"/>
          <w:sz w:val="16"/>
          <w:lang w:val="en-IE"/>
        </w:rPr>
        <w:t>.</w:t>
      </w:r>
    </w:p>
  </w:footnote>
  <w:footnote w:id="20">
    <w:p w14:paraId="617B5356" w14:textId="2D0E9060" w:rsidR="00275101" w:rsidRPr="002B65B0" w:rsidRDefault="00275101" w:rsidP="00275101">
      <w:pPr>
        <w:pStyle w:val="FootnoteText"/>
        <w:rPr>
          <w:rFonts w:ascii="Times New Roman" w:hAnsi="Times New Roman"/>
          <w:sz w:val="16"/>
          <w:lang w:val="en-IE"/>
        </w:rPr>
      </w:pPr>
      <w:r>
        <w:rPr>
          <w:rStyle w:val="FootnoteReference"/>
          <w:rFonts w:ascii="Times New Roman" w:hAnsi="Times New Roman"/>
          <w:sz w:val="16"/>
        </w:rPr>
        <w:footnoteRef/>
      </w:r>
      <w:r w:rsidRPr="002B65B0">
        <w:rPr>
          <w:rFonts w:ascii="Times New Roman" w:hAnsi="Times New Roman"/>
          <w:sz w:val="16"/>
          <w:lang w:val="en-IE"/>
        </w:rPr>
        <w:t xml:space="preserve"> </w:t>
      </w:r>
      <w:r w:rsidRPr="002B65B0">
        <w:rPr>
          <w:rFonts w:ascii="Times New Roman" w:hAnsi="Times New Roman"/>
          <w:i/>
          <w:sz w:val="16"/>
          <w:lang w:val="en-IE"/>
        </w:rPr>
        <w:t>Employment and Social Developments in Europe</w:t>
      </w:r>
      <w:r w:rsidRPr="002B65B0">
        <w:rPr>
          <w:rFonts w:ascii="Times New Roman" w:hAnsi="Times New Roman"/>
          <w:sz w:val="16"/>
          <w:lang w:val="en-IE"/>
        </w:rPr>
        <w:t xml:space="preserve">, </w:t>
      </w:r>
      <w:r w:rsidRPr="002B65B0">
        <w:rPr>
          <w:rFonts w:ascii="Times New Roman" w:hAnsi="Times New Roman"/>
          <w:i/>
          <w:iCs/>
          <w:sz w:val="16"/>
          <w:lang w:val="en-IE"/>
        </w:rPr>
        <w:t>Annual Review</w:t>
      </w:r>
      <w:r w:rsidRPr="002B65B0">
        <w:rPr>
          <w:rFonts w:ascii="Times New Roman" w:hAnsi="Times New Roman"/>
          <w:sz w:val="16"/>
          <w:lang w:val="en-IE"/>
        </w:rPr>
        <w:t>, SWD(2023) 248 final.</w:t>
      </w:r>
    </w:p>
  </w:footnote>
  <w:footnote w:id="21">
    <w:p w14:paraId="7EF819C4" w14:textId="22C570D8" w:rsidR="00624346" w:rsidRPr="002B65B0" w:rsidRDefault="00624346">
      <w:pPr>
        <w:pStyle w:val="FootnoteText"/>
        <w:rPr>
          <w:rFonts w:ascii="Times New Roman" w:hAnsi="Times New Roman"/>
          <w:sz w:val="16"/>
          <w:lang w:val="en-IE"/>
        </w:rPr>
      </w:pPr>
      <w:r>
        <w:rPr>
          <w:rStyle w:val="FootnoteReference"/>
          <w:rFonts w:ascii="Times New Roman" w:hAnsi="Times New Roman"/>
          <w:sz w:val="16"/>
        </w:rPr>
        <w:footnoteRef/>
      </w:r>
      <w:r w:rsidRPr="002912AA">
        <w:rPr>
          <w:rFonts w:ascii="Times New Roman" w:hAnsi="Times New Roman"/>
          <w:sz w:val="16"/>
          <w:lang w:val="en-US"/>
        </w:rPr>
        <w:t xml:space="preserve"> Van der Ende, M. et al. </w:t>
      </w:r>
      <w:r w:rsidRPr="002B65B0">
        <w:rPr>
          <w:rFonts w:ascii="Times New Roman" w:hAnsi="Times New Roman"/>
          <w:sz w:val="16"/>
          <w:lang w:val="en-IE"/>
        </w:rPr>
        <w:t xml:space="preserve">(2021), </w:t>
      </w:r>
      <w:r w:rsidRPr="002B65B0">
        <w:rPr>
          <w:rFonts w:ascii="Times New Roman" w:hAnsi="Times New Roman"/>
          <w:i/>
          <w:sz w:val="16"/>
          <w:lang w:val="en-IE"/>
        </w:rPr>
        <w:t>Study on Exploring the incidence and costs of informal long-term care in the EU</w:t>
      </w:r>
      <w:r w:rsidRPr="002B65B0">
        <w:rPr>
          <w:rFonts w:ascii="Times New Roman" w:hAnsi="Times New Roman"/>
          <w:sz w:val="16"/>
          <w:lang w:val="en-IE"/>
        </w:rPr>
        <w:t>, Europeiska unionens publikationsbyrå, Luxemburg.</w:t>
      </w:r>
    </w:p>
  </w:footnote>
  <w:footnote w:id="22">
    <w:p w14:paraId="4BB2BE0D" w14:textId="19B646EC" w:rsidR="00D22929" w:rsidRPr="00C67017" w:rsidRDefault="00D22929">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Meddelande från kommissionen till Europaparlamentet, rådet, Europeiska ekonomiska och sociala kommittén samt Regionkommittén, </w:t>
      </w:r>
      <w:r>
        <w:rPr>
          <w:rFonts w:ascii="Times New Roman" w:hAnsi="Times New Roman"/>
          <w:i/>
          <w:sz w:val="16"/>
        </w:rPr>
        <w:t>EU:s strategi för barnets rättigheter</w:t>
      </w:r>
      <w:r>
        <w:rPr>
          <w:rFonts w:ascii="Times New Roman" w:hAnsi="Times New Roman"/>
          <w:sz w:val="16"/>
        </w:rPr>
        <w:t xml:space="preserve"> (COM(2021) 142 final).</w:t>
      </w:r>
    </w:p>
  </w:footnote>
  <w:footnote w:id="23">
    <w:p w14:paraId="5338F2D7" w14:textId="251922C8" w:rsidR="00275101" w:rsidRPr="00C67017" w:rsidRDefault="00275101" w:rsidP="00275101">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Europeiska kommissionen (2022), </w:t>
      </w:r>
      <w:r>
        <w:rPr>
          <w:rFonts w:ascii="Times New Roman" w:hAnsi="Times New Roman"/>
          <w:i/>
          <w:sz w:val="16"/>
        </w:rPr>
        <w:t>The transposition of the Work-Life Balance Directive in EU Member States:</w:t>
      </w:r>
      <w:r>
        <w:rPr>
          <w:rFonts w:ascii="Times New Roman" w:hAnsi="Times New Roman"/>
          <w:sz w:val="16"/>
        </w:rPr>
        <w:t xml:space="preserve"> </w:t>
      </w:r>
      <w:r>
        <w:rPr>
          <w:rFonts w:ascii="Times New Roman" w:hAnsi="Times New Roman"/>
          <w:i/>
          <w:sz w:val="16"/>
        </w:rPr>
        <w:t>A long way ahead</w:t>
      </w:r>
      <w:r>
        <w:rPr>
          <w:rFonts w:ascii="Times New Roman" w:hAnsi="Times New Roman"/>
          <w:sz w:val="16"/>
        </w:rPr>
        <w:t xml:space="preserve"> (inte översatt till svenska), Europeiska unionens publikationsbyrå, Luxemburg.</w:t>
      </w:r>
    </w:p>
  </w:footnote>
  <w:footnote w:id="24">
    <w:p w14:paraId="20EE349E" w14:textId="3B280D16" w:rsidR="00340132" w:rsidRPr="002B65B0" w:rsidRDefault="00340132" w:rsidP="00340132">
      <w:pPr>
        <w:pStyle w:val="FootnoteText"/>
        <w:rPr>
          <w:rFonts w:ascii="Times New Roman" w:hAnsi="Times New Roman"/>
          <w:sz w:val="16"/>
          <w:lang w:val="en-IE"/>
        </w:rPr>
      </w:pPr>
      <w:r>
        <w:rPr>
          <w:rStyle w:val="FootnoteReference"/>
          <w:rFonts w:ascii="Times New Roman" w:hAnsi="Times New Roman"/>
          <w:sz w:val="16"/>
        </w:rPr>
        <w:footnoteRef/>
      </w:r>
      <w:r w:rsidRPr="002B65B0">
        <w:rPr>
          <w:rFonts w:ascii="Times New Roman" w:hAnsi="Times New Roman"/>
          <w:sz w:val="16"/>
          <w:lang w:val="en-IE"/>
        </w:rPr>
        <w:t xml:space="preserve"> OECD (2022), Net childcare costs in EU countries, 2021.</w:t>
      </w:r>
    </w:p>
  </w:footnote>
  <w:footnote w:id="25">
    <w:p w14:paraId="68B7CC27" w14:textId="70A893CD" w:rsidR="009B1293" w:rsidRPr="00C67017" w:rsidRDefault="009B1293">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Europaparlamentets och rådets direktiv (EU) 2019/1158 av den 20 juni 2019 om balans mellan arbete och privatliv för föräldrar och anhörigvårdare och om upphävande av rådets direktiv 2010/18/EU.</w:t>
      </w:r>
    </w:p>
  </w:footnote>
  <w:footnote w:id="26">
    <w:p w14:paraId="4387933E" w14:textId="3DF84B75" w:rsidR="001D3893" w:rsidRPr="00C67017" w:rsidRDefault="001D3893">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direktiv 92/85/EEG av den 19 oktober 1992 om åtgärder för att förbättra säkerhet och hälsa på arbetsplatsen för arbetstagare som är gravida, nyligen har fött barn eller ammar.</w:t>
      </w:r>
    </w:p>
  </w:footnote>
  <w:footnote w:id="27">
    <w:p w14:paraId="2D9BD13C" w14:textId="0B86CA44" w:rsidR="00B31B45" w:rsidRPr="00C67017" w:rsidRDefault="00B31B45">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Europaparlamentets och rådets direktiv 2006/54/EG av den 5 juli 2006 om genomförandet av principen om lika möjligheter och likabehandling av kvinnor och män i arbetslivet (omarbetning).</w:t>
      </w:r>
    </w:p>
  </w:footnote>
  <w:footnote w:id="28">
    <w:p w14:paraId="3A00CC7E" w14:textId="19239887" w:rsidR="007C23EE" w:rsidRPr="00C67017" w:rsidRDefault="007C23EE" w:rsidP="008E0015">
      <w:pPr>
        <w:pStyle w:val="FootnoteText"/>
        <w:tabs>
          <w:tab w:val="left" w:pos="1020"/>
        </w:tabs>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av den 8 december 2022 om förskoleverksamhet och barnomsorg: Barcelonamålen för 2030 (2022/C 484/01).</w:t>
      </w:r>
    </w:p>
  </w:footnote>
  <w:footnote w:id="29">
    <w:p w14:paraId="2783A017" w14:textId="1E955DE5" w:rsidR="000405C0" w:rsidRPr="00C67017" w:rsidRDefault="000405C0">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Se den sociala resultattavlan för den europeiska pelaren för sociala rättigheter.</w:t>
      </w:r>
    </w:p>
  </w:footnote>
  <w:footnote w:id="30">
    <w:p w14:paraId="1CC50F7A" w14:textId="77777777" w:rsidR="00595860" w:rsidRPr="00C67017" w:rsidRDefault="00595860"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(EU) 2021/1004 av den 14 juni 2021 om inrättande av en europeisk barngaranti</w:t>
      </w:r>
      <w:r>
        <w:t>.</w:t>
      </w:r>
    </w:p>
  </w:footnote>
  <w:footnote w:id="31">
    <w:p w14:paraId="14BFEDAD" w14:textId="1DE867BF" w:rsidR="00BA63FD" w:rsidRPr="00C67017" w:rsidRDefault="00BA63FD"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För mer information, se rådets resolution om en strategisk ram för det europeiska utbildningssamarbetet inför och bortom ett europeiskt område för utbildning (2021–2030), (2021/C 66/01).</w:t>
      </w:r>
    </w:p>
  </w:footnote>
  <w:footnote w:id="32">
    <w:p w14:paraId="2FB11880" w14:textId="424FA9C4" w:rsidR="00547719" w:rsidRPr="00C67017" w:rsidRDefault="00547719"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Meddelande från kommissionen till Europaparlamentet, rådet, Europeiska ekonomiska och sociala kommittén samt Regionkommittén, </w:t>
      </w:r>
      <w:r>
        <w:rPr>
          <w:rFonts w:ascii="Times New Roman" w:hAnsi="Times New Roman"/>
          <w:i/>
          <w:sz w:val="16"/>
        </w:rPr>
        <w:t>Stöd till ungdomssysselsättning:</w:t>
      </w:r>
      <w:r>
        <w:rPr>
          <w:rFonts w:ascii="Times New Roman" w:hAnsi="Times New Roman"/>
          <w:sz w:val="16"/>
        </w:rPr>
        <w:t xml:space="preserve"> </w:t>
      </w:r>
      <w:r>
        <w:rPr>
          <w:rFonts w:ascii="Times New Roman" w:hAnsi="Times New Roman"/>
          <w:i/>
          <w:sz w:val="16"/>
        </w:rPr>
        <w:t>en väg till jobb för nästa generation</w:t>
      </w:r>
      <w:r>
        <w:rPr>
          <w:rFonts w:ascii="Times New Roman" w:hAnsi="Times New Roman"/>
          <w:sz w:val="16"/>
        </w:rPr>
        <w:t>, COM(2020) 276 final.</w:t>
      </w:r>
    </w:p>
  </w:footnote>
  <w:footnote w:id="33">
    <w:p w14:paraId="4BE0AA10" w14:textId="05309282" w:rsidR="00547719" w:rsidRPr="00C67017" w:rsidRDefault="00547719"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av den 30 oktober 2020 om en väg till jobb – en förstärkt ungdomsgaranti och om ersättande av rådets rekommendation av den 22 april 2013 om att inrätta en ungdomsgaranti (2020/C 372/01).</w:t>
      </w:r>
    </w:p>
  </w:footnote>
  <w:footnote w:id="34">
    <w:p w14:paraId="1FF08BEA" w14:textId="0864199A" w:rsidR="0062798C" w:rsidRPr="00E3602F" w:rsidRDefault="0062798C" w:rsidP="00C67017">
      <w:pPr>
        <w:pStyle w:val="title-bold"/>
        <w:shd w:val="clear" w:color="auto" w:fill="FFFFFF"/>
        <w:spacing w:before="0" w:beforeAutospacing="0" w:after="75" w:afterAutospacing="0"/>
        <w:jc w:val="both"/>
      </w:pPr>
      <w:r>
        <w:rPr>
          <w:rStyle w:val="FootnoteReference"/>
          <w:rFonts w:eastAsiaTheme="minorEastAsia"/>
          <w:sz w:val="16"/>
          <w:lang w:val="en-US"/>
        </w:rPr>
        <w:footnoteRef/>
      </w:r>
      <w:r>
        <w:rPr>
          <w:sz w:val="16"/>
        </w:rPr>
        <w:t xml:space="preserve"> Meddelande från kommissionen till Europaparlamentet, rådet, Europeiska ekonomiska och sociala kommittén samt Regionkommittén, </w:t>
      </w:r>
      <w:r>
        <w:rPr>
          <w:i/>
          <w:sz w:val="16"/>
        </w:rPr>
        <w:t>En renoveringsvåg för Europa – miljöanpassa våra byggnader, skapa jobb och förbättra liv</w:t>
      </w:r>
      <w:r>
        <w:rPr>
          <w:sz w:val="16"/>
        </w:rPr>
        <w:t xml:space="preserve"> (COM(2020) 662 final).</w:t>
      </w:r>
    </w:p>
  </w:footnote>
  <w:footnote w:id="35">
    <w:p w14:paraId="7E996F65" w14:textId="68C48326" w:rsidR="00FB2DC5" w:rsidRPr="00C67017" w:rsidRDefault="00FB2DC5"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Jämställdhetsstrategi för 2020–2025. Jämlikhetsstrategin för hbtqi-personer 2020–2025. EU:s strategiska ram för romer 2020–2030). EU:s handlingsplan mot rasism 2020–2025. EU:s strategi för rättigheter för personer med funktionsnedsättning 2021–2030.</w:t>
      </w:r>
    </w:p>
  </w:footnote>
  <w:footnote w:id="36">
    <w:p w14:paraId="397B0CAA" w14:textId="77777777" w:rsidR="00F82BED" w:rsidRPr="00241384" w:rsidRDefault="00F82BED" w:rsidP="00DA3ACC">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Se även slutrapporten från högnivågruppen om pensioner (2019).</w:t>
      </w:r>
    </w:p>
  </w:footnote>
  <w:footnote w:id="37">
    <w:p w14:paraId="44257A56" w14:textId="45AF7BB3" w:rsidR="00513BC7" w:rsidRPr="00C67017" w:rsidRDefault="00513BC7" w:rsidP="00DA3ACC">
      <w:pPr>
        <w:pStyle w:val="FootnoteText"/>
      </w:pPr>
      <w:r>
        <w:rPr>
          <w:rStyle w:val="FootnoteReference"/>
          <w:rFonts w:ascii="Times New Roman" w:hAnsi="Times New Roman"/>
          <w:sz w:val="16"/>
        </w:rPr>
        <w:footnoteRef/>
      </w:r>
      <w:r>
        <w:rPr>
          <w:rFonts w:ascii="Times New Roman" w:hAnsi="Times New Roman"/>
          <w:sz w:val="16"/>
        </w:rPr>
        <w:t xml:space="preserve"> Förslag till Europaparlamentets och rådets direktiv om ändring av direktiven (EU) 2009/65/EG, 2009/138/EG, 2011/61/EU, 2014/65/EU och (EU) 2016/97 vad gäller unionens regler om skydd för icke-professionella investerare och förslag till Europaparlamentets och rådets förordning om ändring av förordning (EU) nr 1286/2014 vad gäller moderniseringen av faktabladet, COM(2023) 279 final.</w:t>
      </w:r>
    </w:p>
  </w:footnote>
  <w:footnote w:id="38">
    <w:p w14:paraId="13D6442E" w14:textId="11CFADC7" w:rsidR="0006241D" w:rsidRPr="00C67017" w:rsidRDefault="0006241D" w:rsidP="0006241D">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Meddelande från kommissionen till Europaparlamentet, rådet, Europeiska ekonomiska och sociala kommittén samt Regionkommittén, </w:t>
      </w:r>
      <w:r>
        <w:rPr>
          <w:rFonts w:ascii="Times New Roman" w:hAnsi="Times New Roman"/>
          <w:i/>
          <w:sz w:val="16"/>
        </w:rPr>
        <w:t>En europeisk strategi för vård och omsorg</w:t>
      </w:r>
      <w:r>
        <w:rPr>
          <w:rFonts w:ascii="Times New Roman" w:hAnsi="Times New Roman"/>
          <w:sz w:val="16"/>
        </w:rPr>
        <w:t xml:space="preserve"> (COM(2022) 440 final).</w:t>
      </w:r>
    </w:p>
  </w:footnote>
  <w:footnote w:id="39">
    <w:p w14:paraId="1C36A9D4" w14:textId="77DFFFA7" w:rsidR="00FB46AB" w:rsidRPr="00C67017" w:rsidRDefault="00FB46AB">
      <w:pPr>
        <w:pStyle w:val="FootnoteText"/>
      </w:pPr>
      <w:r>
        <w:rPr>
          <w:rStyle w:val="FootnoteReference"/>
          <w:rFonts w:ascii="Times New Roman" w:hAnsi="Times New Roman"/>
          <w:sz w:val="16"/>
        </w:rPr>
        <w:footnoteRef/>
      </w:r>
      <w:r>
        <w:rPr>
          <w:rStyle w:val="FootnoteReference"/>
          <w:rFonts w:ascii="Times New Roman" w:hAnsi="Times New Roman"/>
          <w:sz w:val="16"/>
        </w:rPr>
        <w:t xml:space="preserve"> </w:t>
      </w:r>
      <w:r>
        <w:rPr>
          <w:rFonts w:ascii="Times New Roman" w:hAnsi="Times New Roman"/>
          <w:sz w:val="16"/>
        </w:rPr>
        <w:t>År 2023 mottog fem medlemsstater landsspecifika rekommendationer om pensionssystemens långsiktiga hållbarhet och om aktivt åldrande (Tjeckien, Tyskland, Irland, Luxemburg och Polen).</w:t>
      </w:r>
    </w:p>
  </w:footnote>
  <w:footnote w:id="40">
    <w:p w14:paraId="0693EDB6" w14:textId="5FBC5F29" w:rsidR="00DF6E62" w:rsidRPr="00C67017" w:rsidRDefault="00DF6E62">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Inkomstskatterna stod för 51,4 % av de totala skatteintäkterna i EU 2021.</w:t>
      </w:r>
    </w:p>
  </w:footnote>
  <w:footnote w:id="41">
    <w:p w14:paraId="75256419" w14:textId="0DF703D6" w:rsidR="00ED6C02" w:rsidRPr="00C67017" w:rsidRDefault="00ED6C02">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Särskilt genom att minska skattekilen för låg- och medelinkomsttagare, för att uppmuntra till avlönat arbete.</w:t>
      </w:r>
    </w:p>
  </w:footnote>
  <w:footnote w:id="42">
    <w:p w14:paraId="052116CE" w14:textId="7F46A1F0" w:rsidR="00521A2A" w:rsidRPr="00C67017" w:rsidRDefault="00521A2A"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direktiv 89/391/EEG av den 12 juni 1989 om åtgärder för att främja förbättringar av arbetstagarnas säkerhet och hälsa i arbetet.</w:t>
      </w:r>
    </w:p>
  </w:footnote>
  <w:footnote w:id="43">
    <w:p w14:paraId="7273EB26" w14:textId="36F2201A" w:rsidR="00EE2D58" w:rsidRPr="00241384" w:rsidRDefault="00EE2D58" w:rsidP="00DA3ACC">
      <w:pPr>
        <w:pStyle w:val="FootnoteText"/>
        <w:rPr>
          <w:rFonts w:ascii="Times New Roman" w:hAnsi="Times New Roman" w:cs="Times New Roman"/>
        </w:rPr>
      </w:pPr>
      <w:r>
        <w:rPr>
          <w:rStyle w:val="FootnoteReference"/>
          <w:rFonts w:ascii="Times New Roman" w:hAnsi="Times New Roman" w:cs="Times New Roman"/>
          <w:sz w:val="16"/>
          <w:szCs w:val="16"/>
        </w:rPr>
        <w:footnoteRef/>
      </w:r>
      <w:r>
        <w:rPr>
          <w:rFonts w:ascii="Times New Roman" w:hAnsi="Times New Roman"/>
          <w:sz w:val="16"/>
        </w:rPr>
        <w:t xml:space="preserve"> Rådets direktiv 2000/78/EG av den 27 november 2000 om inrättande av en allmän ram för likabehandling i arbetslivet.</w:t>
      </w:r>
    </w:p>
  </w:footnote>
  <w:footnote w:id="44">
    <w:p w14:paraId="5459652E" w14:textId="674A5B65" w:rsidR="008F25B6" w:rsidRPr="00C67017" w:rsidRDefault="008F25B6"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av den 15 februari 2016 om långtidsarbetslösas återinträde på arbetsmarknaden (2016/C 67/01).</w:t>
      </w:r>
    </w:p>
  </w:footnote>
  <w:footnote w:id="45">
    <w:p w14:paraId="71F1EA3C" w14:textId="2AA1230F" w:rsidR="005312F6" w:rsidRPr="00C67017" w:rsidRDefault="005312F6"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av den 8 december 2022 om tillgång till långvarig vård och omsorg till överkomliga priser och av god kvalitet (2022/C 476/01).</w:t>
      </w:r>
    </w:p>
  </w:footnote>
  <w:footnote w:id="46">
    <w:p w14:paraId="02D7BB68" w14:textId="02CAC979" w:rsidR="00EA62F8" w:rsidRPr="00C67017" w:rsidRDefault="00EA62F8"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rekommendation av den 30 januari 2023 om tillräcklig minimiinkomst som säkerställer aktiv inkludering (2023/C 41/01).</w:t>
      </w:r>
    </w:p>
  </w:footnote>
  <w:footnote w:id="47">
    <w:p w14:paraId="42DEE274" w14:textId="389FE453" w:rsidR="008F747A" w:rsidRPr="00C67017" w:rsidRDefault="008F747A" w:rsidP="00DA3ACC">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Direktiv (EU) 2019/882 av den 17 april 2019 om tillgänglighetskrav för produkter och tjänster.</w:t>
      </w:r>
    </w:p>
  </w:footnote>
  <w:footnote w:id="48">
    <w:p w14:paraId="478C94F7" w14:textId="761AD712" w:rsidR="007702EF" w:rsidRPr="00241384" w:rsidRDefault="007702EF" w:rsidP="00DA3ACC">
      <w:pPr>
        <w:pStyle w:val="FootnoteText"/>
        <w:rPr>
          <w:rFonts w:ascii="Times New Roman" w:hAnsi="Times New Roman" w:cs="Times New Roman"/>
        </w:rPr>
      </w:pPr>
      <w:r>
        <w:rPr>
          <w:rFonts w:ascii="Times New Roman" w:hAnsi="Times New Roman" w:cs="Times New Roman"/>
          <w:sz w:val="16"/>
          <w:szCs w:val="16"/>
          <w:vertAlign w:val="superscript"/>
        </w:rPr>
        <w:footnoteRef/>
      </w:r>
      <w:r>
        <w:rPr>
          <w:rFonts w:ascii="Times New Roman" w:hAnsi="Times New Roman"/>
          <w:sz w:val="16"/>
        </w:rPr>
        <w:t xml:space="preserve"> Rådets rekommendation av den 9 december 2022 om stärkt förebyggande genom tidig upptäckt: en ny EU-strategi för cancerscreening som ersätter rådets rekommendation (2022/C 473/01).</w:t>
      </w:r>
    </w:p>
  </w:footnote>
  <w:footnote w:id="49">
    <w:p w14:paraId="337DE8C4" w14:textId="77777777" w:rsidR="00C55E7D" w:rsidRPr="00241384" w:rsidRDefault="00C55E7D" w:rsidP="00C55E7D">
      <w:pPr>
        <w:pStyle w:val="FootnoteText"/>
        <w:rPr>
          <w:rFonts w:ascii="Times New Roman" w:hAnsi="Times New Roman" w:cs="Times New Roman"/>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 w:history="1">
        <w:r>
          <w:rPr>
            <w:rStyle w:val="Hyperlink"/>
            <w:rFonts w:ascii="Times New Roman" w:hAnsi="Times New Roman"/>
            <w:sz w:val="16"/>
          </w:rPr>
          <w:t>https://knowsdgs.jrc.ec.europa.eu/cfc</w:t>
        </w:r>
      </w:hyperlink>
      <w:r>
        <w:t>.</w:t>
      </w:r>
      <w:r>
        <w:rPr>
          <w:rFonts w:ascii="Times New Roman" w:hAnsi="Times New Roman"/>
          <w:sz w:val="16"/>
        </w:rPr>
        <w:t xml:space="preserve"> </w:t>
      </w:r>
    </w:p>
  </w:footnote>
  <w:footnote w:id="50">
    <w:p w14:paraId="60F84943" w14:textId="740CC9F9" w:rsidR="00E5596A" w:rsidRPr="00C67017" w:rsidRDefault="00E5596A" w:rsidP="00E5596A">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Förslag till rådets direktiv om standarder för likabehandlingsorgan på området likabehandling av personer oavsett ras eller etniskt ursprung, likabehandling vad gäller anställning och yrke oavsett personers religion eller övertygelse, funktionsnedsättning, ålder eller sexuella läggning, likabehandling av kvinnor och män i fråga om social trygghet och tillgång till och tillhandahållande av varor och tjänster och om strykning av artikel 13 i direktiv 2000/43/EG och artikel 12 i direktiv 2004/113/EG, COM(2022) 689 final, samt förslag till Europaparlamentets och rådets direktiv om standarder för likabehandlingsorgan på området likabehandling av och lika möjligheter för kvinnor och män i fråga om anställning och yrke och om strykning av artikel 20 i direktiv 2006/54/EG och artikel 11 i direktiv 2010/41/EU, COM(2022) 688 final.</w:t>
      </w:r>
    </w:p>
  </w:footnote>
  <w:footnote w:id="51">
    <w:p w14:paraId="4334C06B" w14:textId="483C0AD4" w:rsidR="003263AA" w:rsidRPr="00C67017" w:rsidRDefault="003263AA">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Konjunkturundersökningen, Europeiska kommissionen.</w:t>
      </w:r>
    </w:p>
  </w:footnote>
  <w:footnote w:id="52">
    <w:p w14:paraId="52BB55FC" w14:textId="769587BC" w:rsidR="00B70FEF" w:rsidRPr="00C67017" w:rsidRDefault="00B70FEF">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Flash Eurobarometer 529 (2023).</w:t>
      </w:r>
    </w:p>
  </w:footnote>
  <w:footnote w:id="53">
    <w:p w14:paraId="00C83EC3" w14:textId="28C7A445" w:rsidR="008F687B" w:rsidRPr="00C67017" w:rsidRDefault="008F687B">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Europeiska kommissionen (2023), årsrapport om arbetskraftsrörlighet inom EU 2022, Europeiska unionens publikationsbyrå, Luxemburg.</w:t>
      </w:r>
    </w:p>
  </w:footnote>
  <w:footnote w:id="54">
    <w:p w14:paraId="607033FE" w14:textId="6505DF7C" w:rsidR="00B23573" w:rsidRPr="002B65B0" w:rsidRDefault="00B23573">
      <w:pPr>
        <w:pStyle w:val="FootnoteText"/>
        <w:rPr>
          <w:rFonts w:ascii="Times New Roman" w:hAnsi="Times New Roman"/>
          <w:sz w:val="16"/>
          <w:lang w:val="en-IE"/>
        </w:rPr>
      </w:pPr>
      <w:r>
        <w:rPr>
          <w:rStyle w:val="FootnoteReference"/>
          <w:rFonts w:ascii="Times New Roman" w:hAnsi="Times New Roman"/>
          <w:sz w:val="16"/>
        </w:rPr>
        <w:footnoteRef/>
      </w:r>
      <w:r>
        <w:rPr>
          <w:rFonts w:ascii="Times New Roman" w:hAnsi="Times New Roman"/>
          <w:sz w:val="16"/>
        </w:rPr>
        <w:t xml:space="preserve"> Till exempel i förhållande till Australien, Kanada och Förenta staterna. </w:t>
      </w:r>
      <w:r w:rsidRPr="002B65B0">
        <w:rPr>
          <w:rFonts w:ascii="Times New Roman" w:hAnsi="Times New Roman"/>
          <w:sz w:val="16"/>
          <w:lang w:val="en-IE"/>
        </w:rPr>
        <w:t xml:space="preserve">OECD (2019), </w:t>
      </w:r>
      <w:r w:rsidRPr="002B65B0">
        <w:rPr>
          <w:rFonts w:ascii="Times New Roman" w:hAnsi="Times New Roman"/>
          <w:i/>
          <w:sz w:val="16"/>
          <w:lang w:val="en-IE"/>
        </w:rPr>
        <w:t>Building an EU Talent Pool:</w:t>
      </w:r>
      <w:r w:rsidRPr="002B65B0">
        <w:rPr>
          <w:rFonts w:ascii="Times New Roman" w:hAnsi="Times New Roman"/>
          <w:sz w:val="16"/>
          <w:lang w:val="en-IE"/>
        </w:rPr>
        <w:t> </w:t>
      </w:r>
      <w:r w:rsidRPr="002B65B0">
        <w:rPr>
          <w:rFonts w:ascii="Times New Roman" w:hAnsi="Times New Roman"/>
          <w:i/>
          <w:sz w:val="16"/>
          <w:lang w:val="en-IE"/>
        </w:rPr>
        <w:t>A New Approach to Migration Management for Europe</w:t>
      </w:r>
      <w:r w:rsidRPr="002B65B0">
        <w:rPr>
          <w:rFonts w:ascii="Times New Roman" w:hAnsi="Times New Roman"/>
          <w:sz w:val="16"/>
          <w:lang w:val="en-IE"/>
        </w:rPr>
        <w:t>, OECD Publishing, Paris.</w:t>
      </w:r>
    </w:p>
  </w:footnote>
  <w:footnote w:id="55">
    <w:p w14:paraId="157A855B" w14:textId="718836C4" w:rsidR="002E0BB1" w:rsidRPr="00C67017" w:rsidRDefault="002E0BB1" w:rsidP="002E0BB1">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Under 2022 utfärdades uppskattningsvis 1,6 miljoner uppehållstillstånd av arbetsrelaterade skäl.</w:t>
      </w:r>
    </w:p>
  </w:footnote>
  <w:footnote w:id="56">
    <w:p w14:paraId="188ABAC4" w14:textId="6FF805AA" w:rsidR="00F23189" w:rsidRPr="00241384" w:rsidRDefault="00F23189">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Inbegripet kompetensutveckling, yrkesutbildning och inrättande av arbetsbaserade utbytesprogram.</w:t>
      </w:r>
    </w:p>
  </w:footnote>
  <w:footnote w:id="57">
    <w:p w14:paraId="33B85AFF" w14:textId="0D8CE365" w:rsidR="00A152D6" w:rsidRPr="00C67017" w:rsidRDefault="00A152D6">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Nederländerna, Sverige, Luxemburg och Danmark.</w:t>
      </w:r>
    </w:p>
  </w:footnote>
  <w:footnote w:id="58">
    <w:p w14:paraId="101E742C" w14:textId="2E06F085" w:rsidR="000374B6" w:rsidRPr="00C67017" w:rsidRDefault="000374B6">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OECD:s indikatorer för dragningskraft på talanger.</w:t>
      </w:r>
    </w:p>
  </w:footnote>
  <w:footnote w:id="59">
    <w:p w14:paraId="6A022067" w14:textId="1D735FAB" w:rsidR="006A54DA" w:rsidRPr="00C67017" w:rsidRDefault="006A54DA">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Det europeiska migrationsnätverket (2019), </w:t>
      </w:r>
      <w:r>
        <w:rPr>
          <w:rFonts w:ascii="Times New Roman" w:hAnsi="Times New Roman"/>
          <w:i/>
          <w:sz w:val="16"/>
        </w:rPr>
        <w:t>Report on Labour market integration of third country nationals in EU Member States</w:t>
      </w:r>
      <w:r>
        <w:rPr>
          <w:rFonts w:ascii="Times New Roman" w:hAnsi="Times New Roman"/>
          <w:sz w:val="16"/>
        </w:rPr>
        <w:t>.</w:t>
      </w:r>
    </w:p>
  </w:footnote>
  <w:footnote w:id="60">
    <w:p w14:paraId="3F23C8A8" w14:textId="0B3690BB" w:rsidR="00B92FE8" w:rsidRPr="00C67017" w:rsidRDefault="00B92FE8">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Europaparlamentets och rådets direktiv (EU) 2021/1883 av den 20 oktober 2021 om villkor för tredjelandsmedborgares inresa och vistelse för högkvalificerad anställning och om upphävande av rådets direktiv 2009/50/EG.</w:t>
      </w:r>
    </w:p>
  </w:footnote>
  <w:footnote w:id="61">
    <w:p w14:paraId="0A71623E" w14:textId="45AE1FFD" w:rsidR="00D4648A" w:rsidRPr="00C67017" w:rsidRDefault="00D4648A">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Europaparlamentets och rådets direktiv 2011/98/EU av den 13 december 2011 om ett enda ansökningsförfarande för ett kombinerat tillstånd för tredjelandsmedborgare att vistas och arbeta på en medlemsstats territorium och om en gemensam uppsättning rättigheter för arbetstagare från tredjeland som vistas lagligen i en medlemsstat.</w:t>
      </w:r>
    </w:p>
  </w:footnote>
  <w:footnote w:id="62">
    <w:p w14:paraId="3D7F4F85" w14:textId="7A6534F9" w:rsidR="003B6145" w:rsidRPr="00C67017" w:rsidRDefault="003B6145">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Rådets direktiv 2003/109/EG av den 25 november 2003 om varaktigt bosatta tredjelandsmedborgares ställning.</w:t>
      </w:r>
    </w:p>
  </w:footnote>
  <w:footnote w:id="63">
    <w:p w14:paraId="6C860CD9" w14:textId="11A9EF8C" w:rsidR="00813E1E" w:rsidRPr="00C67017" w:rsidRDefault="00813E1E">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Talangpartnerskap diskuteras också med Nigeria och Senegal. </w:t>
      </w:r>
    </w:p>
  </w:footnote>
  <w:footnote w:id="64">
    <w:p w14:paraId="479E4150" w14:textId="2C0792E5" w:rsidR="00323C36" w:rsidRPr="00C67017" w:rsidRDefault="002B2146" w:rsidP="00323C36">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Meddelande från kommissionen till Europaparlamentet, rådet, Europeiska ekonomiska och sociala kommittén samt Regionkommittén, </w:t>
      </w:r>
      <w:r>
        <w:rPr>
          <w:rFonts w:ascii="Times New Roman" w:hAnsi="Times New Roman"/>
          <w:i/>
          <w:sz w:val="16"/>
        </w:rPr>
        <w:t>Handlingsplan för integration och inkludering för 2021–2027</w:t>
      </w:r>
      <w:r>
        <w:rPr>
          <w:rFonts w:ascii="Times New Roman" w:hAnsi="Times New Roman"/>
          <w:sz w:val="16"/>
        </w:rPr>
        <w:t>, COM(2020) 758 final.</w:t>
      </w:r>
    </w:p>
    <w:p w14:paraId="0BA2EEC1" w14:textId="1D3C7840" w:rsidR="002B2146" w:rsidRPr="002B65B0" w:rsidRDefault="002B2146">
      <w:pPr>
        <w:pStyle w:val="FootnoteText"/>
        <w:rPr>
          <w:rFonts w:ascii="Times New Roman" w:hAnsi="Times New Roman"/>
          <w:sz w:val="16"/>
        </w:rPr>
      </w:pPr>
    </w:p>
  </w:footnote>
  <w:footnote w:id="65">
    <w:p w14:paraId="6184C41B" w14:textId="527FDBB5" w:rsidR="001707C8" w:rsidRPr="00C67017" w:rsidRDefault="001707C8" w:rsidP="001707C8">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Siffror från den 28 september 2023. Uppgifterna bygger på metoden med digital märkning av pelarna i resultattavlan för återhämtning och resiliens och motsvarar de åtgärder som tilldelats politikområdet ”förskoleverksamhet och barnomsorg” som primära eller sekundära politikområden. För mer aktuell information och siffror om faciliteten för återhämtning och resiliens, se även rapporten från kommissionen till Europaparlamentet och rådet om genomförandet av faciliteten för återhämtning och resiliens: det fortsatta arbetet, COM(2023) 545 final/2.</w:t>
      </w:r>
    </w:p>
  </w:footnote>
  <w:footnote w:id="66">
    <w:p w14:paraId="3D64293C" w14:textId="0E1C91AA" w:rsidR="001707C8" w:rsidRPr="00C67017" w:rsidRDefault="001707C8" w:rsidP="001707C8">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Ibid. Uppgifterna motsvarar de åtgärder som tilldelats politikområdet ”allmän utbildning, yrkesutbildning och högre utbildning” som primärt eller sekundärt politikområde.</w:t>
      </w:r>
    </w:p>
  </w:footnote>
  <w:footnote w:id="67">
    <w:p w14:paraId="468EAC14" w14:textId="7BC410FC" w:rsidR="001707C8" w:rsidRPr="00C67017" w:rsidRDefault="001707C8" w:rsidP="001707C8">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Ibid. Uppgifterna motsvarar de åtgärder som tilldelats politikområdena ”vuxenutbildning”, ”grön kompetens och gröna jobb” och/eller ”humankapital i digitalisering” som primära eller sekundära politikområden.</w:t>
      </w:r>
    </w:p>
  </w:footnote>
  <w:footnote w:id="68">
    <w:p w14:paraId="6A6C4777" w14:textId="61A08641" w:rsidR="001707C8" w:rsidRPr="00C67017" w:rsidRDefault="001707C8" w:rsidP="001707C8">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Ibid. Uppgifterna motsvarar de åtgärder som tilldelats politikområdet ”hälso- och sjukvård” och/eller ”långvarig vård och omsorg” som primära eller sekundära politikområden.</w:t>
      </w:r>
    </w:p>
  </w:footnote>
  <w:footnote w:id="69">
    <w:p w14:paraId="7BB6C9D0" w14:textId="253C6802" w:rsidR="00207795" w:rsidRPr="00241384" w:rsidRDefault="00207795">
      <w:pPr>
        <w:pStyle w:val="FootnoteText"/>
        <w:rPr>
          <w:rFonts w:ascii="Times New Roman" w:hAnsi="Times New Roman" w:cs="Times New Roman"/>
        </w:rPr>
      </w:pPr>
      <w:r>
        <w:rPr>
          <w:rFonts w:ascii="Times New Roman" w:hAnsi="Times New Roman" w:cs="Times New Roman"/>
          <w:sz w:val="16"/>
          <w:szCs w:val="16"/>
          <w:vertAlign w:val="superscript"/>
        </w:rPr>
        <w:footnoteRef/>
      </w:r>
      <w:r>
        <w:rPr>
          <w:rFonts w:ascii="Times New Roman" w:hAnsi="Times New Roman"/>
          <w:sz w:val="16"/>
        </w:rPr>
        <w:t xml:space="preserve"> Siffra från den 5 oktober 2023. Uppgifterna motsvarar de åtgärder som tilldelats politikområdet ”subventionerat boende och annan social infrastruktur” som primärt eller sekundärt politikområde.</w:t>
      </w:r>
    </w:p>
  </w:footnote>
  <w:footnote w:id="70">
    <w:p w14:paraId="6259C526" w14:textId="6875F666" w:rsidR="70516C34" w:rsidRPr="00C67017" w:rsidRDefault="70516C34" w:rsidP="002104D3">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Europeiska regionala utvecklingsfonden, Europeiska socialfonden+, Sammanhållningsfonden och Fonden för en rättvis omställning.</w:t>
      </w:r>
    </w:p>
  </w:footnote>
  <w:footnote w:id="71">
    <w:p w14:paraId="2F9287E3" w14:textId="743DBC12" w:rsidR="00B46F2E" w:rsidRPr="00C67017" w:rsidRDefault="00B46F2E" w:rsidP="00B46F2E">
      <w:pPr>
        <w:pStyle w:val="FootnoteText"/>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Förslag till Europaparlamentets och rådets förordning om europeisk statistik om befolkning och bostäder, om ändring av förordning (EG) nr 862/2007 och om upphävande av förordningarna (EG) nr 763/2008 och (EU) nr 1260/2013, COM(2023) 31 final.</w:t>
      </w:r>
    </w:p>
  </w:footnote>
  <w:footnote w:id="72">
    <w:p w14:paraId="56B3D9EB" w14:textId="22C642A7" w:rsidR="00ED6A49" w:rsidRPr="00241384" w:rsidRDefault="00ED6A49" w:rsidP="00A62515">
      <w:pPr>
        <w:pStyle w:val="FootnoteText"/>
        <w:rPr>
          <w:rFonts w:ascii="Times New Roman" w:hAnsi="Times New Roman" w:cs="Times New Roman"/>
        </w:rPr>
      </w:pPr>
      <w:r>
        <w:rPr>
          <w:rStyle w:val="FootnoteReference"/>
          <w:rFonts w:ascii="Times New Roman" w:hAnsi="Times New Roman"/>
          <w:sz w:val="16"/>
        </w:rPr>
        <w:footnoteRef/>
      </w:r>
      <w:r>
        <w:rPr>
          <w:rFonts w:ascii="Times New Roman" w:hAnsi="Times New Roman"/>
          <w:sz w:val="16"/>
        </w:rPr>
        <w:t xml:space="preserve"> Expertgruppen för fonderna inom ramen för förordningen om gemensamma bestämmelser (Expertgruppen för förordningen om gemensamma bestämmelser), se C(2021) 7888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5006F" w14:textId="77777777" w:rsidR="006340F0" w:rsidRPr="006340F0" w:rsidRDefault="006340F0" w:rsidP="00634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82F53" w14:textId="77777777" w:rsidR="006340F0" w:rsidRPr="006340F0" w:rsidRDefault="006340F0" w:rsidP="006340F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2CB9" w14:textId="77777777" w:rsidR="006340F0" w:rsidRPr="006340F0" w:rsidRDefault="006340F0" w:rsidP="006340F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41D40" w14:textId="77777777" w:rsidR="00B54742" w:rsidRDefault="00B54742">
    <w:pPr>
      <w:pStyle w:val="Header"/>
    </w:pPr>
  </w:p>
  <w:p w14:paraId="5CEDCF22" w14:textId="77777777" w:rsidR="001723BE" w:rsidRDefault="001723B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88039" w14:textId="77777777" w:rsidR="00B54742" w:rsidRDefault="00B54742">
    <w:pPr>
      <w:pStyle w:val="Header"/>
    </w:pPr>
  </w:p>
  <w:p w14:paraId="77492D1E" w14:textId="77777777" w:rsidR="001723BE" w:rsidRDefault="001723B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3060" w14:textId="77777777" w:rsidR="00B54742" w:rsidRDefault="00B54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D5F"/>
    <w:multiLevelType w:val="hybridMultilevel"/>
    <w:tmpl w:val="C826E3B4"/>
    <w:lvl w:ilvl="0" w:tplc="0BF29EC4">
      <w:start w:val="1"/>
      <w:numFmt w:val="bullet"/>
      <w:lvlText w:val=""/>
      <w:lvlJc w:val="left"/>
      <w:pPr>
        <w:ind w:left="720" w:hanging="360"/>
      </w:pPr>
      <w:rPr>
        <w:rFonts w:ascii="Symbol" w:hAnsi="Symbol"/>
      </w:rPr>
    </w:lvl>
    <w:lvl w:ilvl="1" w:tplc="771E5520">
      <w:start w:val="1"/>
      <w:numFmt w:val="bullet"/>
      <w:lvlText w:val=""/>
      <w:lvlJc w:val="left"/>
      <w:pPr>
        <w:ind w:left="720" w:hanging="360"/>
      </w:pPr>
      <w:rPr>
        <w:rFonts w:ascii="Symbol" w:hAnsi="Symbol"/>
      </w:rPr>
    </w:lvl>
    <w:lvl w:ilvl="2" w:tplc="26F04B74">
      <w:start w:val="1"/>
      <w:numFmt w:val="bullet"/>
      <w:lvlText w:val=""/>
      <w:lvlJc w:val="left"/>
      <w:pPr>
        <w:ind w:left="720" w:hanging="360"/>
      </w:pPr>
      <w:rPr>
        <w:rFonts w:ascii="Symbol" w:hAnsi="Symbol"/>
      </w:rPr>
    </w:lvl>
    <w:lvl w:ilvl="3" w:tplc="2572DC66">
      <w:start w:val="1"/>
      <w:numFmt w:val="bullet"/>
      <w:lvlText w:val=""/>
      <w:lvlJc w:val="left"/>
      <w:pPr>
        <w:ind w:left="720" w:hanging="360"/>
      </w:pPr>
      <w:rPr>
        <w:rFonts w:ascii="Symbol" w:hAnsi="Symbol"/>
      </w:rPr>
    </w:lvl>
    <w:lvl w:ilvl="4" w:tplc="CF74307C">
      <w:start w:val="1"/>
      <w:numFmt w:val="bullet"/>
      <w:lvlText w:val=""/>
      <w:lvlJc w:val="left"/>
      <w:pPr>
        <w:ind w:left="720" w:hanging="360"/>
      </w:pPr>
      <w:rPr>
        <w:rFonts w:ascii="Symbol" w:hAnsi="Symbol"/>
      </w:rPr>
    </w:lvl>
    <w:lvl w:ilvl="5" w:tplc="587C2550">
      <w:start w:val="1"/>
      <w:numFmt w:val="bullet"/>
      <w:lvlText w:val=""/>
      <w:lvlJc w:val="left"/>
      <w:pPr>
        <w:ind w:left="720" w:hanging="360"/>
      </w:pPr>
      <w:rPr>
        <w:rFonts w:ascii="Symbol" w:hAnsi="Symbol"/>
      </w:rPr>
    </w:lvl>
    <w:lvl w:ilvl="6" w:tplc="C42A02FC">
      <w:start w:val="1"/>
      <w:numFmt w:val="bullet"/>
      <w:lvlText w:val=""/>
      <w:lvlJc w:val="left"/>
      <w:pPr>
        <w:ind w:left="720" w:hanging="360"/>
      </w:pPr>
      <w:rPr>
        <w:rFonts w:ascii="Symbol" w:hAnsi="Symbol"/>
      </w:rPr>
    </w:lvl>
    <w:lvl w:ilvl="7" w:tplc="B89E091A">
      <w:start w:val="1"/>
      <w:numFmt w:val="bullet"/>
      <w:lvlText w:val=""/>
      <w:lvlJc w:val="left"/>
      <w:pPr>
        <w:ind w:left="720" w:hanging="360"/>
      </w:pPr>
      <w:rPr>
        <w:rFonts w:ascii="Symbol" w:hAnsi="Symbol"/>
      </w:rPr>
    </w:lvl>
    <w:lvl w:ilvl="8" w:tplc="9AC85D10">
      <w:start w:val="1"/>
      <w:numFmt w:val="bullet"/>
      <w:lvlText w:val=""/>
      <w:lvlJc w:val="left"/>
      <w:pPr>
        <w:ind w:left="720" w:hanging="360"/>
      </w:pPr>
      <w:rPr>
        <w:rFonts w:ascii="Symbol" w:hAnsi="Symbol"/>
      </w:rPr>
    </w:lvl>
  </w:abstractNum>
  <w:abstractNum w:abstractNumId="1" w15:restartNumberingAfterBreak="0">
    <w:nsid w:val="012E6E03"/>
    <w:multiLevelType w:val="hybridMultilevel"/>
    <w:tmpl w:val="9E20DCC4"/>
    <w:lvl w:ilvl="0" w:tplc="9280A05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7D75F9"/>
    <w:multiLevelType w:val="multilevel"/>
    <w:tmpl w:val="53D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B12C4"/>
    <w:multiLevelType w:val="hybridMultilevel"/>
    <w:tmpl w:val="28F6EE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553A48"/>
    <w:multiLevelType w:val="hybridMultilevel"/>
    <w:tmpl w:val="161C70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8E4DCD"/>
    <w:multiLevelType w:val="hybridMultilevel"/>
    <w:tmpl w:val="02140740"/>
    <w:lvl w:ilvl="0" w:tplc="6EF2B222">
      <w:start w:val="1"/>
      <w:numFmt w:val="bullet"/>
      <w:lvlText w:val=""/>
      <w:lvlJc w:val="left"/>
      <w:pPr>
        <w:ind w:left="720" w:hanging="360"/>
      </w:pPr>
      <w:rPr>
        <w:rFonts w:ascii="Symbol" w:hAnsi="Symbol"/>
      </w:rPr>
    </w:lvl>
    <w:lvl w:ilvl="1" w:tplc="390ABCC6">
      <w:start w:val="1"/>
      <w:numFmt w:val="bullet"/>
      <w:lvlText w:val=""/>
      <w:lvlJc w:val="left"/>
      <w:pPr>
        <w:ind w:left="720" w:hanging="360"/>
      </w:pPr>
      <w:rPr>
        <w:rFonts w:ascii="Symbol" w:hAnsi="Symbol"/>
      </w:rPr>
    </w:lvl>
    <w:lvl w:ilvl="2" w:tplc="8B2A3748">
      <w:start w:val="1"/>
      <w:numFmt w:val="bullet"/>
      <w:lvlText w:val=""/>
      <w:lvlJc w:val="left"/>
      <w:pPr>
        <w:ind w:left="720" w:hanging="360"/>
      </w:pPr>
      <w:rPr>
        <w:rFonts w:ascii="Symbol" w:hAnsi="Symbol"/>
      </w:rPr>
    </w:lvl>
    <w:lvl w:ilvl="3" w:tplc="37A41B8E">
      <w:start w:val="1"/>
      <w:numFmt w:val="bullet"/>
      <w:lvlText w:val=""/>
      <w:lvlJc w:val="left"/>
      <w:pPr>
        <w:ind w:left="720" w:hanging="360"/>
      </w:pPr>
      <w:rPr>
        <w:rFonts w:ascii="Symbol" w:hAnsi="Symbol"/>
      </w:rPr>
    </w:lvl>
    <w:lvl w:ilvl="4" w:tplc="5B52BC34">
      <w:start w:val="1"/>
      <w:numFmt w:val="bullet"/>
      <w:lvlText w:val=""/>
      <w:lvlJc w:val="left"/>
      <w:pPr>
        <w:ind w:left="720" w:hanging="360"/>
      </w:pPr>
      <w:rPr>
        <w:rFonts w:ascii="Symbol" w:hAnsi="Symbol"/>
      </w:rPr>
    </w:lvl>
    <w:lvl w:ilvl="5" w:tplc="B10C8640">
      <w:start w:val="1"/>
      <w:numFmt w:val="bullet"/>
      <w:lvlText w:val=""/>
      <w:lvlJc w:val="left"/>
      <w:pPr>
        <w:ind w:left="720" w:hanging="360"/>
      </w:pPr>
      <w:rPr>
        <w:rFonts w:ascii="Symbol" w:hAnsi="Symbol"/>
      </w:rPr>
    </w:lvl>
    <w:lvl w:ilvl="6" w:tplc="B95A6948">
      <w:start w:val="1"/>
      <w:numFmt w:val="bullet"/>
      <w:lvlText w:val=""/>
      <w:lvlJc w:val="left"/>
      <w:pPr>
        <w:ind w:left="720" w:hanging="360"/>
      </w:pPr>
      <w:rPr>
        <w:rFonts w:ascii="Symbol" w:hAnsi="Symbol"/>
      </w:rPr>
    </w:lvl>
    <w:lvl w:ilvl="7" w:tplc="8168D0A8">
      <w:start w:val="1"/>
      <w:numFmt w:val="bullet"/>
      <w:lvlText w:val=""/>
      <w:lvlJc w:val="left"/>
      <w:pPr>
        <w:ind w:left="720" w:hanging="360"/>
      </w:pPr>
      <w:rPr>
        <w:rFonts w:ascii="Symbol" w:hAnsi="Symbol"/>
      </w:rPr>
    </w:lvl>
    <w:lvl w:ilvl="8" w:tplc="5AF4A78C">
      <w:start w:val="1"/>
      <w:numFmt w:val="bullet"/>
      <w:lvlText w:val=""/>
      <w:lvlJc w:val="left"/>
      <w:pPr>
        <w:ind w:left="720" w:hanging="360"/>
      </w:pPr>
      <w:rPr>
        <w:rFonts w:ascii="Symbol" w:hAnsi="Symbol"/>
      </w:rPr>
    </w:lvl>
  </w:abstractNum>
  <w:abstractNum w:abstractNumId="6" w15:restartNumberingAfterBreak="0">
    <w:nsid w:val="100968B0"/>
    <w:multiLevelType w:val="hybridMultilevel"/>
    <w:tmpl w:val="FD36B6A4"/>
    <w:lvl w:ilvl="0" w:tplc="A572723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88661D"/>
    <w:multiLevelType w:val="multilevel"/>
    <w:tmpl w:val="A05EA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FD4C00"/>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20756C5"/>
    <w:multiLevelType w:val="hybridMultilevel"/>
    <w:tmpl w:val="001C9C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E80DA0"/>
    <w:multiLevelType w:val="hybridMultilevel"/>
    <w:tmpl w:val="95CAFB98"/>
    <w:lvl w:ilvl="0" w:tplc="1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482775B"/>
    <w:multiLevelType w:val="multilevel"/>
    <w:tmpl w:val="BB3456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701493B"/>
    <w:multiLevelType w:val="hybridMultilevel"/>
    <w:tmpl w:val="484602A0"/>
    <w:lvl w:ilvl="0" w:tplc="2438CF40">
      <w:start w:val="1"/>
      <w:numFmt w:val="bullet"/>
      <w:lvlText w:val=""/>
      <w:lvlJc w:val="left"/>
      <w:pPr>
        <w:ind w:left="720" w:hanging="360"/>
      </w:pPr>
      <w:rPr>
        <w:rFonts w:ascii="Symbol" w:hAnsi="Symbol"/>
      </w:rPr>
    </w:lvl>
    <w:lvl w:ilvl="1" w:tplc="6E90E4C8">
      <w:start w:val="1"/>
      <w:numFmt w:val="bullet"/>
      <w:lvlText w:val=""/>
      <w:lvlJc w:val="left"/>
      <w:pPr>
        <w:ind w:left="720" w:hanging="360"/>
      </w:pPr>
      <w:rPr>
        <w:rFonts w:ascii="Symbol" w:hAnsi="Symbol"/>
      </w:rPr>
    </w:lvl>
    <w:lvl w:ilvl="2" w:tplc="91EA4188">
      <w:start w:val="1"/>
      <w:numFmt w:val="bullet"/>
      <w:lvlText w:val=""/>
      <w:lvlJc w:val="left"/>
      <w:pPr>
        <w:ind w:left="720" w:hanging="360"/>
      </w:pPr>
      <w:rPr>
        <w:rFonts w:ascii="Symbol" w:hAnsi="Symbol"/>
      </w:rPr>
    </w:lvl>
    <w:lvl w:ilvl="3" w:tplc="7FF0A106">
      <w:start w:val="1"/>
      <w:numFmt w:val="bullet"/>
      <w:lvlText w:val=""/>
      <w:lvlJc w:val="left"/>
      <w:pPr>
        <w:ind w:left="720" w:hanging="360"/>
      </w:pPr>
      <w:rPr>
        <w:rFonts w:ascii="Symbol" w:hAnsi="Symbol"/>
      </w:rPr>
    </w:lvl>
    <w:lvl w:ilvl="4" w:tplc="CDF84BA6">
      <w:start w:val="1"/>
      <w:numFmt w:val="bullet"/>
      <w:lvlText w:val=""/>
      <w:lvlJc w:val="left"/>
      <w:pPr>
        <w:ind w:left="720" w:hanging="360"/>
      </w:pPr>
      <w:rPr>
        <w:rFonts w:ascii="Symbol" w:hAnsi="Symbol"/>
      </w:rPr>
    </w:lvl>
    <w:lvl w:ilvl="5" w:tplc="A6022E4A">
      <w:start w:val="1"/>
      <w:numFmt w:val="bullet"/>
      <w:lvlText w:val=""/>
      <w:lvlJc w:val="left"/>
      <w:pPr>
        <w:ind w:left="720" w:hanging="360"/>
      </w:pPr>
      <w:rPr>
        <w:rFonts w:ascii="Symbol" w:hAnsi="Symbol"/>
      </w:rPr>
    </w:lvl>
    <w:lvl w:ilvl="6" w:tplc="195C6358">
      <w:start w:val="1"/>
      <w:numFmt w:val="bullet"/>
      <w:lvlText w:val=""/>
      <w:lvlJc w:val="left"/>
      <w:pPr>
        <w:ind w:left="720" w:hanging="360"/>
      </w:pPr>
      <w:rPr>
        <w:rFonts w:ascii="Symbol" w:hAnsi="Symbol"/>
      </w:rPr>
    </w:lvl>
    <w:lvl w:ilvl="7" w:tplc="BA34157C">
      <w:start w:val="1"/>
      <w:numFmt w:val="bullet"/>
      <w:lvlText w:val=""/>
      <w:lvlJc w:val="left"/>
      <w:pPr>
        <w:ind w:left="720" w:hanging="360"/>
      </w:pPr>
      <w:rPr>
        <w:rFonts w:ascii="Symbol" w:hAnsi="Symbol"/>
      </w:rPr>
    </w:lvl>
    <w:lvl w:ilvl="8" w:tplc="8F9A8AF2">
      <w:start w:val="1"/>
      <w:numFmt w:val="bullet"/>
      <w:lvlText w:val=""/>
      <w:lvlJc w:val="left"/>
      <w:pPr>
        <w:ind w:left="720" w:hanging="360"/>
      </w:pPr>
      <w:rPr>
        <w:rFonts w:ascii="Symbol" w:hAnsi="Symbol"/>
      </w:rPr>
    </w:lvl>
  </w:abstractNum>
  <w:abstractNum w:abstractNumId="13" w15:restartNumberingAfterBreak="0">
    <w:nsid w:val="1CF63109"/>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1F095E91"/>
    <w:multiLevelType w:val="hybridMultilevel"/>
    <w:tmpl w:val="591C10FA"/>
    <w:lvl w:ilvl="0" w:tplc="8974D19E">
      <w:start w:val="1"/>
      <w:numFmt w:val="bullet"/>
      <w:lvlText w:val=""/>
      <w:lvlJc w:val="left"/>
      <w:pPr>
        <w:ind w:left="1440" w:hanging="360"/>
      </w:pPr>
      <w:rPr>
        <w:rFonts w:ascii="Symbol" w:hAnsi="Symbol"/>
      </w:rPr>
    </w:lvl>
    <w:lvl w:ilvl="1" w:tplc="4D0ADF72">
      <w:start w:val="1"/>
      <w:numFmt w:val="bullet"/>
      <w:lvlText w:val=""/>
      <w:lvlJc w:val="left"/>
      <w:pPr>
        <w:ind w:left="1440" w:hanging="360"/>
      </w:pPr>
      <w:rPr>
        <w:rFonts w:ascii="Symbol" w:hAnsi="Symbol"/>
      </w:rPr>
    </w:lvl>
    <w:lvl w:ilvl="2" w:tplc="B24C801C">
      <w:start w:val="1"/>
      <w:numFmt w:val="bullet"/>
      <w:lvlText w:val=""/>
      <w:lvlJc w:val="left"/>
      <w:pPr>
        <w:ind w:left="1440" w:hanging="360"/>
      </w:pPr>
      <w:rPr>
        <w:rFonts w:ascii="Symbol" w:hAnsi="Symbol"/>
      </w:rPr>
    </w:lvl>
    <w:lvl w:ilvl="3" w:tplc="58DA1F26">
      <w:start w:val="1"/>
      <w:numFmt w:val="bullet"/>
      <w:lvlText w:val=""/>
      <w:lvlJc w:val="left"/>
      <w:pPr>
        <w:ind w:left="1440" w:hanging="360"/>
      </w:pPr>
      <w:rPr>
        <w:rFonts w:ascii="Symbol" w:hAnsi="Symbol"/>
      </w:rPr>
    </w:lvl>
    <w:lvl w:ilvl="4" w:tplc="56F0A4AE">
      <w:start w:val="1"/>
      <w:numFmt w:val="bullet"/>
      <w:lvlText w:val=""/>
      <w:lvlJc w:val="left"/>
      <w:pPr>
        <w:ind w:left="1440" w:hanging="360"/>
      </w:pPr>
      <w:rPr>
        <w:rFonts w:ascii="Symbol" w:hAnsi="Symbol"/>
      </w:rPr>
    </w:lvl>
    <w:lvl w:ilvl="5" w:tplc="4F667608">
      <w:start w:val="1"/>
      <w:numFmt w:val="bullet"/>
      <w:lvlText w:val=""/>
      <w:lvlJc w:val="left"/>
      <w:pPr>
        <w:ind w:left="1440" w:hanging="360"/>
      </w:pPr>
      <w:rPr>
        <w:rFonts w:ascii="Symbol" w:hAnsi="Symbol"/>
      </w:rPr>
    </w:lvl>
    <w:lvl w:ilvl="6" w:tplc="93D2707E">
      <w:start w:val="1"/>
      <w:numFmt w:val="bullet"/>
      <w:lvlText w:val=""/>
      <w:lvlJc w:val="left"/>
      <w:pPr>
        <w:ind w:left="1440" w:hanging="360"/>
      </w:pPr>
      <w:rPr>
        <w:rFonts w:ascii="Symbol" w:hAnsi="Symbol"/>
      </w:rPr>
    </w:lvl>
    <w:lvl w:ilvl="7" w:tplc="10F27AEE">
      <w:start w:val="1"/>
      <w:numFmt w:val="bullet"/>
      <w:lvlText w:val=""/>
      <w:lvlJc w:val="left"/>
      <w:pPr>
        <w:ind w:left="1440" w:hanging="360"/>
      </w:pPr>
      <w:rPr>
        <w:rFonts w:ascii="Symbol" w:hAnsi="Symbol"/>
      </w:rPr>
    </w:lvl>
    <w:lvl w:ilvl="8" w:tplc="9E36FF3E">
      <w:start w:val="1"/>
      <w:numFmt w:val="bullet"/>
      <w:lvlText w:val=""/>
      <w:lvlJc w:val="left"/>
      <w:pPr>
        <w:ind w:left="1440" w:hanging="360"/>
      </w:pPr>
      <w:rPr>
        <w:rFonts w:ascii="Symbol" w:hAnsi="Symbol"/>
      </w:rPr>
    </w:lvl>
  </w:abstractNum>
  <w:abstractNum w:abstractNumId="15" w15:restartNumberingAfterBreak="0">
    <w:nsid w:val="1FC32976"/>
    <w:multiLevelType w:val="hybridMultilevel"/>
    <w:tmpl w:val="9106FF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FF9451F"/>
    <w:multiLevelType w:val="multilevel"/>
    <w:tmpl w:val="E7CA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E44A20"/>
    <w:multiLevelType w:val="multilevel"/>
    <w:tmpl w:val="062E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8E4182"/>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C6E3EDE"/>
    <w:multiLevelType w:val="hybridMultilevel"/>
    <w:tmpl w:val="14DEC5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4C4568"/>
    <w:multiLevelType w:val="hybridMultilevel"/>
    <w:tmpl w:val="9A202668"/>
    <w:lvl w:ilvl="0" w:tplc="775C5EE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A02130A"/>
    <w:multiLevelType w:val="hybridMultilevel"/>
    <w:tmpl w:val="290883CE"/>
    <w:lvl w:ilvl="0" w:tplc="0ED428DC">
      <w:start w:val="1"/>
      <w:numFmt w:val="bullet"/>
      <w:pStyle w:val="Paragraphedelistebullets"/>
      <w:lvlText w:val=""/>
      <w:lvlJc w:val="left"/>
      <w:pPr>
        <w:ind w:left="558" w:hanging="360"/>
      </w:pPr>
      <w:rPr>
        <w:rFonts w:ascii="Wingdings" w:hAnsi="Wingdings" w:hint="default"/>
        <w:color w:val="1A8482" w:themeColor="accent5" w:themeShade="80"/>
        <w:position w:val="-4"/>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EA75D63"/>
    <w:multiLevelType w:val="hybridMultilevel"/>
    <w:tmpl w:val="D5F814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2F20962"/>
    <w:multiLevelType w:val="hybridMultilevel"/>
    <w:tmpl w:val="50D221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3C0B858"/>
    <w:multiLevelType w:val="hybridMultilevel"/>
    <w:tmpl w:val="FFFFFFFF"/>
    <w:lvl w:ilvl="0" w:tplc="AA8C5022">
      <w:start w:val="1"/>
      <w:numFmt w:val="bullet"/>
      <w:lvlText w:val="-"/>
      <w:lvlJc w:val="left"/>
      <w:pPr>
        <w:ind w:left="720" w:hanging="360"/>
      </w:pPr>
      <w:rPr>
        <w:rFonts w:ascii="Calibri" w:hAnsi="Calibri" w:hint="default"/>
      </w:rPr>
    </w:lvl>
    <w:lvl w:ilvl="1" w:tplc="8F3EC3CC">
      <w:start w:val="1"/>
      <w:numFmt w:val="bullet"/>
      <w:lvlText w:val="o"/>
      <w:lvlJc w:val="left"/>
      <w:pPr>
        <w:ind w:left="1440" w:hanging="360"/>
      </w:pPr>
      <w:rPr>
        <w:rFonts w:ascii="Courier New" w:hAnsi="Courier New" w:hint="default"/>
      </w:rPr>
    </w:lvl>
    <w:lvl w:ilvl="2" w:tplc="06485E9C">
      <w:start w:val="1"/>
      <w:numFmt w:val="bullet"/>
      <w:lvlText w:val=""/>
      <w:lvlJc w:val="left"/>
      <w:pPr>
        <w:ind w:left="2160" w:hanging="360"/>
      </w:pPr>
      <w:rPr>
        <w:rFonts w:ascii="Wingdings" w:hAnsi="Wingdings" w:hint="default"/>
      </w:rPr>
    </w:lvl>
    <w:lvl w:ilvl="3" w:tplc="EA544D6E">
      <w:start w:val="1"/>
      <w:numFmt w:val="bullet"/>
      <w:lvlText w:val=""/>
      <w:lvlJc w:val="left"/>
      <w:pPr>
        <w:ind w:left="2880" w:hanging="360"/>
      </w:pPr>
      <w:rPr>
        <w:rFonts w:ascii="Symbol" w:hAnsi="Symbol" w:hint="default"/>
      </w:rPr>
    </w:lvl>
    <w:lvl w:ilvl="4" w:tplc="CD4C680A">
      <w:start w:val="1"/>
      <w:numFmt w:val="bullet"/>
      <w:lvlText w:val="o"/>
      <w:lvlJc w:val="left"/>
      <w:pPr>
        <w:ind w:left="3600" w:hanging="360"/>
      </w:pPr>
      <w:rPr>
        <w:rFonts w:ascii="Courier New" w:hAnsi="Courier New" w:hint="default"/>
      </w:rPr>
    </w:lvl>
    <w:lvl w:ilvl="5" w:tplc="C1624760">
      <w:start w:val="1"/>
      <w:numFmt w:val="bullet"/>
      <w:lvlText w:val=""/>
      <w:lvlJc w:val="left"/>
      <w:pPr>
        <w:ind w:left="4320" w:hanging="360"/>
      </w:pPr>
      <w:rPr>
        <w:rFonts w:ascii="Wingdings" w:hAnsi="Wingdings" w:hint="default"/>
      </w:rPr>
    </w:lvl>
    <w:lvl w:ilvl="6" w:tplc="AAE6DA8E">
      <w:start w:val="1"/>
      <w:numFmt w:val="bullet"/>
      <w:lvlText w:val=""/>
      <w:lvlJc w:val="left"/>
      <w:pPr>
        <w:ind w:left="5040" w:hanging="360"/>
      </w:pPr>
      <w:rPr>
        <w:rFonts w:ascii="Symbol" w:hAnsi="Symbol" w:hint="default"/>
      </w:rPr>
    </w:lvl>
    <w:lvl w:ilvl="7" w:tplc="2C2AAEBE">
      <w:start w:val="1"/>
      <w:numFmt w:val="bullet"/>
      <w:lvlText w:val="o"/>
      <w:lvlJc w:val="left"/>
      <w:pPr>
        <w:ind w:left="5760" w:hanging="360"/>
      </w:pPr>
      <w:rPr>
        <w:rFonts w:ascii="Courier New" w:hAnsi="Courier New" w:hint="default"/>
      </w:rPr>
    </w:lvl>
    <w:lvl w:ilvl="8" w:tplc="2F72B89E">
      <w:start w:val="1"/>
      <w:numFmt w:val="bullet"/>
      <w:lvlText w:val=""/>
      <w:lvlJc w:val="left"/>
      <w:pPr>
        <w:ind w:left="6480" w:hanging="360"/>
      </w:pPr>
      <w:rPr>
        <w:rFonts w:ascii="Wingdings" w:hAnsi="Wingdings" w:hint="default"/>
      </w:rPr>
    </w:lvl>
  </w:abstractNum>
  <w:abstractNum w:abstractNumId="25" w15:restartNumberingAfterBreak="0">
    <w:nsid w:val="49465920"/>
    <w:multiLevelType w:val="multilevel"/>
    <w:tmpl w:val="E5D4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6A5D4C"/>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D284556"/>
    <w:multiLevelType w:val="multilevel"/>
    <w:tmpl w:val="4930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F60484"/>
    <w:multiLevelType w:val="hybridMultilevel"/>
    <w:tmpl w:val="81C010BC"/>
    <w:lvl w:ilvl="0" w:tplc="286ADFF6">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0300BB2"/>
    <w:multiLevelType w:val="hybridMultilevel"/>
    <w:tmpl w:val="ACEA2C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3220555"/>
    <w:multiLevelType w:val="hybridMultilevel"/>
    <w:tmpl w:val="28824A88"/>
    <w:lvl w:ilvl="0" w:tplc="C172B388">
      <w:start w:val="1"/>
      <w:numFmt w:val="lowerRoman"/>
      <w:pStyle w:val="ListParagraph"/>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485EDE"/>
    <w:multiLevelType w:val="hybridMultilevel"/>
    <w:tmpl w:val="FFFFFFFF"/>
    <w:lvl w:ilvl="0" w:tplc="E206B59E">
      <w:start w:val="1"/>
      <w:numFmt w:val="bullet"/>
      <w:lvlText w:val="-"/>
      <w:lvlJc w:val="left"/>
      <w:pPr>
        <w:ind w:left="720" w:hanging="360"/>
      </w:pPr>
      <w:rPr>
        <w:rFonts w:ascii="Calibri" w:hAnsi="Calibri" w:hint="default"/>
      </w:rPr>
    </w:lvl>
    <w:lvl w:ilvl="1" w:tplc="E99A66CC">
      <w:start w:val="1"/>
      <w:numFmt w:val="bullet"/>
      <w:lvlText w:val="o"/>
      <w:lvlJc w:val="left"/>
      <w:pPr>
        <w:ind w:left="1440" w:hanging="360"/>
      </w:pPr>
      <w:rPr>
        <w:rFonts w:ascii="Courier New" w:hAnsi="Courier New" w:hint="default"/>
      </w:rPr>
    </w:lvl>
    <w:lvl w:ilvl="2" w:tplc="FBD4909A">
      <w:start w:val="1"/>
      <w:numFmt w:val="bullet"/>
      <w:lvlText w:val=""/>
      <w:lvlJc w:val="left"/>
      <w:pPr>
        <w:ind w:left="2160" w:hanging="360"/>
      </w:pPr>
      <w:rPr>
        <w:rFonts w:ascii="Wingdings" w:hAnsi="Wingdings" w:hint="default"/>
      </w:rPr>
    </w:lvl>
    <w:lvl w:ilvl="3" w:tplc="F17EFE38">
      <w:start w:val="1"/>
      <w:numFmt w:val="bullet"/>
      <w:lvlText w:val=""/>
      <w:lvlJc w:val="left"/>
      <w:pPr>
        <w:ind w:left="2880" w:hanging="360"/>
      </w:pPr>
      <w:rPr>
        <w:rFonts w:ascii="Symbol" w:hAnsi="Symbol" w:hint="default"/>
      </w:rPr>
    </w:lvl>
    <w:lvl w:ilvl="4" w:tplc="56627850">
      <w:start w:val="1"/>
      <w:numFmt w:val="bullet"/>
      <w:lvlText w:val="o"/>
      <w:lvlJc w:val="left"/>
      <w:pPr>
        <w:ind w:left="3600" w:hanging="360"/>
      </w:pPr>
      <w:rPr>
        <w:rFonts w:ascii="Courier New" w:hAnsi="Courier New" w:hint="default"/>
      </w:rPr>
    </w:lvl>
    <w:lvl w:ilvl="5" w:tplc="F800A090">
      <w:start w:val="1"/>
      <w:numFmt w:val="bullet"/>
      <w:lvlText w:val=""/>
      <w:lvlJc w:val="left"/>
      <w:pPr>
        <w:ind w:left="4320" w:hanging="360"/>
      </w:pPr>
      <w:rPr>
        <w:rFonts w:ascii="Wingdings" w:hAnsi="Wingdings" w:hint="default"/>
      </w:rPr>
    </w:lvl>
    <w:lvl w:ilvl="6" w:tplc="2F205C98">
      <w:start w:val="1"/>
      <w:numFmt w:val="bullet"/>
      <w:lvlText w:val=""/>
      <w:lvlJc w:val="left"/>
      <w:pPr>
        <w:ind w:left="5040" w:hanging="360"/>
      </w:pPr>
      <w:rPr>
        <w:rFonts w:ascii="Symbol" w:hAnsi="Symbol" w:hint="default"/>
      </w:rPr>
    </w:lvl>
    <w:lvl w:ilvl="7" w:tplc="BF08229A">
      <w:start w:val="1"/>
      <w:numFmt w:val="bullet"/>
      <w:lvlText w:val="o"/>
      <w:lvlJc w:val="left"/>
      <w:pPr>
        <w:ind w:left="5760" w:hanging="360"/>
      </w:pPr>
      <w:rPr>
        <w:rFonts w:ascii="Courier New" w:hAnsi="Courier New" w:hint="default"/>
      </w:rPr>
    </w:lvl>
    <w:lvl w:ilvl="8" w:tplc="DF229C5E">
      <w:start w:val="1"/>
      <w:numFmt w:val="bullet"/>
      <w:lvlText w:val=""/>
      <w:lvlJc w:val="left"/>
      <w:pPr>
        <w:ind w:left="6480" w:hanging="360"/>
      </w:pPr>
      <w:rPr>
        <w:rFonts w:ascii="Wingdings" w:hAnsi="Wingdings" w:hint="default"/>
      </w:rPr>
    </w:lvl>
  </w:abstractNum>
  <w:abstractNum w:abstractNumId="32" w15:restartNumberingAfterBreak="0">
    <w:nsid w:val="573731C8"/>
    <w:multiLevelType w:val="multilevel"/>
    <w:tmpl w:val="FA46087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872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DF1F7D"/>
    <w:multiLevelType w:val="hybridMultilevel"/>
    <w:tmpl w:val="68760860"/>
    <w:lvl w:ilvl="0" w:tplc="ABFC8224">
      <w:start w:val="1"/>
      <w:numFmt w:val="bullet"/>
      <w:lvlText w:val=""/>
      <w:lvlJc w:val="left"/>
      <w:pPr>
        <w:ind w:left="1440" w:hanging="360"/>
      </w:pPr>
      <w:rPr>
        <w:rFonts w:ascii="Symbol" w:hAnsi="Symbol"/>
      </w:rPr>
    </w:lvl>
    <w:lvl w:ilvl="1" w:tplc="05F0004E">
      <w:start w:val="1"/>
      <w:numFmt w:val="bullet"/>
      <w:lvlText w:val=""/>
      <w:lvlJc w:val="left"/>
      <w:pPr>
        <w:ind w:left="1440" w:hanging="360"/>
      </w:pPr>
      <w:rPr>
        <w:rFonts w:ascii="Symbol" w:hAnsi="Symbol"/>
      </w:rPr>
    </w:lvl>
    <w:lvl w:ilvl="2" w:tplc="03A62F3E">
      <w:start w:val="1"/>
      <w:numFmt w:val="bullet"/>
      <w:lvlText w:val=""/>
      <w:lvlJc w:val="left"/>
      <w:pPr>
        <w:ind w:left="1440" w:hanging="360"/>
      </w:pPr>
      <w:rPr>
        <w:rFonts w:ascii="Symbol" w:hAnsi="Symbol"/>
      </w:rPr>
    </w:lvl>
    <w:lvl w:ilvl="3" w:tplc="C6A0891C">
      <w:start w:val="1"/>
      <w:numFmt w:val="bullet"/>
      <w:lvlText w:val=""/>
      <w:lvlJc w:val="left"/>
      <w:pPr>
        <w:ind w:left="1440" w:hanging="360"/>
      </w:pPr>
      <w:rPr>
        <w:rFonts w:ascii="Symbol" w:hAnsi="Symbol"/>
      </w:rPr>
    </w:lvl>
    <w:lvl w:ilvl="4" w:tplc="685E6ADA">
      <w:start w:val="1"/>
      <w:numFmt w:val="bullet"/>
      <w:lvlText w:val=""/>
      <w:lvlJc w:val="left"/>
      <w:pPr>
        <w:ind w:left="1440" w:hanging="360"/>
      </w:pPr>
      <w:rPr>
        <w:rFonts w:ascii="Symbol" w:hAnsi="Symbol"/>
      </w:rPr>
    </w:lvl>
    <w:lvl w:ilvl="5" w:tplc="A55A014C">
      <w:start w:val="1"/>
      <w:numFmt w:val="bullet"/>
      <w:lvlText w:val=""/>
      <w:lvlJc w:val="left"/>
      <w:pPr>
        <w:ind w:left="1440" w:hanging="360"/>
      </w:pPr>
      <w:rPr>
        <w:rFonts w:ascii="Symbol" w:hAnsi="Symbol"/>
      </w:rPr>
    </w:lvl>
    <w:lvl w:ilvl="6" w:tplc="244A7DCC">
      <w:start w:val="1"/>
      <w:numFmt w:val="bullet"/>
      <w:lvlText w:val=""/>
      <w:lvlJc w:val="left"/>
      <w:pPr>
        <w:ind w:left="1440" w:hanging="360"/>
      </w:pPr>
      <w:rPr>
        <w:rFonts w:ascii="Symbol" w:hAnsi="Symbol"/>
      </w:rPr>
    </w:lvl>
    <w:lvl w:ilvl="7" w:tplc="61C43978">
      <w:start w:val="1"/>
      <w:numFmt w:val="bullet"/>
      <w:lvlText w:val=""/>
      <w:lvlJc w:val="left"/>
      <w:pPr>
        <w:ind w:left="1440" w:hanging="360"/>
      </w:pPr>
      <w:rPr>
        <w:rFonts w:ascii="Symbol" w:hAnsi="Symbol"/>
      </w:rPr>
    </w:lvl>
    <w:lvl w:ilvl="8" w:tplc="06CE7C44">
      <w:start w:val="1"/>
      <w:numFmt w:val="bullet"/>
      <w:lvlText w:val=""/>
      <w:lvlJc w:val="left"/>
      <w:pPr>
        <w:ind w:left="1440" w:hanging="360"/>
      </w:pPr>
      <w:rPr>
        <w:rFonts w:ascii="Symbol" w:hAnsi="Symbol"/>
      </w:rPr>
    </w:lvl>
  </w:abstractNum>
  <w:abstractNum w:abstractNumId="34" w15:restartNumberingAfterBreak="0">
    <w:nsid w:val="5D61132C"/>
    <w:multiLevelType w:val="hybridMultilevel"/>
    <w:tmpl w:val="7DF6A2AC"/>
    <w:lvl w:ilvl="0" w:tplc="2FF0658C">
      <w:start w:val="1"/>
      <w:numFmt w:val="bullet"/>
      <w:lvlText w:val=""/>
      <w:lvlJc w:val="left"/>
      <w:pPr>
        <w:ind w:left="720" w:hanging="360"/>
      </w:pPr>
      <w:rPr>
        <w:rFonts w:ascii="Symbol" w:hAnsi="Symbol"/>
      </w:rPr>
    </w:lvl>
    <w:lvl w:ilvl="1" w:tplc="3D58DE80">
      <w:start w:val="1"/>
      <w:numFmt w:val="bullet"/>
      <w:lvlText w:val=""/>
      <w:lvlJc w:val="left"/>
      <w:pPr>
        <w:ind w:left="720" w:hanging="360"/>
      </w:pPr>
      <w:rPr>
        <w:rFonts w:ascii="Symbol" w:hAnsi="Symbol"/>
      </w:rPr>
    </w:lvl>
    <w:lvl w:ilvl="2" w:tplc="69402EE6">
      <w:start w:val="1"/>
      <w:numFmt w:val="bullet"/>
      <w:lvlText w:val=""/>
      <w:lvlJc w:val="left"/>
      <w:pPr>
        <w:ind w:left="720" w:hanging="360"/>
      </w:pPr>
      <w:rPr>
        <w:rFonts w:ascii="Symbol" w:hAnsi="Symbol"/>
      </w:rPr>
    </w:lvl>
    <w:lvl w:ilvl="3" w:tplc="AC0026D6">
      <w:start w:val="1"/>
      <w:numFmt w:val="bullet"/>
      <w:lvlText w:val=""/>
      <w:lvlJc w:val="left"/>
      <w:pPr>
        <w:ind w:left="720" w:hanging="360"/>
      </w:pPr>
      <w:rPr>
        <w:rFonts w:ascii="Symbol" w:hAnsi="Symbol"/>
      </w:rPr>
    </w:lvl>
    <w:lvl w:ilvl="4" w:tplc="5A84FC74">
      <w:start w:val="1"/>
      <w:numFmt w:val="bullet"/>
      <w:lvlText w:val=""/>
      <w:lvlJc w:val="left"/>
      <w:pPr>
        <w:ind w:left="720" w:hanging="360"/>
      </w:pPr>
      <w:rPr>
        <w:rFonts w:ascii="Symbol" w:hAnsi="Symbol"/>
      </w:rPr>
    </w:lvl>
    <w:lvl w:ilvl="5" w:tplc="AC0CF556">
      <w:start w:val="1"/>
      <w:numFmt w:val="bullet"/>
      <w:lvlText w:val=""/>
      <w:lvlJc w:val="left"/>
      <w:pPr>
        <w:ind w:left="720" w:hanging="360"/>
      </w:pPr>
      <w:rPr>
        <w:rFonts w:ascii="Symbol" w:hAnsi="Symbol"/>
      </w:rPr>
    </w:lvl>
    <w:lvl w:ilvl="6" w:tplc="6DC813CA">
      <w:start w:val="1"/>
      <w:numFmt w:val="bullet"/>
      <w:lvlText w:val=""/>
      <w:lvlJc w:val="left"/>
      <w:pPr>
        <w:ind w:left="720" w:hanging="360"/>
      </w:pPr>
      <w:rPr>
        <w:rFonts w:ascii="Symbol" w:hAnsi="Symbol"/>
      </w:rPr>
    </w:lvl>
    <w:lvl w:ilvl="7" w:tplc="A7609E3E">
      <w:start w:val="1"/>
      <w:numFmt w:val="bullet"/>
      <w:lvlText w:val=""/>
      <w:lvlJc w:val="left"/>
      <w:pPr>
        <w:ind w:left="720" w:hanging="360"/>
      </w:pPr>
      <w:rPr>
        <w:rFonts w:ascii="Symbol" w:hAnsi="Symbol"/>
      </w:rPr>
    </w:lvl>
    <w:lvl w:ilvl="8" w:tplc="2A2E6BA4">
      <w:start w:val="1"/>
      <w:numFmt w:val="bullet"/>
      <w:lvlText w:val=""/>
      <w:lvlJc w:val="left"/>
      <w:pPr>
        <w:ind w:left="720" w:hanging="360"/>
      </w:pPr>
      <w:rPr>
        <w:rFonts w:ascii="Symbol" w:hAnsi="Symbol"/>
      </w:rPr>
    </w:lvl>
  </w:abstractNum>
  <w:abstractNum w:abstractNumId="35" w15:restartNumberingAfterBreak="0">
    <w:nsid w:val="5DF36C39"/>
    <w:multiLevelType w:val="hybridMultilevel"/>
    <w:tmpl w:val="B0FA19A0"/>
    <w:lvl w:ilvl="0" w:tplc="6CF2177E">
      <w:start w:val="31"/>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D61ECF"/>
    <w:multiLevelType w:val="hybridMultilevel"/>
    <w:tmpl w:val="AC8E6D34"/>
    <w:lvl w:ilvl="0" w:tplc="4294B9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33C50E5"/>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8" w15:restartNumberingAfterBreak="0">
    <w:nsid w:val="65AE1930"/>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65C16138"/>
    <w:multiLevelType w:val="hybridMultilevel"/>
    <w:tmpl w:val="DC0A0508"/>
    <w:lvl w:ilvl="0" w:tplc="18090005">
      <w:start w:val="1"/>
      <w:numFmt w:val="bullet"/>
      <w:lvlText w:val=""/>
      <w:lvlJc w:val="left"/>
      <w:pPr>
        <w:ind w:left="1037" w:hanging="360"/>
      </w:pPr>
      <w:rPr>
        <w:rFonts w:ascii="Wingdings" w:hAnsi="Wingdings" w:hint="default"/>
      </w:rPr>
    </w:lvl>
    <w:lvl w:ilvl="1" w:tplc="18090003" w:tentative="1">
      <w:start w:val="1"/>
      <w:numFmt w:val="bullet"/>
      <w:lvlText w:val="o"/>
      <w:lvlJc w:val="left"/>
      <w:pPr>
        <w:ind w:left="1757" w:hanging="360"/>
      </w:pPr>
      <w:rPr>
        <w:rFonts w:ascii="Courier New" w:hAnsi="Courier New" w:cs="Courier New" w:hint="default"/>
      </w:rPr>
    </w:lvl>
    <w:lvl w:ilvl="2" w:tplc="18090005" w:tentative="1">
      <w:start w:val="1"/>
      <w:numFmt w:val="bullet"/>
      <w:lvlText w:val=""/>
      <w:lvlJc w:val="left"/>
      <w:pPr>
        <w:ind w:left="2477" w:hanging="360"/>
      </w:pPr>
      <w:rPr>
        <w:rFonts w:ascii="Wingdings" w:hAnsi="Wingdings" w:hint="default"/>
      </w:rPr>
    </w:lvl>
    <w:lvl w:ilvl="3" w:tplc="18090001" w:tentative="1">
      <w:start w:val="1"/>
      <w:numFmt w:val="bullet"/>
      <w:lvlText w:val=""/>
      <w:lvlJc w:val="left"/>
      <w:pPr>
        <w:ind w:left="3197" w:hanging="360"/>
      </w:pPr>
      <w:rPr>
        <w:rFonts w:ascii="Symbol" w:hAnsi="Symbol" w:hint="default"/>
      </w:rPr>
    </w:lvl>
    <w:lvl w:ilvl="4" w:tplc="18090003" w:tentative="1">
      <w:start w:val="1"/>
      <w:numFmt w:val="bullet"/>
      <w:lvlText w:val="o"/>
      <w:lvlJc w:val="left"/>
      <w:pPr>
        <w:ind w:left="3917" w:hanging="360"/>
      </w:pPr>
      <w:rPr>
        <w:rFonts w:ascii="Courier New" w:hAnsi="Courier New" w:cs="Courier New" w:hint="default"/>
      </w:rPr>
    </w:lvl>
    <w:lvl w:ilvl="5" w:tplc="18090005" w:tentative="1">
      <w:start w:val="1"/>
      <w:numFmt w:val="bullet"/>
      <w:lvlText w:val=""/>
      <w:lvlJc w:val="left"/>
      <w:pPr>
        <w:ind w:left="4637" w:hanging="360"/>
      </w:pPr>
      <w:rPr>
        <w:rFonts w:ascii="Wingdings" w:hAnsi="Wingdings" w:hint="default"/>
      </w:rPr>
    </w:lvl>
    <w:lvl w:ilvl="6" w:tplc="18090001" w:tentative="1">
      <w:start w:val="1"/>
      <w:numFmt w:val="bullet"/>
      <w:lvlText w:val=""/>
      <w:lvlJc w:val="left"/>
      <w:pPr>
        <w:ind w:left="5357" w:hanging="360"/>
      </w:pPr>
      <w:rPr>
        <w:rFonts w:ascii="Symbol" w:hAnsi="Symbol" w:hint="default"/>
      </w:rPr>
    </w:lvl>
    <w:lvl w:ilvl="7" w:tplc="18090003" w:tentative="1">
      <w:start w:val="1"/>
      <w:numFmt w:val="bullet"/>
      <w:lvlText w:val="o"/>
      <w:lvlJc w:val="left"/>
      <w:pPr>
        <w:ind w:left="6077" w:hanging="360"/>
      </w:pPr>
      <w:rPr>
        <w:rFonts w:ascii="Courier New" w:hAnsi="Courier New" w:cs="Courier New" w:hint="default"/>
      </w:rPr>
    </w:lvl>
    <w:lvl w:ilvl="8" w:tplc="18090005" w:tentative="1">
      <w:start w:val="1"/>
      <w:numFmt w:val="bullet"/>
      <w:lvlText w:val=""/>
      <w:lvlJc w:val="left"/>
      <w:pPr>
        <w:ind w:left="6797" w:hanging="360"/>
      </w:pPr>
      <w:rPr>
        <w:rFonts w:ascii="Wingdings" w:hAnsi="Wingdings" w:hint="default"/>
      </w:rPr>
    </w:lvl>
  </w:abstractNum>
  <w:abstractNum w:abstractNumId="40" w15:restartNumberingAfterBreak="0">
    <w:nsid w:val="767F16C3"/>
    <w:multiLevelType w:val="hybridMultilevel"/>
    <w:tmpl w:val="FFFFFFFF"/>
    <w:lvl w:ilvl="0" w:tplc="FFFFFFFF">
      <w:start w:val="1"/>
      <w:numFmt w:val="bullet"/>
      <w:lvlText w:val=""/>
      <w:lvlJc w:val="left"/>
      <w:pPr>
        <w:ind w:left="720" w:hanging="360"/>
      </w:pPr>
      <w:rPr>
        <w:rFonts w:ascii="Symbol" w:hAnsi="Symbol" w:hint="default"/>
      </w:rPr>
    </w:lvl>
    <w:lvl w:ilvl="1" w:tplc="D5D60D5E">
      <w:start w:val="1"/>
      <w:numFmt w:val="bullet"/>
      <w:lvlText w:val="o"/>
      <w:lvlJc w:val="left"/>
      <w:pPr>
        <w:ind w:left="1440" w:hanging="360"/>
      </w:pPr>
      <w:rPr>
        <w:rFonts w:ascii="Courier New" w:hAnsi="Courier New" w:hint="default"/>
      </w:rPr>
    </w:lvl>
    <w:lvl w:ilvl="2" w:tplc="362EE67E">
      <w:start w:val="1"/>
      <w:numFmt w:val="bullet"/>
      <w:lvlText w:val=""/>
      <w:lvlJc w:val="left"/>
      <w:pPr>
        <w:ind w:left="2160" w:hanging="360"/>
      </w:pPr>
      <w:rPr>
        <w:rFonts w:ascii="Wingdings" w:hAnsi="Wingdings" w:hint="default"/>
      </w:rPr>
    </w:lvl>
    <w:lvl w:ilvl="3" w:tplc="267E0864">
      <w:start w:val="1"/>
      <w:numFmt w:val="bullet"/>
      <w:lvlText w:val=""/>
      <w:lvlJc w:val="left"/>
      <w:pPr>
        <w:ind w:left="2880" w:hanging="360"/>
      </w:pPr>
      <w:rPr>
        <w:rFonts w:ascii="Symbol" w:hAnsi="Symbol" w:hint="default"/>
      </w:rPr>
    </w:lvl>
    <w:lvl w:ilvl="4" w:tplc="42C4B648">
      <w:start w:val="1"/>
      <w:numFmt w:val="bullet"/>
      <w:lvlText w:val="o"/>
      <w:lvlJc w:val="left"/>
      <w:pPr>
        <w:ind w:left="3600" w:hanging="360"/>
      </w:pPr>
      <w:rPr>
        <w:rFonts w:ascii="Courier New" w:hAnsi="Courier New" w:hint="default"/>
      </w:rPr>
    </w:lvl>
    <w:lvl w:ilvl="5" w:tplc="81C4DC72">
      <w:start w:val="1"/>
      <w:numFmt w:val="bullet"/>
      <w:lvlText w:val=""/>
      <w:lvlJc w:val="left"/>
      <w:pPr>
        <w:ind w:left="4320" w:hanging="360"/>
      </w:pPr>
      <w:rPr>
        <w:rFonts w:ascii="Wingdings" w:hAnsi="Wingdings" w:hint="default"/>
      </w:rPr>
    </w:lvl>
    <w:lvl w:ilvl="6" w:tplc="C544354E">
      <w:start w:val="1"/>
      <w:numFmt w:val="bullet"/>
      <w:lvlText w:val=""/>
      <w:lvlJc w:val="left"/>
      <w:pPr>
        <w:ind w:left="5040" w:hanging="360"/>
      </w:pPr>
      <w:rPr>
        <w:rFonts w:ascii="Symbol" w:hAnsi="Symbol" w:hint="default"/>
      </w:rPr>
    </w:lvl>
    <w:lvl w:ilvl="7" w:tplc="7F4C1132">
      <w:start w:val="1"/>
      <w:numFmt w:val="bullet"/>
      <w:lvlText w:val="o"/>
      <w:lvlJc w:val="left"/>
      <w:pPr>
        <w:ind w:left="5760" w:hanging="360"/>
      </w:pPr>
      <w:rPr>
        <w:rFonts w:ascii="Courier New" w:hAnsi="Courier New" w:hint="default"/>
      </w:rPr>
    </w:lvl>
    <w:lvl w:ilvl="8" w:tplc="F7D08B4E">
      <w:start w:val="1"/>
      <w:numFmt w:val="bullet"/>
      <w:lvlText w:val=""/>
      <w:lvlJc w:val="left"/>
      <w:pPr>
        <w:ind w:left="6480" w:hanging="360"/>
      </w:pPr>
      <w:rPr>
        <w:rFonts w:ascii="Wingdings" w:hAnsi="Wingdings" w:hint="default"/>
      </w:rPr>
    </w:lvl>
  </w:abstractNum>
  <w:abstractNum w:abstractNumId="41" w15:restartNumberingAfterBreak="0">
    <w:nsid w:val="795A3677"/>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B9E38E8"/>
    <w:multiLevelType w:val="hybridMultilevel"/>
    <w:tmpl w:val="B96E3C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E597B24"/>
    <w:multiLevelType w:val="multilevel"/>
    <w:tmpl w:val="E7CABE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E666D54"/>
    <w:multiLevelType w:val="hybridMultilevel"/>
    <w:tmpl w:val="94CAA9C8"/>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E8759A9"/>
    <w:multiLevelType w:val="hybridMultilevel"/>
    <w:tmpl w:val="E2B270C2"/>
    <w:lvl w:ilvl="0" w:tplc="85B611C4">
      <w:start w:val="1"/>
      <w:numFmt w:val="bullet"/>
      <w:pStyle w:val="Tickbullets"/>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29"/>
  </w:num>
  <w:num w:numId="4">
    <w:abstractNumId w:val="9"/>
  </w:num>
  <w:num w:numId="5">
    <w:abstractNumId w:val="35"/>
  </w:num>
  <w:num w:numId="6">
    <w:abstractNumId w:val="28"/>
  </w:num>
  <w:num w:numId="7">
    <w:abstractNumId w:val="25"/>
  </w:num>
  <w:num w:numId="8">
    <w:abstractNumId w:val="40"/>
  </w:num>
  <w:num w:numId="9">
    <w:abstractNumId w:val="3"/>
  </w:num>
  <w:num w:numId="10">
    <w:abstractNumId w:val="19"/>
  </w:num>
  <w:num w:numId="11">
    <w:abstractNumId w:val="6"/>
  </w:num>
  <w:num w:numId="12">
    <w:abstractNumId w:val="1"/>
  </w:num>
  <w:num w:numId="13">
    <w:abstractNumId w:val="23"/>
  </w:num>
  <w:num w:numId="14">
    <w:abstractNumId w:val="10"/>
  </w:num>
  <w:num w:numId="15">
    <w:abstractNumId w:val="30"/>
  </w:num>
  <w:num w:numId="16">
    <w:abstractNumId w:val="36"/>
  </w:num>
  <w:num w:numId="17">
    <w:abstractNumId w:val="27"/>
  </w:num>
  <w:num w:numId="18">
    <w:abstractNumId w:val="16"/>
  </w:num>
  <w:num w:numId="19">
    <w:abstractNumId w:val="2"/>
  </w:num>
  <w:num w:numId="20">
    <w:abstractNumId w:val="17"/>
  </w:num>
  <w:num w:numId="21">
    <w:abstractNumId w:val="41"/>
  </w:num>
  <w:num w:numId="22">
    <w:abstractNumId w:val="18"/>
  </w:num>
  <w:num w:numId="23">
    <w:abstractNumId w:val="37"/>
  </w:num>
  <w:num w:numId="24">
    <w:abstractNumId w:val="13"/>
  </w:num>
  <w:num w:numId="25">
    <w:abstractNumId w:val="43"/>
  </w:num>
  <w:num w:numId="26">
    <w:abstractNumId w:val="26"/>
  </w:num>
  <w:num w:numId="27">
    <w:abstractNumId w:val="8"/>
  </w:num>
  <w:num w:numId="28">
    <w:abstractNumId w:val="38"/>
  </w:num>
  <w:num w:numId="29">
    <w:abstractNumId w:val="4"/>
  </w:num>
  <w:num w:numId="30">
    <w:abstractNumId w:val="15"/>
  </w:num>
  <w:num w:numId="31">
    <w:abstractNumId w:val="42"/>
  </w:num>
  <w:num w:numId="32">
    <w:abstractNumId w:val="22"/>
  </w:num>
  <w:num w:numId="33">
    <w:abstractNumId w:val="44"/>
  </w:num>
  <w:num w:numId="34">
    <w:abstractNumId w:val="24"/>
  </w:num>
  <w:num w:numId="35">
    <w:abstractNumId w:val="31"/>
  </w:num>
  <w:num w:numId="36">
    <w:abstractNumId w:val="21"/>
  </w:num>
  <w:num w:numId="37">
    <w:abstractNumId w:val="45"/>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20"/>
  </w:num>
  <w:num w:numId="48">
    <w:abstractNumId w:val="11"/>
  </w:num>
  <w:num w:numId="49">
    <w:abstractNumId w:val="21"/>
  </w:num>
  <w:num w:numId="50">
    <w:abstractNumId w:val="45"/>
  </w:num>
  <w:num w:numId="51">
    <w:abstractNumId w:val="5"/>
  </w:num>
  <w:num w:numId="52">
    <w:abstractNumId w:val="12"/>
  </w:num>
  <w:num w:numId="53">
    <w:abstractNumId w:val="34"/>
  </w:num>
  <w:num w:numId="54">
    <w:abstractNumId w:val="14"/>
  </w:num>
  <w:num w:numId="55">
    <w:abstractNumId w:val="33"/>
  </w:num>
  <w:num w:numId="56">
    <w:abstractNumId w:val="0"/>
  </w:num>
  <w:num w:numId="57">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89" style="mso-position-horizontal-relative:margin;mso-width-relative:margin;mso-height-relative:margin;v-text-anchor:middle" fillcolor="none [664]" stroke="f">
      <v:fill color="none [664]"/>
      <v:stroke weight="1pt" on="f"/>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docVars>
    <w:docVar w:name="DocStatus" w:val="Green"/>
    <w:docVar w:name="LW_ACCOMPAGNANT.CP" w:val="&lt;UNUSED&gt;"/>
    <w:docVar w:name="LW_CORRIGENDUM" w:val="&lt;UNUSED&gt;"/>
    <w:docVar w:name="LW_COVERPAGE_EXISTS" w:val="True"/>
    <w:docVar w:name="LW_COVERPAGE_GUID" w:val="9B842335-7B61-4606-B1A1-71D6650427CC"/>
    <w:docVar w:name="LW_COVERPAGE_TYPE" w:val="1"/>
    <w:docVar w:name="LW_CROSSREFERENCE" w:val="&lt;UNUSED&gt;"/>
    <w:docVar w:name="LW_DATE.ADOPT.CP_ISODATE" w:val="&lt;EMPTY&gt;"/>
    <w:docVar w:name="LW_DocType" w:val="NORMAL"/>
    <w:docVar w:name="LW_EMISSION" w:val="11.10.2023"/>
    <w:docVar w:name="LW_EMISSION_ISODATE" w:val="2023-10-11"/>
    <w:docVar w:name="LW_EMISSION_LOCATION" w:val="BRX"/>
    <w:docVar w:name="LW_EMISSION_PREFIX" w:val="Bryssel den "/>
    <w:docVar w:name="LW_EMISSION_SUFFIX" w:val=" "/>
    <w:docVar w:name="LW_ID_DOCTYPE_NONLW" w:val="CP-014"/>
    <w:docVar w:name="LW_INTERETEEE.CP" w:val="&lt;UNUSED&gt;"/>
    <w:docVar w:name="LW_LANGUE" w:val="SV"/>
    <w:docVar w:name="LW_LANGUESFAISANTFOI.CP" w:val="&lt;UNUSED&gt;"/>
    <w:docVar w:name="LW_LEVEL_OF_SENSITIVITY" w:val="Standard treatment"/>
    <w:docVar w:name="LW_NOM.INST" w:val="EUROPEISKA KOMMISSIONEN"/>
    <w:docVar w:name="LW_NOM.INST_JOINTDOC" w:val="&lt;EMPTY&gt;"/>
    <w:docVar w:name="LW_OBJETACTEPRINCIPAL.CP" w:val="&lt;UNUSED&gt;"/>
    <w:docVar w:name="LW_PART_NBR" w:val="1"/>
    <w:docVar w:name="LW_PART_NBR_TOTAL" w:val="1"/>
    <w:docVar w:name="LW_REF.II.NEW.CP" w:val="&lt;UNUSED&gt;"/>
    <w:docVar w:name="LW_REF.II.NEW.CP_NUMBER" w:val="&lt;UNUSED&gt;"/>
    <w:docVar w:name="LW_REF.II.NEW.CP_YEAR" w:val="2023"/>
    <w:docVar w:name="LW_REF.INST.NEW" w:val="COM"/>
    <w:docVar w:name="LW_REF.INST.NEW_ADOPTED" w:val="final"/>
    <w:docVar w:name="LW_REF.INST.NEW_TEXT" w:val="(2023) 57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Befolkningsutvecklingen i Europa: en verktygslåda med åtgärder&lt;/FMT&gt;_x000b__x000b_"/>
    <w:docVar w:name="LW_TYPE.DOC.CP" w:val="MEDDELANDE FRÅN KOMMISSIONEN TILL EUROPAPARLAMENTET, RÅDET, EUROPEISKA EKONOMISKA OCH SOCIALA KOMMITTÉN SAMT REGIONKOMMITTÉN"/>
    <w:docVar w:name="LW_TYPE.DOC.CP.USERTEXT" w:val="&lt;EMPTY&gt;"/>
    <w:docVar w:name="LW_TYPEACTEPRINCIPAL.CP" w:val="&lt;UNUSED&gt;"/>
    <w:docVar w:name="LwApiVersions" w:val="LW4CoDe 1.23.2.0; LW 8.0, Build 20211117"/>
  </w:docVars>
  <w:rsids>
    <w:rsidRoot w:val="00B54742"/>
    <w:rsid w:val="0000011F"/>
    <w:rsid w:val="000003EF"/>
    <w:rsid w:val="00000454"/>
    <w:rsid w:val="00000646"/>
    <w:rsid w:val="00000783"/>
    <w:rsid w:val="000009D2"/>
    <w:rsid w:val="00000B14"/>
    <w:rsid w:val="00000CC2"/>
    <w:rsid w:val="00000EDE"/>
    <w:rsid w:val="00000F63"/>
    <w:rsid w:val="00000FBB"/>
    <w:rsid w:val="000010E4"/>
    <w:rsid w:val="000011B3"/>
    <w:rsid w:val="00001387"/>
    <w:rsid w:val="00001790"/>
    <w:rsid w:val="000017EB"/>
    <w:rsid w:val="000018FC"/>
    <w:rsid w:val="00001B34"/>
    <w:rsid w:val="00001BDF"/>
    <w:rsid w:val="00001D7E"/>
    <w:rsid w:val="00002017"/>
    <w:rsid w:val="0000208D"/>
    <w:rsid w:val="000020D8"/>
    <w:rsid w:val="000020F3"/>
    <w:rsid w:val="00002242"/>
    <w:rsid w:val="0000233F"/>
    <w:rsid w:val="0000248D"/>
    <w:rsid w:val="00002881"/>
    <w:rsid w:val="00003252"/>
    <w:rsid w:val="00003322"/>
    <w:rsid w:val="000034B6"/>
    <w:rsid w:val="000034C5"/>
    <w:rsid w:val="00003547"/>
    <w:rsid w:val="000039C2"/>
    <w:rsid w:val="00003AA9"/>
    <w:rsid w:val="00003BAD"/>
    <w:rsid w:val="00003C06"/>
    <w:rsid w:val="00003DD9"/>
    <w:rsid w:val="00003E4C"/>
    <w:rsid w:val="00003E89"/>
    <w:rsid w:val="000042A8"/>
    <w:rsid w:val="00004498"/>
    <w:rsid w:val="000046DF"/>
    <w:rsid w:val="00004780"/>
    <w:rsid w:val="000047C8"/>
    <w:rsid w:val="000048D4"/>
    <w:rsid w:val="00004A7B"/>
    <w:rsid w:val="00004C50"/>
    <w:rsid w:val="00004C6D"/>
    <w:rsid w:val="00004DA1"/>
    <w:rsid w:val="00004DC1"/>
    <w:rsid w:val="000050F6"/>
    <w:rsid w:val="00005143"/>
    <w:rsid w:val="00005147"/>
    <w:rsid w:val="00005209"/>
    <w:rsid w:val="000052C2"/>
    <w:rsid w:val="000052FD"/>
    <w:rsid w:val="00005356"/>
    <w:rsid w:val="000055F5"/>
    <w:rsid w:val="00005798"/>
    <w:rsid w:val="000057AE"/>
    <w:rsid w:val="0000594F"/>
    <w:rsid w:val="00005A68"/>
    <w:rsid w:val="00005EDF"/>
    <w:rsid w:val="00005F72"/>
    <w:rsid w:val="000060D7"/>
    <w:rsid w:val="00006112"/>
    <w:rsid w:val="0000632D"/>
    <w:rsid w:val="0000661E"/>
    <w:rsid w:val="000069F2"/>
    <w:rsid w:val="00006B42"/>
    <w:rsid w:val="00006C50"/>
    <w:rsid w:val="00006EEC"/>
    <w:rsid w:val="000071C8"/>
    <w:rsid w:val="0000721B"/>
    <w:rsid w:val="00007625"/>
    <w:rsid w:val="000076A4"/>
    <w:rsid w:val="00007734"/>
    <w:rsid w:val="0000777C"/>
    <w:rsid w:val="000077CD"/>
    <w:rsid w:val="00007C72"/>
    <w:rsid w:val="00007CB5"/>
    <w:rsid w:val="00007D76"/>
    <w:rsid w:val="00007E1E"/>
    <w:rsid w:val="00007E3D"/>
    <w:rsid w:val="00010115"/>
    <w:rsid w:val="000101C2"/>
    <w:rsid w:val="00010303"/>
    <w:rsid w:val="0001032B"/>
    <w:rsid w:val="000103E2"/>
    <w:rsid w:val="0001061D"/>
    <w:rsid w:val="0001079D"/>
    <w:rsid w:val="000108D4"/>
    <w:rsid w:val="000109E2"/>
    <w:rsid w:val="00010AA4"/>
    <w:rsid w:val="00010BB3"/>
    <w:rsid w:val="00010C39"/>
    <w:rsid w:val="00010E39"/>
    <w:rsid w:val="00010EFC"/>
    <w:rsid w:val="00011064"/>
    <w:rsid w:val="0001106E"/>
    <w:rsid w:val="0001163F"/>
    <w:rsid w:val="00011670"/>
    <w:rsid w:val="00011882"/>
    <w:rsid w:val="00011A40"/>
    <w:rsid w:val="00011C6A"/>
    <w:rsid w:val="00011C86"/>
    <w:rsid w:val="00011D27"/>
    <w:rsid w:val="00011E57"/>
    <w:rsid w:val="00011EA3"/>
    <w:rsid w:val="0001205D"/>
    <w:rsid w:val="0001257A"/>
    <w:rsid w:val="000126FA"/>
    <w:rsid w:val="000127CF"/>
    <w:rsid w:val="0001297A"/>
    <w:rsid w:val="00012A4B"/>
    <w:rsid w:val="00012A92"/>
    <w:rsid w:val="00012B66"/>
    <w:rsid w:val="00012B70"/>
    <w:rsid w:val="00012D3D"/>
    <w:rsid w:val="000134D9"/>
    <w:rsid w:val="00013C83"/>
    <w:rsid w:val="00013CFD"/>
    <w:rsid w:val="00013D87"/>
    <w:rsid w:val="00013DB6"/>
    <w:rsid w:val="00013EC9"/>
    <w:rsid w:val="00013EE7"/>
    <w:rsid w:val="00014166"/>
    <w:rsid w:val="0001447F"/>
    <w:rsid w:val="000146F7"/>
    <w:rsid w:val="000147C5"/>
    <w:rsid w:val="000148AD"/>
    <w:rsid w:val="00014A28"/>
    <w:rsid w:val="00014CD9"/>
    <w:rsid w:val="00014D7F"/>
    <w:rsid w:val="00014DCD"/>
    <w:rsid w:val="00014E2C"/>
    <w:rsid w:val="00015166"/>
    <w:rsid w:val="000154C2"/>
    <w:rsid w:val="00015728"/>
    <w:rsid w:val="00015A3A"/>
    <w:rsid w:val="00015E63"/>
    <w:rsid w:val="00015F12"/>
    <w:rsid w:val="00016004"/>
    <w:rsid w:val="000163A2"/>
    <w:rsid w:val="0001652B"/>
    <w:rsid w:val="0001659A"/>
    <w:rsid w:val="00016641"/>
    <w:rsid w:val="0001670A"/>
    <w:rsid w:val="0001672E"/>
    <w:rsid w:val="00016731"/>
    <w:rsid w:val="0001686F"/>
    <w:rsid w:val="0001687A"/>
    <w:rsid w:val="00016894"/>
    <w:rsid w:val="0001697F"/>
    <w:rsid w:val="00016B9F"/>
    <w:rsid w:val="00016CE8"/>
    <w:rsid w:val="00016D68"/>
    <w:rsid w:val="00016E04"/>
    <w:rsid w:val="00016E8D"/>
    <w:rsid w:val="0001710E"/>
    <w:rsid w:val="00017193"/>
    <w:rsid w:val="000173BA"/>
    <w:rsid w:val="000175E3"/>
    <w:rsid w:val="000178E4"/>
    <w:rsid w:val="00017C48"/>
    <w:rsid w:val="00020093"/>
    <w:rsid w:val="0002019B"/>
    <w:rsid w:val="000203D8"/>
    <w:rsid w:val="000205D9"/>
    <w:rsid w:val="00020702"/>
    <w:rsid w:val="0002076E"/>
    <w:rsid w:val="00020881"/>
    <w:rsid w:val="00020A8D"/>
    <w:rsid w:val="00020E35"/>
    <w:rsid w:val="00020FA8"/>
    <w:rsid w:val="00020FC7"/>
    <w:rsid w:val="00020FD4"/>
    <w:rsid w:val="00020FEA"/>
    <w:rsid w:val="0002100C"/>
    <w:rsid w:val="00021161"/>
    <w:rsid w:val="00021307"/>
    <w:rsid w:val="00021333"/>
    <w:rsid w:val="0002138C"/>
    <w:rsid w:val="00021737"/>
    <w:rsid w:val="00021779"/>
    <w:rsid w:val="00021818"/>
    <w:rsid w:val="0002193D"/>
    <w:rsid w:val="00021CF4"/>
    <w:rsid w:val="00021F16"/>
    <w:rsid w:val="00021F91"/>
    <w:rsid w:val="00022050"/>
    <w:rsid w:val="00022135"/>
    <w:rsid w:val="0002283D"/>
    <w:rsid w:val="00022965"/>
    <w:rsid w:val="000229BB"/>
    <w:rsid w:val="00022C96"/>
    <w:rsid w:val="00022D1F"/>
    <w:rsid w:val="00022D53"/>
    <w:rsid w:val="00023053"/>
    <w:rsid w:val="000230D9"/>
    <w:rsid w:val="00023100"/>
    <w:rsid w:val="000231BB"/>
    <w:rsid w:val="00023263"/>
    <w:rsid w:val="0002326F"/>
    <w:rsid w:val="000233AA"/>
    <w:rsid w:val="0002340A"/>
    <w:rsid w:val="0002357A"/>
    <w:rsid w:val="0002369E"/>
    <w:rsid w:val="0002372C"/>
    <w:rsid w:val="000239A2"/>
    <w:rsid w:val="00023AB8"/>
    <w:rsid w:val="00023C85"/>
    <w:rsid w:val="00023CB2"/>
    <w:rsid w:val="00023CF2"/>
    <w:rsid w:val="00023DDF"/>
    <w:rsid w:val="00023FBF"/>
    <w:rsid w:val="00024061"/>
    <w:rsid w:val="00024139"/>
    <w:rsid w:val="00024344"/>
    <w:rsid w:val="0002444A"/>
    <w:rsid w:val="0002449F"/>
    <w:rsid w:val="000245F0"/>
    <w:rsid w:val="00024673"/>
    <w:rsid w:val="0002468D"/>
    <w:rsid w:val="00024946"/>
    <w:rsid w:val="00024A1C"/>
    <w:rsid w:val="00024C3C"/>
    <w:rsid w:val="00024CC2"/>
    <w:rsid w:val="00024E29"/>
    <w:rsid w:val="0002500E"/>
    <w:rsid w:val="0002508C"/>
    <w:rsid w:val="000250D5"/>
    <w:rsid w:val="000251D6"/>
    <w:rsid w:val="0002546C"/>
    <w:rsid w:val="0002560A"/>
    <w:rsid w:val="00025BB3"/>
    <w:rsid w:val="00025CCC"/>
    <w:rsid w:val="00025EAC"/>
    <w:rsid w:val="00025F78"/>
    <w:rsid w:val="000261EE"/>
    <w:rsid w:val="000263A9"/>
    <w:rsid w:val="000265D9"/>
    <w:rsid w:val="00026745"/>
    <w:rsid w:val="00026763"/>
    <w:rsid w:val="00026833"/>
    <w:rsid w:val="00026951"/>
    <w:rsid w:val="00026ABC"/>
    <w:rsid w:val="0002710D"/>
    <w:rsid w:val="0002725C"/>
    <w:rsid w:val="000272ED"/>
    <w:rsid w:val="00027714"/>
    <w:rsid w:val="000279EC"/>
    <w:rsid w:val="00027C8F"/>
    <w:rsid w:val="00027CA1"/>
    <w:rsid w:val="00027E17"/>
    <w:rsid w:val="00027E46"/>
    <w:rsid w:val="00030121"/>
    <w:rsid w:val="00030245"/>
    <w:rsid w:val="000302B0"/>
    <w:rsid w:val="000302DF"/>
    <w:rsid w:val="000302FE"/>
    <w:rsid w:val="0003037B"/>
    <w:rsid w:val="000303B3"/>
    <w:rsid w:val="00030699"/>
    <w:rsid w:val="0003073C"/>
    <w:rsid w:val="000307BC"/>
    <w:rsid w:val="00030911"/>
    <w:rsid w:val="00030A3F"/>
    <w:rsid w:val="00030CCB"/>
    <w:rsid w:val="00030CD8"/>
    <w:rsid w:val="00030E46"/>
    <w:rsid w:val="0003107E"/>
    <w:rsid w:val="0003124C"/>
    <w:rsid w:val="00031592"/>
    <w:rsid w:val="00031593"/>
    <w:rsid w:val="00031882"/>
    <w:rsid w:val="000318A1"/>
    <w:rsid w:val="00031A4E"/>
    <w:rsid w:val="00031A8C"/>
    <w:rsid w:val="00031A98"/>
    <w:rsid w:val="00031B82"/>
    <w:rsid w:val="00031BE6"/>
    <w:rsid w:val="00031DE3"/>
    <w:rsid w:val="00031F0D"/>
    <w:rsid w:val="00031F26"/>
    <w:rsid w:val="0003213D"/>
    <w:rsid w:val="00032187"/>
    <w:rsid w:val="00032378"/>
    <w:rsid w:val="0003254B"/>
    <w:rsid w:val="00032713"/>
    <w:rsid w:val="000329A1"/>
    <w:rsid w:val="00032A51"/>
    <w:rsid w:val="00032B33"/>
    <w:rsid w:val="00032BF6"/>
    <w:rsid w:val="00032C87"/>
    <w:rsid w:val="00032F0D"/>
    <w:rsid w:val="00032FFD"/>
    <w:rsid w:val="000336C7"/>
    <w:rsid w:val="0003379F"/>
    <w:rsid w:val="000339B4"/>
    <w:rsid w:val="00033CB5"/>
    <w:rsid w:val="00033E1A"/>
    <w:rsid w:val="00033E68"/>
    <w:rsid w:val="000340C2"/>
    <w:rsid w:val="00034121"/>
    <w:rsid w:val="000342B3"/>
    <w:rsid w:val="00034356"/>
    <w:rsid w:val="00034392"/>
    <w:rsid w:val="000343BC"/>
    <w:rsid w:val="00034582"/>
    <w:rsid w:val="000345C3"/>
    <w:rsid w:val="00034953"/>
    <w:rsid w:val="00034B87"/>
    <w:rsid w:val="00034C73"/>
    <w:rsid w:val="00034C7C"/>
    <w:rsid w:val="000352D9"/>
    <w:rsid w:val="00035308"/>
    <w:rsid w:val="00035566"/>
    <w:rsid w:val="000357E7"/>
    <w:rsid w:val="0003589A"/>
    <w:rsid w:val="00035B7D"/>
    <w:rsid w:val="00035C4E"/>
    <w:rsid w:val="00035C95"/>
    <w:rsid w:val="00035E8D"/>
    <w:rsid w:val="00036047"/>
    <w:rsid w:val="0003607B"/>
    <w:rsid w:val="00036225"/>
    <w:rsid w:val="00036592"/>
    <w:rsid w:val="00036642"/>
    <w:rsid w:val="0003678A"/>
    <w:rsid w:val="0003696C"/>
    <w:rsid w:val="00036FB6"/>
    <w:rsid w:val="000370EE"/>
    <w:rsid w:val="00037304"/>
    <w:rsid w:val="000373AA"/>
    <w:rsid w:val="000373AE"/>
    <w:rsid w:val="000374B6"/>
    <w:rsid w:val="000375EE"/>
    <w:rsid w:val="00037710"/>
    <w:rsid w:val="0003779D"/>
    <w:rsid w:val="00037A81"/>
    <w:rsid w:val="00037AB0"/>
    <w:rsid w:val="00037BC7"/>
    <w:rsid w:val="00037BD9"/>
    <w:rsid w:val="00037E57"/>
    <w:rsid w:val="00037F41"/>
    <w:rsid w:val="00037F43"/>
    <w:rsid w:val="00037F4C"/>
    <w:rsid w:val="00040045"/>
    <w:rsid w:val="0004008C"/>
    <w:rsid w:val="0004012A"/>
    <w:rsid w:val="0004036F"/>
    <w:rsid w:val="0004048F"/>
    <w:rsid w:val="000405C0"/>
    <w:rsid w:val="00040A69"/>
    <w:rsid w:val="00040A99"/>
    <w:rsid w:val="00040C39"/>
    <w:rsid w:val="00040D85"/>
    <w:rsid w:val="00040E9D"/>
    <w:rsid w:val="00041189"/>
    <w:rsid w:val="000411D1"/>
    <w:rsid w:val="0004125B"/>
    <w:rsid w:val="000415DD"/>
    <w:rsid w:val="00041943"/>
    <w:rsid w:val="00041AFB"/>
    <w:rsid w:val="00041ED7"/>
    <w:rsid w:val="00041F7E"/>
    <w:rsid w:val="000420E4"/>
    <w:rsid w:val="000421AA"/>
    <w:rsid w:val="000421CA"/>
    <w:rsid w:val="00042283"/>
    <w:rsid w:val="000423F7"/>
    <w:rsid w:val="0004284E"/>
    <w:rsid w:val="00042924"/>
    <w:rsid w:val="0004299A"/>
    <w:rsid w:val="000429B8"/>
    <w:rsid w:val="00042F8E"/>
    <w:rsid w:val="00043003"/>
    <w:rsid w:val="000430CE"/>
    <w:rsid w:val="0004336D"/>
    <w:rsid w:val="0004348A"/>
    <w:rsid w:val="00043614"/>
    <w:rsid w:val="00043701"/>
    <w:rsid w:val="00043952"/>
    <w:rsid w:val="000439D2"/>
    <w:rsid w:val="00043C32"/>
    <w:rsid w:val="00043EB4"/>
    <w:rsid w:val="00043F86"/>
    <w:rsid w:val="00044002"/>
    <w:rsid w:val="000441F8"/>
    <w:rsid w:val="0004429F"/>
    <w:rsid w:val="00044442"/>
    <w:rsid w:val="000445AA"/>
    <w:rsid w:val="00044803"/>
    <w:rsid w:val="00044937"/>
    <w:rsid w:val="00044939"/>
    <w:rsid w:val="00044A24"/>
    <w:rsid w:val="00044DE9"/>
    <w:rsid w:val="00045000"/>
    <w:rsid w:val="0004501C"/>
    <w:rsid w:val="00045084"/>
    <w:rsid w:val="000450BB"/>
    <w:rsid w:val="00045255"/>
    <w:rsid w:val="00045569"/>
    <w:rsid w:val="000455E6"/>
    <w:rsid w:val="00045602"/>
    <w:rsid w:val="000456EC"/>
    <w:rsid w:val="00045B3E"/>
    <w:rsid w:val="00045BA7"/>
    <w:rsid w:val="00045F12"/>
    <w:rsid w:val="0004608D"/>
    <w:rsid w:val="0004619D"/>
    <w:rsid w:val="000461AF"/>
    <w:rsid w:val="00046256"/>
    <w:rsid w:val="0004629B"/>
    <w:rsid w:val="000462B4"/>
    <w:rsid w:val="0004638E"/>
    <w:rsid w:val="0004641D"/>
    <w:rsid w:val="000464A0"/>
    <w:rsid w:val="000465BB"/>
    <w:rsid w:val="000465E4"/>
    <w:rsid w:val="00046654"/>
    <w:rsid w:val="00046C35"/>
    <w:rsid w:val="00046DBD"/>
    <w:rsid w:val="00046F82"/>
    <w:rsid w:val="000470CC"/>
    <w:rsid w:val="000473C1"/>
    <w:rsid w:val="0004748F"/>
    <w:rsid w:val="00047660"/>
    <w:rsid w:val="000476A5"/>
    <w:rsid w:val="000477A6"/>
    <w:rsid w:val="00047A40"/>
    <w:rsid w:val="00047CD6"/>
    <w:rsid w:val="00047E84"/>
    <w:rsid w:val="00050372"/>
    <w:rsid w:val="00050667"/>
    <w:rsid w:val="00050946"/>
    <w:rsid w:val="00050E9C"/>
    <w:rsid w:val="000511B7"/>
    <w:rsid w:val="000517E3"/>
    <w:rsid w:val="00051CC4"/>
    <w:rsid w:val="00051F49"/>
    <w:rsid w:val="00051F54"/>
    <w:rsid w:val="00051F77"/>
    <w:rsid w:val="00051FD6"/>
    <w:rsid w:val="0005208E"/>
    <w:rsid w:val="0005219F"/>
    <w:rsid w:val="000525D1"/>
    <w:rsid w:val="00052680"/>
    <w:rsid w:val="000526D6"/>
    <w:rsid w:val="00052803"/>
    <w:rsid w:val="0005282E"/>
    <w:rsid w:val="00052850"/>
    <w:rsid w:val="00052866"/>
    <w:rsid w:val="00052AC2"/>
    <w:rsid w:val="00052B50"/>
    <w:rsid w:val="00052DC2"/>
    <w:rsid w:val="00052E41"/>
    <w:rsid w:val="000530C9"/>
    <w:rsid w:val="0005318E"/>
    <w:rsid w:val="000531E4"/>
    <w:rsid w:val="00053353"/>
    <w:rsid w:val="00053368"/>
    <w:rsid w:val="000533FB"/>
    <w:rsid w:val="00053419"/>
    <w:rsid w:val="00053682"/>
    <w:rsid w:val="0005394C"/>
    <w:rsid w:val="00053B18"/>
    <w:rsid w:val="00054087"/>
    <w:rsid w:val="000540AD"/>
    <w:rsid w:val="00054139"/>
    <w:rsid w:val="00054A87"/>
    <w:rsid w:val="00054A98"/>
    <w:rsid w:val="00054B55"/>
    <w:rsid w:val="00054BAC"/>
    <w:rsid w:val="00054E51"/>
    <w:rsid w:val="00054ED0"/>
    <w:rsid w:val="00055134"/>
    <w:rsid w:val="0005513F"/>
    <w:rsid w:val="0005515B"/>
    <w:rsid w:val="000553C8"/>
    <w:rsid w:val="000556D5"/>
    <w:rsid w:val="0005577E"/>
    <w:rsid w:val="000557E7"/>
    <w:rsid w:val="0005583B"/>
    <w:rsid w:val="00055928"/>
    <w:rsid w:val="00055A5F"/>
    <w:rsid w:val="00055AA6"/>
    <w:rsid w:val="00055EB3"/>
    <w:rsid w:val="00055EDC"/>
    <w:rsid w:val="00055F88"/>
    <w:rsid w:val="00055FEC"/>
    <w:rsid w:val="000561E1"/>
    <w:rsid w:val="00056362"/>
    <w:rsid w:val="000563DD"/>
    <w:rsid w:val="000564A3"/>
    <w:rsid w:val="00056518"/>
    <w:rsid w:val="000567F0"/>
    <w:rsid w:val="000569DD"/>
    <w:rsid w:val="00056E2B"/>
    <w:rsid w:val="00056ED5"/>
    <w:rsid w:val="00056ED7"/>
    <w:rsid w:val="00056EDC"/>
    <w:rsid w:val="00056F09"/>
    <w:rsid w:val="0005705F"/>
    <w:rsid w:val="000571C8"/>
    <w:rsid w:val="0005721A"/>
    <w:rsid w:val="0005726D"/>
    <w:rsid w:val="00057419"/>
    <w:rsid w:val="0005742B"/>
    <w:rsid w:val="000575A6"/>
    <w:rsid w:val="00057856"/>
    <w:rsid w:val="0005786B"/>
    <w:rsid w:val="00057907"/>
    <w:rsid w:val="000579D0"/>
    <w:rsid w:val="00057AB6"/>
    <w:rsid w:val="00057C68"/>
    <w:rsid w:val="00057C8E"/>
    <w:rsid w:val="00060451"/>
    <w:rsid w:val="00060467"/>
    <w:rsid w:val="0006048D"/>
    <w:rsid w:val="0006068E"/>
    <w:rsid w:val="000606DF"/>
    <w:rsid w:val="000606FA"/>
    <w:rsid w:val="00060719"/>
    <w:rsid w:val="00060836"/>
    <w:rsid w:val="00060A6E"/>
    <w:rsid w:val="00060CD9"/>
    <w:rsid w:val="00061018"/>
    <w:rsid w:val="0006109F"/>
    <w:rsid w:val="0006118D"/>
    <w:rsid w:val="0006149E"/>
    <w:rsid w:val="000614C3"/>
    <w:rsid w:val="0006154E"/>
    <w:rsid w:val="000615E6"/>
    <w:rsid w:val="00061713"/>
    <w:rsid w:val="00061969"/>
    <w:rsid w:val="000619E2"/>
    <w:rsid w:val="00061C23"/>
    <w:rsid w:val="00062017"/>
    <w:rsid w:val="0006241D"/>
    <w:rsid w:val="0006297D"/>
    <w:rsid w:val="000629D1"/>
    <w:rsid w:val="00062C0C"/>
    <w:rsid w:val="00062C3F"/>
    <w:rsid w:val="00062CB5"/>
    <w:rsid w:val="00062D7C"/>
    <w:rsid w:val="00062EE3"/>
    <w:rsid w:val="00063058"/>
    <w:rsid w:val="000631F2"/>
    <w:rsid w:val="000634AA"/>
    <w:rsid w:val="000634BA"/>
    <w:rsid w:val="00063524"/>
    <w:rsid w:val="000637DC"/>
    <w:rsid w:val="000638AA"/>
    <w:rsid w:val="00063951"/>
    <w:rsid w:val="00063A08"/>
    <w:rsid w:val="00063B14"/>
    <w:rsid w:val="00064183"/>
    <w:rsid w:val="00064235"/>
    <w:rsid w:val="00064296"/>
    <w:rsid w:val="0006444B"/>
    <w:rsid w:val="0006497C"/>
    <w:rsid w:val="00064A98"/>
    <w:rsid w:val="00064B01"/>
    <w:rsid w:val="00064CB1"/>
    <w:rsid w:val="00064CED"/>
    <w:rsid w:val="00064D21"/>
    <w:rsid w:val="00064F1E"/>
    <w:rsid w:val="000654B5"/>
    <w:rsid w:val="00065903"/>
    <w:rsid w:val="00065BB1"/>
    <w:rsid w:val="00065EEA"/>
    <w:rsid w:val="00065EF6"/>
    <w:rsid w:val="00066001"/>
    <w:rsid w:val="00066133"/>
    <w:rsid w:val="000661AA"/>
    <w:rsid w:val="0006642F"/>
    <w:rsid w:val="000664E2"/>
    <w:rsid w:val="000666C0"/>
    <w:rsid w:val="000668A8"/>
    <w:rsid w:val="000668D7"/>
    <w:rsid w:val="000668E2"/>
    <w:rsid w:val="00066A4E"/>
    <w:rsid w:val="00066B74"/>
    <w:rsid w:val="00066BAC"/>
    <w:rsid w:val="00066BF8"/>
    <w:rsid w:val="00066C80"/>
    <w:rsid w:val="00066CC9"/>
    <w:rsid w:val="00066E3C"/>
    <w:rsid w:val="00066E6A"/>
    <w:rsid w:val="00066EDE"/>
    <w:rsid w:val="000670BD"/>
    <w:rsid w:val="00067268"/>
    <w:rsid w:val="00067618"/>
    <w:rsid w:val="00067868"/>
    <w:rsid w:val="00067948"/>
    <w:rsid w:val="00067FA1"/>
    <w:rsid w:val="00070080"/>
    <w:rsid w:val="00070095"/>
    <w:rsid w:val="0007009F"/>
    <w:rsid w:val="000700EE"/>
    <w:rsid w:val="0007015B"/>
    <w:rsid w:val="00070291"/>
    <w:rsid w:val="000702E9"/>
    <w:rsid w:val="0007031C"/>
    <w:rsid w:val="000703D2"/>
    <w:rsid w:val="00070423"/>
    <w:rsid w:val="00070483"/>
    <w:rsid w:val="00070568"/>
    <w:rsid w:val="000706B7"/>
    <w:rsid w:val="00070824"/>
    <w:rsid w:val="00070A3D"/>
    <w:rsid w:val="00070AED"/>
    <w:rsid w:val="00070DAE"/>
    <w:rsid w:val="00070DB2"/>
    <w:rsid w:val="00070DD5"/>
    <w:rsid w:val="00070E9D"/>
    <w:rsid w:val="00070FC5"/>
    <w:rsid w:val="000710EF"/>
    <w:rsid w:val="00071349"/>
    <w:rsid w:val="0007135B"/>
    <w:rsid w:val="000717C3"/>
    <w:rsid w:val="00071866"/>
    <w:rsid w:val="000719A8"/>
    <w:rsid w:val="00071AF6"/>
    <w:rsid w:val="00071B13"/>
    <w:rsid w:val="00071D1E"/>
    <w:rsid w:val="00071D27"/>
    <w:rsid w:val="00071D89"/>
    <w:rsid w:val="00071E7A"/>
    <w:rsid w:val="00071EBC"/>
    <w:rsid w:val="00071F35"/>
    <w:rsid w:val="0007221A"/>
    <w:rsid w:val="000722C6"/>
    <w:rsid w:val="000722C8"/>
    <w:rsid w:val="00072423"/>
    <w:rsid w:val="00072569"/>
    <w:rsid w:val="000725DD"/>
    <w:rsid w:val="0007276C"/>
    <w:rsid w:val="00072788"/>
    <w:rsid w:val="00072CC2"/>
    <w:rsid w:val="00072E58"/>
    <w:rsid w:val="00072E5B"/>
    <w:rsid w:val="00072F3E"/>
    <w:rsid w:val="000732CD"/>
    <w:rsid w:val="00073429"/>
    <w:rsid w:val="000734F3"/>
    <w:rsid w:val="0007388A"/>
    <w:rsid w:val="000739AA"/>
    <w:rsid w:val="00073A9A"/>
    <w:rsid w:val="00073D2F"/>
    <w:rsid w:val="00073DAC"/>
    <w:rsid w:val="00073E00"/>
    <w:rsid w:val="00073F16"/>
    <w:rsid w:val="00074139"/>
    <w:rsid w:val="00074334"/>
    <w:rsid w:val="00074561"/>
    <w:rsid w:val="000745C8"/>
    <w:rsid w:val="00074701"/>
    <w:rsid w:val="0007474D"/>
    <w:rsid w:val="00074ADE"/>
    <w:rsid w:val="00074C78"/>
    <w:rsid w:val="00075201"/>
    <w:rsid w:val="00075253"/>
    <w:rsid w:val="000752BE"/>
    <w:rsid w:val="00075444"/>
    <w:rsid w:val="00075809"/>
    <w:rsid w:val="0007582B"/>
    <w:rsid w:val="00075A86"/>
    <w:rsid w:val="00075ABA"/>
    <w:rsid w:val="00075AC3"/>
    <w:rsid w:val="00075ACE"/>
    <w:rsid w:val="00075B0C"/>
    <w:rsid w:val="00075CA5"/>
    <w:rsid w:val="00075F9F"/>
    <w:rsid w:val="00076303"/>
    <w:rsid w:val="000763BA"/>
    <w:rsid w:val="0007671D"/>
    <w:rsid w:val="0007679E"/>
    <w:rsid w:val="0007699A"/>
    <w:rsid w:val="000769B6"/>
    <w:rsid w:val="00076AFB"/>
    <w:rsid w:val="00076CE8"/>
    <w:rsid w:val="00076EDA"/>
    <w:rsid w:val="00077555"/>
    <w:rsid w:val="00077573"/>
    <w:rsid w:val="00077691"/>
    <w:rsid w:val="00077789"/>
    <w:rsid w:val="00077976"/>
    <w:rsid w:val="000779CB"/>
    <w:rsid w:val="00077B8C"/>
    <w:rsid w:val="00077D3A"/>
    <w:rsid w:val="00077D79"/>
    <w:rsid w:val="00077E97"/>
    <w:rsid w:val="00077F04"/>
    <w:rsid w:val="00080132"/>
    <w:rsid w:val="00080227"/>
    <w:rsid w:val="000803BC"/>
    <w:rsid w:val="00080409"/>
    <w:rsid w:val="0008053E"/>
    <w:rsid w:val="00080592"/>
    <w:rsid w:val="000805B2"/>
    <w:rsid w:val="000808AC"/>
    <w:rsid w:val="000808DA"/>
    <w:rsid w:val="00080A2B"/>
    <w:rsid w:val="00080BF4"/>
    <w:rsid w:val="00080C42"/>
    <w:rsid w:val="00080CD5"/>
    <w:rsid w:val="00080DB3"/>
    <w:rsid w:val="00080ED6"/>
    <w:rsid w:val="00080FB6"/>
    <w:rsid w:val="00081075"/>
    <w:rsid w:val="000811CA"/>
    <w:rsid w:val="000816D1"/>
    <w:rsid w:val="000816EC"/>
    <w:rsid w:val="000817B2"/>
    <w:rsid w:val="0008186D"/>
    <w:rsid w:val="00081D9F"/>
    <w:rsid w:val="00081DDD"/>
    <w:rsid w:val="00081EC1"/>
    <w:rsid w:val="00081FFA"/>
    <w:rsid w:val="0008214F"/>
    <w:rsid w:val="0008237C"/>
    <w:rsid w:val="000823B9"/>
    <w:rsid w:val="0008240B"/>
    <w:rsid w:val="00082547"/>
    <w:rsid w:val="00082992"/>
    <w:rsid w:val="00082AE9"/>
    <w:rsid w:val="00082B0D"/>
    <w:rsid w:val="00082BF6"/>
    <w:rsid w:val="00082C07"/>
    <w:rsid w:val="00082DF4"/>
    <w:rsid w:val="00082F47"/>
    <w:rsid w:val="0008306A"/>
    <w:rsid w:val="0008309B"/>
    <w:rsid w:val="0008322F"/>
    <w:rsid w:val="0008324A"/>
    <w:rsid w:val="000835B7"/>
    <w:rsid w:val="00083768"/>
    <w:rsid w:val="0008383E"/>
    <w:rsid w:val="000838C7"/>
    <w:rsid w:val="000838CB"/>
    <w:rsid w:val="00083942"/>
    <w:rsid w:val="00083958"/>
    <w:rsid w:val="00083AB5"/>
    <w:rsid w:val="00083C5E"/>
    <w:rsid w:val="00083FA0"/>
    <w:rsid w:val="00083FEF"/>
    <w:rsid w:val="000840A9"/>
    <w:rsid w:val="00084134"/>
    <w:rsid w:val="0008424B"/>
    <w:rsid w:val="0008426B"/>
    <w:rsid w:val="000842BE"/>
    <w:rsid w:val="000842D0"/>
    <w:rsid w:val="000845D6"/>
    <w:rsid w:val="00084685"/>
    <w:rsid w:val="00084877"/>
    <w:rsid w:val="0008494F"/>
    <w:rsid w:val="00084B79"/>
    <w:rsid w:val="00084BBC"/>
    <w:rsid w:val="00084C90"/>
    <w:rsid w:val="00084D3C"/>
    <w:rsid w:val="00084EA0"/>
    <w:rsid w:val="00084FB3"/>
    <w:rsid w:val="00084FCF"/>
    <w:rsid w:val="0008514D"/>
    <w:rsid w:val="000851F1"/>
    <w:rsid w:val="00085460"/>
    <w:rsid w:val="00085655"/>
    <w:rsid w:val="000856AC"/>
    <w:rsid w:val="000856AF"/>
    <w:rsid w:val="000857D0"/>
    <w:rsid w:val="000857DE"/>
    <w:rsid w:val="00085840"/>
    <w:rsid w:val="000858ED"/>
    <w:rsid w:val="00085A24"/>
    <w:rsid w:val="00085A8A"/>
    <w:rsid w:val="00085AA7"/>
    <w:rsid w:val="00085C52"/>
    <w:rsid w:val="00085CDD"/>
    <w:rsid w:val="00085E1C"/>
    <w:rsid w:val="00085FF0"/>
    <w:rsid w:val="00086072"/>
    <w:rsid w:val="0008609B"/>
    <w:rsid w:val="000861B2"/>
    <w:rsid w:val="000863AF"/>
    <w:rsid w:val="000864D8"/>
    <w:rsid w:val="00086502"/>
    <w:rsid w:val="000866C3"/>
    <w:rsid w:val="00086912"/>
    <w:rsid w:val="00086B0B"/>
    <w:rsid w:val="00086B82"/>
    <w:rsid w:val="00086BF3"/>
    <w:rsid w:val="0008715E"/>
    <w:rsid w:val="0008731B"/>
    <w:rsid w:val="0008744C"/>
    <w:rsid w:val="00087518"/>
    <w:rsid w:val="0008759B"/>
    <w:rsid w:val="000877AF"/>
    <w:rsid w:val="000878B1"/>
    <w:rsid w:val="000879C0"/>
    <w:rsid w:val="00087B8F"/>
    <w:rsid w:val="00087DBF"/>
    <w:rsid w:val="00087DF3"/>
    <w:rsid w:val="00087DFD"/>
    <w:rsid w:val="00087E0C"/>
    <w:rsid w:val="00087E1C"/>
    <w:rsid w:val="00087EDF"/>
    <w:rsid w:val="00090081"/>
    <w:rsid w:val="000904D9"/>
    <w:rsid w:val="000905CE"/>
    <w:rsid w:val="000905FE"/>
    <w:rsid w:val="00090611"/>
    <w:rsid w:val="000906F9"/>
    <w:rsid w:val="00090703"/>
    <w:rsid w:val="0009092A"/>
    <w:rsid w:val="00090C06"/>
    <w:rsid w:val="00090CF7"/>
    <w:rsid w:val="00090E46"/>
    <w:rsid w:val="00090FDD"/>
    <w:rsid w:val="00090FFF"/>
    <w:rsid w:val="00091067"/>
    <w:rsid w:val="00091130"/>
    <w:rsid w:val="000911F5"/>
    <w:rsid w:val="0009128A"/>
    <w:rsid w:val="00091343"/>
    <w:rsid w:val="00091345"/>
    <w:rsid w:val="00091347"/>
    <w:rsid w:val="00091460"/>
    <w:rsid w:val="0009156B"/>
    <w:rsid w:val="00091719"/>
    <w:rsid w:val="0009172A"/>
    <w:rsid w:val="0009177D"/>
    <w:rsid w:val="00091A3C"/>
    <w:rsid w:val="00091BFA"/>
    <w:rsid w:val="00091CE9"/>
    <w:rsid w:val="00091DF9"/>
    <w:rsid w:val="00091F56"/>
    <w:rsid w:val="000920AA"/>
    <w:rsid w:val="00092115"/>
    <w:rsid w:val="00092128"/>
    <w:rsid w:val="0009218B"/>
    <w:rsid w:val="00092302"/>
    <w:rsid w:val="00092580"/>
    <w:rsid w:val="00092671"/>
    <w:rsid w:val="00092680"/>
    <w:rsid w:val="00092867"/>
    <w:rsid w:val="00092A2D"/>
    <w:rsid w:val="00092B85"/>
    <w:rsid w:val="00092BB5"/>
    <w:rsid w:val="00092E58"/>
    <w:rsid w:val="00092F61"/>
    <w:rsid w:val="0009302D"/>
    <w:rsid w:val="00093319"/>
    <w:rsid w:val="00093709"/>
    <w:rsid w:val="000937BA"/>
    <w:rsid w:val="00093C28"/>
    <w:rsid w:val="00093E9F"/>
    <w:rsid w:val="0009418C"/>
    <w:rsid w:val="0009424F"/>
    <w:rsid w:val="00094301"/>
    <w:rsid w:val="0009430B"/>
    <w:rsid w:val="0009433D"/>
    <w:rsid w:val="0009439B"/>
    <w:rsid w:val="0009444A"/>
    <w:rsid w:val="00094478"/>
    <w:rsid w:val="000944BA"/>
    <w:rsid w:val="00094561"/>
    <w:rsid w:val="00094750"/>
    <w:rsid w:val="000947C2"/>
    <w:rsid w:val="00094A6A"/>
    <w:rsid w:val="00094A6E"/>
    <w:rsid w:val="00094B29"/>
    <w:rsid w:val="00094BE3"/>
    <w:rsid w:val="00094D62"/>
    <w:rsid w:val="00094E37"/>
    <w:rsid w:val="00094E98"/>
    <w:rsid w:val="00095138"/>
    <w:rsid w:val="0009519E"/>
    <w:rsid w:val="000951D7"/>
    <w:rsid w:val="00095616"/>
    <w:rsid w:val="000956AA"/>
    <w:rsid w:val="000957C9"/>
    <w:rsid w:val="0009585A"/>
    <w:rsid w:val="00095A88"/>
    <w:rsid w:val="00095C44"/>
    <w:rsid w:val="00095C89"/>
    <w:rsid w:val="00095E68"/>
    <w:rsid w:val="00095EC1"/>
    <w:rsid w:val="00095F88"/>
    <w:rsid w:val="0009608C"/>
    <w:rsid w:val="00096209"/>
    <w:rsid w:val="0009620B"/>
    <w:rsid w:val="00096224"/>
    <w:rsid w:val="000965D2"/>
    <w:rsid w:val="000968B5"/>
    <w:rsid w:val="000968E6"/>
    <w:rsid w:val="00096C8D"/>
    <w:rsid w:val="00096E51"/>
    <w:rsid w:val="00096E5C"/>
    <w:rsid w:val="00096EFD"/>
    <w:rsid w:val="000971DE"/>
    <w:rsid w:val="0009758E"/>
    <w:rsid w:val="000975E7"/>
    <w:rsid w:val="0009765F"/>
    <w:rsid w:val="0009769C"/>
    <w:rsid w:val="00097798"/>
    <w:rsid w:val="00097838"/>
    <w:rsid w:val="00097B28"/>
    <w:rsid w:val="00097BAE"/>
    <w:rsid w:val="00097C57"/>
    <w:rsid w:val="00097C86"/>
    <w:rsid w:val="00097CFF"/>
    <w:rsid w:val="00097D83"/>
    <w:rsid w:val="00097E32"/>
    <w:rsid w:val="00097E5A"/>
    <w:rsid w:val="0009F8AD"/>
    <w:rsid w:val="000A0093"/>
    <w:rsid w:val="000A0112"/>
    <w:rsid w:val="000A0127"/>
    <w:rsid w:val="000A01C5"/>
    <w:rsid w:val="000A0489"/>
    <w:rsid w:val="000A07F1"/>
    <w:rsid w:val="000A08F4"/>
    <w:rsid w:val="000A09DA"/>
    <w:rsid w:val="000A0B95"/>
    <w:rsid w:val="000A0C64"/>
    <w:rsid w:val="000A0CD0"/>
    <w:rsid w:val="000A0EF2"/>
    <w:rsid w:val="000A0FEF"/>
    <w:rsid w:val="000A10A8"/>
    <w:rsid w:val="000A111D"/>
    <w:rsid w:val="000A115C"/>
    <w:rsid w:val="000A1288"/>
    <w:rsid w:val="000A1460"/>
    <w:rsid w:val="000A1618"/>
    <w:rsid w:val="000A1B98"/>
    <w:rsid w:val="000A1DF0"/>
    <w:rsid w:val="000A1E9C"/>
    <w:rsid w:val="000A212B"/>
    <w:rsid w:val="000A21B3"/>
    <w:rsid w:val="000A2226"/>
    <w:rsid w:val="000A2452"/>
    <w:rsid w:val="000A2483"/>
    <w:rsid w:val="000A272D"/>
    <w:rsid w:val="000A28F5"/>
    <w:rsid w:val="000A2966"/>
    <w:rsid w:val="000A29AD"/>
    <w:rsid w:val="000A2A5C"/>
    <w:rsid w:val="000A2A8A"/>
    <w:rsid w:val="000A2B90"/>
    <w:rsid w:val="000A2CD5"/>
    <w:rsid w:val="000A2CEE"/>
    <w:rsid w:val="000A2D02"/>
    <w:rsid w:val="000A2E4C"/>
    <w:rsid w:val="000A2F5C"/>
    <w:rsid w:val="000A30A5"/>
    <w:rsid w:val="000A357A"/>
    <w:rsid w:val="000A371A"/>
    <w:rsid w:val="000A380A"/>
    <w:rsid w:val="000A39C7"/>
    <w:rsid w:val="000A3BF4"/>
    <w:rsid w:val="000A3E3E"/>
    <w:rsid w:val="000A404A"/>
    <w:rsid w:val="000A40A6"/>
    <w:rsid w:val="000A4542"/>
    <w:rsid w:val="000A458D"/>
    <w:rsid w:val="000A4730"/>
    <w:rsid w:val="000A48E9"/>
    <w:rsid w:val="000A4A86"/>
    <w:rsid w:val="000A4AB3"/>
    <w:rsid w:val="000A4AF8"/>
    <w:rsid w:val="000A4C0F"/>
    <w:rsid w:val="000A4F86"/>
    <w:rsid w:val="000A50E1"/>
    <w:rsid w:val="000A51C4"/>
    <w:rsid w:val="000A5521"/>
    <w:rsid w:val="000A55E8"/>
    <w:rsid w:val="000A57F4"/>
    <w:rsid w:val="000A5959"/>
    <w:rsid w:val="000A5A79"/>
    <w:rsid w:val="000A5AB0"/>
    <w:rsid w:val="000A5C43"/>
    <w:rsid w:val="000A5DE0"/>
    <w:rsid w:val="000A5ECF"/>
    <w:rsid w:val="000A605E"/>
    <w:rsid w:val="000A60B7"/>
    <w:rsid w:val="000A6156"/>
    <w:rsid w:val="000A6174"/>
    <w:rsid w:val="000A6307"/>
    <w:rsid w:val="000A6739"/>
    <w:rsid w:val="000A67DB"/>
    <w:rsid w:val="000A693F"/>
    <w:rsid w:val="000A6CF0"/>
    <w:rsid w:val="000A7110"/>
    <w:rsid w:val="000A7213"/>
    <w:rsid w:val="000A7353"/>
    <w:rsid w:val="000A73C7"/>
    <w:rsid w:val="000A75F0"/>
    <w:rsid w:val="000A764B"/>
    <w:rsid w:val="000A7658"/>
    <w:rsid w:val="000A768A"/>
    <w:rsid w:val="000A7832"/>
    <w:rsid w:val="000A7AC5"/>
    <w:rsid w:val="000A7BD7"/>
    <w:rsid w:val="000A7C01"/>
    <w:rsid w:val="000A7CF7"/>
    <w:rsid w:val="000A7D4A"/>
    <w:rsid w:val="000A7D5F"/>
    <w:rsid w:val="000A7D9B"/>
    <w:rsid w:val="000A7E16"/>
    <w:rsid w:val="000A7ED5"/>
    <w:rsid w:val="000A7FC7"/>
    <w:rsid w:val="000B02E2"/>
    <w:rsid w:val="000B02F4"/>
    <w:rsid w:val="000B0329"/>
    <w:rsid w:val="000B03B4"/>
    <w:rsid w:val="000B04D1"/>
    <w:rsid w:val="000B0647"/>
    <w:rsid w:val="000B09BE"/>
    <w:rsid w:val="000B0C27"/>
    <w:rsid w:val="000B0C70"/>
    <w:rsid w:val="000B0E84"/>
    <w:rsid w:val="000B0FC9"/>
    <w:rsid w:val="000B10C4"/>
    <w:rsid w:val="000B1192"/>
    <w:rsid w:val="000B13D9"/>
    <w:rsid w:val="000B1765"/>
    <w:rsid w:val="000B176A"/>
    <w:rsid w:val="000B17B8"/>
    <w:rsid w:val="000B185F"/>
    <w:rsid w:val="000B1D27"/>
    <w:rsid w:val="000B1DEB"/>
    <w:rsid w:val="000B1E9F"/>
    <w:rsid w:val="000B1EAC"/>
    <w:rsid w:val="000B1EC2"/>
    <w:rsid w:val="000B1F28"/>
    <w:rsid w:val="000B1F35"/>
    <w:rsid w:val="000B209F"/>
    <w:rsid w:val="000B2124"/>
    <w:rsid w:val="000B21A5"/>
    <w:rsid w:val="000B21F0"/>
    <w:rsid w:val="000B23DE"/>
    <w:rsid w:val="000B23FC"/>
    <w:rsid w:val="000B241F"/>
    <w:rsid w:val="000B25C3"/>
    <w:rsid w:val="000B28E0"/>
    <w:rsid w:val="000B2C18"/>
    <w:rsid w:val="000B2C26"/>
    <w:rsid w:val="000B2C96"/>
    <w:rsid w:val="000B2D35"/>
    <w:rsid w:val="000B2E6F"/>
    <w:rsid w:val="000B2EA2"/>
    <w:rsid w:val="000B2F75"/>
    <w:rsid w:val="000B34A3"/>
    <w:rsid w:val="000B36A4"/>
    <w:rsid w:val="000B3729"/>
    <w:rsid w:val="000B379D"/>
    <w:rsid w:val="000B37A1"/>
    <w:rsid w:val="000B39E4"/>
    <w:rsid w:val="000B3AAB"/>
    <w:rsid w:val="000B3B53"/>
    <w:rsid w:val="000B3CBB"/>
    <w:rsid w:val="000B3F69"/>
    <w:rsid w:val="000B4088"/>
    <w:rsid w:val="000B4119"/>
    <w:rsid w:val="000B4129"/>
    <w:rsid w:val="000B43DE"/>
    <w:rsid w:val="000B4690"/>
    <w:rsid w:val="000B46C2"/>
    <w:rsid w:val="000B46C6"/>
    <w:rsid w:val="000B49DD"/>
    <w:rsid w:val="000B4A20"/>
    <w:rsid w:val="000B4A21"/>
    <w:rsid w:val="000B4C0B"/>
    <w:rsid w:val="000B5100"/>
    <w:rsid w:val="000B51CA"/>
    <w:rsid w:val="000B5256"/>
    <w:rsid w:val="000B53F6"/>
    <w:rsid w:val="000B590F"/>
    <w:rsid w:val="000B59EE"/>
    <w:rsid w:val="000B5C3F"/>
    <w:rsid w:val="000B5C6F"/>
    <w:rsid w:val="000B5CE0"/>
    <w:rsid w:val="000B5CF1"/>
    <w:rsid w:val="000B5ECB"/>
    <w:rsid w:val="000B6119"/>
    <w:rsid w:val="000B61C9"/>
    <w:rsid w:val="000B6249"/>
    <w:rsid w:val="000B6518"/>
    <w:rsid w:val="000B66B3"/>
    <w:rsid w:val="000B66C2"/>
    <w:rsid w:val="000B6807"/>
    <w:rsid w:val="000B689A"/>
    <w:rsid w:val="000B68FF"/>
    <w:rsid w:val="000B698F"/>
    <w:rsid w:val="000B6AC2"/>
    <w:rsid w:val="000B6C4D"/>
    <w:rsid w:val="000B727A"/>
    <w:rsid w:val="000B742D"/>
    <w:rsid w:val="000B759D"/>
    <w:rsid w:val="000B773D"/>
    <w:rsid w:val="000B78D8"/>
    <w:rsid w:val="000B7995"/>
    <w:rsid w:val="000B7A19"/>
    <w:rsid w:val="000B7A26"/>
    <w:rsid w:val="000B7ACD"/>
    <w:rsid w:val="000B7C1A"/>
    <w:rsid w:val="000B7D40"/>
    <w:rsid w:val="000B7D4C"/>
    <w:rsid w:val="000B7D81"/>
    <w:rsid w:val="000C001B"/>
    <w:rsid w:val="000C002F"/>
    <w:rsid w:val="000C03D7"/>
    <w:rsid w:val="000C0660"/>
    <w:rsid w:val="000C074B"/>
    <w:rsid w:val="000C0A16"/>
    <w:rsid w:val="000C0A57"/>
    <w:rsid w:val="000C0CDA"/>
    <w:rsid w:val="000C0D0F"/>
    <w:rsid w:val="000C1262"/>
    <w:rsid w:val="000C1396"/>
    <w:rsid w:val="000C15D2"/>
    <w:rsid w:val="000C16DB"/>
    <w:rsid w:val="000C1B5F"/>
    <w:rsid w:val="000C1B79"/>
    <w:rsid w:val="000C1BDF"/>
    <w:rsid w:val="000C1C48"/>
    <w:rsid w:val="000C1D02"/>
    <w:rsid w:val="000C1DE0"/>
    <w:rsid w:val="000C1E5E"/>
    <w:rsid w:val="000C1FE5"/>
    <w:rsid w:val="000C22C9"/>
    <w:rsid w:val="000C2316"/>
    <w:rsid w:val="000C2402"/>
    <w:rsid w:val="000C2575"/>
    <w:rsid w:val="000C2693"/>
    <w:rsid w:val="000C2839"/>
    <w:rsid w:val="000C2907"/>
    <w:rsid w:val="000C2A2E"/>
    <w:rsid w:val="000C2BB1"/>
    <w:rsid w:val="000C2BD1"/>
    <w:rsid w:val="000C2C13"/>
    <w:rsid w:val="000C2DC6"/>
    <w:rsid w:val="000C327A"/>
    <w:rsid w:val="000C328F"/>
    <w:rsid w:val="000C336F"/>
    <w:rsid w:val="000C35A9"/>
    <w:rsid w:val="000C376B"/>
    <w:rsid w:val="000C385B"/>
    <w:rsid w:val="000C391D"/>
    <w:rsid w:val="000C3A1A"/>
    <w:rsid w:val="000C3A92"/>
    <w:rsid w:val="000C4157"/>
    <w:rsid w:val="000C4160"/>
    <w:rsid w:val="000C42A6"/>
    <w:rsid w:val="000C44CB"/>
    <w:rsid w:val="000C4612"/>
    <w:rsid w:val="000C4801"/>
    <w:rsid w:val="000C4893"/>
    <w:rsid w:val="000C4BE1"/>
    <w:rsid w:val="000C4CBF"/>
    <w:rsid w:val="000C4CD7"/>
    <w:rsid w:val="000C4D49"/>
    <w:rsid w:val="000C4DDB"/>
    <w:rsid w:val="000C4E74"/>
    <w:rsid w:val="000C4FA9"/>
    <w:rsid w:val="000C5254"/>
    <w:rsid w:val="000C5272"/>
    <w:rsid w:val="000C52AC"/>
    <w:rsid w:val="000C5490"/>
    <w:rsid w:val="000C549F"/>
    <w:rsid w:val="000C5CF8"/>
    <w:rsid w:val="000C5E2D"/>
    <w:rsid w:val="000C5FD1"/>
    <w:rsid w:val="000C62C3"/>
    <w:rsid w:val="000C63A4"/>
    <w:rsid w:val="000C63C3"/>
    <w:rsid w:val="000C65CF"/>
    <w:rsid w:val="000C6777"/>
    <w:rsid w:val="000C6834"/>
    <w:rsid w:val="000C68B4"/>
    <w:rsid w:val="000C6A48"/>
    <w:rsid w:val="000C6ABA"/>
    <w:rsid w:val="000C6C8D"/>
    <w:rsid w:val="000C6CC1"/>
    <w:rsid w:val="000C6D63"/>
    <w:rsid w:val="000C6F42"/>
    <w:rsid w:val="000C7136"/>
    <w:rsid w:val="000C7142"/>
    <w:rsid w:val="000C74E0"/>
    <w:rsid w:val="000C74F5"/>
    <w:rsid w:val="000C759F"/>
    <w:rsid w:val="000C75A3"/>
    <w:rsid w:val="000C75EA"/>
    <w:rsid w:val="000C776A"/>
    <w:rsid w:val="000C7937"/>
    <w:rsid w:val="000C7AEE"/>
    <w:rsid w:val="000C7B4E"/>
    <w:rsid w:val="000C7B4F"/>
    <w:rsid w:val="000C7BB4"/>
    <w:rsid w:val="000C7F9F"/>
    <w:rsid w:val="000C7FDD"/>
    <w:rsid w:val="000D026D"/>
    <w:rsid w:val="000D040D"/>
    <w:rsid w:val="000D08D6"/>
    <w:rsid w:val="000D0967"/>
    <w:rsid w:val="000D0A86"/>
    <w:rsid w:val="000D0AA1"/>
    <w:rsid w:val="000D0B1F"/>
    <w:rsid w:val="000D0C53"/>
    <w:rsid w:val="000D0C57"/>
    <w:rsid w:val="000D0D2E"/>
    <w:rsid w:val="000D0D47"/>
    <w:rsid w:val="000D0DDD"/>
    <w:rsid w:val="000D100C"/>
    <w:rsid w:val="000D1092"/>
    <w:rsid w:val="000D1106"/>
    <w:rsid w:val="000D1190"/>
    <w:rsid w:val="000D11DF"/>
    <w:rsid w:val="000D127F"/>
    <w:rsid w:val="000D1493"/>
    <w:rsid w:val="000D14E7"/>
    <w:rsid w:val="000D1514"/>
    <w:rsid w:val="000D17BC"/>
    <w:rsid w:val="000D1803"/>
    <w:rsid w:val="000D18DC"/>
    <w:rsid w:val="000D18E3"/>
    <w:rsid w:val="000D1988"/>
    <w:rsid w:val="000D1F28"/>
    <w:rsid w:val="000D2012"/>
    <w:rsid w:val="000D20C2"/>
    <w:rsid w:val="000D22CB"/>
    <w:rsid w:val="000D232C"/>
    <w:rsid w:val="000D23F6"/>
    <w:rsid w:val="000D25AE"/>
    <w:rsid w:val="000D2836"/>
    <w:rsid w:val="000D288B"/>
    <w:rsid w:val="000D29FF"/>
    <w:rsid w:val="000D2ABE"/>
    <w:rsid w:val="000D2BF1"/>
    <w:rsid w:val="000D2D7A"/>
    <w:rsid w:val="000D2D8E"/>
    <w:rsid w:val="000D2E74"/>
    <w:rsid w:val="000D2E84"/>
    <w:rsid w:val="000D2EA7"/>
    <w:rsid w:val="000D2F3C"/>
    <w:rsid w:val="000D3285"/>
    <w:rsid w:val="000D3787"/>
    <w:rsid w:val="000D37C6"/>
    <w:rsid w:val="000D3A59"/>
    <w:rsid w:val="000D3B30"/>
    <w:rsid w:val="000D40AB"/>
    <w:rsid w:val="000D4110"/>
    <w:rsid w:val="000D415D"/>
    <w:rsid w:val="000D4355"/>
    <w:rsid w:val="000D43DA"/>
    <w:rsid w:val="000D4420"/>
    <w:rsid w:val="000D442C"/>
    <w:rsid w:val="000D460C"/>
    <w:rsid w:val="000D492A"/>
    <w:rsid w:val="000D494F"/>
    <w:rsid w:val="000D49D8"/>
    <w:rsid w:val="000D4A1B"/>
    <w:rsid w:val="000D4B66"/>
    <w:rsid w:val="000D4B6B"/>
    <w:rsid w:val="000D4BAD"/>
    <w:rsid w:val="000D4C16"/>
    <w:rsid w:val="000D4DB5"/>
    <w:rsid w:val="000D4E2C"/>
    <w:rsid w:val="000D4EB0"/>
    <w:rsid w:val="000D5358"/>
    <w:rsid w:val="000D53D9"/>
    <w:rsid w:val="000D5585"/>
    <w:rsid w:val="000D56B2"/>
    <w:rsid w:val="000D5775"/>
    <w:rsid w:val="000D5811"/>
    <w:rsid w:val="000D5CAD"/>
    <w:rsid w:val="000D5D0E"/>
    <w:rsid w:val="000D5D5C"/>
    <w:rsid w:val="000D5DDA"/>
    <w:rsid w:val="000D5EBD"/>
    <w:rsid w:val="000D5F79"/>
    <w:rsid w:val="000D600E"/>
    <w:rsid w:val="000D6052"/>
    <w:rsid w:val="000D618C"/>
    <w:rsid w:val="000D6197"/>
    <w:rsid w:val="000D61C8"/>
    <w:rsid w:val="000D64BE"/>
    <w:rsid w:val="000D6662"/>
    <w:rsid w:val="000D67DA"/>
    <w:rsid w:val="000D6A21"/>
    <w:rsid w:val="000D7007"/>
    <w:rsid w:val="000D7046"/>
    <w:rsid w:val="000D712D"/>
    <w:rsid w:val="000D727B"/>
    <w:rsid w:val="000D72DE"/>
    <w:rsid w:val="000D741E"/>
    <w:rsid w:val="000D776B"/>
    <w:rsid w:val="000D78A2"/>
    <w:rsid w:val="000D7913"/>
    <w:rsid w:val="000D7B70"/>
    <w:rsid w:val="000D7BBC"/>
    <w:rsid w:val="000D7CAF"/>
    <w:rsid w:val="000D7CBF"/>
    <w:rsid w:val="000D7D5B"/>
    <w:rsid w:val="000D7FB6"/>
    <w:rsid w:val="000D7FFA"/>
    <w:rsid w:val="000E00ED"/>
    <w:rsid w:val="000E0109"/>
    <w:rsid w:val="000E0183"/>
    <w:rsid w:val="000E0184"/>
    <w:rsid w:val="000E0652"/>
    <w:rsid w:val="000E07AA"/>
    <w:rsid w:val="000E0891"/>
    <w:rsid w:val="000E0B52"/>
    <w:rsid w:val="000E0C90"/>
    <w:rsid w:val="000E0D15"/>
    <w:rsid w:val="000E0D23"/>
    <w:rsid w:val="000E114A"/>
    <w:rsid w:val="000E114B"/>
    <w:rsid w:val="000E12DF"/>
    <w:rsid w:val="000E1328"/>
    <w:rsid w:val="000E16E9"/>
    <w:rsid w:val="000E1758"/>
    <w:rsid w:val="000E175E"/>
    <w:rsid w:val="000E17B9"/>
    <w:rsid w:val="000E1881"/>
    <w:rsid w:val="000E18E1"/>
    <w:rsid w:val="000E1976"/>
    <w:rsid w:val="000E19BD"/>
    <w:rsid w:val="000E1BF3"/>
    <w:rsid w:val="000E1E17"/>
    <w:rsid w:val="000E1F12"/>
    <w:rsid w:val="000E1F96"/>
    <w:rsid w:val="000E1FC9"/>
    <w:rsid w:val="000E215F"/>
    <w:rsid w:val="000E244F"/>
    <w:rsid w:val="000E249C"/>
    <w:rsid w:val="000E24A5"/>
    <w:rsid w:val="000E27C3"/>
    <w:rsid w:val="000E28BC"/>
    <w:rsid w:val="000E29A7"/>
    <w:rsid w:val="000E2A4E"/>
    <w:rsid w:val="000E2B6F"/>
    <w:rsid w:val="000E2BB1"/>
    <w:rsid w:val="000E2C88"/>
    <w:rsid w:val="000E2CB4"/>
    <w:rsid w:val="000E2E24"/>
    <w:rsid w:val="000E3083"/>
    <w:rsid w:val="000E337D"/>
    <w:rsid w:val="000E33B5"/>
    <w:rsid w:val="000E3448"/>
    <w:rsid w:val="000E3680"/>
    <w:rsid w:val="000E369D"/>
    <w:rsid w:val="000E36BE"/>
    <w:rsid w:val="000E36EA"/>
    <w:rsid w:val="000E3707"/>
    <w:rsid w:val="000E37DC"/>
    <w:rsid w:val="000E39FC"/>
    <w:rsid w:val="000E3BFE"/>
    <w:rsid w:val="000E3CC3"/>
    <w:rsid w:val="000E3F49"/>
    <w:rsid w:val="000E405C"/>
    <w:rsid w:val="000E4084"/>
    <w:rsid w:val="000E40A3"/>
    <w:rsid w:val="000E41C4"/>
    <w:rsid w:val="000E41D3"/>
    <w:rsid w:val="000E4246"/>
    <w:rsid w:val="000E44AC"/>
    <w:rsid w:val="000E4590"/>
    <w:rsid w:val="000E46CB"/>
    <w:rsid w:val="000E476B"/>
    <w:rsid w:val="000E481D"/>
    <w:rsid w:val="000E4820"/>
    <w:rsid w:val="000E4AFB"/>
    <w:rsid w:val="000E4BC4"/>
    <w:rsid w:val="000E4C9F"/>
    <w:rsid w:val="000E4CCA"/>
    <w:rsid w:val="000E4D90"/>
    <w:rsid w:val="000E4F7F"/>
    <w:rsid w:val="000E5086"/>
    <w:rsid w:val="000E5207"/>
    <w:rsid w:val="000E53DE"/>
    <w:rsid w:val="000E54FF"/>
    <w:rsid w:val="000E5AC6"/>
    <w:rsid w:val="000E5CE6"/>
    <w:rsid w:val="000E60CD"/>
    <w:rsid w:val="000E64BC"/>
    <w:rsid w:val="000E6742"/>
    <w:rsid w:val="000E685F"/>
    <w:rsid w:val="000E6E19"/>
    <w:rsid w:val="000E6E72"/>
    <w:rsid w:val="000E6F1E"/>
    <w:rsid w:val="000E6F73"/>
    <w:rsid w:val="000E710A"/>
    <w:rsid w:val="000E7196"/>
    <w:rsid w:val="000E7309"/>
    <w:rsid w:val="000E7365"/>
    <w:rsid w:val="000E7819"/>
    <w:rsid w:val="000E78DB"/>
    <w:rsid w:val="000E79F3"/>
    <w:rsid w:val="000E7D99"/>
    <w:rsid w:val="000E7E49"/>
    <w:rsid w:val="000E7EF0"/>
    <w:rsid w:val="000E7F01"/>
    <w:rsid w:val="000F00C7"/>
    <w:rsid w:val="000F0112"/>
    <w:rsid w:val="000F01F9"/>
    <w:rsid w:val="000F0391"/>
    <w:rsid w:val="000F0403"/>
    <w:rsid w:val="000F0D31"/>
    <w:rsid w:val="000F101B"/>
    <w:rsid w:val="000F10D7"/>
    <w:rsid w:val="000F11FB"/>
    <w:rsid w:val="000F1274"/>
    <w:rsid w:val="000F13AF"/>
    <w:rsid w:val="000F13DE"/>
    <w:rsid w:val="000F13FD"/>
    <w:rsid w:val="000F141F"/>
    <w:rsid w:val="000F14DA"/>
    <w:rsid w:val="000F15CB"/>
    <w:rsid w:val="000F176C"/>
    <w:rsid w:val="000F18DC"/>
    <w:rsid w:val="000F1C7E"/>
    <w:rsid w:val="000F1D17"/>
    <w:rsid w:val="000F1DFD"/>
    <w:rsid w:val="000F1ED8"/>
    <w:rsid w:val="000F1FFF"/>
    <w:rsid w:val="000F2043"/>
    <w:rsid w:val="000F2210"/>
    <w:rsid w:val="000F22B4"/>
    <w:rsid w:val="000F2306"/>
    <w:rsid w:val="000F24D9"/>
    <w:rsid w:val="000F27F9"/>
    <w:rsid w:val="000F29EF"/>
    <w:rsid w:val="000F2A12"/>
    <w:rsid w:val="000F2A21"/>
    <w:rsid w:val="000F2A3B"/>
    <w:rsid w:val="000F2B23"/>
    <w:rsid w:val="000F2B4F"/>
    <w:rsid w:val="000F2D54"/>
    <w:rsid w:val="000F2DA7"/>
    <w:rsid w:val="000F2DD8"/>
    <w:rsid w:val="000F2E46"/>
    <w:rsid w:val="000F2E48"/>
    <w:rsid w:val="000F2E91"/>
    <w:rsid w:val="000F2EF0"/>
    <w:rsid w:val="000F3093"/>
    <w:rsid w:val="000F3376"/>
    <w:rsid w:val="000F345C"/>
    <w:rsid w:val="000F349A"/>
    <w:rsid w:val="000F35EC"/>
    <w:rsid w:val="000F3701"/>
    <w:rsid w:val="000F3989"/>
    <w:rsid w:val="000F3A24"/>
    <w:rsid w:val="000F3E0E"/>
    <w:rsid w:val="000F3F33"/>
    <w:rsid w:val="000F4189"/>
    <w:rsid w:val="000F4413"/>
    <w:rsid w:val="000F4455"/>
    <w:rsid w:val="000F445C"/>
    <w:rsid w:val="000F463B"/>
    <w:rsid w:val="000F48DF"/>
    <w:rsid w:val="000F4918"/>
    <w:rsid w:val="000F4974"/>
    <w:rsid w:val="000F4C2F"/>
    <w:rsid w:val="000F4CB2"/>
    <w:rsid w:val="000F4D1F"/>
    <w:rsid w:val="000F4E54"/>
    <w:rsid w:val="000F5018"/>
    <w:rsid w:val="000F51CA"/>
    <w:rsid w:val="000F5341"/>
    <w:rsid w:val="000F53CB"/>
    <w:rsid w:val="000F55D4"/>
    <w:rsid w:val="000F56FC"/>
    <w:rsid w:val="000F5779"/>
    <w:rsid w:val="000F5966"/>
    <w:rsid w:val="000F5E58"/>
    <w:rsid w:val="000F60C4"/>
    <w:rsid w:val="000F61CF"/>
    <w:rsid w:val="000F61D8"/>
    <w:rsid w:val="000F649A"/>
    <w:rsid w:val="000F66CA"/>
    <w:rsid w:val="000F6756"/>
    <w:rsid w:val="000F679C"/>
    <w:rsid w:val="000F6B5F"/>
    <w:rsid w:val="000F6B9E"/>
    <w:rsid w:val="000F6E16"/>
    <w:rsid w:val="000F6F22"/>
    <w:rsid w:val="000F731C"/>
    <w:rsid w:val="000F77AF"/>
    <w:rsid w:val="000F7851"/>
    <w:rsid w:val="000F7888"/>
    <w:rsid w:val="000F788A"/>
    <w:rsid w:val="000F7A66"/>
    <w:rsid w:val="000F7AEE"/>
    <w:rsid w:val="000F7B28"/>
    <w:rsid w:val="000F7C77"/>
    <w:rsid w:val="000F7C8D"/>
    <w:rsid w:val="001001D2"/>
    <w:rsid w:val="001002F4"/>
    <w:rsid w:val="001005AF"/>
    <w:rsid w:val="001005FA"/>
    <w:rsid w:val="00100638"/>
    <w:rsid w:val="001008CF"/>
    <w:rsid w:val="00100B08"/>
    <w:rsid w:val="00100B5F"/>
    <w:rsid w:val="00100C25"/>
    <w:rsid w:val="00100C69"/>
    <w:rsid w:val="00100E9F"/>
    <w:rsid w:val="00100EBB"/>
    <w:rsid w:val="00100FE9"/>
    <w:rsid w:val="00101033"/>
    <w:rsid w:val="001012D6"/>
    <w:rsid w:val="00101377"/>
    <w:rsid w:val="0010137E"/>
    <w:rsid w:val="001014E8"/>
    <w:rsid w:val="00101539"/>
    <w:rsid w:val="00101AB3"/>
    <w:rsid w:val="00101DFD"/>
    <w:rsid w:val="00101F9F"/>
    <w:rsid w:val="00101FED"/>
    <w:rsid w:val="00102221"/>
    <w:rsid w:val="00102550"/>
    <w:rsid w:val="00102604"/>
    <w:rsid w:val="00102A76"/>
    <w:rsid w:val="00102CE4"/>
    <w:rsid w:val="00102FD8"/>
    <w:rsid w:val="0010307C"/>
    <w:rsid w:val="001030EA"/>
    <w:rsid w:val="0010322A"/>
    <w:rsid w:val="00103276"/>
    <w:rsid w:val="001035F5"/>
    <w:rsid w:val="001036B8"/>
    <w:rsid w:val="0010397F"/>
    <w:rsid w:val="00103C47"/>
    <w:rsid w:val="00103D9F"/>
    <w:rsid w:val="00103DF2"/>
    <w:rsid w:val="00103F7D"/>
    <w:rsid w:val="00103FC4"/>
    <w:rsid w:val="00104003"/>
    <w:rsid w:val="001041BE"/>
    <w:rsid w:val="0010432C"/>
    <w:rsid w:val="0010489A"/>
    <w:rsid w:val="00104C6C"/>
    <w:rsid w:val="00104E5B"/>
    <w:rsid w:val="00104EAF"/>
    <w:rsid w:val="001050E1"/>
    <w:rsid w:val="00105113"/>
    <w:rsid w:val="001052AE"/>
    <w:rsid w:val="00105379"/>
    <w:rsid w:val="00105686"/>
    <w:rsid w:val="00105708"/>
    <w:rsid w:val="001057E9"/>
    <w:rsid w:val="00105A36"/>
    <w:rsid w:val="00105AE9"/>
    <w:rsid w:val="00105CC9"/>
    <w:rsid w:val="00105E2A"/>
    <w:rsid w:val="00105F79"/>
    <w:rsid w:val="00106082"/>
    <w:rsid w:val="0010609C"/>
    <w:rsid w:val="0010618F"/>
    <w:rsid w:val="001061DD"/>
    <w:rsid w:val="00106584"/>
    <w:rsid w:val="00106675"/>
    <w:rsid w:val="00106CE9"/>
    <w:rsid w:val="00106D25"/>
    <w:rsid w:val="00106D3D"/>
    <w:rsid w:val="00107075"/>
    <w:rsid w:val="0010752E"/>
    <w:rsid w:val="00107590"/>
    <w:rsid w:val="001075F4"/>
    <w:rsid w:val="00107A2A"/>
    <w:rsid w:val="00107AE9"/>
    <w:rsid w:val="00107C07"/>
    <w:rsid w:val="00107CDC"/>
    <w:rsid w:val="00107D07"/>
    <w:rsid w:val="00107D3F"/>
    <w:rsid w:val="00107EBD"/>
    <w:rsid w:val="001100F2"/>
    <w:rsid w:val="001101D5"/>
    <w:rsid w:val="0011078E"/>
    <w:rsid w:val="0011084A"/>
    <w:rsid w:val="00110893"/>
    <w:rsid w:val="00110A41"/>
    <w:rsid w:val="00110C30"/>
    <w:rsid w:val="00110C3A"/>
    <w:rsid w:val="00110CE1"/>
    <w:rsid w:val="00110E92"/>
    <w:rsid w:val="00110EA6"/>
    <w:rsid w:val="00110F6A"/>
    <w:rsid w:val="001111E3"/>
    <w:rsid w:val="001112DD"/>
    <w:rsid w:val="001113E0"/>
    <w:rsid w:val="001114E9"/>
    <w:rsid w:val="00111642"/>
    <w:rsid w:val="00111777"/>
    <w:rsid w:val="00111B35"/>
    <w:rsid w:val="00111D11"/>
    <w:rsid w:val="00111D7C"/>
    <w:rsid w:val="00111DE2"/>
    <w:rsid w:val="00111E21"/>
    <w:rsid w:val="00111E76"/>
    <w:rsid w:val="00111EB9"/>
    <w:rsid w:val="00111EEF"/>
    <w:rsid w:val="00111F39"/>
    <w:rsid w:val="00112120"/>
    <w:rsid w:val="00112372"/>
    <w:rsid w:val="0011243A"/>
    <w:rsid w:val="001125DF"/>
    <w:rsid w:val="00112666"/>
    <w:rsid w:val="001127B7"/>
    <w:rsid w:val="001129E0"/>
    <w:rsid w:val="00112B70"/>
    <w:rsid w:val="00112CB8"/>
    <w:rsid w:val="00112CDF"/>
    <w:rsid w:val="00112DDE"/>
    <w:rsid w:val="00112DE8"/>
    <w:rsid w:val="00112F1B"/>
    <w:rsid w:val="00112F30"/>
    <w:rsid w:val="00112F7A"/>
    <w:rsid w:val="0011301F"/>
    <w:rsid w:val="00113543"/>
    <w:rsid w:val="001135E3"/>
    <w:rsid w:val="001136C1"/>
    <w:rsid w:val="001139A4"/>
    <w:rsid w:val="00113E1B"/>
    <w:rsid w:val="00113FDA"/>
    <w:rsid w:val="001140C2"/>
    <w:rsid w:val="0011421F"/>
    <w:rsid w:val="0011428E"/>
    <w:rsid w:val="0011429B"/>
    <w:rsid w:val="00114547"/>
    <w:rsid w:val="00114614"/>
    <w:rsid w:val="001146A6"/>
    <w:rsid w:val="00114756"/>
    <w:rsid w:val="001147FD"/>
    <w:rsid w:val="00114834"/>
    <w:rsid w:val="00114969"/>
    <w:rsid w:val="001149F9"/>
    <w:rsid w:val="00114AA1"/>
    <w:rsid w:val="00114ACB"/>
    <w:rsid w:val="00114B7B"/>
    <w:rsid w:val="00114EF8"/>
    <w:rsid w:val="00114F42"/>
    <w:rsid w:val="001150B3"/>
    <w:rsid w:val="001152C0"/>
    <w:rsid w:val="001153D6"/>
    <w:rsid w:val="0011550A"/>
    <w:rsid w:val="00115575"/>
    <w:rsid w:val="001158E1"/>
    <w:rsid w:val="00115A96"/>
    <w:rsid w:val="00115C4A"/>
    <w:rsid w:val="00115C8E"/>
    <w:rsid w:val="00115CFD"/>
    <w:rsid w:val="00115D98"/>
    <w:rsid w:val="00115ED4"/>
    <w:rsid w:val="00116696"/>
    <w:rsid w:val="00116A12"/>
    <w:rsid w:val="00116A1B"/>
    <w:rsid w:val="00116C0A"/>
    <w:rsid w:val="00116D7C"/>
    <w:rsid w:val="00116F2A"/>
    <w:rsid w:val="00117375"/>
    <w:rsid w:val="00117397"/>
    <w:rsid w:val="001176EE"/>
    <w:rsid w:val="00117756"/>
    <w:rsid w:val="001178C5"/>
    <w:rsid w:val="00117994"/>
    <w:rsid w:val="001179BF"/>
    <w:rsid w:val="001179E1"/>
    <w:rsid w:val="00117A67"/>
    <w:rsid w:val="00117EBC"/>
    <w:rsid w:val="00120092"/>
    <w:rsid w:val="0012040E"/>
    <w:rsid w:val="00120442"/>
    <w:rsid w:val="00120558"/>
    <w:rsid w:val="001205FD"/>
    <w:rsid w:val="00120ACB"/>
    <w:rsid w:val="00120BC6"/>
    <w:rsid w:val="00120C2D"/>
    <w:rsid w:val="00120CFA"/>
    <w:rsid w:val="00120E7F"/>
    <w:rsid w:val="00120E84"/>
    <w:rsid w:val="00120E94"/>
    <w:rsid w:val="00120EA5"/>
    <w:rsid w:val="00120F58"/>
    <w:rsid w:val="0012114E"/>
    <w:rsid w:val="001211F1"/>
    <w:rsid w:val="001211F7"/>
    <w:rsid w:val="00121432"/>
    <w:rsid w:val="001214BD"/>
    <w:rsid w:val="0012151E"/>
    <w:rsid w:val="0012152E"/>
    <w:rsid w:val="0012164A"/>
    <w:rsid w:val="00121ADD"/>
    <w:rsid w:val="00121B98"/>
    <w:rsid w:val="00121D7B"/>
    <w:rsid w:val="00121E0B"/>
    <w:rsid w:val="00122216"/>
    <w:rsid w:val="00122227"/>
    <w:rsid w:val="0012231C"/>
    <w:rsid w:val="00122334"/>
    <w:rsid w:val="001225C1"/>
    <w:rsid w:val="0012262A"/>
    <w:rsid w:val="0012266A"/>
    <w:rsid w:val="00122758"/>
    <w:rsid w:val="0012276F"/>
    <w:rsid w:val="00122797"/>
    <w:rsid w:val="00122872"/>
    <w:rsid w:val="001228C9"/>
    <w:rsid w:val="00122B0A"/>
    <w:rsid w:val="00122B38"/>
    <w:rsid w:val="00122C54"/>
    <w:rsid w:val="00122E5E"/>
    <w:rsid w:val="00123006"/>
    <w:rsid w:val="0012302F"/>
    <w:rsid w:val="001230AE"/>
    <w:rsid w:val="00123425"/>
    <w:rsid w:val="00123490"/>
    <w:rsid w:val="001237E5"/>
    <w:rsid w:val="0012389A"/>
    <w:rsid w:val="00123C40"/>
    <w:rsid w:val="00123DDD"/>
    <w:rsid w:val="00123DF7"/>
    <w:rsid w:val="00123E48"/>
    <w:rsid w:val="00123E56"/>
    <w:rsid w:val="00123EB2"/>
    <w:rsid w:val="00123EFB"/>
    <w:rsid w:val="00123F64"/>
    <w:rsid w:val="00124026"/>
    <w:rsid w:val="0012410F"/>
    <w:rsid w:val="00124121"/>
    <w:rsid w:val="0012436F"/>
    <w:rsid w:val="001243B4"/>
    <w:rsid w:val="001244B8"/>
    <w:rsid w:val="001245DC"/>
    <w:rsid w:val="001246F0"/>
    <w:rsid w:val="001248F6"/>
    <w:rsid w:val="00124ABC"/>
    <w:rsid w:val="00124BBB"/>
    <w:rsid w:val="00124E33"/>
    <w:rsid w:val="00124FE5"/>
    <w:rsid w:val="00125226"/>
    <w:rsid w:val="001252DD"/>
    <w:rsid w:val="0012531A"/>
    <w:rsid w:val="0012548C"/>
    <w:rsid w:val="00125547"/>
    <w:rsid w:val="00125557"/>
    <w:rsid w:val="0012585B"/>
    <w:rsid w:val="00125934"/>
    <w:rsid w:val="00125B2C"/>
    <w:rsid w:val="00125B96"/>
    <w:rsid w:val="00125CF6"/>
    <w:rsid w:val="00125FC7"/>
    <w:rsid w:val="00125FD3"/>
    <w:rsid w:val="0012601E"/>
    <w:rsid w:val="001260EC"/>
    <w:rsid w:val="001263E4"/>
    <w:rsid w:val="00126650"/>
    <w:rsid w:val="00126932"/>
    <w:rsid w:val="00126BE5"/>
    <w:rsid w:val="00126C13"/>
    <w:rsid w:val="00126F41"/>
    <w:rsid w:val="001271E0"/>
    <w:rsid w:val="0012740A"/>
    <w:rsid w:val="001275D8"/>
    <w:rsid w:val="0012781E"/>
    <w:rsid w:val="00127A94"/>
    <w:rsid w:val="00127D39"/>
    <w:rsid w:val="00127E52"/>
    <w:rsid w:val="001302AE"/>
    <w:rsid w:val="00130337"/>
    <w:rsid w:val="001307CC"/>
    <w:rsid w:val="0013083E"/>
    <w:rsid w:val="001308A4"/>
    <w:rsid w:val="00130A34"/>
    <w:rsid w:val="00130AB6"/>
    <w:rsid w:val="00130C8B"/>
    <w:rsid w:val="00130EAE"/>
    <w:rsid w:val="001311E4"/>
    <w:rsid w:val="00131273"/>
    <w:rsid w:val="001315B0"/>
    <w:rsid w:val="0013184D"/>
    <w:rsid w:val="0013195A"/>
    <w:rsid w:val="00131998"/>
    <w:rsid w:val="00131A72"/>
    <w:rsid w:val="00131A85"/>
    <w:rsid w:val="00131F09"/>
    <w:rsid w:val="00132060"/>
    <w:rsid w:val="0013213F"/>
    <w:rsid w:val="00132268"/>
    <w:rsid w:val="0013250F"/>
    <w:rsid w:val="00132657"/>
    <w:rsid w:val="0013265A"/>
    <w:rsid w:val="001326E6"/>
    <w:rsid w:val="00132831"/>
    <w:rsid w:val="00132B6C"/>
    <w:rsid w:val="00132C53"/>
    <w:rsid w:val="00132D0D"/>
    <w:rsid w:val="00132D3E"/>
    <w:rsid w:val="00132DCC"/>
    <w:rsid w:val="00132E52"/>
    <w:rsid w:val="0013306A"/>
    <w:rsid w:val="0013339C"/>
    <w:rsid w:val="001335EC"/>
    <w:rsid w:val="001335FE"/>
    <w:rsid w:val="00133644"/>
    <w:rsid w:val="00133873"/>
    <w:rsid w:val="00133907"/>
    <w:rsid w:val="0013392F"/>
    <w:rsid w:val="0013397D"/>
    <w:rsid w:val="001339C9"/>
    <w:rsid w:val="00133A33"/>
    <w:rsid w:val="00133C1B"/>
    <w:rsid w:val="00133C65"/>
    <w:rsid w:val="00133D06"/>
    <w:rsid w:val="00134096"/>
    <w:rsid w:val="001343C2"/>
    <w:rsid w:val="00134860"/>
    <w:rsid w:val="00134A97"/>
    <w:rsid w:val="00134B8A"/>
    <w:rsid w:val="00134B98"/>
    <w:rsid w:val="00135222"/>
    <w:rsid w:val="001352EB"/>
    <w:rsid w:val="001354BA"/>
    <w:rsid w:val="001355DB"/>
    <w:rsid w:val="00135600"/>
    <w:rsid w:val="001356A6"/>
    <w:rsid w:val="0013583C"/>
    <w:rsid w:val="001358DF"/>
    <w:rsid w:val="00135BDF"/>
    <w:rsid w:val="00135FEF"/>
    <w:rsid w:val="00135FF1"/>
    <w:rsid w:val="001360E3"/>
    <w:rsid w:val="001363AB"/>
    <w:rsid w:val="00136407"/>
    <w:rsid w:val="0013654D"/>
    <w:rsid w:val="001366B0"/>
    <w:rsid w:val="001368B5"/>
    <w:rsid w:val="0013690F"/>
    <w:rsid w:val="00136A1D"/>
    <w:rsid w:val="00136C1A"/>
    <w:rsid w:val="00136C76"/>
    <w:rsid w:val="00136CC0"/>
    <w:rsid w:val="00136F70"/>
    <w:rsid w:val="00137017"/>
    <w:rsid w:val="001370B9"/>
    <w:rsid w:val="00137203"/>
    <w:rsid w:val="0013733A"/>
    <w:rsid w:val="00137361"/>
    <w:rsid w:val="001374E4"/>
    <w:rsid w:val="00137730"/>
    <w:rsid w:val="0013773B"/>
    <w:rsid w:val="00137B2F"/>
    <w:rsid w:val="00137B9C"/>
    <w:rsid w:val="00137C8A"/>
    <w:rsid w:val="00137E28"/>
    <w:rsid w:val="00137E9E"/>
    <w:rsid w:val="00137EA6"/>
    <w:rsid w:val="00137F18"/>
    <w:rsid w:val="00137FC9"/>
    <w:rsid w:val="0014008E"/>
    <w:rsid w:val="00140096"/>
    <w:rsid w:val="00140100"/>
    <w:rsid w:val="00140224"/>
    <w:rsid w:val="0014061C"/>
    <w:rsid w:val="0014088F"/>
    <w:rsid w:val="00140A67"/>
    <w:rsid w:val="00140A9F"/>
    <w:rsid w:val="00140C4D"/>
    <w:rsid w:val="00140CE4"/>
    <w:rsid w:val="00140D73"/>
    <w:rsid w:val="00140E52"/>
    <w:rsid w:val="00140EB3"/>
    <w:rsid w:val="00140FB9"/>
    <w:rsid w:val="001414A7"/>
    <w:rsid w:val="001418A7"/>
    <w:rsid w:val="00141BE8"/>
    <w:rsid w:val="00141D43"/>
    <w:rsid w:val="00141D6A"/>
    <w:rsid w:val="00141D86"/>
    <w:rsid w:val="00141F3F"/>
    <w:rsid w:val="001421B5"/>
    <w:rsid w:val="001427A1"/>
    <w:rsid w:val="00142866"/>
    <w:rsid w:val="001429A3"/>
    <w:rsid w:val="00142A13"/>
    <w:rsid w:val="00142A2F"/>
    <w:rsid w:val="00142A58"/>
    <w:rsid w:val="00142B95"/>
    <w:rsid w:val="00142EA3"/>
    <w:rsid w:val="00142EC0"/>
    <w:rsid w:val="00142FBF"/>
    <w:rsid w:val="00142FF7"/>
    <w:rsid w:val="001430AD"/>
    <w:rsid w:val="0014342B"/>
    <w:rsid w:val="00143485"/>
    <w:rsid w:val="001435A5"/>
    <w:rsid w:val="001435B0"/>
    <w:rsid w:val="001436A7"/>
    <w:rsid w:val="00143755"/>
    <w:rsid w:val="0014383D"/>
    <w:rsid w:val="001438B3"/>
    <w:rsid w:val="00143998"/>
    <w:rsid w:val="001439A2"/>
    <w:rsid w:val="00143DAC"/>
    <w:rsid w:val="00143E0E"/>
    <w:rsid w:val="00143EF9"/>
    <w:rsid w:val="0014488A"/>
    <w:rsid w:val="00144927"/>
    <w:rsid w:val="00144995"/>
    <w:rsid w:val="00144A53"/>
    <w:rsid w:val="00144A59"/>
    <w:rsid w:val="00144B36"/>
    <w:rsid w:val="00144B4F"/>
    <w:rsid w:val="00144B59"/>
    <w:rsid w:val="00144B62"/>
    <w:rsid w:val="00145067"/>
    <w:rsid w:val="001452E3"/>
    <w:rsid w:val="00145964"/>
    <w:rsid w:val="00145AF0"/>
    <w:rsid w:val="00145E68"/>
    <w:rsid w:val="00145EE6"/>
    <w:rsid w:val="00146001"/>
    <w:rsid w:val="00146282"/>
    <w:rsid w:val="00146383"/>
    <w:rsid w:val="00146498"/>
    <w:rsid w:val="001464D8"/>
    <w:rsid w:val="00146504"/>
    <w:rsid w:val="001465A6"/>
    <w:rsid w:val="00146610"/>
    <w:rsid w:val="00146945"/>
    <w:rsid w:val="00146BCA"/>
    <w:rsid w:val="00146E3A"/>
    <w:rsid w:val="00146EC8"/>
    <w:rsid w:val="00147253"/>
    <w:rsid w:val="00147285"/>
    <w:rsid w:val="00147558"/>
    <w:rsid w:val="001475CB"/>
    <w:rsid w:val="00147694"/>
    <w:rsid w:val="001476CA"/>
    <w:rsid w:val="00147705"/>
    <w:rsid w:val="0014772C"/>
    <w:rsid w:val="00147A1C"/>
    <w:rsid w:val="00147AE8"/>
    <w:rsid w:val="00147E3C"/>
    <w:rsid w:val="00147EEE"/>
    <w:rsid w:val="00147FDF"/>
    <w:rsid w:val="00150362"/>
    <w:rsid w:val="001505FC"/>
    <w:rsid w:val="0015079C"/>
    <w:rsid w:val="00150850"/>
    <w:rsid w:val="0015088B"/>
    <w:rsid w:val="001508B7"/>
    <w:rsid w:val="00150A0D"/>
    <w:rsid w:val="00150A2E"/>
    <w:rsid w:val="00150A7A"/>
    <w:rsid w:val="00150C1F"/>
    <w:rsid w:val="00150EEA"/>
    <w:rsid w:val="00150F1F"/>
    <w:rsid w:val="001510E6"/>
    <w:rsid w:val="001512B6"/>
    <w:rsid w:val="0015143B"/>
    <w:rsid w:val="0015158B"/>
    <w:rsid w:val="001515F3"/>
    <w:rsid w:val="0015164F"/>
    <w:rsid w:val="001516FB"/>
    <w:rsid w:val="00151745"/>
    <w:rsid w:val="0015180A"/>
    <w:rsid w:val="00151AA5"/>
    <w:rsid w:val="00151B52"/>
    <w:rsid w:val="00151C76"/>
    <w:rsid w:val="00151D43"/>
    <w:rsid w:val="00151D61"/>
    <w:rsid w:val="00151DEE"/>
    <w:rsid w:val="00151E89"/>
    <w:rsid w:val="00151FE5"/>
    <w:rsid w:val="0015224A"/>
    <w:rsid w:val="0015229F"/>
    <w:rsid w:val="00152557"/>
    <w:rsid w:val="0015256E"/>
    <w:rsid w:val="001525B6"/>
    <w:rsid w:val="0015261D"/>
    <w:rsid w:val="00152B2A"/>
    <w:rsid w:val="00152B3B"/>
    <w:rsid w:val="00152E2A"/>
    <w:rsid w:val="00152EB6"/>
    <w:rsid w:val="00152FBD"/>
    <w:rsid w:val="0015312F"/>
    <w:rsid w:val="001531AF"/>
    <w:rsid w:val="001531B7"/>
    <w:rsid w:val="0015325B"/>
    <w:rsid w:val="00153290"/>
    <w:rsid w:val="001532ED"/>
    <w:rsid w:val="001534D2"/>
    <w:rsid w:val="0015369A"/>
    <w:rsid w:val="00153743"/>
    <w:rsid w:val="001539C0"/>
    <w:rsid w:val="00153A21"/>
    <w:rsid w:val="00153A80"/>
    <w:rsid w:val="00153ABF"/>
    <w:rsid w:val="00153AC6"/>
    <w:rsid w:val="00153C4A"/>
    <w:rsid w:val="001540F6"/>
    <w:rsid w:val="00154315"/>
    <w:rsid w:val="0015447B"/>
    <w:rsid w:val="001544F6"/>
    <w:rsid w:val="00154552"/>
    <w:rsid w:val="00154688"/>
    <w:rsid w:val="00154710"/>
    <w:rsid w:val="00154BEE"/>
    <w:rsid w:val="00154C4A"/>
    <w:rsid w:val="00154D0D"/>
    <w:rsid w:val="00154F64"/>
    <w:rsid w:val="00154FEF"/>
    <w:rsid w:val="00155008"/>
    <w:rsid w:val="001554C5"/>
    <w:rsid w:val="001555EA"/>
    <w:rsid w:val="0015564C"/>
    <w:rsid w:val="00155676"/>
    <w:rsid w:val="001556C9"/>
    <w:rsid w:val="001556FD"/>
    <w:rsid w:val="0015588C"/>
    <w:rsid w:val="00155892"/>
    <w:rsid w:val="00155C98"/>
    <w:rsid w:val="00155D00"/>
    <w:rsid w:val="00156085"/>
    <w:rsid w:val="00156110"/>
    <w:rsid w:val="00156126"/>
    <w:rsid w:val="0015614E"/>
    <w:rsid w:val="0015632F"/>
    <w:rsid w:val="001566E7"/>
    <w:rsid w:val="0015679A"/>
    <w:rsid w:val="001568F8"/>
    <w:rsid w:val="00156910"/>
    <w:rsid w:val="00156AD8"/>
    <w:rsid w:val="00156B08"/>
    <w:rsid w:val="00156CEB"/>
    <w:rsid w:val="00156D66"/>
    <w:rsid w:val="00156E5B"/>
    <w:rsid w:val="00156F93"/>
    <w:rsid w:val="00157163"/>
    <w:rsid w:val="00157279"/>
    <w:rsid w:val="0015755D"/>
    <w:rsid w:val="0015759D"/>
    <w:rsid w:val="001575D8"/>
    <w:rsid w:val="0015764F"/>
    <w:rsid w:val="00157691"/>
    <w:rsid w:val="001576C2"/>
    <w:rsid w:val="00157882"/>
    <w:rsid w:val="00157A01"/>
    <w:rsid w:val="00157B3B"/>
    <w:rsid w:val="00157D31"/>
    <w:rsid w:val="00160086"/>
    <w:rsid w:val="001600C0"/>
    <w:rsid w:val="001603EA"/>
    <w:rsid w:val="00160557"/>
    <w:rsid w:val="00160572"/>
    <w:rsid w:val="00160785"/>
    <w:rsid w:val="00160820"/>
    <w:rsid w:val="00160B2A"/>
    <w:rsid w:val="00160BDA"/>
    <w:rsid w:val="00160CB3"/>
    <w:rsid w:val="00160EB7"/>
    <w:rsid w:val="00160EBD"/>
    <w:rsid w:val="0016116F"/>
    <w:rsid w:val="0016117D"/>
    <w:rsid w:val="001612FD"/>
    <w:rsid w:val="0016154C"/>
    <w:rsid w:val="00161650"/>
    <w:rsid w:val="00161665"/>
    <w:rsid w:val="001616B2"/>
    <w:rsid w:val="00161899"/>
    <w:rsid w:val="001619CF"/>
    <w:rsid w:val="00161C44"/>
    <w:rsid w:val="00161E8F"/>
    <w:rsid w:val="00161F0A"/>
    <w:rsid w:val="00161F34"/>
    <w:rsid w:val="00162029"/>
    <w:rsid w:val="001620BA"/>
    <w:rsid w:val="0016244A"/>
    <w:rsid w:val="00162573"/>
    <w:rsid w:val="0016268D"/>
    <w:rsid w:val="00162690"/>
    <w:rsid w:val="0016278B"/>
    <w:rsid w:val="001629F7"/>
    <w:rsid w:val="00162AE6"/>
    <w:rsid w:val="00162C0D"/>
    <w:rsid w:val="00162C31"/>
    <w:rsid w:val="00162E38"/>
    <w:rsid w:val="00163251"/>
    <w:rsid w:val="00163331"/>
    <w:rsid w:val="00163371"/>
    <w:rsid w:val="0016343B"/>
    <w:rsid w:val="001634CF"/>
    <w:rsid w:val="00163554"/>
    <w:rsid w:val="00163597"/>
    <w:rsid w:val="001636D3"/>
    <w:rsid w:val="00163769"/>
    <w:rsid w:val="00163867"/>
    <w:rsid w:val="00163CB4"/>
    <w:rsid w:val="00164017"/>
    <w:rsid w:val="001640D5"/>
    <w:rsid w:val="00164145"/>
    <w:rsid w:val="00164163"/>
    <w:rsid w:val="00164421"/>
    <w:rsid w:val="00164645"/>
    <w:rsid w:val="0016472F"/>
    <w:rsid w:val="00164860"/>
    <w:rsid w:val="00164982"/>
    <w:rsid w:val="00164C2A"/>
    <w:rsid w:val="00164ECE"/>
    <w:rsid w:val="00164F75"/>
    <w:rsid w:val="0016545F"/>
    <w:rsid w:val="00165541"/>
    <w:rsid w:val="00165644"/>
    <w:rsid w:val="00165658"/>
    <w:rsid w:val="0016587F"/>
    <w:rsid w:val="00165A3F"/>
    <w:rsid w:val="00165AAD"/>
    <w:rsid w:val="00165B27"/>
    <w:rsid w:val="00165B43"/>
    <w:rsid w:val="00165C5B"/>
    <w:rsid w:val="00166186"/>
    <w:rsid w:val="00166459"/>
    <w:rsid w:val="001664AD"/>
    <w:rsid w:val="00166642"/>
    <w:rsid w:val="001666E9"/>
    <w:rsid w:val="00166781"/>
    <w:rsid w:val="001667DF"/>
    <w:rsid w:val="00166875"/>
    <w:rsid w:val="00166AD5"/>
    <w:rsid w:val="00166B40"/>
    <w:rsid w:val="00166C1C"/>
    <w:rsid w:val="00166DD3"/>
    <w:rsid w:val="00166F19"/>
    <w:rsid w:val="00166FA5"/>
    <w:rsid w:val="00167057"/>
    <w:rsid w:val="001670B5"/>
    <w:rsid w:val="001675A3"/>
    <w:rsid w:val="00167853"/>
    <w:rsid w:val="001679AA"/>
    <w:rsid w:val="00167C18"/>
    <w:rsid w:val="00167D30"/>
    <w:rsid w:val="00167DE4"/>
    <w:rsid w:val="00167E29"/>
    <w:rsid w:val="0017003D"/>
    <w:rsid w:val="001700A3"/>
    <w:rsid w:val="00170102"/>
    <w:rsid w:val="001701A8"/>
    <w:rsid w:val="001702F8"/>
    <w:rsid w:val="0017039C"/>
    <w:rsid w:val="001707C8"/>
    <w:rsid w:val="00170913"/>
    <w:rsid w:val="00170995"/>
    <w:rsid w:val="001709BB"/>
    <w:rsid w:val="001709F0"/>
    <w:rsid w:val="00170C32"/>
    <w:rsid w:val="00170E7B"/>
    <w:rsid w:val="00170EAC"/>
    <w:rsid w:val="00171328"/>
    <w:rsid w:val="00171732"/>
    <w:rsid w:val="001717C2"/>
    <w:rsid w:val="00171910"/>
    <w:rsid w:val="0017196C"/>
    <w:rsid w:val="00171A80"/>
    <w:rsid w:val="00171B1F"/>
    <w:rsid w:val="00171B38"/>
    <w:rsid w:val="00171CD4"/>
    <w:rsid w:val="00171EB5"/>
    <w:rsid w:val="0017200F"/>
    <w:rsid w:val="001722CA"/>
    <w:rsid w:val="0017238A"/>
    <w:rsid w:val="001723BE"/>
    <w:rsid w:val="001724F2"/>
    <w:rsid w:val="001725C8"/>
    <w:rsid w:val="001725E4"/>
    <w:rsid w:val="0017265F"/>
    <w:rsid w:val="0017277F"/>
    <w:rsid w:val="001729CD"/>
    <w:rsid w:val="00172A4E"/>
    <w:rsid w:val="00172A81"/>
    <w:rsid w:val="00172AFA"/>
    <w:rsid w:val="00172BA5"/>
    <w:rsid w:val="00172FB2"/>
    <w:rsid w:val="00172FB3"/>
    <w:rsid w:val="0017309D"/>
    <w:rsid w:val="0017312C"/>
    <w:rsid w:val="001731F6"/>
    <w:rsid w:val="0017326C"/>
    <w:rsid w:val="00173513"/>
    <w:rsid w:val="0017353D"/>
    <w:rsid w:val="00173687"/>
    <w:rsid w:val="001736AD"/>
    <w:rsid w:val="001737E1"/>
    <w:rsid w:val="00173985"/>
    <w:rsid w:val="00173A65"/>
    <w:rsid w:val="00173CBC"/>
    <w:rsid w:val="00173CD9"/>
    <w:rsid w:val="00173D4A"/>
    <w:rsid w:val="001742CB"/>
    <w:rsid w:val="001743C9"/>
    <w:rsid w:val="0017442E"/>
    <w:rsid w:val="00174479"/>
    <w:rsid w:val="001744E5"/>
    <w:rsid w:val="0017463E"/>
    <w:rsid w:val="001749A0"/>
    <w:rsid w:val="00174AE7"/>
    <w:rsid w:val="00174CE7"/>
    <w:rsid w:val="00174CF4"/>
    <w:rsid w:val="00174EF5"/>
    <w:rsid w:val="00174F19"/>
    <w:rsid w:val="001751B3"/>
    <w:rsid w:val="0017551F"/>
    <w:rsid w:val="00175594"/>
    <w:rsid w:val="0017565D"/>
    <w:rsid w:val="0017565F"/>
    <w:rsid w:val="0017585D"/>
    <w:rsid w:val="0017596E"/>
    <w:rsid w:val="00175BFA"/>
    <w:rsid w:val="00175D12"/>
    <w:rsid w:val="00175E17"/>
    <w:rsid w:val="00176053"/>
    <w:rsid w:val="00176264"/>
    <w:rsid w:val="001764D0"/>
    <w:rsid w:val="00176723"/>
    <w:rsid w:val="001767D3"/>
    <w:rsid w:val="001768EE"/>
    <w:rsid w:val="001769F8"/>
    <w:rsid w:val="00176D16"/>
    <w:rsid w:val="00176D23"/>
    <w:rsid w:val="00176D4B"/>
    <w:rsid w:val="00176D95"/>
    <w:rsid w:val="00176E62"/>
    <w:rsid w:val="00176F9B"/>
    <w:rsid w:val="00177006"/>
    <w:rsid w:val="001770A6"/>
    <w:rsid w:val="001770D9"/>
    <w:rsid w:val="00177193"/>
    <w:rsid w:val="0017734B"/>
    <w:rsid w:val="001773DE"/>
    <w:rsid w:val="00177C79"/>
    <w:rsid w:val="00177CA0"/>
    <w:rsid w:val="00177E41"/>
    <w:rsid w:val="00177EAA"/>
    <w:rsid w:val="00177EBC"/>
    <w:rsid w:val="00177F61"/>
    <w:rsid w:val="00180137"/>
    <w:rsid w:val="00180207"/>
    <w:rsid w:val="00180318"/>
    <w:rsid w:val="001803AB"/>
    <w:rsid w:val="00180450"/>
    <w:rsid w:val="00180472"/>
    <w:rsid w:val="001804A1"/>
    <w:rsid w:val="00180513"/>
    <w:rsid w:val="0018053B"/>
    <w:rsid w:val="001805C1"/>
    <w:rsid w:val="001806BC"/>
    <w:rsid w:val="00180B5A"/>
    <w:rsid w:val="00180BCE"/>
    <w:rsid w:val="00180E68"/>
    <w:rsid w:val="00180E72"/>
    <w:rsid w:val="00180EAE"/>
    <w:rsid w:val="00180EEC"/>
    <w:rsid w:val="00180FB8"/>
    <w:rsid w:val="00180FD6"/>
    <w:rsid w:val="0018127F"/>
    <w:rsid w:val="00181310"/>
    <w:rsid w:val="001813D8"/>
    <w:rsid w:val="0018176F"/>
    <w:rsid w:val="0018194C"/>
    <w:rsid w:val="00181A69"/>
    <w:rsid w:val="00181BC8"/>
    <w:rsid w:val="00181BE0"/>
    <w:rsid w:val="00181CB9"/>
    <w:rsid w:val="00181E4C"/>
    <w:rsid w:val="00181E9B"/>
    <w:rsid w:val="00181F79"/>
    <w:rsid w:val="00181FA3"/>
    <w:rsid w:val="00182007"/>
    <w:rsid w:val="00182092"/>
    <w:rsid w:val="0018219B"/>
    <w:rsid w:val="00182209"/>
    <w:rsid w:val="00182211"/>
    <w:rsid w:val="00182319"/>
    <w:rsid w:val="0018253F"/>
    <w:rsid w:val="0018269F"/>
    <w:rsid w:val="00182861"/>
    <w:rsid w:val="001828C4"/>
    <w:rsid w:val="001828E3"/>
    <w:rsid w:val="0018291D"/>
    <w:rsid w:val="00182936"/>
    <w:rsid w:val="001829D9"/>
    <w:rsid w:val="00182BA8"/>
    <w:rsid w:val="00182C12"/>
    <w:rsid w:val="00182CAE"/>
    <w:rsid w:val="00182D69"/>
    <w:rsid w:val="00182E8A"/>
    <w:rsid w:val="00182E8B"/>
    <w:rsid w:val="00182EB4"/>
    <w:rsid w:val="001830B9"/>
    <w:rsid w:val="001830C1"/>
    <w:rsid w:val="001831D8"/>
    <w:rsid w:val="00183342"/>
    <w:rsid w:val="00183670"/>
    <w:rsid w:val="001837FB"/>
    <w:rsid w:val="00183A38"/>
    <w:rsid w:val="00183CBE"/>
    <w:rsid w:val="00183FDD"/>
    <w:rsid w:val="00184249"/>
    <w:rsid w:val="001843F4"/>
    <w:rsid w:val="001843FB"/>
    <w:rsid w:val="0018454F"/>
    <w:rsid w:val="001845CC"/>
    <w:rsid w:val="001845CD"/>
    <w:rsid w:val="00184AD1"/>
    <w:rsid w:val="00184AD6"/>
    <w:rsid w:val="00184AF7"/>
    <w:rsid w:val="00184CE7"/>
    <w:rsid w:val="00184EB0"/>
    <w:rsid w:val="00184F0C"/>
    <w:rsid w:val="00184F74"/>
    <w:rsid w:val="001851A0"/>
    <w:rsid w:val="00185276"/>
    <w:rsid w:val="001852EB"/>
    <w:rsid w:val="0018543E"/>
    <w:rsid w:val="00185540"/>
    <w:rsid w:val="0018567C"/>
    <w:rsid w:val="001857C7"/>
    <w:rsid w:val="00185889"/>
    <w:rsid w:val="001858A6"/>
    <w:rsid w:val="0018591A"/>
    <w:rsid w:val="00185939"/>
    <w:rsid w:val="00185CC9"/>
    <w:rsid w:val="00185FAE"/>
    <w:rsid w:val="00185FE1"/>
    <w:rsid w:val="001860BE"/>
    <w:rsid w:val="00186133"/>
    <w:rsid w:val="00186228"/>
    <w:rsid w:val="001863C4"/>
    <w:rsid w:val="00186440"/>
    <w:rsid w:val="00186551"/>
    <w:rsid w:val="00186595"/>
    <w:rsid w:val="00186679"/>
    <w:rsid w:val="00186AAE"/>
    <w:rsid w:val="00186C11"/>
    <w:rsid w:val="00186DAC"/>
    <w:rsid w:val="00186E7B"/>
    <w:rsid w:val="00186ED4"/>
    <w:rsid w:val="00186F0A"/>
    <w:rsid w:val="00186F6C"/>
    <w:rsid w:val="0018718F"/>
    <w:rsid w:val="00187262"/>
    <w:rsid w:val="001872D1"/>
    <w:rsid w:val="00187436"/>
    <w:rsid w:val="0018760B"/>
    <w:rsid w:val="0018762F"/>
    <w:rsid w:val="00187692"/>
    <w:rsid w:val="00187822"/>
    <w:rsid w:val="00187A58"/>
    <w:rsid w:val="00187DD5"/>
    <w:rsid w:val="00187F94"/>
    <w:rsid w:val="001900C1"/>
    <w:rsid w:val="00190335"/>
    <w:rsid w:val="00190597"/>
    <w:rsid w:val="0019059E"/>
    <w:rsid w:val="0019067E"/>
    <w:rsid w:val="001906E6"/>
    <w:rsid w:val="0019085D"/>
    <w:rsid w:val="0019095F"/>
    <w:rsid w:val="001909F7"/>
    <w:rsid w:val="00190AE2"/>
    <w:rsid w:val="00190BA9"/>
    <w:rsid w:val="00190BCB"/>
    <w:rsid w:val="00190CD2"/>
    <w:rsid w:val="00190CF4"/>
    <w:rsid w:val="00191047"/>
    <w:rsid w:val="00191048"/>
    <w:rsid w:val="0019122B"/>
    <w:rsid w:val="00191346"/>
    <w:rsid w:val="001913D5"/>
    <w:rsid w:val="00191550"/>
    <w:rsid w:val="0019158E"/>
    <w:rsid w:val="001915E3"/>
    <w:rsid w:val="001917BD"/>
    <w:rsid w:val="00191849"/>
    <w:rsid w:val="00191A84"/>
    <w:rsid w:val="00191E0B"/>
    <w:rsid w:val="00191F38"/>
    <w:rsid w:val="00191FE6"/>
    <w:rsid w:val="001921CF"/>
    <w:rsid w:val="00192350"/>
    <w:rsid w:val="001924A8"/>
    <w:rsid w:val="0019254B"/>
    <w:rsid w:val="00192701"/>
    <w:rsid w:val="0019284E"/>
    <w:rsid w:val="00192ADB"/>
    <w:rsid w:val="00192BC0"/>
    <w:rsid w:val="00192C6D"/>
    <w:rsid w:val="00192D59"/>
    <w:rsid w:val="00192F79"/>
    <w:rsid w:val="0019300F"/>
    <w:rsid w:val="00193022"/>
    <w:rsid w:val="0019308A"/>
    <w:rsid w:val="0019340F"/>
    <w:rsid w:val="0019346C"/>
    <w:rsid w:val="00193792"/>
    <w:rsid w:val="0019383B"/>
    <w:rsid w:val="0019396C"/>
    <w:rsid w:val="00193AA1"/>
    <w:rsid w:val="00193AD9"/>
    <w:rsid w:val="00193B82"/>
    <w:rsid w:val="00193C6D"/>
    <w:rsid w:val="00193E5A"/>
    <w:rsid w:val="00193FAA"/>
    <w:rsid w:val="001940B5"/>
    <w:rsid w:val="00194177"/>
    <w:rsid w:val="0019419E"/>
    <w:rsid w:val="0019427E"/>
    <w:rsid w:val="001944BD"/>
    <w:rsid w:val="00194635"/>
    <w:rsid w:val="00194881"/>
    <w:rsid w:val="00194D89"/>
    <w:rsid w:val="00194DB7"/>
    <w:rsid w:val="00195036"/>
    <w:rsid w:val="0019507C"/>
    <w:rsid w:val="00195414"/>
    <w:rsid w:val="0019550C"/>
    <w:rsid w:val="001959B9"/>
    <w:rsid w:val="00195A3F"/>
    <w:rsid w:val="00195A76"/>
    <w:rsid w:val="00195BBF"/>
    <w:rsid w:val="00195C39"/>
    <w:rsid w:val="00195F49"/>
    <w:rsid w:val="00196022"/>
    <w:rsid w:val="001961CC"/>
    <w:rsid w:val="0019625A"/>
    <w:rsid w:val="0019644E"/>
    <w:rsid w:val="0019666F"/>
    <w:rsid w:val="00196799"/>
    <w:rsid w:val="00196870"/>
    <w:rsid w:val="001968D5"/>
    <w:rsid w:val="001969B9"/>
    <w:rsid w:val="00196A03"/>
    <w:rsid w:val="00196AA6"/>
    <w:rsid w:val="00196AA9"/>
    <w:rsid w:val="00196B26"/>
    <w:rsid w:val="00196B2B"/>
    <w:rsid w:val="00196C2F"/>
    <w:rsid w:val="00196C3E"/>
    <w:rsid w:val="00196E06"/>
    <w:rsid w:val="00196EB2"/>
    <w:rsid w:val="00196F7C"/>
    <w:rsid w:val="00197236"/>
    <w:rsid w:val="00197599"/>
    <w:rsid w:val="001977B1"/>
    <w:rsid w:val="0019781A"/>
    <w:rsid w:val="0019781C"/>
    <w:rsid w:val="00197848"/>
    <w:rsid w:val="00197AC8"/>
    <w:rsid w:val="00197C72"/>
    <w:rsid w:val="00197C8D"/>
    <w:rsid w:val="00197C9E"/>
    <w:rsid w:val="00197CBC"/>
    <w:rsid w:val="00197D54"/>
    <w:rsid w:val="001A038B"/>
    <w:rsid w:val="001A03E4"/>
    <w:rsid w:val="001A0704"/>
    <w:rsid w:val="001A0717"/>
    <w:rsid w:val="001A08CF"/>
    <w:rsid w:val="001A0B77"/>
    <w:rsid w:val="001A0EDD"/>
    <w:rsid w:val="001A10DE"/>
    <w:rsid w:val="001A13E5"/>
    <w:rsid w:val="001A166E"/>
    <w:rsid w:val="001A16C6"/>
    <w:rsid w:val="001A1778"/>
    <w:rsid w:val="001A1A79"/>
    <w:rsid w:val="001A1CBB"/>
    <w:rsid w:val="001A1E51"/>
    <w:rsid w:val="001A1F63"/>
    <w:rsid w:val="001A21B6"/>
    <w:rsid w:val="001A22C1"/>
    <w:rsid w:val="001A23EC"/>
    <w:rsid w:val="001A24B3"/>
    <w:rsid w:val="001A2565"/>
    <w:rsid w:val="001A267C"/>
    <w:rsid w:val="001A2748"/>
    <w:rsid w:val="001A276A"/>
    <w:rsid w:val="001A2903"/>
    <w:rsid w:val="001A295E"/>
    <w:rsid w:val="001A29D8"/>
    <w:rsid w:val="001A2A74"/>
    <w:rsid w:val="001A2DFB"/>
    <w:rsid w:val="001A2EB8"/>
    <w:rsid w:val="001A301A"/>
    <w:rsid w:val="001A351B"/>
    <w:rsid w:val="001A35C9"/>
    <w:rsid w:val="001A3704"/>
    <w:rsid w:val="001A3D66"/>
    <w:rsid w:val="001A3EA5"/>
    <w:rsid w:val="001A41E2"/>
    <w:rsid w:val="001A434D"/>
    <w:rsid w:val="001A45B4"/>
    <w:rsid w:val="001A45BF"/>
    <w:rsid w:val="001A48E4"/>
    <w:rsid w:val="001A4901"/>
    <w:rsid w:val="001A4A2C"/>
    <w:rsid w:val="001A4AD5"/>
    <w:rsid w:val="001A4EAF"/>
    <w:rsid w:val="001A4F21"/>
    <w:rsid w:val="001A501B"/>
    <w:rsid w:val="001A50B5"/>
    <w:rsid w:val="001A512A"/>
    <w:rsid w:val="001A520C"/>
    <w:rsid w:val="001A521D"/>
    <w:rsid w:val="001A56E0"/>
    <w:rsid w:val="001A5849"/>
    <w:rsid w:val="001A5973"/>
    <w:rsid w:val="001A599E"/>
    <w:rsid w:val="001A5AE0"/>
    <w:rsid w:val="001A5B34"/>
    <w:rsid w:val="001A5C50"/>
    <w:rsid w:val="001A5D55"/>
    <w:rsid w:val="001A5E49"/>
    <w:rsid w:val="001A5EB6"/>
    <w:rsid w:val="001A6047"/>
    <w:rsid w:val="001A6061"/>
    <w:rsid w:val="001A60BD"/>
    <w:rsid w:val="001A62A1"/>
    <w:rsid w:val="001A6309"/>
    <w:rsid w:val="001A6320"/>
    <w:rsid w:val="001A635D"/>
    <w:rsid w:val="001A64BD"/>
    <w:rsid w:val="001A6664"/>
    <w:rsid w:val="001A6716"/>
    <w:rsid w:val="001A69EA"/>
    <w:rsid w:val="001A6AB6"/>
    <w:rsid w:val="001A6BA2"/>
    <w:rsid w:val="001A6CA8"/>
    <w:rsid w:val="001A6D2D"/>
    <w:rsid w:val="001A6E32"/>
    <w:rsid w:val="001A6F48"/>
    <w:rsid w:val="001A6F63"/>
    <w:rsid w:val="001A6FF5"/>
    <w:rsid w:val="001A71DF"/>
    <w:rsid w:val="001A7459"/>
    <w:rsid w:val="001A75C0"/>
    <w:rsid w:val="001A76AE"/>
    <w:rsid w:val="001A76C9"/>
    <w:rsid w:val="001A76D9"/>
    <w:rsid w:val="001A786C"/>
    <w:rsid w:val="001A793C"/>
    <w:rsid w:val="001A7C17"/>
    <w:rsid w:val="001A7E12"/>
    <w:rsid w:val="001B01B6"/>
    <w:rsid w:val="001B01DD"/>
    <w:rsid w:val="001B034C"/>
    <w:rsid w:val="001B03DB"/>
    <w:rsid w:val="001B04DF"/>
    <w:rsid w:val="001B051A"/>
    <w:rsid w:val="001B056A"/>
    <w:rsid w:val="001B0861"/>
    <w:rsid w:val="001B0953"/>
    <w:rsid w:val="001B09E6"/>
    <w:rsid w:val="001B0B1E"/>
    <w:rsid w:val="001B0D73"/>
    <w:rsid w:val="001B0E7D"/>
    <w:rsid w:val="001B0EAE"/>
    <w:rsid w:val="001B1573"/>
    <w:rsid w:val="001B15F3"/>
    <w:rsid w:val="001B1789"/>
    <w:rsid w:val="001B17FE"/>
    <w:rsid w:val="001B194F"/>
    <w:rsid w:val="001B19C0"/>
    <w:rsid w:val="001B1A64"/>
    <w:rsid w:val="001B1BAA"/>
    <w:rsid w:val="001B1C5A"/>
    <w:rsid w:val="001B1D69"/>
    <w:rsid w:val="001B1E75"/>
    <w:rsid w:val="001B2159"/>
    <w:rsid w:val="001B21A3"/>
    <w:rsid w:val="001B23A3"/>
    <w:rsid w:val="001B2455"/>
    <w:rsid w:val="001B24B9"/>
    <w:rsid w:val="001B2654"/>
    <w:rsid w:val="001B27B3"/>
    <w:rsid w:val="001B27B7"/>
    <w:rsid w:val="001B28AB"/>
    <w:rsid w:val="001B296A"/>
    <w:rsid w:val="001B2A15"/>
    <w:rsid w:val="001B2A5C"/>
    <w:rsid w:val="001B2AEC"/>
    <w:rsid w:val="001B2C19"/>
    <w:rsid w:val="001B2F11"/>
    <w:rsid w:val="001B323E"/>
    <w:rsid w:val="001B344A"/>
    <w:rsid w:val="001B3554"/>
    <w:rsid w:val="001B378A"/>
    <w:rsid w:val="001B3AE0"/>
    <w:rsid w:val="001B3B8E"/>
    <w:rsid w:val="001B40A2"/>
    <w:rsid w:val="001B4320"/>
    <w:rsid w:val="001B4467"/>
    <w:rsid w:val="001B449D"/>
    <w:rsid w:val="001B44AC"/>
    <w:rsid w:val="001B460D"/>
    <w:rsid w:val="001B4B00"/>
    <w:rsid w:val="001B4FA1"/>
    <w:rsid w:val="001B50E3"/>
    <w:rsid w:val="001B51AA"/>
    <w:rsid w:val="001B522A"/>
    <w:rsid w:val="001B5318"/>
    <w:rsid w:val="001B5377"/>
    <w:rsid w:val="001B5398"/>
    <w:rsid w:val="001B53F7"/>
    <w:rsid w:val="001B586A"/>
    <w:rsid w:val="001B58C2"/>
    <w:rsid w:val="001B5B3B"/>
    <w:rsid w:val="001B5CED"/>
    <w:rsid w:val="001B6055"/>
    <w:rsid w:val="001B60B3"/>
    <w:rsid w:val="001B6245"/>
    <w:rsid w:val="001B6282"/>
    <w:rsid w:val="001B63AB"/>
    <w:rsid w:val="001B6575"/>
    <w:rsid w:val="001B6692"/>
    <w:rsid w:val="001B67E6"/>
    <w:rsid w:val="001B6864"/>
    <w:rsid w:val="001B688F"/>
    <w:rsid w:val="001B691C"/>
    <w:rsid w:val="001B699A"/>
    <w:rsid w:val="001B6A7F"/>
    <w:rsid w:val="001B6AE9"/>
    <w:rsid w:val="001B6D36"/>
    <w:rsid w:val="001B707E"/>
    <w:rsid w:val="001B72D1"/>
    <w:rsid w:val="001B737A"/>
    <w:rsid w:val="001B7582"/>
    <w:rsid w:val="001B7638"/>
    <w:rsid w:val="001B76B3"/>
    <w:rsid w:val="001B7856"/>
    <w:rsid w:val="001B78BC"/>
    <w:rsid w:val="001B78D5"/>
    <w:rsid w:val="001B7A3D"/>
    <w:rsid w:val="001B7A89"/>
    <w:rsid w:val="001B7B08"/>
    <w:rsid w:val="001B7B94"/>
    <w:rsid w:val="001B7CF4"/>
    <w:rsid w:val="001B7CF7"/>
    <w:rsid w:val="001B7E7F"/>
    <w:rsid w:val="001B7E8A"/>
    <w:rsid w:val="001C007F"/>
    <w:rsid w:val="001C0114"/>
    <w:rsid w:val="001C02B5"/>
    <w:rsid w:val="001C04B2"/>
    <w:rsid w:val="001C07CC"/>
    <w:rsid w:val="001C0B97"/>
    <w:rsid w:val="001C0C8A"/>
    <w:rsid w:val="001C0DCF"/>
    <w:rsid w:val="001C114C"/>
    <w:rsid w:val="001C1596"/>
    <w:rsid w:val="001C1960"/>
    <w:rsid w:val="001C19FA"/>
    <w:rsid w:val="001C1A4D"/>
    <w:rsid w:val="001C1A7E"/>
    <w:rsid w:val="001C1BD7"/>
    <w:rsid w:val="001C1CA4"/>
    <w:rsid w:val="001C2252"/>
    <w:rsid w:val="001C22ED"/>
    <w:rsid w:val="001C2336"/>
    <w:rsid w:val="001C2496"/>
    <w:rsid w:val="001C285A"/>
    <w:rsid w:val="001C2883"/>
    <w:rsid w:val="001C28BB"/>
    <w:rsid w:val="001C2A47"/>
    <w:rsid w:val="001C2AAF"/>
    <w:rsid w:val="001C2F01"/>
    <w:rsid w:val="001C3153"/>
    <w:rsid w:val="001C31D6"/>
    <w:rsid w:val="001C3347"/>
    <w:rsid w:val="001C33CF"/>
    <w:rsid w:val="001C342E"/>
    <w:rsid w:val="001C3484"/>
    <w:rsid w:val="001C355C"/>
    <w:rsid w:val="001C35A5"/>
    <w:rsid w:val="001C35C6"/>
    <w:rsid w:val="001C3A3D"/>
    <w:rsid w:val="001C3D10"/>
    <w:rsid w:val="001C3D9C"/>
    <w:rsid w:val="001C3FC4"/>
    <w:rsid w:val="001C4012"/>
    <w:rsid w:val="001C4101"/>
    <w:rsid w:val="001C424B"/>
    <w:rsid w:val="001C42A8"/>
    <w:rsid w:val="001C4364"/>
    <w:rsid w:val="001C448F"/>
    <w:rsid w:val="001C44E7"/>
    <w:rsid w:val="001C478A"/>
    <w:rsid w:val="001C492A"/>
    <w:rsid w:val="001C49B5"/>
    <w:rsid w:val="001C4B87"/>
    <w:rsid w:val="001C4C1E"/>
    <w:rsid w:val="001C4CA5"/>
    <w:rsid w:val="001C526E"/>
    <w:rsid w:val="001C539A"/>
    <w:rsid w:val="001C5485"/>
    <w:rsid w:val="001C54E3"/>
    <w:rsid w:val="001C56F3"/>
    <w:rsid w:val="001C57B4"/>
    <w:rsid w:val="001C5853"/>
    <w:rsid w:val="001C58D9"/>
    <w:rsid w:val="001C5C08"/>
    <w:rsid w:val="001C5FC6"/>
    <w:rsid w:val="001C6109"/>
    <w:rsid w:val="001C6174"/>
    <w:rsid w:val="001C61A7"/>
    <w:rsid w:val="001C625F"/>
    <w:rsid w:val="001C632A"/>
    <w:rsid w:val="001C663C"/>
    <w:rsid w:val="001C664D"/>
    <w:rsid w:val="001C67BF"/>
    <w:rsid w:val="001C6B9F"/>
    <w:rsid w:val="001C6D47"/>
    <w:rsid w:val="001C6D66"/>
    <w:rsid w:val="001C6EDC"/>
    <w:rsid w:val="001C7046"/>
    <w:rsid w:val="001C7547"/>
    <w:rsid w:val="001C76E8"/>
    <w:rsid w:val="001C77D7"/>
    <w:rsid w:val="001C7AE3"/>
    <w:rsid w:val="001C7D47"/>
    <w:rsid w:val="001C7D4C"/>
    <w:rsid w:val="001C7E82"/>
    <w:rsid w:val="001D0025"/>
    <w:rsid w:val="001D0106"/>
    <w:rsid w:val="001D0698"/>
    <w:rsid w:val="001D06FA"/>
    <w:rsid w:val="001D0810"/>
    <w:rsid w:val="001D0B25"/>
    <w:rsid w:val="001D0CA7"/>
    <w:rsid w:val="001D0E05"/>
    <w:rsid w:val="001D0E48"/>
    <w:rsid w:val="001D0EB1"/>
    <w:rsid w:val="001D118A"/>
    <w:rsid w:val="001D11C1"/>
    <w:rsid w:val="001D1397"/>
    <w:rsid w:val="001D14A3"/>
    <w:rsid w:val="001D1682"/>
    <w:rsid w:val="001D1A09"/>
    <w:rsid w:val="001D1B07"/>
    <w:rsid w:val="001D1B12"/>
    <w:rsid w:val="001D1C81"/>
    <w:rsid w:val="001D1CA4"/>
    <w:rsid w:val="001D1CAF"/>
    <w:rsid w:val="001D1D6C"/>
    <w:rsid w:val="001D1EEF"/>
    <w:rsid w:val="001D1FC0"/>
    <w:rsid w:val="001D200A"/>
    <w:rsid w:val="001D250C"/>
    <w:rsid w:val="001D2560"/>
    <w:rsid w:val="001D26FF"/>
    <w:rsid w:val="001D28CF"/>
    <w:rsid w:val="001D2A5E"/>
    <w:rsid w:val="001D2AFF"/>
    <w:rsid w:val="001D2B8C"/>
    <w:rsid w:val="001D2BAB"/>
    <w:rsid w:val="001D2BC8"/>
    <w:rsid w:val="001D2BD3"/>
    <w:rsid w:val="001D3144"/>
    <w:rsid w:val="001D3151"/>
    <w:rsid w:val="001D32B6"/>
    <w:rsid w:val="001D33D9"/>
    <w:rsid w:val="001D349D"/>
    <w:rsid w:val="001D3893"/>
    <w:rsid w:val="001D39CA"/>
    <w:rsid w:val="001D3AF5"/>
    <w:rsid w:val="001D3B4C"/>
    <w:rsid w:val="001D3DBD"/>
    <w:rsid w:val="001D3DCF"/>
    <w:rsid w:val="001D3EF7"/>
    <w:rsid w:val="001D407B"/>
    <w:rsid w:val="001D4311"/>
    <w:rsid w:val="001D4393"/>
    <w:rsid w:val="001D4586"/>
    <w:rsid w:val="001D4791"/>
    <w:rsid w:val="001D4839"/>
    <w:rsid w:val="001D4908"/>
    <w:rsid w:val="001D4A62"/>
    <w:rsid w:val="001D4F25"/>
    <w:rsid w:val="001D5281"/>
    <w:rsid w:val="001D5470"/>
    <w:rsid w:val="001D5513"/>
    <w:rsid w:val="001D56CE"/>
    <w:rsid w:val="001D57DD"/>
    <w:rsid w:val="001D5B74"/>
    <w:rsid w:val="001D5BD7"/>
    <w:rsid w:val="001D5CA1"/>
    <w:rsid w:val="001D5D35"/>
    <w:rsid w:val="001D5F97"/>
    <w:rsid w:val="001D6212"/>
    <w:rsid w:val="001D6334"/>
    <w:rsid w:val="001D65D7"/>
    <w:rsid w:val="001D67EE"/>
    <w:rsid w:val="001D6839"/>
    <w:rsid w:val="001D6AB2"/>
    <w:rsid w:val="001D6AF0"/>
    <w:rsid w:val="001D6B7B"/>
    <w:rsid w:val="001D6C51"/>
    <w:rsid w:val="001D6D21"/>
    <w:rsid w:val="001D6E44"/>
    <w:rsid w:val="001D6FCE"/>
    <w:rsid w:val="001D7165"/>
    <w:rsid w:val="001D73D1"/>
    <w:rsid w:val="001D75E6"/>
    <w:rsid w:val="001D7AD3"/>
    <w:rsid w:val="001D7C77"/>
    <w:rsid w:val="001D7D3C"/>
    <w:rsid w:val="001E00E8"/>
    <w:rsid w:val="001E0191"/>
    <w:rsid w:val="001E030D"/>
    <w:rsid w:val="001E0438"/>
    <w:rsid w:val="001E046C"/>
    <w:rsid w:val="001E0755"/>
    <w:rsid w:val="001E081D"/>
    <w:rsid w:val="001E08C3"/>
    <w:rsid w:val="001E08F6"/>
    <w:rsid w:val="001E091E"/>
    <w:rsid w:val="001E0B06"/>
    <w:rsid w:val="001E0B71"/>
    <w:rsid w:val="001E0C5A"/>
    <w:rsid w:val="001E0D0D"/>
    <w:rsid w:val="001E0D13"/>
    <w:rsid w:val="001E0E21"/>
    <w:rsid w:val="001E1094"/>
    <w:rsid w:val="001E1095"/>
    <w:rsid w:val="001E13F6"/>
    <w:rsid w:val="001E1576"/>
    <w:rsid w:val="001E16B2"/>
    <w:rsid w:val="001E18BA"/>
    <w:rsid w:val="001E18DC"/>
    <w:rsid w:val="001E1A0F"/>
    <w:rsid w:val="001E1C58"/>
    <w:rsid w:val="001E1DC7"/>
    <w:rsid w:val="001E1E37"/>
    <w:rsid w:val="001E1E38"/>
    <w:rsid w:val="001E1EBB"/>
    <w:rsid w:val="001E1F01"/>
    <w:rsid w:val="001E1FFE"/>
    <w:rsid w:val="001E2310"/>
    <w:rsid w:val="001E258D"/>
    <w:rsid w:val="001E271D"/>
    <w:rsid w:val="001E2757"/>
    <w:rsid w:val="001E27CF"/>
    <w:rsid w:val="001E2E84"/>
    <w:rsid w:val="001E2FCC"/>
    <w:rsid w:val="001E3037"/>
    <w:rsid w:val="001E328C"/>
    <w:rsid w:val="001E33FB"/>
    <w:rsid w:val="001E347A"/>
    <w:rsid w:val="001E3778"/>
    <w:rsid w:val="001E3C5E"/>
    <w:rsid w:val="001E3C7B"/>
    <w:rsid w:val="001E3E5E"/>
    <w:rsid w:val="001E3F4A"/>
    <w:rsid w:val="001E41DC"/>
    <w:rsid w:val="001E4438"/>
    <w:rsid w:val="001E45CD"/>
    <w:rsid w:val="001E460B"/>
    <w:rsid w:val="001E47E6"/>
    <w:rsid w:val="001E487A"/>
    <w:rsid w:val="001E49C2"/>
    <w:rsid w:val="001E4A6B"/>
    <w:rsid w:val="001E4A71"/>
    <w:rsid w:val="001E4AB0"/>
    <w:rsid w:val="001E4B94"/>
    <w:rsid w:val="001E4C74"/>
    <w:rsid w:val="001E4C94"/>
    <w:rsid w:val="001E4F23"/>
    <w:rsid w:val="001E4F3D"/>
    <w:rsid w:val="001E50BF"/>
    <w:rsid w:val="001E51B6"/>
    <w:rsid w:val="001E52F1"/>
    <w:rsid w:val="001E5369"/>
    <w:rsid w:val="001E53F8"/>
    <w:rsid w:val="001E547A"/>
    <w:rsid w:val="001E55E9"/>
    <w:rsid w:val="001E5658"/>
    <w:rsid w:val="001E590C"/>
    <w:rsid w:val="001E5B25"/>
    <w:rsid w:val="001E5C14"/>
    <w:rsid w:val="001E5C7A"/>
    <w:rsid w:val="001E5CD1"/>
    <w:rsid w:val="001E607D"/>
    <w:rsid w:val="001E609B"/>
    <w:rsid w:val="001E609D"/>
    <w:rsid w:val="001E6406"/>
    <w:rsid w:val="001E6635"/>
    <w:rsid w:val="001E6650"/>
    <w:rsid w:val="001E6852"/>
    <w:rsid w:val="001E685D"/>
    <w:rsid w:val="001E68CE"/>
    <w:rsid w:val="001E6B98"/>
    <w:rsid w:val="001E6C41"/>
    <w:rsid w:val="001E6C80"/>
    <w:rsid w:val="001E6CB0"/>
    <w:rsid w:val="001E7356"/>
    <w:rsid w:val="001E7359"/>
    <w:rsid w:val="001E7364"/>
    <w:rsid w:val="001E736D"/>
    <w:rsid w:val="001E74E0"/>
    <w:rsid w:val="001E74E7"/>
    <w:rsid w:val="001E776B"/>
    <w:rsid w:val="001E7798"/>
    <w:rsid w:val="001E78E7"/>
    <w:rsid w:val="001E78EA"/>
    <w:rsid w:val="001E7C0B"/>
    <w:rsid w:val="001E7C5A"/>
    <w:rsid w:val="001E7CD3"/>
    <w:rsid w:val="001E7E93"/>
    <w:rsid w:val="001E7F76"/>
    <w:rsid w:val="001E7FA1"/>
    <w:rsid w:val="001F001A"/>
    <w:rsid w:val="001F003E"/>
    <w:rsid w:val="001F0170"/>
    <w:rsid w:val="001F017D"/>
    <w:rsid w:val="001F0491"/>
    <w:rsid w:val="001F054A"/>
    <w:rsid w:val="001F06E2"/>
    <w:rsid w:val="001F0728"/>
    <w:rsid w:val="001F0803"/>
    <w:rsid w:val="001F0938"/>
    <w:rsid w:val="001F0D1E"/>
    <w:rsid w:val="001F0DCE"/>
    <w:rsid w:val="001F10FD"/>
    <w:rsid w:val="001F1120"/>
    <w:rsid w:val="001F13DC"/>
    <w:rsid w:val="001F1545"/>
    <w:rsid w:val="001F15B7"/>
    <w:rsid w:val="001F1644"/>
    <w:rsid w:val="001F175C"/>
    <w:rsid w:val="001F1772"/>
    <w:rsid w:val="001F17AD"/>
    <w:rsid w:val="001F17B8"/>
    <w:rsid w:val="001F1841"/>
    <w:rsid w:val="001F1AA1"/>
    <w:rsid w:val="001F1BE5"/>
    <w:rsid w:val="001F1C65"/>
    <w:rsid w:val="001F1F8C"/>
    <w:rsid w:val="001F2003"/>
    <w:rsid w:val="001F200C"/>
    <w:rsid w:val="001F212F"/>
    <w:rsid w:val="001F22FC"/>
    <w:rsid w:val="001F27CC"/>
    <w:rsid w:val="001F28BE"/>
    <w:rsid w:val="001F2BA6"/>
    <w:rsid w:val="001F2CB6"/>
    <w:rsid w:val="001F2D06"/>
    <w:rsid w:val="001F2EDB"/>
    <w:rsid w:val="001F2F95"/>
    <w:rsid w:val="001F30B4"/>
    <w:rsid w:val="001F317E"/>
    <w:rsid w:val="001F31C8"/>
    <w:rsid w:val="001F333C"/>
    <w:rsid w:val="001F33C1"/>
    <w:rsid w:val="001F3410"/>
    <w:rsid w:val="001F342F"/>
    <w:rsid w:val="001F34DB"/>
    <w:rsid w:val="001F3587"/>
    <w:rsid w:val="001F3671"/>
    <w:rsid w:val="001F36D4"/>
    <w:rsid w:val="001F3860"/>
    <w:rsid w:val="001F388A"/>
    <w:rsid w:val="001F3AFA"/>
    <w:rsid w:val="001F3DA8"/>
    <w:rsid w:val="001F4008"/>
    <w:rsid w:val="001F40E7"/>
    <w:rsid w:val="001F41A6"/>
    <w:rsid w:val="001F41FD"/>
    <w:rsid w:val="001F4352"/>
    <w:rsid w:val="001F4421"/>
    <w:rsid w:val="001F4492"/>
    <w:rsid w:val="001F4555"/>
    <w:rsid w:val="001F47C3"/>
    <w:rsid w:val="001F48B0"/>
    <w:rsid w:val="001F496D"/>
    <w:rsid w:val="001F4A1C"/>
    <w:rsid w:val="001F4B79"/>
    <w:rsid w:val="001F4DD0"/>
    <w:rsid w:val="001F4E6D"/>
    <w:rsid w:val="001F4E89"/>
    <w:rsid w:val="001F4F79"/>
    <w:rsid w:val="001F500A"/>
    <w:rsid w:val="001F51E9"/>
    <w:rsid w:val="001F531E"/>
    <w:rsid w:val="001F53F6"/>
    <w:rsid w:val="001F53FE"/>
    <w:rsid w:val="001F5453"/>
    <w:rsid w:val="001F570E"/>
    <w:rsid w:val="001F5801"/>
    <w:rsid w:val="001F582E"/>
    <w:rsid w:val="001F58D1"/>
    <w:rsid w:val="001F5965"/>
    <w:rsid w:val="001F59D9"/>
    <w:rsid w:val="001F5A2E"/>
    <w:rsid w:val="001F5BC8"/>
    <w:rsid w:val="001F5CF4"/>
    <w:rsid w:val="001F5DB5"/>
    <w:rsid w:val="001F5E18"/>
    <w:rsid w:val="001F5E2B"/>
    <w:rsid w:val="001F60D6"/>
    <w:rsid w:val="001F62D8"/>
    <w:rsid w:val="001F6482"/>
    <w:rsid w:val="001F64C6"/>
    <w:rsid w:val="001F683C"/>
    <w:rsid w:val="001F69F0"/>
    <w:rsid w:val="001F6B9D"/>
    <w:rsid w:val="001F6EBE"/>
    <w:rsid w:val="001F6F5E"/>
    <w:rsid w:val="001F7000"/>
    <w:rsid w:val="001F7002"/>
    <w:rsid w:val="001F70BB"/>
    <w:rsid w:val="001F7196"/>
    <w:rsid w:val="001F7285"/>
    <w:rsid w:val="001F73BB"/>
    <w:rsid w:val="001F73DD"/>
    <w:rsid w:val="001F7460"/>
    <w:rsid w:val="001F7462"/>
    <w:rsid w:val="001F7A8A"/>
    <w:rsid w:val="001F7E04"/>
    <w:rsid w:val="001F7E8D"/>
    <w:rsid w:val="001F7EB1"/>
    <w:rsid w:val="001F7F0C"/>
    <w:rsid w:val="00200002"/>
    <w:rsid w:val="0020000F"/>
    <w:rsid w:val="00200185"/>
    <w:rsid w:val="002001E4"/>
    <w:rsid w:val="002003A3"/>
    <w:rsid w:val="0020044E"/>
    <w:rsid w:val="002004D9"/>
    <w:rsid w:val="00200775"/>
    <w:rsid w:val="002007EC"/>
    <w:rsid w:val="00200897"/>
    <w:rsid w:val="0020091C"/>
    <w:rsid w:val="002009D5"/>
    <w:rsid w:val="002009DA"/>
    <w:rsid w:val="00200C2C"/>
    <w:rsid w:val="00200EED"/>
    <w:rsid w:val="0020125A"/>
    <w:rsid w:val="002013EC"/>
    <w:rsid w:val="00201784"/>
    <w:rsid w:val="002017F3"/>
    <w:rsid w:val="00201811"/>
    <w:rsid w:val="002018CA"/>
    <w:rsid w:val="00201B58"/>
    <w:rsid w:val="00201DD1"/>
    <w:rsid w:val="002025B7"/>
    <w:rsid w:val="002025D2"/>
    <w:rsid w:val="00202657"/>
    <w:rsid w:val="0020267D"/>
    <w:rsid w:val="00202798"/>
    <w:rsid w:val="002027F0"/>
    <w:rsid w:val="002028A5"/>
    <w:rsid w:val="00202A56"/>
    <w:rsid w:val="00202B5D"/>
    <w:rsid w:val="00202E1C"/>
    <w:rsid w:val="00203242"/>
    <w:rsid w:val="002032C7"/>
    <w:rsid w:val="00203528"/>
    <w:rsid w:val="00203659"/>
    <w:rsid w:val="002036CF"/>
    <w:rsid w:val="00203867"/>
    <w:rsid w:val="0020389F"/>
    <w:rsid w:val="002038F9"/>
    <w:rsid w:val="002038FF"/>
    <w:rsid w:val="00203D03"/>
    <w:rsid w:val="00203E31"/>
    <w:rsid w:val="0020400B"/>
    <w:rsid w:val="00204110"/>
    <w:rsid w:val="00204130"/>
    <w:rsid w:val="00204366"/>
    <w:rsid w:val="00204528"/>
    <w:rsid w:val="00204639"/>
    <w:rsid w:val="00204725"/>
    <w:rsid w:val="002047A5"/>
    <w:rsid w:val="00204814"/>
    <w:rsid w:val="00204A21"/>
    <w:rsid w:val="00204CB9"/>
    <w:rsid w:val="00204DB8"/>
    <w:rsid w:val="00204DEF"/>
    <w:rsid w:val="0020526C"/>
    <w:rsid w:val="002053A4"/>
    <w:rsid w:val="0020581C"/>
    <w:rsid w:val="00205951"/>
    <w:rsid w:val="002059C0"/>
    <w:rsid w:val="002059EA"/>
    <w:rsid w:val="00205AC4"/>
    <w:rsid w:val="00205BA9"/>
    <w:rsid w:val="00205BE5"/>
    <w:rsid w:val="00205C30"/>
    <w:rsid w:val="00205EC5"/>
    <w:rsid w:val="002061D2"/>
    <w:rsid w:val="0020623A"/>
    <w:rsid w:val="0020640F"/>
    <w:rsid w:val="002064DC"/>
    <w:rsid w:val="00206553"/>
    <w:rsid w:val="00206587"/>
    <w:rsid w:val="0020666F"/>
    <w:rsid w:val="00206855"/>
    <w:rsid w:val="00206A00"/>
    <w:rsid w:val="00206A64"/>
    <w:rsid w:val="00206A8E"/>
    <w:rsid w:val="00206E06"/>
    <w:rsid w:val="00206F9A"/>
    <w:rsid w:val="0020706F"/>
    <w:rsid w:val="00207070"/>
    <w:rsid w:val="002072D5"/>
    <w:rsid w:val="002073E5"/>
    <w:rsid w:val="002074B4"/>
    <w:rsid w:val="0020752C"/>
    <w:rsid w:val="00207607"/>
    <w:rsid w:val="00207782"/>
    <w:rsid w:val="00207795"/>
    <w:rsid w:val="002077D3"/>
    <w:rsid w:val="00207878"/>
    <w:rsid w:val="002078DA"/>
    <w:rsid w:val="00207C27"/>
    <w:rsid w:val="00207C52"/>
    <w:rsid w:val="00207D5A"/>
    <w:rsid w:val="00207F5E"/>
    <w:rsid w:val="002101AE"/>
    <w:rsid w:val="0021026A"/>
    <w:rsid w:val="002103AD"/>
    <w:rsid w:val="002103D3"/>
    <w:rsid w:val="002104D3"/>
    <w:rsid w:val="0021056F"/>
    <w:rsid w:val="002105AB"/>
    <w:rsid w:val="002105D6"/>
    <w:rsid w:val="002108C2"/>
    <w:rsid w:val="002108F9"/>
    <w:rsid w:val="00210A0D"/>
    <w:rsid w:val="00210B57"/>
    <w:rsid w:val="00210D14"/>
    <w:rsid w:val="00211001"/>
    <w:rsid w:val="002111A6"/>
    <w:rsid w:val="002112C2"/>
    <w:rsid w:val="0021146D"/>
    <w:rsid w:val="00211511"/>
    <w:rsid w:val="00211607"/>
    <w:rsid w:val="002116AA"/>
    <w:rsid w:val="00211767"/>
    <w:rsid w:val="00211ACE"/>
    <w:rsid w:val="00211EC2"/>
    <w:rsid w:val="00211EF0"/>
    <w:rsid w:val="002120B1"/>
    <w:rsid w:val="002121B8"/>
    <w:rsid w:val="0021225A"/>
    <w:rsid w:val="0021250E"/>
    <w:rsid w:val="0021252E"/>
    <w:rsid w:val="00212633"/>
    <w:rsid w:val="00212B8D"/>
    <w:rsid w:val="00212FA4"/>
    <w:rsid w:val="00212FCC"/>
    <w:rsid w:val="002132A2"/>
    <w:rsid w:val="002133CD"/>
    <w:rsid w:val="0021343D"/>
    <w:rsid w:val="00213447"/>
    <w:rsid w:val="002136C2"/>
    <w:rsid w:val="0021376E"/>
    <w:rsid w:val="00213B64"/>
    <w:rsid w:val="00213C06"/>
    <w:rsid w:val="00213C3E"/>
    <w:rsid w:val="00213CB6"/>
    <w:rsid w:val="00213E0A"/>
    <w:rsid w:val="00214000"/>
    <w:rsid w:val="0021408D"/>
    <w:rsid w:val="002140DC"/>
    <w:rsid w:val="00214271"/>
    <w:rsid w:val="00214365"/>
    <w:rsid w:val="00214399"/>
    <w:rsid w:val="00214568"/>
    <w:rsid w:val="0021459F"/>
    <w:rsid w:val="0021488E"/>
    <w:rsid w:val="00214AF5"/>
    <w:rsid w:val="00214DF8"/>
    <w:rsid w:val="00214F97"/>
    <w:rsid w:val="00215086"/>
    <w:rsid w:val="00215118"/>
    <w:rsid w:val="002153B2"/>
    <w:rsid w:val="002157BF"/>
    <w:rsid w:val="002158E7"/>
    <w:rsid w:val="00215C25"/>
    <w:rsid w:val="00215D5E"/>
    <w:rsid w:val="00215EB0"/>
    <w:rsid w:val="00215EE6"/>
    <w:rsid w:val="00215FF7"/>
    <w:rsid w:val="00216375"/>
    <w:rsid w:val="00216382"/>
    <w:rsid w:val="00216505"/>
    <w:rsid w:val="0021660F"/>
    <w:rsid w:val="002166CF"/>
    <w:rsid w:val="0021687D"/>
    <w:rsid w:val="00216A27"/>
    <w:rsid w:val="00216B5E"/>
    <w:rsid w:val="00216B91"/>
    <w:rsid w:val="00216C8D"/>
    <w:rsid w:val="00216CB5"/>
    <w:rsid w:val="0021709B"/>
    <w:rsid w:val="002172DF"/>
    <w:rsid w:val="00217407"/>
    <w:rsid w:val="00217578"/>
    <w:rsid w:val="002175B0"/>
    <w:rsid w:val="00217849"/>
    <w:rsid w:val="00217A5C"/>
    <w:rsid w:val="00217BD3"/>
    <w:rsid w:val="00217DD9"/>
    <w:rsid w:val="00217E54"/>
    <w:rsid w:val="00217FC2"/>
    <w:rsid w:val="00217FEE"/>
    <w:rsid w:val="002201A5"/>
    <w:rsid w:val="002201CB"/>
    <w:rsid w:val="002201F1"/>
    <w:rsid w:val="00220362"/>
    <w:rsid w:val="00220550"/>
    <w:rsid w:val="0022089C"/>
    <w:rsid w:val="002208A3"/>
    <w:rsid w:val="00220B35"/>
    <w:rsid w:val="00220E76"/>
    <w:rsid w:val="00221255"/>
    <w:rsid w:val="00221792"/>
    <w:rsid w:val="002217C4"/>
    <w:rsid w:val="00221AFA"/>
    <w:rsid w:val="00221FEB"/>
    <w:rsid w:val="002222D9"/>
    <w:rsid w:val="002224D9"/>
    <w:rsid w:val="002224EC"/>
    <w:rsid w:val="00222656"/>
    <w:rsid w:val="00222708"/>
    <w:rsid w:val="002227C5"/>
    <w:rsid w:val="00222862"/>
    <w:rsid w:val="00222951"/>
    <w:rsid w:val="00222A32"/>
    <w:rsid w:val="00222BE6"/>
    <w:rsid w:val="00222D89"/>
    <w:rsid w:val="00222EC4"/>
    <w:rsid w:val="00222FA2"/>
    <w:rsid w:val="0022323B"/>
    <w:rsid w:val="002233DA"/>
    <w:rsid w:val="002235B5"/>
    <w:rsid w:val="00223631"/>
    <w:rsid w:val="002236EF"/>
    <w:rsid w:val="002237B2"/>
    <w:rsid w:val="002238B7"/>
    <w:rsid w:val="00223957"/>
    <w:rsid w:val="00223D6E"/>
    <w:rsid w:val="00223D9D"/>
    <w:rsid w:val="0022427C"/>
    <w:rsid w:val="00224291"/>
    <w:rsid w:val="0022431B"/>
    <w:rsid w:val="00224695"/>
    <w:rsid w:val="00224713"/>
    <w:rsid w:val="002248F8"/>
    <w:rsid w:val="00224911"/>
    <w:rsid w:val="00224C14"/>
    <w:rsid w:val="00224E1D"/>
    <w:rsid w:val="00224E69"/>
    <w:rsid w:val="00224EB5"/>
    <w:rsid w:val="00224ECB"/>
    <w:rsid w:val="00225340"/>
    <w:rsid w:val="002253A7"/>
    <w:rsid w:val="0022542D"/>
    <w:rsid w:val="002254D6"/>
    <w:rsid w:val="002257CC"/>
    <w:rsid w:val="00225806"/>
    <w:rsid w:val="002258FD"/>
    <w:rsid w:val="00225BF0"/>
    <w:rsid w:val="00225CF7"/>
    <w:rsid w:val="00225DDB"/>
    <w:rsid w:val="00225F72"/>
    <w:rsid w:val="002260E2"/>
    <w:rsid w:val="00226358"/>
    <w:rsid w:val="00226597"/>
    <w:rsid w:val="002269C8"/>
    <w:rsid w:val="00226A9D"/>
    <w:rsid w:val="00226AD7"/>
    <w:rsid w:val="00226C4B"/>
    <w:rsid w:val="00226CCF"/>
    <w:rsid w:val="00226E14"/>
    <w:rsid w:val="00226FF7"/>
    <w:rsid w:val="00227055"/>
    <w:rsid w:val="002271C0"/>
    <w:rsid w:val="002272E5"/>
    <w:rsid w:val="00227828"/>
    <w:rsid w:val="00227882"/>
    <w:rsid w:val="002278BC"/>
    <w:rsid w:val="0022792A"/>
    <w:rsid w:val="002279BE"/>
    <w:rsid w:val="00227AF4"/>
    <w:rsid w:val="00227B42"/>
    <w:rsid w:val="00227C6F"/>
    <w:rsid w:val="00227F22"/>
    <w:rsid w:val="00227F62"/>
    <w:rsid w:val="00227FE3"/>
    <w:rsid w:val="002302E6"/>
    <w:rsid w:val="00230358"/>
    <w:rsid w:val="002303BC"/>
    <w:rsid w:val="00230535"/>
    <w:rsid w:val="002306B3"/>
    <w:rsid w:val="002306CB"/>
    <w:rsid w:val="002306DB"/>
    <w:rsid w:val="00230965"/>
    <w:rsid w:val="00230A57"/>
    <w:rsid w:val="00230AC9"/>
    <w:rsid w:val="00230AD9"/>
    <w:rsid w:val="00230CDF"/>
    <w:rsid w:val="00230CE4"/>
    <w:rsid w:val="00230FF7"/>
    <w:rsid w:val="002311A7"/>
    <w:rsid w:val="002311DD"/>
    <w:rsid w:val="002312A3"/>
    <w:rsid w:val="00231388"/>
    <w:rsid w:val="00231832"/>
    <w:rsid w:val="00231988"/>
    <w:rsid w:val="00231B22"/>
    <w:rsid w:val="00232057"/>
    <w:rsid w:val="0023211D"/>
    <w:rsid w:val="002321E6"/>
    <w:rsid w:val="002323D3"/>
    <w:rsid w:val="0023288B"/>
    <w:rsid w:val="00232A61"/>
    <w:rsid w:val="00232A66"/>
    <w:rsid w:val="00232AC4"/>
    <w:rsid w:val="00232B3F"/>
    <w:rsid w:val="00232E2B"/>
    <w:rsid w:val="00232FE7"/>
    <w:rsid w:val="002333FB"/>
    <w:rsid w:val="002334D6"/>
    <w:rsid w:val="0023370C"/>
    <w:rsid w:val="00233746"/>
    <w:rsid w:val="00233777"/>
    <w:rsid w:val="002337A3"/>
    <w:rsid w:val="0023384C"/>
    <w:rsid w:val="0023398F"/>
    <w:rsid w:val="00233DD2"/>
    <w:rsid w:val="00233EE6"/>
    <w:rsid w:val="00233FA1"/>
    <w:rsid w:val="0023401B"/>
    <w:rsid w:val="0023412C"/>
    <w:rsid w:val="00234340"/>
    <w:rsid w:val="002343F1"/>
    <w:rsid w:val="002344A2"/>
    <w:rsid w:val="00234CC2"/>
    <w:rsid w:val="00234D51"/>
    <w:rsid w:val="00234EAF"/>
    <w:rsid w:val="00235163"/>
    <w:rsid w:val="00235174"/>
    <w:rsid w:val="00235304"/>
    <w:rsid w:val="00235418"/>
    <w:rsid w:val="00235619"/>
    <w:rsid w:val="00235643"/>
    <w:rsid w:val="0023574C"/>
    <w:rsid w:val="00235A53"/>
    <w:rsid w:val="00235A99"/>
    <w:rsid w:val="00235AA3"/>
    <w:rsid w:val="00235AC4"/>
    <w:rsid w:val="00235BAD"/>
    <w:rsid w:val="00235BCB"/>
    <w:rsid w:val="00235C29"/>
    <w:rsid w:val="00235CEC"/>
    <w:rsid w:val="00236134"/>
    <w:rsid w:val="00236342"/>
    <w:rsid w:val="00236429"/>
    <w:rsid w:val="0023670A"/>
    <w:rsid w:val="00236AC2"/>
    <w:rsid w:val="00236F67"/>
    <w:rsid w:val="00236FDC"/>
    <w:rsid w:val="0023776D"/>
    <w:rsid w:val="00237B14"/>
    <w:rsid w:val="00237C14"/>
    <w:rsid w:val="00237E34"/>
    <w:rsid w:val="00237F3A"/>
    <w:rsid w:val="00237FCA"/>
    <w:rsid w:val="002400CE"/>
    <w:rsid w:val="00240211"/>
    <w:rsid w:val="0024027D"/>
    <w:rsid w:val="0024036C"/>
    <w:rsid w:val="00240501"/>
    <w:rsid w:val="0024093C"/>
    <w:rsid w:val="00240A6A"/>
    <w:rsid w:val="00241384"/>
    <w:rsid w:val="002413A0"/>
    <w:rsid w:val="002414F2"/>
    <w:rsid w:val="00241632"/>
    <w:rsid w:val="00241762"/>
    <w:rsid w:val="00241796"/>
    <w:rsid w:val="00241823"/>
    <w:rsid w:val="00241AFF"/>
    <w:rsid w:val="00241B8A"/>
    <w:rsid w:val="00241BE2"/>
    <w:rsid w:val="00241DE9"/>
    <w:rsid w:val="00241F0D"/>
    <w:rsid w:val="002420A7"/>
    <w:rsid w:val="002420B1"/>
    <w:rsid w:val="00242106"/>
    <w:rsid w:val="00242126"/>
    <w:rsid w:val="00242489"/>
    <w:rsid w:val="002424AD"/>
    <w:rsid w:val="0024259F"/>
    <w:rsid w:val="002425C7"/>
    <w:rsid w:val="00242733"/>
    <w:rsid w:val="0024282A"/>
    <w:rsid w:val="00242979"/>
    <w:rsid w:val="0024298C"/>
    <w:rsid w:val="00243448"/>
    <w:rsid w:val="00243515"/>
    <w:rsid w:val="0024353C"/>
    <w:rsid w:val="002435B0"/>
    <w:rsid w:val="00243B19"/>
    <w:rsid w:val="00243BA2"/>
    <w:rsid w:val="00243CB5"/>
    <w:rsid w:val="00243D0A"/>
    <w:rsid w:val="00243D1A"/>
    <w:rsid w:val="002440B5"/>
    <w:rsid w:val="002440FE"/>
    <w:rsid w:val="002442BE"/>
    <w:rsid w:val="002442F6"/>
    <w:rsid w:val="00244579"/>
    <w:rsid w:val="002445A9"/>
    <w:rsid w:val="00244649"/>
    <w:rsid w:val="002446C2"/>
    <w:rsid w:val="002446F1"/>
    <w:rsid w:val="002447C6"/>
    <w:rsid w:val="002448E3"/>
    <w:rsid w:val="00244906"/>
    <w:rsid w:val="00244BA9"/>
    <w:rsid w:val="00244DE0"/>
    <w:rsid w:val="00245060"/>
    <w:rsid w:val="0024512F"/>
    <w:rsid w:val="00245185"/>
    <w:rsid w:val="0024531F"/>
    <w:rsid w:val="0024548E"/>
    <w:rsid w:val="0024560D"/>
    <w:rsid w:val="00245634"/>
    <w:rsid w:val="0024566B"/>
    <w:rsid w:val="002456C7"/>
    <w:rsid w:val="00245838"/>
    <w:rsid w:val="0024592C"/>
    <w:rsid w:val="00245A07"/>
    <w:rsid w:val="00245C44"/>
    <w:rsid w:val="00245EBD"/>
    <w:rsid w:val="00245ED8"/>
    <w:rsid w:val="00246087"/>
    <w:rsid w:val="00246347"/>
    <w:rsid w:val="00246655"/>
    <w:rsid w:val="00246876"/>
    <w:rsid w:val="00246991"/>
    <w:rsid w:val="00246C61"/>
    <w:rsid w:val="00246D4B"/>
    <w:rsid w:val="00247054"/>
    <w:rsid w:val="002470D4"/>
    <w:rsid w:val="00247191"/>
    <w:rsid w:val="0024725F"/>
    <w:rsid w:val="0024727B"/>
    <w:rsid w:val="002473DA"/>
    <w:rsid w:val="00247861"/>
    <w:rsid w:val="002479A6"/>
    <w:rsid w:val="002479E0"/>
    <w:rsid w:val="00247D68"/>
    <w:rsid w:val="00247EE6"/>
    <w:rsid w:val="0024E73B"/>
    <w:rsid w:val="00250031"/>
    <w:rsid w:val="00250074"/>
    <w:rsid w:val="0025007D"/>
    <w:rsid w:val="002500E6"/>
    <w:rsid w:val="002501FB"/>
    <w:rsid w:val="0025039E"/>
    <w:rsid w:val="00250427"/>
    <w:rsid w:val="00250659"/>
    <w:rsid w:val="002508B6"/>
    <w:rsid w:val="00250A88"/>
    <w:rsid w:val="00250AF7"/>
    <w:rsid w:val="00250CD6"/>
    <w:rsid w:val="00250D07"/>
    <w:rsid w:val="00250DE8"/>
    <w:rsid w:val="00250E0F"/>
    <w:rsid w:val="00250E98"/>
    <w:rsid w:val="0025108D"/>
    <w:rsid w:val="0025127D"/>
    <w:rsid w:val="002512C8"/>
    <w:rsid w:val="0025152B"/>
    <w:rsid w:val="00251612"/>
    <w:rsid w:val="0025176E"/>
    <w:rsid w:val="00251863"/>
    <w:rsid w:val="00251A56"/>
    <w:rsid w:val="00251AD8"/>
    <w:rsid w:val="00251D0A"/>
    <w:rsid w:val="00251F49"/>
    <w:rsid w:val="00251FED"/>
    <w:rsid w:val="00251FF2"/>
    <w:rsid w:val="00252153"/>
    <w:rsid w:val="002521B5"/>
    <w:rsid w:val="002521E2"/>
    <w:rsid w:val="0025220D"/>
    <w:rsid w:val="00252324"/>
    <w:rsid w:val="00252344"/>
    <w:rsid w:val="0025244F"/>
    <w:rsid w:val="0025246B"/>
    <w:rsid w:val="002526EF"/>
    <w:rsid w:val="00252738"/>
    <w:rsid w:val="002527F9"/>
    <w:rsid w:val="002528FB"/>
    <w:rsid w:val="002529EF"/>
    <w:rsid w:val="00252A48"/>
    <w:rsid w:val="00252B42"/>
    <w:rsid w:val="00252D8D"/>
    <w:rsid w:val="00252EA9"/>
    <w:rsid w:val="0025306F"/>
    <w:rsid w:val="00253196"/>
    <w:rsid w:val="002532CF"/>
    <w:rsid w:val="002533F0"/>
    <w:rsid w:val="002535A8"/>
    <w:rsid w:val="00253605"/>
    <w:rsid w:val="00253889"/>
    <w:rsid w:val="00253A81"/>
    <w:rsid w:val="00253B8F"/>
    <w:rsid w:val="00253CD7"/>
    <w:rsid w:val="00253CEA"/>
    <w:rsid w:val="00253DB4"/>
    <w:rsid w:val="0025402F"/>
    <w:rsid w:val="00254106"/>
    <w:rsid w:val="00254538"/>
    <w:rsid w:val="0025456D"/>
    <w:rsid w:val="002545B6"/>
    <w:rsid w:val="0025468D"/>
    <w:rsid w:val="0025491E"/>
    <w:rsid w:val="00254C4F"/>
    <w:rsid w:val="00254D54"/>
    <w:rsid w:val="00254E81"/>
    <w:rsid w:val="00254EA4"/>
    <w:rsid w:val="00254F23"/>
    <w:rsid w:val="00255059"/>
    <w:rsid w:val="00255060"/>
    <w:rsid w:val="002551A1"/>
    <w:rsid w:val="00255200"/>
    <w:rsid w:val="00255408"/>
    <w:rsid w:val="002556FC"/>
    <w:rsid w:val="0025578E"/>
    <w:rsid w:val="00255B05"/>
    <w:rsid w:val="00255B60"/>
    <w:rsid w:val="00255E0D"/>
    <w:rsid w:val="00255FAD"/>
    <w:rsid w:val="00255FD9"/>
    <w:rsid w:val="00256172"/>
    <w:rsid w:val="002561EF"/>
    <w:rsid w:val="0025654C"/>
    <w:rsid w:val="0025655A"/>
    <w:rsid w:val="00256621"/>
    <w:rsid w:val="00256905"/>
    <w:rsid w:val="002569EA"/>
    <w:rsid w:val="00256A11"/>
    <w:rsid w:val="00256A5C"/>
    <w:rsid w:val="00256D29"/>
    <w:rsid w:val="00256EAC"/>
    <w:rsid w:val="00256EB5"/>
    <w:rsid w:val="00256EF8"/>
    <w:rsid w:val="00256F31"/>
    <w:rsid w:val="00257018"/>
    <w:rsid w:val="0025703A"/>
    <w:rsid w:val="0025706E"/>
    <w:rsid w:val="0025707B"/>
    <w:rsid w:val="0025711B"/>
    <w:rsid w:val="002571FB"/>
    <w:rsid w:val="00257270"/>
    <w:rsid w:val="00257399"/>
    <w:rsid w:val="0025758D"/>
    <w:rsid w:val="00257672"/>
    <w:rsid w:val="00257808"/>
    <w:rsid w:val="002579DB"/>
    <w:rsid w:val="002579F3"/>
    <w:rsid w:val="00257DB4"/>
    <w:rsid w:val="00257E03"/>
    <w:rsid w:val="00257E6D"/>
    <w:rsid w:val="0026000E"/>
    <w:rsid w:val="002601DE"/>
    <w:rsid w:val="00260852"/>
    <w:rsid w:val="002609C3"/>
    <w:rsid w:val="00260C44"/>
    <w:rsid w:val="00260EF5"/>
    <w:rsid w:val="00260F6D"/>
    <w:rsid w:val="00261035"/>
    <w:rsid w:val="00261196"/>
    <w:rsid w:val="002611D1"/>
    <w:rsid w:val="00261268"/>
    <w:rsid w:val="002612FD"/>
    <w:rsid w:val="002616AC"/>
    <w:rsid w:val="002616E5"/>
    <w:rsid w:val="002616FD"/>
    <w:rsid w:val="002617A2"/>
    <w:rsid w:val="0026181E"/>
    <w:rsid w:val="0026184C"/>
    <w:rsid w:val="00261B83"/>
    <w:rsid w:val="00261F0E"/>
    <w:rsid w:val="00261FDE"/>
    <w:rsid w:val="002624E4"/>
    <w:rsid w:val="00262740"/>
    <w:rsid w:val="002627B0"/>
    <w:rsid w:val="00262803"/>
    <w:rsid w:val="00262936"/>
    <w:rsid w:val="00262A2E"/>
    <w:rsid w:val="00262D4F"/>
    <w:rsid w:val="00262E04"/>
    <w:rsid w:val="00262E06"/>
    <w:rsid w:val="00262E96"/>
    <w:rsid w:val="00263027"/>
    <w:rsid w:val="002631D6"/>
    <w:rsid w:val="002633D1"/>
    <w:rsid w:val="002634C8"/>
    <w:rsid w:val="00263AAD"/>
    <w:rsid w:val="00263BB1"/>
    <w:rsid w:val="00263D6B"/>
    <w:rsid w:val="00263D6C"/>
    <w:rsid w:val="00263ED2"/>
    <w:rsid w:val="0026425D"/>
    <w:rsid w:val="002645BF"/>
    <w:rsid w:val="00264753"/>
    <w:rsid w:val="00264BAE"/>
    <w:rsid w:val="00264C1B"/>
    <w:rsid w:val="00264C1D"/>
    <w:rsid w:val="00264D53"/>
    <w:rsid w:val="00264EA7"/>
    <w:rsid w:val="00265106"/>
    <w:rsid w:val="00265BF3"/>
    <w:rsid w:val="00265ED8"/>
    <w:rsid w:val="00266072"/>
    <w:rsid w:val="002661CF"/>
    <w:rsid w:val="00266476"/>
    <w:rsid w:val="002664A9"/>
    <w:rsid w:val="0026668C"/>
    <w:rsid w:val="002666DA"/>
    <w:rsid w:val="00266865"/>
    <w:rsid w:val="00266903"/>
    <w:rsid w:val="00266BB6"/>
    <w:rsid w:val="00266D48"/>
    <w:rsid w:val="00266E32"/>
    <w:rsid w:val="00267015"/>
    <w:rsid w:val="00267096"/>
    <w:rsid w:val="0026714C"/>
    <w:rsid w:val="00267231"/>
    <w:rsid w:val="002672F9"/>
    <w:rsid w:val="0026755F"/>
    <w:rsid w:val="002675AE"/>
    <w:rsid w:val="002677A0"/>
    <w:rsid w:val="002677B3"/>
    <w:rsid w:val="00267803"/>
    <w:rsid w:val="002678F6"/>
    <w:rsid w:val="00267D55"/>
    <w:rsid w:val="00267F2B"/>
    <w:rsid w:val="00267FDC"/>
    <w:rsid w:val="00270165"/>
    <w:rsid w:val="00270318"/>
    <w:rsid w:val="00270334"/>
    <w:rsid w:val="002704FE"/>
    <w:rsid w:val="002706B8"/>
    <w:rsid w:val="002707CA"/>
    <w:rsid w:val="00270833"/>
    <w:rsid w:val="002709E5"/>
    <w:rsid w:val="00270ADF"/>
    <w:rsid w:val="00270AF4"/>
    <w:rsid w:val="00270F30"/>
    <w:rsid w:val="00270F88"/>
    <w:rsid w:val="0027101E"/>
    <w:rsid w:val="0027104C"/>
    <w:rsid w:val="002710E6"/>
    <w:rsid w:val="0027183F"/>
    <w:rsid w:val="002719F2"/>
    <w:rsid w:val="00271A65"/>
    <w:rsid w:val="00271ABF"/>
    <w:rsid w:val="00271C37"/>
    <w:rsid w:val="00271E4B"/>
    <w:rsid w:val="00272151"/>
    <w:rsid w:val="00272195"/>
    <w:rsid w:val="0027219D"/>
    <w:rsid w:val="00272296"/>
    <w:rsid w:val="0027230A"/>
    <w:rsid w:val="00272360"/>
    <w:rsid w:val="00272481"/>
    <w:rsid w:val="00272585"/>
    <w:rsid w:val="002727BF"/>
    <w:rsid w:val="00272880"/>
    <w:rsid w:val="002728CA"/>
    <w:rsid w:val="00272A45"/>
    <w:rsid w:val="00272E79"/>
    <w:rsid w:val="002730D6"/>
    <w:rsid w:val="00273115"/>
    <w:rsid w:val="0027328F"/>
    <w:rsid w:val="002732D0"/>
    <w:rsid w:val="00273480"/>
    <w:rsid w:val="00273586"/>
    <w:rsid w:val="00273B5F"/>
    <w:rsid w:val="00273C45"/>
    <w:rsid w:val="00273DDA"/>
    <w:rsid w:val="00273F93"/>
    <w:rsid w:val="00273F98"/>
    <w:rsid w:val="00274026"/>
    <w:rsid w:val="00274038"/>
    <w:rsid w:val="00274066"/>
    <w:rsid w:val="002740BF"/>
    <w:rsid w:val="002743EA"/>
    <w:rsid w:val="00274C28"/>
    <w:rsid w:val="00274C29"/>
    <w:rsid w:val="00274E46"/>
    <w:rsid w:val="00274FBD"/>
    <w:rsid w:val="002750B0"/>
    <w:rsid w:val="00275101"/>
    <w:rsid w:val="00275113"/>
    <w:rsid w:val="0027513E"/>
    <w:rsid w:val="00275227"/>
    <w:rsid w:val="0027541A"/>
    <w:rsid w:val="00275511"/>
    <w:rsid w:val="00275AC6"/>
    <w:rsid w:val="00275B7D"/>
    <w:rsid w:val="00275BA9"/>
    <w:rsid w:val="00275C84"/>
    <w:rsid w:val="00275CC8"/>
    <w:rsid w:val="00275FD0"/>
    <w:rsid w:val="0027600F"/>
    <w:rsid w:val="00276115"/>
    <w:rsid w:val="002762DC"/>
    <w:rsid w:val="002763C5"/>
    <w:rsid w:val="00276417"/>
    <w:rsid w:val="002764A0"/>
    <w:rsid w:val="002764B9"/>
    <w:rsid w:val="0027659E"/>
    <w:rsid w:val="0027671E"/>
    <w:rsid w:val="002767C4"/>
    <w:rsid w:val="00276820"/>
    <w:rsid w:val="0027684A"/>
    <w:rsid w:val="002769FA"/>
    <w:rsid w:val="00276A3A"/>
    <w:rsid w:val="00276AA8"/>
    <w:rsid w:val="00276AC1"/>
    <w:rsid w:val="00276CCE"/>
    <w:rsid w:val="00276D7F"/>
    <w:rsid w:val="00277047"/>
    <w:rsid w:val="002770F0"/>
    <w:rsid w:val="0027715A"/>
    <w:rsid w:val="00277356"/>
    <w:rsid w:val="002773A1"/>
    <w:rsid w:val="0027745A"/>
    <w:rsid w:val="00277659"/>
    <w:rsid w:val="00277B3B"/>
    <w:rsid w:val="00277CE1"/>
    <w:rsid w:val="00280165"/>
    <w:rsid w:val="002802F7"/>
    <w:rsid w:val="00280368"/>
    <w:rsid w:val="00280830"/>
    <w:rsid w:val="00280921"/>
    <w:rsid w:val="00280C29"/>
    <w:rsid w:val="00280E88"/>
    <w:rsid w:val="0028100B"/>
    <w:rsid w:val="002811CF"/>
    <w:rsid w:val="0028136B"/>
    <w:rsid w:val="00281496"/>
    <w:rsid w:val="002816CC"/>
    <w:rsid w:val="0028181F"/>
    <w:rsid w:val="0028194C"/>
    <w:rsid w:val="00281D42"/>
    <w:rsid w:val="00281E83"/>
    <w:rsid w:val="00282202"/>
    <w:rsid w:val="00282224"/>
    <w:rsid w:val="002822B3"/>
    <w:rsid w:val="002822B9"/>
    <w:rsid w:val="002822C3"/>
    <w:rsid w:val="00282521"/>
    <w:rsid w:val="00282670"/>
    <w:rsid w:val="00282A6F"/>
    <w:rsid w:val="00282B57"/>
    <w:rsid w:val="00283156"/>
    <w:rsid w:val="0028324C"/>
    <w:rsid w:val="0028334C"/>
    <w:rsid w:val="00283367"/>
    <w:rsid w:val="002833AE"/>
    <w:rsid w:val="00283409"/>
    <w:rsid w:val="00283621"/>
    <w:rsid w:val="00283623"/>
    <w:rsid w:val="002838E8"/>
    <w:rsid w:val="00283C03"/>
    <w:rsid w:val="00283E36"/>
    <w:rsid w:val="00283EDA"/>
    <w:rsid w:val="00284093"/>
    <w:rsid w:val="002842F4"/>
    <w:rsid w:val="002843B7"/>
    <w:rsid w:val="00284573"/>
    <w:rsid w:val="002845FB"/>
    <w:rsid w:val="002848B4"/>
    <w:rsid w:val="00284CFE"/>
    <w:rsid w:val="00284EA9"/>
    <w:rsid w:val="00284EBA"/>
    <w:rsid w:val="00284FB4"/>
    <w:rsid w:val="0028505B"/>
    <w:rsid w:val="002850A2"/>
    <w:rsid w:val="002853FC"/>
    <w:rsid w:val="00285487"/>
    <w:rsid w:val="0028550F"/>
    <w:rsid w:val="002856F2"/>
    <w:rsid w:val="00285723"/>
    <w:rsid w:val="002857DB"/>
    <w:rsid w:val="00285841"/>
    <w:rsid w:val="002859FE"/>
    <w:rsid w:val="00285A4A"/>
    <w:rsid w:val="00285D30"/>
    <w:rsid w:val="00285DB3"/>
    <w:rsid w:val="00285DD0"/>
    <w:rsid w:val="0028619D"/>
    <w:rsid w:val="00286453"/>
    <w:rsid w:val="002864AF"/>
    <w:rsid w:val="002864B7"/>
    <w:rsid w:val="0028663C"/>
    <w:rsid w:val="0028671A"/>
    <w:rsid w:val="002869E4"/>
    <w:rsid w:val="00286A6B"/>
    <w:rsid w:val="00286B1F"/>
    <w:rsid w:val="00286BA4"/>
    <w:rsid w:val="00286CEA"/>
    <w:rsid w:val="00286D14"/>
    <w:rsid w:val="0028734F"/>
    <w:rsid w:val="00287536"/>
    <w:rsid w:val="00287642"/>
    <w:rsid w:val="00287937"/>
    <w:rsid w:val="00287A40"/>
    <w:rsid w:val="00287B7D"/>
    <w:rsid w:val="00287C59"/>
    <w:rsid w:val="00287CD3"/>
    <w:rsid w:val="00287D37"/>
    <w:rsid w:val="00287E39"/>
    <w:rsid w:val="00290075"/>
    <w:rsid w:val="00290124"/>
    <w:rsid w:val="002901C1"/>
    <w:rsid w:val="00290391"/>
    <w:rsid w:val="00290437"/>
    <w:rsid w:val="0029083E"/>
    <w:rsid w:val="00290BF2"/>
    <w:rsid w:val="00290DFB"/>
    <w:rsid w:val="00290EAD"/>
    <w:rsid w:val="00290ED9"/>
    <w:rsid w:val="0029118A"/>
    <w:rsid w:val="002912AA"/>
    <w:rsid w:val="0029130D"/>
    <w:rsid w:val="002913FF"/>
    <w:rsid w:val="0029159B"/>
    <w:rsid w:val="00291794"/>
    <w:rsid w:val="00291839"/>
    <w:rsid w:val="00291A00"/>
    <w:rsid w:val="00291A72"/>
    <w:rsid w:val="00291A9D"/>
    <w:rsid w:val="00291C20"/>
    <w:rsid w:val="00291E4C"/>
    <w:rsid w:val="00291E75"/>
    <w:rsid w:val="00292114"/>
    <w:rsid w:val="00292195"/>
    <w:rsid w:val="002921A5"/>
    <w:rsid w:val="00292238"/>
    <w:rsid w:val="00292435"/>
    <w:rsid w:val="0029244C"/>
    <w:rsid w:val="00292512"/>
    <w:rsid w:val="00292635"/>
    <w:rsid w:val="002928D5"/>
    <w:rsid w:val="00292919"/>
    <w:rsid w:val="00292A4C"/>
    <w:rsid w:val="00292AF3"/>
    <w:rsid w:val="00292F98"/>
    <w:rsid w:val="00293043"/>
    <w:rsid w:val="00293082"/>
    <w:rsid w:val="00293225"/>
    <w:rsid w:val="002932F9"/>
    <w:rsid w:val="002933A6"/>
    <w:rsid w:val="002933B6"/>
    <w:rsid w:val="0029347D"/>
    <w:rsid w:val="00293605"/>
    <w:rsid w:val="0029374D"/>
    <w:rsid w:val="00293788"/>
    <w:rsid w:val="0029380C"/>
    <w:rsid w:val="0029389F"/>
    <w:rsid w:val="00293934"/>
    <w:rsid w:val="0029393F"/>
    <w:rsid w:val="00293975"/>
    <w:rsid w:val="00293AC6"/>
    <w:rsid w:val="00293B87"/>
    <w:rsid w:val="00293FED"/>
    <w:rsid w:val="0029405A"/>
    <w:rsid w:val="00294340"/>
    <w:rsid w:val="00294498"/>
    <w:rsid w:val="0029456A"/>
    <w:rsid w:val="0029489F"/>
    <w:rsid w:val="00294965"/>
    <w:rsid w:val="00294A0D"/>
    <w:rsid w:val="00294AA1"/>
    <w:rsid w:val="00294B95"/>
    <w:rsid w:val="00294BCC"/>
    <w:rsid w:val="00294D11"/>
    <w:rsid w:val="00294D31"/>
    <w:rsid w:val="00294E26"/>
    <w:rsid w:val="00294EEE"/>
    <w:rsid w:val="00295380"/>
    <w:rsid w:val="0029541F"/>
    <w:rsid w:val="002954CD"/>
    <w:rsid w:val="0029554F"/>
    <w:rsid w:val="002956BF"/>
    <w:rsid w:val="00295867"/>
    <w:rsid w:val="002958C8"/>
    <w:rsid w:val="00295BF5"/>
    <w:rsid w:val="00295C82"/>
    <w:rsid w:val="00295E33"/>
    <w:rsid w:val="00295F73"/>
    <w:rsid w:val="00295FA3"/>
    <w:rsid w:val="002960C4"/>
    <w:rsid w:val="002960D4"/>
    <w:rsid w:val="00296116"/>
    <w:rsid w:val="002961C4"/>
    <w:rsid w:val="00296494"/>
    <w:rsid w:val="0029673D"/>
    <w:rsid w:val="002968F9"/>
    <w:rsid w:val="00296927"/>
    <w:rsid w:val="002969DE"/>
    <w:rsid w:val="00296DE1"/>
    <w:rsid w:val="00296F21"/>
    <w:rsid w:val="002971CF"/>
    <w:rsid w:val="002971D0"/>
    <w:rsid w:val="00297609"/>
    <w:rsid w:val="00297631"/>
    <w:rsid w:val="0029765D"/>
    <w:rsid w:val="00297AC8"/>
    <w:rsid w:val="00297D03"/>
    <w:rsid w:val="00297DC9"/>
    <w:rsid w:val="00297E06"/>
    <w:rsid w:val="00297FF7"/>
    <w:rsid w:val="002A0014"/>
    <w:rsid w:val="002A0239"/>
    <w:rsid w:val="002A0291"/>
    <w:rsid w:val="002A03B1"/>
    <w:rsid w:val="002A03F7"/>
    <w:rsid w:val="002A046A"/>
    <w:rsid w:val="002A0694"/>
    <w:rsid w:val="002A0955"/>
    <w:rsid w:val="002A09BA"/>
    <w:rsid w:val="002A0A03"/>
    <w:rsid w:val="002A0B47"/>
    <w:rsid w:val="002A0BE2"/>
    <w:rsid w:val="002A0C15"/>
    <w:rsid w:val="002A0E32"/>
    <w:rsid w:val="002A0EA1"/>
    <w:rsid w:val="002A1132"/>
    <w:rsid w:val="002A115F"/>
    <w:rsid w:val="002A1241"/>
    <w:rsid w:val="002A1616"/>
    <w:rsid w:val="002A1702"/>
    <w:rsid w:val="002A1812"/>
    <w:rsid w:val="002A1903"/>
    <w:rsid w:val="002A1B63"/>
    <w:rsid w:val="002A1BB0"/>
    <w:rsid w:val="002A1D55"/>
    <w:rsid w:val="002A1D92"/>
    <w:rsid w:val="002A1DCA"/>
    <w:rsid w:val="002A1E0D"/>
    <w:rsid w:val="002A2027"/>
    <w:rsid w:val="002A206A"/>
    <w:rsid w:val="002A2378"/>
    <w:rsid w:val="002A247A"/>
    <w:rsid w:val="002A24A5"/>
    <w:rsid w:val="002A2619"/>
    <w:rsid w:val="002A280F"/>
    <w:rsid w:val="002A2CC1"/>
    <w:rsid w:val="002A2F97"/>
    <w:rsid w:val="002A2FE3"/>
    <w:rsid w:val="002A3159"/>
    <w:rsid w:val="002A31C3"/>
    <w:rsid w:val="002A3399"/>
    <w:rsid w:val="002A33ED"/>
    <w:rsid w:val="002A34A3"/>
    <w:rsid w:val="002A34E6"/>
    <w:rsid w:val="002A3525"/>
    <w:rsid w:val="002A3641"/>
    <w:rsid w:val="002A3A3F"/>
    <w:rsid w:val="002A3F7C"/>
    <w:rsid w:val="002A401F"/>
    <w:rsid w:val="002A4098"/>
    <w:rsid w:val="002A40A6"/>
    <w:rsid w:val="002A418D"/>
    <w:rsid w:val="002A4246"/>
    <w:rsid w:val="002A4283"/>
    <w:rsid w:val="002A4300"/>
    <w:rsid w:val="002A46B5"/>
    <w:rsid w:val="002A4A42"/>
    <w:rsid w:val="002A4A50"/>
    <w:rsid w:val="002A4A79"/>
    <w:rsid w:val="002A4B95"/>
    <w:rsid w:val="002A4BE3"/>
    <w:rsid w:val="002A4CBB"/>
    <w:rsid w:val="002A4D2D"/>
    <w:rsid w:val="002A4FC7"/>
    <w:rsid w:val="002A50AD"/>
    <w:rsid w:val="002A5104"/>
    <w:rsid w:val="002A5274"/>
    <w:rsid w:val="002A53BF"/>
    <w:rsid w:val="002A5523"/>
    <w:rsid w:val="002A55D7"/>
    <w:rsid w:val="002A55FD"/>
    <w:rsid w:val="002A56B1"/>
    <w:rsid w:val="002A5818"/>
    <w:rsid w:val="002A5897"/>
    <w:rsid w:val="002A5A9A"/>
    <w:rsid w:val="002A5AD4"/>
    <w:rsid w:val="002A5B52"/>
    <w:rsid w:val="002A5B6A"/>
    <w:rsid w:val="002A5D01"/>
    <w:rsid w:val="002A5DAD"/>
    <w:rsid w:val="002A5DB0"/>
    <w:rsid w:val="002A5DFA"/>
    <w:rsid w:val="002A605B"/>
    <w:rsid w:val="002A623F"/>
    <w:rsid w:val="002A6481"/>
    <w:rsid w:val="002A6619"/>
    <w:rsid w:val="002A6686"/>
    <w:rsid w:val="002A66B5"/>
    <w:rsid w:val="002A6703"/>
    <w:rsid w:val="002A6809"/>
    <w:rsid w:val="002A6B24"/>
    <w:rsid w:val="002A6BC8"/>
    <w:rsid w:val="002A6DDE"/>
    <w:rsid w:val="002A6E29"/>
    <w:rsid w:val="002A6F31"/>
    <w:rsid w:val="002A6F66"/>
    <w:rsid w:val="002A6F6D"/>
    <w:rsid w:val="002A7028"/>
    <w:rsid w:val="002A70A0"/>
    <w:rsid w:val="002A73EE"/>
    <w:rsid w:val="002A74F6"/>
    <w:rsid w:val="002A7549"/>
    <w:rsid w:val="002A7A3C"/>
    <w:rsid w:val="002A7A98"/>
    <w:rsid w:val="002A7C23"/>
    <w:rsid w:val="002A7CAF"/>
    <w:rsid w:val="002A7D61"/>
    <w:rsid w:val="002A7D64"/>
    <w:rsid w:val="002A7DBB"/>
    <w:rsid w:val="002A7E12"/>
    <w:rsid w:val="002A7EE4"/>
    <w:rsid w:val="002B0223"/>
    <w:rsid w:val="002B0364"/>
    <w:rsid w:val="002B04A0"/>
    <w:rsid w:val="002B052D"/>
    <w:rsid w:val="002B0541"/>
    <w:rsid w:val="002B05B5"/>
    <w:rsid w:val="002B067E"/>
    <w:rsid w:val="002B097D"/>
    <w:rsid w:val="002B0A71"/>
    <w:rsid w:val="002B0B1E"/>
    <w:rsid w:val="002B0DEE"/>
    <w:rsid w:val="002B0E28"/>
    <w:rsid w:val="002B0EBB"/>
    <w:rsid w:val="002B0EDA"/>
    <w:rsid w:val="002B0F50"/>
    <w:rsid w:val="002B12E4"/>
    <w:rsid w:val="002B14D0"/>
    <w:rsid w:val="002B14E2"/>
    <w:rsid w:val="002B166A"/>
    <w:rsid w:val="002B1870"/>
    <w:rsid w:val="002B1935"/>
    <w:rsid w:val="002B1963"/>
    <w:rsid w:val="002B1A9E"/>
    <w:rsid w:val="002B1CEB"/>
    <w:rsid w:val="002B1CF7"/>
    <w:rsid w:val="002B1F3C"/>
    <w:rsid w:val="002B1F66"/>
    <w:rsid w:val="002B2146"/>
    <w:rsid w:val="002B22E9"/>
    <w:rsid w:val="002B24CE"/>
    <w:rsid w:val="002B273B"/>
    <w:rsid w:val="002B2B2C"/>
    <w:rsid w:val="002B2BF5"/>
    <w:rsid w:val="002B2C84"/>
    <w:rsid w:val="002B2DE1"/>
    <w:rsid w:val="002B2E73"/>
    <w:rsid w:val="002B2F4A"/>
    <w:rsid w:val="002B2F8A"/>
    <w:rsid w:val="002B324F"/>
    <w:rsid w:val="002B3290"/>
    <w:rsid w:val="002B32EC"/>
    <w:rsid w:val="002B352E"/>
    <w:rsid w:val="002B359D"/>
    <w:rsid w:val="002B365B"/>
    <w:rsid w:val="002B3789"/>
    <w:rsid w:val="002B3997"/>
    <w:rsid w:val="002B3B7F"/>
    <w:rsid w:val="002B3D93"/>
    <w:rsid w:val="002B40BE"/>
    <w:rsid w:val="002B43FE"/>
    <w:rsid w:val="002B45BB"/>
    <w:rsid w:val="002B4628"/>
    <w:rsid w:val="002B46C6"/>
    <w:rsid w:val="002B46DA"/>
    <w:rsid w:val="002B47E8"/>
    <w:rsid w:val="002B47F1"/>
    <w:rsid w:val="002B4948"/>
    <w:rsid w:val="002B49EE"/>
    <w:rsid w:val="002B4BA8"/>
    <w:rsid w:val="002B4D09"/>
    <w:rsid w:val="002B4FB5"/>
    <w:rsid w:val="002B50A2"/>
    <w:rsid w:val="002B551D"/>
    <w:rsid w:val="002B5658"/>
    <w:rsid w:val="002B5659"/>
    <w:rsid w:val="002B588C"/>
    <w:rsid w:val="002B5935"/>
    <w:rsid w:val="002B594E"/>
    <w:rsid w:val="002B597E"/>
    <w:rsid w:val="002B5A1E"/>
    <w:rsid w:val="002B5A51"/>
    <w:rsid w:val="002B5A9C"/>
    <w:rsid w:val="002B5EA3"/>
    <w:rsid w:val="002B5F97"/>
    <w:rsid w:val="002B5FAB"/>
    <w:rsid w:val="002B6399"/>
    <w:rsid w:val="002B65B0"/>
    <w:rsid w:val="002B6657"/>
    <w:rsid w:val="002B67C0"/>
    <w:rsid w:val="002B6844"/>
    <w:rsid w:val="002B68E0"/>
    <w:rsid w:val="002B6A3A"/>
    <w:rsid w:val="002B6A64"/>
    <w:rsid w:val="002B6B62"/>
    <w:rsid w:val="002B6FA8"/>
    <w:rsid w:val="002B7039"/>
    <w:rsid w:val="002B7167"/>
    <w:rsid w:val="002B717D"/>
    <w:rsid w:val="002B730B"/>
    <w:rsid w:val="002B78A0"/>
    <w:rsid w:val="002B7DDA"/>
    <w:rsid w:val="002B7E23"/>
    <w:rsid w:val="002C0086"/>
    <w:rsid w:val="002C009F"/>
    <w:rsid w:val="002C01F6"/>
    <w:rsid w:val="002C04AC"/>
    <w:rsid w:val="002C0520"/>
    <w:rsid w:val="002C05A1"/>
    <w:rsid w:val="002C07A6"/>
    <w:rsid w:val="002C08E6"/>
    <w:rsid w:val="002C08F9"/>
    <w:rsid w:val="002C0B10"/>
    <w:rsid w:val="002C0D92"/>
    <w:rsid w:val="002C0F62"/>
    <w:rsid w:val="002C10E5"/>
    <w:rsid w:val="002C1502"/>
    <w:rsid w:val="002C17DF"/>
    <w:rsid w:val="002C1803"/>
    <w:rsid w:val="002C18C2"/>
    <w:rsid w:val="002C19E2"/>
    <w:rsid w:val="002C1A56"/>
    <w:rsid w:val="002C1B9B"/>
    <w:rsid w:val="002C1E66"/>
    <w:rsid w:val="002C1FB1"/>
    <w:rsid w:val="002C2067"/>
    <w:rsid w:val="002C2183"/>
    <w:rsid w:val="002C22CE"/>
    <w:rsid w:val="002C23A5"/>
    <w:rsid w:val="002C24C9"/>
    <w:rsid w:val="002C255C"/>
    <w:rsid w:val="002C26F1"/>
    <w:rsid w:val="002C27A0"/>
    <w:rsid w:val="002C28D9"/>
    <w:rsid w:val="002C2AA5"/>
    <w:rsid w:val="002C2F10"/>
    <w:rsid w:val="002C2F9F"/>
    <w:rsid w:val="002C2FBA"/>
    <w:rsid w:val="002C33F7"/>
    <w:rsid w:val="002C343E"/>
    <w:rsid w:val="002C35B7"/>
    <w:rsid w:val="002C3635"/>
    <w:rsid w:val="002C3677"/>
    <w:rsid w:val="002C3749"/>
    <w:rsid w:val="002C37A0"/>
    <w:rsid w:val="002C3B73"/>
    <w:rsid w:val="002C3D6B"/>
    <w:rsid w:val="002C3E1C"/>
    <w:rsid w:val="002C40CB"/>
    <w:rsid w:val="002C414B"/>
    <w:rsid w:val="002C4467"/>
    <w:rsid w:val="002C45C8"/>
    <w:rsid w:val="002C45F9"/>
    <w:rsid w:val="002C4628"/>
    <w:rsid w:val="002C467C"/>
    <w:rsid w:val="002C47E6"/>
    <w:rsid w:val="002C49C0"/>
    <w:rsid w:val="002C4B1F"/>
    <w:rsid w:val="002C4C59"/>
    <w:rsid w:val="002C4CAE"/>
    <w:rsid w:val="002C4D24"/>
    <w:rsid w:val="002C4E0E"/>
    <w:rsid w:val="002C5188"/>
    <w:rsid w:val="002C528E"/>
    <w:rsid w:val="002C537D"/>
    <w:rsid w:val="002C55BF"/>
    <w:rsid w:val="002C5809"/>
    <w:rsid w:val="002C594D"/>
    <w:rsid w:val="002C596A"/>
    <w:rsid w:val="002C5BCF"/>
    <w:rsid w:val="002C5DC2"/>
    <w:rsid w:val="002C5ED2"/>
    <w:rsid w:val="002C60D1"/>
    <w:rsid w:val="002C6124"/>
    <w:rsid w:val="002C620A"/>
    <w:rsid w:val="002C66E3"/>
    <w:rsid w:val="002C66E9"/>
    <w:rsid w:val="002C67FE"/>
    <w:rsid w:val="002C680C"/>
    <w:rsid w:val="002C6936"/>
    <w:rsid w:val="002C6A74"/>
    <w:rsid w:val="002C6A84"/>
    <w:rsid w:val="002C6BB4"/>
    <w:rsid w:val="002C6CA7"/>
    <w:rsid w:val="002C6DF9"/>
    <w:rsid w:val="002C6E15"/>
    <w:rsid w:val="002C71FC"/>
    <w:rsid w:val="002C722A"/>
    <w:rsid w:val="002C7260"/>
    <w:rsid w:val="002C74A4"/>
    <w:rsid w:val="002C7622"/>
    <w:rsid w:val="002C78ED"/>
    <w:rsid w:val="002C7A25"/>
    <w:rsid w:val="002C7AAE"/>
    <w:rsid w:val="002C7AED"/>
    <w:rsid w:val="002C7BBC"/>
    <w:rsid w:val="002C7BEC"/>
    <w:rsid w:val="002C7DB7"/>
    <w:rsid w:val="002C7FBD"/>
    <w:rsid w:val="002C7FC2"/>
    <w:rsid w:val="002D0290"/>
    <w:rsid w:val="002D04DB"/>
    <w:rsid w:val="002D0717"/>
    <w:rsid w:val="002D0A9F"/>
    <w:rsid w:val="002D0F8B"/>
    <w:rsid w:val="002D103E"/>
    <w:rsid w:val="002D11E5"/>
    <w:rsid w:val="002D1223"/>
    <w:rsid w:val="002D1234"/>
    <w:rsid w:val="002D1295"/>
    <w:rsid w:val="002D1354"/>
    <w:rsid w:val="002D1634"/>
    <w:rsid w:val="002D1790"/>
    <w:rsid w:val="002D1832"/>
    <w:rsid w:val="002D18C2"/>
    <w:rsid w:val="002D1B3B"/>
    <w:rsid w:val="002D1BA8"/>
    <w:rsid w:val="002D1D6C"/>
    <w:rsid w:val="002D1E49"/>
    <w:rsid w:val="002D20F2"/>
    <w:rsid w:val="002D21F4"/>
    <w:rsid w:val="002D2202"/>
    <w:rsid w:val="002D22C3"/>
    <w:rsid w:val="002D2449"/>
    <w:rsid w:val="002D247B"/>
    <w:rsid w:val="002D26D8"/>
    <w:rsid w:val="002D28C5"/>
    <w:rsid w:val="002D28E0"/>
    <w:rsid w:val="002D2A0D"/>
    <w:rsid w:val="002D2A74"/>
    <w:rsid w:val="002D2F79"/>
    <w:rsid w:val="002D335B"/>
    <w:rsid w:val="002D3400"/>
    <w:rsid w:val="002D349C"/>
    <w:rsid w:val="002D35E1"/>
    <w:rsid w:val="002D3664"/>
    <w:rsid w:val="002D3710"/>
    <w:rsid w:val="002D3C48"/>
    <w:rsid w:val="002D3E3B"/>
    <w:rsid w:val="002D400D"/>
    <w:rsid w:val="002D40F5"/>
    <w:rsid w:val="002D4222"/>
    <w:rsid w:val="002D4438"/>
    <w:rsid w:val="002D473B"/>
    <w:rsid w:val="002D4838"/>
    <w:rsid w:val="002D4994"/>
    <w:rsid w:val="002D49AB"/>
    <w:rsid w:val="002D4A54"/>
    <w:rsid w:val="002D4B58"/>
    <w:rsid w:val="002D4BDF"/>
    <w:rsid w:val="002D4E3D"/>
    <w:rsid w:val="002D4E81"/>
    <w:rsid w:val="002D4EAC"/>
    <w:rsid w:val="002D4F1E"/>
    <w:rsid w:val="002D4F8D"/>
    <w:rsid w:val="002D504F"/>
    <w:rsid w:val="002D5067"/>
    <w:rsid w:val="002D50A2"/>
    <w:rsid w:val="002D5214"/>
    <w:rsid w:val="002D53A9"/>
    <w:rsid w:val="002D54B9"/>
    <w:rsid w:val="002D5686"/>
    <w:rsid w:val="002D57AA"/>
    <w:rsid w:val="002D595C"/>
    <w:rsid w:val="002D5A0D"/>
    <w:rsid w:val="002D5AFE"/>
    <w:rsid w:val="002D5FF8"/>
    <w:rsid w:val="002D6021"/>
    <w:rsid w:val="002D614D"/>
    <w:rsid w:val="002D6344"/>
    <w:rsid w:val="002D6694"/>
    <w:rsid w:val="002D67C8"/>
    <w:rsid w:val="002D693A"/>
    <w:rsid w:val="002D6AEF"/>
    <w:rsid w:val="002D6B5C"/>
    <w:rsid w:val="002D6C5C"/>
    <w:rsid w:val="002D6CB8"/>
    <w:rsid w:val="002D6EEF"/>
    <w:rsid w:val="002D6FE8"/>
    <w:rsid w:val="002D6FF0"/>
    <w:rsid w:val="002D71E5"/>
    <w:rsid w:val="002D71F1"/>
    <w:rsid w:val="002D7347"/>
    <w:rsid w:val="002D76F7"/>
    <w:rsid w:val="002D772C"/>
    <w:rsid w:val="002D7771"/>
    <w:rsid w:val="002D77B1"/>
    <w:rsid w:val="002D78A1"/>
    <w:rsid w:val="002D7A45"/>
    <w:rsid w:val="002D7CEE"/>
    <w:rsid w:val="002D7D82"/>
    <w:rsid w:val="002D7DCB"/>
    <w:rsid w:val="002D7E95"/>
    <w:rsid w:val="002E006C"/>
    <w:rsid w:val="002E02A2"/>
    <w:rsid w:val="002E030D"/>
    <w:rsid w:val="002E0562"/>
    <w:rsid w:val="002E071E"/>
    <w:rsid w:val="002E095D"/>
    <w:rsid w:val="002E0983"/>
    <w:rsid w:val="002E0AAF"/>
    <w:rsid w:val="002E0B70"/>
    <w:rsid w:val="002E0BB1"/>
    <w:rsid w:val="002E0C1A"/>
    <w:rsid w:val="002E0C5D"/>
    <w:rsid w:val="002E0FF4"/>
    <w:rsid w:val="002E128B"/>
    <w:rsid w:val="002E1690"/>
    <w:rsid w:val="002E169E"/>
    <w:rsid w:val="002E172D"/>
    <w:rsid w:val="002E1783"/>
    <w:rsid w:val="002E17ED"/>
    <w:rsid w:val="002E1820"/>
    <w:rsid w:val="002E19B5"/>
    <w:rsid w:val="002E1AB4"/>
    <w:rsid w:val="002E1D48"/>
    <w:rsid w:val="002E1D59"/>
    <w:rsid w:val="002E1EC8"/>
    <w:rsid w:val="002E204B"/>
    <w:rsid w:val="002E228E"/>
    <w:rsid w:val="002E23D3"/>
    <w:rsid w:val="002E247B"/>
    <w:rsid w:val="002E24C5"/>
    <w:rsid w:val="002E2506"/>
    <w:rsid w:val="002E25B3"/>
    <w:rsid w:val="002E2915"/>
    <w:rsid w:val="002E2A8D"/>
    <w:rsid w:val="002E2ABB"/>
    <w:rsid w:val="002E2B7E"/>
    <w:rsid w:val="002E2D77"/>
    <w:rsid w:val="002E2F71"/>
    <w:rsid w:val="002E32A8"/>
    <w:rsid w:val="002E32BF"/>
    <w:rsid w:val="002E3378"/>
    <w:rsid w:val="002E35AA"/>
    <w:rsid w:val="002E3A3A"/>
    <w:rsid w:val="002E3B0C"/>
    <w:rsid w:val="002E3CB9"/>
    <w:rsid w:val="002E3D13"/>
    <w:rsid w:val="002E3D4D"/>
    <w:rsid w:val="002E3EBB"/>
    <w:rsid w:val="002E3F2A"/>
    <w:rsid w:val="002E3F84"/>
    <w:rsid w:val="002E404C"/>
    <w:rsid w:val="002E4436"/>
    <w:rsid w:val="002E468A"/>
    <w:rsid w:val="002E4769"/>
    <w:rsid w:val="002E4823"/>
    <w:rsid w:val="002E483F"/>
    <w:rsid w:val="002E4948"/>
    <w:rsid w:val="002E49A2"/>
    <w:rsid w:val="002E4A44"/>
    <w:rsid w:val="002E4D24"/>
    <w:rsid w:val="002E50B2"/>
    <w:rsid w:val="002E51A0"/>
    <w:rsid w:val="002E55D0"/>
    <w:rsid w:val="002E56AE"/>
    <w:rsid w:val="002E5720"/>
    <w:rsid w:val="002E577F"/>
    <w:rsid w:val="002E5821"/>
    <w:rsid w:val="002E58F6"/>
    <w:rsid w:val="002E59E4"/>
    <w:rsid w:val="002E5A46"/>
    <w:rsid w:val="002E5A95"/>
    <w:rsid w:val="002E5B0F"/>
    <w:rsid w:val="002E5BAE"/>
    <w:rsid w:val="002E5C91"/>
    <w:rsid w:val="002E5EE3"/>
    <w:rsid w:val="002E5F54"/>
    <w:rsid w:val="002E5F65"/>
    <w:rsid w:val="002E62D0"/>
    <w:rsid w:val="002E64CC"/>
    <w:rsid w:val="002E6627"/>
    <w:rsid w:val="002E6709"/>
    <w:rsid w:val="002E695D"/>
    <w:rsid w:val="002E69DB"/>
    <w:rsid w:val="002E6A21"/>
    <w:rsid w:val="002E6CD0"/>
    <w:rsid w:val="002E6EB2"/>
    <w:rsid w:val="002E70B4"/>
    <w:rsid w:val="002E70D4"/>
    <w:rsid w:val="002E7277"/>
    <w:rsid w:val="002E727D"/>
    <w:rsid w:val="002E743A"/>
    <w:rsid w:val="002E75B3"/>
    <w:rsid w:val="002E784D"/>
    <w:rsid w:val="002E78F8"/>
    <w:rsid w:val="002E7B01"/>
    <w:rsid w:val="002E7C28"/>
    <w:rsid w:val="002E7C9F"/>
    <w:rsid w:val="002E7E8A"/>
    <w:rsid w:val="002E7F93"/>
    <w:rsid w:val="002E7FE5"/>
    <w:rsid w:val="002F0181"/>
    <w:rsid w:val="002F022C"/>
    <w:rsid w:val="002F022E"/>
    <w:rsid w:val="002F0254"/>
    <w:rsid w:val="002F03E1"/>
    <w:rsid w:val="002F06F1"/>
    <w:rsid w:val="002F0788"/>
    <w:rsid w:val="002F07DE"/>
    <w:rsid w:val="002F0B34"/>
    <w:rsid w:val="002F0BA6"/>
    <w:rsid w:val="002F0BE4"/>
    <w:rsid w:val="002F0D74"/>
    <w:rsid w:val="002F1026"/>
    <w:rsid w:val="002F1032"/>
    <w:rsid w:val="002F10D9"/>
    <w:rsid w:val="002F142E"/>
    <w:rsid w:val="002F143A"/>
    <w:rsid w:val="002F144E"/>
    <w:rsid w:val="002F146A"/>
    <w:rsid w:val="002F14E0"/>
    <w:rsid w:val="002F15EA"/>
    <w:rsid w:val="002F174A"/>
    <w:rsid w:val="002F1781"/>
    <w:rsid w:val="002F1A78"/>
    <w:rsid w:val="002F1A94"/>
    <w:rsid w:val="002F1AFD"/>
    <w:rsid w:val="002F1BF7"/>
    <w:rsid w:val="002F1C58"/>
    <w:rsid w:val="002F1CED"/>
    <w:rsid w:val="002F20A9"/>
    <w:rsid w:val="002F20B2"/>
    <w:rsid w:val="002F210C"/>
    <w:rsid w:val="002F2199"/>
    <w:rsid w:val="002F2296"/>
    <w:rsid w:val="002F22DD"/>
    <w:rsid w:val="002F24E4"/>
    <w:rsid w:val="002F2531"/>
    <w:rsid w:val="002F27BE"/>
    <w:rsid w:val="002F2C9E"/>
    <w:rsid w:val="002F2E2A"/>
    <w:rsid w:val="002F3253"/>
    <w:rsid w:val="002F32C9"/>
    <w:rsid w:val="002F34D9"/>
    <w:rsid w:val="002F36EC"/>
    <w:rsid w:val="002F3885"/>
    <w:rsid w:val="002F38EF"/>
    <w:rsid w:val="002F3B91"/>
    <w:rsid w:val="002F3D15"/>
    <w:rsid w:val="002F3D8B"/>
    <w:rsid w:val="002F3FCC"/>
    <w:rsid w:val="002F4299"/>
    <w:rsid w:val="002F4725"/>
    <w:rsid w:val="002F4741"/>
    <w:rsid w:val="002F481B"/>
    <w:rsid w:val="002F48AC"/>
    <w:rsid w:val="002F491A"/>
    <w:rsid w:val="002F4A03"/>
    <w:rsid w:val="002F4A0C"/>
    <w:rsid w:val="002F4F05"/>
    <w:rsid w:val="002F4F7F"/>
    <w:rsid w:val="002F5003"/>
    <w:rsid w:val="002F50A7"/>
    <w:rsid w:val="002F5159"/>
    <w:rsid w:val="002F52CF"/>
    <w:rsid w:val="002F52DA"/>
    <w:rsid w:val="002F552A"/>
    <w:rsid w:val="002F5541"/>
    <w:rsid w:val="002F56F3"/>
    <w:rsid w:val="002F591A"/>
    <w:rsid w:val="002F5D4C"/>
    <w:rsid w:val="002F5D61"/>
    <w:rsid w:val="002F5FBB"/>
    <w:rsid w:val="002F60ED"/>
    <w:rsid w:val="002F6428"/>
    <w:rsid w:val="002F6484"/>
    <w:rsid w:val="002F64BF"/>
    <w:rsid w:val="002F6500"/>
    <w:rsid w:val="002F651F"/>
    <w:rsid w:val="002F6538"/>
    <w:rsid w:val="002F6600"/>
    <w:rsid w:val="002F66BD"/>
    <w:rsid w:val="002F6AA6"/>
    <w:rsid w:val="002F6F4D"/>
    <w:rsid w:val="002F6FCE"/>
    <w:rsid w:val="002F712F"/>
    <w:rsid w:val="002F7406"/>
    <w:rsid w:val="002F74DF"/>
    <w:rsid w:val="002F7893"/>
    <w:rsid w:val="002F79DA"/>
    <w:rsid w:val="002F7AAD"/>
    <w:rsid w:val="002F7C98"/>
    <w:rsid w:val="002F7D20"/>
    <w:rsid w:val="002F7E76"/>
    <w:rsid w:val="00300070"/>
    <w:rsid w:val="003000FA"/>
    <w:rsid w:val="00300132"/>
    <w:rsid w:val="00300152"/>
    <w:rsid w:val="00300915"/>
    <w:rsid w:val="00300984"/>
    <w:rsid w:val="00300B44"/>
    <w:rsid w:val="00300BD4"/>
    <w:rsid w:val="00300D16"/>
    <w:rsid w:val="00300E9C"/>
    <w:rsid w:val="00300F84"/>
    <w:rsid w:val="003010E5"/>
    <w:rsid w:val="003012C0"/>
    <w:rsid w:val="003012D0"/>
    <w:rsid w:val="00301487"/>
    <w:rsid w:val="00301629"/>
    <w:rsid w:val="00301714"/>
    <w:rsid w:val="00301919"/>
    <w:rsid w:val="00301989"/>
    <w:rsid w:val="003019B6"/>
    <w:rsid w:val="00301C72"/>
    <w:rsid w:val="00301D3B"/>
    <w:rsid w:val="003020EA"/>
    <w:rsid w:val="00302172"/>
    <w:rsid w:val="00302259"/>
    <w:rsid w:val="003022F7"/>
    <w:rsid w:val="003022FA"/>
    <w:rsid w:val="00302375"/>
    <w:rsid w:val="00302609"/>
    <w:rsid w:val="003026FE"/>
    <w:rsid w:val="00302D00"/>
    <w:rsid w:val="00302D80"/>
    <w:rsid w:val="00302DB4"/>
    <w:rsid w:val="00302E74"/>
    <w:rsid w:val="00302EAE"/>
    <w:rsid w:val="00302F17"/>
    <w:rsid w:val="00302F46"/>
    <w:rsid w:val="00303160"/>
    <w:rsid w:val="003034BA"/>
    <w:rsid w:val="003034C5"/>
    <w:rsid w:val="003035EF"/>
    <w:rsid w:val="0030369A"/>
    <w:rsid w:val="003036A3"/>
    <w:rsid w:val="003039E4"/>
    <w:rsid w:val="003039E9"/>
    <w:rsid w:val="00303A39"/>
    <w:rsid w:val="00303C77"/>
    <w:rsid w:val="00303CCB"/>
    <w:rsid w:val="0030416A"/>
    <w:rsid w:val="003041B2"/>
    <w:rsid w:val="00304366"/>
    <w:rsid w:val="00304620"/>
    <w:rsid w:val="00304664"/>
    <w:rsid w:val="00304721"/>
    <w:rsid w:val="0030478A"/>
    <w:rsid w:val="00304A35"/>
    <w:rsid w:val="00304DCE"/>
    <w:rsid w:val="003050C1"/>
    <w:rsid w:val="003050CB"/>
    <w:rsid w:val="003051E1"/>
    <w:rsid w:val="00305206"/>
    <w:rsid w:val="003057B3"/>
    <w:rsid w:val="0030584C"/>
    <w:rsid w:val="003059E4"/>
    <w:rsid w:val="00305AB6"/>
    <w:rsid w:val="00305AEA"/>
    <w:rsid w:val="00305C15"/>
    <w:rsid w:val="00305C25"/>
    <w:rsid w:val="00305CB6"/>
    <w:rsid w:val="00305CE7"/>
    <w:rsid w:val="00305E92"/>
    <w:rsid w:val="00306151"/>
    <w:rsid w:val="00306367"/>
    <w:rsid w:val="00306373"/>
    <w:rsid w:val="003063A9"/>
    <w:rsid w:val="0030641A"/>
    <w:rsid w:val="003064A5"/>
    <w:rsid w:val="00306592"/>
    <w:rsid w:val="003065C5"/>
    <w:rsid w:val="00306800"/>
    <w:rsid w:val="00306872"/>
    <w:rsid w:val="00306AEA"/>
    <w:rsid w:val="00306C48"/>
    <w:rsid w:val="00306D2F"/>
    <w:rsid w:val="00306D39"/>
    <w:rsid w:val="00306DD7"/>
    <w:rsid w:val="003070D3"/>
    <w:rsid w:val="003071C5"/>
    <w:rsid w:val="003071F0"/>
    <w:rsid w:val="003075A9"/>
    <w:rsid w:val="003075E5"/>
    <w:rsid w:val="00307676"/>
    <w:rsid w:val="00307994"/>
    <w:rsid w:val="003079E9"/>
    <w:rsid w:val="00307BC1"/>
    <w:rsid w:val="00307C7E"/>
    <w:rsid w:val="00307D6B"/>
    <w:rsid w:val="00307D9A"/>
    <w:rsid w:val="00307E6B"/>
    <w:rsid w:val="003100BB"/>
    <w:rsid w:val="0031013C"/>
    <w:rsid w:val="00310221"/>
    <w:rsid w:val="003102FB"/>
    <w:rsid w:val="00310412"/>
    <w:rsid w:val="00310607"/>
    <w:rsid w:val="00310775"/>
    <w:rsid w:val="003107EC"/>
    <w:rsid w:val="00310823"/>
    <w:rsid w:val="00310885"/>
    <w:rsid w:val="00310914"/>
    <w:rsid w:val="00310B64"/>
    <w:rsid w:val="003112B4"/>
    <w:rsid w:val="0031134F"/>
    <w:rsid w:val="00311365"/>
    <w:rsid w:val="0031164C"/>
    <w:rsid w:val="00311B15"/>
    <w:rsid w:val="00311B1C"/>
    <w:rsid w:val="00311C5A"/>
    <w:rsid w:val="00311F70"/>
    <w:rsid w:val="00312091"/>
    <w:rsid w:val="003121BD"/>
    <w:rsid w:val="003121CA"/>
    <w:rsid w:val="00312334"/>
    <w:rsid w:val="003127C1"/>
    <w:rsid w:val="0031296E"/>
    <w:rsid w:val="00312A68"/>
    <w:rsid w:val="00312C4C"/>
    <w:rsid w:val="00312C58"/>
    <w:rsid w:val="00312E66"/>
    <w:rsid w:val="00312F39"/>
    <w:rsid w:val="00312FE7"/>
    <w:rsid w:val="00313085"/>
    <w:rsid w:val="003130EF"/>
    <w:rsid w:val="0031324B"/>
    <w:rsid w:val="003132FB"/>
    <w:rsid w:val="00313BAF"/>
    <w:rsid w:val="00313CB1"/>
    <w:rsid w:val="00313D7F"/>
    <w:rsid w:val="00313F06"/>
    <w:rsid w:val="00313F10"/>
    <w:rsid w:val="00314258"/>
    <w:rsid w:val="003142FE"/>
    <w:rsid w:val="00314436"/>
    <w:rsid w:val="00314443"/>
    <w:rsid w:val="003147B7"/>
    <w:rsid w:val="00314819"/>
    <w:rsid w:val="003148ED"/>
    <w:rsid w:val="003148F8"/>
    <w:rsid w:val="003149D6"/>
    <w:rsid w:val="00314B56"/>
    <w:rsid w:val="00314D3D"/>
    <w:rsid w:val="00314D8A"/>
    <w:rsid w:val="00314D9B"/>
    <w:rsid w:val="00314F16"/>
    <w:rsid w:val="00314F45"/>
    <w:rsid w:val="00314FD9"/>
    <w:rsid w:val="003151C9"/>
    <w:rsid w:val="00315293"/>
    <w:rsid w:val="003153AD"/>
    <w:rsid w:val="003154FE"/>
    <w:rsid w:val="0031556A"/>
    <w:rsid w:val="00315628"/>
    <w:rsid w:val="00315699"/>
    <w:rsid w:val="003158A9"/>
    <w:rsid w:val="00315CF1"/>
    <w:rsid w:val="00315D61"/>
    <w:rsid w:val="00315DEB"/>
    <w:rsid w:val="00315E40"/>
    <w:rsid w:val="00315F0A"/>
    <w:rsid w:val="00315F0E"/>
    <w:rsid w:val="0031613F"/>
    <w:rsid w:val="0031618A"/>
    <w:rsid w:val="003161BE"/>
    <w:rsid w:val="0031635E"/>
    <w:rsid w:val="00316424"/>
    <w:rsid w:val="00316514"/>
    <w:rsid w:val="0031653A"/>
    <w:rsid w:val="00316BD9"/>
    <w:rsid w:val="00316BDD"/>
    <w:rsid w:val="00316CA3"/>
    <w:rsid w:val="00316CD5"/>
    <w:rsid w:val="00316CE9"/>
    <w:rsid w:val="00316E7F"/>
    <w:rsid w:val="00317310"/>
    <w:rsid w:val="00317324"/>
    <w:rsid w:val="00317337"/>
    <w:rsid w:val="0031739A"/>
    <w:rsid w:val="003178B6"/>
    <w:rsid w:val="00317B6F"/>
    <w:rsid w:val="00317DD4"/>
    <w:rsid w:val="00317E4F"/>
    <w:rsid w:val="00317E51"/>
    <w:rsid w:val="00317F84"/>
    <w:rsid w:val="0032010D"/>
    <w:rsid w:val="003202C4"/>
    <w:rsid w:val="003204D5"/>
    <w:rsid w:val="003208F0"/>
    <w:rsid w:val="00320C57"/>
    <w:rsid w:val="00320C64"/>
    <w:rsid w:val="00320C86"/>
    <w:rsid w:val="00320DA6"/>
    <w:rsid w:val="00320E45"/>
    <w:rsid w:val="00320F28"/>
    <w:rsid w:val="00320FD9"/>
    <w:rsid w:val="00321210"/>
    <w:rsid w:val="003212D2"/>
    <w:rsid w:val="003217F0"/>
    <w:rsid w:val="003218C4"/>
    <w:rsid w:val="00321947"/>
    <w:rsid w:val="00321BF8"/>
    <w:rsid w:val="00321D61"/>
    <w:rsid w:val="00322012"/>
    <w:rsid w:val="0032201B"/>
    <w:rsid w:val="003224DF"/>
    <w:rsid w:val="003227A8"/>
    <w:rsid w:val="00322852"/>
    <w:rsid w:val="003228DA"/>
    <w:rsid w:val="0032293E"/>
    <w:rsid w:val="00322B29"/>
    <w:rsid w:val="0032343D"/>
    <w:rsid w:val="00323640"/>
    <w:rsid w:val="00323ABE"/>
    <w:rsid w:val="00323B02"/>
    <w:rsid w:val="00323B65"/>
    <w:rsid w:val="00323C36"/>
    <w:rsid w:val="00323C79"/>
    <w:rsid w:val="00323D45"/>
    <w:rsid w:val="00323F30"/>
    <w:rsid w:val="00323F8F"/>
    <w:rsid w:val="003240D6"/>
    <w:rsid w:val="0032417D"/>
    <w:rsid w:val="00324273"/>
    <w:rsid w:val="003242D2"/>
    <w:rsid w:val="00324452"/>
    <w:rsid w:val="003245D4"/>
    <w:rsid w:val="00324AA3"/>
    <w:rsid w:val="00324AD2"/>
    <w:rsid w:val="00324ADE"/>
    <w:rsid w:val="00324CEF"/>
    <w:rsid w:val="00324E33"/>
    <w:rsid w:val="00324EDA"/>
    <w:rsid w:val="00325084"/>
    <w:rsid w:val="003250B6"/>
    <w:rsid w:val="003250DC"/>
    <w:rsid w:val="00325110"/>
    <w:rsid w:val="00325121"/>
    <w:rsid w:val="003253A5"/>
    <w:rsid w:val="003253E3"/>
    <w:rsid w:val="003255BC"/>
    <w:rsid w:val="003255FC"/>
    <w:rsid w:val="003258B1"/>
    <w:rsid w:val="00325CF6"/>
    <w:rsid w:val="00325D63"/>
    <w:rsid w:val="0032603B"/>
    <w:rsid w:val="00326092"/>
    <w:rsid w:val="0032618A"/>
    <w:rsid w:val="00326279"/>
    <w:rsid w:val="003262A0"/>
    <w:rsid w:val="003263AA"/>
    <w:rsid w:val="003264D5"/>
    <w:rsid w:val="003265CC"/>
    <w:rsid w:val="003266E0"/>
    <w:rsid w:val="00326887"/>
    <w:rsid w:val="003268E9"/>
    <w:rsid w:val="00326A46"/>
    <w:rsid w:val="00326C07"/>
    <w:rsid w:val="00326C59"/>
    <w:rsid w:val="00326C64"/>
    <w:rsid w:val="00326C78"/>
    <w:rsid w:val="00326CFB"/>
    <w:rsid w:val="00326D2C"/>
    <w:rsid w:val="00326F0F"/>
    <w:rsid w:val="003273F7"/>
    <w:rsid w:val="003274D3"/>
    <w:rsid w:val="003274DA"/>
    <w:rsid w:val="00327514"/>
    <w:rsid w:val="003275DE"/>
    <w:rsid w:val="00327680"/>
    <w:rsid w:val="00327839"/>
    <w:rsid w:val="003278AB"/>
    <w:rsid w:val="00327A36"/>
    <w:rsid w:val="00327A95"/>
    <w:rsid w:val="00327B97"/>
    <w:rsid w:val="00327C16"/>
    <w:rsid w:val="00327CD3"/>
    <w:rsid w:val="00327CF0"/>
    <w:rsid w:val="0033038C"/>
    <w:rsid w:val="003303DF"/>
    <w:rsid w:val="003305A0"/>
    <w:rsid w:val="00330858"/>
    <w:rsid w:val="00330918"/>
    <w:rsid w:val="00330B31"/>
    <w:rsid w:val="00330EEF"/>
    <w:rsid w:val="003311EF"/>
    <w:rsid w:val="00331491"/>
    <w:rsid w:val="003315A6"/>
    <w:rsid w:val="0033173D"/>
    <w:rsid w:val="00331AD1"/>
    <w:rsid w:val="00331B5A"/>
    <w:rsid w:val="00331BBF"/>
    <w:rsid w:val="00331E2F"/>
    <w:rsid w:val="00331F94"/>
    <w:rsid w:val="0033204B"/>
    <w:rsid w:val="003320F8"/>
    <w:rsid w:val="003322B9"/>
    <w:rsid w:val="00332493"/>
    <w:rsid w:val="00332554"/>
    <w:rsid w:val="0033259A"/>
    <w:rsid w:val="0033265B"/>
    <w:rsid w:val="003326E3"/>
    <w:rsid w:val="0033275A"/>
    <w:rsid w:val="003327D4"/>
    <w:rsid w:val="00332D83"/>
    <w:rsid w:val="00332D9F"/>
    <w:rsid w:val="00332EAA"/>
    <w:rsid w:val="00332EBD"/>
    <w:rsid w:val="00332EBE"/>
    <w:rsid w:val="00332F6F"/>
    <w:rsid w:val="0033323C"/>
    <w:rsid w:val="00333251"/>
    <w:rsid w:val="003332F0"/>
    <w:rsid w:val="0033346A"/>
    <w:rsid w:val="00333528"/>
    <w:rsid w:val="0033354F"/>
    <w:rsid w:val="003335F7"/>
    <w:rsid w:val="003336A6"/>
    <w:rsid w:val="00333876"/>
    <w:rsid w:val="00333891"/>
    <w:rsid w:val="003339E4"/>
    <w:rsid w:val="003339EB"/>
    <w:rsid w:val="003339FA"/>
    <w:rsid w:val="00333B1A"/>
    <w:rsid w:val="00333BDA"/>
    <w:rsid w:val="00333D01"/>
    <w:rsid w:val="00333E58"/>
    <w:rsid w:val="00333E65"/>
    <w:rsid w:val="00333FF4"/>
    <w:rsid w:val="0033405A"/>
    <w:rsid w:val="003340FB"/>
    <w:rsid w:val="00334493"/>
    <w:rsid w:val="00334509"/>
    <w:rsid w:val="003345FA"/>
    <w:rsid w:val="0033468C"/>
    <w:rsid w:val="00334693"/>
    <w:rsid w:val="00334749"/>
    <w:rsid w:val="003347F3"/>
    <w:rsid w:val="003348A6"/>
    <w:rsid w:val="00334904"/>
    <w:rsid w:val="00334AC2"/>
    <w:rsid w:val="00334CF2"/>
    <w:rsid w:val="00334D52"/>
    <w:rsid w:val="00334DBD"/>
    <w:rsid w:val="00334E03"/>
    <w:rsid w:val="00334ECA"/>
    <w:rsid w:val="003351A1"/>
    <w:rsid w:val="003353AE"/>
    <w:rsid w:val="003354AD"/>
    <w:rsid w:val="0033554D"/>
    <w:rsid w:val="003357E9"/>
    <w:rsid w:val="00335A9E"/>
    <w:rsid w:val="00335C8E"/>
    <w:rsid w:val="0033605B"/>
    <w:rsid w:val="0033627D"/>
    <w:rsid w:val="00336283"/>
    <w:rsid w:val="00336445"/>
    <w:rsid w:val="00336638"/>
    <w:rsid w:val="0033671E"/>
    <w:rsid w:val="00336746"/>
    <w:rsid w:val="003367F3"/>
    <w:rsid w:val="00336874"/>
    <w:rsid w:val="00336AB0"/>
    <w:rsid w:val="00336B04"/>
    <w:rsid w:val="00336CE8"/>
    <w:rsid w:val="00336DB1"/>
    <w:rsid w:val="00336FBC"/>
    <w:rsid w:val="00337112"/>
    <w:rsid w:val="0033714F"/>
    <w:rsid w:val="003371C8"/>
    <w:rsid w:val="0033733B"/>
    <w:rsid w:val="00337496"/>
    <w:rsid w:val="003374B0"/>
    <w:rsid w:val="003376B7"/>
    <w:rsid w:val="003376D2"/>
    <w:rsid w:val="003377BA"/>
    <w:rsid w:val="00337893"/>
    <w:rsid w:val="0033792A"/>
    <w:rsid w:val="00337CF2"/>
    <w:rsid w:val="00337ED6"/>
    <w:rsid w:val="00340132"/>
    <w:rsid w:val="0034049F"/>
    <w:rsid w:val="00340884"/>
    <w:rsid w:val="003408D1"/>
    <w:rsid w:val="00340A23"/>
    <w:rsid w:val="00340A43"/>
    <w:rsid w:val="00340BF6"/>
    <w:rsid w:val="00340BFA"/>
    <w:rsid w:val="00340C2E"/>
    <w:rsid w:val="00340C6F"/>
    <w:rsid w:val="00340CFC"/>
    <w:rsid w:val="00340D8E"/>
    <w:rsid w:val="00341191"/>
    <w:rsid w:val="00341295"/>
    <w:rsid w:val="003412C0"/>
    <w:rsid w:val="003414FA"/>
    <w:rsid w:val="003415C9"/>
    <w:rsid w:val="00341646"/>
    <w:rsid w:val="0034184C"/>
    <w:rsid w:val="00341872"/>
    <w:rsid w:val="003419F1"/>
    <w:rsid w:val="00341C8A"/>
    <w:rsid w:val="00341CF7"/>
    <w:rsid w:val="00341F26"/>
    <w:rsid w:val="003420E2"/>
    <w:rsid w:val="0034210F"/>
    <w:rsid w:val="0034211D"/>
    <w:rsid w:val="0034223A"/>
    <w:rsid w:val="003425F5"/>
    <w:rsid w:val="0034265E"/>
    <w:rsid w:val="003428F6"/>
    <w:rsid w:val="00342B02"/>
    <w:rsid w:val="00343118"/>
    <w:rsid w:val="00343261"/>
    <w:rsid w:val="003432BD"/>
    <w:rsid w:val="00343486"/>
    <w:rsid w:val="00343499"/>
    <w:rsid w:val="00343520"/>
    <w:rsid w:val="00343619"/>
    <w:rsid w:val="00343679"/>
    <w:rsid w:val="00343873"/>
    <w:rsid w:val="0034392C"/>
    <w:rsid w:val="003439FE"/>
    <w:rsid w:val="00343B07"/>
    <w:rsid w:val="00343B73"/>
    <w:rsid w:val="00343D94"/>
    <w:rsid w:val="00343DAE"/>
    <w:rsid w:val="00343EA1"/>
    <w:rsid w:val="00343ED6"/>
    <w:rsid w:val="00343F0B"/>
    <w:rsid w:val="00343F7C"/>
    <w:rsid w:val="003441D1"/>
    <w:rsid w:val="00344360"/>
    <w:rsid w:val="003444FF"/>
    <w:rsid w:val="003446E8"/>
    <w:rsid w:val="00344752"/>
    <w:rsid w:val="00344947"/>
    <w:rsid w:val="00344975"/>
    <w:rsid w:val="00344A58"/>
    <w:rsid w:val="00344AF3"/>
    <w:rsid w:val="00344D30"/>
    <w:rsid w:val="00344F26"/>
    <w:rsid w:val="003450CB"/>
    <w:rsid w:val="00345155"/>
    <w:rsid w:val="00345378"/>
    <w:rsid w:val="00345B16"/>
    <w:rsid w:val="00345C3F"/>
    <w:rsid w:val="00345D08"/>
    <w:rsid w:val="00345FF3"/>
    <w:rsid w:val="003460CD"/>
    <w:rsid w:val="00346623"/>
    <w:rsid w:val="00346722"/>
    <w:rsid w:val="00346810"/>
    <w:rsid w:val="00346A51"/>
    <w:rsid w:val="00346CC2"/>
    <w:rsid w:val="00346EA4"/>
    <w:rsid w:val="00346F49"/>
    <w:rsid w:val="00347086"/>
    <w:rsid w:val="003470A2"/>
    <w:rsid w:val="00347266"/>
    <w:rsid w:val="003472FF"/>
    <w:rsid w:val="003473E0"/>
    <w:rsid w:val="003473EB"/>
    <w:rsid w:val="0034757A"/>
    <w:rsid w:val="003475FF"/>
    <w:rsid w:val="0034771B"/>
    <w:rsid w:val="003479A4"/>
    <w:rsid w:val="00347D7C"/>
    <w:rsid w:val="00347EEC"/>
    <w:rsid w:val="00347F30"/>
    <w:rsid w:val="00350398"/>
    <w:rsid w:val="003503D8"/>
    <w:rsid w:val="0035044D"/>
    <w:rsid w:val="00350B5B"/>
    <w:rsid w:val="00350DBA"/>
    <w:rsid w:val="00350E45"/>
    <w:rsid w:val="00350E97"/>
    <w:rsid w:val="00350EB3"/>
    <w:rsid w:val="0035101C"/>
    <w:rsid w:val="003513DD"/>
    <w:rsid w:val="003514F4"/>
    <w:rsid w:val="0035154C"/>
    <w:rsid w:val="003516DE"/>
    <w:rsid w:val="00351754"/>
    <w:rsid w:val="0035175D"/>
    <w:rsid w:val="00351891"/>
    <w:rsid w:val="00351ABE"/>
    <w:rsid w:val="00351B4A"/>
    <w:rsid w:val="00351B4D"/>
    <w:rsid w:val="00351C5D"/>
    <w:rsid w:val="00351C82"/>
    <w:rsid w:val="00351CB5"/>
    <w:rsid w:val="00351D15"/>
    <w:rsid w:val="00351F51"/>
    <w:rsid w:val="003522B9"/>
    <w:rsid w:val="0035234A"/>
    <w:rsid w:val="003523AA"/>
    <w:rsid w:val="0035264B"/>
    <w:rsid w:val="0035283E"/>
    <w:rsid w:val="003529B0"/>
    <w:rsid w:val="00352B58"/>
    <w:rsid w:val="00352BC6"/>
    <w:rsid w:val="00352F3D"/>
    <w:rsid w:val="0035322F"/>
    <w:rsid w:val="003533A2"/>
    <w:rsid w:val="0035359D"/>
    <w:rsid w:val="003537AF"/>
    <w:rsid w:val="00353963"/>
    <w:rsid w:val="00353B17"/>
    <w:rsid w:val="00353B57"/>
    <w:rsid w:val="00353BDE"/>
    <w:rsid w:val="00353E57"/>
    <w:rsid w:val="00353FC5"/>
    <w:rsid w:val="0035401C"/>
    <w:rsid w:val="00354077"/>
    <w:rsid w:val="0035416A"/>
    <w:rsid w:val="00354262"/>
    <w:rsid w:val="003543E0"/>
    <w:rsid w:val="0035480F"/>
    <w:rsid w:val="00354AAC"/>
    <w:rsid w:val="00354B21"/>
    <w:rsid w:val="00354F29"/>
    <w:rsid w:val="00354FEF"/>
    <w:rsid w:val="0035501F"/>
    <w:rsid w:val="00355025"/>
    <w:rsid w:val="00355338"/>
    <w:rsid w:val="003553B6"/>
    <w:rsid w:val="003554C2"/>
    <w:rsid w:val="0035556F"/>
    <w:rsid w:val="00355A50"/>
    <w:rsid w:val="00355EC1"/>
    <w:rsid w:val="00355F66"/>
    <w:rsid w:val="00356036"/>
    <w:rsid w:val="0035607C"/>
    <w:rsid w:val="00356272"/>
    <w:rsid w:val="003562D8"/>
    <w:rsid w:val="00356576"/>
    <w:rsid w:val="00356861"/>
    <w:rsid w:val="003569E9"/>
    <w:rsid w:val="00356CCD"/>
    <w:rsid w:val="00356DAE"/>
    <w:rsid w:val="00356F4B"/>
    <w:rsid w:val="00356FDB"/>
    <w:rsid w:val="0035735B"/>
    <w:rsid w:val="003573CE"/>
    <w:rsid w:val="003574FE"/>
    <w:rsid w:val="00357522"/>
    <w:rsid w:val="00357985"/>
    <w:rsid w:val="003579BB"/>
    <w:rsid w:val="00357AEF"/>
    <w:rsid w:val="00357B6D"/>
    <w:rsid w:val="00357D7C"/>
    <w:rsid w:val="00357EF9"/>
    <w:rsid w:val="00360124"/>
    <w:rsid w:val="00360197"/>
    <w:rsid w:val="003601E3"/>
    <w:rsid w:val="00360211"/>
    <w:rsid w:val="00360274"/>
    <w:rsid w:val="003603EB"/>
    <w:rsid w:val="00360617"/>
    <w:rsid w:val="00360659"/>
    <w:rsid w:val="003606E7"/>
    <w:rsid w:val="00360832"/>
    <w:rsid w:val="00360846"/>
    <w:rsid w:val="00360A30"/>
    <w:rsid w:val="00360A43"/>
    <w:rsid w:val="00360A80"/>
    <w:rsid w:val="00360B2C"/>
    <w:rsid w:val="00360CA2"/>
    <w:rsid w:val="00360CA4"/>
    <w:rsid w:val="0036112D"/>
    <w:rsid w:val="003611A0"/>
    <w:rsid w:val="0036120D"/>
    <w:rsid w:val="003614CC"/>
    <w:rsid w:val="003616E3"/>
    <w:rsid w:val="00361867"/>
    <w:rsid w:val="00361892"/>
    <w:rsid w:val="0036189F"/>
    <w:rsid w:val="003618BE"/>
    <w:rsid w:val="00361960"/>
    <w:rsid w:val="00361D10"/>
    <w:rsid w:val="00361D47"/>
    <w:rsid w:val="00361DB0"/>
    <w:rsid w:val="00361E96"/>
    <w:rsid w:val="00361EB5"/>
    <w:rsid w:val="00361FC2"/>
    <w:rsid w:val="00362125"/>
    <w:rsid w:val="003622A3"/>
    <w:rsid w:val="0036239B"/>
    <w:rsid w:val="00362520"/>
    <w:rsid w:val="003626CA"/>
    <w:rsid w:val="00362839"/>
    <w:rsid w:val="0036291B"/>
    <w:rsid w:val="0036295E"/>
    <w:rsid w:val="00362A4F"/>
    <w:rsid w:val="00362B0F"/>
    <w:rsid w:val="00362B23"/>
    <w:rsid w:val="00362ED9"/>
    <w:rsid w:val="00362F31"/>
    <w:rsid w:val="00363101"/>
    <w:rsid w:val="003634F7"/>
    <w:rsid w:val="00363A55"/>
    <w:rsid w:val="00363BE7"/>
    <w:rsid w:val="003640AC"/>
    <w:rsid w:val="0036425B"/>
    <w:rsid w:val="00364368"/>
    <w:rsid w:val="0036438E"/>
    <w:rsid w:val="00364489"/>
    <w:rsid w:val="0036473F"/>
    <w:rsid w:val="00364816"/>
    <w:rsid w:val="0036497F"/>
    <w:rsid w:val="00364987"/>
    <w:rsid w:val="00364AD9"/>
    <w:rsid w:val="00364B14"/>
    <w:rsid w:val="00364C1C"/>
    <w:rsid w:val="00364E18"/>
    <w:rsid w:val="00364EA0"/>
    <w:rsid w:val="00364ED1"/>
    <w:rsid w:val="00364F0D"/>
    <w:rsid w:val="0036504E"/>
    <w:rsid w:val="00365359"/>
    <w:rsid w:val="003655CF"/>
    <w:rsid w:val="00365840"/>
    <w:rsid w:val="0036585B"/>
    <w:rsid w:val="00365BC3"/>
    <w:rsid w:val="00365DF7"/>
    <w:rsid w:val="00366414"/>
    <w:rsid w:val="00366A8F"/>
    <w:rsid w:val="00366D10"/>
    <w:rsid w:val="00366DD7"/>
    <w:rsid w:val="00366E8D"/>
    <w:rsid w:val="00366FFA"/>
    <w:rsid w:val="00367336"/>
    <w:rsid w:val="003674B3"/>
    <w:rsid w:val="003677EA"/>
    <w:rsid w:val="0036789A"/>
    <w:rsid w:val="003678A5"/>
    <w:rsid w:val="003678AE"/>
    <w:rsid w:val="003678B1"/>
    <w:rsid w:val="0036798D"/>
    <w:rsid w:val="003679B5"/>
    <w:rsid w:val="00367C0D"/>
    <w:rsid w:val="00367F17"/>
    <w:rsid w:val="003704C2"/>
    <w:rsid w:val="003705D1"/>
    <w:rsid w:val="003705FF"/>
    <w:rsid w:val="003706D9"/>
    <w:rsid w:val="0037071F"/>
    <w:rsid w:val="00370823"/>
    <w:rsid w:val="0037082F"/>
    <w:rsid w:val="003708A7"/>
    <w:rsid w:val="0037097C"/>
    <w:rsid w:val="00370A39"/>
    <w:rsid w:val="00370A4D"/>
    <w:rsid w:val="00370C02"/>
    <w:rsid w:val="00370CD4"/>
    <w:rsid w:val="00370F36"/>
    <w:rsid w:val="00371015"/>
    <w:rsid w:val="00371299"/>
    <w:rsid w:val="00371445"/>
    <w:rsid w:val="00371451"/>
    <w:rsid w:val="0037161A"/>
    <w:rsid w:val="0037170E"/>
    <w:rsid w:val="003719F1"/>
    <w:rsid w:val="00371A1A"/>
    <w:rsid w:val="00371B53"/>
    <w:rsid w:val="00371D77"/>
    <w:rsid w:val="00371DEA"/>
    <w:rsid w:val="00371E12"/>
    <w:rsid w:val="00371E57"/>
    <w:rsid w:val="00371FF7"/>
    <w:rsid w:val="00372069"/>
    <w:rsid w:val="003720EA"/>
    <w:rsid w:val="0037216D"/>
    <w:rsid w:val="003722BB"/>
    <w:rsid w:val="0037233C"/>
    <w:rsid w:val="00372396"/>
    <w:rsid w:val="0037243C"/>
    <w:rsid w:val="00372443"/>
    <w:rsid w:val="00372554"/>
    <w:rsid w:val="003725B6"/>
    <w:rsid w:val="00372666"/>
    <w:rsid w:val="00372A5B"/>
    <w:rsid w:val="00372A74"/>
    <w:rsid w:val="00372BB2"/>
    <w:rsid w:val="00372C41"/>
    <w:rsid w:val="00372CDA"/>
    <w:rsid w:val="00372DD9"/>
    <w:rsid w:val="00372E28"/>
    <w:rsid w:val="00372EAF"/>
    <w:rsid w:val="00372EFC"/>
    <w:rsid w:val="0037327A"/>
    <w:rsid w:val="00373369"/>
    <w:rsid w:val="003735F7"/>
    <w:rsid w:val="00373692"/>
    <w:rsid w:val="00373C83"/>
    <w:rsid w:val="00373C96"/>
    <w:rsid w:val="00373CDC"/>
    <w:rsid w:val="00373DA7"/>
    <w:rsid w:val="00373E54"/>
    <w:rsid w:val="0037404A"/>
    <w:rsid w:val="003740B6"/>
    <w:rsid w:val="00374115"/>
    <w:rsid w:val="0037447D"/>
    <w:rsid w:val="003745B0"/>
    <w:rsid w:val="00374627"/>
    <w:rsid w:val="003747B8"/>
    <w:rsid w:val="00374844"/>
    <w:rsid w:val="003749ED"/>
    <w:rsid w:val="00374AE8"/>
    <w:rsid w:val="00374B35"/>
    <w:rsid w:val="00374C7F"/>
    <w:rsid w:val="00374F82"/>
    <w:rsid w:val="00374FCD"/>
    <w:rsid w:val="00375151"/>
    <w:rsid w:val="00375221"/>
    <w:rsid w:val="00375222"/>
    <w:rsid w:val="003755EB"/>
    <w:rsid w:val="0037560D"/>
    <w:rsid w:val="003757FC"/>
    <w:rsid w:val="00375A0A"/>
    <w:rsid w:val="00375D86"/>
    <w:rsid w:val="00375DC4"/>
    <w:rsid w:val="00375E2F"/>
    <w:rsid w:val="00375F84"/>
    <w:rsid w:val="0037601E"/>
    <w:rsid w:val="0037613B"/>
    <w:rsid w:val="0037648C"/>
    <w:rsid w:val="003766D8"/>
    <w:rsid w:val="00376751"/>
    <w:rsid w:val="0037675B"/>
    <w:rsid w:val="00376BEC"/>
    <w:rsid w:val="00377263"/>
    <w:rsid w:val="0037728D"/>
    <w:rsid w:val="003773EF"/>
    <w:rsid w:val="0037750D"/>
    <w:rsid w:val="00377533"/>
    <w:rsid w:val="003776BD"/>
    <w:rsid w:val="003776D8"/>
    <w:rsid w:val="00377896"/>
    <w:rsid w:val="00377976"/>
    <w:rsid w:val="00377A64"/>
    <w:rsid w:val="00377D0B"/>
    <w:rsid w:val="003800C9"/>
    <w:rsid w:val="00380163"/>
    <w:rsid w:val="003802ED"/>
    <w:rsid w:val="003803BA"/>
    <w:rsid w:val="0038060B"/>
    <w:rsid w:val="0038063C"/>
    <w:rsid w:val="00380722"/>
    <w:rsid w:val="00380828"/>
    <w:rsid w:val="00380856"/>
    <w:rsid w:val="00380996"/>
    <w:rsid w:val="00380A99"/>
    <w:rsid w:val="00380B5D"/>
    <w:rsid w:val="00380C7B"/>
    <w:rsid w:val="00380F35"/>
    <w:rsid w:val="00380FB5"/>
    <w:rsid w:val="003810FA"/>
    <w:rsid w:val="0038137B"/>
    <w:rsid w:val="00381513"/>
    <w:rsid w:val="00381553"/>
    <w:rsid w:val="003815BA"/>
    <w:rsid w:val="00381656"/>
    <w:rsid w:val="003818AC"/>
    <w:rsid w:val="00381AF2"/>
    <w:rsid w:val="00381BC5"/>
    <w:rsid w:val="00381C39"/>
    <w:rsid w:val="00381C61"/>
    <w:rsid w:val="00382029"/>
    <w:rsid w:val="0038206C"/>
    <w:rsid w:val="0038206E"/>
    <w:rsid w:val="003820B2"/>
    <w:rsid w:val="003820BB"/>
    <w:rsid w:val="0038230E"/>
    <w:rsid w:val="003823CD"/>
    <w:rsid w:val="00382410"/>
    <w:rsid w:val="003826CD"/>
    <w:rsid w:val="003827E3"/>
    <w:rsid w:val="00382AC8"/>
    <w:rsid w:val="00382D93"/>
    <w:rsid w:val="00383071"/>
    <w:rsid w:val="00383137"/>
    <w:rsid w:val="003831DC"/>
    <w:rsid w:val="0038333F"/>
    <w:rsid w:val="003834A3"/>
    <w:rsid w:val="003837EB"/>
    <w:rsid w:val="00383A09"/>
    <w:rsid w:val="00383B1F"/>
    <w:rsid w:val="00383EC0"/>
    <w:rsid w:val="0038400D"/>
    <w:rsid w:val="003841C2"/>
    <w:rsid w:val="00384432"/>
    <w:rsid w:val="0038471A"/>
    <w:rsid w:val="0038497F"/>
    <w:rsid w:val="003849F3"/>
    <w:rsid w:val="00384CAA"/>
    <w:rsid w:val="00384DE2"/>
    <w:rsid w:val="00384E89"/>
    <w:rsid w:val="00384F03"/>
    <w:rsid w:val="00384FAE"/>
    <w:rsid w:val="0038506D"/>
    <w:rsid w:val="003850BA"/>
    <w:rsid w:val="003852CD"/>
    <w:rsid w:val="0038530F"/>
    <w:rsid w:val="00385382"/>
    <w:rsid w:val="003853E3"/>
    <w:rsid w:val="003853EF"/>
    <w:rsid w:val="0038555C"/>
    <w:rsid w:val="003857C9"/>
    <w:rsid w:val="003859A6"/>
    <w:rsid w:val="00385BE9"/>
    <w:rsid w:val="00385CE3"/>
    <w:rsid w:val="00385E93"/>
    <w:rsid w:val="00385EA7"/>
    <w:rsid w:val="0038605D"/>
    <w:rsid w:val="0038619E"/>
    <w:rsid w:val="0038627C"/>
    <w:rsid w:val="00386282"/>
    <w:rsid w:val="003865E9"/>
    <w:rsid w:val="00386614"/>
    <w:rsid w:val="003866AC"/>
    <w:rsid w:val="00386742"/>
    <w:rsid w:val="00386904"/>
    <w:rsid w:val="00386984"/>
    <w:rsid w:val="00386AF7"/>
    <w:rsid w:val="00386C1D"/>
    <w:rsid w:val="00386C38"/>
    <w:rsid w:val="00386C90"/>
    <w:rsid w:val="00386D46"/>
    <w:rsid w:val="00386EC0"/>
    <w:rsid w:val="00386F5F"/>
    <w:rsid w:val="00386F69"/>
    <w:rsid w:val="00387082"/>
    <w:rsid w:val="0038727F"/>
    <w:rsid w:val="003872B4"/>
    <w:rsid w:val="0038739D"/>
    <w:rsid w:val="0038759B"/>
    <w:rsid w:val="00387672"/>
    <w:rsid w:val="0038798F"/>
    <w:rsid w:val="00387AE8"/>
    <w:rsid w:val="00387DB5"/>
    <w:rsid w:val="00387E9A"/>
    <w:rsid w:val="0039014A"/>
    <w:rsid w:val="0039014B"/>
    <w:rsid w:val="003901BE"/>
    <w:rsid w:val="0039078C"/>
    <w:rsid w:val="00390ABF"/>
    <w:rsid w:val="00390B57"/>
    <w:rsid w:val="00390DF7"/>
    <w:rsid w:val="00391348"/>
    <w:rsid w:val="00391435"/>
    <w:rsid w:val="0039163A"/>
    <w:rsid w:val="0039172D"/>
    <w:rsid w:val="00391A4C"/>
    <w:rsid w:val="00391BFA"/>
    <w:rsid w:val="00391CA0"/>
    <w:rsid w:val="00391D55"/>
    <w:rsid w:val="00391F3F"/>
    <w:rsid w:val="00392202"/>
    <w:rsid w:val="003922C8"/>
    <w:rsid w:val="003924D0"/>
    <w:rsid w:val="003925D5"/>
    <w:rsid w:val="0039268C"/>
    <w:rsid w:val="003926E4"/>
    <w:rsid w:val="00392778"/>
    <w:rsid w:val="00392783"/>
    <w:rsid w:val="00392A4E"/>
    <w:rsid w:val="00392B5E"/>
    <w:rsid w:val="00392BB5"/>
    <w:rsid w:val="00392D6D"/>
    <w:rsid w:val="00393028"/>
    <w:rsid w:val="0039323C"/>
    <w:rsid w:val="0039326B"/>
    <w:rsid w:val="00393407"/>
    <w:rsid w:val="0039345A"/>
    <w:rsid w:val="00393530"/>
    <w:rsid w:val="0039374C"/>
    <w:rsid w:val="00393872"/>
    <w:rsid w:val="0039395C"/>
    <w:rsid w:val="003939E1"/>
    <w:rsid w:val="00393E12"/>
    <w:rsid w:val="00393E79"/>
    <w:rsid w:val="00393EA3"/>
    <w:rsid w:val="00393F27"/>
    <w:rsid w:val="00394058"/>
    <w:rsid w:val="003941A9"/>
    <w:rsid w:val="00394460"/>
    <w:rsid w:val="0039456F"/>
    <w:rsid w:val="0039485C"/>
    <w:rsid w:val="0039498F"/>
    <w:rsid w:val="00394ACE"/>
    <w:rsid w:val="00394B16"/>
    <w:rsid w:val="00394D59"/>
    <w:rsid w:val="00394DDE"/>
    <w:rsid w:val="00394F16"/>
    <w:rsid w:val="003950C2"/>
    <w:rsid w:val="00395115"/>
    <w:rsid w:val="00395378"/>
    <w:rsid w:val="003953F6"/>
    <w:rsid w:val="00395458"/>
    <w:rsid w:val="0039558E"/>
    <w:rsid w:val="00395591"/>
    <w:rsid w:val="003955E1"/>
    <w:rsid w:val="003956E3"/>
    <w:rsid w:val="00395A82"/>
    <w:rsid w:val="00395B1B"/>
    <w:rsid w:val="00395C5B"/>
    <w:rsid w:val="0039639B"/>
    <w:rsid w:val="00396570"/>
    <w:rsid w:val="003966A7"/>
    <w:rsid w:val="003966B2"/>
    <w:rsid w:val="003966C5"/>
    <w:rsid w:val="003967F0"/>
    <w:rsid w:val="00396827"/>
    <w:rsid w:val="00396A82"/>
    <w:rsid w:val="00396B17"/>
    <w:rsid w:val="00396BDB"/>
    <w:rsid w:val="00396C6F"/>
    <w:rsid w:val="00396E07"/>
    <w:rsid w:val="00396F5B"/>
    <w:rsid w:val="003970EE"/>
    <w:rsid w:val="0039712D"/>
    <w:rsid w:val="00397295"/>
    <w:rsid w:val="0039730D"/>
    <w:rsid w:val="0039736C"/>
    <w:rsid w:val="0039756F"/>
    <w:rsid w:val="00397677"/>
    <w:rsid w:val="003979BA"/>
    <w:rsid w:val="00397B1B"/>
    <w:rsid w:val="00397CC0"/>
    <w:rsid w:val="00397E03"/>
    <w:rsid w:val="00397E0B"/>
    <w:rsid w:val="00397EC3"/>
    <w:rsid w:val="00397F9D"/>
    <w:rsid w:val="003A0115"/>
    <w:rsid w:val="003A01B6"/>
    <w:rsid w:val="003A01CD"/>
    <w:rsid w:val="003A04E9"/>
    <w:rsid w:val="003A0618"/>
    <w:rsid w:val="003A0675"/>
    <w:rsid w:val="003A080C"/>
    <w:rsid w:val="003A0A0B"/>
    <w:rsid w:val="003A0A7F"/>
    <w:rsid w:val="003A0D19"/>
    <w:rsid w:val="003A0DB9"/>
    <w:rsid w:val="003A1060"/>
    <w:rsid w:val="003A10C9"/>
    <w:rsid w:val="003A124E"/>
    <w:rsid w:val="003A12C4"/>
    <w:rsid w:val="003A1315"/>
    <w:rsid w:val="003A144A"/>
    <w:rsid w:val="003A1705"/>
    <w:rsid w:val="003A1785"/>
    <w:rsid w:val="003A180E"/>
    <w:rsid w:val="003A1883"/>
    <w:rsid w:val="003A18B3"/>
    <w:rsid w:val="003A18C0"/>
    <w:rsid w:val="003A197A"/>
    <w:rsid w:val="003A19BE"/>
    <w:rsid w:val="003A1ED9"/>
    <w:rsid w:val="003A2569"/>
    <w:rsid w:val="003A25A5"/>
    <w:rsid w:val="003A2819"/>
    <w:rsid w:val="003A298C"/>
    <w:rsid w:val="003A29E0"/>
    <w:rsid w:val="003A2BCA"/>
    <w:rsid w:val="003A2C50"/>
    <w:rsid w:val="003A2C55"/>
    <w:rsid w:val="003A2C9D"/>
    <w:rsid w:val="003A2D69"/>
    <w:rsid w:val="003A2D7B"/>
    <w:rsid w:val="003A2DA0"/>
    <w:rsid w:val="003A2DB5"/>
    <w:rsid w:val="003A2E9A"/>
    <w:rsid w:val="003A3097"/>
    <w:rsid w:val="003A3395"/>
    <w:rsid w:val="003A3552"/>
    <w:rsid w:val="003A3636"/>
    <w:rsid w:val="003A38EF"/>
    <w:rsid w:val="003A3CE6"/>
    <w:rsid w:val="003A3E70"/>
    <w:rsid w:val="003A3EFC"/>
    <w:rsid w:val="003A3F4B"/>
    <w:rsid w:val="003A403A"/>
    <w:rsid w:val="003A40C2"/>
    <w:rsid w:val="003A418F"/>
    <w:rsid w:val="003A4231"/>
    <w:rsid w:val="003A4307"/>
    <w:rsid w:val="003A45DD"/>
    <w:rsid w:val="003A49A2"/>
    <w:rsid w:val="003A49DC"/>
    <w:rsid w:val="003A4B05"/>
    <w:rsid w:val="003A4BA8"/>
    <w:rsid w:val="003A4BE2"/>
    <w:rsid w:val="003A4D9C"/>
    <w:rsid w:val="003A53BE"/>
    <w:rsid w:val="003A5493"/>
    <w:rsid w:val="003A5664"/>
    <w:rsid w:val="003A5836"/>
    <w:rsid w:val="003A58E6"/>
    <w:rsid w:val="003A59A1"/>
    <w:rsid w:val="003A59D6"/>
    <w:rsid w:val="003A59F0"/>
    <w:rsid w:val="003A5AB1"/>
    <w:rsid w:val="003A5B20"/>
    <w:rsid w:val="003A5C5F"/>
    <w:rsid w:val="003A5C86"/>
    <w:rsid w:val="003A5CD5"/>
    <w:rsid w:val="003A5E4C"/>
    <w:rsid w:val="003A6017"/>
    <w:rsid w:val="003A6023"/>
    <w:rsid w:val="003A6034"/>
    <w:rsid w:val="003A6182"/>
    <w:rsid w:val="003A628A"/>
    <w:rsid w:val="003A62CC"/>
    <w:rsid w:val="003A631B"/>
    <w:rsid w:val="003A6355"/>
    <w:rsid w:val="003A668A"/>
    <w:rsid w:val="003A6878"/>
    <w:rsid w:val="003A68AC"/>
    <w:rsid w:val="003A6A16"/>
    <w:rsid w:val="003A6AFC"/>
    <w:rsid w:val="003A6D7E"/>
    <w:rsid w:val="003A6E2D"/>
    <w:rsid w:val="003A7129"/>
    <w:rsid w:val="003A718A"/>
    <w:rsid w:val="003A75D6"/>
    <w:rsid w:val="003A7A17"/>
    <w:rsid w:val="003A7A7F"/>
    <w:rsid w:val="003A7CC5"/>
    <w:rsid w:val="003B0220"/>
    <w:rsid w:val="003B02A5"/>
    <w:rsid w:val="003B034A"/>
    <w:rsid w:val="003B07E4"/>
    <w:rsid w:val="003B0A4D"/>
    <w:rsid w:val="003B0ACB"/>
    <w:rsid w:val="003B0C24"/>
    <w:rsid w:val="003B0E4B"/>
    <w:rsid w:val="003B10DB"/>
    <w:rsid w:val="003B1187"/>
    <w:rsid w:val="003B1269"/>
    <w:rsid w:val="003B141E"/>
    <w:rsid w:val="003B1589"/>
    <w:rsid w:val="003B15B1"/>
    <w:rsid w:val="003B18AF"/>
    <w:rsid w:val="003B194D"/>
    <w:rsid w:val="003B1C48"/>
    <w:rsid w:val="003B1D94"/>
    <w:rsid w:val="003B1E46"/>
    <w:rsid w:val="003B1F7C"/>
    <w:rsid w:val="003B223C"/>
    <w:rsid w:val="003B24D5"/>
    <w:rsid w:val="003B2540"/>
    <w:rsid w:val="003B2753"/>
    <w:rsid w:val="003B2880"/>
    <w:rsid w:val="003B2AB7"/>
    <w:rsid w:val="003B2B40"/>
    <w:rsid w:val="003B2B43"/>
    <w:rsid w:val="003B2D4A"/>
    <w:rsid w:val="003B3030"/>
    <w:rsid w:val="003B31B8"/>
    <w:rsid w:val="003B32B6"/>
    <w:rsid w:val="003B36C6"/>
    <w:rsid w:val="003B393F"/>
    <w:rsid w:val="003B3A2C"/>
    <w:rsid w:val="003B3A54"/>
    <w:rsid w:val="003B3C89"/>
    <w:rsid w:val="003B3DBA"/>
    <w:rsid w:val="003B409B"/>
    <w:rsid w:val="003B4372"/>
    <w:rsid w:val="003B45B3"/>
    <w:rsid w:val="003B460F"/>
    <w:rsid w:val="003B4A19"/>
    <w:rsid w:val="003B4A75"/>
    <w:rsid w:val="003B4BA0"/>
    <w:rsid w:val="003B4BB7"/>
    <w:rsid w:val="003B4E24"/>
    <w:rsid w:val="003B4F77"/>
    <w:rsid w:val="003B50F4"/>
    <w:rsid w:val="003B5229"/>
    <w:rsid w:val="003B5247"/>
    <w:rsid w:val="003B52DC"/>
    <w:rsid w:val="003B5515"/>
    <w:rsid w:val="003B57A9"/>
    <w:rsid w:val="003B585D"/>
    <w:rsid w:val="003B5A45"/>
    <w:rsid w:val="003B5B40"/>
    <w:rsid w:val="003B5B87"/>
    <w:rsid w:val="003B5C5C"/>
    <w:rsid w:val="003B5DB7"/>
    <w:rsid w:val="003B5DBD"/>
    <w:rsid w:val="003B5E16"/>
    <w:rsid w:val="003B5F4C"/>
    <w:rsid w:val="003B5FC2"/>
    <w:rsid w:val="003B5FED"/>
    <w:rsid w:val="003B60CB"/>
    <w:rsid w:val="003B6134"/>
    <w:rsid w:val="003B6145"/>
    <w:rsid w:val="003B62AD"/>
    <w:rsid w:val="003B640F"/>
    <w:rsid w:val="003B648F"/>
    <w:rsid w:val="003B64FB"/>
    <w:rsid w:val="003B657D"/>
    <w:rsid w:val="003B6AB8"/>
    <w:rsid w:val="003B6B99"/>
    <w:rsid w:val="003B6C6A"/>
    <w:rsid w:val="003B6CFD"/>
    <w:rsid w:val="003B6D11"/>
    <w:rsid w:val="003B6DA5"/>
    <w:rsid w:val="003B6E2B"/>
    <w:rsid w:val="003B7008"/>
    <w:rsid w:val="003B7074"/>
    <w:rsid w:val="003B70B8"/>
    <w:rsid w:val="003B72B0"/>
    <w:rsid w:val="003B7374"/>
    <w:rsid w:val="003B737E"/>
    <w:rsid w:val="003B73FE"/>
    <w:rsid w:val="003B743B"/>
    <w:rsid w:val="003B75B4"/>
    <w:rsid w:val="003B7615"/>
    <w:rsid w:val="003B7B2C"/>
    <w:rsid w:val="003B7B6A"/>
    <w:rsid w:val="003B7BD9"/>
    <w:rsid w:val="003B7BEB"/>
    <w:rsid w:val="003B7CCE"/>
    <w:rsid w:val="003B7DDB"/>
    <w:rsid w:val="003B7DFC"/>
    <w:rsid w:val="003B7E9D"/>
    <w:rsid w:val="003B7FBC"/>
    <w:rsid w:val="003C00BE"/>
    <w:rsid w:val="003C00EC"/>
    <w:rsid w:val="003C016F"/>
    <w:rsid w:val="003C04FF"/>
    <w:rsid w:val="003C07B9"/>
    <w:rsid w:val="003C093D"/>
    <w:rsid w:val="003C095A"/>
    <w:rsid w:val="003C09C3"/>
    <w:rsid w:val="003C0E04"/>
    <w:rsid w:val="003C0E18"/>
    <w:rsid w:val="003C1019"/>
    <w:rsid w:val="003C109A"/>
    <w:rsid w:val="003C10BD"/>
    <w:rsid w:val="003C1169"/>
    <w:rsid w:val="003C1313"/>
    <w:rsid w:val="003C142A"/>
    <w:rsid w:val="003C1503"/>
    <w:rsid w:val="003C1844"/>
    <w:rsid w:val="003C1F63"/>
    <w:rsid w:val="003C1FF2"/>
    <w:rsid w:val="003C2027"/>
    <w:rsid w:val="003C2062"/>
    <w:rsid w:val="003C21A6"/>
    <w:rsid w:val="003C2261"/>
    <w:rsid w:val="003C23EE"/>
    <w:rsid w:val="003C249F"/>
    <w:rsid w:val="003C2506"/>
    <w:rsid w:val="003C2B8F"/>
    <w:rsid w:val="003C2D5E"/>
    <w:rsid w:val="003C2E26"/>
    <w:rsid w:val="003C2F9A"/>
    <w:rsid w:val="003C306C"/>
    <w:rsid w:val="003C323B"/>
    <w:rsid w:val="003C336D"/>
    <w:rsid w:val="003C34A9"/>
    <w:rsid w:val="003C34FF"/>
    <w:rsid w:val="003C3597"/>
    <w:rsid w:val="003C3602"/>
    <w:rsid w:val="003C3639"/>
    <w:rsid w:val="003C366D"/>
    <w:rsid w:val="003C36A6"/>
    <w:rsid w:val="003C379F"/>
    <w:rsid w:val="003C3966"/>
    <w:rsid w:val="003C39FD"/>
    <w:rsid w:val="003C3A3D"/>
    <w:rsid w:val="003C3A86"/>
    <w:rsid w:val="003C3C93"/>
    <w:rsid w:val="003C4127"/>
    <w:rsid w:val="003C425B"/>
    <w:rsid w:val="003C4265"/>
    <w:rsid w:val="003C4328"/>
    <w:rsid w:val="003C45CC"/>
    <w:rsid w:val="003C4730"/>
    <w:rsid w:val="003C4747"/>
    <w:rsid w:val="003C4975"/>
    <w:rsid w:val="003C4A7C"/>
    <w:rsid w:val="003C4A9C"/>
    <w:rsid w:val="003C4AFA"/>
    <w:rsid w:val="003C4CDE"/>
    <w:rsid w:val="003C5157"/>
    <w:rsid w:val="003C5588"/>
    <w:rsid w:val="003C5605"/>
    <w:rsid w:val="003C569D"/>
    <w:rsid w:val="003C56B1"/>
    <w:rsid w:val="003C5863"/>
    <w:rsid w:val="003C59C8"/>
    <w:rsid w:val="003C5A05"/>
    <w:rsid w:val="003C5C7C"/>
    <w:rsid w:val="003C5CF8"/>
    <w:rsid w:val="003C5E0C"/>
    <w:rsid w:val="003C5E93"/>
    <w:rsid w:val="003C5EB4"/>
    <w:rsid w:val="003C5EC2"/>
    <w:rsid w:val="003C6084"/>
    <w:rsid w:val="003C6108"/>
    <w:rsid w:val="003C6499"/>
    <w:rsid w:val="003C681B"/>
    <w:rsid w:val="003C6915"/>
    <w:rsid w:val="003C6BEA"/>
    <w:rsid w:val="003C6D38"/>
    <w:rsid w:val="003C6F88"/>
    <w:rsid w:val="003C70A0"/>
    <w:rsid w:val="003C72BC"/>
    <w:rsid w:val="003C73B3"/>
    <w:rsid w:val="003C75C4"/>
    <w:rsid w:val="003C7667"/>
    <w:rsid w:val="003C798E"/>
    <w:rsid w:val="003C79BC"/>
    <w:rsid w:val="003C7BB6"/>
    <w:rsid w:val="003C7BC2"/>
    <w:rsid w:val="003C7BE0"/>
    <w:rsid w:val="003C7C11"/>
    <w:rsid w:val="003C7C65"/>
    <w:rsid w:val="003C7F33"/>
    <w:rsid w:val="003C7FA9"/>
    <w:rsid w:val="003D05BB"/>
    <w:rsid w:val="003D0643"/>
    <w:rsid w:val="003D06A4"/>
    <w:rsid w:val="003D076F"/>
    <w:rsid w:val="003D0789"/>
    <w:rsid w:val="003D08AE"/>
    <w:rsid w:val="003D095C"/>
    <w:rsid w:val="003D0A32"/>
    <w:rsid w:val="003D0A35"/>
    <w:rsid w:val="003D0BCC"/>
    <w:rsid w:val="003D0D92"/>
    <w:rsid w:val="003D0E81"/>
    <w:rsid w:val="003D0EDE"/>
    <w:rsid w:val="003D1239"/>
    <w:rsid w:val="003D156C"/>
    <w:rsid w:val="003D1649"/>
    <w:rsid w:val="003D19A8"/>
    <w:rsid w:val="003D1A27"/>
    <w:rsid w:val="003D1B40"/>
    <w:rsid w:val="003D1BE7"/>
    <w:rsid w:val="003D1BF0"/>
    <w:rsid w:val="003D206C"/>
    <w:rsid w:val="003D231C"/>
    <w:rsid w:val="003D2426"/>
    <w:rsid w:val="003D266D"/>
    <w:rsid w:val="003D26B6"/>
    <w:rsid w:val="003D26F7"/>
    <w:rsid w:val="003D2880"/>
    <w:rsid w:val="003D2A3E"/>
    <w:rsid w:val="003D2B63"/>
    <w:rsid w:val="003D2C05"/>
    <w:rsid w:val="003D2C2A"/>
    <w:rsid w:val="003D2CDE"/>
    <w:rsid w:val="003D3381"/>
    <w:rsid w:val="003D3681"/>
    <w:rsid w:val="003D36F1"/>
    <w:rsid w:val="003D3744"/>
    <w:rsid w:val="003D37D0"/>
    <w:rsid w:val="003D3A00"/>
    <w:rsid w:val="003D3A83"/>
    <w:rsid w:val="003D3AB2"/>
    <w:rsid w:val="003D3CBF"/>
    <w:rsid w:val="003D3D48"/>
    <w:rsid w:val="003D3DF4"/>
    <w:rsid w:val="003D3FD3"/>
    <w:rsid w:val="003D40A9"/>
    <w:rsid w:val="003D41E9"/>
    <w:rsid w:val="003D4284"/>
    <w:rsid w:val="003D42D0"/>
    <w:rsid w:val="003D4467"/>
    <w:rsid w:val="003D46E6"/>
    <w:rsid w:val="003D4702"/>
    <w:rsid w:val="003D495E"/>
    <w:rsid w:val="003D4A9B"/>
    <w:rsid w:val="003D4CDF"/>
    <w:rsid w:val="003D4E27"/>
    <w:rsid w:val="003D4E37"/>
    <w:rsid w:val="003D5179"/>
    <w:rsid w:val="003D5377"/>
    <w:rsid w:val="003D5390"/>
    <w:rsid w:val="003D5505"/>
    <w:rsid w:val="003D552D"/>
    <w:rsid w:val="003D5542"/>
    <w:rsid w:val="003D56D6"/>
    <w:rsid w:val="003D56E0"/>
    <w:rsid w:val="003D5763"/>
    <w:rsid w:val="003D57D7"/>
    <w:rsid w:val="003D5830"/>
    <w:rsid w:val="003D5902"/>
    <w:rsid w:val="003D596E"/>
    <w:rsid w:val="003D5DBF"/>
    <w:rsid w:val="003D5F4B"/>
    <w:rsid w:val="003D6907"/>
    <w:rsid w:val="003D6B0E"/>
    <w:rsid w:val="003D6CA8"/>
    <w:rsid w:val="003D6DEB"/>
    <w:rsid w:val="003D6EAA"/>
    <w:rsid w:val="003D6EBB"/>
    <w:rsid w:val="003D7127"/>
    <w:rsid w:val="003D7239"/>
    <w:rsid w:val="003D734B"/>
    <w:rsid w:val="003D7360"/>
    <w:rsid w:val="003D75D2"/>
    <w:rsid w:val="003D7820"/>
    <w:rsid w:val="003D7836"/>
    <w:rsid w:val="003D7992"/>
    <w:rsid w:val="003D7A45"/>
    <w:rsid w:val="003D7A80"/>
    <w:rsid w:val="003D7B48"/>
    <w:rsid w:val="003D7DF7"/>
    <w:rsid w:val="003D7EC9"/>
    <w:rsid w:val="003D7F5C"/>
    <w:rsid w:val="003E032D"/>
    <w:rsid w:val="003E04BA"/>
    <w:rsid w:val="003E051D"/>
    <w:rsid w:val="003E064A"/>
    <w:rsid w:val="003E06B5"/>
    <w:rsid w:val="003E0782"/>
    <w:rsid w:val="003E0924"/>
    <w:rsid w:val="003E0A3E"/>
    <w:rsid w:val="003E0AFB"/>
    <w:rsid w:val="003E0DCD"/>
    <w:rsid w:val="003E0E49"/>
    <w:rsid w:val="003E0FA4"/>
    <w:rsid w:val="003E1072"/>
    <w:rsid w:val="003E1304"/>
    <w:rsid w:val="003E139C"/>
    <w:rsid w:val="003E13A6"/>
    <w:rsid w:val="003E147E"/>
    <w:rsid w:val="003E15FA"/>
    <w:rsid w:val="003E1677"/>
    <w:rsid w:val="003E18BA"/>
    <w:rsid w:val="003E1949"/>
    <w:rsid w:val="003E1992"/>
    <w:rsid w:val="003E1C8F"/>
    <w:rsid w:val="003E1DE7"/>
    <w:rsid w:val="003E1E2D"/>
    <w:rsid w:val="003E21D8"/>
    <w:rsid w:val="003E2207"/>
    <w:rsid w:val="003E2215"/>
    <w:rsid w:val="003E24D4"/>
    <w:rsid w:val="003E267C"/>
    <w:rsid w:val="003E2713"/>
    <w:rsid w:val="003E2934"/>
    <w:rsid w:val="003E299A"/>
    <w:rsid w:val="003E29F1"/>
    <w:rsid w:val="003E2EEA"/>
    <w:rsid w:val="003E2F4E"/>
    <w:rsid w:val="003E3605"/>
    <w:rsid w:val="003E3658"/>
    <w:rsid w:val="003E37A6"/>
    <w:rsid w:val="003E3907"/>
    <w:rsid w:val="003E398E"/>
    <w:rsid w:val="003E3AAF"/>
    <w:rsid w:val="003E3C0E"/>
    <w:rsid w:val="003E3DF0"/>
    <w:rsid w:val="003E432B"/>
    <w:rsid w:val="003E43C2"/>
    <w:rsid w:val="003E450D"/>
    <w:rsid w:val="003E45F1"/>
    <w:rsid w:val="003E4A0A"/>
    <w:rsid w:val="003E4B61"/>
    <w:rsid w:val="003E4CB1"/>
    <w:rsid w:val="003E5067"/>
    <w:rsid w:val="003E51DE"/>
    <w:rsid w:val="003E54EB"/>
    <w:rsid w:val="003E5581"/>
    <w:rsid w:val="003E5639"/>
    <w:rsid w:val="003E5830"/>
    <w:rsid w:val="003E5C62"/>
    <w:rsid w:val="003E5CC4"/>
    <w:rsid w:val="003E5F49"/>
    <w:rsid w:val="003E643C"/>
    <w:rsid w:val="003E64A5"/>
    <w:rsid w:val="003E66A0"/>
    <w:rsid w:val="003E6764"/>
    <w:rsid w:val="003E690B"/>
    <w:rsid w:val="003E69EF"/>
    <w:rsid w:val="003E6B23"/>
    <w:rsid w:val="003E6B42"/>
    <w:rsid w:val="003E6B4D"/>
    <w:rsid w:val="003E6F93"/>
    <w:rsid w:val="003E6FBF"/>
    <w:rsid w:val="003E726E"/>
    <w:rsid w:val="003E7347"/>
    <w:rsid w:val="003E73DB"/>
    <w:rsid w:val="003E7438"/>
    <w:rsid w:val="003E76E5"/>
    <w:rsid w:val="003E77FD"/>
    <w:rsid w:val="003E79B7"/>
    <w:rsid w:val="003E7A22"/>
    <w:rsid w:val="003E7D1F"/>
    <w:rsid w:val="003F00B5"/>
    <w:rsid w:val="003F01B4"/>
    <w:rsid w:val="003F021C"/>
    <w:rsid w:val="003F026D"/>
    <w:rsid w:val="003F0376"/>
    <w:rsid w:val="003F03F0"/>
    <w:rsid w:val="003F05F9"/>
    <w:rsid w:val="003F0642"/>
    <w:rsid w:val="003F0719"/>
    <w:rsid w:val="003F0789"/>
    <w:rsid w:val="003F0A21"/>
    <w:rsid w:val="003F0A5A"/>
    <w:rsid w:val="003F0BEF"/>
    <w:rsid w:val="003F0C7B"/>
    <w:rsid w:val="003F0D2E"/>
    <w:rsid w:val="003F0D57"/>
    <w:rsid w:val="003F0DA5"/>
    <w:rsid w:val="003F0EEF"/>
    <w:rsid w:val="003F0F02"/>
    <w:rsid w:val="003F1150"/>
    <w:rsid w:val="003F120D"/>
    <w:rsid w:val="003F1244"/>
    <w:rsid w:val="003F1483"/>
    <w:rsid w:val="003F1559"/>
    <w:rsid w:val="003F162D"/>
    <w:rsid w:val="003F1684"/>
    <w:rsid w:val="003F17A5"/>
    <w:rsid w:val="003F1B8E"/>
    <w:rsid w:val="003F1C0C"/>
    <w:rsid w:val="003F1C8D"/>
    <w:rsid w:val="003F1CF1"/>
    <w:rsid w:val="003F1F5B"/>
    <w:rsid w:val="003F21CA"/>
    <w:rsid w:val="003F2227"/>
    <w:rsid w:val="003F246F"/>
    <w:rsid w:val="003F25D9"/>
    <w:rsid w:val="003F2947"/>
    <w:rsid w:val="003F297D"/>
    <w:rsid w:val="003F2A37"/>
    <w:rsid w:val="003F2B2C"/>
    <w:rsid w:val="003F2C9D"/>
    <w:rsid w:val="003F2CDA"/>
    <w:rsid w:val="003F2ED5"/>
    <w:rsid w:val="003F318B"/>
    <w:rsid w:val="003F31DB"/>
    <w:rsid w:val="003F3200"/>
    <w:rsid w:val="003F3298"/>
    <w:rsid w:val="003F32B9"/>
    <w:rsid w:val="003F3351"/>
    <w:rsid w:val="003F3643"/>
    <w:rsid w:val="003F3659"/>
    <w:rsid w:val="003F38E9"/>
    <w:rsid w:val="003F3943"/>
    <w:rsid w:val="003F3970"/>
    <w:rsid w:val="003F3C28"/>
    <w:rsid w:val="003F3CEF"/>
    <w:rsid w:val="003F3F95"/>
    <w:rsid w:val="003F3FDF"/>
    <w:rsid w:val="003F4121"/>
    <w:rsid w:val="003F4145"/>
    <w:rsid w:val="003F41D5"/>
    <w:rsid w:val="003F42FD"/>
    <w:rsid w:val="003F45BE"/>
    <w:rsid w:val="003F4663"/>
    <w:rsid w:val="003F46BD"/>
    <w:rsid w:val="003F470E"/>
    <w:rsid w:val="003F47F4"/>
    <w:rsid w:val="003F4949"/>
    <w:rsid w:val="003F49BD"/>
    <w:rsid w:val="003F4AFD"/>
    <w:rsid w:val="003F4B59"/>
    <w:rsid w:val="003F4EBE"/>
    <w:rsid w:val="003F4F11"/>
    <w:rsid w:val="003F51F5"/>
    <w:rsid w:val="003F531B"/>
    <w:rsid w:val="003F557E"/>
    <w:rsid w:val="003F56F5"/>
    <w:rsid w:val="003F5715"/>
    <w:rsid w:val="003F57F8"/>
    <w:rsid w:val="003F58ED"/>
    <w:rsid w:val="003F5974"/>
    <w:rsid w:val="003F598A"/>
    <w:rsid w:val="003F5A66"/>
    <w:rsid w:val="003F5C36"/>
    <w:rsid w:val="003F5F2E"/>
    <w:rsid w:val="003F6117"/>
    <w:rsid w:val="003F61C6"/>
    <w:rsid w:val="003F6320"/>
    <w:rsid w:val="003F640E"/>
    <w:rsid w:val="003F6467"/>
    <w:rsid w:val="003F649A"/>
    <w:rsid w:val="003F67F0"/>
    <w:rsid w:val="003F6812"/>
    <w:rsid w:val="003F682F"/>
    <w:rsid w:val="003F6847"/>
    <w:rsid w:val="003F6885"/>
    <w:rsid w:val="003F690E"/>
    <w:rsid w:val="003F69C5"/>
    <w:rsid w:val="003F6A82"/>
    <w:rsid w:val="003F6CBD"/>
    <w:rsid w:val="003F6D44"/>
    <w:rsid w:val="003F6E81"/>
    <w:rsid w:val="003F7163"/>
    <w:rsid w:val="003F7526"/>
    <w:rsid w:val="003F7575"/>
    <w:rsid w:val="003F790D"/>
    <w:rsid w:val="003F791A"/>
    <w:rsid w:val="003F7D1C"/>
    <w:rsid w:val="004000CE"/>
    <w:rsid w:val="004000E5"/>
    <w:rsid w:val="00400174"/>
    <w:rsid w:val="004002A4"/>
    <w:rsid w:val="00400585"/>
    <w:rsid w:val="00400735"/>
    <w:rsid w:val="0040093E"/>
    <w:rsid w:val="00400987"/>
    <w:rsid w:val="004009D8"/>
    <w:rsid w:val="00400A96"/>
    <w:rsid w:val="00400B8B"/>
    <w:rsid w:val="00400D3E"/>
    <w:rsid w:val="00400F13"/>
    <w:rsid w:val="00400FA6"/>
    <w:rsid w:val="004010AA"/>
    <w:rsid w:val="004013BC"/>
    <w:rsid w:val="004013DD"/>
    <w:rsid w:val="004014B0"/>
    <w:rsid w:val="0040165D"/>
    <w:rsid w:val="004016F3"/>
    <w:rsid w:val="00401776"/>
    <w:rsid w:val="004019D5"/>
    <w:rsid w:val="00401A6A"/>
    <w:rsid w:val="00401C61"/>
    <w:rsid w:val="00401DFE"/>
    <w:rsid w:val="004025EC"/>
    <w:rsid w:val="00402734"/>
    <w:rsid w:val="004028CF"/>
    <w:rsid w:val="00402A10"/>
    <w:rsid w:val="00402AB0"/>
    <w:rsid w:val="00402AC4"/>
    <w:rsid w:val="00402D7C"/>
    <w:rsid w:val="00403071"/>
    <w:rsid w:val="004034FC"/>
    <w:rsid w:val="004035A4"/>
    <w:rsid w:val="00403645"/>
    <w:rsid w:val="00403AD1"/>
    <w:rsid w:val="00403AFF"/>
    <w:rsid w:val="00403C54"/>
    <w:rsid w:val="00403DFE"/>
    <w:rsid w:val="00403E4C"/>
    <w:rsid w:val="00403E69"/>
    <w:rsid w:val="004042AB"/>
    <w:rsid w:val="004043B7"/>
    <w:rsid w:val="004045BC"/>
    <w:rsid w:val="004045EE"/>
    <w:rsid w:val="00404771"/>
    <w:rsid w:val="00404A4F"/>
    <w:rsid w:val="00404DDD"/>
    <w:rsid w:val="00404F64"/>
    <w:rsid w:val="00404F7D"/>
    <w:rsid w:val="00405093"/>
    <w:rsid w:val="00405260"/>
    <w:rsid w:val="004053BE"/>
    <w:rsid w:val="00405544"/>
    <w:rsid w:val="0040566B"/>
    <w:rsid w:val="0040573C"/>
    <w:rsid w:val="004058C2"/>
    <w:rsid w:val="00405A3D"/>
    <w:rsid w:val="00405AA7"/>
    <w:rsid w:val="00405CAC"/>
    <w:rsid w:val="00405CCB"/>
    <w:rsid w:val="00405D7C"/>
    <w:rsid w:val="00405D8B"/>
    <w:rsid w:val="00406054"/>
    <w:rsid w:val="004060DD"/>
    <w:rsid w:val="00406124"/>
    <w:rsid w:val="00406577"/>
    <w:rsid w:val="00406592"/>
    <w:rsid w:val="00406833"/>
    <w:rsid w:val="0040691C"/>
    <w:rsid w:val="0040697C"/>
    <w:rsid w:val="00406A79"/>
    <w:rsid w:val="00406AA2"/>
    <w:rsid w:val="00406B0F"/>
    <w:rsid w:val="00406BF0"/>
    <w:rsid w:val="0040728D"/>
    <w:rsid w:val="004073B4"/>
    <w:rsid w:val="004074B5"/>
    <w:rsid w:val="00407561"/>
    <w:rsid w:val="0040763B"/>
    <w:rsid w:val="004076C1"/>
    <w:rsid w:val="00407B41"/>
    <w:rsid w:val="00407C56"/>
    <w:rsid w:val="00407C7E"/>
    <w:rsid w:val="00407D22"/>
    <w:rsid w:val="00407D7D"/>
    <w:rsid w:val="00407E26"/>
    <w:rsid w:val="00407EB9"/>
    <w:rsid w:val="004104D6"/>
    <w:rsid w:val="0041068C"/>
    <w:rsid w:val="004106EE"/>
    <w:rsid w:val="00410772"/>
    <w:rsid w:val="00410950"/>
    <w:rsid w:val="00410A97"/>
    <w:rsid w:val="00410D51"/>
    <w:rsid w:val="00410DF7"/>
    <w:rsid w:val="00410F1D"/>
    <w:rsid w:val="0041116C"/>
    <w:rsid w:val="004112CB"/>
    <w:rsid w:val="0041135C"/>
    <w:rsid w:val="00411415"/>
    <w:rsid w:val="004114CC"/>
    <w:rsid w:val="00411535"/>
    <w:rsid w:val="00411537"/>
    <w:rsid w:val="00411593"/>
    <w:rsid w:val="00411823"/>
    <w:rsid w:val="00411843"/>
    <w:rsid w:val="00411E2C"/>
    <w:rsid w:val="00411F4B"/>
    <w:rsid w:val="004120F3"/>
    <w:rsid w:val="0041227B"/>
    <w:rsid w:val="0041246E"/>
    <w:rsid w:val="00412532"/>
    <w:rsid w:val="00412779"/>
    <w:rsid w:val="004129B9"/>
    <w:rsid w:val="00412A9B"/>
    <w:rsid w:val="00412AAA"/>
    <w:rsid w:val="00412C12"/>
    <w:rsid w:val="00412DA7"/>
    <w:rsid w:val="00412DF4"/>
    <w:rsid w:val="0041319C"/>
    <w:rsid w:val="00413572"/>
    <w:rsid w:val="00413684"/>
    <w:rsid w:val="00413C14"/>
    <w:rsid w:val="00413CD0"/>
    <w:rsid w:val="00413CEC"/>
    <w:rsid w:val="00413EA6"/>
    <w:rsid w:val="004141CE"/>
    <w:rsid w:val="004141DD"/>
    <w:rsid w:val="0041436E"/>
    <w:rsid w:val="0041448F"/>
    <w:rsid w:val="00414649"/>
    <w:rsid w:val="00414875"/>
    <w:rsid w:val="0041498A"/>
    <w:rsid w:val="00414B16"/>
    <w:rsid w:val="00414BD5"/>
    <w:rsid w:val="00414F21"/>
    <w:rsid w:val="00414F4A"/>
    <w:rsid w:val="004150F9"/>
    <w:rsid w:val="00415174"/>
    <w:rsid w:val="00415177"/>
    <w:rsid w:val="00415272"/>
    <w:rsid w:val="00415683"/>
    <w:rsid w:val="00415865"/>
    <w:rsid w:val="00415B62"/>
    <w:rsid w:val="00415BAF"/>
    <w:rsid w:val="00415BDF"/>
    <w:rsid w:val="00415CB4"/>
    <w:rsid w:val="00415E55"/>
    <w:rsid w:val="00415ED2"/>
    <w:rsid w:val="00415F1F"/>
    <w:rsid w:val="00416183"/>
    <w:rsid w:val="00416188"/>
    <w:rsid w:val="004162B8"/>
    <w:rsid w:val="00416B3E"/>
    <w:rsid w:val="00416C85"/>
    <w:rsid w:val="0041720F"/>
    <w:rsid w:val="00417304"/>
    <w:rsid w:val="00417630"/>
    <w:rsid w:val="0041787E"/>
    <w:rsid w:val="00417916"/>
    <w:rsid w:val="00417ABD"/>
    <w:rsid w:val="00417B5D"/>
    <w:rsid w:val="00417BF9"/>
    <w:rsid w:val="00417EEB"/>
    <w:rsid w:val="00417F7F"/>
    <w:rsid w:val="00417FB0"/>
    <w:rsid w:val="00420080"/>
    <w:rsid w:val="004202DD"/>
    <w:rsid w:val="0042076D"/>
    <w:rsid w:val="004208FC"/>
    <w:rsid w:val="00420927"/>
    <w:rsid w:val="00420B53"/>
    <w:rsid w:val="00420F01"/>
    <w:rsid w:val="00421761"/>
    <w:rsid w:val="00421A02"/>
    <w:rsid w:val="00421A72"/>
    <w:rsid w:val="00421C95"/>
    <w:rsid w:val="00421D1D"/>
    <w:rsid w:val="00421DCD"/>
    <w:rsid w:val="00421FB9"/>
    <w:rsid w:val="00422475"/>
    <w:rsid w:val="00422560"/>
    <w:rsid w:val="004226CC"/>
    <w:rsid w:val="0042270F"/>
    <w:rsid w:val="004227CB"/>
    <w:rsid w:val="00422811"/>
    <w:rsid w:val="00422DD9"/>
    <w:rsid w:val="00422DE4"/>
    <w:rsid w:val="00422E28"/>
    <w:rsid w:val="00422E99"/>
    <w:rsid w:val="00422FF5"/>
    <w:rsid w:val="00423167"/>
    <w:rsid w:val="004231FE"/>
    <w:rsid w:val="004232DD"/>
    <w:rsid w:val="0042335A"/>
    <w:rsid w:val="00423412"/>
    <w:rsid w:val="004235A2"/>
    <w:rsid w:val="00423721"/>
    <w:rsid w:val="00423768"/>
    <w:rsid w:val="0042391B"/>
    <w:rsid w:val="004239F5"/>
    <w:rsid w:val="00423CC4"/>
    <w:rsid w:val="00423CF0"/>
    <w:rsid w:val="00423F7A"/>
    <w:rsid w:val="0042403D"/>
    <w:rsid w:val="004242F0"/>
    <w:rsid w:val="004246DD"/>
    <w:rsid w:val="004247E7"/>
    <w:rsid w:val="0042493E"/>
    <w:rsid w:val="00424A81"/>
    <w:rsid w:val="00424BAF"/>
    <w:rsid w:val="00424D15"/>
    <w:rsid w:val="00424D30"/>
    <w:rsid w:val="00424E19"/>
    <w:rsid w:val="00425549"/>
    <w:rsid w:val="004255C0"/>
    <w:rsid w:val="004255CF"/>
    <w:rsid w:val="00425687"/>
    <w:rsid w:val="004258E5"/>
    <w:rsid w:val="00425B2E"/>
    <w:rsid w:val="00425DF9"/>
    <w:rsid w:val="0042604B"/>
    <w:rsid w:val="00426418"/>
    <w:rsid w:val="00426591"/>
    <w:rsid w:val="004267CF"/>
    <w:rsid w:val="00426871"/>
    <w:rsid w:val="00426997"/>
    <w:rsid w:val="00426A98"/>
    <w:rsid w:val="00426B78"/>
    <w:rsid w:val="00426CF3"/>
    <w:rsid w:val="00427061"/>
    <w:rsid w:val="00427130"/>
    <w:rsid w:val="004274CE"/>
    <w:rsid w:val="004279A3"/>
    <w:rsid w:val="004279D2"/>
    <w:rsid w:val="00427BC8"/>
    <w:rsid w:val="00427BF6"/>
    <w:rsid w:val="00427C6C"/>
    <w:rsid w:val="00427D76"/>
    <w:rsid w:val="00427E50"/>
    <w:rsid w:val="0043028F"/>
    <w:rsid w:val="004304CA"/>
    <w:rsid w:val="004304FA"/>
    <w:rsid w:val="00430799"/>
    <w:rsid w:val="00430A9A"/>
    <w:rsid w:val="00430B42"/>
    <w:rsid w:val="00430BC8"/>
    <w:rsid w:val="00430D20"/>
    <w:rsid w:val="00430D22"/>
    <w:rsid w:val="00430DAE"/>
    <w:rsid w:val="00430DBF"/>
    <w:rsid w:val="00430E0E"/>
    <w:rsid w:val="00430EF3"/>
    <w:rsid w:val="00430F83"/>
    <w:rsid w:val="004311AA"/>
    <w:rsid w:val="00431209"/>
    <w:rsid w:val="00431276"/>
    <w:rsid w:val="00431281"/>
    <w:rsid w:val="004312E2"/>
    <w:rsid w:val="00431574"/>
    <w:rsid w:val="0043183A"/>
    <w:rsid w:val="00431972"/>
    <w:rsid w:val="004319F9"/>
    <w:rsid w:val="00431B4C"/>
    <w:rsid w:val="00431BCE"/>
    <w:rsid w:val="00431D0E"/>
    <w:rsid w:val="00431DB6"/>
    <w:rsid w:val="00431E6B"/>
    <w:rsid w:val="0043217B"/>
    <w:rsid w:val="0043239F"/>
    <w:rsid w:val="004323E4"/>
    <w:rsid w:val="00432404"/>
    <w:rsid w:val="00432447"/>
    <w:rsid w:val="00432477"/>
    <w:rsid w:val="004325B4"/>
    <w:rsid w:val="004326E1"/>
    <w:rsid w:val="0043297D"/>
    <w:rsid w:val="00432E98"/>
    <w:rsid w:val="00432F47"/>
    <w:rsid w:val="0043302C"/>
    <w:rsid w:val="004332A7"/>
    <w:rsid w:val="00433395"/>
    <w:rsid w:val="004333B9"/>
    <w:rsid w:val="00433416"/>
    <w:rsid w:val="00433677"/>
    <w:rsid w:val="0043385F"/>
    <w:rsid w:val="00433885"/>
    <w:rsid w:val="004338F4"/>
    <w:rsid w:val="00433BAD"/>
    <w:rsid w:val="00433C61"/>
    <w:rsid w:val="00433C6D"/>
    <w:rsid w:val="00434172"/>
    <w:rsid w:val="00434361"/>
    <w:rsid w:val="00434362"/>
    <w:rsid w:val="004343C6"/>
    <w:rsid w:val="0043460C"/>
    <w:rsid w:val="004346B2"/>
    <w:rsid w:val="004346BF"/>
    <w:rsid w:val="004348BC"/>
    <w:rsid w:val="00434A7E"/>
    <w:rsid w:val="00434BE6"/>
    <w:rsid w:val="00434DCE"/>
    <w:rsid w:val="00434DDF"/>
    <w:rsid w:val="00434DFC"/>
    <w:rsid w:val="00434F6E"/>
    <w:rsid w:val="0043500D"/>
    <w:rsid w:val="004350A9"/>
    <w:rsid w:val="00435201"/>
    <w:rsid w:val="0043538D"/>
    <w:rsid w:val="004353BC"/>
    <w:rsid w:val="00435501"/>
    <w:rsid w:val="0043552E"/>
    <w:rsid w:val="004355C3"/>
    <w:rsid w:val="004357F5"/>
    <w:rsid w:val="0043591D"/>
    <w:rsid w:val="0043597B"/>
    <w:rsid w:val="00435A82"/>
    <w:rsid w:val="00435B4D"/>
    <w:rsid w:val="0043614F"/>
    <w:rsid w:val="0043629F"/>
    <w:rsid w:val="00436454"/>
    <w:rsid w:val="004366BE"/>
    <w:rsid w:val="00436722"/>
    <w:rsid w:val="0043672F"/>
    <w:rsid w:val="00436787"/>
    <w:rsid w:val="00436C83"/>
    <w:rsid w:val="00436D13"/>
    <w:rsid w:val="00436EBC"/>
    <w:rsid w:val="0043704F"/>
    <w:rsid w:val="004374AD"/>
    <w:rsid w:val="004375C4"/>
    <w:rsid w:val="00437884"/>
    <w:rsid w:val="00437918"/>
    <w:rsid w:val="00437D60"/>
    <w:rsid w:val="00440300"/>
    <w:rsid w:val="0044038A"/>
    <w:rsid w:val="0044043E"/>
    <w:rsid w:val="00440629"/>
    <w:rsid w:val="0044089F"/>
    <w:rsid w:val="00440903"/>
    <w:rsid w:val="004409B6"/>
    <w:rsid w:val="00440B54"/>
    <w:rsid w:val="00440C6B"/>
    <w:rsid w:val="00440E91"/>
    <w:rsid w:val="004411A3"/>
    <w:rsid w:val="0044120A"/>
    <w:rsid w:val="00441366"/>
    <w:rsid w:val="00441711"/>
    <w:rsid w:val="00441738"/>
    <w:rsid w:val="0044173F"/>
    <w:rsid w:val="004417AF"/>
    <w:rsid w:val="00441891"/>
    <w:rsid w:val="00441F0C"/>
    <w:rsid w:val="00441FF5"/>
    <w:rsid w:val="004426CD"/>
    <w:rsid w:val="00442BF3"/>
    <w:rsid w:val="00442C32"/>
    <w:rsid w:val="00442D78"/>
    <w:rsid w:val="00442E89"/>
    <w:rsid w:val="00442EE7"/>
    <w:rsid w:val="0044334C"/>
    <w:rsid w:val="00443464"/>
    <w:rsid w:val="004435E2"/>
    <w:rsid w:val="00443901"/>
    <w:rsid w:val="00443B66"/>
    <w:rsid w:val="00443FB9"/>
    <w:rsid w:val="004441C2"/>
    <w:rsid w:val="00444219"/>
    <w:rsid w:val="00444238"/>
    <w:rsid w:val="00444266"/>
    <w:rsid w:val="00444292"/>
    <w:rsid w:val="004444A0"/>
    <w:rsid w:val="004447FA"/>
    <w:rsid w:val="004447FF"/>
    <w:rsid w:val="00444819"/>
    <w:rsid w:val="004448EC"/>
    <w:rsid w:val="00444D79"/>
    <w:rsid w:val="00444E90"/>
    <w:rsid w:val="00444FCB"/>
    <w:rsid w:val="004451BD"/>
    <w:rsid w:val="004452AD"/>
    <w:rsid w:val="0044530F"/>
    <w:rsid w:val="00445636"/>
    <w:rsid w:val="0044571A"/>
    <w:rsid w:val="004457BC"/>
    <w:rsid w:val="00445832"/>
    <w:rsid w:val="0044598C"/>
    <w:rsid w:val="004459C6"/>
    <w:rsid w:val="00445DDF"/>
    <w:rsid w:val="00445E31"/>
    <w:rsid w:val="00445E39"/>
    <w:rsid w:val="00446047"/>
    <w:rsid w:val="0044607A"/>
    <w:rsid w:val="00446097"/>
    <w:rsid w:val="004462BF"/>
    <w:rsid w:val="0044649B"/>
    <w:rsid w:val="00446526"/>
    <w:rsid w:val="00446536"/>
    <w:rsid w:val="0044668E"/>
    <w:rsid w:val="00446857"/>
    <w:rsid w:val="0044698A"/>
    <w:rsid w:val="00446D0A"/>
    <w:rsid w:val="00446D54"/>
    <w:rsid w:val="00446DE1"/>
    <w:rsid w:val="00446E22"/>
    <w:rsid w:val="00446F63"/>
    <w:rsid w:val="00447035"/>
    <w:rsid w:val="00447575"/>
    <w:rsid w:val="00447A23"/>
    <w:rsid w:val="00447A42"/>
    <w:rsid w:val="00447DCB"/>
    <w:rsid w:val="00447E4B"/>
    <w:rsid w:val="00447EB5"/>
    <w:rsid w:val="00450560"/>
    <w:rsid w:val="004505AD"/>
    <w:rsid w:val="004505C2"/>
    <w:rsid w:val="004508DF"/>
    <w:rsid w:val="00450A7C"/>
    <w:rsid w:val="00450BC8"/>
    <w:rsid w:val="00450D40"/>
    <w:rsid w:val="00450E94"/>
    <w:rsid w:val="00451504"/>
    <w:rsid w:val="004517FD"/>
    <w:rsid w:val="00451836"/>
    <w:rsid w:val="004518E2"/>
    <w:rsid w:val="00451A17"/>
    <w:rsid w:val="00451BDC"/>
    <w:rsid w:val="00451D9A"/>
    <w:rsid w:val="00451D9F"/>
    <w:rsid w:val="00451DE2"/>
    <w:rsid w:val="0045208F"/>
    <w:rsid w:val="004520E7"/>
    <w:rsid w:val="004521ED"/>
    <w:rsid w:val="004522E1"/>
    <w:rsid w:val="00452309"/>
    <w:rsid w:val="004524A2"/>
    <w:rsid w:val="0045280F"/>
    <w:rsid w:val="0045287C"/>
    <w:rsid w:val="0045294C"/>
    <w:rsid w:val="00452A53"/>
    <w:rsid w:val="00452AB9"/>
    <w:rsid w:val="00452B11"/>
    <w:rsid w:val="00452B94"/>
    <w:rsid w:val="00452BD2"/>
    <w:rsid w:val="00452C20"/>
    <w:rsid w:val="00452F8B"/>
    <w:rsid w:val="00452FBA"/>
    <w:rsid w:val="00452FCA"/>
    <w:rsid w:val="0045318E"/>
    <w:rsid w:val="0045321F"/>
    <w:rsid w:val="004533D3"/>
    <w:rsid w:val="004534EB"/>
    <w:rsid w:val="004536B0"/>
    <w:rsid w:val="00453ACC"/>
    <w:rsid w:val="00453BE0"/>
    <w:rsid w:val="00453D54"/>
    <w:rsid w:val="00453EC2"/>
    <w:rsid w:val="00453F87"/>
    <w:rsid w:val="00454162"/>
    <w:rsid w:val="00454171"/>
    <w:rsid w:val="00454184"/>
    <w:rsid w:val="004542EF"/>
    <w:rsid w:val="00454682"/>
    <w:rsid w:val="004547C1"/>
    <w:rsid w:val="004547C5"/>
    <w:rsid w:val="00454864"/>
    <w:rsid w:val="0045493B"/>
    <w:rsid w:val="00454992"/>
    <w:rsid w:val="00454B9C"/>
    <w:rsid w:val="00454C6C"/>
    <w:rsid w:val="00454ED1"/>
    <w:rsid w:val="00454F85"/>
    <w:rsid w:val="00455045"/>
    <w:rsid w:val="004550E6"/>
    <w:rsid w:val="00455142"/>
    <w:rsid w:val="0045515F"/>
    <w:rsid w:val="00455246"/>
    <w:rsid w:val="004553A3"/>
    <w:rsid w:val="00455637"/>
    <w:rsid w:val="00455709"/>
    <w:rsid w:val="004557CA"/>
    <w:rsid w:val="00455B90"/>
    <w:rsid w:val="00455E3F"/>
    <w:rsid w:val="00455EF3"/>
    <w:rsid w:val="00455F65"/>
    <w:rsid w:val="00455FD1"/>
    <w:rsid w:val="00456020"/>
    <w:rsid w:val="00456137"/>
    <w:rsid w:val="004562A6"/>
    <w:rsid w:val="004562E4"/>
    <w:rsid w:val="00456305"/>
    <w:rsid w:val="00456DAD"/>
    <w:rsid w:val="00456FA0"/>
    <w:rsid w:val="00457131"/>
    <w:rsid w:val="004572DD"/>
    <w:rsid w:val="004573CE"/>
    <w:rsid w:val="00457DE3"/>
    <w:rsid w:val="00457DE4"/>
    <w:rsid w:val="00457DFC"/>
    <w:rsid w:val="00457E50"/>
    <w:rsid w:val="0046000D"/>
    <w:rsid w:val="00460060"/>
    <w:rsid w:val="004600B9"/>
    <w:rsid w:val="004601C3"/>
    <w:rsid w:val="00460360"/>
    <w:rsid w:val="0046039C"/>
    <w:rsid w:val="00460472"/>
    <w:rsid w:val="004607BA"/>
    <w:rsid w:val="00460BAA"/>
    <w:rsid w:val="00460C4E"/>
    <w:rsid w:val="00460C89"/>
    <w:rsid w:val="00460F53"/>
    <w:rsid w:val="004611AA"/>
    <w:rsid w:val="004611C6"/>
    <w:rsid w:val="0046125B"/>
    <w:rsid w:val="004612C5"/>
    <w:rsid w:val="0046148C"/>
    <w:rsid w:val="00461593"/>
    <w:rsid w:val="00461B1C"/>
    <w:rsid w:val="00461D61"/>
    <w:rsid w:val="0046202A"/>
    <w:rsid w:val="00462049"/>
    <w:rsid w:val="004620AF"/>
    <w:rsid w:val="004622AC"/>
    <w:rsid w:val="0046249A"/>
    <w:rsid w:val="0046291E"/>
    <w:rsid w:val="00462A24"/>
    <w:rsid w:val="00462AFF"/>
    <w:rsid w:val="00462B94"/>
    <w:rsid w:val="00462CB5"/>
    <w:rsid w:val="00462D08"/>
    <w:rsid w:val="0046307D"/>
    <w:rsid w:val="00463333"/>
    <w:rsid w:val="00463575"/>
    <w:rsid w:val="00463AD4"/>
    <w:rsid w:val="00463BEF"/>
    <w:rsid w:val="00463C10"/>
    <w:rsid w:val="00463E4E"/>
    <w:rsid w:val="00464287"/>
    <w:rsid w:val="0046451E"/>
    <w:rsid w:val="0046458E"/>
    <w:rsid w:val="00464BEC"/>
    <w:rsid w:val="00464D90"/>
    <w:rsid w:val="00464DDD"/>
    <w:rsid w:val="00464E8F"/>
    <w:rsid w:val="00464FA9"/>
    <w:rsid w:val="004651FF"/>
    <w:rsid w:val="00465594"/>
    <w:rsid w:val="0046576A"/>
    <w:rsid w:val="00465827"/>
    <w:rsid w:val="00465BB8"/>
    <w:rsid w:val="00465C1C"/>
    <w:rsid w:val="00465CBF"/>
    <w:rsid w:val="00465EB7"/>
    <w:rsid w:val="00465FAA"/>
    <w:rsid w:val="00465FC7"/>
    <w:rsid w:val="00465FC8"/>
    <w:rsid w:val="00466091"/>
    <w:rsid w:val="004661D7"/>
    <w:rsid w:val="004662BC"/>
    <w:rsid w:val="00466521"/>
    <w:rsid w:val="00466585"/>
    <w:rsid w:val="00466860"/>
    <w:rsid w:val="004668E8"/>
    <w:rsid w:val="004669FC"/>
    <w:rsid w:val="00466B86"/>
    <w:rsid w:val="00466C20"/>
    <w:rsid w:val="00466D1F"/>
    <w:rsid w:val="00467143"/>
    <w:rsid w:val="0046714A"/>
    <w:rsid w:val="004671C8"/>
    <w:rsid w:val="00467379"/>
    <w:rsid w:val="004675C3"/>
    <w:rsid w:val="00467629"/>
    <w:rsid w:val="00467691"/>
    <w:rsid w:val="0046775B"/>
    <w:rsid w:val="004677AC"/>
    <w:rsid w:val="00467826"/>
    <w:rsid w:val="00467845"/>
    <w:rsid w:val="00467B81"/>
    <w:rsid w:val="00467C10"/>
    <w:rsid w:val="00467D91"/>
    <w:rsid w:val="00467DC2"/>
    <w:rsid w:val="00467EA0"/>
    <w:rsid w:val="00470012"/>
    <w:rsid w:val="00470295"/>
    <w:rsid w:val="00470481"/>
    <w:rsid w:val="0047048F"/>
    <w:rsid w:val="004704A4"/>
    <w:rsid w:val="004708BD"/>
    <w:rsid w:val="00470A7B"/>
    <w:rsid w:val="00470AC7"/>
    <w:rsid w:val="00470AFF"/>
    <w:rsid w:val="00470BF0"/>
    <w:rsid w:val="00470CB7"/>
    <w:rsid w:val="00470CD0"/>
    <w:rsid w:val="00470D24"/>
    <w:rsid w:val="00470E59"/>
    <w:rsid w:val="00470F65"/>
    <w:rsid w:val="00471038"/>
    <w:rsid w:val="00471350"/>
    <w:rsid w:val="00471556"/>
    <w:rsid w:val="004717A7"/>
    <w:rsid w:val="0047181D"/>
    <w:rsid w:val="004719DF"/>
    <w:rsid w:val="00471EFC"/>
    <w:rsid w:val="00472038"/>
    <w:rsid w:val="0047220F"/>
    <w:rsid w:val="00472433"/>
    <w:rsid w:val="004724AB"/>
    <w:rsid w:val="004725E3"/>
    <w:rsid w:val="00472632"/>
    <w:rsid w:val="00472663"/>
    <w:rsid w:val="004727F1"/>
    <w:rsid w:val="00472AAF"/>
    <w:rsid w:val="00472B55"/>
    <w:rsid w:val="00472C5D"/>
    <w:rsid w:val="00472CF8"/>
    <w:rsid w:val="00472DDB"/>
    <w:rsid w:val="00472EBF"/>
    <w:rsid w:val="00472F73"/>
    <w:rsid w:val="00472FBB"/>
    <w:rsid w:val="00473081"/>
    <w:rsid w:val="00473410"/>
    <w:rsid w:val="004734D6"/>
    <w:rsid w:val="004735FE"/>
    <w:rsid w:val="00473667"/>
    <w:rsid w:val="00473689"/>
    <w:rsid w:val="0047371D"/>
    <w:rsid w:val="00473836"/>
    <w:rsid w:val="004739D5"/>
    <w:rsid w:val="004739FD"/>
    <w:rsid w:val="00473A76"/>
    <w:rsid w:val="00473ABA"/>
    <w:rsid w:val="00473C24"/>
    <w:rsid w:val="00473D4F"/>
    <w:rsid w:val="00473D52"/>
    <w:rsid w:val="00473D8D"/>
    <w:rsid w:val="00473DDB"/>
    <w:rsid w:val="00473DFF"/>
    <w:rsid w:val="00474168"/>
    <w:rsid w:val="004741E3"/>
    <w:rsid w:val="00474A49"/>
    <w:rsid w:val="00474B12"/>
    <w:rsid w:val="00474C09"/>
    <w:rsid w:val="00474D16"/>
    <w:rsid w:val="00474D2D"/>
    <w:rsid w:val="00474DBE"/>
    <w:rsid w:val="0047500E"/>
    <w:rsid w:val="004753D1"/>
    <w:rsid w:val="004754AD"/>
    <w:rsid w:val="004754E6"/>
    <w:rsid w:val="00475516"/>
    <w:rsid w:val="004756CA"/>
    <w:rsid w:val="0047590B"/>
    <w:rsid w:val="00475922"/>
    <w:rsid w:val="004759F0"/>
    <w:rsid w:val="00475B28"/>
    <w:rsid w:val="00475B58"/>
    <w:rsid w:val="00475DC1"/>
    <w:rsid w:val="00475E18"/>
    <w:rsid w:val="00476007"/>
    <w:rsid w:val="004760C8"/>
    <w:rsid w:val="0047626C"/>
    <w:rsid w:val="0047630D"/>
    <w:rsid w:val="00476370"/>
    <w:rsid w:val="004763A0"/>
    <w:rsid w:val="00476592"/>
    <w:rsid w:val="0047661F"/>
    <w:rsid w:val="00476728"/>
    <w:rsid w:val="004769FB"/>
    <w:rsid w:val="00476B16"/>
    <w:rsid w:val="00476BC0"/>
    <w:rsid w:val="00476CB6"/>
    <w:rsid w:val="00476CF2"/>
    <w:rsid w:val="004770EE"/>
    <w:rsid w:val="00477460"/>
    <w:rsid w:val="0047774D"/>
    <w:rsid w:val="00477886"/>
    <w:rsid w:val="004778E1"/>
    <w:rsid w:val="0047796C"/>
    <w:rsid w:val="004779CE"/>
    <w:rsid w:val="00477E6A"/>
    <w:rsid w:val="00477EC1"/>
    <w:rsid w:val="0048005D"/>
    <w:rsid w:val="00480098"/>
    <w:rsid w:val="004801A6"/>
    <w:rsid w:val="00480395"/>
    <w:rsid w:val="00480916"/>
    <w:rsid w:val="00480D37"/>
    <w:rsid w:val="00480DA3"/>
    <w:rsid w:val="00480E40"/>
    <w:rsid w:val="00480F5D"/>
    <w:rsid w:val="0048161F"/>
    <w:rsid w:val="00481BFD"/>
    <w:rsid w:val="00481C25"/>
    <w:rsid w:val="00481DA2"/>
    <w:rsid w:val="00481DA7"/>
    <w:rsid w:val="00481E88"/>
    <w:rsid w:val="00481EAB"/>
    <w:rsid w:val="00482031"/>
    <w:rsid w:val="00482407"/>
    <w:rsid w:val="004826BF"/>
    <w:rsid w:val="004826C2"/>
    <w:rsid w:val="004827B1"/>
    <w:rsid w:val="004827F7"/>
    <w:rsid w:val="00482873"/>
    <w:rsid w:val="00482887"/>
    <w:rsid w:val="00482955"/>
    <w:rsid w:val="00482A13"/>
    <w:rsid w:val="00482A42"/>
    <w:rsid w:val="00482A5D"/>
    <w:rsid w:val="00482BAF"/>
    <w:rsid w:val="00482C25"/>
    <w:rsid w:val="00482D26"/>
    <w:rsid w:val="00482DA5"/>
    <w:rsid w:val="00482DB2"/>
    <w:rsid w:val="00482E79"/>
    <w:rsid w:val="00482EA7"/>
    <w:rsid w:val="00482EDC"/>
    <w:rsid w:val="00483141"/>
    <w:rsid w:val="004833A9"/>
    <w:rsid w:val="00483607"/>
    <w:rsid w:val="004839A2"/>
    <w:rsid w:val="00483C99"/>
    <w:rsid w:val="00483DE2"/>
    <w:rsid w:val="00483E95"/>
    <w:rsid w:val="004840F6"/>
    <w:rsid w:val="00484336"/>
    <w:rsid w:val="004843F6"/>
    <w:rsid w:val="00484403"/>
    <w:rsid w:val="00484502"/>
    <w:rsid w:val="00484523"/>
    <w:rsid w:val="00484AE7"/>
    <w:rsid w:val="00484CDE"/>
    <w:rsid w:val="0048505A"/>
    <w:rsid w:val="0048511A"/>
    <w:rsid w:val="0048525A"/>
    <w:rsid w:val="004855A5"/>
    <w:rsid w:val="004855C6"/>
    <w:rsid w:val="00485618"/>
    <w:rsid w:val="00485767"/>
    <w:rsid w:val="00485789"/>
    <w:rsid w:val="00485846"/>
    <w:rsid w:val="00485B9B"/>
    <w:rsid w:val="00485C6D"/>
    <w:rsid w:val="0048612E"/>
    <w:rsid w:val="00486175"/>
    <w:rsid w:val="0048627C"/>
    <w:rsid w:val="00486336"/>
    <w:rsid w:val="00486476"/>
    <w:rsid w:val="00486599"/>
    <w:rsid w:val="0048662F"/>
    <w:rsid w:val="004868F7"/>
    <w:rsid w:val="00486C0F"/>
    <w:rsid w:val="004871A8"/>
    <w:rsid w:val="004871C6"/>
    <w:rsid w:val="0048722A"/>
    <w:rsid w:val="0048757B"/>
    <w:rsid w:val="00487618"/>
    <w:rsid w:val="00487772"/>
    <w:rsid w:val="00487822"/>
    <w:rsid w:val="004879D7"/>
    <w:rsid w:val="00487A97"/>
    <w:rsid w:val="00487E4B"/>
    <w:rsid w:val="00487EF0"/>
    <w:rsid w:val="00487EFE"/>
    <w:rsid w:val="00487F46"/>
    <w:rsid w:val="00487F55"/>
    <w:rsid w:val="00490378"/>
    <w:rsid w:val="0049056C"/>
    <w:rsid w:val="00490587"/>
    <w:rsid w:val="00490706"/>
    <w:rsid w:val="004909D3"/>
    <w:rsid w:val="00490DFB"/>
    <w:rsid w:val="004913ED"/>
    <w:rsid w:val="00491447"/>
    <w:rsid w:val="00491469"/>
    <w:rsid w:val="0049162B"/>
    <w:rsid w:val="00491706"/>
    <w:rsid w:val="004918F2"/>
    <w:rsid w:val="00491AE1"/>
    <w:rsid w:val="00491B90"/>
    <w:rsid w:val="00491DDC"/>
    <w:rsid w:val="0049219C"/>
    <w:rsid w:val="00492468"/>
    <w:rsid w:val="004924D1"/>
    <w:rsid w:val="004925A1"/>
    <w:rsid w:val="00492833"/>
    <w:rsid w:val="004929DE"/>
    <w:rsid w:val="00492CB7"/>
    <w:rsid w:val="00492D19"/>
    <w:rsid w:val="00492E75"/>
    <w:rsid w:val="004931C0"/>
    <w:rsid w:val="00493471"/>
    <w:rsid w:val="004934AD"/>
    <w:rsid w:val="0049350C"/>
    <w:rsid w:val="00493546"/>
    <w:rsid w:val="004935DC"/>
    <w:rsid w:val="00493758"/>
    <w:rsid w:val="004938AF"/>
    <w:rsid w:val="00493945"/>
    <w:rsid w:val="00493C21"/>
    <w:rsid w:val="00493D48"/>
    <w:rsid w:val="00493E80"/>
    <w:rsid w:val="00493F13"/>
    <w:rsid w:val="00494274"/>
    <w:rsid w:val="004942E4"/>
    <w:rsid w:val="00494475"/>
    <w:rsid w:val="004944C5"/>
    <w:rsid w:val="00494566"/>
    <w:rsid w:val="004945F2"/>
    <w:rsid w:val="004947F8"/>
    <w:rsid w:val="00494991"/>
    <w:rsid w:val="00494C6D"/>
    <w:rsid w:val="00494CE8"/>
    <w:rsid w:val="00494D63"/>
    <w:rsid w:val="00494DBA"/>
    <w:rsid w:val="00494E1E"/>
    <w:rsid w:val="00495124"/>
    <w:rsid w:val="00495235"/>
    <w:rsid w:val="00495331"/>
    <w:rsid w:val="0049584E"/>
    <w:rsid w:val="004959CF"/>
    <w:rsid w:val="004959E9"/>
    <w:rsid w:val="00495AE6"/>
    <w:rsid w:val="00495C81"/>
    <w:rsid w:val="00495CD6"/>
    <w:rsid w:val="00495DEE"/>
    <w:rsid w:val="00495EB0"/>
    <w:rsid w:val="00496047"/>
    <w:rsid w:val="00496073"/>
    <w:rsid w:val="00496219"/>
    <w:rsid w:val="0049631E"/>
    <w:rsid w:val="004963B1"/>
    <w:rsid w:val="00496450"/>
    <w:rsid w:val="0049645E"/>
    <w:rsid w:val="00496634"/>
    <w:rsid w:val="00496639"/>
    <w:rsid w:val="00496960"/>
    <w:rsid w:val="00496A54"/>
    <w:rsid w:val="00496A77"/>
    <w:rsid w:val="00496A83"/>
    <w:rsid w:val="00496B42"/>
    <w:rsid w:val="00496CF9"/>
    <w:rsid w:val="00496DE0"/>
    <w:rsid w:val="00496DFE"/>
    <w:rsid w:val="00496FD1"/>
    <w:rsid w:val="0049711B"/>
    <w:rsid w:val="004974B1"/>
    <w:rsid w:val="0049759F"/>
    <w:rsid w:val="004976E1"/>
    <w:rsid w:val="004979A4"/>
    <w:rsid w:val="004979BC"/>
    <w:rsid w:val="00497B20"/>
    <w:rsid w:val="00497C02"/>
    <w:rsid w:val="00497D8C"/>
    <w:rsid w:val="00497DCF"/>
    <w:rsid w:val="00497E95"/>
    <w:rsid w:val="00497EC7"/>
    <w:rsid w:val="00497FB4"/>
    <w:rsid w:val="004A00D0"/>
    <w:rsid w:val="004A0290"/>
    <w:rsid w:val="004A030B"/>
    <w:rsid w:val="004A03B3"/>
    <w:rsid w:val="004A03CE"/>
    <w:rsid w:val="004A042E"/>
    <w:rsid w:val="004A04C0"/>
    <w:rsid w:val="004A0820"/>
    <w:rsid w:val="004A0972"/>
    <w:rsid w:val="004A0AE5"/>
    <w:rsid w:val="004A0D67"/>
    <w:rsid w:val="004A0DF1"/>
    <w:rsid w:val="004A0FDB"/>
    <w:rsid w:val="004A109A"/>
    <w:rsid w:val="004A1296"/>
    <w:rsid w:val="004A1440"/>
    <w:rsid w:val="004A15D7"/>
    <w:rsid w:val="004A1972"/>
    <w:rsid w:val="004A19DA"/>
    <w:rsid w:val="004A1B2D"/>
    <w:rsid w:val="004A1D1D"/>
    <w:rsid w:val="004A1DB0"/>
    <w:rsid w:val="004A1F14"/>
    <w:rsid w:val="004A1F26"/>
    <w:rsid w:val="004A2154"/>
    <w:rsid w:val="004A21F5"/>
    <w:rsid w:val="004A222B"/>
    <w:rsid w:val="004A2338"/>
    <w:rsid w:val="004A234D"/>
    <w:rsid w:val="004A25F3"/>
    <w:rsid w:val="004A26CC"/>
    <w:rsid w:val="004A2755"/>
    <w:rsid w:val="004A2784"/>
    <w:rsid w:val="004A27A8"/>
    <w:rsid w:val="004A2806"/>
    <w:rsid w:val="004A2849"/>
    <w:rsid w:val="004A2937"/>
    <w:rsid w:val="004A2A54"/>
    <w:rsid w:val="004A2D02"/>
    <w:rsid w:val="004A2E45"/>
    <w:rsid w:val="004A2FE6"/>
    <w:rsid w:val="004A3160"/>
    <w:rsid w:val="004A3231"/>
    <w:rsid w:val="004A330C"/>
    <w:rsid w:val="004A3469"/>
    <w:rsid w:val="004A39A9"/>
    <w:rsid w:val="004A3A75"/>
    <w:rsid w:val="004A3AF1"/>
    <w:rsid w:val="004A3B10"/>
    <w:rsid w:val="004A3DC7"/>
    <w:rsid w:val="004A3DDB"/>
    <w:rsid w:val="004A3E6C"/>
    <w:rsid w:val="004A4050"/>
    <w:rsid w:val="004A441F"/>
    <w:rsid w:val="004A45F4"/>
    <w:rsid w:val="004A4799"/>
    <w:rsid w:val="004A49FC"/>
    <w:rsid w:val="004A4A8D"/>
    <w:rsid w:val="004A4CEC"/>
    <w:rsid w:val="004A4DF0"/>
    <w:rsid w:val="004A4E15"/>
    <w:rsid w:val="004A4E32"/>
    <w:rsid w:val="004A5141"/>
    <w:rsid w:val="004A515E"/>
    <w:rsid w:val="004A5190"/>
    <w:rsid w:val="004A52B0"/>
    <w:rsid w:val="004A57FC"/>
    <w:rsid w:val="004A5830"/>
    <w:rsid w:val="004A5983"/>
    <w:rsid w:val="004A5E7F"/>
    <w:rsid w:val="004A5E9C"/>
    <w:rsid w:val="004A5EC2"/>
    <w:rsid w:val="004A607A"/>
    <w:rsid w:val="004A60B8"/>
    <w:rsid w:val="004A642A"/>
    <w:rsid w:val="004A6458"/>
    <w:rsid w:val="004A64B8"/>
    <w:rsid w:val="004A6789"/>
    <w:rsid w:val="004A6A9C"/>
    <w:rsid w:val="004A6B45"/>
    <w:rsid w:val="004A6C58"/>
    <w:rsid w:val="004A6CA6"/>
    <w:rsid w:val="004A6DCF"/>
    <w:rsid w:val="004A6E35"/>
    <w:rsid w:val="004A6FBD"/>
    <w:rsid w:val="004A7060"/>
    <w:rsid w:val="004A70FC"/>
    <w:rsid w:val="004A716E"/>
    <w:rsid w:val="004A71CA"/>
    <w:rsid w:val="004A72E0"/>
    <w:rsid w:val="004A731E"/>
    <w:rsid w:val="004A73DA"/>
    <w:rsid w:val="004A7456"/>
    <w:rsid w:val="004A760D"/>
    <w:rsid w:val="004A781D"/>
    <w:rsid w:val="004A7A77"/>
    <w:rsid w:val="004A7BBF"/>
    <w:rsid w:val="004A7DAD"/>
    <w:rsid w:val="004A7DFE"/>
    <w:rsid w:val="004B030C"/>
    <w:rsid w:val="004B0429"/>
    <w:rsid w:val="004B07D2"/>
    <w:rsid w:val="004B07F3"/>
    <w:rsid w:val="004B0976"/>
    <w:rsid w:val="004B0B14"/>
    <w:rsid w:val="004B0C01"/>
    <w:rsid w:val="004B0D3F"/>
    <w:rsid w:val="004B0DCE"/>
    <w:rsid w:val="004B0E99"/>
    <w:rsid w:val="004B0EFA"/>
    <w:rsid w:val="004B0FFD"/>
    <w:rsid w:val="004B1329"/>
    <w:rsid w:val="004B1657"/>
    <w:rsid w:val="004B1686"/>
    <w:rsid w:val="004B193B"/>
    <w:rsid w:val="004B1C63"/>
    <w:rsid w:val="004B1C94"/>
    <w:rsid w:val="004B1E38"/>
    <w:rsid w:val="004B1F8B"/>
    <w:rsid w:val="004B2031"/>
    <w:rsid w:val="004B21F2"/>
    <w:rsid w:val="004B231E"/>
    <w:rsid w:val="004B26B6"/>
    <w:rsid w:val="004B2734"/>
    <w:rsid w:val="004B2884"/>
    <w:rsid w:val="004B2B6F"/>
    <w:rsid w:val="004B2BBC"/>
    <w:rsid w:val="004B2C64"/>
    <w:rsid w:val="004B2D59"/>
    <w:rsid w:val="004B2D7D"/>
    <w:rsid w:val="004B2E2B"/>
    <w:rsid w:val="004B30B9"/>
    <w:rsid w:val="004B3143"/>
    <w:rsid w:val="004B328A"/>
    <w:rsid w:val="004B354B"/>
    <w:rsid w:val="004B3669"/>
    <w:rsid w:val="004B368C"/>
    <w:rsid w:val="004B36AC"/>
    <w:rsid w:val="004B36CD"/>
    <w:rsid w:val="004B3AB4"/>
    <w:rsid w:val="004B3C47"/>
    <w:rsid w:val="004B3CED"/>
    <w:rsid w:val="004B3E6B"/>
    <w:rsid w:val="004B3E7D"/>
    <w:rsid w:val="004B410C"/>
    <w:rsid w:val="004B422F"/>
    <w:rsid w:val="004B4314"/>
    <w:rsid w:val="004B4800"/>
    <w:rsid w:val="004B493C"/>
    <w:rsid w:val="004B4A52"/>
    <w:rsid w:val="004B4B01"/>
    <w:rsid w:val="004B4B32"/>
    <w:rsid w:val="004B4B8C"/>
    <w:rsid w:val="004B4BEF"/>
    <w:rsid w:val="004B4DC1"/>
    <w:rsid w:val="004B4E37"/>
    <w:rsid w:val="004B4E89"/>
    <w:rsid w:val="004B4F9B"/>
    <w:rsid w:val="004B51CD"/>
    <w:rsid w:val="004B5242"/>
    <w:rsid w:val="004B54D0"/>
    <w:rsid w:val="004B576E"/>
    <w:rsid w:val="004B5815"/>
    <w:rsid w:val="004B5BDA"/>
    <w:rsid w:val="004B5C81"/>
    <w:rsid w:val="004B633E"/>
    <w:rsid w:val="004B634C"/>
    <w:rsid w:val="004B6435"/>
    <w:rsid w:val="004B6456"/>
    <w:rsid w:val="004B6708"/>
    <w:rsid w:val="004B67D4"/>
    <w:rsid w:val="004B6872"/>
    <w:rsid w:val="004B69EC"/>
    <w:rsid w:val="004B6BFC"/>
    <w:rsid w:val="004B6D15"/>
    <w:rsid w:val="004B6FED"/>
    <w:rsid w:val="004B7129"/>
    <w:rsid w:val="004B72B1"/>
    <w:rsid w:val="004B7432"/>
    <w:rsid w:val="004B7450"/>
    <w:rsid w:val="004B7838"/>
    <w:rsid w:val="004B7872"/>
    <w:rsid w:val="004B78E6"/>
    <w:rsid w:val="004B79A3"/>
    <w:rsid w:val="004B79AE"/>
    <w:rsid w:val="004B79C9"/>
    <w:rsid w:val="004B7A86"/>
    <w:rsid w:val="004B7ACA"/>
    <w:rsid w:val="004B7BA1"/>
    <w:rsid w:val="004B7D74"/>
    <w:rsid w:val="004B7DB5"/>
    <w:rsid w:val="004B7ECA"/>
    <w:rsid w:val="004C014B"/>
    <w:rsid w:val="004C0247"/>
    <w:rsid w:val="004C02AA"/>
    <w:rsid w:val="004C066B"/>
    <w:rsid w:val="004C0978"/>
    <w:rsid w:val="004C0C22"/>
    <w:rsid w:val="004C0C5C"/>
    <w:rsid w:val="004C0C9D"/>
    <w:rsid w:val="004C17DE"/>
    <w:rsid w:val="004C18B3"/>
    <w:rsid w:val="004C193D"/>
    <w:rsid w:val="004C194C"/>
    <w:rsid w:val="004C1955"/>
    <w:rsid w:val="004C1975"/>
    <w:rsid w:val="004C1B22"/>
    <w:rsid w:val="004C1B58"/>
    <w:rsid w:val="004C1BB4"/>
    <w:rsid w:val="004C1CE5"/>
    <w:rsid w:val="004C1E9D"/>
    <w:rsid w:val="004C2067"/>
    <w:rsid w:val="004C20E4"/>
    <w:rsid w:val="004C2197"/>
    <w:rsid w:val="004C2262"/>
    <w:rsid w:val="004C22C8"/>
    <w:rsid w:val="004C22D7"/>
    <w:rsid w:val="004C23E1"/>
    <w:rsid w:val="004C24C4"/>
    <w:rsid w:val="004C25E1"/>
    <w:rsid w:val="004C2930"/>
    <w:rsid w:val="004C2B22"/>
    <w:rsid w:val="004C2D5E"/>
    <w:rsid w:val="004C2D9A"/>
    <w:rsid w:val="004C2E23"/>
    <w:rsid w:val="004C3040"/>
    <w:rsid w:val="004C30DE"/>
    <w:rsid w:val="004C330A"/>
    <w:rsid w:val="004C3805"/>
    <w:rsid w:val="004C389C"/>
    <w:rsid w:val="004C3939"/>
    <w:rsid w:val="004C39FF"/>
    <w:rsid w:val="004C3AB0"/>
    <w:rsid w:val="004C3E7C"/>
    <w:rsid w:val="004C3FBA"/>
    <w:rsid w:val="004C4103"/>
    <w:rsid w:val="004C42B9"/>
    <w:rsid w:val="004C4487"/>
    <w:rsid w:val="004C44F3"/>
    <w:rsid w:val="004C465E"/>
    <w:rsid w:val="004C48EB"/>
    <w:rsid w:val="004C48FC"/>
    <w:rsid w:val="004C491B"/>
    <w:rsid w:val="004C4B31"/>
    <w:rsid w:val="004C4CA9"/>
    <w:rsid w:val="004C4CBF"/>
    <w:rsid w:val="004C4CDF"/>
    <w:rsid w:val="004C5218"/>
    <w:rsid w:val="004C53EE"/>
    <w:rsid w:val="004C545C"/>
    <w:rsid w:val="004C5597"/>
    <w:rsid w:val="004C5693"/>
    <w:rsid w:val="004C586F"/>
    <w:rsid w:val="004C59F9"/>
    <w:rsid w:val="004C5AEA"/>
    <w:rsid w:val="004C5D41"/>
    <w:rsid w:val="004C5FE1"/>
    <w:rsid w:val="004C6447"/>
    <w:rsid w:val="004C64F3"/>
    <w:rsid w:val="004C6544"/>
    <w:rsid w:val="004C654C"/>
    <w:rsid w:val="004C67C2"/>
    <w:rsid w:val="004C6A29"/>
    <w:rsid w:val="004C6B73"/>
    <w:rsid w:val="004C6B7D"/>
    <w:rsid w:val="004C7502"/>
    <w:rsid w:val="004C773B"/>
    <w:rsid w:val="004C777D"/>
    <w:rsid w:val="004C784A"/>
    <w:rsid w:val="004C794B"/>
    <w:rsid w:val="004C7B02"/>
    <w:rsid w:val="004C7D58"/>
    <w:rsid w:val="004C7E14"/>
    <w:rsid w:val="004C7ED9"/>
    <w:rsid w:val="004C7FCB"/>
    <w:rsid w:val="004D0069"/>
    <w:rsid w:val="004D0224"/>
    <w:rsid w:val="004D02C1"/>
    <w:rsid w:val="004D05E0"/>
    <w:rsid w:val="004D081C"/>
    <w:rsid w:val="004D0EDC"/>
    <w:rsid w:val="004D104E"/>
    <w:rsid w:val="004D1091"/>
    <w:rsid w:val="004D1515"/>
    <w:rsid w:val="004D1695"/>
    <w:rsid w:val="004D1753"/>
    <w:rsid w:val="004D183D"/>
    <w:rsid w:val="004D18E8"/>
    <w:rsid w:val="004D1AA0"/>
    <w:rsid w:val="004D1B2B"/>
    <w:rsid w:val="004D22D3"/>
    <w:rsid w:val="004D2550"/>
    <w:rsid w:val="004D2586"/>
    <w:rsid w:val="004D2785"/>
    <w:rsid w:val="004D27E0"/>
    <w:rsid w:val="004D292E"/>
    <w:rsid w:val="004D298E"/>
    <w:rsid w:val="004D29DD"/>
    <w:rsid w:val="004D2D49"/>
    <w:rsid w:val="004D2ED4"/>
    <w:rsid w:val="004D3079"/>
    <w:rsid w:val="004D30AD"/>
    <w:rsid w:val="004D314E"/>
    <w:rsid w:val="004D3213"/>
    <w:rsid w:val="004D324E"/>
    <w:rsid w:val="004D347D"/>
    <w:rsid w:val="004D356F"/>
    <w:rsid w:val="004D37C1"/>
    <w:rsid w:val="004D39EB"/>
    <w:rsid w:val="004D3B14"/>
    <w:rsid w:val="004D3B4E"/>
    <w:rsid w:val="004D3CAD"/>
    <w:rsid w:val="004D3D6B"/>
    <w:rsid w:val="004D3E30"/>
    <w:rsid w:val="004D3EF0"/>
    <w:rsid w:val="004D3EF7"/>
    <w:rsid w:val="004D3F16"/>
    <w:rsid w:val="004D3FA9"/>
    <w:rsid w:val="004D40E5"/>
    <w:rsid w:val="004D410F"/>
    <w:rsid w:val="004D4417"/>
    <w:rsid w:val="004D4490"/>
    <w:rsid w:val="004D47B1"/>
    <w:rsid w:val="004D49CF"/>
    <w:rsid w:val="004D4C86"/>
    <w:rsid w:val="004D4CE6"/>
    <w:rsid w:val="004D4D3F"/>
    <w:rsid w:val="004D4E4C"/>
    <w:rsid w:val="004D4F6A"/>
    <w:rsid w:val="004D4F89"/>
    <w:rsid w:val="004D5007"/>
    <w:rsid w:val="004D507E"/>
    <w:rsid w:val="004D531F"/>
    <w:rsid w:val="004D53B7"/>
    <w:rsid w:val="004D57C4"/>
    <w:rsid w:val="004D595C"/>
    <w:rsid w:val="004D5ABD"/>
    <w:rsid w:val="004D5AD2"/>
    <w:rsid w:val="004D5B27"/>
    <w:rsid w:val="004D5BED"/>
    <w:rsid w:val="004D5BFD"/>
    <w:rsid w:val="004D5CA1"/>
    <w:rsid w:val="004D6059"/>
    <w:rsid w:val="004D6207"/>
    <w:rsid w:val="004D62AB"/>
    <w:rsid w:val="004D62FF"/>
    <w:rsid w:val="004D6379"/>
    <w:rsid w:val="004D6450"/>
    <w:rsid w:val="004D658F"/>
    <w:rsid w:val="004D6653"/>
    <w:rsid w:val="004D67B7"/>
    <w:rsid w:val="004D680C"/>
    <w:rsid w:val="004D6B9F"/>
    <w:rsid w:val="004D6BFC"/>
    <w:rsid w:val="004D6FB4"/>
    <w:rsid w:val="004D6FFB"/>
    <w:rsid w:val="004D70A8"/>
    <w:rsid w:val="004D71F3"/>
    <w:rsid w:val="004D737E"/>
    <w:rsid w:val="004D7708"/>
    <w:rsid w:val="004D7761"/>
    <w:rsid w:val="004D77B2"/>
    <w:rsid w:val="004D77B7"/>
    <w:rsid w:val="004D7819"/>
    <w:rsid w:val="004D7850"/>
    <w:rsid w:val="004D7C2C"/>
    <w:rsid w:val="004D7E05"/>
    <w:rsid w:val="004D7EB9"/>
    <w:rsid w:val="004E0009"/>
    <w:rsid w:val="004E00CA"/>
    <w:rsid w:val="004E034A"/>
    <w:rsid w:val="004E036C"/>
    <w:rsid w:val="004E0484"/>
    <w:rsid w:val="004E0649"/>
    <w:rsid w:val="004E0899"/>
    <w:rsid w:val="004E08A0"/>
    <w:rsid w:val="004E08B6"/>
    <w:rsid w:val="004E0907"/>
    <w:rsid w:val="004E0A2C"/>
    <w:rsid w:val="004E0A41"/>
    <w:rsid w:val="004E0A5B"/>
    <w:rsid w:val="004E0AC1"/>
    <w:rsid w:val="004E0BC9"/>
    <w:rsid w:val="004E0C64"/>
    <w:rsid w:val="004E0D4C"/>
    <w:rsid w:val="004E0E34"/>
    <w:rsid w:val="004E0F1F"/>
    <w:rsid w:val="004E0F66"/>
    <w:rsid w:val="004E1168"/>
    <w:rsid w:val="004E1420"/>
    <w:rsid w:val="004E17B1"/>
    <w:rsid w:val="004E1CEF"/>
    <w:rsid w:val="004E1D12"/>
    <w:rsid w:val="004E1DBA"/>
    <w:rsid w:val="004E1EE3"/>
    <w:rsid w:val="004E215D"/>
    <w:rsid w:val="004E219B"/>
    <w:rsid w:val="004E2248"/>
    <w:rsid w:val="004E24D4"/>
    <w:rsid w:val="004E25AD"/>
    <w:rsid w:val="004E2C73"/>
    <w:rsid w:val="004E2DBE"/>
    <w:rsid w:val="004E31B9"/>
    <w:rsid w:val="004E3249"/>
    <w:rsid w:val="004E3331"/>
    <w:rsid w:val="004E33C4"/>
    <w:rsid w:val="004E347A"/>
    <w:rsid w:val="004E3566"/>
    <w:rsid w:val="004E3602"/>
    <w:rsid w:val="004E37B4"/>
    <w:rsid w:val="004E38BA"/>
    <w:rsid w:val="004E3950"/>
    <w:rsid w:val="004E3A1A"/>
    <w:rsid w:val="004E3F06"/>
    <w:rsid w:val="004E4384"/>
    <w:rsid w:val="004E46A0"/>
    <w:rsid w:val="004E46E1"/>
    <w:rsid w:val="004E4710"/>
    <w:rsid w:val="004E479C"/>
    <w:rsid w:val="004E4BFE"/>
    <w:rsid w:val="004E4E3E"/>
    <w:rsid w:val="004E4EEC"/>
    <w:rsid w:val="004E50F1"/>
    <w:rsid w:val="004E5124"/>
    <w:rsid w:val="004E51B2"/>
    <w:rsid w:val="004E51F0"/>
    <w:rsid w:val="004E5322"/>
    <w:rsid w:val="004E54ED"/>
    <w:rsid w:val="004E5570"/>
    <w:rsid w:val="004E58B2"/>
    <w:rsid w:val="004E58C5"/>
    <w:rsid w:val="004E59BD"/>
    <w:rsid w:val="004E5A3C"/>
    <w:rsid w:val="004E5B84"/>
    <w:rsid w:val="004E5B8D"/>
    <w:rsid w:val="004E5C0E"/>
    <w:rsid w:val="004E5F37"/>
    <w:rsid w:val="004E6159"/>
    <w:rsid w:val="004E6514"/>
    <w:rsid w:val="004E6541"/>
    <w:rsid w:val="004E6542"/>
    <w:rsid w:val="004E65C7"/>
    <w:rsid w:val="004E6614"/>
    <w:rsid w:val="004E6807"/>
    <w:rsid w:val="004E6916"/>
    <w:rsid w:val="004E6BB7"/>
    <w:rsid w:val="004E6C08"/>
    <w:rsid w:val="004E6D7D"/>
    <w:rsid w:val="004E6DD3"/>
    <w:rsid w:val="004E6EBF"/>
    <w:rsid w:val="004E70D7"/>
    <w:rsid w:val="004E720F"/>
    <w:rsid w:val="004E73FA"/>
    <w:rsid w:val="004E7866"/>
    <w:rsid w:val="004E7940"/>
    <w:rsid w:val="004E7A43"/>
    <w:rsid w:val="004E7B5D"/>
    <w:rsid w:val="004E7BF2"/>
    <w:rsid w:val="004E7D43"/>
    <w:rsid w:val="004E7FFC"/>
    <w:rsid w:val="004F00EC"/>
    <w:rsid w:val="004F01BE"/>
    <w:rsid w:val="004F0331"/>
    <w:rsid w:val="004F035A"/>
    <w:rsid w:val="004F03BB"/>
    <w:rsid w:val="004F07CA"/>
    <w:rsid w:val="004F09E1"/>
    <w:rsid w:val="004F0A98"/>
    <w:rsid w:val="004F0BF7"/>
    <w:rsid w:val="004F0C4A"/>
    <w:rsid w:val="004F0DED"/>
    <w:rsid w:val="004F0F30"/>
    <w:rsid w:val="004F0F90"/>
    <w:rsid w:val="004F11C0"/>
    <w:rsid w:val="004F1352"/>
    <w:rsid w:val="004F16B7"/>
    <w:rsid w:val="004F1791"/>
    <w:rsid w:val="004F17F2"/>
    <w:rsid w:val="004F1885"/>
    <w:rsid w:val="004F1ADD"/>
    <w:rsid w:val="004F1BA7"/>
    <w:rsid w:val="004F1DF3"/>
    <w:rsid w:val="004F2059"/>
    <w:rsid w:val="004F20A4"/>
    <w:rsid w:val="004F23EC"/>
    <w:rsid w:val="004F26DB"/>
    <w:rsid w:val="004F275E"/>
    <w:rsid w:val="004F2859"/>
    <w:rsid w:val="004F2A94"/>
    <w:rsid w:val="004F2AF5"/>
    <w:rsid w:val="004F2E24"/>
    <w:rsid w:val="004F2E92"/>
    <w:rsid w:val="004F2F4C"/>
    <w:rsid w:val="004F302F"/>
    <w:rsid w:val="004F3381"/>
    <w:rsid w:val="004F3393"/>
    <w:rsid w:val="004F3659"/>
    <w:rsid w:val="004F3670"/>
    <w:rsid w:val="004F391F"/>
    <w:rsid w:val="004F398B"/>
    <w:rsid w:val="004F3A22"/>
    <w:rsid w:val="004F3BA7"/>
    <w:rsid w:val="004F3E70"/>
    <w:rsid w:val="004F405B"/>
    <w:rsid w:val="004F450E"/>
    <w:rsid w:val="004F451D"/>
    <w:rsid w:val="004F4596"/>
    <w:rsid w:val="004F4652"/>
    <w:rsid w:val="004F4656"/>
    <w:rsid w:val="004F467E"/>
    <w:rsid w:val="004F49F5"/>
    <w:rsid w:val="004F4CDD"/>
    <w:rsid w:val="004F4D41"/>
    <w:rsid w:val="004F4F4A"/>
    <w:rsid w:val="004F4F65"/>
    <w:rsid w:val="004F4F75"/>
    <w:rsid w:val="004F5353"/>
    <w:rsid w:val="004F5419"/>
    <w:rsid w:val="004F561B"/>
    <w:rsid w:val="004F5694"/>
    <w:rsid w:val="004F59EC"/>
    <w:rsid w:val="004F5BF8"/>
    <w:rsid w:val="004F5C20"/>
    <w:rsid w:val="004F5CA0"/>
    <w:rsid w:val="004F5CCF"/>
    <w:rsid w:val="004F5E44"/>
    <w:rsid w:val="004F6050"/>
    <w:rsid w:val="004F6231"/>
    <w:rsid w:val="004F6346"/>
    <w:rsid w:val="004F64DA"/>
    <w:rsid w:val="004F67DC"/>
    <w:rsid w:val="004F687D"/>
    <w:rsid w:val="004F6892"/>
    <w:rsid w:val="004F6B7C"/>
    <w:rsid w:val="004F6BFE"/>
    <w:rsid w:val="004F6EBA"/>
    <w:rsid w:val="004F6EDB"/>
    <w:rsid w:val="004F7072"/>
    <w:rsid w:val="004F70C2"/>
    <w:rsid w:val="004F70CE"/>
    <w:rsid w:val="004F70F3"/>
    <w:rsid w:val="004F712F"/>
    <w:rsid w:val="004F7171"/>
    <w:rsid w:val="004F7267"/>
    <w:rsid w:val="004F7320"/>
    <w:rsid w:val="004F7615"/>
    <w:rsid w:val="004F77D1"/>
    <w:rsid w:val="004F7899"/>
    <w:rsid w:val="004F78E6"/>
    <w:rsid w:val="004F7AB4"/>
    <w:rsid w:val="004F7B89"/>
    <w:rsid w:val="004F7CD2"/>
    <w:rsid w:val="004F7CE4"/>
    <w:rsid w:val="004F7F07"/>
    <w:rsid w:val="0050017F"/>
    <w:rsid w:val="005002FC"/>
    <w:rsid w:val="005004AC"/>
    <w:rsid w:val="00500542"/>
    <w:rsid w:val="00500560"/>
    <w:rsid w:val="00500991"/>
    <w:rsid w:val="00500B77"/>
    <w:rsid w:val="00500C16"/>
    <w:rsid w:val="00500C56"/>
    <w:rsid w:val="00500DE4"/>
    <w:rsid w:val="00500DFE"/>
    <w:rsid w:val="00500F44"/>
    <w:rsid w:val="00501025"/>
    <w:rsid w:val="00501348"/>
    <w:rsid w:val="0050139B"/>
    <w:rsid w:val="0050155E"/>
    <w:rsid w:val="0050158C"/>
    <w:rsid w:val="005016B9"/>
    <w:rsid w:val="005017AC"/>
    <w:rsid w:val="00501A87"/>
    <w:rsid w:val="00501D74"/>
    <w:rsid w:val="005021C3"/>
    <w:rsid w:val="00502200"/>
    <w:rsid w:val="0050229A"/>
    <w:rsid w:val="00502400"/>
    <w:rsid w:val="00502491"/>
    <w:rsid w:val="0050254B"/>
    <w:rsid w:val="00502609"/>
    <w:rsid w:val="005026F9"/>
    <w:rsid w:val="0050278F"/>
    <w:rsid w:val="00502A14"/>
    <w:rsid w:val="00502A8F"/>
    <w:rsid w:val="00502AFB"/>
    <w:rsid w:val="00502DAE"/>
    <w:rsid w:val="00502DD5"/>
    <w:rsid w:val="0050308B"/>
    <w:rsid w:val="005031C7"/>
    <w:rsid w:val="005033F9"/>
    <w:rsid w:val="00503412"/>
    <w:rsid w:val="005034A3"/>
    <w:rsid w:val="005035E8"/>
    <w:rsid w:val="005037B7"/>
    <w:rsid w:val="005038E4"/>
    <w:rsid w:val="00503986"/>
    <w:rsid w:val="00503D76"/>
    <w:rsid w:val="00503F88"/>
    <w:rsid w:val="00504072"/>
    <w:rsid w:val="00504082"/>
    <w:rsid w:val="005041B1"/>
    <w:rsid w:val="005041CD"/>
    <w:rsid w:val="005044CB"/>
    <w:rsid w:val="0050456E"/>
    <w:rsid w:val="005049F5"/>
    <w:rsid w:val="00504A63"/>
    <w:rsid w:val="00504D28"/>
    <w:rsid w:val="00504DEC"/>
    <w:rsid w:val="00504F35"/>
    <w:rsid w:val="0050520E"/>
    <w:rsid w:val="005054F5"/>
    <w:rsid w:val="005056B5"/>
    <w:rsid w:val="005056F7"/>
    <w:rsid w:val="0050582B"/>
    <w:rsid w:val="00505875"/>
    <w:rsid w:val="00505B16"/>
    <w:rsid w:val="00505C76"/>
    <w:rsid w:val="00505F3B"/>
    <w:rsid w:val="005060D7"/>
    <w:rsid w:val="00506456"/>
    <w:rsid w:val="00506509"/>
    <w:rsid w:val="00506552"/>
    <w:rsid w:val="005069DA"/>
    <w:rsid w:val="00506A77"/>
    <w:rsid w:val="00506BA0"/>
    <w:rsid w:val="00506DE8"/>
    <w:rsid w:val="00506E46"/>
    <w:rsid w:val="00507061"/>
    <w:rsid w:val="00507067"/>
    <w:rsid w:val="005071D5"/>
    <w:rsid w:val="005072D4"/>
    <w:rsid w:val="00507386"/>
    <w:rsid w:val="005075E5"/>
    <w:rsid w:val="005079B2"/>
    <w:rsid w:val="00507B92"/>
    <w:rsid w:val="00507BD4"/>
    <w:rsid w:val="00507C63"/>
    <w:rsid w:val="00507DD0"/>
    <w:rsid w:val="00507FB4"/>
    <w:rsid w:val="00510099"/>
    <w:rsid w:val="005102CD"/>
    <w:rsid w:val="0051043F"/>
    <w:rsid w:val="0051051F"/>
    <w:rsid w:val="005108E8"/>
    <w:rsid w:val="00510942"/>
    <w:rsid w:val="005109EA"/>
    <w:rsid w:val="00510C01"/>
    <w:rsid w:val="00510C38"/>
    <w:rsid w:val="00510CD2"/>
    <w:rsid w:val="00510ED7"/>
    <w:rsid w:val="0051108A"/>
    <w:rsid w:val="005110DC"/>
    <w:rsid w:val="00511250"/>
    <w:rsid w:val="005112FB"/>
    <w:rsid w:val="005115C2"/>
    <w:rsid w:val="0051167F"/>
    <w:rsid w:val="00511786"/>
    <w:rsid w:val="0051184E"/>
    <w:rsid w:val="00511980"/>
    <w:rsid w:val="00511A42"/>
    <w:rsid w:val="00511A95"/>
    <w:rsid w:val="00511AB6"/>
    <w:rsid w:val="00511BB7"/>
    <w:rsid w:val="00511BBA"/>
    <w:rsid w:val="00511BED"/>
    <w:rsid w:val="00511DC2"/>
    <w:rsid w:val="00511E32"/>
    <w:rsid w:val="00511E3D"/>
    <w:rsid w:val="00511F0E"/>
    <w:rsid w:val="00512002"/>
    <w:rsid w:val="005122C1"/>
    <w:rsid w:val="005122C6"/>
    <w:rsid w:val="00512475"/>
    <w:rsid w:val="0051272E"/>
    <w:rsid w:val="005129D1"/>
    <w:rsid w:val="00512AC3"/>
    <w:rsid w:val="00512B7E"/>
    <w:rsid w:val="00512C20"/>
    <w:rsid w:val="0051300E"/>
    <w:rsid w:val="005132B3"/>
    <w:rsid w:val="00513422"/>
    <w:rsid w:val="0051345F"/>
    <w:rsid w:val="00513527"/>
    <w:rsid w:val="00513682"/>
    <w:rsid w:val="00513B0B"/>
    <w:rsid w:val="00513BC7"/>
    <w:rsid w:val="00513BF0"/>
    <w:rsid w:val="00513C3F"/>
    <w:rsid w:val="00513D59"/>
    <w:rsid w:val="00513DBA"/>
    <w:rsid w:val="00513EC6"/>
    <w:rsid w:val="00513F3A"/>
    <w:rsid w:val="00514006"/>
    <w:rsid w:val="00514008"/>
    <w:rsid w:val="00514186"/>
    <w:rsid w:val="0051431A"/>
    <w:rsid w:val="005145CF"/>
    <w:rsid w:val="0051490E"/>
    <w:rsid w:val="00514CA6"/>
    <w:rsid w:val="00514D33"/>
    <w:rsid w:val="00514D6E"/>
    <w:rsid w:val="00514D9A"/>
    <w:rsid w:val="0051536E"/>
    <w:rsid w:val="0051571F"/>
    <w:rsid w:val="00515845"/>
    <w:rsid w:val="005158A9"/>
    <w:rsid w:val="00515A7F"/>
    <w:rsid w:val="00515BF9"/>
    <w:rsid w:val="00515C57"/>
    <w:rsid w:val="00515C93"/>
    <w:rsid w:val="00515D66"/>
    <w:rsid w:val="00515D67"/>
    <w:rsid w:val="00515DC3"/>
    <w:rsid w:val="00515DD9"/>
    <w:rsid w:val="00515FAB"/>
    <w:rsid w:val="00516075"/>
    <w:rsid w:val="005160B4"/>
    <w:rsid w:val="005160B8"/>
    <w:rsid w:val="005160BB"/>
    <w:rsid w:val="005164FC"/>
    <w:rsid w:val="00516554"/>
    <w:rsid w:val="00516622"/>
    <w:rsid w:val="00516701"/>
    <w:rsid w:val="005167BB"/>
    <w:rsid w:val="005168B9"/>
    <w:rsid w:val="005168ED"/>
    <w:rsid w:val="00516A94"/>
    <w:rsid w:val="00516C72"/>
    <w:rsid w:val="00516D1D"/>
    <w:rsid w:val="00516E1B"/>
    <w:rsid w:val="00516E34"/>
    <w:rsid w:val="00516F21"/>
    <w:rsid w:val="00516FED"/>
    <w:rsid w:val="00517082"/>
    <w:rsid w:val="005170D3"/>
    <w:rsid w:val="005171DB"/>
    <w:rsid w:val="005172A1"/>
    <w:rsid w:val="00517323"/>
    <w:rsid w:val="00517460"/>
    <w:rsid w:val="00517480"/>
    <w:rsid w:val="005174BB"/>
    <w:rsid w:val="00517632"/>
    <w:rsid w:val="005177E8"/>
    <w:rsid w:val="005179A0"/>
    <w:rsid w:val="00517B43"/>
    <w:rsid w:val="00517BA8"/>
    <w:rsid w:val="00517BC1"/>
    <w:rsid w:val="00517D0B"/>
    <w:rsid w:val="00517D81"/>
    <w:rsid w:val="00517DAC"/>
    <w:rsid w:val="00517EFC"/>
    <w:rsid w:val="005200B8"/>
    <w:rsid w:val="00520110"/>
    <w:rsid w:val="00520129"/>
    <w:rsid w:val="0052036B"/>
    <w:rsid w:val="005206F6"/>
    <w:rsid w:val="005207ED"/>
    <w:rsid w:val="00520B0B"/>
    <w:rsid w:val="00520BDF"/>
    <w:rsid w:val="00520C7D"/>
    <w:rsid w:val="00520DF3"/>
    <w:rsid w:val="00520E6E"/>
    <w:rsid w:val="00520F20"/>
    <w:rsid w:val="00520FCA"/>
    <w:rsid w:val="005210CE"/>
    <w:rsid w:val="00521274"/>
    <w:rsid w:val="00521326"/>
    <w:rsid w:val="005213FA"/>
    <w:rsid w:val="0052144C"/>
    <w:rsid w:val="0052152A"/>
    <w:rsid w:val="0052168A"/>
    <w:rsid w:val="005216E9"/>
    <w:rsid w:val="005217A7"/>
    <w:rsid w:val="00521923"/>
    <w:rsid w:val="005219B8"/>
    <w:rsid w:val="005219BD"/>
    <w:rsid w:val="00521A08"/>
    <w:rsid w:val="00521A2A"/>
    <w:rsid w:val="00521B46"/>
    <w:rsid w:val="00521DE3"/>
    <w:rsid w:val="00521F30"/>
    <w:rsid w:val="00522779"/>
    <w:rsid w:val="005229C9"/>
    <w:rsid w:val="005229E1"/>
    <w:rsid w:val="00522C17"/>
    <w:rsid w:val="00522D6C"/>
    <w:rsid w:val="00522D78"/>
    <w:rsid w:val="00522DA4"/>
    <w:rsid w:val="00522E0C"/>
    <w:rsid w:val="0052310D"/>
    <w:rsid w:val="0052319B"/>
    <w:rsid w:val="00523567"/>
    <w:rsid w:val="0052358F"/>
    <w:rsid w:val="005237FB"/>
    <w:rsid w:val="00523854"/>
    <w:rsid w:val="0052387F"/>
    <w:rsid w:val="00523897"/>
    <w:rsid w:val="00523984"/>
    <w:rsid w:val="00523B3E"/>
    <w:rsid w:val="00523D76"/>
    <w:rsid w:val="00523E3F"/>
    <w:rsid w:val="00523F3A"/>
    <w:rsid w:val="00524352"/>
    <w:rsid w:val="00524384"/>
    <w:rsid w:val="0052455A"/>
    <w:rsid w:val="0052465A"/>
    <w:rsid w:val="00524979"/>
    <w:rsid w:val="00524B62"/>
    <w:rsid w:val="00524D57"/>
    <w:rsid w:val="00524DA0"/>
    <w:rsid w:val="00525046"/>
    <w:rsid w:val="005254B2"/>
    <w:rsid w:val="00525545"/>
    <w:rsid w:val="0052566B"/>
    <w:rsid w:val="0052569A"/>
    <w:rsid w:val="00525975"/>
    <w:rsid w:val="00525C75"/>
    <w:rsid w:val="00525D06"/>
    <w:rsid w:val="00526745"/>
    <w:rsid w:val="005268B1"/>
    <w:rsid w:val="00526BFF"/>
    <w:rsid w:val="00526C81"/>
    <w:rsid w:val="00526DC3"/>
    <w:rsid w:val="00526F9D"/>
    <w:rsid w:val="005270A9"/>
    <w:rsid w:val="00527349"/>
    <w:rsid w:val="00527454"/>
    <w:rsid w:val="00527508"/>
    <w:rsid w:val="0052799B"/>
    <w:rsid w:val="005279A7"/>
    <w:rsid w:val="00527C1C"/>
    <w:rsid w:val="00527C27"/>
    <w:rsid w:val="00527E66"/>
    <w:rsid w:val="00527FCB"/>
    <w:rsid w:val="0053010B"/>
    <w:rsid w:val="0053030D"/>
    <w:rsid w:val="005305E4"/>
    <w:rsid w:val="005306DF"/>
    <w:rsid w:val="0053086D"/>
    <w:rsid w:val="005309CD"/>
    <w:rsid w:val="005309CE"/>
    <w:rsid w:val="005309D4"/>
    <w:rsid w:val="00530A46"/>
    <w:rsid w:val="00530D4D"/>
    <w:rsid w:val="00530DC3"/>
    <w:rsid w:val="00530DF8"/>
    <w:rsid w:val="00530EBE"/>
    <w:rsid w:val="00531054"/>
    <w:rsid w:val="005310CE"/>
    <w:rsid w:val="005311CA"/>
    <w:rsid w:val="005312BB"/>
    <w:rsid w:val="005312F6"/>
    <w:rsid w:val="005312F9"/>
    <w:rsid w:val="005312FE"/>
    <w:rsid w:val="005314AD"/>
    <w:rsid w:val="00531811"/>
    <w:rsid w:val="005319F2"/>
    <w:rsid w:val="00531A4A"/>
    <w:rsid w:val="00531B20"/>
    <w:rsid w:val="00531B30"/>
    <w:rsid w:val="00531B5A"/>
    <w:rsid w:val="00531D47"/>
    <w:rsid w:val="00531E43"/>
    <w:rsid w:val="00531EA1"/>
    <w:rsid w:val="005324EA"/>
    <w:rsid w:val="00532521"/>
    <w:rsid w:val="005325A5"/>
    <w:rsid w:val="00532832"/>
    <w:rsid w:val="00532859"/>
    <w:rsid w:val="0053294A"/>
    <w:rsid w:val="00532A65"/>
    <w:rsid w:val="00532A68"/>
    <w:rsid w:val="00532BCB"/>
    <w:rsid w:val="00532BF6"/>
    <w:rsid w:val="00532FEF"/>
    <w:rsid w:val="00533384"/>
    <w:rsid w:val="005334C1"/>
    <w:rsid w:val="005336CC"/>
    <w:rsid w:val="005338A3"/>
    <w:rsid w:val="005339D0"/>
    <w:rsid w:val="00533E7A"/>
    <w:rsid w:val="00533F76"/>
    <w:rsid w:val="005342B3"/>
    <w:rsid w:val="005343E6"/>
    <w:rsid w:val="00534571"/>
    <w:rsid w:val="005345AF"/>
    <w:rsid w:val="005346E2"/>
    <w:rsid w:val="00534838"/>
    <w:rsid w:val="00534910"/>
    <w:rsid w:val="005349AA"/>
    <w:rsid w:val="00534C73"/>
    <w:rsid w:val="00534D25"/>
    <w:rsid w:val="00534E77"/>
    <w:rsid w:val="005350C1"/>
    <w:rsid w:val="00535112"/>
    <w:rsid w:val="0053522F"/>
    <w:rsid w:val="00535502"/>
    <w:rsid w:val="00535533"/>
    <w:rsid w:val="00535557"/>
    <w:rsid w:val="00535608"/>
    <w:rsid w:val="005356F6"/>
    <w:rsid w:val="0053588C"/>
    <w:rsid w:val="0053594A"/>
    <w:rsid w:val="00535972"/>
    <w:rsid w:val="005359A7"/>
    <w:rsid w:val="00535B19"/>
    <w:rsid w:val="00535C57"/>
    <w:rsid w:val="00536090"/>
    <w:rsid w:val="00536265"/>
    <w:rsid w:val="005363DA"/>
    <w:rsid w:val="00536489"/>
    <w:rsid w:val="005365C8"/>
    <w:rsid w:val="005365CD"/>
    <w:rsid w:val="00536855"/>
    <w:rsid w:val="005368D6"/>
    <w:rsid w:val="005368F2"/>
    <w:rsid w:val="00536B28"/>
    <w:rsid w:val="00536BE0"/>
    <w:rsid w:val="00536E76"/>
    <w:rsid w:val="00537174"/>
    <w:rsid w:val="005373DB"/>
    <w:rsid w:val="005375ED"/>
    <w:rsid w:val="005376E9"/>
    <w:rsid w:val="00537758"/>
    <w:rsid w:val="00537876"/>
    <w:rsid w:val="00537944"/>
    <w:rsid w:val="00537966"/>
    <w:rsid w:val="00537BAA"/>
    <w:rsid w:val="005401ED"/>
    <w:rsid w:val="0054037E"/>
    <w:rsid w:val="00540385"/>
    <w:rsid w:val="0054039C"/>
    <w:rsid w:val="00540866"/>
    <w:rsid w:val="0054086B"/>
    <w:rsid w:val="00540AC8"/>
    <w:rsid w:val="00540BE9"/>
    <w:rsid w:val="00540D70"/>
    <w:rsid w:val="00540D94"/>
    <w:rsid w:val="00540EF0"/>
    <w:rsid w:val="00540F7F"/>
    <w:rsid w:val="0054101C"/>
    <w:rsid w:val="00541284"/>
    <w:rsid w:val="0054131A"/>
    <w:rsid w:val="00541631"/>
    <w:rsid w:val="0054179F"/>
    <w:rsid w:val="005417DC"/>
    <w:rsid w:val="0054217E"/>
    <w:rsid w:val="0054217F"/>
    <w:rsid w:val="005421F5"/>
    <w:rsid w:val="005424DA"/>
    <w:rsid w:val="0054255D"/>
    <w:rsid w:val="005426AF"/>
    <w:rsid w:val="005426D2"/>
    <w:rsid w:val="00542722"/>
    <w:rsid w:val="005427CA"/>
    <w:rsid w:val="00542A9B"/>
    <w:rsid w:val="00542C58"/>
    <w:rsid w:val="00542C98"/>
    <w:rsid w:val="00542CA7"/>
    <w:rsid w:val="00542F8C"/>
    <w:rsid w:val="005433A1"/>
    <w:rsid w:val="0054364C"/>
    <w:rsid w:val="00543691"/>
    <w:rsid w:val="0054378B"/>
    <w:rsid w:val="00543913"/>
    <w:rsid w:val="00543A57"/>
    <w:rsid w:val="00543AD7"/>
    <w:rsid w:val="00543B8E"/>
    <w:rsid w:val="00543C9D"/>
    <w:rsid w:val="00543D86"/>
    <w:rsid w:val="00543EEF"/>
    <w:rsid w:val="00543FF5"/>
    <w:rsid w:val="00544034"/>
    <w:rsid w:val="0054403E"/>
    <w:rsid w:val="005441FE"/>
    <w:rsid w:val="00544256"/>
    <w:rsid w:val="00544338"/>
    <w:rsid w:val="0054436E"/>
    <w:rsid w:val="0054439B"/>
    <w:rsid w:val="00544455"/>
    <w:rsid w:val="005445CB"/>
    <w:rsid w:val="005445E1"/>
    <w:rsid w:val="00544667"/>
    <w:rsid w:val="00544751"/>
    <w:rsid w:val="00544A8D"/>
    <w:rsid w:val="00544BFA"/>
    <w:rsid w:val="00544BFE"/>
    <w:rsid w:val="00544D09"/>
    <w:rsid w:val="00544D90"/>
    <w:rsid w:val="00545266"/>
    <w:rsid w:val="005452C2"/>
    <w:rsid w:val="00545617"/>
    <w:rsid w:val="005458E3"/>
    <w:rsid w:val="00545AE1"/>
    <w:rsid w:val="00545BBB"/>
    <w:rsid w:val="00545C5B"/>
    <w:rsid w:val="00545CEA"/>
    <w:rsid w:val="00545FCF"/>
    <w:rsid w:val="00546099"/>
    <w:rsid w:val="005460EB"/>
    <w:rsid w:val="0054631E"/>
    <w:rsid w:val="005463F8"/>
    <w:rsid w:val="00546463"/>
    <w:rsid w:val="0054647B"/>
    <w:rsid w:val="005466BD"/>
    <w:rsid w:val="0054698D"/>
    <w:rsid w:val="005469D7"/>
    <w:rsid w:val="00546A6A"/>
    <w:rsid w:val="00546DA7"/>
    <w:rsid w:val="00546E65"/>
    <w:rsid w:val="00546ECC"/>
    <w:rsid w:val="0054714F"/>
    <w:rsid w:val="005471E7"/>
    <w:rsid w:val="005472C7"/>
    <w:rsid w:val="00547468"/>
    <w:rsid w:val="00547719"/>
    <w:rsid w:val="00547AFE"/>
    <w:rsid w:val="00547B6D"/>
    <w:rsid w:val="00547B84"/>
    <w:rsid w:val="00547DF3"/>
    <w:rsid w:val="00547EAB"/>
    <w:rsid w:val="00547EEB"/>
    <w:rsid w:val="00550296"/>
    <w:rsid w:val="00550381"/>
    <w:rsid w:val="005503B4"/>
    <w:rsid w:val="00550691"/>
    <w:rsid w:val="005507DC"/>
    <w:rsid w:val="005508D2"/>
    <w:rsid w:val="00550A23"/>
    <w:rsid w:val="00550DDD"/>
    <w:rsid w:val="00550F82"/>
    <w:rsid w:val="00550F84"/>
    <w:rsid w:val="005514A4"/>
    <w:rsid w:val="005514D2"/>
    <w:rsid w:val="0055153A"/>
    <w:rsid w:val="00551643"/>
    <w:rsid w:val="005517D2"/>
    <w:rsid w:val="005518E3"/>
    <w:rsid w:val="005519D0"/>
    <w:rsid w:val="00551A00"/>
    <w:rsid w:val="00551C5C"/>
    <w:rsid w:val="00551D27"/>
    <w:rsid w:val="0055206B"/>
    <w:rsid w:val="0055219D"/>
    <w:rsid w:val="005521AC"/>
    <w:rsid w:val="00552213"/>
    <w:rsid w:val="00552294"/>
    <w:rsid w:val="00552473"/>
    <w:rsid w:val="00552542"/>
    <w:rsid w:val="005527F0"/>
    <w:rsid w:val="00552821"/>
    <w:rsid w:val="00552B91"/>
    <w:rsid w:val="00552C0C"/>
    <w:rsid w:val="00552C1F"/>
    <w:rsid w:val="00552CFC"/>
    <w:rsid w:val="00552D14"/>
    <w:rsid w:val="00553161"/>
    <w:rsid w:val="005533C7"/>
    <w:rsid w:val="0055374C"/>
    <w:rsid w:val="005537CA"/>
    <w:rsid w:val="005539E8"/>
    <w:rsid w:val="00553D0A"/>
    <w:rsid w:val="00554116"/>
    <w:rsid w:val="00554194"/>
    <w:rsid w:val="005546AC"/>
    <w:rsid w:val="00554822"/>
    <w:rsid w:val="00554AEF"/>
    <w:rsid w:val="00554B05"/>
    <w:rsid w:val="00554BFE"/>
    <w:rsid w:val="00554C42"/>
    <w:rsid w:val="00554C88"/>
    <w:rsid w:val="00554E08"/>
    <w:rsid w:val="00554E21"/>
    <w:rsid w:val="0055501F"/>
    <w:rsid w:val="00555773"/>
    <w:rsid w:val="00555814"/>
    <w:rsid w:val="00555A9B"/>
    <w:rsid w:val="00555D00"/>
    <w:rsid w:val="00556324"/>
    <w:rsid w:val="00556327"/>
    <w:rsid w:val="0055655A"/>
    <w:rsid w:val="0055675E"/>
    <w:rsid w:val="0055698D"/>
    <w:rsid w:val="00556B36"/>
    <w:rsid w:val="00556BE9"/>
    <w:rsid w:val="00556CAC"/>
    <w:rsid w:val="00556CD1"/>
    <w:rsid w:val="005571D5"/>
    <w:rsid w:val="00557348"/>
    <w:rsid w:val="00557381"/>
    <w:rsid w:val="005573A4"/>
    <w:rsid w:val="005574B1"/>
    <w:rsid w:val="0055751C"/>
    <w:rsid w:val="00557733"/>
    <w:rsid w:val="005577BC"/>
    <w:rsid w:val="00557A0C"/>
    <w:rsid w:val="00557A11"/>
    <w:rsid w:val="00557A71"/>
    <w:rsid w:val="00557D3E"/>
    <w:rsid w:val="00557E87"/>
    <w:rsid w:val="00560325"/>
    <w:rsid w:val="00560394"/>
    <w:rsid w:val="005607D0"/>
    <w:rsid w:val="005608B0"/>
    <w:rsid w:val="00560AC1"/>
    <w:rsid w:val="00560B1C"/>
    <w:rsid w:val="00560C8C"/>
    <w:rsid w:val="00560D55"/>
    <w:rsid w:val="00560E4D"/>
    <w:rsid w:val="00560ECB"/>
    <w:rsid w:val="00561017"/>
    <w:rsid w:val="005611E3"/>
    <w:rsid w:val="0056131C"/>
    <w:rsid w:val="00561375"/>
    <w:rsid w:val="00561528"/>
    <w:rsid w:val="005616E7"/>
    <w:rsid w:val="005617B1"/>
    <w:rsid w:val="005618A6"/>
    <w:rsid w:val="005618E5"/>
    <w:rsid w:val="00561AA7"/>
    <w:rsid w:val="00561BBA"/>
    <w:rsid w:val="00561BC6"/>
    <w:rsid w:val="00561DF5"/>
    <w:rsid w:val="00562467"/>
    <w:rsid w:val="005624BD"/>
    <w:rsid w:val="0056263C"/>
    <w:rsid w:val="00562935"/>
    <w:rsid w:val="00562A28"/>
    <w:rsid w:val="00562BC0"/>
    <w:rsid w:val="00563020"/>
    <w:rsid w:val="00563033"/>
    <w:rsid w:val="00563117"/>
    <w:rsid w:val="005631FA"/>
    <w:rsid w:val="0056320A"/>
    <w:rsid w:val="00563232"/>
    <w:rsid w:val="005632CF"/>
    <w:rsid w:val="00563324"/>
    <w:rsid w:val="00563432"/>
    <w:rsid w:val="00563509"/>
    <w:rsid w:val="00563AF5"/>
    <w:rsid w:val="00563B20"/>
    <w:rsid w:val="00563B63"/>
    <w:rsid w:val="00563C45"/>
    <w:rsid w:val="00563C66"/>
    <w:rsid w:val="00563C9E"/>
    <w:rsid w:val="00563D70"/>
    <w:rsid w:val="00564053"/>
    <w:rsid w:val="00564354"/>
    <w:rsid w:val="00564806"/>
    <w:rsid w:val="00564845"/>
    <w:rsid w:val="0056486E"/>
    <w:rsid w:val="00564885"/>
    <w:rsid w:val="00564C9D"/>
    <w:rsid w:val="00564CC7"/>
    <w:rsid w:val="00564F0E"/>
    <w:rsid w:val="00565299"/>
    <w:rsid w:val="00565429"/>
    <w:rsid w:val="00565519"/>
    <w:rsid w:val="005658CE"/>
    <w:rsid w:val="00565985"/>
    <w:rsid w:val="00565AED"/>
    <w:rsid w:val="00565BB3"/>
    <w:rsid w:val="00565DC0"/>
    <w:rsid w:val="00565F2E"/>
    <w:rsid w:val="00565FA8"/>
    <w:rsid w:val="005660A2"/>
    <w:rsid w:val="0056618F"/>
    <w:rsid w:val="00566221"/>
    <w:rsid w:val="00566610"/>
    <w:rsid w:val="005667DF"/>
    <w:rsid w:val="005668ED"/>
    <w:rsid w:val="00566B7D"/>
    <w:rsid w:val="00566DEF"/>
    <w:rsid w:val="00566E33"/>
    <w:rsid w:val="00566F88"/>
    <w:rsid w:val="00566FCC"/>
    <w:rsid w:val="00567005"/>
    <w:rsid w:val="005670D2"/>
    <w:rsid w:val="0056723B"/>
    <w:rsid w:val="00567397"/>
    <w:rsid w:val="005675CF"/>
    <w:rsid w:val="005675DC"/>
    <w:rsid w:val="00567725"/>
    <w:rsid w:val="00567753"/>
    <w:rsid w:val="0056786C"/>
    <w:rsid w:val="005678EA"/>
    <w:rsid w:val="00567942"/>
    <w:rsid w:val="00567D48"/>
    <w:rsid w:val="00567ED6"/>
    <w:rsid w:val="0057002B"/>
    <w:rsid w:val="00570068"/>
    <w:rsid w:val="0057025A"/>
    <w:rsid w:val="005704CB"/>
    <w:rsid w:val="00570746"/>
    <w:rsid w:val="005709E6"/>
    <w:rsid w:val="00570ACF"/>
    <w:rsid w:val="00570BF6"/>
    <w:rsid w:val="00570F41"/>
    <w:rsid w:val="00570FA4"/>
    <w:rsid w:val="00571009"/>
    <w:rsid w:val="005712BB"/>
    <w:rsid w:val="005713FB"/>
    <w:rsid w:val="0057147C"/>
    <w:rsid w:val="0057155C"/>
    <w:rsid w:val="00571744"/>
    <w:rsid w:val="005717AE"/>
    <w:rsid w:val="00571A03"/>
    <w:rsid w:val="00571F72"/>
    <w:rsid w:val="005720D4"/>
    <w:rsid w:val="005720D7"/>
    <w:rsid w:val="00572121"/>
    <w:rsid w:val="00572594"/>
    <w:rsid w:val="005726CA"/>
    <w:rsid w:val="00572838"/>
    <w:rsid w:val="0057283F"/>
    <w:rsid w:val="00572AD5"/>
    <w:rsid w:val="00572C7C"/>
    <w:rsid w:val="00572D4A"/>
    <w:rsid w:val="00572DEB"/>
    <w:rsid w:val="00572E84"/>
    <w:rsid w:val="00572F02"/>
    <w:rsid w:val="005732F0"/>
    <w:rsid w:val="005732F9"/>
    <w:rsid w:val="0057330E"/>
    <w:rsid w:val="00573370"/>
    <w:rsid w:val="0057339F"/>
    <w:rsid w:val="005735E3"/>
    <w:rsid w:val="00573708"/>
    <w:rsid w:val="00573828"/>
    <w:rsid w:val="005738AA"/>
    <w:rsid w:val="0057397B"/>
    <w:rsid w:val="00573EFD"/>
    <w:rsid w:val="00573F4A"/>
    <w:rsid w:val="005743E5"/>
    <w:rsid w:val="005744AB"/>
    <w:rsid w:val="00574814"/>
    <w:rsid w:val="0057487C"/>
    <w:rsid w:val="005748B8"/>
    <w:rsid w:val="00574AA5"/>
    <w:rsid w:val="00574AB1"/>
    <w:rsid w:val="00574B2B"/>
    <w:rsid w:val="00574BF3"/>
    <w:rsid w:val="00574CCE"/>
    <w:rsid w:val="00574E22"/>
    <w:rsid w:val="00574E3F"/>
    <w:rsid w:val="00574E61"/>
    <w:rsid w:val="00574F8F"/>
    <w:rsid w:val="00575091"/>
    <w:rsid w:val="00575100"/>
    <w:rsid w:val="00575165"/>
    <w:rsid w:val="00575222"/>
    <w:rsid w:val="00575360"/>
    <w:rsid w:val="005753CD"/>
    <w:rsid w:val="00575414"/>
    <w:rsid w:val="005754EF"/>
    <w:rsid w:val="00575566"/>
    <w:rsid w:val="005755E8"/>
    <w:rsid w:val="00575672"/>
    <w:rsid w:val="00575675"/>
    <w:rsid w:val="005759F6"/>
    <w:rsid w:val="00575AEE"/>
    <w:rsid w:val="00575C7B"/>
    <w:rsid w:val="00575D59"/>
    <w:rsid w:val="00575EB6"/>
    <w:rsid w:val="00576083"/>
    <w:rsid w:val="0057610C"/>
    <w:rsid w:val="00576404"/>
    <w:rsid w:val="00576820"/>
    <w:rsid w:val="0057682E"/>
    <w:rsid w:val="005768B7"/>
    <w:rsid w:val="005769A8"/>
    <w:rsid w:val="005769ED"/>
    <w:rsid w:val="00576AAA"/>
    <w:rsid w:val="00576E72"/>
    <w:rsid w:val="00576FA9"/>
    <w:rsid w:val="005770F4"/>
    <w:rsid w:val="00577171"/>
    <w:rsid w:val="005771E8"/>
    <w:rsid w:val="005773E4"/>
    <w:rsid w:val="00577422"/>
    <w:rsid w:val="00577511"/>
    <w:rsid w:val="005775FD"/>
    <w:rsid w:val="0057769F"/>
    <w:rsid w:val="005778F9"/>
    <w:rsid w:val="00577966"/>
    <w:rsid w:val="00577A89"/>
    <w:rsid w:val="00577AA6"/>
    <w:rsid w:val="00577DAB"/>
    <w:rsid w:val="00577E09"/>
    <w:rsid w:val="00577E99"/>
    <w:rsid w:val="00577EEC"/>
    <w:rsid w:val="0058005F"/>
    <w:rsid w:val="0058024C"/>
    <w:rsid w:val="00580258"/>
    <w:rsid w:val="00580366"/>
    <w:rsid w:val="0058040A"/>
    <w:rsid w:val="00580413"/>
    <w:rsid w:val="00580447"/>
    <w:rsid w:val="0058049B"/>
    <w:rsid w:val="00580516"/>
    <w:rsid w:val="00580658"/>
    <w:rsid w:val="0058089E"/>
    <w:rsid w:val="0058091B"/>
    <w:rsid w:val="00580928"/>
    <w:rsid w:val="00580E0D"/>
    <w:rsid w:val="00580FCE"/>
    <w:rsid w:val="00580FF1"/>
    <w:rsid w:val="005810F3"/>
    <w:rsid w:val="00581146"/>
    <w:rsid w:val="00581183"/>
    <w:rsid w:val="00581217"/>
    <w:rsid w:val="00581300"/>
    <w:rsid w:val="0058158E"/>
    <w:rsid w:val="00581611"/>
    <w:rsid w:val="00581622"/>
    <w:rsid w:val="00581732"/>
    <w:rsid w:val="00581870"/>
    <w:rsid w:val="00581894"/>
    <w:rsid w:val="005819EB"/>
    <w:rsid w:val="00581BA2"/>
    <w:rsid w:val="00581DE2"/>
    <w:rsid w:val="00581DEC"/>
    <w:rsid w:val="00582012"/>
    <w:rsid w:val="00582089"/>
    <w:rsid w:val="0058217B"/>
    <w:rsid w:val="0058269A"/>
    <w:rsid w:val="00582719"/>
    <w:rsid w:val="0058290B"/>
    <w:rsid w:val="00582C9E"/>
    <w:rsid w:val="00582E6F"/>
    <w:rsid w:val="00582EC5"/>
    <w:rsid w:val="0058310C"/>
    <w:rsid w:val="00583153"/>
    <w:rsid w:val="0058318C"/>
    <w:rsid w:val="005831F1"/>
    <w:rsid w:val="005832FC"/>
    <w:rsid w:val="00583482"/>
    <w:rsid w:val="005837B2"/>
    <w:rsid w:val="00583832"/>
    <w:rsid w:val="0058388F"/>
    <w:rsid w:val="005838B4"/>
    <w:rsid w:val="00583932"/>
    <w:rsid w:val="00583A81"/>
    <w:rsid w:val="00583BF9"/>
    <w:rsid w:val="00583CAE"/>
    <w:rsid w:val="00583CE6"/>
    <w:rsid w:val="00583D45"/>
    <w:rsid w:val="00583DB8"/>
    <w:rsid w:val="00583DDE"/>
    <w:rsid w:val="00583E94"/>
    <w:rsid w:val="00583F61"/>
    <w:rsid w:val="005840CA"/>
    <w:rsid w:val="00584106"/>
    <w:rsid w:val="00584368"/>
    <w:rsid w:val="00584401"/>
    <w:rsid w:val="005846BF"/>
    <w:rsid w:val="00584875"/>
    <w:rsid w:val="005848E3"/>
    <w:rsid w:val="005848EF"/>
    <w:rsid w:val="00584B5B"/>
    <w:rsid w:val="00584E10"/>
    <w:rsid w:val="00585262"/>
    <w:rsid w:val="00585359"/>
    <w:rsid w:val="0058556C"/>
    <w:rsid w:val="005855B9"/>
    <w:rsid w:val="00585863"/>
    <w:rsid w:val="005858E7"/>
    <w:rsid w:val="005859D4"/>
    <w:rsid w:val="00585A48"/>
    <w:rsid w:val="00585B07"/>
    <w:rsid w:val="00585B0F"/>
    <w:rsid w:val="00585C73"/>
    <w:rsid w:val="00585C9C"/>
    <w:rsid w:val="00585F49"/>
    <w:rsid w:val="005861CA"/>
    <w:rsid w:val="005861CF"/>
    <w:rsid w:val="005866D3"/>
    <w:rsid w:val="00586758"/>
    <w:rsid w:val="00586A0D"/>
    <w:rsid w:val="00586AE2"/>
    <w:rsid w:val="00586B79"/>
    <w:rsid w:val="00586CB9"/>
    <w:rsid w:val="00586D24"/>
    <w:rsid w:val="00586DEC"/>
    <w:rsid w:val="00587216"/>
    <w:rsid w:val="00587266"/>
    <w:rsid w:val="0058726C"/>
    <w:rsid w:val="00587325"/>
    <w:rsid w:val="00587616"/>
    <w:rsid w:val="005877F5"/>
    <w:rsid w:val="00587DAF"/>
    <w:rsid w:val="00587E29"/>
    <w:rsid w:val="00587E33"/>
    <w:rsid w:val="0059014E"/>
    <w:rsid w:val="00590303"/>
    <w:rsid w:val="00590349"/>
    <w:rsid w:val="0059040A"/>
    <w:rsid w:val="00590433"/>
    <w:rsid w:val="005905F2"/>
    <w:rsid w:val="00590652"/>
    <w:rsid w:val="0059074C"/>
    <w:rsid w:val="005908A7"/>
    <w:rsid w:val="00590C3D"/>
    <w:rsid w:val="00590D08"/>
    <w:rsid w:val="00590DCF"/>
    <w:rsid w:val="00590EB2"/>
    <w:rsid w:val="00590F38"/>
    <w:rsid w:val="005911EE"/>
    <w:rsid w:val="00591297"/>
    <w:rsid w:val="0059146C"/>
    <w:rsid w:val="005914AE"/>
    <w:rsid w:val="005916EA"/>
    <w:rsid w:val="0059174B"/>
    <w:rsid w:val="005917B4"/>
    <w:rsid w:val="00591CAE"/>
    <w:rsid w:val="00591D97"/>
    <w:rsid w:val="00591F04"/>
    <w:rsid w:val="005920D7"/>
    <w:rsid w:val="00592154"/>
    <w:rsid w:val="005922BF"/>
    <w:rsid w:val="005923B8"/>
    <w:rsid w:val="005925B7"/>
    <w:rsid w:val="005925EE"/>
    <w:rsid w:val="005926D3"/>
    <w:rsid w:val="0059282F"/>
    <w:rsid w:val="005928B5"/>
    <w:rsid w:val="00592AF9"/>
    <w:rsid w:val="00592B70"/>
    <w:rsid w:val="00592DF5"/>
    <w:rsid w:val="00592F97"/>
    <w:rsid w:val="00593236"/>
    <w:rsid w:val="00593288"/>
    <w:rsid w:val="00593376"/>
    <w:rsid w:val="0059349D"/>
    <w:rsid w:val="005935C4"/>
    <w:rsid w:val="00593CA5"/>
    <w:rsid w:val="00593D3A"/>
    <w:rsid w:val="00593DA9"/>
    <w:rsid w:val="00593FEF"/>
    <w:rsid w:val="00594034"/>
    <w:rsid w:val="005941A7"/>
    <w:rsid w:val="0059465F"/>
    <w:rsid w:val="00594769"/>
    <w:rsid w:val="005947AA"/>
    <w:rsid w:val="005949B8"/>
    <w:rsid w:val="00594A34"/>
    <w:rsid w:val="00594AB7"/>
    <w:rsid w:val="00595094"/>
    <w:rsid w:val="005950E9"/>
    <w:rsid w:val="0059516F"/>
    <w:rsid w:val="005951FD"/>
    <w:rsid w:val="0059527A"/>
    <w:rsid w:val="00595860"/>
    <w:rsid w:val="005958E5"/>
    <w:rsid w:val="00595975"/>
    <w:rsid w:val="00595B97"/>
    <w:rsid w:val="00595C06"/>
    <w:rsid w:val="00595CFC"/>
    <w:rsid w:val="00595DF5"/>
    <w:rsid w:val="00595F02"/>
    <w:rsid w:val="00596485"/>
    <w:rsid w:val="0059659D"/>
    <w:rsid w:val="0059662D"/>
    <w:rsid w:val="005967E5"/>
    <w:rsid w:val="0059689F"/>
    <w:rsid w:val="00596ABB"/>
    <w:rsid w:val="00596B1A"/>
    <w:rsid w:val="00596BC4"/>
    <w:rsid w:val="00596CE7"/>
    <w:rsid w:val="00596EF5"/>
    <w:rsid w:val="005971DF"/>
    <w:rsid w:val="0059747C"/>
    <w:rsid w:val="0059778A"/>
    <w:rsid w:val="00597817"/>
    <w:rsid w:val="00597896"/>
    <w:rsid w:val="00597938"/>
    <w:rsid w:val="0059796A"/>
    <w:rsid w:val="005979A6"/>
    <w:rsid w:val="00597A59"/>
    <w:rsid w:val="00597BEE"/>
    <w:rsid w:val="00597D17"/>
    <w:rsid w:val="00597D21"/>
    <w:rsid w:val="00597EC4"/>
    <w:rsid w:val="00597EEB"/>
    <w:rsid w:val="005A000E"/>
    <w:rsid w:val="005A0016"/>
    <w:rsid w:val="005A018C"/>
    <w:rsid w:val="005A06EC"/>
    <w:rsid w:val="005A0851"/>
    <w:rsid w:val="005A0956"/>
    <w:rsid w:val="005A0B17"/>
    <w:rsid w:val="005A0D30"/>
    <w:rsid w:val="005A0DE8"/>
    <w:rsid w:val="005A0E8F"/>
    <w:rsid w:val="005A11DC"/>
    <w:rsid w:val="005A1234"/>
    <w:rsid w:val="005A129E"/>
    <w:rsid w:val="005A12D3"/>
    <w:rsid w:val="005A131C"/>
    <w:rsid w:val="005A13B4"/>
    <w:rsid w:val="005A13C1"/>
    <w:rsid w:val="005A14CB"/>
    <w:rsid w:val="005A1502"/>
    <w:rsid w:val="005A1667"/>
    <w:rsid w:val="005A1B63"/>
    <w:rsid w:val="005A1E95"/>
    <w:rsid w:val="005A1F69"/>
    <w:rsid w:val="005A1F74"/>
    <w:rsid w:val="005A1F83"/>
    <w:rsid w:val="005A1FC3"/>
    <w:rsid w:val="005A1FFF"/>
    <w:rsid w:val="005A2029"/>
    <w:rsid w:val="005A23A4"/>
    <w:rsid w:val="005A2441"/>
    <w:rsid w:val="005A2765"/>
    <w:rsid w:val="005A2773"/>
    <w:rsid w:val="005A2AA3"/>
    <w:rsid w:val="005A2AB5"/>
    <w:rsid w:val="005A2B34"/>
    <w:rsid w:val="005A2BAF"/>
    <w:rsid w:val="005A2CAE"/>
    <w:rsid w:val="005A2D6D"/>
    <w:rsid w:val="005A316F"/>
    <w:rsid w:val="005A31AC"/>
    <w:rsid w:val="005A31BB"/>
    <w:rsid w:val="005A3481"/>
    <w:rsid w:val="005A35A3"/>
    <w:rsid w:val="005A36B5"/>
    <w:rsid w:val="005A3743"/>
    <w:rsid w:val="005A39EF"/>
    <w:rsid w:val="005A3B28"/>
    <w:rsid w:val="005A3BAE"/>
    <w:rsid w:val="005A3BBF"/>
    <w:rsid w:val="005A3C4F"/>
    <w:rsid w:val="005A3CAC"/>
    <w:rsid w:val="005A3DF3"/>
    <w:rsid w:val="005A3EAA"/>
    <w:rsid w:val="005A425D"/>
    <w:rsid w:val="005A4470"/>
    <w:rsid w:val="005A4867"/>
    <w:rsid w:val="005A4985"/>
    <w:rsid w:val="005A4A54"/>
    <w:rsid w:val="005A4B56"/>
    <w:rsid w:val="005A4BD1"/>
    <w:rsid w:val="005A4E32"/>
    <w:rsid w:val="005A4E87"/>
    <w:rsid w:val="005A4FC9"/>
    <w:rsid w:val="005A5112"/>
    <w:rsid w:val="005A5141"/>
    <w:rsid w:val="005A5240"/>
    <w:rsid w:val="005A5283"/>
    <w:rsid w:val="005A52F1"/>
    <w:rsid w:val="005A543C"/>
    <w:rsid w:val="005A5773"/>
    <w:rsid w:val="005A57FB"/>
    <w:rsid w:val="005A59E9"/>
    <w:rsid w:val="005A5A41"/>
    <w:rsid w:val="005A5CB3"/>
    <w:rsid w:val="005A5DB7"/>
    <w:rsid w:val="005A5ED5"/>
    <w:rsid w:val="005A6028"/>
    <w:rsid w:val="005A60B4"/>
    <w:rsid w:val="005A6242"/>
    <w:rsid w:val="005A63BD"/>
    <w:rsid w:val="005A6619"/>
    <w:rsid w:val="005A6816"/>
    <w:rsid w:val="005A696E"/>
    <w:rsid w:val="005A6978"/>
    <w:rsid w:val="005A69C4"/>
    <w:rsid w:val="005A6A12"/>
    <w:rsid w:val="005A6B3D"/>
    <w:rsid w:val="005A6C2A"/>
    <w:rsid w:val="005A6CE9"/>
    <w:rsid w:val="005A6D55"/>
    <w:rsid w:val="005A6E5D"/>
    <w:rsid w:val="005A70AD"/>
    <w:rsid w:val="005A7100"/>
    <w:rsid w:val="005A7201"/>
    <w:rsid w:val="005A73EF"/>
    <w:rsid w:val="005A7457"/>
    <w:rsid w:val="005A7540"/>
    <w:rsid w:val="005A7617"/>
    <w:rsid w:val="005A7727"/>
    <w:rsid w:val="005A780C"/>
    <w:rsid w:val="005A7920"/>
    <w:rsid w:val="005A79D4"/>
    <w:rsid w:val="005A7A0C"/>
    <w:rsid w:val="005A7A11"/>
    <w:rsid w:val="005A7BCE"/>
    <w:rsid w:val="005A7BE9"/>
    <w:rsid w:val="005A7DEA"/>
    <w:rsid w:val="005B001F"/>
    <w:rsid w:val="005B0095"/>
    <w:rsid w:val="005B00CA"/>
    <w:rsid w:val="005B044B"/>
    <w:rsid w:val="005B046C"/>
    <w:rsid w:val="005B06D6"/>
    <w:rsid w:val="005B09CF"/>
    <w:rsid w:val="005B0B69"/>
    <w:rsid w:val="005B0B72"/>
    <w:rsid w:val="005B0C1A"/>
    <w:rsid w:val="005B0DCB"/>
    <w:rsid w:val="005B0E30"/>
    <w:rsid w:val="005B0F53"/>
    <w:rsid w:val="005B11F7"/>
    <w:rsid w:val="005B122C"/>
    <w:rsid w:val="005B1362"/>
    <w:rsid w:val="005B1473"/>
    <w:rsid w:val="005B152F"/>
    <w:rsid w:val="005B1598"/>
    <w:rsid w:val="005B163A"/>
    <w:rsid w:val="005B170C"/>
    <w:rsid w:val="005B196C"/>
    <w:rsid w:val="005B1AEF"/>
    <w:rsid w:val="005B1BF4"/>
    <w:rsid w:val="005B2018"/>
    <w:rsid w:val="005B20A6"/>
    <w:rsid w:val="005B222E"/>
    <w:rsid w:val="005B23F6"/>
    <w:rsid w:val="005B265F"/>
    <w:rsid w:val="005B27F1"/>
    <w:rsid w:val="005B28AB"/>
    <w:rsid w:val="005B28D3"/>
    <w:rsid w:val="005B2941"/>
    <w:rsid w:val="005B2947"/>
    <w:rsid w:val="005B2A1B"/>
    <w:rsid w:val="005B2BCD"/>
    <w:rsid w:val="005B2C14"/>
    <w:rsid w:val="005B2C6C"/>
    <w:rsid w:val="005B2D03"/>
    <w:rsid w:val="005B2E86"/>
    <w:rsid w:val="005B2EFB"/>
    <w:rsid w:val="005B2F00"/>
    <w:rsid w:val="005B3117"/>
    <w:rsid w:val="005B31BA"/>
    <w:rsid w:val="005B31BF"/>
    <w:rsid w:val="005B3226"/>
    <w:rsid w:val="005B3448"/>
    <w:rsid w:val="005B345D"/>
    <w:rsid w:val="005B35A8"/>
    <w:rsid w:val="005B37D0"/>
    <w:rsid w:val="005B3812"/>
    <w:rsid w:val="005B3AC7"/>
    <w:rsid w:val="005B3C17"/>
    <w:rsid w:val="005B3C62"/>
    <w:rsid w:val="005B3CEC"/>
    <w:rsid w:val="005B4157"/>
    <w:rsid w:val="005B415D"/>
    <w:rsid w:val="005B42C4"/>
    <w:rsid w:val="005B43DF"/>
    <w:rsid w:val="005B440A"/>
    <w:rsid w:val="005B4435"/>
    <w:rsid w:val="005B4604"/>
    <w:rsid w:val="005B4A43"/>
    <w:rsid w:val="005B4E4A"/>
    <w:rsid w:val="005B4ECA"/>
    <w:rsid w:val="005B4F03"/>
    <w:rsid w:val="005B4F85"/>
    <w:rsid w:val="005B50C9"/>
    <w:rsid w:val="005B5264"/>
    <w:rsid w:val="005B53D7"/>
    <w:rsid w:val="005B54D8"/>
    <w:rsid w:val="005B5526"/>
    <w:rsid w:val="005B55B9"/>
    <w:rsid w:val="005B5775"/>
    <w:rsid w:val="005B5BD0"/>
    <w:rsid w:val="005B5D93"/>
    <w:rsid w:val="005B5E6C"/>
    <w:rsid w:val="005B6190"/>
    <w:rsid w:val="005B65C5"/>
    <w:rsid w:val="005B66F6"/>
    <w:rsid w:val="005B6765"/>
    <w:rsid w:val="005B68A2"/>
    <w:rsid w:val="005B6938"/>
    <w:rsid w:val="005B69BF"/>
    <w:rsid w:val="005B6A44"/>
    <w:rsid w:val="005B6AE4"/>
    <w:rsid w:val="005B6C6A"/>
    <w:rsid w:val="005B6D19"/>
    <w:rsid w:val="005B6D42"/>
    <w:rsid w:val="005B6E13"/>
    <w:rsid w:val="005B6FF9"/>
    <w:rsid w:val="005B7072"/>
    <w:rsid w:val="005B746C"/>
    <w:rsid w:val="005B74DB"/>
    <w:rsid w:val="005B758B"/>
    <w:rsid w:val="005B7667"/>
    <w:rsid w:val="005B766E"/>
    <w:rsid w:val="005B7B87"/>
    <w:rsid w:val="005B7BF5"/>
    <w:rsid w:val="005B7C1B"/>
    <w:rsid w:val="005B7E82"/>
    <w:rsid w:val="005C00EB"/>
    <w:rsid w:val="005C0125"/>
    <w:rsid w:val="005C02A8"/>
    <w:rsid w:val="005C02E9"/>
    <w:rsid w:val="005C0509"/>
    <w:rsid w:val="005C066D"/>
    <w:rsid w:val="005C0692"/>
    <w:rsid w:val="005C0765"/>
    <w:rsid w:val="005C07A8"/>
    <w:rsid w:val="005C07B8"/>
    <w:rsid w:val="005C0A15"/>
    <w:rsid w:val="005C0A83"/>
    <w:rsid w:val="005C0CB0"/>
    <w:rsid w:val="005C0CF5"/>
    <w:rsid w:val="005C0EDB"/>
    <w:rsid w:val="005C0EFD"/>
    <w:rsid w:val="005C11FF"/>
    <w:rsid w:val="005C120E"/>
    <w:rsid w:val="005C128C"/>
    <w:rsid w:val="005C130F"/>
    <w:rsid w:val="005C134D"/>
    <w:rsid w:val="005C13AE"/>
    <w:rsid w:val="005C16E8"/>
    <w:rsid w:val="005C171F"/>
    <w:rsid w:val="005C1ABF"/>
    <w:rsid w:val="005C1C19"/>
    <w:rsid w:val="005C1CB7"/>
    <w:rsid w:val="005C1D6C"/>
    <w:rsid w:val="005C1F0C"/>
    <w:rsid w:val="005C21D7"/>
    <w:rsid w:val="005C24E9"/>
    <w:rsid w:val="005C26C0"/>
    <w:rsid w:val="005C2781"/>
    <w:rsid w:val="005C2EBA"/>
    <w:rsid w:val="005C2EEA"/>
    <w:rsid w:val="005C2F95"/>
    <w:rsid w:val="005C30E0"/>
    <w:rsid w:val="005C311D"/>
    <w:rsid w:val="005C313D"/>
    <w:rsid w:val="005C3447"/>
    <w:rsid w:val="005C34AA"/>
    <w:rsid w:val="005C367F"/>
    <w:rsid w:val="005C3741"/>
    <w:rsid w:val="005C3B59"/>
    <w:rsid w:val="005C3C52"/>
    <w:rsid w:val="005C3F16"/>
    <w:rsid w:val="005C3F59"/>
    <w:rsid w:val="005C3F8E"/>
    <w:rsid w:val="005C460B"/>
    <w:rsid w:val="005C478D"/>
    <w:rsid w:val="005C47DE"/>
    <w:rsid w:val="005C47F6"/>
    <w:rsid w:val="005C4B47"/>
    <w:rsid w:val="005C4C66"/>
    <w:rsid w:val="005C4D60"/>
    <w:rsid w:val="005C4E39"/>
    <w:rsid w:val="005C4E48"/>
    <w:rsid w:val="005C53BE"/>
    <w:rsid w:val="005C5749"/>
    <w:rsid w:val="005C578F"/>
    <w:rsid w:val="005C5823"/>
    <w:rsid w:val="005C5870"/>
    <w:rsid w:val="005C58D5"/>
    <w:rsid w:val="005C59E2"/>
    <w:rsid w:val="005C5BDC"/>
    <w:rsid w:val="005C5F5B"/>
    <w:rsid w:val="005C6161"/>
    <w:rsid w:val="005C64E3"/>
    <w:rsid w:val="005C6663"/>
    <w:rsid w:val="005C6680"/>
    <w:rsid w:val="005C6738"/>
    <w:rsid w:val="005C6787"/>
    <w:rsid w:val="005C68EB"/>
    <w:rsid w:val="005C6A0F"/>
    <w:rsid w:val="005C6A44"/>
    <w:rsid w:val="005C6E58"/>
    <w:rsid w:val="005C6ECB"/>
    <w:rsid w:val="005C701F"/>
    <w:rsid w:val="005C70D9"/>
    <w:rsid w:val="005C70ED"/>
    <w:rsid w:val="005C7479"/>
    <w:rsid w:val="005C748E"/>
    <w:rsid w:val="005C74C5"/>
    <w:rsid w:val="005C77C2"/>
    <w:rsid w:val="005C77DB"/>
    <w:rsid w:val="005C7890"/>
    <w:rsid w:val="005C7A20"/>
    <w:rsid w:val="005C7ADA"/>
    <w:rsid w:val="005C7C24"/>
    <w:rsid w:val="005C7E2E"/>
    <w:rsid w:val="005C7FCE"/>
    <w:rsid w:val="005D0024"/>
    <w:rsid w:val="005D018E"/>
    <w:rsid w:val="005D01D4"/>
    <w:rsid w:val="005D03CF"/>
    <w:rsid w:val="005D0662"/>
    <w:rsid w:val="005D06CF"/>
    <w:rsid w:val="005D07F9"/>
    <w:rsid w:val="005D093C"/>
    <w:rsid w:val="005D09A7"/>
    <w:rsid w:val="005D09F3"/>
    <w:rsid w:val="005D0AF3"/>
    <w:rsid w:val="005D0B1E"/>
    <w:rsid w:val="005D0C8D"/>
    <w:rsid w:val="005D0CBC"/>
    <w:rsid w:val="005D0CED"/>
    <w:rsid w:val="005D0D50"/>
    <w:rsid w:val="005D0F6A"/>
    <w:rsid w:val="005D109A"/>
    <w:rsid w:val="005D10C1"/>
    <w:rsid w:val="005D11DF"/>
    <w:rsid w:val="005D1329"/>
    <w:rsid w:val="005D156A"/>
    <w:rsid w:val="005D1771"/>
    <w:rsid w:val="005D185C"/>
    <w:rsid w:val="005D19BB"/>
    <w:rsid w:val="005D1A1F"/>
    <w:rsid w:val="005D1A49"/>
    <w:rsid w:val="005D1CD5"/>
    <w:rsid w:val="005D209F"/>
    <w:rsid w:val="005D20DF"/>
    <w:rsid w:val="005D22F7"/>
    <w:rsid w:val="005D25CE"/>
    <w:rsid w:val="005D25EB"/>
    <w:rsid w:val="005D2B5D"/>
    <w:rsid w:val="005D2BB0"/>
    <w:rsid w:val="005D2BC4"/>
    <w:rsid w:val="005D2FC5"/>
    <w:rsid w:val="005D303B"/>
    <w:rsid w:val="005D319B"/>
    <w:rsid w:val="005D343D"/>
    <w:rsid w:val="005D34FE"/>
    <w:rsid w:val="005D3558"/>
    <w:rsid w:val="005D3630"/>
    <w:rsid w:val="005D363B"/>
    <w:rsid w:val="005D3ABF"/>
    <w:rsid w:val="005D3B94"/>
    <w:rsid w:val="005D3BEE"/>
    <w:rsid w:val="005D3D6D"/>
    <w:rsid w:val="005D3ED8"/>
    <w:rsid w:val="005D413D"/>
    <w:rsid w:val="005D438F"/>
    <w:rsid w:val="005D4549"/>
    <w:rsid w:val="005D4A3E"/>
    <w:rsid w:val="005D4B44"/>
    <w:rsid w:val="005D4C05"/>
    <w:rsid w:val="005D4DE4"/>
    <w:rsid w:val="005D4E55"/>
    <w:rsid w:val="005D4ECD"/>
    <w:rsid w:val="005D4F99"/>
    <w:rsid w:val="005D4FAC"/>
    <w:rsid w:val="005D4FB7"/>
    <w:rsid w:val="005D5351"/>
    <w:rsid w:val="005D53C9"/>
    <w:rsid w:val="005D5625"/>
    <w:rsid w:val="005D572E"/>
    <w:rsid w:val="005D57C0"/>
    <w:rsid w:val="005D5922"/>
    <w:rsid w:val="005D5A82"/>
    <w:rsid w:val="005D5ACE"/>
    <w:rsid w:val="005D5BB0"/>
    <w:rsid w:val="005D5BDA"/>
    <w:rsid w:val="005D5C16"/>
    <w:rsid w:val="005D5C99"/>
    <w:rsid w:val="005D5E40"/>
    <w:rsid w:val="005D5EE9"/>
    <w:rsid w:val="005D5F15"/>
    <w:rsid w:val="005D5F75"/>
    <w:rsid w:val="005D5F90"/>
    <w:rsid w:val="005D5F9E"/>
    <w:rsid w:val="005D621F"/>
    <w:rsid w:val="005D62AD"/>
    <w:rsid w:val="005D63EE"/>
    <w:rsid w:val="005D6447"/>
    <w:rsid w:val="005D656C"/>
    <w:rsid w:val="005D659D"/>
    <w:rsid w:val="005D6621"/>
    <w:rsid w:val="005D6827"/>
    <w:rsid w:val="005D6836"/>
    <w:rsid w:val="005D69F9"/>
    <w:rsid w:val="005D6B7C"/>
    <w:rsid w:val="005D6BD8"/>
    <w:rsid w:val="005D6C44"/>
    <w:rsid w:val="005D6E28"/>
    <w:rsid w:val="005D6EA3"/>
    <w:rsid w:val="005D6F7A"/>
    <w:rsid w:val="005D71F7"/>
    <w:rsid w:val="005D72CB"/>
    <w:rsid w:val="005D72E7"/>
    <w:rsid w:val="005D7654"/>
    <w:rsid w:val="005D76CB"/>
    <w:rsid w:val="005D778C"/>
    <w:rsid w:val="005D77AA"/>
    <w:rsid w:val="005D77C8"/>
    <w:rsid w:val="005D7A71"/>
    <w:rsid w:val="005D7CBF"/>
    <w:rsid w:val="005E00E0"/>
    <w:rsid w:val="005E0158"/>
    <w:rsid w:val="005E0222"/>
    <w:rsid w:val="005E0255"/>
    <w:rsid w:val="005E03F1"/>
    <w:rsid w:val="005E04FB"/>
    <w:rsid w:val="005E051F"/>
    <w:rsid w:val="005E05B7"/>
    <w:rsid w:val="005E090B"/>
    <w:rsid w:val="005E0916"/>
    <w:rsid w:val="005E0A63"/>
    <w:rsid w:val="005E0B82"/>
    <w:rsid w:val="005E0D9E"/>
    <w:rsid w:val="005E0EE3"/>
    <w:rsid w:val="005E12BB"/>
    <w:rsid w:val="005E14F2"/>
    <w:rsid w:val="005E1574"/>
    <w:rsid w:val="005E18B2"/>
    <w:rsid w:val="005E18EB"/>
    <w:rsid w:val="005E193B"/>
    <w:rsid w:val="005E1B4F"/>
    <w:rsid w:val="005E1D3D"/>
    <w:rsid w:val="005E1D7A"/>
    <w:rsid w:val="005E229D"/>
    <w:rsid w:val="005E26F3"/>
    <w:rsid w:val="005E270D"/>
    <w:rsid w:val="005E2735"/>
    <w:rsid w:val="005E279A"/>
    <w:rsid w:val="005E27E0"/>
    <w:rsid w:val="005E2834"/>
    <w:rsid w:val="005E2A16"/>
    <w:rsid w:val="005E2A3D"/>
    <w:rsid w:val="005E2A82"/>
    <w:rsid w:val="005E31D3"/>
    <w:rsid w:val="005E33AB"/>
    <w:rsid w:val="005E3728"/>
    <w:rsid w:val="005E3762"/>
    <w:rsid w:val="005E3C81"/>
    <w:rsid w:val="005E3DA5"/>
    <w:rsid w:val="005E3F16"/>
    <w:rsid w:val="005E3FD5"/>
    <w:rsid w:val="005E4031"/>
    <w:rsid w:val="005E42A1"/>
    <w:rsid w:val="005E49FA"/>
    <w:rsid w:val="005E4A1A"/>
    <w:rsid w:val="005E4B01"/>
    <w:rsid w:val="005E4E47"/>
    <w:rsid w:val="005E4F66"/>
    <w:rsid w:val="005E50E1"/>
    <w:rsid w:val="005E538E"/>
    <w:rsid w:val="005E53FF"/>
    <w:rsid w:val="005E58D7"/>
    <w:rsid w:val="005E5A4D"/>
    <w:rsid w:val="005E5CA9"/>
    <w:rsid w:val="005E5CB2"/>
    <w:rsid w:val="005E5DBB"/>
    <w:rsid w:val="005E5ECC"/>
    <w:rsid w:val="005E60F3"/>
    <w:rsid w:val="005E61B5"/>
    <w:rsid w:val="005E623A"/>
    <w:rsid w:val="005E62DB"/>
    <w:rsid w:val="005E6304"/>
    <w:rsid w:val="005E6546"/>
    <w:rsid w:val="005E666D"/>
    <w:rsid w:val="005E66EC"/>
    <w:rsid w:val="005E68AE"/>
    <w:rsid w:val="005E69BE"/>
    <w:rsid w:val="005E6A37"/>
    <w:rsid w:val="005E6C45"/>
    <w:rsid w:val="005E6D6B"/>
    <w:rsid w:val="005E7058"/>
    <w:rsid w:val="005E70C3"/>
    <w:rsid w:val="005E733F"/>
    <w:rsid w:val="005E76DD"/>
    <w:rsid w:val="005E78BA"/>
    <w:rsid w:val="005E78DE"/>
    <w:rsid w:val="005E7A3D"/>
    <w:rsid w:val="005E7CF0"/>
    <w:rsid w:val="005E7DB0"/>
    <w:rsid w:val="005E7F99"/>
    <w:rsid w:val="005F0622"/>
    <w:rsid w:val="005F0961"/>
    <w:rsid w:val="005F0CB0"/>
    <w:rsid w:val="005F0CD0"/>
    <w:rsid w:val="005F1020"/>
    <w:rsid w:val="005F1346"/>
    <w:rsid w:val="005F1450"/>
    <w:rsid w:val="005F1813"/>
    <w:rsid w:val="005F1913"/>
    <w:rsid w:val="005F1AEF"/>
    <w:rsid w:val="005F1B5D"/>
    <w:rsid w:val="005F1C03"/>
    <w:rsid w:val="005F1D52"/>
    <w:rsid w:val="005F1E73"/>
    <w:rsid w:val="005F2068"/>
    <w:rsid w:val="005F224E"/>
    <w:rsid w:val="005F2332"/>
    <w:rsid w:val="005F249C"/>
    <w:rsid w:val="005F25FA"/>
    <w:rsid w:val="005F26FE"/>
    <w:rsid w:val="005F282D"/>
    <w:rsid w:val="005F2838"/>
    <w:rsid w:val="005F2971"/>
    <w:rsid w:val="005F2995"/>
    <w:rsid w:val="005F2A3D"/>
    <w:rsid w:val="005F2A74"/>
    <w:rsid w:val="005F2A7A"/>
    <w:rsid w:val="005F2AD4"/>
    <w:rsid w:val="005F2C33"/>
    <w:rsid w:val="005F2C41"/>
    <w:rsid w:val="005F2D45"/>
    <w:rsid w:val="005F2DBD"/>
    <w:rsid w:val="005F2F1F"/>
    <w:rsid w:val="005F33C1"/>
    <w:rsid w:val="005F369E"/>
    <w:rsid w:val="005F36D0"/>
    <w:rsid w:val="005F39AF"/>
    <w:rsid w:val="005F3AA6"/>
    <w:rsid w:val="005F3B1B"/>
    <w:rsid w:val="005F3B31"/>
    <w:rsid w:val="005F3B88"/>
    <w:rsid w:val="005F3BAA"/>
    <w:rsid w:val="005F3BAE"/>
    <w:rsid w:val="005F3BB8"/>
    <w:rsid w:val="005F3F61"/>
    <w:rsid w:val="005F42A3"/>
    <w:rsid w:val="005F430E"/>
    <w:rsid w:val="005F43B9"/>
    <w:rsid w:val="005F43D7"/>
    <w:rsid w:val="005F46F5"/>
    <w:rsid w:val="005F485A"/>
    <w:rsid w:val="005F4961"/>
    <w:rsid w:val="005F4A5D"/>
    <w:rsid w:val="005F4B8D"/>
    <w:rsid w:val="005F4BA7"/>
    <w:rsid w:val="005F4BA8"/>
    <w:rsid w:val="005F4F0F"/>
    <w:rsid w:val="005F5012"/>
    <w:rsid w:val="005F5019"/>
    <w:rsid w:val="005F50BD"/>
    <w:rsid w:val="005F51DF"/>
    <w:rsid w:val="005F5314"/>
    <w:rsid w:val="005F5541"/>
    <w:rsid w:val="005F5577"/>
    <w:rsid w:val="005F565B"/>
    <w:rsid w:val="005F59F3"/>
    <w:rsid w:val="005F5C99"/>
    <w:rsid w:val="005F5D1A"/>
    <w:rsid w:val="005F5D51"/>
    <w:rsid w:val="005F5DDB"/>
    <w:rsid w:val="005F5E7A"/>
    <w:rsid w:val="005F5F10"/>
    <w:rsid w:val="005F609A"/>
    <w:rsid w:val="005F60AC"/>
    <w:rsid w:val="005F6108"/>
    <w:rsid w:val="005F61D3"/>
    <w:rsid w:val="005F61FB"/>
    <w:rsid w:val="005F6274"/>
    <w:rsid w:val="005F6321"/>
    <w:rsid w:val="005F6B93"/>
    <w:rsid w:val="005F6BC5"/>
    <w:rsid w:val="005F6C6F"/>
    <w:rsid w:val="005F6CB1"/>
    <w:rsid w:val="005F6CFF"/>
    <w:rsid w:val="005F6E36"/>
    <w:rsid w:val="005F7053"/>
    <w:rsid w:val="005F7135"/>
    <w:rsid w:val="005F734F"/>
    <w:rsid w:val="005F7515"/>
    <w:rsid w:val="005F76CD"/>
    <w:rsid w:val="005F76F7"/>
    <w:rsid w:val="005F78C6"/>
    <w:rsid w:val="005F79E4"/>
    <w:rsid w:val="005F7A45"/>
    <w:rsid w:val="005F7B39"/>
    <w:rsid w:val="005F7E8F"/>
    <w:rsid w:val="00600201"/>
    <w:rsid w:val="0060027A"/>
    <w:rsid w:val="00600374"/>
    <w:rsid w:val="00600384"/>
    <w:rsid w:val="0060042E"/>
    <w:rsid w:val="0060056B"/>
    <w:rsid w:val="0060068B"/>
    <w:rsid w:val="006006F3"/>
    <w:rsid w:val="00600704"/>
    <w:rsid w:val="00600808"/>
    <w:rsid w:val="00600884"/>
    <w:rsid w:val="006008F2"/>
    <w:rsid w:val="0060097C"/>
    <w:rsid w:val="006009B8"/>
    <w:rsid w:val="00600A21"/>
    <w:rsid w:val="00600CEE"/>
    <w:rsid w:val="00600CF5"/>
    <w:rsid w:val="00600EF8"/>
    <w:rsid w:val="006011D0"/>
    <w:rsid w:val="00601261"/>
    <w:rsid w:val="006012A3"/>
    <w:rsid w:val="00601441"/>
    <w:rsid w:val="00601526"/>
    <w:rsid w:val="00601675"/>
    <w:rsid w:val="0060168E"/>
    <w:rsid w:val="006019E9"/>
    <w:rsid w:val="00601BB0"/>
    <w:rsid w:val="00601CD6"/>
    <w:rsid w:val="00601EE5"/>
    <w:rsid w:val="00601F8B"/>
    <w:rsid w:val="006020A8"/>
    <w:rsid w:val="006021D6"/>
    <w:rsid w:val="00602370"/>
    <w:rsid w:val="0060243A"/>
    <w:rsid w:val="006027B8"/>
    <w:rsid w:val="00602A92"/>
    <w:rsid w:val="00602AA3"/>
    <w:rsid w:val="00602D54"/>
    <w:rsid w:val="00602FF5"/>
    <w:rsid w:val="00603076"/>
    <w:rsid w:val="006032A6"/>
    <w:rsid w:val="0060343F"/>
    <w:rsid w:val="00603831"/>
    <w:rsid w:val="0060394F"/>
    <w:rsid w:val="006039BA"/>
    <w:rsid w:val="00603CA3"/>
    <w:rsid w:val="00603EEE"/>
    <w:rsid w:val="00603F21"/>
    <w:rsid w:val="006040AF"/>
    <w:rsid w:val="0060418D"/>
    <w:rsid w:val="006041BE"/>
    <w:rsid w:val="00604211"/>
    <w:rsid w:val="0060431E"/>
    <w:rsid w:val="006045E8"/>
    <w:rsid w:val="00604845"/>
    <w:rsid w:val="00604960"/>
    <w:rsid w:val="00604CA7"/>
    <w:rsid w:val="00604EEB"/>
    <w:rsid w:val="00605208"/>
    <w:rsid w:val="00605296"/>
    <w:rsid w:val="006053CD"/>
    <w:rsid w:val="006054FE"/>
    <w:rsid w:val="0060562B"/>
    <w:rsid w:val="006059A0"/>
    <w:rsid w:val="00605D1E"/>
    <w:rsid w:val="00605D25"/>
    <w:rsid w:val="00605E38"/>
    <w:rsid w:val="0060624F"/>
    <w:rsid w:val="0060678B"/>
    <w:rsid w:val="00606A9C"/>
    <w:rsid w:val="00606CC4"/>
    <w:rsid w:val="00606EEB"/>
    <w:rsid w:val="00606EFF"/>
    <w:rsid w:val="00606F8B"/>
    <w:rsid w:val="00606FDC"/>
    <w:rsid w:val="00607066"/>
    <w:rsid w:val="00607545"/>
    <w:rsid w:val="006077D6"/>
    <w:rsid w:val="006079B6"/>
    <w:rsid w:val="006079FD"/>
    <w:rsid w:val="00607B85"/>
    <w:rsid w:val="00607C2F"/>
    <w:rsid w:val="00607D4D"/>
    <w:rsid w:val="00607EDA"/>
    <w:rsid w:val="0061000E"/>
    <w:rsid w:val="00610074"/>
    <w:rsid w:val="00610234"/>
    <w:rsid w:val="006105D8"/>
    <w:rsid w:val="0061069C"/>
    <w:rsid w:val="00610852"/>
    <w:rsid w:val="00610AD9"/>
    <w:rsid w:val="00610AF2"/>
    <w:rsid w:val="00610B5F"/>
    <w:rsid w:val="00610D74"/>
    <w:rsid w:val="00610E0C"/>
    <w:rsid w:val="00610E4F"/>
    <w:rsid w:val="00610F44"/>
    <w:rsid w:val="00611132"/>
    <w:rsid w:val="006111F7"/>
    <w:rsid w:val="006111FF"/>
    <w:rsid w:val="00611329"/>
    <w:rsid w:val="00611374"/>
    <w:rsid w:val="006113F9"/>
    <w:rsid w:val="00611438"/>
    <w:rsid w:val="006115A2"/>
    <w:rsid w:val="00611602"/>
    <w:rsid w:val="00611759"/>
    <w:rsid w:val="006118FA"/>
    <w:rsid w:val="00611C23"/>
    <w:rsid w:val="00611C55"/>
    <w:rsid w:val="00611DC5"/>
    <w:rsid w:val="00611DC9"/>
    <w:rsid w:val="00611E5F"/>
    <w:rsid w:val="0061208C"/>
    <w:rsid w:val="0061220C"/>
    <w:rsid w:val="0061223D"/>
    <w:rsid w:val="0061225A"/>
    <w:rsid w:val="00612356"/>
    <w:rsid w:val="0061242A"/>
    <w:rsid w:val="006124AD"/>
    <w:rsid w:val="00612739"/>
    <w:rsid w:val="0061287B"/>
    <w:rsid w:val="00612A23"/>
    <w:rsid w:val="00612C97"/>
    <w:rsid w:val="00612E3D"/>
    <w:rsid w:val="00612FE9"/>
    <w:rsid w:val="0061300C"/>
    <w:rsid w:val="006134E4"/>
    <w:rsid w:val="00613599"/>
    <w:rsid w:val="006135A0"/>
    <w:rsid w:val="0061365E"/>
    <w:rsid w:val="006136C1"/>
    <w:rsid w:val="006136C3"/>
    <w:rsid w:val="006136FE"/>
    <w:rsid w:val="00613729"/>
    <w:rsid w:val="006139CC"/>
    <w:rsid w:val="00613DF4"/>
    <w:rsid w:val="00613E4B"/>
    <w:rsid w:val="00613F95"/>
    <w:rsid w:val="0061401A"/>
    <w:rsid w:val="00614181"/>
    <w:rsid w:val="00614211"/>
    <w:rsid w:val="0061436D"/>
    <w:rsid w:val="006144F7"/>
    <w:rsid w:val="0061467B"/>
    <w:rsid w:val="00614742"/>
    <w:rsid w:val="0061496D"/>
    <w:rsid w:val="00614AC0"/>
    <w:rsid w:val="00614DCE"/>
    <w:rsid w:val="00614E2B"/>
    <w:rsid w:val="00614ED5"/>
    <w:rsid w:val="0061520D"/>
    <w:rsid w:val="0061523E"/>
    <w:rsid w:val="00615268"/>
    <w:rsid w:val="00615283"/>
    <w:rsid w:val="006152D0"/>
    <w:rsid w:val="006153C6"/>
    <w:rsid w:val="0061540C"/>
    <w:rsid w:val="006155A9"/>
    <w:rsid w:val="00615689"/>
    <w:rsid w:val="006156E5"/>
    <w:rsid w:val="00615791"/>
    <w:rsid w:val="00615807"/>
    <w:rsid w:val="0061595F"/>
    <w:rsid w:val="00615AD5"/>
    <w:rsid w:val="00615D21"/>
    <w:rsid w:val="00615D98"/>
    <w:rsid w:val="00615EE1"/>
    <w:rsid w:val="0061609F"/>
    <w:rsid w:val="0061610D"/>
    <w:rsid w:val="0061629F"/>
    <w:rsid w:val="00616438"/>
    <w:rsid w:val="006164F7"/>
    <w:rsid w:val="006165B0"/>
    <w:rsid w:val="0061685F"/>
    <w:rsid w:val="006168C7"/>
    <w:rsid w:val="006168D5"/>
    <w:rsid w:val="006169B9"/>
    <w:rsid w:val="006169CF"/>
    <w:rsid w:val="00616A60"/>
    <w:rsid w:val="00616B05"/>
    <w:rsid w:val="00616B3E"/>
    <w:rsid w:val="00616CDE"/>
    <w:rsid w:val="006173F5"/>
    <w:rsid w:val="006173FE"/>
    <w:rsid w:val="006175BA"/>
    <w:rsid w:val="006175FF"/>
    <w:rsid w:val="006177FB"/>
    <w:rsid w:val="0061784D"/>
    <w:rsid w:val="00617978"/>
    <w:rsid w:val="00617A16"/>
    <w:rsid w:val="00617D5E"/>
    <w:rsid w:val="00617DC4"/>
    <w:rsid w:val="00617E90"/>
    <w:rsid w:val="00620123"/>
    <w:rsid w:val="006201E0"/>
    <w:rsid w:val="00620216"/>
    <w:rsid w:val="00620290"/>
    <w:rsid w:val="00620361"/>
    <w:rsid w:val="0062064D"/>
    <w:rsid w:val="00620689"/>
    <w:rsid w:val="00620762"/>
    <w:rsid w:val="006209A5"/>
    <w:rsid w:val="00620CCA"/>
    <w:rsid w:val="00620E5A"/>
    <w:rsid w:val="006210E1"/>
    <w:rsid w:val="006211B4"/>
    <w:rsid w:val="0062130A"/>
    <w:rsid w:val="006214EC"/>
    <w:rsid w:val="00621640"/>
    <w:rsid w:val="00621682"/>
    <w:rsid w:val="006218A5"/>
    <w:rsid w:val="006219D4"/>
    <w:rsid w:val="00621B7D"/>
    <w:rsid w:val="00621C70"/>
    <w:rsid w:val="00621F35"/>
    <w:rsid w:val="00621F4C"/>
    <w:rsid w:val="00621F50"/>
    <w:rsid w:val="00621F51"/>
    <w:rsid w:val="006223C1"/>
    <w:rsid w:val="006223D1"/>
    <w:rsid w:val="006223D3"/>
    <w:rsid w:val="006225D7"/>
    <w:rsid w:val="0062264E"/>
    <w:rsid w:val="006227FC"/>
    <w:rsid w:val="00622845"/>
    <w:rsid w:val="006228D8"/>
    <w:rsid w:val="00622936"/>
    <w:rsid w:val="00622A9E"/>
    <w:rsid w:val="00622FE0"/>
    <w:rsid w:val="0062302B"/>
    <w:rsid w:val="006231DA"/>
    <w:rsid w:val="006232C2"/>
    <w:rsid w:val="0062346E"/>
    <w:rsid w:val="0062347C"/>
    <w:rsid w:val="00623964"/>
    <w:rsid w:val="00623B82"/>
    <w:rsid w:val="00623B87"/>
    <w:rsid w:val="00623C1F"/>
    <w:rsid w:val="00623D63"/>
    <w:rsid w:val="00624007"/>
    <w:rsid w:val="0062424F"/>
    <w:rsid w:val="0062429F"/>
    <w:rsid w:val="00624346"/>
    <w:rsid w:val="0062440E"/>
    <w:rsid w:val="006246FD"/>
    <w:rsid w:val="00624758"/>
    <w:rsid w:val="0062476A"/>
    <w:rsid w:val="00624A5B"/>
    <w:rsid w:val="00624B8B"/>
    <w:rsid w:val="00624C96"/>
    <w:rsid w:val="00624FD1"/>
    <w:rsid w:val="00624FE8"/>
    <w:rsid w:val="0062515F"/>
    <w:rsid w:val="006256EF"/>
    <w:rsid w:val="0062578A"/>
    <w:rsid w:val="00625A78"/>
    <w:rsid w:val="00625E2D"/>
    <w:rsid w:val="00625E75"/>
    <w:rsid w:val="006260B2"/>
    <w:rsid w:val="00626493"/>
    <w:rsid w:val="006265B7"/>
    <w:rsid w:val="006265BA"/>
    <w:rsid w:val="006268F6"/>
    <w:rsid w:val="00626B1C"/>
    <w:rsid w:val="00626DCC"/>
    <w:rsid w:val="0062730F"/>
    <w:rsid w:val="006275AF"/>
    <w:rsid w:val="006277E8"/>
    <w:rsid w:val="00627856"/>
    <w:rsid w:val="0062798C"/>
    <w:rsid w:val="006279BB"/>
    <w:rsid w:val="00627BBE"/>
    <w:rsid w:val="00627C68"/>
    <w:rsid w:val="00627CF4"/>
    <w:rsid w:val="00627D8E"/>
    <w:rsid w:val="00627EA0"/>
    <w:rsid w:val="00627F2F"/>
    <w:rsid w:val="00627F36"/>
    <w:rsid w:val="00627F4C"/>
    <w:rsid w:val="00630177"/>
    <w:rsid w:val="0063024A"/>
    <w:rsid w:val="006306BC"/>
    <w:rsid w:val="00630800"/>
    <w:rsid w:val="0063084E"/>
    <w:rsid w:val="006309AE"/>
    <w:rsid w:val="00630CF4"/>
    <w:rsid w:val="00630D7A"/>
    <w:rsid w:val="00630EBC"/>
    <w:rsid w:val="00630EC2"/>
    <w:rsid w:val="00630ED8"/>
    <w:rsid w:val="00631175"/>
    <w:rsid w:val="00631200"/>
    <w:rsid w:val="00631232"/>
    <w:rsid w:val="00631525"/>
    <w:rsid w:val="0063162F"/>
    <w:rsid w:val="00631637"/>
    <w:rsid w:val="00631994"/>
    <w:rsid w:val="00631A32"/>
    <w:rsid w:val="00631C03"/>
    <w:rsid w:val="0063209F"/>
    <w:rsid w:val="006320DC"/>
    <w:rsid w:val="00632176"/>
    <w:rsid w:val="006322D7"/>
    <w:rsid w:val="0063262B"/>
    <w:rsid w:val="006326D6"/>
    <w:rsid w:val="00632981"/>
    <w:rsid w:val="00632A19"/>
    <w:rsid w:val="00632ABB"/>
    <w:rsid w:val="00632BA6"/>
    <w:rsid w:val="00632C58"/>
    <w:rsid w:val="00632DAE"/>
    <w:rsid w:val="0063329E"/>
    <w:rsid w:val="0063330C"/>
    <w:rsid w:val="006334EF"/>
    <w:rsid w:val="006334F5"/>
    <w:rsid w:val="0063363F"/>
    <w:rsid w:val="0063371D"/>
    <w:rsid w:val="00633949"/>
    <w:rsid w:val="00633982"/>
    <w:rsid w:val="006339E0"/>
    <w:rsid w:val="00633A7F"/>
    <w:rsid w:val="00633AEF"/>
    <w:rsid w:val="00633D0D"/>
    <w:rsid w:val="00633E5D"/>
    <w:rsid w:val="00634075"/>
    <w:rsid w:val="006340F0"/>
    <w:rsid w:val="00634349"/>
    <w:rsid w:val="00634466"/>
    <w:rsid w:val="0063446F"/>
    <w:rsid w:val="006344A0"/>
    <w:rsid w:val="006344B3"/>
    <w:rsid w:val="00634538"/>
    <w:rsid w:val="006345E7"/>
    <w:rsid w:val="006347BD"/>
    <w:rsid w:val="006347FE"/>
    <w:rsid w:val="006348EC"/>
    <w:rsid w:val="00634982"/>
    <w:rsid w:val="00634B74"/>
    <w:rsid w:val="00634B7B"/>
    <w:rsid w:val="00634C09"/>
    <w:rsid w:val="00634D20"/>
    <w:rsid w:val="00634D2C"/>
    <w:rsid w:val="00634DBB"/>
    <w:rsid w:val="006350BD"/>
    <w:rsid w:val="0063510D"/>
    <w:rsid w:val="006351A9"/>
    <w:rsid w:val="0063549D"/>
    <w:rsid w:val="006356A9"/>
    <w:rsid w:val="006357D6"/>
    <w:rsid w:val="006358A8"/>
    <w:rsid w:val="006359D7"/>
    <w:rsid w:val="00635BA1"/>
    <w:rsid w:val="00635C54"/>
    <w:rsid w:val="00635E66"/>
    <w:rsid w:val="00635E6D"/>
    <w:rsid w:val="00635E9A"/>
    <w:rsid w:val="00635EF3"/>
    <w:rsid w:val="00635FAA"/>
    <w:rsid w:val="0063609F"/>
    <w:rsid w:val="00636281"/>
    <w:rsid w:val="006362B9"/>
    <w:rsid w:val="00636486"/>
    <w:rsid w:val="006364FA"/>
    <w:rsid w:val="00636537"/>
    <w:rsid w:val="0063658B"/>
    <w:rsid w:val="00636812"/>
    <w:rsid w:val="00636909"/>
    <w:rsid w:val="006369C6"/>
    <w:rsid w:val="00636C85"/>
    <w:rsid w:val="00636E32"/>
    <w:rsid w:val="00636ECE"/>
    <w:rsid w:val="00636F73"/>
    <w:rsid w:val="00636F75"/>
    <w:rsid w:val="00637620"/>
    <w:rsid w:val="0063769B"/>
    <w:rsid w:val="006376DF"/>
    <w:rsid w:val="00637981"/>
    <w:rsid w:val="00637BE9"/>
    <w:rsid w:val="00637CCF"/>
    <w:rsid w:val="00637D37"/>
    <w:rsid w:val="00637EAB"/>
    <w:rsid w:val="00637EF0"/>
    <w:rsid w:val="00637FD4"/>
    <w:rsid w:val="00637FDA"/>
    <w:rsid w:val="006400FE"/>
    <w:rsid w:val="006402C7"/>
    <w:rsid w:val="006403DF"/>
    <w:rsid w:val="0064043B"/>
    <w:rsid w:val="0064043F"/>
    <w:rsid w:val="00640576"/>
    <w:rsid w:val="00640777"/>
    <w:rsid w:val="0064077E"/>
    <w:rsid w:val="006407D9"/>
    <w:rsid w:val="006408C1"/>
    <w:rsid w:val="006408FC"/>
    <w:rsid w:val="00640ADB"/>
    <w:rsid w:val="00640AE5"/>
    <w:rsid w:val="00640CF0"/>
    <w:rsid w:val="00640D02"/>
    <w:rsid w:val="00640D29"/>
    <w:rsid w:val="00640E84"/>
    <w:rsid w:val="00640F85"/>
    <w:rsid w:val="00641062"/>
    <w:rsid w:val="0064117A"/>
    <w:rsid w:val="0064125C"/>
    <w:rsid w:val="00641402"/>
    <w:rsid w:val="0064146A"/>
    <w:rsid w:val="00641682"/>
    <w:rsid w:val="006416F1"/>
    <w:rsid w:val="00641734"/>
    <w:rsid w:val="00641796"/>
    <w:rsid w:val="006418E1"/>
    <w:rsid w:val="00641B68"/>
    <w:rsid w:val="00641B69"/>
    <w:rsid w:val="00641BAF"/>
    <w:rsid w:val="00641E5E"/>
    <w:rsid w:val="00641E68"/>
    <w:rsid w:val="006422C7"/>
    <w:rsid w:val="006424E9"/>
    <w:rsid w:val="006425F3"/>
    <w:rsid w:val="00642644"/>
    <w:rsid w:val="00642682"/>
    <w:rsid w:val="006426F6"/>
    <w:rsid w:val="0064272E"/>
    <w:rsid w:val="00642B13"/>
    <w:rsid w:val="00643019"/>
    <w:rsid w:val="006430DB"/>
    <w:rsid w:val="00643195"/>
    <w:rsid w:val="006431CA"/>
    <w:rsid w:val="0064321B"/>
    <w:rsid w:val="006433D6"/>
    <w:rsid w:val="006436A2"/>
    <w:rsid w:val="00643769"/>
    <w:rsid w:val="00643FE7"/>
    <w:rsid w:val="00644125"/>
    <w:rsid w:val="0064418C"/>
    <w:rsid w:val="00644383"/>
    <w:rsid w:val="0064438A"/>
    <w:rsid w:val="006443AE"/>
    <w:rsid w:val="006443E9"/>
    <w:rsid w:val="00644496"/>
    <w:rsid w:val="006444A6"/>
    <w:rsid w:val="006446C0"/>
    <w:rsid w:val="006447EA"/>
    <w:rsid w:val="00644AB6"/>
    <w:rsid w:val="00644BF0"/>
    <w:rsid w:val="00644CB1"/>
    <w:rsid w:val="00644F7C"/>
    <w:rsid w:val="0064513C"/>
    <w:rsid w:val="0064541B"/>
    <w:rsid w:val="006456BF"/>
    <w:rsid w:val="00645811"/>
    <w:rsid w:val="00645987"/>
    <w:rsid w:val="00645A3B"/>
    <w:rsid w:val="00645AB8"/>
    <w:rsid w:val="00645D53"/>
    <w:rsid w:val="00645D56"/>
    <w:rsid w:val="006461DA"/>
    <w:rsid w:val="006463DB"/>
    <w:rsid w:val="00646510"/>
    <w:rsid w:val="006466BD"/>
    <w:rsid w:val="00646721"/>
    <w:rsid w:val="0064679B"/>
    <w:rsid w:val="00646802"/>
    <w:rsid w:val="00646B37"/>
    <w:rsid w:val="00646B9B"/>
    <w:rsid w:val="00646BC5"/>
    <w:rsid w:val="00646BEB"/>
    <w:rsid w:val="00646C47"/>
    <w:rsid w:val="00646F3C"/>
    <w:rsid w:val="00646FDB"/>
    <w:rsid w:val="006474E5"/>
    <w:rsid w:val="00647783"/>
    <w:rsid w:val="006478EC"/>
    <w:rsid w:val="00647C42"/>
    <w:rsid w:val="00647C5A"/>
    <w:rsid w:val="00647D33"/>
    <w:rsid w:val="00647F83"/>
    <w:rsid w:val="00647F90"/>
    <w:rsid w:val="006502B7"/>
    <w:rsid w:val="006503A6"/>
    <w:rsid w:val="00650416"/>
    <w:rsid w:val="0065052C"/>
    <w:rsid w:val="006507DA"/>
    <w:rsid w:val="00650933"/>
    <w:rsid w:val="00650A52"/>
    <w:rsid w:val="00650AE8"/>
    <w:rsid w:val="00650E45"/>
    <w:rsid w:val="00650EB2"/>
    <w:rsid w:val="00650F68"/>
    <w:rsid w:val="006512D8"/>
    <w:rsid w:val="00651617"/>
    <w:rsid w:val="00651712"/>
    <w:rsid w:val="0065172F"/>
    <w:rsid w:val="00651750"/>
    <w:rsid w:val="0065175B"/>
    <w:rsid w:val="006518AC"/>
    <w:rsid w:val="006518D5"/>
    <w:rsid w:val="00651963"/>
    <w:rsid w:val="00651A1D"/>
    <w:rsid w:val="00651DC6"/>
    <w:rsid w:val="00651EA0"/>
    <w:rsid w:val="00652087"/>
    <w:rsid w:val="0065236B"/>
    <w:rsid w:val="00652456"/>
    <w:rsid w:val="00652602"/>
    <w:rsid w:val="006528F0"/>
    <w:rsid w:val="0065298F"/>
    <w:rsid w:val="006529C1"/>
    <w:rsid w:val="00652A60"/>
    <w:rsid w:val="00652F48"/>
    <w:rsid w:val="006530A3"/>
    <w:rsid w:val="00653315"/>
    <w:rsid w:val="006533FF"/>
    <w:rsid w:val="0065384A"/>
    <w:rsid w:val="0065384B"/>
    <w:rsid w:val="00653C99"/>
    <w:rsid w:val="0065405E"/>
    <w:rsid w:val="006540B0"/>
    <w:rsid w:val="0065431D"/>
    <w:rsid w:val="00654349"/>
    <w:rsid w:val="00654376"/>
    <w:rsid w:val="006545A5"/>
    <w:rsid w:val="00654655"/>
    <w:rsid w:val="006546C2"/>
    <w:rsid w:val="0065482B"/>
    <w:rsid w:val="006548AD"/>
    <w:rsid w:val="00654C24"/>
    <w:rsid w:val="00654DEA"/>
    <w:rsid w:val="00655285"/>
    <w:rsid w:val="00655342"/>
    <w:rsid w:val="00655396"/>
    <w:rsid w:val="006554D9"/>
    <w:rsid w:val="0065560F"/>
    <w:rsid w:val="0065591E"/>
    <w:rsid w:val="00655B22"/>
    <w:rsid w:val="00655DFC"/>
    <w:rsid w:val="00655E26"/>
    <w:rsid w:val="00655F83"/>
    <w:rsid w:val="00655FB4"/>
    <w:rsid w:val="006560D2"/>
    <w:rsid w:val="00656208"/>
    <w:rsid w:val="00656219"/>
    <w:rsid w:val="00656415"/>
    <w:rsid w:val="00656462"/>
    <w:rsid w:val="0065664D"/>
    <w:rsid w:val="0065673A"/>
    <w:rsid w:val="006568AB"/>
    <w:rsid w:val="00656A29"/>
    <w:rsid w:val="00656E14"/>
    <w:rsid w:val="006571F8"/>
    <w:rsid w:val="006572EA"/>
    <w:rsid w:val="006573CB"/>
    <w:rsid w:val="0065765A"/>
    <w:rsid w:val="006578C6"/>
    <w:rsid w:val="00657B51"/>
    <w:rsid w:val="00657FD2"/>
    <w:rsid w:val="00660039"/>
    <w:rsid w:val="006600C7"/>
    <w:rsid w:val="00660134"/>
    <w:rsid w:val="00660356"/>
    <w:rsid w:val="0066079E"/>
    <w:rsid w:val="0066091A"/>
    <w:rsid w:val="00660A9B"/>
    <w:rsid w:val="00660DBF"/>
    <w:rsid w:val="00660E7C"/>
    <w:rsid w:val="00660E7D"/>
    <w:rsid w:val="00660E8A"/>
    <w:rsid w:val="00660F60"/>
    <w:rsid w:val="0066107D"/>
    <w:rsid w:val="006614A7"/>
    <w:rsid w:val="0066164E"/>
    <w:rsid w:val="006619A9"/>
    <w:rsid w:val="00661A3D"/>
    <w:rsid w:val="00661CE6"/>
    <w:rsid w:val="00661DD0"/>
    <w:rsid w:val="006620FA"/>
    <w:rsid w:val="006621F0"/>
    <w:rsid w:val="006622F0"/>
    <w:rsid w:val="006626A2"/>
    <w:rsid w:val="0066299F"/>
    <w:rsid w:val="006629C7"/>
    <w:rsid w:val="00662A59"/>
    <w:rsid w:val="00662A61"/>
    <w:rsid w:val="00662AD2"/>
    <w:rsid w:val="00662B76"/>
    <w:rsid w:val="00662C8B"/>
    <w:rsid w:val="00662F4E"/>
    <w:rsid w:val="006634C0"/>
    <w:rsid w:val="0066357F"/>
    <w:rsid w:val="00663829"/>
    <w:rsid w:val="006638BA"/>
    <w:rsid w:val="00663C25"/>
    <w:rsid w:val="00663DBA"/>
    <w:rsid w:val="00663F9C"/>
    <w:rsid w:val="0066434E"/>
    <w:rsid w:val="006644E5"/>
    <w:rsid w:val="00664573"/>
    <w:rsid w:val="0066458F"/>
    <w:rsid w:val="006647D8"/>
    <w:rsid w:val="00664834"/>
    <w:rsid w:val="0066493C"/>
    <w:rsid w:val="006649BC"/>
    <w:rsid w:val="006649D7"/>
    <w:rsid w:val="00664A1A"/>
    <w:rsid w:val="00664AAB"/>
    <w:rsid w:val="00664B50"/>
    <w:rsid w:val="00664CBF"/>
    <w:rsid w:val="00664E2E"/>
    <w:rsid w:val="0066501E"/>
    <w:rsid w:val="006651D1"/>
    <w:rsid w:val="00665201"/>
    <w:rsid w:val="006654D3"/>
    <w:rsid w:val="0066563D"/>
    <w:rsid w:val="00665825"/>
    <w:rsid w:val="00665AD2"/>
    <w:rsid w:val="00665B87"/>
    <w:rsid w:val="00665BC3"/>
    <w:rsid w:val="00665C62"/>
    <w:rsid w:val="00665DAD"/>
    <w:rsid w:val="00665DF6"/>
    <w:rsid w:val="00665F24"/>
    <w:rsid w:val="00666087"/>
    <w:rsid w:val="00666198"/>
    <w:rsid w:val="0066623B"/>
    <w:rsid w:val="0066650A"/>
    <w:rsid w:val="00666715"/>
    <w:rsid w:val="00666855"/>
    <w:rsid w:val="0066692C"/>
    <w:rsid w:val="00666DF9"/>
    <w:rsid w:val="00667252"/>
    <w:rsid w:val="00667257"/>
    <w:rsid w:val="006672F8"/>
    <w:rsid w:val="00667380"/>
    <w:rsid w:val="006673E7"/>
    <w:rsid w:val="00667408"/>
    <w:rsid w:val="006674D3"/>
    <w:rsid w:val="006674F2"/>
    <w:rsid w:val="00667753"/>
    <w:rsid w:val="00667849"/>
    <w:rsid w:val="00667A29"/>
    <w:rsid w:val="00667A73"/>
    <w:rsid w:val="00667BBB"/>
    <w:rsid w:val="00667C07"/>
    <w:rsid w:val="00667C92"/>
    <w:rsid w:val="00667E30"/>
    <w:rsid w:val="006701C6"/>
    <w:rsid w:val="0067022C"/>
    <w:rsid w:val="00670394"/>
    <w:rsid w:val="006703FC"/>
    <w:rsid w:val="006705B7"/>
    <w:rsid w:val="006706C4"/>
    <w:rsid w:val="0067071E"/>
    <w:rsid w:val="0067081E"/>
    <w:rsid w:val="00670847"/>
    <w:rsid w:val="00670A8C"/>
    <w:rsid w:val="00670C9F"/>
    <w:rsid w:val="00670EEC"/>
    <w:rsid w:val="00670FA2"/>
    <w:rsid w:val="0067131A"/>
    <w:rsid w:val="00671349"/>
    <w:rsid w:val="006716CE"/>
    <w:rsid w:val="00671AF5"/>
    <w:rsid w:val="00671C8B"/>
    <w:rsid w:val="00671D50"/>
    <w:rsid w:val="00671D58"/>
    <w:rsid w:val="00672078"/>
    <w:rsid w:val="00672306"/>
    <w:rsid w:val="0067251C"/>
    <w:rsid w:val="0067260C"/>
    <w:rsid w:val="006726FD"/>
    <w:rsid w:val="0067277E"/>
    <w:rsid w:val="00672BF3"/>
    <w:rsid w:val="00672CE1"/>
    <w:rsid w:val="00672F3C"/>
    <w:rsid w:val="00673024"/>
    <w:rsid w:val="006732EB"/>
    <w:rsid w:val="006734F8"/>
    <w:rsid w:val="0067370B"/>
    <w:rsid w:val="0067379D"/>
    <w:rsid w:val="00673924"/>
    <w:rsid w:val="00673A75"/>
    <w:rsid w:val="00673B29"/>
    <w:rsid w:val="00673F5C"/>
    <w:rsid w:val="006740E2"/>
    <w:rsid w:val="00674137"/>
    <w:rsid w:val="0067436C"/>
    <w:rsid w:val="00674ABD"/>
    <w:rsid w:val="00674B24"/>
    <w:rsid w:val="00674C6E"/>
    <w:rsid w:val="006753A5"/>
    <w:rsid w:val="0067552A"/>
    <w:rsid w:val="006755FE"/>
    <w:rsid w:val="006756C2"/>
    <w:rsid w:val="00675A92"/>
    <w:rsid w:val="00675B5D"/>
    <w:rsid w:val="00675BA4"/>
    <w:rsid w:val="00675CC5"/>
    <w:rsid w:val="00675CE2"/>
    <w:rsid w:val="00675DAF"/>
    <w:rsid w:val="00675E44"/>
    <w:rsid w:val="00676153"/>
    <w:rsid w:val="00676182"/>
    <w:rsid w:val="00676333"/>
    <w:rsid w:val="00676350"/>
    <w:rsid w:val="006763A6"/>
    <w:rsid w:val="0067651C"/>
    <w:rsid w:val="00676565"/>
    <w:rsid w:val="0067686E"/>
    <w:rsid w:val="00676B0A"/>
    <w:rsid w:val="00676C26"/>
    <w:rsid w:val="00676DD9"/>
    <w:rsid w:val="0067704C"/>
    <w:rsid w:val="00677099"/>
    <w:rsid w:val="0067709F"/>
    <w:rsid w:val="00677109"/>
    <w:rsid w:val="0067716B"/>
    <w:rsid w:val="006771E1"/>
    <w:rsid w:val="0067726E"/>
    <w:rsid w:val="006772A2"/>
    <w:rsid w:val="006773DE"/>
    <w:rsid w:val="006773E1"/>
    <w:rsid w:val="0067769A"/>
    <w:rsid w:val="0067770F"/>
    <w:rsid w:val="0067785E"/>
    <w:rsid w:val="0067796B"/>
    <w:rsid w:val="00677A10"/>
    <w:rsid w:val="00677A7F"/>
    <w:rsid w:val="00677BF4"/>
    <w:rsid w:val="00677CA8"/>
    <w:rsid w:val="00677CF7"/>
    <w:rsid w:val="00677D08"/>
    <w:rsid w:val="0068027C"/>
    <w:rsid w:val="006804B0"/>
    <w:rsid w:val="006804CE"/>
    <w:rsid w:val="0068050B"/>
    <w:rsid w:val="00680596"/>
    <w:rsid w:val="006805C2"/>
    <w:rsid w:val="006806C4"/>
    <w:rsid w:val="006808E2"/>
    <w:rsid w:val="00680943"/>
    <w:rsid w:val="006809AF"/>
    <w:rsid w:val="00680B65"/>
    <w:rsid w:val="00680BDE"/>
    <w:rsid w:val="00680C05"/>
    <w:rsid w:val="00680EB2"/>
    <w:rsid w:val="00680FE5"/>
    <w:rsid w:val="0068110A"/>
    <w:rsid w:val="0068136F"/>
    <w:rsid w:val="0068139D"/>
    <w:rsid w:val="006813F7"/>
    <w:rsid w:val="00681464"/>
    <w:rsid w:val="0068165E"/>
    <w:rsid w:val="00681803"/>
    <w:rsid w:val="00681948"/>
    <w:rsid w:val="0068199B"/>
    <w:rsid w:val="00681A25"/>
    <w:rsid w:val="00681A4B"/>
    <w:rsid w:val="00681A55"/>
    <w:rsid w:val="00681A9D"/>
    <w:rsid w:val="00681BE5"/>
    <w:rsid w:val="00681D19"/>
    <w:rsid w:val="00681DCD"/>
    <w:rsid w:val="00681DDE"/>
    <w:rsid w:val="00681F85"/>
    <w:rsid w:val="00682527"/>
    <w:rsid w:val="00682CA0"/>
    <w:rsid w:val="00682CF3"/>
    <w:rsid w:val="00682D3B"/>
    <w:rsid w:val="00682D76"/>
    <w:rsid w:val="00682DD2"/>
    <w:rsid w:val="00682ED5"/>
    <w:rsid w:val="00682FD6"/>
    <w:rsid w:val="00683000"/>
    <w:rsid w:val="00683030"/>
    <w:rsid w:val="0068304B"/>
    <w:rsid w:val="0068310E"/>
    <w:rsid w:val="006834E7"/>
    <w:rsid w:val="006836B3"/>
    <w:rsid w:val="006837DC"/>
    <w:rsid w:val="00683928"/>
    <w:rsid w:val="00683A00"/>
    <w:rsid w:val="00683AE8"/>
    <w:rsid w:val="00683B43"/>
    <w:rsid w:val="00683B72"/>
    <w:rsid w:val="00683BA8"/>
    <w:rsid w:val="00683D68"/>
    <w:rsid w:val="00683EDD"/>
    <w:rsid w:val="00683F2A"/>
    <w:rsid w:val="00683F60"/>
    <w:rsid w:val="00684033"/>
    <w:rsid w:val="00684091"/>
    <w:rsid w:val="006840B0"/>
    <w:rsid w:val="006840D7"/>
    <w:rsid w:val="006842B9"/>
    <w:rsid w:val="00684422"/>
    <w:rsid w:val="0068462D"/>
    <w:rsid w:val="006847DF"/>
    <w:rsid w:val="00684B26"/>
    <w:rsid w:val="00684D9A"/>
    <w:rsid w:val="00684F2D"/>
    <w:rsid w:val="0068518E"/>
    <w:rsid w:val="006851B7"/>
    <w:rsid w:val="0068527A"/>
    <w:rsid w:val="006854FC"/>
    <w:rsid w:val="00685622"/>
    <w:rsid w:val="00685740"/>
    <w:rsid w:val="00685785"/>
    <w:rsid w:val="006857DD"/>
    <w:rsid w:val="00685810"/>
    <w:rsid w:val="006858C8"/>
    <w:rsid w:val="006858EC"/>
    <w:rsid w:val="00685983"/>
    <w:rsid w:val="0068598B"/>
    <w:rsid w:val="006859C7"/>
    <w:rsid w:val="00685A76"/>
    <w:rsid w:val="00685AFD"/>
    <w:rsid w:val="00685BDD"/>
    <w:rsid w:val="00685CB6"/>
    <w:rsid w:val="00685D93"/>
    <w:rsid w:val="00685E56"/>
    <w:rsid w:val="00685F2B"/>
    <w:rsid w:val="00685F7C"/>
    <w:rsid w:val="00685F98"/>
    <w:rsid w:val="00685FE8"/>
    <w:rsid w:val="00686302"/>
    <w:rsid w:val="006863C4"/>
    <w:rsid w:val="0068688A"/>
    <w:rsid w:val="00686966"/>
    <w:rsid w:val="006869CB"/>
    <w:rsid w:val="00686C42"/>
    <w:rsid w:val="00686C9F"/>
    <w:rsid w:val="00686E6A"/>
    <w:rsid w:val="00686E80"/>
    <w:rsid w:val="0068708F"/>
    <w:rsid w:val="006876A0"/>
    <w:rsid w:val="0068779F"/>
    <w:rsid w:val="00687A2B"/>
    <w:rsid w:val="00687BC1"/>
    <w:rsid w:val="00687BDC"/>
    <w:rsid w:val="00687FDC"/>
    <w:rsid w:val="00687FEC"/>
    <w:rsid w:val="0069008C"/>
    <w:rsid w:val="006900E7"/>
    <w:rsid w:val="006902E6"/>
    <w:rsid w:val="006904C4"/>
    <w:rsid w:val="0069075A"/>
    <w:rsid w:val="0069076A"/>
    <w:rsid w:val="0069094A"/>
    <w:rsid w:val="0069098C"/>
    <w:rsid w:val="0069098F"/>
    <w:rsid w:val="00690ABA"/>
    <w:rsid w:val="00690C7F"/>
    <w:rsid w:val="00690CDE"/>
    <w:rsid w:val="00690D43"/>
    <w:rsid w:val="00690D53"/>
    <w:rsid w:val="00690DAA"/>
    <w:rsid w:val="00690E50"/>
    <w:rsid w:val="00690FCC"/>
    <w:rsid w:val="0069120D"/>
    <w:rsid w:val="006913B1"/>
    <w:rsid w:val="006913DD"/>
    <w:rsid w:val="006916AB"/>
    <w:rsid w:val="00691763"/>
    <w:rsid w:val="00691B37"/>
    <w:rsid w:val="0069200A"/>
    <w:rsid w:val="00692443"/>
    <w:rsid w:val="00692469"/>
    <w:rsid w:val="00692496"/>
    <w:rsid w:val="006928FD"/>
    <w:rsid w:val="00692AAB"/>
    <w:rsid w:val="00692ACA"/>
    <w:rsid w:val="00692B10"/>
    <w:rsid w:val="00692D5B"/>
    <w:rsid w:val="00693307"/>
    <w:rsid w:val="006934C5"/>
    <w:rsid w:val="00693543"/>
    <w:rsid w:val="00693568"/>
    <w:rsid w:val="006937A4"/>
    <w:rsid w:val="006937C3"/>
    <w:rsid w:val="00693B69"/>
    <w:rsid w:val="00693C3B"/>
    <w:rsid w:val="00693EEC"/>
    <w:rsid w:val="00693FA3"/>
    <w:rsid w:val="00694140"/>
    <w:rsid w:val="006941DF"/>
    <w:rsid w:val="00694253"/>
    <w:rsid w:val="006942DC"/>
    <w:rsid w:val="0069459B"/>
    <w:rsid w:val="006948C1"/>
    <w:rsid w:val="006948E3"/>
    <w:rsid w:val="00694BAF"/>
    <w:rsid w:val="00694BDE"/>
    <w:rsid w:val="00694C00"/>
    <w:rsid w:val="00694CBD"/>
    <w:rsid w:val="00694CC6"/>
    <w:rsid w:val="00694E9B"/>
    <w:rsid w:val="0069516C"/>
    <w:rsid w:val="00695313"/>
    <w:rsid w:val="0069535B"/>
    <w:rsid w:val="006953D3"/>
    <w:rsid w:val="0069570B"/>
    <w:rsid w:val="006959D4"/>
    <w:rsid w:val="006959D5"/>
    <w:rsid w:val="00695AB2"/>
    <w:rsid w:val="00695B05"/>
    <w:rsid w:val="00695DB2"/>
    <w:rsid w:val="00695F67"/>
    <w:rsid w:val="006962CA"/>
    <w:rsid w:val="006964D3"/>
    <w:rsid w:val="00696580"/>
    <w:rsid w:val="00696718"/>
    <w:rsid w:val="00696E11"/>
    <w:rsid w:val="00696F87"/>
    <w:rsid w:val="00696FB6"/>
    <w:rsid w:val="00697324"/>
    <w:rsid w:val="006975DC"/>
    <w:rsid w:val="0069761A"/>
    <w:rsid w:val="00697652"/>
    <w:rsid w:val="006976B9"/>
    <w:rsid w:val="006976D1"/>
    <w:rsid w:val="00697789"/>
    <w:rsid w:val="00697830"/>
    <w:rsid w:val="006978BD"/>
    <w:rsid w:val="006978C0"/>
    <w:rsid w:val="006978DC"/>
    <w:rsid w:val="00697949"/>
    <w:rsid w:val="00697994"/>
    <w:rsid w:val="006979AE"/>
    <w:rsid w:val="00697BDA"/>
    <w:rsid w:val="00697C65"/>
    <w:rsid w:val="00697D8D"/>
    <w:rsid w:val="00697DCF"/>
    <w:rsid w:val="00697E7D"/>
    <w:rsid w:val="00697EFD"/>
    <w:rsid w:val="006A0030"/>
    <w:rsid w:val="006A01B9"/>
    <w:rsid w:val="006A046E"/>
    <w:rsid w:val="006A070C"/>
    <w:rsid w:val="006A0772"/>
    <w:rsid w:val="006A08E2"/>
    <w:rsid w:val="006A096E"/>
    <w:rsid w:val="006A09E5"/>
    <w:rsid w:val="006A0B34"/>
    <w:rsid w:val="006A0B66"/>
    <w:rsid w:val="006A0B97"/>
    <w:rsid w:val="006A0BD3"/>
    <w:rsid w:val="006A0F87"/>
    <w:rsid w:val="006A1463"/>
    <w:rsid w:val="006A14D3"/>
    <w:rsid w:val="006A14D9"/>
    <w:rsid w:val="006A1620"/>
    <w:rsid w:val="006A1867"/>
    <w:rsid w:val="006A1898"/>
    <w:rsid w:val="006A18C4"/>
    <w:rsid w:val="006A1999"/>
    <w:rsid w:val="006A1A34"/>
    <w:rsid w:val="006A1B9E"/>
    <w:rsid w:val="006A1D79"/>
    <w:rsid w:val="006A1DFF"/>
    <w:rsid w:val="006A1E39"/>
    <w:rsid w:val="006A2163"/>
    <w:rsid w:val="006A21A5"/>
    <w:rsid w:val="006A21C4"/>
    <w:rsid w:val="006A22A1"/>
    <w:rsid w:val="006A26AF"/>
    <w:rsid w:val="006A2875"/>
    <w:rsid w:val="006A29E6"/>
    <w:rsid w:val="006A2A49"/>
    <w:rsid w:val="006A2DB6"/>
    <w:rsid w:val="006A2E45"/>
    <w:rsid w:val="006A2F71"/>
    <w:rsid w:val="006A323C"/>
    <w:rsid w:val="006A3336"/>
    <w:rsid w:val="006A337A"/>
    <w:rsid w:val="006A3427"/>
    <w:rsid w:val="006A3602"/>
    <w:rsid w:val="006A36DB"/>
    <w:rsid w:val="006A372C"/>
    <w:rsid w:val="006A3D67"/>
    <w:rsid w:val="006A3DCB"/>
    <w:rsid w:val="006A3E0E"/>
    <w:rsid w:val="006A3F94"/>
    <w:rsid w:val="006A3F9E"/>
    <w:rsid w:val="006A40DC"/>
    <w:rsid w:val="006A418F"/>
    <w:rsid w:val="006A4212"/>
    <w:rsid w:val="006A43AB"/>
    <w:rsid w:val="006A454C"/>
    <w:rsid w:val="006A4580"/>
    <w:rsid w:val="006A4769"/>
    <w:rsid w:val="006A47EE"/>
    <w:rsid w:val="006A4823"/>
    <w:rsid w:val="006A4B5A"/>
    <w:rsid w:val="006A4B79"/>
    <w:rsid w:val="006A4BBE"/>
    <w:rsid w:val="006A4D0C"/>
    <w:rsid w:val="006A4DF9"/>
    <w:rsid w:val="006A4FA0"/>
    <w:rsid w:val="006A5098"/>
    <w:rsid w:val="006A519B"/>
    <w:rsid w:val="006A523D"/>
    <w:rsid w:val="006A5321"/>
    <w:rsid w:val="006A5337"/>
    <w:rsid w:val="006A534D"/>
    <w:rsid w:val="006A54BA"/>
    <w:rsid w:val="006A54DA"/>
    <w:rsid w:val="006A5569"/>
    <w:rsid w:val="006A556C"/>
    <w:rsid w:val="006A5665"/>
    <w:rsid w:val="006A581B"/>
    <w:rsid w:val="006A5872"/>
    <w:rsid w:val="006A5C71"/>
    <w:rsid w:val="006A5CC9"/>
    <w:rsid w:val="006A5E3C"/>
    <w:rsid w:val="006A5E77"/>
    <w:rsid w:val="006A5EB1"/>
    <w:rsid w:val="006A5F35"/>
    <w:rsid w:val="006A5FE8"/>
    <w:rsid w:val="006A60BD"/>
    <w:rsid w:val="006A6391"/>
    <w:rsid w:val="006A63A5"/>
    <w:rsid w:val="006A6A06"/>
    <w:rsid w:val="006A6F1F"/>
    <w:rsid w:val="006A74FC"/>
    <w:rsid w:val="006A75C6"/>
    <w:rsid w:val="006A7657"/>
    <w:rsid w:val="006A76F4"/>
    <w:rsid w:val="006A77D5"/>
    <w:rsid w:val="006A7845"/>
    <w:rsid w:val="006A7BDA"/>
    <w:rsid w:val="006A7C99"/>
    <w:rsid w:val="006A7D8D"/>
    <w:rsid w:val="006A7DEF"/>
    <w:rsid w:val="006B0069"/>
    <w:rsid w:val="006B00EF"/>
    <w:rsid w:val="006B03FA"/>
    <w:rsid w:val="006B08A5"/>
    <w:rsid w:val="006B09D0"/>
    <w:rsid w:val="006B0AF9"/>
    <w:rsid w:val="006B0E29"/>
    <w:rsid w:val="006B124A"/>
    <w:rsid w:val="006B12E8"/>
    <w:rsid w:val="006B1471"/>
    <w:rsid w:val="006B1663"/>
    <w:rsid w:val="006B173F"/>
    <w:rsid w:val="006B177E"/>
    <w:rsid w:val="006B18F1"/>
    <w:rsid w:val="006B19A8"/>
    <w:rsid w:val="006B1A1F"/>
    <w:rsid w:val="006B1A6C"/>
    <w:rsid w:val="006B1C78"/>
    <w:rsid w:val="006B1D56"/>
    <w:rsid w:val="006B2018"/>
    <w:rsid w:val="006B2127"/>
    <w:rsid w:val="006B226C"/>
    <w:rsid w:val="006B228B"/>
    <w:rsid w:val="006B2624"/>
    <w:rsid w:val="006B26A9"/>
    <w:rsid w:val="006B278A"/>
    <w:rsid w:val="006B2833"/>
    <w:rsid w:val="006B298E"/>
    <w:rsid w:val="006B2B47"/>
    <w:rsid w:val="006B2B6E"/>
    <w:rsid w:val="006B2B9C"/>
    <w:rsid w:val="006B2CA2"/>
    <w:rsid w:val="006B2E85"/>
    <w:rsid w:val="006B2EE4"/>
    <w:rsid w:val="006B324A"/>
    <w:rsid w:val="006B3369"/>
    <w:rsid w:val="006B336E"/>
    <w:rsid w:val="006B3390"/>
    <w:rsid w:val="006B3454"/>
    <w:rsid w:val="006B3637"/>
    <w:rsid w:val="006B3825"/>
    <w:rsid w:val="006B3A46"/>
    <w:rsid w:val="006B3A4A"/>
    <w:rsid w:val="006B3B9A"/>
    <w:rsid w:val="006B40E0"/>
    <w:rsid w:val="006B4293"/>
    <w:rsid w:val="006B43A1"/>
    <w:rsid w:val="006B43A7"/>
    <w:rsid w:val="006B4441"/>
    <w:rsid w:val="006B4606"/>
    <w:rsid w:val="006B462B"/>
    <w:rsid w:val="006B4720"/>
    <w:rsid w:val="006B475D"/>
    <w:rsid w:val="006B48E2"/>
    <w:rsid w:val="006B4965"/>
    <w:rsid w:val="006B49B6"/>
    <w:rsid w:val="006B4B7B"/>
    <w:rsid w:val="006B4CAA"/>
    <w:rsid w:val="006B4CE4"/>
    <w:rsid w:val="006B4D5A"/>
    <w:rsid w:val="006B4EFF"/>
    <w:rsid w:val="006B4FEF"/>
    <w:rsid w:val="006B525E"/>
    <w:rsid w:val="006B52F2"/>
    <w:rsid w:val="006B534C"/>
    <w:rsid w:val="006B544B"/>
    <w:rsid w:val="006B5522"/>
    <w:rsid w:val="006B5571"/>
    <w:rsid w:val="006B560B"/>
    <w:rsid w:val="006B562F"/>
    <w:rsid w:val="006B572E"/>
    <w:rsid w:val="006B5A26"/>
    <w:rsid w:val="006B5B9C"/>
    <w:rsid w:val="006B5CEA"/>
    <w:rsid w:val="006B5DA8"/>
    <w:rsid w:val="006B5F97"/>
    <w:rsid w:val="006B5FAA"/>
    <w:rsid w:val="006B605B"/>
    <w:rsid w:val="006B60E5"/>
    <w:rsid w:val="006B628E"/>
    <w:rsid w:val="006B64BB"/>
    <w:rsid w:val="006B691D"/>
    <w:rsid w:val="006B6CD2"/>
    <w:rsid w:val="006B6CE1"/>
    <w:rsid w:val="006B75A2"/>
    <w:rsid w:val="006B761D"/>
    <w:rsid w:val="006B764F"/>
    <w:rsid w:val="006B778C"/>
    <w:rsid w:val="006B781E"/>
    <w:rsid w:val="006B7917"/>
    <w:rsid w:val="006B79DC"/>
    <w:rsid w:val="006B7BA4"/>
    <w:rsid w:val="006B7BB5"/>
    <w:rsid w:val="006B7C76"/>
    <w:rsid w:val="006B7F47"/>
    <w:rsid w:val="006C0390"/>
    <w:rsid w:val="006C0487"/>
    <w:rsid w:val="006C0525"/>
    <w:rsid w:val="006C0841"/>
    <w:rsid w:val="006C0BA7"/>
    <w:rsid w:val="006C0BFC"/>
    <w:rsid w:val="006C0D28"/>
    <w:rsid w:val="006C0EE1"/>
    <w:rsid w:val="006C0F9A"/>
    <w:rsid w:val="006C0FDF"/>
    <w:rsid w:val="006C1016"/>
    <w:rsid w:val="006C10F8"/>
    <w:rsid w:val="006C14AB"/>
    <w:rsid w:val="006C14CA"/>
    <w:rsid w:val="006C159A"/>
    <w:rsid w:val="006C1741"/>
    <w:rsid w:val="006C178D"/>
    <w:rsid w:val="006C18CF"/>
    <w:rsid w:val="006C1ABD"/>
    <w:rsid w:val="006C1B62"/>
    <w:rsid w:val="006C1B83"/>
    <w:rsid w:val="006C1C84"/>
    <w:rsid w:val="006C1E08"/>
    <w:rsid w:val="006C1E1A"/>
    <w:rsid w:val="006C1EB8"/>
    <w:rsid w:val="006C1F99"/>
    <w:rsid w:val="006C200E"/>
    <w:rsid w:val="006C22C8"/>
    <w:rsid w:val="006C2562"/>
    <w:rsid w:val="006C25EC"/>
    <w:rsid w:val="006C2609"/>
    <w:rsid w:val="006C277B"/>
    <w:rsid w:val="006C291E"/>
    <w:rsid w:val="006C2A92"/>
    <w:rsid w:val="006C2C04"/>
    <w:rsid w:val="006C2CEB"/>
    <w:rsid w:val="006C2DFF"/>
    <w:rsid w:val="006C2EDC"/>
    <w:rsid w:val="006C2F07"/>
    <w:rsid w:val="006C2F5E"/>
    <w:rsid w:val="006C2FF5"/>
    <w:rsid w:val="006C30AE"/>
    <w:rsid w:val="006C3388"/>
    <w:rsid w:val="006C33AE"/>
    <w:rsid w:val="006C3425"/>
    <w:rsid w:val="006C3428"/>
    <w:rsid w:val="006C36B5"/>
    <w:rsid w:val="006C36ED"/>
    <w:rsid w:val="006C3798"/>
    <w:rsid w:val="006C383B"/>
    <w:rsid w:val="006C3856"/>
    <w:rsid w:val="006C3CA7"/>
    <w:rsid w:val="006C3CF2"/>
    <w:rsid w:val="006C3F7E"/>
    <w:rsid w:val="006C3FF1"/>
    <w:rsid w:val="006C4035"/>
    <w:rsid w:val="006C4047"/>
    <w:rsid w:val="006C40A7"/>
    <w:rsid w:val="006C42C6"/>
    <w:rsid w:val="006C4572"/>
    <w:rsid w:val="006C4801"/>
    <w:rsid w:val="006C48E9"/>
    <w:rsid w:val="006C491D"/>
    <w:rsid w:val="006C4A7D"/>
    <w:rsid w:val="006C4C8F"/>
    <w:rsid w:val="006C4CAC"/>
    <w:rsid w:val="006C4D19"/>
    <w:rsid w:val="006C4D22"/>
    <w:rsid w:val="006C4D6A"/>
    <w:rsid w:val="006C4E14"/>
    <w:rsid w:val="006C4FDF"/>
    <w:rsid w:val="006C5041"/>
    <w:rsid w:val="006C53D5"/>
    <w:rsid w:val="006C54A2"/>
    <w:rsid w:val="006C5520"/>
    <w:rsid w:val="006C5713"/>
    <w:rsid w:val="006C5786"/>
    <w:rsid w:val="006C57CF"/>
    <w:rsid w:val="006C5982"/>
    <w:rsid w:val="006C59FB"/>
    <w:rsid w:val="006C5B26"/>
    <w:rsid w:val="006C5C48"/>
    <w:rsid w:val="006C5EA2"/>
    <w:rsid w:val="006C6230"/>
    <w:rsid w:val="006C64B7"/>
    <w:rsid w:val="006C64F7"/>
    <w:rsid w:val="006C6780"/>
    <w:rsid w:val="006C67C0"/>
    <w:rsid w:val="006C6815"/>
    <w:rsid w:val="006C6B74"/>
    <w:rsid w:val="006C6BA2"/>
    <w:rsid w:val="006C6BCC"/>
    <w:rsid w:val="006C6FD7"/>
    <w:rsid w:val="006C704A"/>
    <w:rsid w:val="006C71BF"/>
    <w:rsid w:val="006C737A"/>
    <w:rsid w:val="006C73EC"/>
    <w:rsid w:val="006C73F9"/>
    <w:rsid w:val="006C7515"/>
    <w:rsid w:val="006C7697"/>
    <w:rsid w:val="006C76B8"/>
    <w:rsid w:val="006C76BE"/>
    <w:rsid w:val="006C788C"/>
    <w:rsid w:val="006C799E"/>
    <w:rsid w:val="006C7A88"/>
    <w:rsid w:val="006C7C47"/>
    <w:rsid w:val="006C7EB2"/>
    <w:rsid w:val="006CA229"/>
    <w:rsid w:val="006D0020"/>
    <w:rsid w:val="006D00F3"/>
    <w:rsid w:val="006D068C"/>
    <w:rsid w:val="006D06E6"/>
    <w:rsid w:val="006D0779"/>
    <w:rsid w:val="006D08CF"/>
    <w:rsid w:val="006D0B2E"/>
    <w:rsid w:val="006D0D6B"/>
    <w:rsid w:val="006D0DBD"/>
    <w:rsid w:val="006D0E2C"/>
    <w:rsid w:val="006D0E3D"/>
    <w:rsid w:val="006D0FEC"/>
    <w:rsid w:val="006D10AC"/>
    <w:rsid w:val="006D11C7"/>
    <w:rsid w:val="006D11F0"/>
    <w:rsid w:val="006D14FC"/>
    <w:rsid w:val="006D1649"/>
    <w:rsid w:val="006D1651"/>
    <w:rsid w:val="006D16C9"/>
    <w:rsid w:val="006D18FB"/>
    <w:rsid w:val="006D1C1D"/>
    <w:rsid w:val="006D1C7B"/>
    <w:rsid w:val="006D1D51"/>
    <w:rsid w:val="006D1DC2"/>
    <w:rsid w:val="006D1ED1"/>
    <w:rsid w:val="006D1EDC"/>
    <w:rsid w:val="006D1FB3"/>
    <w:rsid w:val="006D2242"/>
    <w:rsid w:val="006D2276"/>
    <w:rsid w:val="006D22C0"/>
    <w:rsid w:val="006D23FF"/>
    <w:rsid w:val="006D2799"/>
    <w:rsid w:val="006D289C"/>
    <w:rsid w:val="006D2A67"/>
    <w:rsid w:val="006D2A77"/>
    <w:rsid w:val="006D2A84"/>
    <w:rsid w:val="006D2BA0"/>
    <w:rsid w:val="006D2D62"/>
    <w:rsid w:val="006D2EB7"/>
    <w:rsid w:val="006D2EF5"/>
    <w:rsid w:val="006D324B"/>
    <w:rsid w:val="006D3258"/>
    <w:rsid w:val="006D32D4"/>
    <w:rsid w:val="006D3655"/>
    <w:rsid w:val="006D3966"/>
    <w:rsid w:val="006D3A8F"/>
    <w:rsid w:val="006D3A9A"/>
    <w:rsid w:val="006D3B9B"/>
    <w:rsid w:val="006D3BC0"/>
    <w:rsid w:val="006D3C70"/>
    <w:rsid w:val="006D3CA9"/>
    <w:rsid w:val="006D3CC8"/>
    <w:rsid w:val="006D3D0F"/>
    <w:rsid w:val="006D3D3B"/>
    <w:rsid w:val="006D3FE5"/>
    <w:rsid w:val="006D3FE7"/>
    <w:rsid w:val="006D4292"/>
    <w:rsid w:val="006D43AA"/>
    <w:rsid w:val="006D4580"/>
    <w:rsid w:val="006D4651"/>
    <w:rsid w:val="006D466F"/>
    <w:rsid w:val="006D4676"/>
    <w:rsid w:val="006D4809"/>
    <w:rsid w:val="006D48D6"/>
    <w:rsid w:val="006D49BC"/>
    <w:rsid w:val="006D4C05"/>
    <w:rsid w:val="006D4D8E"/>
    <w:rsid w:val="006D4F93"/>
    <w:rsid w:val="006D52F6"/>
    <w:rsid w:val="006D5580"/>
    <w:rsid w:val="006D562C"/>
    <w:rsid w:val="006D575A"/>
    <w:rsid w:val="006D587E"/>
    <w:rsid w:val="006D59CE"/>
    <w:rsid w:val="006D5A7A"/>
    <w:rsid w:val="006D5C39"/>
    <w:rsid w:val="006D5C3B"/>
    <w:rsid w:val="006D5CC9"/>
    <w:rsid w:val="006D5CF0"/>
    <w:rsid w:val="006D5DD6"/>
    <w:rsid w:val="006D5DF5"/>
    <w:rsid w:val="006D602C"/>
    <w:rsid w:val="006D60D7"/>
    <w:rsid w:val="006D62A7"/>
    <w:rsid w:val="006D64C1"/>
    <w:rsid w:val="006D65CB"/>
    <w:rsid w:val="006D67D3"/>
    <w:rsid w:val="006D68D5"/>
    <w:rsid w:val="006D6BC2"/>
    <w:rsid w:val="006D6C29"/>
    <w:rsid w:val="006D6E17"/>
    <w:rsid w:val="006D6EF4"/>
    <w:rsid w:val="006D72B1"/>
    <w:rsid w:val="006D75B2"/>
    <w:rsid w:val="006D78B4"/>
    <w:rsid w:val="006D78C8"/>
    <w:rsid w:val="006D78D5"/>
    <w:rsid w:val="006D7E7E"/>
    <w:rsid w:val="006D7F13"/>
    <w:rsid w:val="006D7FCD"/>
    <w:rsid w:val="006E013A"/>
    <w:rsid w:val="006E0292"/>
    <w:rsid w:val="006E02C3"/>
    <w:rsid w:val="006E02DC"/>
    <w:rsid w:val="006E04B0"/>
    <w:rsid w:val="006E0510"/>
    <w:rsid w:val="006E0625"/>
    <w:rsid w:val="006E07B6"/>
    <w:rsid w:val="006E0959"/>
    <w:rsid w:val="006E09CF"/>
    <w:rsid w:val="006E0D5C"/>
    <w:rsid w:val="006E0D99"/>
    <w:rsid w:val="006E0D9C"/>
    <w:rsid w:val="006E0FBA"/>
    <w:rsid w:val="006E1360"/>
    <w:rsid w:val="006E1372"/>
    <w:rsid w:val="006E143C"/>
    <w:rsid w:val="006E17C8"/>
    <w:rsid w:val="006E17DD"/>
    <w:rsid w:val="006E1970"/>
    <w:rsid w:val="006E1A6F"/>
    <w:rsid w:val="006E1B5D"/>
    <w:rsid w:val="006E1BDF"/>
    <w:rsid w:val="006E1C56"/>
    <w:rsid w:val="006E1C81"/>
    <w:rsid w:val="006E1D3D"/>
    <w:rsid w:val="006E1F94"/>
    <w:rsid w:val="006E2083"/>
    <w:rsid w:val="006E211C"/>
    <w:rsid w:val="006E24C7"/>
    <w:rsid w:val="006E261A"/>
    <w:rsid w:val="006E26AB"/>
    <w:rsid w:val="006E276D"/>
    <w:rsid w:val="006E2A0F"/>
    <w:rsid w:val="006E2A2D"/>
    <w:rsid w:val="006E2CE3"/>
    <w:rsid w:val="006E2E77"/>
    <w:rsid w:val="006E3194"/>
    <w:rsid w:val="006E345B"/>
    <w:rsid w:val="006E37C5"/>
    <w:rsid w:val="006E3825"/>
    <w:rsid w:val="006E38CA"/>
    <w:rsid w:val="006E3B3F"/>
    <w:rsid w:val="006E3E2F"/>
    <w:rsid w:val="006E3E36"/>
    <w:rsid w:val="006E3E3B"/>
    <w:rsid w:val="006E3F8A"/>
    <w:rsid w:val="006E4033"/>
    <w:rsid w:val="006E41A1"/>
    <w:rsid w:val="006E41DE"/>
    <w:rsid w:val="006E4477"/>
    <w:rsid w:val="006E448B"/>
    <w:rsid w:val="006E4628"/>
    <w:rsid w:val="006E4674"/>
    <w:rsid w:val="006E48D5"/>
    <w:rsid w:val="006E4948"/>
    <w:rsid w:val="006E4A02"/>
    <w:rsid w:val="006E4B9F"/>
    <w:rsid w:val="006E4D3F"/>
    <w:rsid w:val="006E4E65"/>
    <w:rsid w:val="006E4EE4"/>
    <w:rsid w:val="006E4F01"/>
    <w:rsid w:val="006E535A"/>
    <w:rsid w:val="006E5386"/>
    <w:rsid w:val="006E5407"/>
    <w:rsid w:val="006E56F3"/>
    <w:rsid w:val="006E5A4B"/>
    <w:rsid w:val="006E5E8D"/>
    <w:rsid w:val="006E5F6C"/>
    <w:rsid w:val="006E6143"/>
    <w:rsid w:val="006E6164"/>
    <w:rsid w:val="006E6279"/>
    <w:rsid w:val="006E631A"/>
    <w:rsid w:val="006E6345"/>
    <w:rsid w:val="006E63A2"/>
    <w:rsid w:val="006E6413"/>
    <w:rsid w:val="006E649C"/>
    <w:rsid w:val="006E65EF"/>
    <w:rsid w:val="006E6666"/>
    <w:rsid w:val="006E677F"/>
    <w:rsid w:val="006E6B73"/>
    <w:rsid w:val="006E6C66"/>
    <w:rsid w:val="006E6C8A"/>
    <w:rsid w:val="006E6CD0"/>
    <w:rsid w:val="006E6F55"/>
    <w:rsid w:val="006E70CA"/>
    <w:rsid w:val="006E734C"/>
    <w:rsid w:val="006E735B"/>
    <w:rsid w:val="006E738F"/>
    <w:rsid w:val="006E73B6"/>
    <w:rsid w:val="006E76BA"/>
    <w:rsid w:val="006E7898"/>
    <w:rsid w:val="006F004E"/>
    <w:rsid w:val="006F01CB"/>
    <w:rsid w:val="006F0330"/>
    <w:rsid w:val="006F03C4"/>
    <w:rsid w:val="006F04EB"/>
    <w:rsid w:val="006F05F3"/>
    <w:rsid w:val="006F07EC"/>
    <w:rsid w:val="006F08C3"/>
    <w:rsid w:val="006F0B57"/>
    <w:rsid w:val="006F0B6A"/>
    <w:rsid w:val="006F0C02"/>
    <w:rsid w:val="006F0EEA"/>
    <w:rsid w:val="006F0EF5"/>
    <w:rsid w:val="006F1163"/>
    <w:rsid w:val="006F129B"/>
    <w:rsid w:val="006F132F"/>
    <w:rsid w:val="006F139D"/>
    <w:rsid w:val="006F1456"/>
    <w:rsid w:val="006F1557"/>
    <w:rsid w:val="006F1584"/>
    <w:rsid w:val="006F15E8"/>
    <w:rsid w:val="006F1611"/>
    <w:rsid w:val="006F17DD"/>
    <w:rsid w:val="006F1DDD"/>
    <w:rsid w:val="006F1DE8"/>
    <w:rsid w:val="006F1E2F"/>
    <w:rsid w:val="006F2019"/>
    <w:rsid w:val="006F22F0"/>
    <w:rsid w:val="006F24BD"/>
    <w:rsid w:val="006F26C7"/>
    <w:rsid w:val="006F2726"/>
    <w:rsid w:val="006F2807"/>
    <w:rsid w:val="006F2897"/>
    <w:rsid w:val="006F2992"/>
    <w:rsid w:val="006F2CA6"/>
    <w:rsid w:val="006F2DCF"/>
    <w:rsid w:val="006F2DE3"/>
    <w:rsid w:val="006F2DEE"/>
    <w:rsid w:val="006F2E0A"/>
    <w:rsid w:val="006F3281"/>
    <w:rsid w:val="006F346E"/>
    <w:rsid w:val="006F3484"/>
    <w:rsid w:val="006F34ED"/>
    <w:rsid w:val="006F3B65"/>
    <w:rsid w:val="006F3D03"/>
    <w:rsid w:val="006F3DA6"/>
    <w:rsid w:val="006F3E07"/>
    <w:rsid w:val="006F3E0E"/>
    <w:rsid w:val="006F3FF0"/>
    <w:rsid w:val="006F405B"/>
    <w:rsid w:val="006F4284"/>
    <w:rsid w:val="006F4531"/>
    <w:rsid w:val="006F4536"/>
    <w:rsid w:val="006F46DA"/>
    <w:rsid w:val="006F4772"/>
    <w:rsid w:val="006F47F8"/>
    <w:rsid w:val="006F4948"/>
    <w:rsid w:val="006F499E"/>
    <w:rsid w:val="006F4A5E"/>
    <w:rsid w:val="006F4AE6"/>
    <w:rsid w:val="006F4AF1"/>
    <w:rsid w:val="006F4BA3"/>
    <w:rsid w:val="006F4C6B"/>
    <w:rsid w:val="006F4D84"/>
    <w:rsid w:val="006F4DB9"/>
    <w:rsid w:val="006F4E0D"/>
    <w:rsid w:val="006F5145"/>
    <w:rsid w:val="006F51DF"/>
    <w:rsid w:val="006F5588"/>
    <w:rsid w:val="006F5AAF"/>
    <w:rsid w:val="006F5DA6"/>
    <w:rsid w:val="006F5EE0"/>
    <w:rsid w:val="006F620B"/>
    <w:rsid w:val="006F622B"/>
    <w:rsid w:val="006F63BF"/>
    <w:rsid w:val="006F654A"/>
    <w:rsid w:val="006F68A6"/>
    <w:rsid w:val="006F6ACC"/>
    <w:rsid w:val="006F6BBB"/>
    <w:rsid w:val="006F6BE5"/>
    <w:rsid w:val="006F6FDE"/>
    <w:rsid w:val="006F7002"/>
    <w:rsid w:val="006F71B7"/>
    <w:rsid w:val="006F7309"/>
    <w:rsid w:val="006F75FE"/>
    <w:rsid w:val="006F7731"/>
    <w:rsid w:val="006F78D7"/>
    <w:rsid w:val="006F7A13"/>
    <w:rsid w:val="006F7BD5"/>
    <w:rsid w:val="006F7CD2"/>
    <w:rsid w:val="006F7D97"/>
    <w:rsid w:val="006F7F85"/>
    <w:rsid w:val="00700060"/>
    <w:rsid w:val="0070019D"/>
    <w:rsid w:val="007001E3"/>
    <w:rsid w:val="00700279"/>
    <w:rsid w:val="00700412"/>
    <w:rsid w:val="0070047C"/>
    <w:rsid w:val="007004FA"/>
    <w:rsid w:val="00700597"/>
    <w:rsid w:val="00700809"/>
    <w:rsid w:val="00700835"/>
    <w:rsid w:val="007009F2"/>
    <w:rsid w:val="00700D41"/>
    <w:rsid w:val="00700E9B"/>
    <w:rsid w:val="00700EFA"/>
    <w:rsid w:val="00701264"/>
    <w:rsid w:val="00701433"/>
    <w:rsid w:val="007015C2"/>
    <w:rsid w:val="00701788"/>
    <w:rsid w:val="007018F4"/>
    <w:rsid w:val="00701C17"/>
    <w:rsid w:val="00701EB1"/>
    <w:rsid w:val="007021C0"/>
    <w:rsid w:val="00702255"/>
    <w:rsid w:val="00702288"/>
    <w:rsid w:val="007022FB"/>
    <w:rsid w:val="0070289D"/>
    <w:rsid w:val="00702AA8"/>
    <w:rsid w:val="00702D99"/>
    <w:rsid w:val="00702F20"/>
    <w:rsid w:val="007030B1"/>
    <w:rsid w:val="00703195"/>
    <w:rsid w:val="00703316"/>
    <w:rsid w:val="00703373"/>
    <w:rsid w:val="00703A2E"/>
    <w:rsid w:val="00703A43"/>
    <w:rsid w:val="00703D93"/>
    <w:rsid w:val="00703E32"/>
    <w:rsid w:val="00704174"/>
    <w:rsid w:val="00704307"/>
    <w:rsid w:val="0070441F"/>
    <w:rsid w:val="0070456E"/>
    <w:rsid w:val="00704B9E"/>
    <w:rsid w:val="00704BF9"/>
    <w:rsid w:val="00704E43"/>
    <w:rsid w:val="00704FCD"/>
    <w:rsid w:val="00704FE0"/>
    <w:rsid w:val="00705238"/>
    <w:rsid w:val="0070547E"/>
    <w:rsid w:val="007054E3"/>
    <w:rsid w:val="00705580"/>
    <w:rsid w:val="00705596"/>
    <w:rsid w:val="00705686"/>
    <w:rsid w:val="00705788"/>
    <w:rsid w:val="00705A54"/>
    <w:rsid w:val="00705E11"/>
    <w:rsid w:val="00705E8A"/>
    <w:rsid w:val="00705EB5"/>
    <w:rsid w:val="00705FD0"/>
    <w:rsid w:val="0070606F"/>
    <w:rsid w:val="0070613D"/>
    <w:rsid w:val="0070614F"/>
    <w:rsid w:val="0070657A"/>
    <w:rsid w:val="00706634"/>
    <w:rsid w:val="00706663"/>
    <w:rsid w:val="007066DD"/>
    <w:rsid w:val="00706786"/>
    <w:rsid w:val="00706BA0"/>
    <w:rsid w:val="00706D65"/>
    <w:rsid w:val="00706DB6"/>
    <w:rsid w:val="00706DB9"/>
    <w:rsid w:val="00706EFB"/>
    <w:rsid w:val="00707023"/>
    <w:rsid w:val="007070A1"/>
    <w:rsid w:val="00707A4D"/>
    <w:rsid w:val="00707A83"/>
    <w:rsid w:val="00707A89"/>
    <w:rsid w:val="00707AE9"/>
    <w:rsid w:val="00707B8F"/>
    <w:rsid w:val="00707BF6"/>
    <w:rsid w:val="00707BFC"/>
    <w:rsid w:val="00707F43"/>
    <w:rsid w:val="007101A0"/>
    <w:rsid w:val="00710289"/>
    <w:rsid w:val="00710302"/>
    <w:rsid w:val="00710420"/>
    <w:rsid w:val="00710631"/>
    <w:rsid w:val="0071063E"/>
    <w:rsid w:val="0071064E"/>
    <w:rsid w:val="007106DF"/>
    <w:rsid w:val="00710754"/>
    <w:rsid w:val="00710819"/>
    <w:rsid w:val="007108FD"/>
    <w:rsid w:val="00710970"/>
    <w:rsid w:val="00710A54"/>
    <w:rsid w:val="00710BBC"/>
    <w:rsid w:val="00710BEB"/>
    <w:rsid w:val="00710C62"/>
    <w:rsid w:val="00710E24"/>
    <w:rsid w:val="00711031"/>
    <w:rsid w:val="0071113C"/>
    <w:rsid w:val="0071126A"/>
    <w:rsid w:val="0071139F"/>
    <w:rsid w:val="00711605"/>
    <w:rsid w:val="00711641"/>
    <w:rsid w:val="007119F3"/>
    <w:rsid w:val="00711A23"/>
    <w:rsid w:val="00711A24"/>
    <w:rsid w:val="00711AE1"/>
    <w:rsid w:val="00711B2B"/>
    <w:rsid w:val="00711E9E"/>
    <w:rsid w:val="00711EDD"/>
    <w:rsid w:val="00711F7B"/>
    <w:rsid w:val="0071204A"/>
    <w:rsid w:val="00712051"/>
    <w:rsid w:val="0071220C"/>
    <w:rsid w:val="0071222E"/>
    <w:rsid w:val="007122E9"/>
    <w:rsid w:val="007123CF"/>
    <w:rsid w:val="00712408"/>
    <w:rsid w:val="0071254B"/>
    <w:rsid w:val="0071263D"/>
    <w:rsid w:val="00712821"/>
    <w:rsid w:val="007128B9"/>
    <w:rsid w:val="007129F7"/>
    <w:rsid w:val="00712A48"/>
    <w:rsid w:val="00712BFA"/>
    <w:rsid w:val="00712FFC"/>
    <w:rsid w:val="0071321C"/>
    <w:rsid w:val="007135D9"/>
    <w:rsid w:val="00713698"/>
    <w:rsid w:val="007136D8"/>
    <w:rsid w:val="0071382B"/>
    <w:rsid w:val="00713911"/>
    <w:rsid w:val="007139BF"/>
    <w:rsid w:val="007139E5"/>
    <w:rsid w:val="00713BFC"/>
    <w:rsid w:val="00713CE1"/>
    <w:rsid w:val="00713D00"/>
    <w:rsid w:val="00713FD3"/>
    <w:rsid w:val="00714082"/>
    <w:rsid w:val="00714213"/>
    <w:rsid w:val="00714359"/>
    <w:rsid w:val="007143CA"/>
    <w:rsid w:val="0071451F"/>
    <w:rsid w:val="00714682"/>
    <w:rsid w:val="00714742"/>
    <w:rsid w:val="0071478D"/>
    <w:rsid w:val="00714928"/>
    <w:rsid w:val="0071499F"/>
    <w:rsid w:val="00714C36"/>
    <w:rsid w:val="00714CB0"/>
    <w:rsid w:val="00714E40"/>
    <w:rsid w:val="00714ED0"/>
    <w:rsid w:val="00714F1F"/>
    <w:rsid w:val="00714F27"/>
    <w:rsid w:val="00715205"/>
    <w:rsid w:val="007152C2"/>
    <w:rsid w:val="00715311"/>
    <w:rsid w:val="007156A2"/>
    <w:rsid w:val="00715747"/>
    <w:rsid w:val="007157A1"/>
    <w:rsid w:val="0071589A"/>
    <w:rsid w:val="007159F1"/>
    <w:rsid w:val="00715A60"/>
    <w:rsid w:val="00715CB3"/>
    <w:rsid w:val="00715E71"/>
    <w:rsid w:val="0071616B"/>
    <w:rsid w:val="00716314"/>
    <w:rsid w:val="00716384"/>
    <w:rsid w:val="007163F8"/>
    <w:rsid w:val="00716473"/>
    <w:rsid w:val="007164B8"/>
    <w:rsid w:val="00716514"/>
    <w:rsid w:val="00716529"/>
    <w:rsid w:val="00716AEE"/>
    <w:rsid w:val="00716B0A"/>
    <w:rsid w:val="00716B5E"/>
    <w:rsid w:val="00716B9F"/>
    <w:rsid w:val="00716C12"/>
    <w:rsid w:val="00716C92"/>
    <w:rsid w:val="00716DEC"/>
    <w:rsid w:val="00716DF0"/>
    <w:rsid w:val="00716DFA"/>
    <w:rsid w:val="00716E1D"/>
    <w:rsid w:val="00716FC9"/>
    <w:rsid w:val="00716FE2"/>
    <w:rsid w:val="007170BB"/>
    <w:rsid w:val="007171D9"/>
    <w:rsid w:val="00717262"/>
    <w:rsid w:val="0071751B"/>
    <w:rsid w:val="007175BE"/>
    <w:rsid w:val="00717604"/>
    <w:rsid w:val="007179EB"/>
    <w:rsid w:val="00717A46"/>
    <w:rsid w:val="00717A64"/>
    <w:rsid w:val="00717D75"/>
    <w:rsid w:val="00717EF5"/>
    <w:rsid w:val="00717F65"/>
    <w:rsid w:val="007206C3"/>
    <w:rsid w:val="0072071C"/>
    <w:rsid w:val="00720B0E"/>
    <w:rsid w:val="00720BA4"/>
    <w:rsid w:val="00720D09"/>
    <w:rsid w:val="00720E0D"/>
    <w:rsid w:val="00721483"/>
    <w:rsid w:val="0072198D"/>
    <w:rsid w:val="00721A0E"/>
    <w:rsid w:val="00721D85"/>
    <w:rsid w:val="00721F0E"/>
    <w:rsid w:val="00722130"/>
    <w:rsid w:val="00722134"/>
    <w:rsid w:val="00722228"/>
    <w:rsid w:val="00722287"/>
    <w:rsid w:val="00722295"/>
    <w:rsid w:val="00722394"/>
    <w:rsid w:val="007225BE"/>
    <w:rsid w:val="0072278C"/>
    <w:rsid w:val="00722825"/>
    <w:rsid w:val="00722CC7"/>
    <w:rsid w:val="00722DA3"/>
    <w:rsid w:val="00722EA1"/>
    <w:rsid w:val="00722F65"/>
    <w:rsid w:val="0072301C"/>
    <w:rsid w:val="00723421"/>
    <w:rsid w:val="00723543"/>
    <w:rsid w:val="00723579"/>
    <w:rsid w:val="007238F4"/>
    <w:rsid w:val="00723A92"/>
    <w:rsid w:val="00723C35"/>
    <w:rsid w:val="00723F64"/>
    <w:rsid w:val="00723FF5"/>
    <w:rsid w:val="00724320"/>
    <w:rsid w:val="00724349"/>
    <w:rsid w:val="007249A2"/>
    <w:rsid w:val="00724A47"/>
    <w:rsid w:val="00724A85"/>
    <w:rsid w:val="00724C55"/>
    <w:rsid w:val="00724F18"/>
    <w:rsid w:val="0072502C"/>
    <w:rsid w:val="00725199"/>
    <w:rsid w:val="0072519D"/>
    <w:rsid w:val="007253C4"/>
    <w:rsid w:val="00725520"/>
    <w:rsid w:val="007255C9"/>
    <w:rsid w:val="00725656"/>
    <w:rsid w:val="007258CE"/>
    <w:rsid w:val="00725A89"/>
    <w:rsid w:val="00725B6E"/>
    <w:rsid w:val="00725C47"/>
    <w:rsid w:val="00725CD7"/>
    <w:rsid w:val="00725D32"/>
    <w:rsid w:val="00726043"/>
    <w:rsid w:val="007260E5"/>
    <w:rsid w:val="007261C1"/>
    <w:rsid w:val="0072637F"/>
    <w:rsid w:val="007263D0"/>
    <w:rsid w:val="007265CD"/>
    <w:rsid w:val="007265CE"/>
    <w:rsid w:val="0072677B"/>
    <w:rsid w:val="007267A7"/>
    <w:rsid w:val="007267E1"/>
    <w:rsid w:val="00726952"/>
    <w:rsid w:val="00726A82"/>
    <w:rsid w:val="00726C35"/>
    <w:rsid w:val="00726D00"/>
    <w:rsid w:val="00726D4E"/>
    <w:rsid w:val="00726DBE"/>
    <w:rsid w:val="00726EBA"/>
    <w:rsid w:val="00727015"/>
    <w:rsid w:val="00727144"/>
    <w:rsid w:val="0072724A"/>
    <w:rsid w:val="007273C8"/>
    <w:rsid w:val="007275C2"/>
    <w:rsid w:val="007276FA"/>
    <w:rsid w:val="00727732"/>
    <w:rsid w:val="0072779E"/>
    <w:rsid w:val="00727849"/>
    <w:rsid w:val="0072785B"/>
    <w:rsid w:val="0072788F"/>
    <w:rsid w:val="00727912"/>
    <w:rsid w:val="00727C6E"/>
    <w:rsid w:val="00727FE7"/>
    <w:rsid w:val="00730014"/>
    <w:rsid w:val="0073016E"/>
    <w:rsid w:val="0073079E"/>
    <w:rsid w:val="007308BB"/>
    <w:rsid w:val="007309DB"/>
    <w:rsid w:val="00730BB2"/>
    <w:rsid w:val="00730D5C"/>
    <w:rsid w:val="00730F27"/>
    <w:rsid w:val="0073100B"/>
    <w:rsid w:val="00731059"/>
    <w:rsid w:val="007311DC"/>
    <w:rsid w:val="00731225"/>
    <w:rsid w:val="00731289"/>
    <w:rsid w:val="00731335"/>
    <w:rsid w:val="00731503"/>
    <w:rsid w:val="00731A0D"/>
    <w:rsid w:val="00731AAC"/>
    <w:rsid w:val="00731B34"/>
    <w:rsid w:val="00731C36"/>
    <w:rsid w:val="00731CC3"/>
    <w:rsid w:val="00731D8A"/>
    <w:rsid w:val="007321E8"/>
    <w:rsid w:val="00732447"/>
    <w:rsid w:val="00732665"/>
    <w:rsid w:val="007326B6"/>
    <w:rsid w:val="007327D0"/>
    <w:rsid w:val="0073295F"/>
    <w:rsid w:val="00732B8A"/>
    <w:rsid w:val="00732C3F"/>
    <w:rsid w:val="00732C51"/>
    <w:rsid w:val="00732D45"/>
    <w:rsid w:val="00732D56"/>
    <w:rsid w:val="00732DE7"/>
    <w:rsid w:val="00732EAF"/>
    <w:rsid w:val="00732EDB"/>
    <w:rsid w:val="0073309A"/>
    <w:rsid w:val="007330BE"/>
    <w:rsid w:val="00733379"/>
    <w:rsid w:val="00733383"/>
    <w:rsid w:val="00733399"/>
    <w:rsid w:val="007335D2"/>
    <w:rsid w:val="00733743"/>
    <w:rsid w:val="007338E5"/>
    <w:rsid w:val="00733BC5"/>
    <w:rsid w:val="00733C82"/>
    <w:rsid w:val="00733CDE"/>
    <w:rsid w:val="00734366"/>
    <w:rsid w:val="00734370"/>
    <w:rsid w:val="00734479"/>
    <w:rsid w:val="0073457F"/>
    <w:rsid w:val="00734625"/>
    <w:rsid w:val="00734992"/>
    <w:rsid w:val="00734B82"/>
    <w:rsid w:val="00734C40"/>
    <w:rsid w:val="00734C67"/>
    <w:rsid w:val="00734D40"/>
    <w:rsid w:val="00734E27"/>
    <w:rsid w:val="0073514F"/>
    <w:rsid w:val="007352C4"/>
    <w:rsid w:val="007353E1"/>
    <w:rsid w:val="00735991"/>
    <w:rsid w:val="007359EB"/>
    <w:rsid w:val="00735A3F"/>
    <w:rsid w:val="00735D2D"/>
    <w:rsid w:val="00735E1F"/>
    <w:rsid w:val="00736142"/>
    <w:rsid w:val="007364EC"/>
    <w:rsid w:val="00736532"/>
    <w:rsid w:val="007365AB"/>
    <w:rsid w:val="007366B1"/>
    <w:rsid w:val="00736755"/>
    <w:rsid w:val="00736812"/>
    <w:rsid w:val="00736873"/>
    <w:rsid w:val="007368C3"/>
    <w:rsid w:val="00736949"/>
    <w:rsid w:val="00736ED5"/>
    <w:rsid w:val="00736F02"/>
    <w:rsid w:val="007371B9"/>
    <w:rsid w:val="007377E4"/>
    <w:rsid w:val="0073781D"/>
    <w:rsid w:val="00737A4E"/>
    <w:rsid w:val="00737AFD"/>
    <w:rsid w:val="00737B8A"/>
    <w:rsid w:val="00737C17"/>
    <w:rsid w:val="00737FE9"/>
    <w:rsid w:val="00740259"/>
    <w:rsid w:val="00740283"/>
    <w:rsid w:val="007403BC"/>
    <w:rsid w:val="00740632"/>
    <w:rsid w:val="00740711"/>
    <w:rsid w:val="00740740"/>
    <w:rsid w:val="007409F1"/>
    <w:rsid w:val="00740B44"/>
    <w:rsid w:val="00740B85"/>
    <w:rsid w:val="00740EF8"/>
    <w:rsid w:val="007411C8"/>
    <w:rsid w:val="00741456"/>
    <w:rsid w:val="007415E0"/>
    <w:rsid w:val="00741643"/>
    <w:rsid w:val="00741870"/>
    <w:rsid w:val="007419FD"/>
    <w:rsid w:val="00741A7A"/>
    <w:rsid w:val="00741AC0"/>
    <w:rsid w:val="00741B92"/>
    <w:rsid w:val="00741BDD"/>
    <w:rsid w:val="00741D28"/>
    <w:rsid w:val="00741E0B"/>
    <w:rsid w:val="00741E31"/>
    <w:rsid w:val="00741FB5"/>
    <w:rsid w:val="00741FD7"/>
    <w:rsid w:val="007420F4"/>
    <w:rsid w:val="007421AE"/>
    <w:rsid w:val="00742478"/>
    <w:rsid w:val="00742513"/>
    <w:rsid w:val="0074272F"/>
    <w:rsid w:val="00742B36"/>
    <w:rsid w:val="00742EC3"/>
    <w:rsid w:val="00743009"/>
    <w:rsid w:val="00743095"/>
    <w:rsid w:val="007430B8"/>
    <w:rsid w:val="0074310C"/>
    <w:rsid w:val="00743350"/>
    <w:rsid w:val="007433C9"/>
    <w:rsid w:val="007434D9"/>
    <w:rsid w:val="007435E4"/>
    <w:rsid w:val="0074378F"/>
    <w:rsid w:val="00743844"/>
    <w:rsid w:val="00743A2A"/>
    <w:rsid w:val="00743B39"/>
    <w:rsid w:val="00743CB4"/>
    <w:rsid w:val="00743E14"/>
    <w:rsid w:val="00743E23"/>
    <w:rsid w:val="00743EA8"/>
    <w:rsid w:val="007442BD"/>
    <w:rsid w:val="00744621"/>
    <w:rsid w:val="00744639"/>
    <w:rsid w:val="007446F8"/>
    <w:rsid w:val="007448B5"/>
    <w:rsid w:val="00744B1B"/>
    <w:rsid w:val="00744C9B"/>
    <w:rsid w:val="00744DA2"/>
    <w:rsid w:val="00744E41"/>
    <w:rsid w:val="00744EFC"/>
    <w:rsid w:val="00744FE2"/>
    <w:rsid w:val="007450E3"/>
    <w:rsid w:val="00745114"/>
    <w:rsid w:val="0074518B"/>
    <w:rsid w:val="0074531D"/>
    <w:rsid w:val="007453A4"/>
    <w:rsid w:val="00745452"/>
    <w:rsid w:val="007455CB"/>
    <w:rsid w:val="0074562B"/>
    <w:rsid w:val="007456BD"/>
    <w:rsid w:val="007458AF"/>
    <w:rsid w:val="0074592E"/>
    <w:rsid w:val="00745A7C"/>
    <w:rsid w:val="00745A94"/>
    <w:rsid w:val="00745DDB"/>
    <w:rsid w:val="00745DF8"/>
    <w:rsid w:val="00745E13"/>
    <w:rsid w:val="007460A4"/>
    <w:rsid w:val="007461C3"/>
    <w:rsid w:val="007462EE"/>
    <w:rsid w:val="00746457"/>
    <w:rsid w:val="00746574"/>
    <w:rsid w:val="007466D8"/>
    <w:rsid w:val="007469C0"/>
    <w:rsid w:val="00746B02"/>
    <w:rsid w:val="00746D38"/>
    <w:rsid w:val="00746D87"/>
    <w:rsid w:val="00746E92"/>
    <w:rsid w:val="0074728B"/>
    <w:rsid w:val="007473BF"/>
    <w:rsid w:val="007473ED"/>
    <w:rsid w:val="00747522"/>
    <w:rsid w:val="00747536"/>
    <w:rsid w:val="00747571"/>
    <w:rsid w:val="00747C21"/>
    <w:rsid w:val="00747D5A"/>
    <w:rsid w:val="00747D7E"/>
    <w:rsid w:val="00747FB0"/>
    <w:rsid w:val="0075004F"/>
    <w:rsid w:val="00750163"/>
    <w:rsid w:val="00750510"/>
    <w:rsid w:val="00750D5C"/>
    <w:rsid w:val="00750E0C"/>
    <w:rsid w:val="0075113F"/>
    <w:rsid w:val="00751361"/>
    <w:rsid w:val="007516F9"/>
    <w:rsid w:val="0075171A"/>
    <w:rsid w:val="00751863"/>
    <w:rsid w:val="00751AA5"/>
    <w:rsid w:val="00751BCA"/>
    <w:rsid w:val="00751BE1"/>
    <w:rsid w:val="00751C23"/>
    <w:rsid w:val="00751C3D"/>
    <w:rsid w:val="00751FF6"/>
    <w:rsid w:val="007520AC"/>
    <w:rsid w:val="0075219B"/>
    <w:rsid w:val="00752227"/>
    <w:rsid w:val="00752296"/>
    <w:rsid w:val="007523D6"/>
    <w:rsid w:val="0075240B"/>
    <w:rsid w:val="0075241A"/>
    <w:rsid w:val="007524A5"/>
    <w:rsid w:val="007524FA"/>
    <w:rsid w:val="0075290E"/>
    <w:rsid w:val="00752983"/>
    <w:rsid w:val="00752B8C"/>
    <w:rsid w:val="00752C02"/>
    <w:rsid w:val="00752E91"/>
    <w:rsid w:val="00752F54"/>
    <w:rsid w:val="00753095"/>
    <w:rsid w:val="0075316B"/>
    <w:rsid w:val="007531A4"/>
    <w:rsid w:val="00753A9C"/>
    <w:rsid w:val="00753ACA"/>
    <w:rsid w:val="00753E52"/>
    <w:rsid w:val="00753E84"/>
    <w:rsid w:val="00753F8C"/>
    <w:rsid w:val="00754114"/>
    <w:rsid w:val="00754216"/>
    <w:rsid w:val="0075431B"/>
    <w:rsid w:val="00754338"/>
    <w:rsid w:val="007543BE"/>
    <w:rsid w:val="007543DF"/>
    <w:rsid w:val="0075456C"/>
    <w:rsid w:val="00754792"/>
    <w:rsid w:val="00754908"/>
    <w:rsid w:val="00754C59"/>
    <w:rsid w:val="00755026"/>
    <w:rsid w:val="007552DB"/>
    <w:rsid w:val="007552E7"/>
    <w:rsid w:val="007552E8"/>
    <w:rsid w:val="00755514"/>
    <w:rsid w:val="0075554C"/>
    <w:rsid w:val="007555C9"/>
    <w:rsid w:val="00755666"/>
    <w:rsid w:val="0075566F"/>
    <w:rsid w:val="0075571E"/>
    <w:rsid w:val="00755863"/>
    <w:rsid w:val="00755A78"/>
    <w:rsid w:val="00755B18"/>
    <w:rsid w:val="00755E76"/>
    <w:rsid w:val="00755EA3"/>
    <w:rsid w:val="00755EE4"/>
    <w:rsid w:val="007561CB"/>
    <w:rsid w:val="007561E3"/>
    <w:rsid w:val="0075623D"/>
    <w:rsid w:val="007568BF"/>
    <w:rsid w:val="007568E0"/>
    <w:rsid w:val="00756936"/>
    <w:rsid w:val="00756AF5"/>
    <w:rsid w:val="00756C1B"/>
    <w:rsid w:val="00756CE9"/>
    <w:rsid w:val="00756E33"/>
    <w:rsid w:val="00756F7F"/>
    <w:rsid w:val="00757055"/>
    <w:rsid w:val="0075729C"/>
    <w:rsid w:val="00757314"/>
    <w:rsid w:val="00757518"/>
    <w:rsid w:val="007575F6"/>
    <w:rsid w:val="0075769C"/>
    <w:rsid w:val="0075773A"/>
    <w:rsid w:val="0075773C"/>
    <w:rsid w:val="007577E6"/>
    <w:rsid w:val="00757875"/>
    <w:rsid w:val="007579D7"/>
    <w:rsid w:val="00757B6E"/>
    <w:rsid w:val="00757BA7"/>
    <w:rsid w:val="00757C14"/>
    <w:rsid w:val="00757F72"/>
    <w:rsid w:val="0076008C"/>
    <w:rsid w:val="007601C0"/>
    <w:rsid w:val="0076023C"/>
    <w:rsid w:val="0076049F"/>
    <w:rsid w:val="00760516"/>
    <w:rsid w:val="00760704"/>
    <w:rsid w:val="007608FD"/>
    <w:rsid w:val="00760A05"/>
    <w:rsid w:val="00760C6E"/>
    <w:rsid w:val="00760D84"/>
    <w:rsid w:val="00760F76"/>
    <w:rsid w:val="0076110E"/>
    <w:rsid w:val="00761260"/>
    <w:rsid w:val="00761336"/>
    <w:rsid w:val="0076138F"/>
    <w:rsid w:val="00761673"/>
    <w:rsid w:val="0076186F"/>
    <w:rsid w:val="00761949"/>
    <w:rsid w:val="00761F19"/>
    <w:rsid w:val="00761FA8"/>
    <w:rsid w:val="00761FDB"/>
    <w:rsid w:val="00761FDC"/>
    <w:rsid w:val="00761FF3"/>
    <w:rsid w:val="0076202B"/>
    <w:rsid w:val="007621CA"/>
    <w:rsid w:val="0076224A"/>
    <w:rsid w:val="007625E2"/>
    <w:rsid w:val="00762652"/>
    <w:rsid w:val="00762871"/>
    <w:rsid w:val="007628BC"/>
    <w:rsid w:val="0076299C"/>
    <w:rsid w:val="007629B7"/>
    <w:rsid w:val="00762AFF"/>
    <w:rsid w:val="00762C7A"/>
    <w:rsid w:val="00763188"/>
    <w:rsid w:val="0076322F"/>
    <w:rsid w:val="0076324E"/>
    <w:rsid w:val="0076346D"/>
    <w:rsid w:val="007635A9"/>
    <w:rsid w:val="007636B7"/>
    <w:rsid w:val="007637F4"/>
    <w:rsid w:val="0076386E"/>
    <w:rsid w:val="00763A49"/>
    <w:rsid w:val="00763A61"/>
    <w:rsid w:val="00763A67"/>
    <w:rsid w:val="00763A90"/>
    <w:rsid w:val="00763B7A"/>
    <w:rsid w:val="00763C8B"/>
    <w:rsid w:val="00763C8E"/>
    <w:rsid w:val="00763FCD"/>
    <w:rsid w:val="007640CE"/>
    <w:rsid w:val="00764371"/>
    <w:rsid w:val="007646A4"/>
    <w:rsid w:val="007647D9"/>
    <w:rsid w:val="007647EE"/>
    <w:rsid w:val="00764860"/>
    <w:rsid w:val="00764FC5"/>
    <w:rsid w:val="00765049"/>
    <w:rsid w:val="00765082"/>
    <w:rsid w:val="00765186"/>
    <w:rsid w:val="007652B3"/>
    <w:rsid w:val="00765353"/>
    <w:rsid w:val="0076550D"/>
    <w:rsid w:val="0076562A"/>
    <w:rsid w:val="0076564C"/>
    <w:rsid w:val="0076588D"/>
    <w:rsid w:val="00765C1B"/>
    <w:rsid w:val="00765CF6"/>
    <w:rsid w:val="00765D68"/>
    <w:rsid w:val="00765DB5"/>
    <w:rsid w:val="00765DC8"/>
    <w:rsid w:val="00765E00"/>
    <w:rsid w:val="00765E08"/>
    <w:rsid w:val="00765E5D"/>
    <w:rsid w:val="00765E7E"/>
    <w:rsid w:val="00765F4E"/>
    <w:rsid w:val="00765F82"/>
    <w:rsid w:val="00766046"/>
    <w:rsid w:val="00766169"/>
    <w:rsid w:val="007662FD"/>
    <w:rsid w:val="007667CA"/>
    <w:rsid w:val="00766988"/>
    <w:rsid w:val="00766A5A"/>
    <w:rsid w:val="00766ADE"/>
    <w:rsid w:val="00766AE1"/>
    <w:rsid w:val="00766D2E"/>
    <w:rsid w:val="00766E93"/>
    <w:rsid w:val="00766FF6"/>
    <w:rsid w:val="007672D8"/>
    <w:rsid w:val="0076739C"/>
    <w:rsid w:val="007674BD"/>
    <w:rsid w:val="007675A0"/>
    <w:rsid w:val="00767603"/>
    <w:rsid w:val="00767B0F"/>
    <w:rsid w:val="00767C7A"/>
    <w:rsid w:val="00767D22"/>
    <w:rsid w:val="00767F14"/>
    <w:rsid w:val="00767FE7"/>
    <w:rsid w:val="00770186"/>
    <w:rsid w:val="0077023D"/>
    <w:rsid w:val="007702EF"/>
    <w:rsid w:val="00770355"/>
    <w:rsid w:val="007703E4"/>
    <w:rsid w:val="007706D7"/>
    <w:rsid w:val="00770880"/>
    <w:rsid w:val="00770AAE"/>
    <w:rsid w:val="00770B6A"/>
    <w:rsid w:val="00770DF0"/>
    <w:rsid w:val="00770F73"/>
    <w:rsid w:val="007712AB"/>
    <w:rsid w:val="00771321"/>
    <w:rsid w:val="007713A3"/>
    <w:rsid w:val="007714A5"/>
    <w:rsid w:val="00771689"/>
    <w:rsid w:val="00771740"/>
    <w:rsid w:val="0077184F"/>
    <w:rsid w:val="007718FB"/>
    <w:rsid w:val="0077192B"/>
    <w:rsid w:val="00771999"/>
    <w:rsid w:val="00771A63"/>
    <w:rsid w:val="00771AD4"/>
    <w:rsid w:val="00771AFE"/>
    <w:rsid w:val="00771FD1"/>
    <w:rsid w:val="007721B4"/>
    <w:rsid w:val="00772270"/>
    <w:rsid w:val="00772349"/>
    <w:rsid w:val="00772446"/>
    <w:rsid w:val="0077248C"/>
    <w:rsid w:val="007724AD"/>
    <w:rsid w:val="00772535"/>
    <w:rsid w:val="00772834"/>
    <w:rsid w:val="0077284A"/>
    <w:rsid w:val="007728E9"/>
    <w:rsid w:val="00772EBF"/>
    <w:rsid w:val="007730C0"/>
    <w:rsid w:val="00773221"/>
    <w:rsid w:val="0077325C"/>
    <w:rsid w:val="00773460"/>
    <w:rsid w:val="0077350E"/>
    <w:rsid w:val="00773990"/>
    <w:rsid w:val="00773B12"/>
    <w:rsid w:val="00773E94"/>
    <w:rsid w:val="00774268"/>
    <w:rsid w:val="00774273"/>
    <w:rsid w:val="0077440C"/>
    <w:rsid w:val="00774604"/>
    <w:rsid w:val="007747EE"/>
    <w:rsid w:val="00774AE3"/>
    <w:rsid w:val="00774B18"/>
    <w:rsid w:val="00774C0D"/>
    <w:rsid w:val="00774DE1"/>
    <w:rsid w:val="00774EAA"/>
    <w:rsid w:val="00774EB3"/>
    <w:rsid w:val="00774F48"/>
    <w:rsid w:val="007754AE"/>
    <w:rsid w:val="0077575A"/>
    <w:rsid w:val="007758F8"/>
    <w:rsid w:val="00775CEB"/>
    <w:rsid w:val="00775D81"/>
    <w:rsid w:val="00775E7A"/>
    <w:rsid w:val="0077608C"/>
    <w:rsid w:val="007762B7"/>
    <w:rsid w:val="0077640A"/>
    <w:rsid w:val="007765CC"/>
    <w:rsid w:val="00776699"/>
    <w:rsid w:val="0077676D"/>
    <w:rsid w:val="007767FC"/>
    <w:rsid w:val="00776873"/>
    <w:rsid w:val="00776945"/>
    <w:rsid w:val="007769BC"/>
    <w:rsid w:val="00776B6C"/>
    <w:rsid w:val="00776C6A"/>
    <w:rsid w:val="00776C6E"/>
    <w:rsid w:val="00776D9F"/>
    <w:rsid w:val="00776F5C"/>
    <w:rsid w:val="00777063"/>
    <w:rsid w:val="0077708F"/>
    <w:rsid w:val="007770D8"/>
    <w:rsid w:val="00777141"/>
    <w:rsid w:val="0077732E"/>
    <w:rsid w:val="00777545"/>
    <w:rsid w:val="00777653"/>
    <w:rsid w:val="00777768"/>
    <w:rsid w:val="00777A5D"/>
    <w:rsid w:val="00777C36"/>
    <w:rsid w:val="00777C47"/>
    <w:rsid w:val="00777CD7"/>
    <w:rsid w:val="00777FD2"/>
    <w:rsid w:val="00780527"/>
    <w:rsid w:val="00780747"/>
    <w:rsid w:val="0078079D"/>
    <w:rsid w:val="00780883"/>
    <w:rsid w:val="00780951"/>
    <w:rsid w:val="00780A4A"/>
    <w:rsid w:val="00780F02"/>
    <w:rsid w:val="00781045"/>
    <w:rsid w:val="007810F2"/>
    <w:rsid w:val="00781143"/>
    <w:rsid w:val="0078130F"/>
    <w:rsid w:val="0078133C"/>
    <w:rsid w:val="00781389"/>
    <w:rsid w:val="00781866"/>
    <w:rsid w:val="00781993"/>
    <w:rsid w:val="007819DC"/>
    <w:rsid w:val="00781A44"/>
    <w:rsid w:val="00781C1B"/>
    <w:rsid w:val="00781C51"/>
    <w:rsid w:val="007820C0"/>
    <w:rsid w:val="00782102"/>
    <w:rsid w:val="00782113"/>
    <w:rsid w:val="00782119"/>
    <w:rsid w:val="007827A2"/>
    <w:rsid w:val="00782866"/>
    <w:rsid w:val="007828F4"/>
    <w:rsid w:val="00782909"/>
    <w:rsid w:val="00782AB6"/>
    <w:rsid w:val="00782BDD"/>
    <w:rsid w:val="00782C21"/>
    <w:rsid w:val="00782D32"/>
    <w:rsid w:val="00782E78"/>
    <w:rsid w:val="00782F46"/>
    <w:rsid w:val="00782FB1"/>
    <w:rsid w:val="00783284"/>
    <w:rsid w:val="00783371"/>
    <w:rsid w:val="007833C0"/>
    <w:rsid w:val="0078340B"/>
    <w:rsid w:val="0078345B"/>
    <w:rsid w:val="0078376F"/>
    <w:rsid w:val="0078395B"/>
    <w:rsid w:val="007839CF"/>
    <w:rsid w:val="007839D0"/>
    <w:rsid w:val="007839DA"/>
    <w:rsid w:val="00783E42"/>
    <w:rsid w:val="00783E4D"/>
    <w:rsid w:val="0078415B"/>
    <w:rsid w:val="007841CC"/>
    <w:rsid w:val="007842AB"/>
    <w:rsid w:val="007844CD"/>
    <w:rsid w:val="007844D2"/>
    <w:rsid w:val="007845ED"/>
    <w:rsid w:val="0078469B"/>
    <w:rsid w:val="0078479E"/>
    <w:rsid w:val="00784857"/>
    <w:rsid w:val="007849AC"/>
    <w:rsid w:val="007849DB"/>
    <w:rsid w:val="00784A62"/>
    <w:rsid w:val="00784F01"/>
    <w:rsid w:val="00785029"/>
    <w:rsid w:val="0078524C"/>
    <w:rsid w:val="007853DE"/>
    <w:rsid w:val="007855A8"/>
    <w:rsid w:val="00785924"/>
    <w:rsid w:val="00785975"/>
    <w:rsid w:val="007859B2"/>
    <w:rsid w:val="007859C1"/>
    <w:rsid w:val="00785B7A"/>
    <w:rsid w:val="00785C67"/>
    <w:rsid w:val="00785EE1"/>
    <w:rsid w:val="00785F68"/>
    <w:rsid w:val="0078602C"/>
    <w:rsid w:val="007860FA"/>
    <w:rsid w:val="00786102"/>
    <w:rsid w:val="007861C9"/>
    <w:rsid w:val="0078620A"/>
    <w:rsid w:val="00786266"/>
    <w:rsid w:val="00786442"/>
    <w:rsid w:val="0078660E"/>
    <w:rsid w:val="007866AB"/>
    <w:rsid w:val="007867D5"/>
    <w:rsid w:val="00786A47"/>
    <w:rsid w:val="00786BC2"/>
    <w:rsid w:val="00786BED"/>
    <w:rsid w:val="00786DE1"/>
    <w:rsid w:val="00786E11"/>
    <w:rsid w:val="00786E63"/>
    <w:rsid w:val="00786E95"/>
    <w:rsid w:val="00786EA2"/>
    <w:rsid w:val="00786F2B"/>
    <w:rsid w:val="0078712C"/>
    <w:rsid w:val="0078715B"/>
    <w:rsid w:val="00787214"/>
    <w:rsid w:val="00787302"/>
    <w:rsid w:val="0078752C"/>
    <w:rsid w:val="007875DD"/>
    <w:rsid w:val="0078769F"/>
    <w:rsid w:val="007876D7"/>
    <w:rsid w:val="00787865"/>
    <w:rsid w:val="00787987"/>
    <w:rsid w:val="00787A0A"/>
    <w:rsid w:val="00787A44"/>
    <w:rsid w:val="00787AC8"/>
    <w:rsid w:val="00787B6F"/>
    <w:rsid w:val="00787BBD"/>
    <w:rsid w:val="00787D85"/>
    <w:rsid w:val="00787EB1"/>
    <w:rsid w:val="00787FB5"/>
    <w:rsid w:val="007900E3"/>
    <w:rsid w:val="007901B0"/>
    <w:rsid w:val="007903FC"/>
    <w:rsid w:val="00790657"/>
    <w:rsid w:val="00790930"/>
    <w:rsid w:val="007909B0"/>
    <w:rsid w:val="007909FD"/>
    <w:rsid w:val="00790A50"/>
    <w:rsid w:val="00790AC7"/>
    <w:rsid w:val="00790BE2"/>
    <w:rsid w:val="00790DD1"/>
    <w:rsid w:val="00790FE0"/>
    <w:rsid w:val="00791114"/>
    <w:rsid w:val="00791321"/>
    <w:rsid w:val="0079179B"/>
    <w:rsid w:val="0079184B"/>
    <w:rsid w:val="00791C62"/>
    <w:rsid w:val="00791D11"/>
    <w:rsid w:val="00791D88"/>
    <w:rsid w:val="00791E94"/>
    <w:rsid w:val="00792110"/>
    <w:rsid w:val="007923FB"/>
    <w:rsid w:val="007923FD"/>
    <w:rsid w:val="00792460"/>
    <w:rsid w:val="00792679"/>
    <w:rsid w:val="007927DA"/>
    <w:rsid w:val="00792920"/>
    <w:rsid w:val="00792B44"/>
    <w:rsid w:val="00792DA0"/>
    <w:rsid w:val="00792E12"/>
    <w:rsid w:val="00792E4B"/>
    <w:rsid w:val="00792ED6"/>
    <w:rsid w:val="0079346E"/>
    <w:rsid w:val="007935A1"/>
    <w:rsid w:val="0079369D"/>
    <w:rsid w:val="00793871"/>
    <w:rsid w:val="00793A71"/>
    <w:rsid w:val="00793AC4"/>
    <w:rsid w:val="00793B38"/>
    <w:rsid w:val="00793C40"/>
    <w:rsid w:val="00793DCA"/>
    <w:rsid w:val="00793EA4"/>
    <w:rsid w:val="0079408A"/>
    <w:rsid w:val="00794117"/>
    <w:rsid w:val="0079423E"/>
    <w:rsid w:val="007943C9"/>
    <w:rsid w:val="007944D1"/>
    <w:rsid w:val="00794591"/>
    <w:rsid w:val="007946AA"/>
    <w:rsid w:val="00794859"/>
    <w:rsid w:val="00794ACB"/>
    <w:rsid w:val="00794BAA"/>
    <w:rsid w:val="00794BC3"/>
    <w:rsid w:val="00794D61"/>
    <w:rsid w:val="00795374"/>
    <w:rsid w:val="0079546A"/>
    <w:rsid w:val="00795570"/>
    <w:rsid w:val="00795590"/>
    <w:rsid w:val="007955DE"/>
    <w:rsid w:val="00795678"/>
    <w:rsid w:val="007956E9"/>
    <w:rsid w:val="00795A87"/>
    <w:rsid w:val="00795C6C"/>
    <w:rsid w:val="00795DBC"/>
    <w:rsid w:val="00796213"/>
    <w:rsid w:val="00796499"/>
    <w:rsid w:val="00796AFF"/>
    <w:rsid w:val="00796B04"/>
    <w:rsid w:val="00796B2E"/>
    <w:rsid w:val="00796C07"/>
    <w:rsid w:val="00796E99"/>
    <w:rsid w:val="00796F1F"/>
    <w:rsid w:val="00796F58"/>
    <w:rsid w:val="007970B5"/>
    <w:rsid w:val="007971F7"/>
    <w:rsid w:val="00797262"/>
    <w:rsid w:val="007972A1"/>
    <w:rsid w:val="0079736F"/>
    <w:rsid w:val="007975A1"/>
    <w:rsid w:val="00797630"/>
    <w:rsid w:val="00797776"/>
    <w:rsid w:val="00797846"/>
    <w:rsid w:val="007979D3"/>
    <w:rsid w:val="00797B70"/>
    <w:rsid w:val="00797BFE"/>
    <w:rsid w:val="00797CE7"/>
    <w:rsid w:val="00797D31"/>
    <w:rsid w:val="00797E89"/>
    <w:rsid w:val="00797F5C"/>
    <w:rsid w:val="007A013F"/>
    <w:rsid w:val="007A01A9"/>
    <w:rsid w:val="007A04D7"/>
    <w:rsid w:val="007A0550"/>
    <w:rsid w:val="007A070B"/>
    <w:rsid w:val="007A0760"/>
    <w:rsid w:val="007A0BB5"/>
    <w:rsid w:val="007A10AD"/>
    <w:rsid w:val="007A1236"/>
    <w:rsid w:val="007A12AE"/>
    <w:rsid w:val="007A1471"/>
    <w:rsid w:val="007A15F9"/>
    <w:rsid w:val="007A1677"/>
    <w:rsid w:val="007A1A7F"/>
    <w:rsid w:val="007A1AA0"/>
    <w:rsid w:val="007A1AFF"/>
    <w:rsid w:val="007A1BD2"/>
    <w:rsid w:val="007A1C26"/>
    <w:rsid w:val="007A1D47"/>
    <w:rsid w:val="007A1E9A"/>
    <w:rsid w:val="007A1EFC"/>
    <w:rsid w:val="007A2193"/>
    <w:rsid w:val="007A21D4"/>
    <w:rsid w:val="007A249D"/>
    <w:rsid w:val="007A24F4"/>
    <w:rsid w:val="007A24FC"/>
    <w:rsid w:val="007A263A"/>
    <w:rsid w:val="007A277E"/>
    <w:rsid w:val="007A2859"/>
    <w:rsid w:val="007A28F2"/>
    <w:rsid w:val="007A2B5F"/>
    <w:rsid w:val="007A2E96"/>
    <w:rsid w:val="007A2F6B"/>
    <w:rsid w:val="007A302C"/>
    <w:rsid w:val="007A3065"/>
    <w:rsid w:val="007A30E0"/>
    <w:rsid w:val="007A312D"/>
    <w:rsid w:val="007A3256"/>
    <w:rsid w:val="007A32C2"/>
    <w:rsid w:val="007A3566"/>
    <w:rsid w:val="007A362B"/>
    <w:rsid w:val="007A37A1"/>
    <w:rsid w:val="007A39C6"/>
    <w:rsid w:val="007A3A40"/>
    <w:rsid w:val="007A3A6B"/>
    <w:rsid w:val="007A3CD2"/>
    <w:rsid w:val="007A3DD5"/>
    <w:rsid w:val="007A3FD7"/>
    <w:rsid w:val="007A3FD9"/>
    <w:rsid w:val="007A3FDA"/>
    <w:rsid w:val="007A4103"/>
    <w:rsid w:val="007A41F9"/>
    <w:rsid w:val="007A4202"/>
    <w:rsid w:val="007A44C6"/>
    <w:rsid w:val="007A46D8"/>
    <w:rsid w:val="007A4CB7"/>
    <w:rsid w:val="007A4D12"/>
    <w:rsid w:val="007A4D2D"/>
    <w:rsid w:val="007A4D51"/>
    <w:rsid w:val="007A549C"/>
    <w:rsid w:val="007A570A"/>
    <w:rsid w:val="007A57BC"/>
    <w:rsid w:val="007A5870"/>
    <w:rsid w:val="007A591E"/>
    <w:rsid w:val="007A592D"/>
    <w:rsid w:val="007A5B8D"/>
    <w:rsid w:val="007A5C26"/>
    <w:rsid w:val="007A5D26"/>
    <w:rsid w:val="007A5F20"/>
    <w:rsid w:val="007A5F7C"/>
    <w:rsid w:val="007A605D"/>
    <w:rsid w:val="007A6063"/>
    <w:rsid w:val="007A608B"/>
    <w:rsid w:val="007A611D"/>
    <w:rsid w:val="007A6299"/>
    <w:rsid w:val="007A63D0"/>
    <w:rsid w:val="007A648C"/>
    <w:rsid w:val="007A68BC"/>
    <w:rsid w:val="007A69A0"/>
    <w:rsid w:val="007A6A40"/>
    <w:rsid w:val="007A6B44"/>
    <w:rsid w:val="007A6E61"/>
    <w:rsid w:val="007A71F5"/>
    <w:rsid w:val="007A7293"/>
    <w:rsid w:val="007A7592"/>
    <w:rsid w:val="007A763A"/>
    <w:rsid w:val="007A765B"/>
    <w:rsid w:val="007A76B4"/>
    <w:rsid w:val="007A76D1"/>
    <w:rsid w:val="007A78D9"/>
    <w:rsid w:val="007A7957"/>
    <w:rsid w:val="007A798B"/>
    <w:rsid w:val="007A7BB9"/>
    <w:rsid w:val="007A7C74"/>
    <w:rsid w:val="007A7D79"/>
    <w:rsid w:val="007A7E2C"/>
    <w:rsid w:val="007A7E3E"/>
    <w:rsid w:val="007A7ED6"/>
    <w:rsid w:val="007A7F13"/>
    <w:rsid w:val="007B019D"/>
    <w:rsid w:val="007B0396"/>
    <w:rsid w:val="007B05C3"/>
    <w:rsid w:val="007B066B"/>
    <w:rsid w:val="007B0AD0"/>
    <w:rsid w:val="007B0BD3"/>
    <w:rsid w:val="007B0E60"/>
    <w:rsid w:val="007B0EE0"/>
    <w:rsid w:val="007B0FC9"/>
    <w:rsid w:val="007B101D"/>
    <w:rsid w:val="007B1092"/>
    <w:rsid w:val="007B11C4"/>
    <w:rsid w:val="007B124B"/>
    <w:rsid w:val="007B1253"/>
    <w:rsid w:val="007B16DC"/>
    <w:rsid w:val="007B1CB2"/>
    <w:rsid w:val="007B1DA5"/>
    <w:rsid w:val="007B1E2A"/>
    <w:rsid w:val="007B1F0C"/>
    <w:rsid w:val="007B1FE0"/>
    <w:rsid w:val="007B20A5"/>
    <w:rsid w:val="007B2105"/>
    <w:rsid w:val="007B245E"/>
    <w:rsid w:val="007B25EC"/>
    <w:rsid w:val="007B2656"/>
    <w:rsid w:val="007B2691"/>
    <w:rsid w:val="007B27C3"/>
    <w:rsid w:val="007B2A44"/>
    <w:rsid w:val="007B2D4A"/>
    <w:rsid w:val="007B2DF7"/>
    <w:rsid w:val="007B2E20"/>
    <w:rsid w:val="007B2F7B"/>
    <w:rsid w:val="007B2FB0"/>
    <w:rsid w:val="007B3065"/>
    <w:rsid w:val="007B3355"/>
    <w:rsid w:val="007B349C"/>
    <w:rsid w:val="007B34FC"/>
    <w:rsid w:val="007B35DB"/>
    <w:rsid w:val="007B35DC"/>
    <w:rsid w:val="007B36B6"/>
    <w:rsid w:val="007B36F4"/>
    <w:rsid w:val="007B377D"/>
    <w:rsid w:val="007B3784"/>
    <w:rsid w:val="007B38D9"/>
    <w:rsid w:val="007B39D5"/>
    <w:rsid w:val="007B3BD7"/>
    <w:rsid w:val="007B3C27"/>
    <w:rsid w:val="007B3E2F"/>
    <w:rsid w:val="007B4155"/>
    <w:rsid w:val="007B441C"/>
    <w:rsid w:val="007B4466"/>
    <w:rsid w:val="007B4524"/>
    <w:rsid w:val="007B48A3"/>
    <w:rsid w:val="007B48FD"/>
    <w:rsid w:val="007B492A"/>
    <w:rsid w:val="007B4B44"/>
    <w:rsid w:val="007B4EF7"/>
    <w:rsid w:val="007B5111"/>
    <w:rsid w:val="007B53D6"/>
    <w:rsid w:val="007B5478"/>
    <w:rsid w:val="007B5500"/>
    <w:rsid w:val="007B5779"/>
    <w:rsid w:val="007B57C1"/>
    <w:rsid w:val="007B5920"/>
    <w:rsid w:val="007B5B52"/>
    <w:rsid w:val="007B5BE0"/>
    <w:rsid w:val="007B5CA0"/>
    <w:rsid w:val="007B6265"/>
    <w:rsid w:val="007B63CC"/>
    <w:rsid w:val="007B6509"/>
    <w:rsid w:val="007B6806"/>
    <w:rsid w:val="007B6936"/>
    <w:rsid w:val="007B6976"/>
    <w:rsid w:val="007B6AAE"/>
    <w:rsid w:val="007B6C9C"/>
    <w:rsid w:val="007B6D0C"/>
    <w:rsid w:val="007B7029"/>
    <w:rsid w:val="007B70FD"/>
    <w:rsid w:val="007B75A9"/>
    <w:rsid w:val="007B7691"/>
    <w:rsid w:val="007B76E9"/>
    <w:rsid w:val="007B7776"/>
    <w:rsid w:val="007B7AD0"/>
    <w:rsid w:val="007B7C37"/>
    <w:rsid w:val="007C0185"/>
    <w:rsid w:val="007C02B9"/>
    <w:rsid w:val="007C030D"/>
    <w:rsid w:val="007C0342"/>
    <w:rsid w:val="007C03D4"/>
    <w:rsid w:val="007C07B1"/>
    <w:rsid w:val="007C085D"/>
    <w:rsid w:val="007C0962"/>
    <w:rsid w:val="007C0A5A"/>
    <w:rsid w:val="007C0B5E"/>
    <w:rsid w:val="007C0B7E"/>
    <w:rsid w:val="007C0CD6"/>
    <w:rsid w:val="007C10F4"/>
    <w:rsid w:val="007C12CE"/>
    <w:rsid w:val="007C12F7"/>
    <w:rsid w:val="007C131E"/>
    <w:rsid w:val="007C13C1"/>
    <w:rsid w:val="007C15FB"/>
    <w:rsid w:val="007C1750"/>
    <w:rsid w:val="007C1889"/>
    <w:rsid w:val="007C1BDE"/>
    <w:rsid w:val="007C1DA6"/>
    <w:rsid w:val="007C1DFD"/>
    <w:rsid w:val="007C200F"/>
    <w:rsid w:val="007C20F1"/>
    <w:rsid w:val="007C224D"/>
    <w:rsid w:val="007C23EE"/>
    <w:rsid w:val="007C240E"/>
    <w:rsid w:val="007C257E"/>
    <w:rsid w:val="007C2677"/>
    <w:rsid w:val="007C2AED"/>
    <w:rsid w:val="007C2B30"/>
    <w:rsid w:val="007C2BF9"/>
    <w:rsid w:val="007C2C61"/>
    <w:rsid w:val="007C2CE1"/>
    <w:rsid w:val="007C2DAD"/>
    <w:rsid w:val="007C2DF1"/>
    <w:rsid w:val="007C2E99"/>
    <w:rsid w:val="007C2F69"/>
    <w:rsid w:val="007C2FD8"/>
    <w:rsid w:val="007C3030"/>
    <w:rsid w:val="007C325C"/>
    <w:rsid w:val="007C35D8"/>
    <w:rsid w:val="007C35DF"/>
    <w:rsid w:val="007C3686"/>
    <w:rsid w:val="007C38F7"/>
    <w:rsid w:val="007C3909"/>
    <w:rsid w:val="007C3A78"/>
    <w:rsid w:val="007C3D19"/>
    <w:rsid w:val="007C3DF9"/>
    <w:rsid w:val="007C405A"/>
    <w:rsid w:val="007C41A9"/>
    <w:rsid w:val="007C4214"/>
    <w:rsid w:val="007C42D4"/>
    <w:rsid w:val="007C43CF"/>
    <w:rsid w:val="007C4448"/>
    <w:rsid w:val="007C492C"/>
    <w:rsid w:val="007C497E"/>
    <w:rsid w:val="007C4A17"/>
    <w:rsid w:val="007C4B43"/>
    <w:rsid w:val="007C4B88"/>
    <w:rsid w:val="007C4BD6"/>
    <w:rsid w:val="007C4BF7"/>
    <w:rsid w:val="007C4C87"/>
    <w:rsid w:val="007C4F51"/>
    <w:rsid w:val="007C5252"/>
    <w:rsid w:val="007C5280"/>
    <w:rsid w:val="007C5540"/>
    <w:rsid w:val="007C561C"/>
    <w:rsid w:val="007C562B"/>
    <w:rsid w:val="007C58BA"/>
    <w:rsid w:val="007C5941"/>
    <w:rsid w:val="007C59C0"/>
    <w:rsid w:val="007C5AF2"/>
    <w:rsid w:val="007C5C4E"/>
    <w:rsid w:val="007C5E6E"/>
    <w:rsid w:val="007C5EAA"/>
    <w:rsid w:val="007C5FD1"/>
    <w:rsid w:val="007C61B7"/>
    <w:rsid w:val="007C632A"/>
    <w:rsid w:val="007C65E5"/>
    <w:rsid w:val="007C6695"/>
    <w:rsid w:val="007C66E0"/>
    <w:rsid w:val="007C68E7"/>
    <w:rsid w:val="007C6938"/>
    <w:rsid w:val="007C6C25"/>
    <w:rsid w:val="007C6D06"/>
    <w:rsid w:val="007C6ED1"/>
    <w:rsid w:val="007C706D"/>
    <w:rsid w:val="007C70C2"/>
    <w:rsid w:val="007C710B"/>
    <w:rsid w:val="007C7249"/>
    <w:rsid w:val="007C7371"/>
    <w:rsid w:val="007C73AD"/>
    <w:rsid w:val="007C74C1"/>
    <w:rsid w:val="007C7866"/>
    <w:rsid w:val="007C79E4"/>
    <w:rsid w:val="007C7A5D"/>
    <w:rsid w:val="007C7A9F"/>
    <w:rsid w:val="007C7ECD"/>
    <w:rsid w:val="007D04B6"/>
    <w:rsid w:val="007D0532"/>
    <w:rsid w:val="007D055F"/>
    <w:rsid w:val="007D071A"/>
    <w:rsid w:val="007D075C"/>
    <w:rsid w:val="007D07C4"/>
    <w:rsid w:val="007D08B9"/>
    <w:rsid w:val="007D0A8A"/>
    <w:rsid w:val="007D0B93"/>
    <w:rsid w:val="007D0C3E"/>
    <w:rsid w:val="007D0E98"/>
    <w:rsid w:val="007D0EC1"/>
    <w:rsid w:val="007D0FA7"/>
    <w:rsid w:val="007D1064"/>
    <w:rsid w:val="007D11A9"/>
    <w:rsid w:val="007D138E"/>
    <w:rsid w:val="007D16CC"/>
    <w:rsid w:val="007D1C13"/>
    <w:rsid w:val="007D2191"/>
    <w:rsid w:val="007D21B7"/>
    <w:rsid w:val="007D2A1B"/>
    <w:rsid w:val="007D2D42"/>
    <w:rsid w:val="007D2EAD"/>
    <w:rsid w:val="007D300C"/>
    <w:rsid w:val="007D3396"/>
    <w:rsid w:val="007D35EB"/>
    <w:rsid w:val="007D374C"/>
    <w:rsid w:val="007D3818"/>
    <w:rsid w:val="007D399A"/>
    <w:rsid w:val="007D39AB"/>
    <w:rsid w:val="007D3A0F"/>
    <w:rsid w:val="007D3A13"/>
    <w:rsid w:val="007D4014"/>
    <w:rsid w:val="007D408F"/>
    <w:rsid w:val="007D41DB"/>
    <w:rsid w:val="007D4230"/>
    <w:rsid w:val="007D4242"/>
    <w:rsid w:val="007D425E"/>
    <w:rsid w:val="007D43ED"/>
    <w:rsid w:val="007D44EA"/>
    <w:rsid w:val="007D44F8"/>
    <w:rsid w:val="007D4593"/>
    <w:rsid w:val="007D4633"/>
    <w:rsid w:val="007D46B5"/>
    <w:rsid w:val="007D47C4"/>
    <w:rsid w:val="007D4836"/>
    <w:rsid w:val="007D48C3"/>
    <w:rsid w:val="007D49B4"/>
    <w:rsid w:val="007D4A36"/>
    <w:rsid w:val="007D4AB8"/>
    <w:rsid w:val="007D4C8F"/>
    <w:rsid w:val="007D4DC7"/>
    <w:rsid w:val="007D517B"/>
    <w:rsid w:val="007D5212"/>
    <w:rsid w:val="007D5291"/>
    <w:rsid w:val="007D5507"/>
    <w:rsid w:val="007D55F6"/>
    <w:rsid w:val="007D5A31"/>
    <w:rsid w:val="007D5A99"/>
    <w:rsid w:val="007D5AE2"/>
    <w:rsid w:val="007D5C2A"/>
    <w:rsid w:val="007D5CFB"/>
    <w:rsid w:val="007D5E32"/>
    <w:rsid w:val="007D608A"/>
    <w:rsid w:val="007D6158"/>
    <w:rsid w:val="007D61EF"/>
    <w:rsid w:val="007D620B"/>
    <w:rsid w:val="007D62A9"/>
    <w:rsid w:val="007D63A8"/>
    <w:rsid w:val="007D649D"/>
    <w:rsid w:val="007D64B4"/>
    <w:rsid w:val="007D6504"/>
    <w:rsid w:val="007D653C"/>
    <w:rsid w:val="007D658B"/>
    <w:rsid w:val="007D6B09"/>
    <w:rsid w:val="007D6C0A"/>
    <w:rsid w:val="007D6D29"/>
    <w:rsid w:val="007D70D2"/>
    <w:rsid w:val="007D7177"/>
    <w:rsid w:val="007D7201"/>
    <w:rsid w:val="007D7226"/>
    <w:rsid w:val="007D722E"/>
    <w:rsid w:val="007D72B1"/>
    <w:rsid w:val="007D72F5"/>
    <w:rsid w:val="007D751A"/>
    <w:rsid w:val="007D757D"/>
    <w:rsid w:val="007D75A9"/>
    <w:rsid w:val="007D777B"/>
    <w:rsid w:val="007D7AC8"/>
    <w:rsid w:val="007D7B42"/>
    <w:rsid w:val="007D7BD4"/>
    <w:rsid w:val="007D7E14"/>
    <w:rsid w:val="007D7F6D"/>
    <w:rsid w:val="007DAB40"/>
    <w:rsid w:val="007E01FA"/>
    <w:rsid w:val="007E0254"/>
    <w:rsid w:val="007E03F4"/>
    <w:rsid w:val="007E0588"/>
    <w:rsid w:val="007E0748"/>
    <w:rsid w:val="007E0766"/>
    <w:rsid w:val="007E08B0"/>
    <w:rsid w:val="007E08F6"/>
    <w:rsid w:val="007E09EC"/>
    <w:rsid w:val="007E0F03"/>
    <w:rsid w:val="007E1325"/>
    <w:rsid w:val="007E15C6"/>
    <w:rsid w:val="007E1627"/>
    <w:rsid w:val="007E178A"/>
    <w:rsid w:val="007E1AF7"/>
    <w:rsid w:val="007E1C1C"/>
    <w:rsid w:val="007E1CB2"/>
    <w:rsid w:val="007E1E91"/>
    <w:rsid w:val="007E235F"/>
    <w:rsid w:val="007E2442"/>
    <w:rsid w:val="007E250C"/>
    <w:rsid w:val="007E25B8"/>
    <w:rsid w:val="007E28CA"/>
    <w:rsid w:val="007E28CB"/>
    <w:rsid w:val="007E2936"/>
    <w:rsid w:val="007E2A1F"/>
    <w:rsid w:val="007E2C5C"/>
    <w:rsid w:val="007E2C87"/>
    <w:rsid w:val="007E2D65"/>
    <w:rsid w:val="007E2DAB"/>
    <w:rsid w:val="007E2E8C"/>
    <w:rsid w:val="007E3296"/>
    <w:rsid w:val="007E3585"/>
    <w:rsid w:val="007E363D"/>
    <w:rsid w:val="007E38EC"/>
    <w:rsid w:val="007E3A30"/>
    <w:rsid w:val="007E3A8F"/>
    <w:rsid w:val="007E3BCB"/>
    <w:rsid w:val="007E3D0D"/>
    <w:rsid w:val="007E3D4E"/>
    <w:rsid w:val="007E3DE2"/>
    <w:rsid w:val="007E3F95"/>
    <w:rsid w:val="007E3F9C"/>
    <w:rsid w:val="007E421F"/>
    <w:rsid w:val="007E4954"/>
    <w:rsid w:val="007E4B8E"/>
    <w:rsid w:val="007E4BB5"/>
    <w:rsid w:val="007E5053"/>
    <w:rsid w:val="007E5057"/>
    <w:rsid w:val="007E5118"/>
    <w:rsid w:val="007E5221"/>
    <w:rsid w:val="007E522F"/>
    <w:rsid w:val="007E53EA"/>
    <w:rsid w:val="007E5492"/>
    <w:rsid w:val="007E55F7"/>
    <w:rsid w:val="007E5610"/>
    <w:rsid w:val="007E572D"/>
    <w:rsid w:val="007E5732"/>
    <w:rsid w:val="007E598E"/>
    <w:rsid w:val="007E59E3"/>
    <w:rsid w:val="007E5A70"/>
    <w:rsid w:val="007E5A9C"/>
    <w:rsid w:val="007E5C42"/>
    <w:rsid w:val="007E5CD9"/>
    <w:rsid w:val="007E5E2E"/>
    <w:rsid w:val="007E5EFC"/>
    <w:rsid w:val="007E632A"/>
    <w:rsid w:val="007E6575"/>
    <w:rsid w:val="007E66AF"/>
    <w:rsid w:val="007E6771"/>
    <w:rsid w:val="007E6AA3"/>
    <w:rsid w:val="007E6B01"/>
    <w:rsid w:val="007E6B44"/>
    <w:rsid w:val="007E6B45"/>
    <w:rsid w:val="007E6C03"/>
    <w:rsid w:val="007E6C44"/>
    <w:rsid w:val="007E6F1E"/>
    <w:rsid w:val="007E70DE"/>
    <w:rsid w:val="007E72F1"/>
    <w:rsid w:val="007E7551"/>
    <w:rsid w:val="007E760A"/>
    <w:rsid w:val="007E770A"/>
    <w:rsid w:val="007E77C6"/>
    <w:rsid w:val="007E7800"/>
    <w:rsid w:val="007E7880"/>
    <w:rsid w:val="007E798F"/>
    <w:rsid w:val="007E799B"/>
    <w:rsid w:val="007E7A8A"/>
    <w:rsid w:val="007F0138"/>
    <w:rsid w:val="007F04FA"/>
    <w:rsid w:val="007F0879"/>
    <w:rsid w:val="007F0997"/>
    <w:rsid w:val="007F09D1"/>
    <w:rsid w:val="007F0A35"/>
    <w:rsid w:val="007F0C00"/>
    <w:rsid w:val="007F0D43"/>
    <w:rsid w:val="007F0E1F"/>
    <w:rsid w:val="007F11BA"/>
    <w:rsid w:val="007F1226"/>
    <w:rsid w:val="007F122D"/>
    <w:rsid w:val="007F12EA"/>
    <w:rsid w:val="007F14D7"/>
    <w:rsid w:val="007F1601"/>
    <w:rsid w:val="007F1715"/>
    <w:rsid w:val="007F18B3"/>
    <w:rsid w:val="007F1AEC"/>
    <w:rsid w:val="007F1CAC"/>
    <w:rsid w:val="007F1DD5"/>
    <w:rsid w:val="007F1EEA"/>
    <w:rsid w:val="007F20C3"/>
    <w:rsid w:val="007F2150"/>
    <w:rsid w:val="007F238E"/>
    <w:rsid w:val="007F2538"/>
    <w:rsid w:val="007F28B8"/>
    <w:rsid w:val="007F28E7"/>
    <w:rsid w:val="007F296E"/>
    <w:rsid w:val="007F29A0"/>
    <w:rsid w:val="007F2E59"/>
    <w:rsid w:val="007F2F21"/>
    <w:rsid w:val="007F30BA"/>
    <w:rsid w:val="007F318A"/>
    <w:rsid w:val="007F31B6"/>
    <w:rsid w:val="007F334D"/>
    <w:rsid w:val="007F3386"/>
    <w:rsid w:val="007F349A"/>
    <w:rsid w:val="007F39A5"/>
    <w:rsid w:val="007F39D3"/>
    <w:rsid w:val="007F3AB7"/>
    <w:rsid w:val="007F3AEA"/>
    <w:rsid w:val="007F3BB2"/>
    <w:rsid w:val="007F3BC0"/>
    <w:rsid w:val="007F3E01"/>
    <w:rsid w:val="007F3F5B"/>
    <w:rsid w:val="007F4177"/>
    <w:rsid w:val="007F423C"/>
    <w:rsid w:val="007F428F"/>
    <w:rsid w:val="007F449A"/>
    <w:rsid w:val="007F45B6"/>
    <w:rsid w:val="007F4622"/>
    <w:rsid w:val="007F49FD"/>
    <w:rsid w:val="007F4AAA"/>
    <w:rsid w:val="007F4B05"/>
    <w:rsid w:val="007F4B70"/>
    <w:rsid w:val="007F4BA8"/>
    <w:rsid w:val="007F4BDD"/>
    <w:rsid w:val="007F4E98"/>
    <w:rsid w:val="007F4F45"/>
    <w:rsid w:val="007F541E"/>
    <w:rsid w:val="007F546C"/>
    <w:rsid w:val="007F54D4"/>
    <w:rsid w:val="007F565D"/>
    <w:rsid w:val="007F5770"/>
    <w:rsid w:val="007F580E"/>
    <w:rsid w:val="007F5822"/>
    <w:rsid w:val="007F5886"/>
    <w:rsid w:val="007F5D66"/>
    <w:rsid w:val="007F5E2F"/>
    <w:rsid w:val="007F6030"/>
    <w:rsid w:val="007F6108"/>
    <w:rsid w:val="007F6142"/>
    <w:rsid w:val="007F6606"/>
    <w:rsid w:val="007F6AC2"/>
    <w:rsid w:val="007F6D0C"/>
    <w:rsid w:val="007F6E0D"/>
    <w:rsid w:val="007F6F3D"/>
    <w:rsid w:val="007F71C0"/>
    <w:rsid w:val="007F789F"/>
    <w:rsid w:val="007F7AF5"/>
    <w:rsid w:val="0080021B"/>
    <w:rsid w:val="0080023D"/>
    <w:rsid w:val="008002AA"/>
    <w:rsid w:val="00800307"/>
    <w:rsid w:val="00800360"/>
    <w:rsid w:val="0080046A"/>
    <w:rsid w:val="0080049A"/>
    <w:rsid w:val="00800694"/>
    <w:rsid w:val="00800803"/>
    <w:rsid w:val="00800825"/>
    <w:rsid w:val="0080088D"/>
    <w:rsid w:val="00800991"/>
    <w:rsid w:val="00800B0B"/>
    <w:rsid w:val="00800B26"/>
    <w:rsid w:val="00800FF3"/>
    <w:rsid w:val="008010F1"/>
    <w:rsid w:val="008012A2"/>
    <w:rsid w:val="00801456"/>
    <w:rsid w:val="00801485"/>
    <w:rsid w:val="00801785"/>
    <w:rsid w:val="00801951"/>
    <w:rsid w:val="00801968"/>
    <w:rsid w:val="00801AC1"/>
    <w:rsid w:val="00801C0B"/>
    <w:rsid w:val="00801C34"/>
    <w:rsid w:val="00801E27"/>
    <w:rsid w:val="008022AC"/>
    <w:rsid w:val="00802598"/>
    <w:rsid w:val="008026CF"/>
    <w:rsid w:val="00802741"/>
    <w:rsid w:val="0080286B"/>
    <w:rsid w:val="00802B96"/>
    <w:rsid w:val="00802C50"/>
    <w:rsid w:val="00802C7E"/>
    <w:rsid w:val="00803067"/>
    <w:rsid w:val="0080309D"/>
    <w:rsid w:val="00803144"/>
    <w:rsid w:val="0080316A"/>
    <w:rsid w:val="008031A6"/>
    <w:rsid w:val="008031EB"/>
    <w:rsid w:val="00803563"/>
    <w:rsid w:val="0080363A"/>
    <w:rsid w:val="0080364E"/>
    <w:rsid w:val="008036D8"/>
    <w:rsid w:val="008039D6"/>
    <w:rsid w:val="00803D21"/>
    <w:rsid w:val="00803F87"/>
    <w:rsid w:val="00803FBF"/>
    <w:rsid w:val="008040B6"/>
    <w:rsid w:val="00804122"/>
    <w:rsid w:val="0080447A"/>
    <w:rsid w:val="00804621"/>
    <w:rsid w:val="00804A95"/>
    <w:rsid w:val="00804B3A"/>
    <w:rsid w:val="00804B54"/>
    <w:rsid w:val="00804C5E"/>
    <w:rsid w:val="00804CB4"/>
    <w:rsid w:val="00804E8A"/>
    <w:rsid w:val="00804E90"/>
    <w:rsid w:val="00804F0E"/>
    <w:rsid w:val="00804FD4"/>
    <w:rsid w:val="00804FE8"/>
    <w:rsid w:val="0080506B"/>
    <w:rsid w:val="0080517E"/>
    <w:rsid w:val="008051B9"/>
    <w:rsid w:val="008051C2"/>
    <w:rsid w:val="00805253"/>
    <w:rsid w:val="008052BC"/>
    <w:rsid w:val="0080541B"/>
    <w:rsid w:val="00805790"/>
    <w:rsid w:val="00805851"/>
    <w:rsid w:val="0080585E"/>
    <w:rsid w:val="0080599D"/>
    <w:rsid w:val="00805B76"/>
    <w:rsid w:val="00805F32"/>
    <w:rsid w:val="00805FAA"/>
    <w:rsid w:val="008060B2"/>
    <w:rsid w:val="0080619F"/>
    <w:rsid w:val="0080657E"/>
    <w:rsid w:val="008065E5"/>
    <w:rsid w:val="008066D4"/>
    <w:rsid w:val="00806A6F"/>
    <w:rsid w:val="00806DD2"/>
    <w:rsid w:val="00806EBB"/>
    <w:rsid w:val="00806F58"/>
    <w:rsid w:val="00806F85"/>
    <w:rsid w:val="008070AD"/>
    <w:rsid w:val="0080713A"/>
    <w:rsid w:val="008074C7"/>
    <w:rsid w:val="00807541"/>
    <w:rsid w:val="00807568"/>
    <w:rsid w:val="008075C2"/>
    <w:rsid w:val="00807770"/>
    <w:rsid w:val="008077AC"/>
    <w:rsid w:val="008078B9"/>
    <w:rsid w:val="0080799E"/>
    <w:rsid w:val="008079F6"/>
    <w:rsid w:val="00807AB3"/>
    <w:rsid w:val="00807B8E"/>
    <w:rsid w:val="00807C57"/>
    <w:rsid w:val="00807D80"/>
    <w:rsid w:val="00807DEA"/>
    <w:rsid w:val="00810036"/>
    <w:rsid w:val="008100FB"/>
    <w:rsid w:val="00810136"/>
    <w:rsid w:val="0081082F"/>
    <w:rsid w:val="0081092D"/>
    <w:rsid w:val="00810A18"/>
    <w:rsid w:val="00810A7D"/>
    <w:rsid w:val="00810A9E"/>
    <w:rsid w:val="00810BF3"/>
    <w:rsid w:val="00811186"/>
    <w:rsid w:val="00811200"/>
    <w:rsid w:val="00811253"/>
    <w:rsid w:val="008113CF"/>
    <w:rsid w:val="008116DB"/>
    <w:rsid w:val="008116E1"/>
    <w:rsid w:val="0081178D"/>
    <w:rsid w:val="00811997"/>
    <w:rsid w:val="008119FD"/>
    <w:rsid w:val="00811D6A"/>
    <w:rsid w:val="00811F64"/>
    <w:rsid w:val="00812008"/>
    <w:rsid w:val="00812027"/>
    <w:rsid w:val="00812158"/>
    <w:rsid w:val="0081215A"/>
    <w:rsid w:val="008121E1"/>
    <w:rsid w:val="008124E0"/>
    <w:rsid w:val="0081252E"/>
    <w:rsid w:val="008126DB"/>
    <w:rsid w:val="008126DD"/>
    <w:rsid w:val="008126F7"/>
    <w:rsid w:val="00812900"/>
    <w:rsid w:val="00812A5C"/>
    <w:rsid w:val="00812C15"/>
    <w:rsid w:val="00812C32"/>
    <w:rsid w:val="00812E75"/>
    <w:rsid w:val="00812FBF"/>
    <w:rsid w:val="008130C5"/>
    <w:rsid w:val="00813317"/>
    <w:rsid w:val="0081339C"/>
    <w:rsid w:val="008135FB"/>
    <w:rsid w:val="0081390E"/>
    <w:rsid w:val="0081390F"/>
    <w:rsid w:val="00813C24"/>
    <w:rsid w:val="00813DA1"/>
    <w:rsid w:val="00813E1E"/>
    <w:rsid w:val="00813E98"/>
    <w:rsid w:val="00813F6F"/>
    <w:rsid w:val="00813F99"/>
    <w:rsid w:val="008140A5"/>
    <w:rsid w:val="00814109"/>
    <w:rsid w:val="00814166"/>
    <w:rsid w:val="008141E0"/>
    <w:rsid w:val="00814310"/>
    <w:rsid w:val="008144D6"/>
    <w:rsid w:val="0081450F"/>
    <w:rsid w:val="008149C3"/>
    <w:rsid w:val="00814B0A"/>
    <w:rsid w:val="00814C8A"/>
    <w:rsid w:val="00814D04"/>
    <w:rsid w:val="00814DBB"/>
    <w:rsid w:val="00814F4E"/>
    <w:rsid w:val="00814F8F"/>
    <w:rsid w:val="0081509C"/>
    <w:rsid w:val="00815304"/>
    <w:rsid w:val="0081547A"/>
    <w:rsid w:val="00815521"/>
    <w:rsid w:val="0081572A"/>
    <w:rsid w:val="008157E9"/>
    <w:rsid w:val="00815811"/>
    <w:rsid w:val="0081598C"/>
    <w:rsid w:val="00815BFF"/>
    <w:rsid w:val="00815D96"/>
    <w:rsid w:val="00815EC5"/>
    <w:rsid w:val="00816037"/>
    <w:rsid w:val="008160B0"/>
    <w:rsid w:val="008161C8"/>
    <w:rsid w:val="00816294"/>
    <w:rsid w:val="0081638E"/>
    <w:rsid w:val="00816414"/>
    <w:rsid w:val="0081654B"/>
    <w:rsid w:val="00816599"/>
    <w:rsid w:val="00816752"/>
    <w:rsid w:val="00816790"/>
    <w:rsid w:val="00816929"/>
    <w:rsid w:val="00816B6E"/>
    <w:rsid w:val="00816CB1"/>
    <w:rsid w:val="00816D20"/>
    <w:rsid w:val="00817596"/>
    <w:rsid w:val="008178B7"/>
    <w:rsid w:val="00817941"/>
    <w:rsid w:val="00817A07"/>
    <w:rsid w:val="00817BD8"/>
    <w:rsid w:val="00817CEB"/>
    <w:rsid w:val="00817D6D"/>
    <w:rsid w:val="00817D98"/>
    <w:rsid w:val="00817DA8"/>
    <w:rsid w:val="00817DE5"/>
    <w:rsid w:val="00817FB0"/>
    <w:rsid w:val="00820220"/>
    <w:rsid w:val="00820244"/>
    <w:rsid w:val="0082033F"/>
    <w:rsid w:val="008203CE"/>
    <w:rsid w:val="0082057C"/>
    <w:rsid w:val="008206D3"/>
    <w:rsid w:val="008206FE"/>
    <w:rsid w:val="00820A81"/>
    <w:rsid w:val="00820B16"/>
    <w:rsid w:val="00820FA5"/>
    <w:rsid w:val="008210AE"/>
    <w:rsid w:val="008210D2"/>
    <w:rsid w:val="00821104"/>
    <w:rsid w:val="008213EC"/>
    <w:rsid w:val="00821488"/>
    <w:rsid w:val="008214C2"/>
    <w:rsid w:val="00821535"/>
    <w:rsid w:val="00821558"/>
    <w:rsid w:val="0082178D"/>
    <w:rsid w:val="00821925"/>
    <w:rsid w:val="0082193B"/>
    <w:rsid w:val="00821A99"/>
    <w:rsid w:val="00821AA6"/>
    <w:rsid w:val="00821C8F"/>
    <w:rsid w:val="00821D8C"/>
    <w:rsid w:val="00821F07"/>
    <w:rsid w:val="00821F89"/>
    <w:rsid w:val="008220A0"/>
    <w:rsid w:val="008221E9"/>
    <w:rsid w:val="0082224A"/>
    <w:rsid w:val="00822382"/>
    <w:rsid w:val="008223E3"/>
    <w:rsid w:val="00822707"/>
    <w:rsid w:val="00822761"/>
    <w:rsid w:val="00822CA4"/>
    <w:rsid w:val="00822D47"/>
    <w:rsid w:val="00822E93"/>
    <w:rsid w:val="00822EDE"/>
    <w:rsid w:val="00822FA7"/>
    <w:rsid w:val="0082304B"/>
    <w:rsid w:val="00823127"/>
    <w:rsid w:val="008231C8"/>
    <w:rsid w:val="008231F3"/>
    <w:rsid w:val="0082338B"/>
    <w:rsid w:val="008235D6"/>
    <w:rsid w:val="0082360C"/>
    <w:rsid w:val="008239DF"/>
    <w:rsid w:val="00823EA4"/>
    <w:rsid w:val="00823EE4"/>
    <w:rsid w:val="008246B5"/>
    <w:rsid w:val="00824778"/>
    <w:rsid w:val="008247B6"/>
    <w:rsid w:val="00824A36"/>
    <w:rsid w:val="00825009"/>
    <w:rsid w:val="00825305"/>
    <w:rsid w:val="008253E2"/>
    <w:rsid w:val="00825450"/>
    <w:rsid w:val="00825481"/>
    <w:rsid w:val="00825610"/>
    <w:rsid w:val="00825A7B"/>
    <w:rsid w:val="00825C0A"/>
    <w:rsid w:val="00825C44"/>
    <w:rsid w:val="00825C51"/>
    <w:rsid w:val="00825ECB"/>
    <w:rsid w:val="008261DD"/>
    <w:rsid w:val="0082630B"/>
    <w:rsid w:val="00826333"/>
    <w:rsid w:val="008266CB"/>
    <w:rsid w:val="00826700"/>
    <w:rsid w:val="008267A5"/>
    <w:rsid w:val="00826A4B"/>
    <w:rsid w:val="00826B7D"/>
    <w:rsid w:val="00826FF7"/>
    <w:rsid w:val="00827035"/>
    <w:rsid w:val="00827058"/>
    <w:rsid w:val="00827121"/>
    <w:rsid w:val="008271D6"/>
    <w:rsid w:val="0082747B"/>
    <w:rsid w:val="008274C6"/>
    <w:rsid w:val="008276DF"/>
    <w:rsid w:val="0082775A"/>
    <w:rsid w:val="00827800"/>
    <w:rsid w:val="00827A53"/>
    <w:rsid w:val="00827BD0"/>
    <w:rsid w:val="00827C48"/>
    <w:rsid w:val="00827C74"/>
    <w:rsid w:val="00827E05"/>
    <w:rsid w:val="00830040"/>
    <w:rsid w:val="00830280"/>
    <w:rsid w:val="0083028D"/>
    <w:rsid w:val="008302DB"/>
    <w:rsid w:val="00830433"/>
    <w:rsid w:val="008305DB"/>
    <w:rsid w:val="008306A9"/>
    <w:rsid w:val="00830822"/>
    <w:rsid w:val="0083082F"/>
    <w:rsid w:val="00830892"/>
    <w:rsid w:val="0083092D"/>
    <w:rsid w:val="008309B0"/>
    <w:rsid w:val="00830A46"/>
    <w:rsid w:val="00830D1A"/>
    <w:rsid w:val="00830D5C"/>
    <w:rsid w:val="008310DF"/>
    <w:rsid w:val="008311EC"/>
    <w:rsid w:val="008312B5"/>
    <w:rsid w:val="00831314"/>
    <w:rsid w:val="008314C8"/>
    <w:rsid w:val="008315EC"/>
    <w:rsid w:val="00831881"/>
    <w:rsid w:val="0083193F"/>
    <w:rsid w:val="00831960"/>
    <w:rsid w:val="00831B6B"/>
    <w:rsid w:val="00831C9B"/>
    <w:rsid w:val="00831DE7"/>
    <w:rsid w:val="00831E11"/>
    <w:rsid w:val="00831E99"/>
    <w:rsid w:val="0083231C"/>
    <w:rsid w:val="00832447"/>
    <w:rsid w:val="00832558"/>
    <w:rsid w:val="0083281C"/>
    <w:rsid w:val="00832ADF"/>
    <w:rsid w:val="00832F48"/>
    <w:rsid w:val="00833144"/>
    <w:rsid w:val="008331C7"/>
    <w:rsid w:val="00833202"/>
    <w:rsid w:val="00833363"/>
    <w:rsid w:val="00833378"/>
    <w:rsid w:val="008336F8"/>
    <w:rsid w:val="00833911"/>
    <w:rsid w:val="00833B40"/>
    <w:rsid w:val="00833C3E"/>
    <w:rsid w:val="00833D69"/>
    <w:rsid w:val="00833E09"/>
    <w:rsid w:val="00833ED2"/>
    <w:rsid w:val="00833F3E"/>
    <w:rsid w:val="00833FB7"/>
    <w:rsid w:val="0083404E"/>
    <w:rsid w:val="00834173"/>
    <w:rsid w:val="0083452E"/>
    <w:rsid w:val="00834601"/>
    <w:rsid w:val="0083475A"/>
    <w:rsid w:val="00834800"/>
    <w:rsid w:val="00834883"/>
    <w:rsid w:val="00834A05"/>
    <w:rsid w:val="00834B46"/>
    <w:rsid w:val="00834C07"/>
    <w:rsid w:val="00834C8E"/>
    <w:rsid w:val="00834D60"/>
    <w:rsid w:val="00834DD2"/>
    <w:rsid w:val="00834F40"/>
    <w:rsid w:val="008351F5"/>
    <w:rsid w:val="00835216"/>
    <w:rsid w:val="0083565E"/>
    <w:rsid w:val="008357AA"/>
    <w:rsid w:val="00835A14"/>
    <w:rsid w:val="00835CB7"/>
    <w:rsid w:val="00835D0C"/>
    <w:rsid w:val="00835DFB"/>
    <w:rsid w:val="00835EDA"/>
    <w:rsid w:val="00835F66"/>
    <w:rsid w:val="00835F77"/>
    <w:rsid w:val="00836078"/>
    <w:rsid w:val="008360B4"/>
    <w:rsid w:val="00836283"/>
    <w:rsid w:val="0083628F"/>
    <w:rsid w:val="00836316"/>
    <w:rsid w:val="00836333"/>
    <w:rsid w:val="00836525"/>
    <w:rsid w:val="00836598"/>
    <w:rsid w:val="00836718"/>
    <w:rsid w:val="0083674F"/>
    <w:rsid w:val="008367BA"/>
    <w:rsid w:val="00836891"/>
    <w:rsid w:val="00836AE6"/>
    <w:rsid w:val="00836C2B"/>
    <w:rsid w:val="00836CA7"/>
    <w:rsid w:val="00836D82"/>
    <w:rsid w:val="008371AE"/>
    <w:rsid w:val="008372EF"/>
    <w:rsid w:val="00837309"/>
    <w:rsid w:val="00837430"/>
    <w:rsid w:val="008375BB"/>
    <w:rsid w:val="008375E4"/>
    <w:rsid w:val="00837720"/>
    <w:rsid w:val="008379C9"/>
    <w:rsid w:val="00837EC1"/>
    <w:rsid w:val="00837FA1"/>
    <w:rsid w:val="00840019"/>
    <w:rsid w:val="0084009F"/>
    <w:rsid w:val="0084026A"/>
    <w:rsid w:val="00840325"/>
    <w:rsid w:val="008403CB"/>
    <w:rsid w:val="008403CC"/>
    <w:rsid w:val="008403E7"/>
    <w:rsid w:val="0084051A"/>
    <w:rsid w:val="00840593"/>
    <w:rsid w:val="008405FC"/>
    <w:rsid w:val="008408C7"/>
    <w:rsid w:val="00840915"/>
    <w:rsid w:val="00840973"/>
    <w:rsid w:val="00840A33"/>
    <w:rsid w:val="00840B3C"/>
    <w:rsid w:val="00840BB8"/>
    <w:rsid w:val="00840C1C"/>
    <w:rsid w:val="00840C62"/>
    <w:rsid w:val="00840D39"/>
    <w:rsid w:val="008410A4"/>
    <w:rsid w:val="00841140"/>
    <w:rsid w:val="008411C9"/>
    <w:rsid w:val="0084123F"/>
    <w:rsid w:val="008412D6"/>
    <w:rsid w:val="008415E3"/>
    <w:rsid w:val="00841A55"/>
    <w:rsid w:val="00841B46"/>
    <w:rsid w:val="00841CFD"/>
    <w:rsid w:val="00841D33"/>
    <w:rsid w:val="00841D95"/>
    <w:rsid w:val="00841DD1"/>
    <w:rsid w:val="00841EF0"/>
    <w:rsid w:val="0084203C"/>
    <w:rsid w:val="0084206C"/>
    <w:rsid w:val="008421AE"/>
    <w:rsid w:val="00842292"/>
    <w:rsid w:val="00842295"/>
    <w:rsid w:val="0084234D"/>
    <w:rsid w:val="008423D9"/>
    <w:rsid w:val="008424E5"/>
    <w:rsid w:val="0084255D"/>
    <w:rsid w:val="0084282D"/>
    <w:rsid w:val="00842A14"/>
    <w:rsid w:val="00842CDD"/>
    <w:rsid w:val="00842D9B"/>
    <w:rsid w:val="00842F0B"/>
    <w:rsid w:val="008432BE"/>
    <w:rsid w:val="008434E1"/>
    <w:rsid w:val="00843713"/>
    <w:rsid w:val="00843807"/>
    <w:rsid w:val="008438A2"/>
    <w:rsid w:val="008439B2"/>
    <w:rsid w:val="00843BBC"/>
    <w:rsid w:val="00843C31"/>
    <w:rsid w:val="00843C53"/>
    <w:rsid w:val="00843FDC"/>
    <w:rsid w:val="00844097"/>
    <w:rsid w:val="008440B1"/>
    <w:rsid w:val="0084412D"/>
    <w:rsid w:val="00844251"/>
    <w:rsid w:val="00844490"/>
    <w:rsid w:val="0084449B"/>
    <w:rsid w:val="00844511"/>
    <w:rsid w:val="00844547"/>
    <w:rsid w:val="008445D0"/>
    <w:rsid w:val="00844609"/>
    <w:rsid w:val="0084466E"/>
    <w:rsid w:val="00844684"/>
    <w:rsid w:val="00844693"/>
    <w:rsid w:val="00844787"/>
    <w:rsid w:val="008449EA"/>
    <w:rsid w:val="00844A66"/>
    <w:rsid w:val="00844E17"/>
    <w:rsid w:val="00844E41"/>
    <w:rsid w:val="00844EB3"/>
    <w:rsid w:val="008450AA"/>
    <w:rsid w:val="008452B3"/>
    <w:rsid w:val="008453DA"/>
    <w:rsid w:val="00845430"/>
    <w:rsid w:val="00845523"/>
    <w:rsid w:val="0084555C"/>
    <w:rsid w:val="00845700"/>
    <w:rsid w:val="00845856"/>
    <w:rsid w:val="008459B2"/>
    <w:rsid w:val="00845C5E"/>
    <w:rsid w:val="008462D5"/>
    <w:rsid w:val="008463ED"/>
    <w:rsid w:val="0084671E"/>
    <w:rsid w:val="00846875"/>
    <w:rsid w:val="008468A9"/>
    <w:rsid w:val="0084697C"/>
    <w:rsid w:val="008469BA"/>
    <w:rsid w:val="00846A9B"/>
    <w:rsid w:val="00846DC7"/>
    <w:rsid w:val="00846EFF"/>
    <w:rsid w:val="00847051"/>
    <w:rsid w:val="00847076"/>
    <w:rsid w:val="008471D8"/>
    <w:rsid w:val="00847290"/>
    <w:rsid w:val="008474C5"/>
    <w:rsid w:val="008478A8"/>
    <w:rsid w:val="00847A91"/>
    <w:rsid w:val="00847BF7"/>
    <w:rsid w:val="00847D3E"/>
    <w:rsid w:val="00847EDC"/>
    <w:rsid w:val="00847F23"/>
    <w:rsid w:val="00847F41"/>
    <w:rsid w:val="00847F7A"/>
    <w:rsid w:val="00850020"/>
    <w:rsid w:val="00850126"/>
    <w:rsid w:val="00850191"/>
    <w:rsid w:val="00850306"/>
    <w:rsid w:val="0085039E"/>
    <w:rsid w:val="008505A1"/>
    <w:rsid w:val="0085071B"/>
    <w:rsid w:val="00850777"/>
    <w:rsid w:val="008507FE"/>
    <w:rsid w:val="0085098E"/>
    <w:rsid w:val="008509CC"/>
    <w:rsid w:val="00850C74"/>
    <w:rsid w:val="008510D6"/>
    <w:rsid w:val="008510F3"/>
    <w:rsid w:val="0085167C"/>
    <w:rsid w:val="00851764"/>
    <w:rsid w:val="00851A24"/>
    <w:rsid w:val="00851BFD"/>
    <w:rsid w:val="00851D89"/>
    <w:rsid w:val="00851E65"/>
    <w:rsid w:val="00851EDC"/>
    <w:rsid w:val="00851F6D"/>
    <w:rsid w:val="0085217E"/>
    <w:rsid w:val="0085220B"/>
    <w:rsid w:val="00852404"/>
    <w:rsid w:val="0085257C"/>
    <w:rsid w:val="0085272D"/>
    <w:rsid w:val="00852888"/>
    <w:rsid w:val="00852A00"/>
    <w:rsid w:val="00852C23"/>
    <w:rsid w:val="00852D0C"/>
    <w:rsid w:val="00852D63"/>
    <w:rsid w:val="00852DB9"/>
    <w:rsid w:val="00852E4E"/>
    <w:rsid w:val="00853034"/>
    <w:rsid w:val="0085326C"/>
    <w:rsid w:val="0085327B"/>
    <w:rsid w:val="008532BA"/>
    <w:rsid w:val="008534D8"/>
    <w:rsid w:val="0085381C"/>
    <w:rsid w:val="00853CA3"/>
    <w:rsid w:val="00853CF4"/>
    <w:rsid w:val="00853D58"/>
    <w:rsid w:val="00853D79"/>
    <w:rsid w:val="00853EA6"/>
    <w:rsid w:val="00853F16"/>
    <w:rsid w:val="008543A4"/>
    <w:rsid w:val="00854405"/>
    <w:rsid w:val="00854426"/>
    <w:rsid w:val="0085482D"/>
    <w:rsid w:val="008548E4"/>
    <w:rsid w:val="00854D71"/>
    <w:rsid w:val="00854F98"/>
    <w:rsid w:val="0085501D"/>
    <w:rsid w:val="0085519D"/>
    <w:rsid w:val="00855238"/>
    <w:rsid w:val="008552E9"/>
    <w:rsid w:val="008553EC"/>
    <w:rsid w:val="008555BD"/>
    <w:rsid w:val="008555D7"/>
    <w:rsid w:val="00855729"/>
    <w:rsid w:val="0085572B"/>
    <w:rsid w:val="00855881"/>
    <w:rsid w:val="0085591B"/>
    <w:rsid w:val="00855B85"/>
    <w:rsid w:val="00855D46"/>
    <w:rsid w:val="00855E0C"/>
    <w:rsid w:val="00855FB7"/>
    <w:rsid w:val="00855FCA"/>
    <w:rsid w:val="00856024"/>
    <w:rsid w:val="0085638E"/>
    <w:rsid w:val="00856395"/>
    <w:rsid w:val="008563E5"/>
    <w:rsid w:val="0085643A"/>
    <w:rsid w:val="00856455"/>
    <w:rsid w:val="008564B3"/>
    <w:rsid w:val="008567CE"/>
    <w:rsid w:val="0085683A"/>
    <w:rsid w:val="008569A5"/>
    <w:rsid w:val="00856D21"/>
    <w:rsid w:val="00857306"/>
    <w:rsid w:val="00857394"/>
    <w:rsid w:val="0085742C"/>
    <w:rsid w:val="008575AC"/>
    <w:rsid w:val="0085779D"/>
    <w:rsid w:val="00857B25"/>
    <w:rsid w:val="00857BC8"/>
    <w:rsid w:val="00857C1B"/>
    <w:rsid w:val="00857EA4"/>
    <w:rsid w:val="00860209"/>
    <w:rsid w:val="008606D9"/>
    <w:rsid w:val="00860709"/>
    <w:rsid w:val="00860786"/>
    <w:rsid w:val="008607B3"/>
    <w:rsid w:val="0086091E"/>
    <w:rsid w:val="00860B92"/>
    <w:rsid w:val="00860C6F"/>
    <w:rsid w:val="00860ED4"/>
    <w:rsid w:val="00860ED8"/>
    <w:rsid w:val="00861003"/>
    <w:rsid w:val="00861021"/>
    <w:rsid w:val="008610FA"/>
    <w:rsid w:val="008612C7"/>
    <w:rsid w:val="008612F7"/>
    <w:rsid w:val="00861575"/>
    <w:rsid w:val="0086167F"/>
    <w:rsid w:val="0086179E"/>
    <w:rsid w:val="00861979"/>
    <w:rsid w:val="00861B6D"/>
    <w:rsid w:val="00861DA1"/>
    <w:rsid w:val="00861E2E"/>
    <w:rsid w:val="00861E4E"/>
    <w:rsid w:val="008624E9"/>
    <w:rsid w:val="00862512"/>
    <w:rsid w:val="008625A5"/>
    <w:rsid w:val="008625BB"/>
    <w:rsid w:val="00862754"/>
    <w:rsid w:val="0086279A"/>
    <w:rsid w:val="00862882"/>
    <w:rsid w:val="00862AC8"/>
    <w:rsid w:val="00862B07"/>
    <w:rsid w:val="00862CCE"/>
    <w:rsid w:val="00862E04"/>
    <w:rsid w:val="00862E85"/>
    <w:rsid w:val="00862F76"/>
    <w:rsid w:val="00862FBD"/>
    <w:rsid w:val="0086323D"/>
    <w:rsid w:val="008632C0"/>
    <w:rsid w:val="008636CE"/>
    <w:rsid w:val="00863751"/>
    <w:rsid w:val="008639AC"/>
    <w:rsid w:val="00863BBE"/>
    <w:rsid w:val="00863BCB"/>
    <w:rsid w:val="00863BCF"/>
    <w:rsid w:val="00863BF9"/>
    <w:rsid w:val="00863EDB"/>
    <w:rsid w:val="00863EE1"/>
    <w:rsid w:val="00863FD5"/>
    <w:rsid w:val="00864265"/>
    <w:rsid w:val="008642BA"/>
    <w:rsid w:val="00864535"/>
    <w:rsid w:val="00864728"/>
    <w:rsid w:val="00864855"/>
    <w:rsid w:val="00864C7B"/>
    <w:rsid w:val="00864F58"/>
    <w:rsid w:val="00865019"/>
    <w:rsid w:val="008651B0"/>
    <w:rsid w:val="008652FC"/>
    <w:rsid w:val="0086546D"/>
    <w:rsid w:val="0086586E"/>
    <w:rsid w:val="008659C5"/>
    <w:rsid w:val="00865ACD"/>
    <w:rsid w:val="00865AED"/>
    <w:rsid w:val="00865C61"/>
    <w:rsid w:val="00865D52"/>
    <w:rsid w:val="00865E82"/>
    <w:rsid w:val="00865EC7"/>
    <w:rsid w:val="00865F68"/>
    <w:rsid w:val="00866287"/>
    <w:rsid w:val="00866292"/>
    <w:rsid w:val="00866319"/>
    <w:rsid w:val="0086652F"/>
    <w:rsid w:val="0086666A"/>
    <w:rsid w:val="00866777"/>
    <w:rsid w:val="008668FD"/>
    <w:rsid w:val="00866B13"/>
    <w:rsid w:val="00866D29"/>
    <w:rsid w:val="00867113"/>
    <w:rsid w:val="008674C9"/>
    <w:rsid w:val="008677B1"/>
    <w:rsid w:val="00867863"/>
    <w:rsid w:val="00867933"/>
    <w:rsid w:val="00867990"/>
    <w:rsid w:val="00867AE7"/>
    <w:rsid w:val="00867CF0"/>
    <w:rsid w:val="008700CB"/>
    <w:rsid w:val="00870126"/>
    <w:rsid w:val="00870361"/>
    <w:rsid w:val="00870594"/>
    <w:rsid w:val="00870B8E"/>
    <w:rsid w:val="00870CC3"/>
    <w:rsid w:val="00870D44"/>
    <w:rsid w:val="00870DE2"/>
    <w:rsid w:val="00870E64"/>
    <w:rsid w:val="00870EBC"/>
    <w:rsid w:val="00870F42"/>
    <w:rsid w:val="00871022"/>
    <w:rsid w:val="008710B5"/>
    <w:rsid w:val="00871148"/>
    <w:rsid w:val="00871305"/>
    <w:rsid w:val="0087135B"/>
    <w:rsid w:val="00871549"/>
    <w:rsid w:val="00871597"/>
    <w:rsid w:val="008715BC"/>
    <w:rsid w:val="00871738"/>
    <w:rsid w:val="0087178B"/>
    <w:rsid w:val="00871A6B"/>
    <w:rsid w:val="00871A6F"/>
    <w:rsid w:val="00871CBD"/>
    <w:rsid w:val="00871D89"/>
    <w:rsid w:val="00871DED"/>
    <w:rsid w:val="00871E07"/>
    <w:rsid w:val="00871E59"/>
    <w:rsid w:val="00871F4D"/>
    <w:rsid w:val="008720D6"/>
    <w:rsid w:val="008723EA"/>
    <w:rsid w:val="00872401"/>
    <w:rsid w:val="00872678"/>
    <w:rsid w:val="0087272C"/>
    <w:rsid w:val="0087272D"/>
    <w:rsid w:val="00872A05"/>
    <w:rsid w:val="00872AC4"/>
    <w:rsid w:val="00872B48"/>
    <w:rsid w:val="00872BE5"/>
    <w:rsid w:val="00872F6E"/>
    <w:rsid w:val="00872FD6"/>
    <w:rsid w:val="00873055"/>
    <w:rsid w:val="0087305B"/>
    <w:rsid w:val="0087307A"/>
    <w:rsid w:val="00873428"/>
    <w:rsid w:val="00873495"/>
    <w:rsid w:val="008734A9"/>
    <w:rsid w:val="00873676"/>
    <w:rsid w:val="0087405A"/>
    <w:rsid w:val="008745E2"/>
    <w:rsid w:val="0087467D"/>
    <w:rsid w:val="008746D6"/>
    <w:rsid w:val="008748B5"/>
    <w:rsid w:val="00874BF5"/>
    <w:rsid w:val="00874CC7"/>
    <w:rsid w:val="00874D71"/>
    <w:rsid w:val="00875257"/>
    <w:rsid w:val="008752A6"/>
    <w:rsid w:val="00875380"/>
    <w:rsid w:val="00875668"/>
    <w:rsid w:val="008756C3"/>
    <w:rsid w:val="0087595C"/>
    <w:rsid w:val="00875AB0"/>
    <w:rsid w:val="00875B6C"/>
    <w:rsid w:val="00875C40"/>
    <w:rsid w:val="0087605C"/>
    <w:rsid w:val="008760DE"/>
    <w:rsid w:val="008761CC"/>
    <w:rsid w:val="00876376"/>
    <w:rsid w:val="008763E9"/>
    <w:rsid w:val="00876410"/>
    <w:rsid w:val="00876415"/>
    <w:rsid w:val="008764D5"/>
    <w:rsid w:val="00876598"/>
    <w:rsid w:val="008765A9"/>
    <w:rsid w:val="00876600"/>
    <w:rsid w:val="00876617"/>
    <w:rsid w:val="0087662A"/>
    <w:rsid w:val="0087664D"/>
    <w:rsid w:val="008766EF"/>
    <w:rsid w:val="00876810"/>
    <w:rsid w:val="00876900"/>
    <w:rsid w:val="008769C3"/>
    <w:rsid w:val="00876AC1"/>
    <w:rsid w:val="00876BA1"/>
    <w:rsid w:val="00876CB5"/>
    <w:rsid w:val="00876FD5"/>
    <w:rsid w:val="0087727E"/>
    <w:rsid w:val="00877315"/>
    <w:rsid w:val="0087741D"/>
    <w:rsid w:val="008776B0"/>
    <w:rsid w:val="00877782"/>
    <w:rsid w:val="0087796F"/>
    <w:rsid w:val="00877D8B"/>
    <w:rsid w:val="00877FA0"/>
    <w:rsid w:val="0088003B"/>
    <w:rsid w:val="008801B3"/>
    <w:rsid w:val="00880441"/>
    <w:rsid w:val="00880492"/>
    <w:rsid w:val="00880BA9"/>
    <w:rsid w:val="00880CE0"/>
    <w:rsid w:val="0088112D"/>
    <w:rsid w:val="00881289"/>
    <w:rsid w:val="0088140F"/>
    <w:rsid w:val="008814AB"/>
    <w:rsid w:val="0088152C"/>
    <w:rsid w:val="00881571"/>
    <w:rsid w:val="0088157E"/>
    <w:rsid w:val="00881629"/>
    <w:rsid w:val="0088162C"/>
    <w:rsid w:val="008816C7"/>
    <w:rsid w:val="00881951"/>
    <w:rsid w:val="00881A62"/>
    <w:rsid w:val="00881B2E"/>
    <w:rsid w:val="00881DD2"/>
    <w:rsid w:val="00881FA6"/>
    <w:rsid w:val="00882322"/>
    <w:rsid w:val="00882465"/>
    <w:rsid w:val="00882485"/>
    <w:rsid w:val="0088267B"/>
    <w:rsid w:val="00882787"/>
    <w:rsid w:val="008828D0"/>
    <w:rsid w:val="00882A60"/>
    <w:rsid w:val="00882C83"/>
    <w:rsid w:val="00882D73"/>
    <w:rsid w:val="00882DE4"/>
    <w:rsid w:val="00882F28"/>
    <w:rsid w:val="00882F5D"/>
    <w:rsid w:val="00882F92"/>
    <w:rsid w:val="00883393"/>
    <w:rsid w:val="00883497"/>
    <w:rsid w:val="0088356F"/>
    <w:rsid w:val="0088367B"/>
    <w:rsid w:val="0088392A"/>
    <w:rsid w:val="00883C09"/>
    <w:rsid w:val="00883C3C"/>
    <w:rsid w:val="00883CD6"/>
    <w:rsid w:val="00883CF7"/>
    <w:rsid w:val="00883EA2"/>
    <w:rsid w:val="00883EE0"/>
    <w:rsid w:val="008842AC"/>
    <w:rsid w:val="00884437"/>
    <w:rsid w:val="0088475A"/>
    <w:rsid w:val="008848FF"/>
    <w:rsid w:val="0088494C"/>
    <w:rsid w:val="00884C02"/>
    <w:rsid w:val="00884C07"/>
    <w:rsid w:val="00884EE2"/>
    <w:rsid w:val="00884FB7"/>
    <w:rsid w:val="008851C1"/>
    <w:rsid w:val="008851F2"/>
    <w:rsid w:val="008852E6"/>
    <w:rsid w:val="008853CE"/>
    <w:rsid w:val="0088545B"/>
    <w:rsid w:val="0088545E"/>
    <w:rsid w:val="0088560F"/>
    <w:rsid w:val="008856E8"/>
    <w:rsid w:val="008858EB"/>
    <w:rsid w:val="00885AF2"/>
    <w:rsid w:val="00885B77"/>
    <w:rsid w:val="00885E1B"/>
    <w:rsid w:val="00885EAE"/>
    <w:rsid w:val="00885EC3"/>
    <w:rsid w:val="00886199"/>
    <w:rsid w:val="008861DD"/>
    <w:rsid w:val="00886291"/>
    <w:rsid w:val="00886332"/>
    <w:rsid w:val="00886445"/>
    <w:rsid w:val="00886498"/>
    <w:rsid w:val="008865D1"/>
    <w:rsid w:val="0088660E"/>
    <w:rsid w:val="008867A1"/>
    <w:rsid w:val="008868BA"/>
    <w:rsid w:val="00886904"/>
    <w:rsid w:val="00886C22"/>
    <w:rsid w:val="00886C98"/>
    <w:rsid w:val="00886D02"/>
    <w:rsid w:val="00886E02"/>
    <w:rsid w:val="00886FA8"/>
    <w:rsid w:val="00887083"/>
    <w:rsid w:val="00887222"/>
    <w:rsid w:val="00887243"/>
    <w:rsid w:val="0088727F"/>
    <w:rsid w:val="00887608"/>
    <w:rsid w:val="0088782F"/>
    <w:rsid w:val="00887840"/>
    <w:rsid w:val="00887858"/>
    <w:rsid w:val="008878EB"/>
    <w:rsid w:val="00887903"/>
    <w:rsid w:val="00887935"/>
    <w:rsid w:val="00887A8A"/>
    <w:rsid w:val="00887A9C"/>
    <w:rsid w:val="00887C8A"/>
    <w:rsid w:val="00887E3C"/>
    <w:rsid w:val="008900C4"/>
    <w:rsid w:val="0089019E"/>
    <w:rsid w:val="00890230"/>
    <w:rsid w:val="008903BB"/>
    <w:rsid w:val="008906B5"/>
    <w:rsid w:val="0089085D"/>
    <w:rsid w:val="00890A92"/>
    <w:rsid w:val="00890DF6"/>
    <w:rsid w:val="00890E4D"/>
    <w:rsid w:val="00890FC8"/>
    <w:rsid w:val="008910CB"/>
    <w:rsid w:val="00891326"/>
    <w:rsid w:val="00891330"/>
    <w:rsid w:val="0089148B"/>
    <w:rsid w:val="008914B6"/>
    <w:rsid w:val="0089154F"/>
    <w:rsid w:val="0089158E"/>
    <w:rsid w:val="00891623"/>
    <w:rsid w:val="00891643"/>
    <w:rsid w:val="00891766"/>
    <w:rsid w:val="0089177F"/>
    <w:rsid w:val="00891794"/>
    <w:rsid w:val="00891902"/>
    <w:rsid w:val="00891AD9"/>
    <w:rsid w:val="00891B04"/>
    <w:rsid w:val="00891CDA"/>
    <w:rsid w:val="00891DC9"/>
    <w:rsid w:val="0089206D"/>
    <w:rsid w:val="00892273"/>
    <w:rsid w:val="0089238D"/>
    <w:rsid w:val="008925B6"/>
    <w:rsid w:val="008925C7"/>
    <w:rsid w:val="008925CD"/>
    <w:rsid w:val="008926FD"/>
    <w:rsid w:val="008928B0"/>
    <w:rsid w:val="008928EB"/>
    <w:rsid w:val="00892A62"/>
    <w:rsid w:val="00892D32"/>
    <w:rsid w:val="00892D70"/>
    <w:rsid w:val="00892EFD"/>
    <w:rsid w:val="0089301C"/>
    <w:rsid w:val="0089339A"/>
    <w:rsid w:val="008933D8"/>
    <w:rsid w:val="00893515"/>
    <w:rsid w:val="00893744"/>
    <w:rsid w:val="00893817"/>
    <w:rsid w:val="00893A4B"/>
    <w:rsid w:val="00893F44"/>
    <w:rsid w:val="00893F5A"/>
    <w:rsid w:val="00893F8A"/>
    <w:rsid w:val="0089418C"/>
    <w:rsid w:val="00894308"/>
    <w:rsid w:val="0089434B"/>
    <w:rsid w:val="008944D2"/>
    <w:rsid w:val="0089473F"/>
    <w:rsid w:val="0089480E"/>
    <w:rsid w:val="00894936"/>
    <w:rsid w:val="008949AE"/>
    <w:rsid w:val="00894ABC"/>
    <w:rsid w:val="00894ACE"/>
    <w:rsid w:val="00894C5B"/>
    <w:rsid w:val="00894D31"/>
    <w:rsid w:val="008953ED"/>
    <w:rsid w:val="00895603"/>
    <w:rsid w:val="008956A2"/>
    <w:rsid w:val="008958AD"/>
    <w:rsid w:val="008958EF"/>
    <w:rsid w:val="00895971"/>
    <w:rsid w:val="00895AC3"/>
    <w:rsid w:val="00895E8C"/>
    <w:rsid w:val="00895EB1"/>
    <w:rsid w:val="00895EF4"/>
    <w:rsid w:val="00895F6F"/>
    <w:rsid w:val="00895FF2"/>
    <w:rsid w:val="00896082"/>
    <w:rsid w:val="0089612F"/>
    <w:rsid w:val="00896162"/>
    <w:rsid w:val="00896248"/>
    <w:rsid w:val="00896497"/>
    <w:rsid w:val="0089652E"/>
    <w:rsid w:val="00896545"/>
    <w:rsid w:val="00896669"/>
    <w:rsid w:val="0089680E"/>
    <w:rsid w:val="0089681E"/>
    <w:rsid w:val="008969B9"/>
    <w:rsid w:val="00896D16"/>
    <w:rsid w:val="00896EF3"/>
    <w:rsid w:val="00896F8E"/>
    <w:rsid w:val="008970C5"/>
    <w:rsid w:val="0089717C"/>
    <w:rsid w:val="008971D5"/>
    <w:rsid w:val="00897228"/>
    <w:rsid w:val="00897356"/>
    <w:rsid w:val="00897845"/>
    <w:rsid w:val="00897F13"/>
    <w:rsid w:val="008A0002"/>
    <w:rsid w:val="008A0015"/>
    <w:rsid w:val="008A00C4"/>
    <w:rsid w:val="008A04CC"/>
    <w:rsid w:val="008A053D"/>
    <w:rsid w:val="008A0583"/>
    <w:rsid w:val="008A0864"/>
    <w:rsid w:val="008A0CCE"/>
    <w:rsid w:val="008A0E9B"/>
    <w:rsid w:val="008A111E"/>
    <w:rsid w:val="008A1508"/>
    <w:rsid w:val="008A168E"/>
    <w:rsid w:val="008A1C38"/>
    <w:rsid w:val="008A1CA8"/>
    <w:rsid w:val="008A1DC0"/>
    <w:rsid w:val="008A1DD0"/>
    <w:rsid w:val="008A1DF2"/>
    <w:rsid w:val="008A1F18"/>
    <w:rsid w:val="008A1F45"/>
    <w:rsid w:val="008A228A"/>
    <w:rsid w:val="008A234E"/>
    <w:rsid w:val="008A25F1"/>
    <w:rsid w:val="008A2940"/>
    <w:rsid w:val="008A29F1"/>
    <w:rsid w:val="008A2A0A"/>
    <w:rsid w:val="008A2B1F"/>
    <w:rsid w:val="008A3081"/>
    <w:rsid w:val="008A30C5"/>
    <w:rsid w:val="008A356F"/>
    <w:rsid w:val="008A3799"/>
    <w:rsid w:val="008A4186"/>
    <w:rsid w:val="008A41FD"/>
    <w:rsid w:val="008A4215"/>
    <w:rsid w:val="008A44BF"/>
    <w:rsid w:val="008A45B4"/>
    <w:rsid w:val="008A489F"/>
    <w:rsid w:val="008A4E16"/>
    <w:rsid w:val="008A507F"/>
    <w:rsid w:val="008A52B0"/>
    <w:rsid w:val="008A5350"/>
    <w:rsid w:val="008A56C9"/>
    <w:rsid w:val="008A56D8"/>
    <w:rsid w:val="008A579A"/>
    <w:rsid w:val="008A59A1"/>
    <w:rsid w:val="008A59F0"/>
    <w:rsid w:val="008A5A88"/>
    <w:rsid w:val="008A5B6D"/>
    <w:rsid w:val="008A5D8B"/>
    <w:rsid w:val="008A5DFF"/>
    <w:rsid w:val="008A603C"/>
    <w:rsid w:val="008A60BF"/>
    <w:rsid w:val="008A6101"/>
    <w:rsid w:val="008A62E9"/>
    <w:rsid w:val="008A64E0"/>
    <w:rsid w:val="008A655D"/>
    <w:rsid w:val="008A6665"/>
    <w:rsid w:val="008A66F7"/>
    <w:rsid w:val="008A68A2"/>
    <w:rsid w:val="008A6AF3"/>
    <w:rsid w:val="008A6EBE"/>
    <w:rsid w:val="008A6F61"/>
    <w:rsid w:val="008A707A"/>
    <w:rsid w:val="008A721B"/>
    <w:rsid w:val="008A7387"/>
    <w:rsid w:val="008A73FD"/>
    <w:rsid w:val="008A77AC"/>
    <w:rsid w:val="008A7ABF"/>
    <w:rsid w:val="008A7B01"/>
    <w:rsid w:val="008A7C9E"/>
    <w:rsid w:val="008B0048"/>
    <w:rsid w:val="008B0073"/>
    <w:rsid w:val="008B01CE"/>
    <w:rsid w:val="008B0353"/>
    <w:rsid w:val="008B0387"/>
    <w:rsid w:val="008B0729"/>
    <w:rsid w:val="008B07E8"/>
    <w:rsid w:val="008B08B7"/>
    <w:rsid w:val="008B0AA5"/>
    <w:rsid w:val="008B1188"/>
    <w:rsid w:val="008B19D3"/>
    <w:rsid w:val="008B1D97"/>
    <w:rsid w:val="008B1EF0"/>
    <w:rsid w:val="008B2029"/>
    <w:rsid w:val="008B20D3"/>
    <w:rsid w:val="008B2118"/>
    <w:rsid w:val="008B220E"/>
    <w:rsid w:val="008B2351"/>
    <w:rsid w:val="008B2365"/>
    <w:rsid w:val="008B2419"/>
    <w:rsid w:val="008B2480"/>
    <w:rsid w:val="008B24C1"/>
    <w:rsid w:val="008B24E4"/>
    <w:rsid w:val="008B26AF"/>
    <w:rsid w:val="008B27B3"/>
    <w:rsid w:val="008B28F9"/>
    <w:rsid w:val="008B2950"/>
    <w:rsid w:val="008B2BCC"/>
    <w:rsid w:val="008B2D90"/>
    <w:rsid w:val="008B2D9D"/>
    <w:rsid w:val="008B2F0C"/>
    <w:rsid w:val="008B2F29"/>
    <w:rsid w:val="008B319C"/>
    <w:rsid w:val="008B32AA"/>
    <w:rsid w:val="008B3327"/>
    <w:rsid w:val="008B344B"/>
    <w:rsid w:val="008B3512"/>
    <w:rsid w:val="008B35FB"/>
    <w:rsid w:val="008B3D1B"/>
    <w:rsid w:val="008B3D35"/>
    <w:rsid w:val="008B3D40"/>
    <w:rsid w:val="008B3E14"/>
    <w:rsid w:val="008B433B"/>
    <w:rsid w:val="008B44CE"/>
    <w:rsid w:val="008B467F"/>
    <w:rsid w:val="008B4817"/>
    <w:rsid w:val="008B4831"/>
    <w:rsid w:val="008B48EE"/>
    <w:rsid w:val="008B493B"/>
    <w:rsid w:val="008B4BDD"/>
    <w:rsid w:val="008B4D44"/>
    <w:rsid w:val="008B4D5B"/>
    <w:rsid w:val="008B4E17"/>
    <w:rsid w:val="008B4E8F"/>
    <w:rsid w:val="008B4FE0"/>
    <w:rsid w:val="008B52AD"/>
    <w:rsid w:val="008B546A"/>
    <w:rsid w:val="008B56F9"/>
    <w:rsid w:val="008B5880"/>
    <w:rsid w:val="008B5A0A"/>
    <w:rsid w:val="008B5A51"/>
    <w:rsid w:val="008B5A99"/>
    <w:rsid w:val="008B5B1E"/>
    <w:rsid w:val="008B5BE4"/>
    <w:rsid w:val="008B5EC8"/>
    <w:rsid w:val="008B5F20"/>
    <w:rsid w:val="008B5F30"/>
    <w:rsid w:val="008B6011"/>
    <w:rsid w:val="008B631A"/>
    <w:rsid w:val="008B63B8"/>
    <w:rsid w:val="008B63DA"/>
    <w:rsid w:val="008B64A3"/>
    <w:rsid w:val="008B65C6"/>
    <w:rsid w:val="008B6632"/>
    <w:rsid w:val="008B675D"/>
    <w:rsid w:val="008B6839"/>
    <w:rsid w:val="008B68A6"/>
    <w:rsid w:val="008B69E6"/>
    <w:rsid w:val="008B6BA1"/>
    <w:rsid w:val="008B6C6B"/>
    <w:rsid w:val="008B6CEE"/>
    <w:rsid w:val="008B6CF6"/>
    <w:rsid w:val="008B6D68"/>
    <w:rsid w:val="008B6D6C"/>
    <w:rsid w:val="008B6DBE"/>
    <w:rsid w:val="008B70EE"/>
    <w:rsid w:val="008B7167"/>
    <w:rsid w:val="008B73E3"/>
    <w:rsid w:val="008B749A"/>
    <w:rsid w:val="008B7603"/>
    <w:rsid w:val="008B77AA"/>
    <w:rsid w:val="008B78FE"/>
    <w:rsid w:val="008B7AE2"/>
    <w:rsid w:val="008B7CDC"/>
    <w:rsid w:val="008B7CE2"/>
    <w:rsid w:val="008B7E25"/>
    <w:rsid w:val="008C0102"/>
    <w:rsid w:val="008C023E"/>
    <w:rsid w:val="008C0549"/>
    <w:rsid w:val="008C067C"/>
    <w:rsid w:val="008C07E6"/>
    <w:rsid w:val="008C0912"/>
    <w:rsid w:val="008C0A4B"/>
    <w:rsid w:val="008C0AC7"/>
    <w:rsid w:val="008C0E2F"/>
    <w:rsid w:val="008C0F8B"/>
    <w:rsid w:val="008C1009"/>
    <w:rsid w:val="008C119D"/>
    <w:rsid w:val="008C1202"/>
    <w:rsid w:val="008C146D"/>
    <w:rsid w:val="008C173F"/>
    <w:rsid w:val="008C17D3"/>
    <w:rsid w:val="008C17EC"/>
    <w:rsid w:val="008C185C"/>
    <w:rsid w:val="008C18CD"/>
    <w:rsid w:val="008C19C9"/>
    <w:rsid w:val="008C1EA6"/>
    <w:rsid w:val="008C1FBC"/>
    <w:rsid w:val="008C22EC"/>
    <w:rsid w:val="008C2309"/>
    <w:rsid w:val="008C23D5"/>
    <w:rsid w:val="008C2400"/>
    <w:rsid w:val="008C2464"/>
    <w:rsid w:val="008C257E"/>
    <w:rsid w:val="008C2719"/>
    <w:rsid w:val="008C282D"/>
    <w:rsid w:val="008C2874"/>
    <w:rsid w:val="008C2CCA"/>
    <w:rsid w:val="008C2FCB"/>
    <w:rsid w:val="008C3160"/>
    <w:rsid w:val="008C31C2"/>
    <w:rsid w:val="008C3318"/>
    <w:rsid w:val="008C3385"/>
    <w:rsid w:val="008C3466"/>
    <w:rsid w:val="008C350C"/>
    <w:rsid w:val="008C35F3"/>
    <w:rsid w:val="008C35FF"/>
    <w:rsid w:val="008C3A7F"/>
    <w:rsid w:val="008C3BDD"/>
    <w:rsid w:val="008C3C4E"/>
    <w:rsid w:val="008C3C82"/>
    <w:rsid w:val="008C3D23"/>
    <w:rsid w:val="008C3DE8"/>
    <w:rsid w:val="008C4241"/>
    <w:rsid w:val="008C429F"/>
    <w:rsid w:val="008C483C"/>
    <w:rsid w:val="008C496F"/>
    <w:rsid w:val="008C4AB8"/>
    <w:rsid w:val="008C4B1D"/>
    <w:rsid w:val="008C4C13"/>
    <w:rsid w:val="008C4C34"/>
    <w:rsid w:val="008C4F3F"/>
    <w:rsid w:val="008C4FC8"/>
    <w:rsid w:val="008C4FF2"/>
    <w:rsid w:val="008C50D7"/>
    <w:rsid w:val="008C51A7"/>
    <w:rsid w:val="008C53E6"/>
    <w:rsid w:val="008C548F"/>
    <w:rsid w:val="008C5564"/>
    <w:rsid w:val="008C56D4"/>
    <w:rsid w:val="008C5AC6"/>
    <w:rsid w:val="008C5B27"/>
    <w:rsid w:val="008C5C2C"/>
    <w:rsid w:val="008C5EE0"/>
    <w:rsid w:val="008C60A2"/>
    <w:rsid w:val="008C60CF"/>
    <w:rsid w:val="008C6148"/>
    <w:rsid w:val="008C6298"/>
    <w:rsid w:val="008C62E7"/>
    <w:rsid w:val="008C63C3"/>
    <w:rsid w:val="008C6672"/>
    <w:rsid w:val="008C682E"/>
    <w:rsid w:val="008C6934"/>
    <w:rsid w:val="008C6935"/>
    <w:rsid w:val="008C6D94"/>
    <w:rsid w:val="008C6DCE"/>
    <w:rsid w:val="008C6E8A"/>
    <w:rsid w:val="008C70D7"/>
    <w:rsid w:val="008C716C"/>
    <w:rsid w:val="008C72C9"/>
    <w:rsid w:val="008C745F"/>
    <w:rsid w:val="008C75D4"/>
    <w:rsid w:val="008C779F"/>
    <w:rsid w:val="008C795B"/>
    <w:rsid w:val="008C79C1"/>
    <w:rsid w:val="008C79DB"/>
    <w:rsid w:val="008C7B5D"/>
    <w:rsid w:val="008C7B8B"/>
    <w:rsid w:val="008C7D40"/>
    <w:rsid w:val="008C7D45"/>
    <w:rsid w:val="008C7D5A"/>
    <w:rsid w:val="008C7D8C"/>
    <w:rsid w:val="008C7F3A"/>
    <w:rsid w:val="008D0055"/>
    <w:rsid w:val="008D0198"/>
    <w:rsid w:val="008D02D1"/>
    <w:rsid w:val="008D0441"/>
    <w:rsid w:val="008D0642"/>
    <w:rsid w:val="008D068D"/>
    <w:rsid w:val="008D06BF"/>
    <w:rsid w:val="008D06CF"/>
    <w:rsid w:val="008D0ADF"/>
    <w:rsid w:val="008D0AEF"/>
    <w:rsid w:val="008D0B31"/>
    <w:rsid w:val="008D0F75"/>
    <w:rsid w:val="008D112A"/>
    <w:rsid w:val="008D11CB"/>
    <w:rsid w:val="008D1223"/>
    <w:rsid w:val="008D132F"/>
    <w:rsid w:val="008D13D9"/>
    <w:rsid w:val="008D14B3"/>
    <w:rsid w:val="008D15D4"/>
    <w:rsid w:val="008D160B"/>
    <w:rsid w:val="008D1652"/>
    <w:rsid w:val="008D165C"/>
    <w:rsid w:val="008D1759"/>
    <w:rsid w:val="008D178D"/>
    <w:rsid w:val="008D1803"/>
    <w:rsid w:val="008D1C7B"/>
    <w:rsid w:val="008D1D2A"/>
    <w:rsid w:val="008D1EE8"/>
    <w:rsid w:val="008D1EF2"/>
    <w:rsid w:val="008D2088"/>
    <w:rsid w:val="008D2098"/>
    <w:rsid w:val="008D21A7"/>
    <w:rsid w:val="008D230D"/>
    <w:rsid w:val="008D2317"/>
    <w:rsid w:val="008D2361"/>
    <w:rsid w:val="008D249B"/>
    <w:rsid w:val="008D24A8"/>
    <w:rsid w:val="008D255D"/>
    <w:rsid w:val="008D26C4"/>
    <w:rsid w:val="008D2701"/>
    <w:rsid w:val="008D275F"/>
    <w:rsid w:val="008D29B0"/>
    <w:rsid w:val="008D2B9C"/>
    <w:rsid w:val="008D2B9E"/>
    <w:rsid w:val="008D2C28"/>
    <w:rsid w:val="008D2DB5"/>
    <w:rsid w:val="008D3095"/>
    <w:rsid w:val="008D3119"/>
    <w:rsid w:val="008D31DA"/>
    <w:rsid w:val="008D333B"/>
    <w:rsid w:val="008D33F4"/>
    <w:rsid w:val="008D35E2"/>
    <w:rsid w:val="008D3B96"/>
    <w:rsid w:val="008D3BB8"/>
    <w:rsid w:val="008D3F11"/>
    <w:rsid w:val="008D40AC"/>
    <w:rsid w:val="008D40C3"/>
    <w:rsid w:val="008D4272"/>
    <w:rsid w:val="008D4323"/>
    <w:rsid w:val="008D4730"/>
    <w:rsid w:val="008D48F6"/>
    <w:rsid w:val="008D4AC8"/>
    <w:rsid w:val="008D4D36"/>
    <w:rsid w:val="008D4E0E"/>
    <w:rsid w:val="008D5196"/>
    <w:rsid w:val="008D51AC"/>
    <w:rsid w:val="008D51EE"/>
    <w:rsid w:val="008D5235"/>
    <w:rsid w:val="008D5386"/>
    <w:rsid w:val="008D54F7"/>
    <w:rsid w:val="008D5789"/>
    <w:rsid w:val="008D580C"/>
    <w:rsid w:val="008D5AFB"/>
    <w:rsid w:val="008D5C6C"/>
    <w:rsid w:val="008D5CA9"/>
    <w:rsid w:val="008D5D03"/>
    <w:rsid w:val="008D5EF2"/>
    <w:rsid w:val="008D609B"/>
    <w:rsid w:val="008D610B"/>
    <w:rsid w:val="008D61EE"/>
    <w:rsid w:val="008D64CA"/>
    <w:rsid w:val="008D6C8C"/>
    <w:rsid w:val="008D6DD9"/>
    <w:rsid w:val="008D6DF0"/>
    <w:rsid w:val="008D7024"/>
    <w:rsid w:val="008D7194"/>
    <w:rsid w:val="008D71A2"/>
    <w:rsid w:val="008D7255"/>
    <w:rsid w:val="008D7432"/>
    <w:rsid w:val="008D75A7"/>
    <w:rsid w:val="008D7786"/>
    <w:rsid w:val="008D79BA"/>
    <w:rsid w:val="008D7A9C"/>
    <w:rsid w:val="008D7B90"/>
    <w:rsid w:val="008D7EE7"/>
    <w:rsid w:val="008E0015"/>
    <w:rsid w:val="008E002A"/>
    <w:rsid w:val="008E00E2"/>
    <w:rsid w:val="008E0429"/>
    <w:rsid w:val="008E0892"/>
    <w:rsid w:val="008E0AA4"/>
    <w:rsid w:val="008E0B2E"/>
    <w:rsid w:val="008E0D24"/>
    <w:rsid w:val="008E0DFF"/>
    <w:rsid w:val="008E0EFD"/>
    <w:rsid w:val="008E12E6"/>
    <w:rsid w:val="008E14F8"/>
    <w:rsid w:val="008E1681"/>
    <w:rsid w:val="008E16D8"/>
    <w:rsid w:val="008E174D"/>
    <w:rsid w:val="008E1790"/>
    <w:rsid w:val="008E1A5D"/>
    <w:rsid w:val="008E1AA9"/>
    <w:rsid w:val="008E1B5E"/>
    <w:rsid w:val="008E1BC7"/>
    <w:rsid w:val="008E200E"/>
    <w:rsid w:val="008E2169"/>
    <w:rsid w:val="008E222F"/>
    <w:rsid w:val="008E22BB"/>
    <w:rsid w:val="008E23EE"/>
    <w:rsid w:val="008E241F"/>
    <w:rsid w:val="008E2481"/>
    <w:rsid w:val="008E2678"/>
    <w:rsid w:val="008E27C2"/>
    <w:rsid w:val="008E27F2"/>
    <w:rsid w:val="008E28F6"/>
    <w:rsid w:val="008E293D"/>
    <w:rsid w:val="008E2979"/>
    <w:rsid w:val="008E298C"/>
    <w:rsid w:val="008E2B6D"/>
    <w:rsid w:val="008E2EF8"/>
    <w:rsid w:val="008E32B5"/>
    <w:rsid w:val="008E3314"/>
    <w:rsid w:val="008E3357"/>
    <w:rsid w:val="008E335B"/>
    <w:rsid w:val="008E3395"/>
    <w:rsid w:val="008E346E"/>
    <w:rsid w:val="008E3591"/>
    <w:rsid w:val="008E3648"/>
    <w:rsid w:val="008E3663"/>
    <w:rsid w:val="008E3803"/>
    <w:rsid w:val="008E3872"/>
    <w:rsid w:val="008E3C26"/>
    <w:rsid w:val="008E3D28"/>
    <w:rsid w:val="008E3D8F"/>
    <w:rsid w:val="008E3D92"/>
    <w:rsid w:val="008E3ECA"/>
    <w:rsid w:val="008E3EFE"/>
    <w:rsid w:val="008E46D6"/>
    <w:rsid w:val="008E4734"/>
    <w:rsid w:val="008E4DCA"/>
    <w:rsid w:val="008E4E2A"/>
    <w:rsid w:val="008E4E43"/>
    <w:rsid w:val="008E4FDE"/>
    <w:rsid w:val="008E50F7"/>
    <w:rsid w:val="008E5114"/>
    <w:rsid w:val="008E5173"/>
    <w:rsid w:val="008E549D"/>
    <w:rsid w:val="008E559D"/>
    <w:rsid w:val="008E55ED"/>
    <w:rsid w:val="008E5882"/>
    <w:rsid w:val="008E5938"/>
    <w:rsid w:val="008E5975"/>
    <w:rsid w:val="008E5B43"/>
    <w:rsid w:val="008E5D9C"/>
    <w:rsid w:val="008E6442"/>
    <w:rsid w:val="008E64E7"/>
    <w:rsid w:val="008E653A"/>
    <w:rsid w:val="008E657C"/>
    <w:rsid w:val="008E68A6"/>
    <w:rsid w:val="008E68F4"/>
    <w:rsid w:val="008E6958"/>
    <w:rsid w:val="008E6E75"/>
    <w:rsid w:val="008E6ED3"/>
    <w:rsid w:val="008E70A6"/>
    <w:rsid w:val="008E70F0"/>
    <w:rsid w:val="008E7210"/>
    <w:rsid w:val="008E7545"/>
    <w:rsid w:val="008E7743"/>
    <w:rsid w:val="008E7845"/>
    <w:rsid w:val="008E7BC3"/>
    <w:rsid w:val="008E7D4B"/>
    <w:rsid w:val="008E7D98"/>
    <w:rsid w:val="008E7DA9"/>
    <w:rsid w:val="008E7F05"/>
    <w:rsid w:val="008E7F84"/>
    <w:rsid w:val="008E7F97"/>
    <w:rsid w:val="008E7FE8"/>
    <w:rsid w:val="008F0127"/>
    <w:rsid w:val="008F0177"/>
    <w:rsid w:val="008F01E8"/>
    <w:rsid w:val="008F0338"/>
    <w:rsid w:val="008F0935"/>
    <w:rsid w:val="008F0C07"/>
    <w:rsid w:val="008F0CD1"/>
    <w:rsid w:val="008F0D45"/>
    <w:rsid w:val="008F0E42"/>
    <w:rsid w:val="008F0EA4"/>
    <w:rsid w:val="008F1004"/>
    <w:rsid w:val="008F1082"/>
    <w:rsid w:val="008F1468"/>
    <w:rsid w:val="008F1536"/>
    <w:rsid w:val="008F1940"/>
    <w:rsid w:val="008F1D59"/>
    <w:rsid w:val="008F22C2"/>
    <w:rsid w:val="008F25B6"/>
    <w:rsid w:val="008F2646"/>
    <w:rsid w:val="008F273F"/>
    <w:rsid w:val="008F2A00"/>
    <w:rsid w:val="008F2A2A"/>
    <w:rsid w:val="008F2A35"/>
    <w:rsid w:val="008F2D26"/>
    <w:rsid w:val="008F2D32"/>
    <w:rsid w:val="008F2D4C"/>
    <w:rsid w:val="008F2E81"/>
    <w:rsid w:val="008F3095"/>
    <w:rsid w:val="008F30AE"/>
    <w:rsid w:val="008F30B6"/>
    <w:rsid w:val="008F31E8"/>
    <w:rsid w:val="008F33A6"/>
    <w:rsid w:val="008F346A"/>
    <w:rsid w:val="008F36AF"/>
    <w:rsid w:val="008F36CB"/>
    <w:rsid w:val="008F36EF"/>
    <w:rsid w:val="008F37AE"/>
    <w:rsid w:val="008F3903"/>
    <w:rsid w:val="008F3BE9"/>
    <w:rsid w:val="008F3C4C"/>
    <w:rsid w:val="008F3DAE"/>
    <w:rsid w:val="008F3F40"/>
    <w:rsid w:val="008F4053"/>
    <w:rsid w:val="008F43A1"/>
    <w:rsid w:val="008F44C0"/>
    <w:rsid w:val="008F44F2"/>
    <w:rsid w:val="008F4793"/>
    <w:rsid w:val="008F4849"/>
    <w:rsid w:val="008F484A"/>
    <w:rsid w:val="008F4ACC"/>
    <w:rsid w:val="008F4C7A"/>
    <w:rsid w:val="008F4D2C"/>
    <w:rsid w:val="008F5232"/>
    <w:rsid w:val="008F526C"/>
    <w:rsid w:val="008F52BB"/>
    <w:rsid w:val="008F53E2"/>
    <w:rsid w:val="008F5534"/>
    <w:rsid w:val="008F56E7"/>
    <w:rsid w:val="008F58A0"/>
    <w:rsid w:val="008F5940"/>
    <w:rsid w:val="008F5963"/>
    <w:rsid w:val="008F5A04"/>
    <w:rsid w:val="008F5A3F"/>
    <w:rsid w:val="008F5C08"/>
    <w:rsid w:val="008F5DEC"/>
    <w:rsid w:val="008F5FC9"/>
    <w:rsid w:val="008F60DE"/>
    <w:rsid w:val="008F65EF"/>
    <w:rsid w:val="008F6673"/>
    <w:rsid w:val="008F67CF"/>
    <w:rsid w:val="008F687B"/>
    <w:rsid w:val="008F68B9"/>
    <w:rsid w:val="008F6977"/>
    <w:rsid w:val="008F6A36"/>
    <w:rsid w:val="008F6AC9"/>
    <w:rsid w:val="008F6CC0"/>
    <w:rsid w:val="008F6E15"/>
    <w:rsid w:val="008F73FE"/>
    <w:rsid w:val="008F747A"/>
    <w:rsid w:val="008F7496"/>
    <w:rsid w:val="008F763D"/>
    <w:rsid w:val="008F77D2"/>
    <w:rsid w:val="008F7D06"/>
    <w:rsid w:val="008F7D89"/>
    <w:rsid w:val="008F7F88"/>
    <w:rsid w:val="0090001A"/>
    <w:rsid w:val="00900147"/>
    <w:rsid w:val="00900158"/>
    <w:rsid w:val="00900178"/>
    <w:rsid w:val="009001A8"/>
    <w:rsid w:val="00900227"/>
    <w:rsid w:val="009006C9"/>
    <w:rsid w:val="009007A7"/>
    <w:rsid w:val="0090080F"/>
    <w:rsid w:val="009009D3"/>
    <w:rsid w:val="00900A72"/>
    <w:rsid w:val="00900E8D"/>
    <w:rsid w:val="00900E98"/>
    <w:rsid w:val="00901140"/>
    <w:rsid w:val="00901365"/>
    <w:rsid w:val="0090143C"/>
    <w:rsid w:val="009015D5"/>
    <w:rsid w:val="009017A6"/>
    <w:rsid w:val="009017A8"/>
    <w:rsid w:val="0090194C"/>
    <w:rsid w:val="00901A93"/>
    <w:rsid w:val="00901C7C"/>
    <w:rsid w:val="00902057"/>
    <w:rsid w:val="0090237F"/>
    <w:rsid w:val="009023A3"/>
    <w:rsid w:val="00902415"/>
    <w:rsid w:val="009028C3"/>
    <w:rsid w:val="00902973"/>
    <w:rsid w:val="0090299F"/>
    <w:rsid w:val="00902A63"/>
    <w:rsid w:val="00903002"/>
    <w:rsid w:val="009030B6"/>
    <w:rsid w:val="00903164"/>
    <w:rsid w:val="0090327B"/>
    <w:rsid w:val="0090353B"/>
    <w:rsid w:val="0090370D"/>
    <w:rsid w:val="00903789"/>
    <w:rsid w:val="00903BF4"/>
    <w:rsid w:val="00903C60"/>
    <w:rsid w:val="00903D46"/>
    <w:rsid w:val="00903DEB"/>
    <w:rsid w:val="00903F86"/>
    <w:rsid w:val="0090421A"/>
    <w:rsid w:val="00904375"/>
    <w:rsid w:val="0090441B"/>
    <w:rsid w:val="009044F7"/>
    <w:rsid w:val="00904932"/>
    <w:rsid w:val="00904D26"/>
    <w:rsid w:val="00904EA1"/>
    <w:rsid w:val="00905134"/>
    <w:rsid w:val="0090516A"/>
    <w:rsid w:val="00905401"/>
    <w:rsid w:val="00905434"/>
    <w:rsid w:val="00905486"/>
    <w:rsid w:val="00905730"/>
    <w:rsid w:val="0090586E"/>
    <w:rsid w:val="0090597E"/>
    <w:rsid w:val="00905CA1"/>
    <w:rsid w:val="00905E35"/>
    <w:rsid w:val="00905EAF"/>
    <w:rsid w:val="0090601C"/>
    <w:rsid w:val="00906072"/>
    <w:rsid w:val="00906101"/>
    <w:rsid w:val="0090610F"/>
    <w:rsid w:val="0090623E"/>
    <w:rsid w:val="0090628F"/>
    <w:rsid w:val="009062FC"/>
    <w:rsid w:val="009064F3"/>
    <w:rsid w:val="0090687D"/>
    <w:rsid w:val="00906A88"/>
    <w:rsid w:val="00906B8F"/>
    <w:rsid w:val="00906CDC"/>
    <w:rsid w:val="00906FD2"/>
    <w:rsid w:val="009070DD"/>
    <w:rsid w:val="009071C9"/>
    <w:rsid w:val="00907284"/>
    <w:rsid w:val="009076BB"/>
    <w:rsid w:val="00907766"/>
    <w:rsid w:val="00907784"/>
    <w:rsid w:val="009077F1"/>
    <w:rsid w:val="00907813"/>
    <w:rsid w:val="0090788F"/>
    <w:rsid w:val="00907C61"/>
    <w:rsid w:val="00907EC7"/>
    <w:rsid w:val="00907F71"/>
    <w:rsid w:val="00910233"/>
    <w:rsid w:val="00910344"/>
    <w:rsid w:val="0091053C"/>
    <w:rsid w:val="009106D1"/>
    <w:rsid w:val="0091075F"/>
    <w:rsid w:val="009108F8"/>
    <w:rsid w:val="00910A8F"/>
    <w:rsid w:val="00910A94"/>
    <w:rsid w:val="00910ADE"/>
    <w:rsid w:val="00910E63"/>
    <w:rsid w:val="00910F40"/>
    <w:rsid w:val="00911062"/>
    <w:rsid w:val="00911235"/>
    <w:rsid w:val="0091141D"/>
    <w:rsid w:val="00911442"/>
    <w:rsid w:val="0091154E"/>
    <w:rsid w:val="00911713"/>
    <w:rsid w:val="0091186C"/>
    <w:rsid w:val="009119CF"/>
    <w:rsid w:val="00911F0C"/>
    <w:rsid w:val="00911F72"/>
    <w:rsid w:val="00912107"/>
    <w:rsid w:val="00912312"/>
    <w:rsid w:val="00912627"/>
    <w:rsid w:val="00912664"/>
    <w:rsid w:val="0091268F"/>
    <w:rsid w:val="0091269A"/>
    <w:rsid w:val="009127B1"/>
    <w:rsid w:val="0091282E"/>
    <w:rsid w:val="0091299F"/>
    <w:rsid w:val="00912A19"/>
    <w:rsid w:val="00912A27"/>
    <w:rsid w:val="00912AF9"/>
    <w:rsid w:val="00912F99"/>
    <w:rsid w:val="009130CB"/>
    <w:rsid w:val="009131BC"/>
    <w:rsid w:val="00913309"/>
    <w:rsid w:val="00913575"/>
    <w:rsid w:val="00913599"/>
    <w:rsid w:val="009136DC"/>
    <w:rsid w:val="0091387B"/>
    <w:rsid w:val="00913A9E"/>
    <w:rsid w:val="00913ADC"/>
    <w:rsid w:val="00913C61"/>
    <w:rsid w:val="00913C62"/>
    <w:rsid w:val="00913CD2"/>
    <w:rsid w:val="00913DF5"/>
    <w:rsid w:val="00913E19"/>
    <w:rsid w:val="00913E44"/>
    <w:rsid w:val="009140BD"/>
    <w:rsid w:val="009140CC"/>
    <w:rsid w:val="0091421A"/>
    <w:rsid w:val="00914258"/>
    <w:rsid w:val="00914292"/>
    <w:rsid w:val="0091455F"/>
    <w:rsid w:val="0091465C"/>
    <w:rsid w:val="0091487E"/>
    <w:rsid w:val="00914980"/>
    <w:rsid w:val="00914D06"/>
    <w:rsid w:val="009152F9"/>
    <w:rsid w:val="00915452"/>
    <w:rsid w:val="0091547F"/>
    <w:rsid w:val="009156E0"/>
    <w:rsid w:val="00915701"/>
    <w:rsid w:val="00915822"/>
    <w:rsid w:val="00915870"/>
    <w:rsid w:val="009158AD"/>
    <w:rsid w:val="009158E5"/>
    <w:rsid w:val="009159C7"/>
    <w:rsid w:val="00915A22"/>
    <w:rsid w:val="00915BEF"/>
    <w:rsid w:val="00915D83"/>
    <w:rsid w:val="0091611E"/>
    <w:rsid w:val="0091623C"/>
    <w:rsid w:val="0091641E"/>
    <w:rsid w:val="00916462"/>
    <w:rsid w:val="009164E9"/>
    <w:rsid w:val="00916660"/>
    <w:rsid w:val="00916776"/>
    <w:rsid w:val="009167F7"/>
    <w:rsid w:val="0091685A"/>
    <w:rsid w:val="009169DB"/>
    <w:rsid w:val="00916A68"/>
    <w:rsid w:val="00916B1A"/>
    <w:rsid w:val="00916BAD"/>
    <w:rsid w:val="00916D02"/>
    <w:rsid w:val="00916D2C"/>
    <w:rsid w:val="00916E37"/>
    <w:rsid w:val="00916F93"/>
    <w:rsid w:val="00917083"/>
    <w:rsid w:val="0091718E"/>
    <w:rsid w:val="00917267"/>
    <w:rsid w:val="00917342"/>
    <w:rsid w:val="00917438"/>
    <w:rsid w:val="009174C8"/>
    <w:rsid w:val="00917899"/>
    <w:rsid w:val="009178F1"/>
    <w:rsid w:val="009179AC"/>
    <w:rsid w:val="00917A8A"/>
    <w:rsid w:val="00917E23"/>
    <w:rsid w:val="00917E32"/>
    <w:rsid w:val="00917FB2"/>
    <w:rsid w:val="00920243"/>
    <w:rsid w:val="00920259"/>
    <w:rsid w:val="00920317"/>
    <w:rsid w:val="00920405"/>
    <w:rsid w:val="0092050B"/>
    <w:rsid w:val="00920541"/>
    <w:rsid w:val="00920779"/>
    <w:rsid w:val="009207C7"/>
    <w:rsid w:val="0092097E"/>
    <w:rsid w:val="00920A5A"/>
    <w:rsid w:val="00920B7A"/>
    <w:rsid w:val="00920BC0"/>
    <w:rsid w:val="00920CE9"/>
    <w:rsid w:val="00920D50"/>
    <w:rsid w:val="00920E53"/>
    <w:rsid w:val="00920F05"/>
    <w:rsid w:val="0092105F"/>
    <w:rsid w:val="00921183"/>
    <w:rsid w:val="009215A0"/>
    <w:rsid w:val="009216A7"/>
    <w:rsid w:val="009216C5"/>
    <w:rsid w:val="00921810"/>
    <w:rsid w:val="0092185E"/>
    <w:rsid w:val="009218DB"/>
    <w:rsid w:val="009218DE"/>
    <w:rsid w:val="00921990"/>
    <w:rsid w:val="00921BDE"/>
    <w:rsid w:val="00921D26"/>
    <w:rsid w:val="00921E91"/>
    <w:rsid w:val="00921EA5"/>
    <w:rsid w:val="00922610"/>
    <w:rsid w:val="00922634"/>
    <w:rsid w:val="0092273C"/>
    <w:rsid w:val="009227A3"/>
    <w:rsid w:val="009227F9"/>
    <w:rsid w:val="00922B26"/>
    <w:rsid w:val="00922C40"/>
    <w:rsid w:val="00922C54"/>
    <w:rsid w:val="00922E6D"/>
    <w:rsid w:val="00922F64"/>
    <w:rsid w:val="009231F3"/>
    <w:rsid w:val="009232F8"/>
    <w:rsid w:val="009236E3"/>
    <w:rsid w:val="00923888"/>
    <w:rsid w:val="009238AB"/>
    <w:rsid w:val="009239E3"/>
    <w:rsid w:val="00923AFB"/>
    <w:rsid w:val="00923BEB"/>
    <w:rsid w:val="00923FF3"/>
    <w:rsid w:val="00924094"/>
    <w:rsid w:val="0092412F"/>
    <w:rsid w:val="00924321"/>
    <w:rsid w:val="009244A3"/>
    <w:rsid w:val="009249C6"/>
    <w:rsid w:val="00924A39"/>
    <w:rsid w:val="00924A4E"/>
    <w:rsid w:val="00924A9D"/>
    <w:rsid w:val="00924BC6"/>
    <w:rsid w:val="00924C69"/>
    <w:rsid w:val="00924F03"/>
    <w:rsid w:val="00924F79"/>
    <w:rsid w:val="00924FC7"/>
    <w:rsid w:val="009256C0"/>
    <w:rsid w:val="00925824"/>
    <w:rsid w:val="00925833"/>
    <w:rsid w:val="009258C1"/>
    <w:rsid w:val="0092597A"/>
    <w:rsid w:val="00925DC7"/>
    <w:rsid w:val="00925F2A"/>
    <w:rsid w:val="00925FD0"/>
    <w:rsid w:val="00926128"/>
    <w:rsid w:val="0092617F"/>
    <w:rsid w:val="009262D8"/>
    <w:rsid w:val="0092644C"/>
    <w:rsid w:val="00926571"/>
    <w:rsid w:val="009265DA"/>
    <w:rsid w:val="00926661"/>
    <w:rsid w:val="0092682A"/>
    <w:rsid w:val="009269C2"/>
    <w:rsid w:val="00926FA9"/>
    <w:rsid w:val="009270A5"/>
    <w:rsid w:val="00927241"/>
    <w:rsid w:val="0092737D"/>
    <w:rsid w:val="0092751C"/>
    <w:rsid w:val="009277EB"/>
    <w:rsid w:val="00927A16"/>
    <w:rsid w:val="00927BD3"/>
    <w:rsid w:val="00927DEF"/>
    <w:rsid w:val="009302F0"/>
    <w:rsid w:val="00930405"/>
    <w:rsid w:val="0093044C"/>
    <w:rsid w:val="009305C6"/>
    <w:rsid w:val="009306C5"/>
    <w:rsid w:val="00930A1D"/>
    <w:rsid w:val="00930B81"/>
    <w:rsid w:val="00930C87"/>
    <w:rsid w:val="00930D19"/>
    <w:rsid w:val="00930EEE"/>
    <w:rsid w:val="00930F3B"/>
    <w:rsid w:val="00931114"/>
    <w:rsid w:val="00931136"/>
    <w:rsid w:val="009311E9"/>
    <w:rsid w:val="009313B2"/>
    <w:rsid w:val="00931485"/>
    <w:rsid w:val="009316DA"/>
    <w:rsid w:val="0093175E"/>
    <w:rsid w:val="00931787"/>
    <w:rsid w:val="00931AE6"/>
    <w:rsid w:val="00931CDC"/>
    <w:rsid w:val="00931DAC"/>
    <w:rsid w:val="00931E3C"/>
    <w:rsid w:val="00932072"/>
    <w:rsid w:val="009321B3"/>
    <w:rsid w:val="0093242E"/>
    <w:rsid w:val="00932678"/>
    <w:rsid w:val="00932956"/>
    <w:rsid w:val="00932C67"/>
    <w:rsid w:val="00932C9D"/>
    <w:rsid w:val="00932CC8"/>
    <w:rsid w:val="00932E3E"/>
    <w:rsid w:val="00932EB0"/>
    <w:rsid w:val="00932EC5"/>
    <w:rsid w:val="00932F4D"/>
    <w:rsid w:val="009331ED"/>
    <w:rsid w:val="009333EC"/>
    <w:rsid w:val="00933699"/>
    <w:rsid w:val="009336F4"/>
    <w:rsid w:val="00933868"/>
    <w:rsid w:val="009338C3"/>
    <w:rsid w:val="00933A1A"/>
    <w:rsid w:val="00933B6C"/>
    <w:rsid w:val="00933C6C"/>
    <w:rsid w:val="00933D2E"/>
    <w:rsid w:val="00933E61"/>
    <w:rsid w:val="00933EF1"/>
    <w:rsid w:val="0093419F"/>
    <w:rsid w:val="00934287"/>
    <w:rsid w:val="0093430D"/>
    <w:rsid w:val="00934348"/>
    <w:rsid w:val="009344D8"/>
    <w:rsid w:val="00934674"/>
    <w:rsid w:val="0093468A"/>
    <w:rsid w:val="009348ED"/>
    <w:rsid w:val="00934935"/>
    <w:rsid w:val="00934C56"/>
    <w:rsid w:val="0093524F"/>
    <w:rsid w:val="00935493"/>
    <w:rsid w:val="009354CF"/>
    <w:rsid w:val="009358AF"/>
    <w:rsid w:val="009359CF"/>
    <w:rsid w:val="00935AED"/>
    <w:rsid w:val="00935B80"/>
    <w:rsid w:val="00935CD3"/>
    <w:rsid w:val="00935EC1"/>
    <w:rsid w:val="00936332"/>
    <w:rsid w:val="009365F1"/>
    <w:rsid w:val="00936748"/>
    <w:rsid w:val="009368D7"/>
    <w:rsid w:val="00936A7F"/>
    <w:rsid w:val="00936DF4"/>
    <w:rsid w:val="00936E24"/>
    <w:rsid w:val="009371E1"/>
    <w:rsid w:val="009372AF"/>
    <w:rsid w:val="009373A3"/>
    <w:rsid w:val="009376EC"/>
    <w:rsid w:val="00937784"/>
    <w:rsid w:val="009377E5"/>
    <w:rsid w:val="00937AC5"/>
    <w:rsid w:val="00937AD3"/>
    <w:rsid w:val="00937C31"/>
    <w:rsid w:val="00937CB4"/>
    <w:rsid w:val="00937D30"/>
    <w:rsid w:val="00937E52"/>
    <w:rsid w:val="00937F2F"/>
    <w:rsid w:val="00937FD9"/>
    <w:rsid w:val="00937FEC"/>
    <w:rsid w:val="009401D3"/>
    <w:rsid w:val="009401DF"/>
    <w:rsid w:val="0094041A"/>
    <w:rsid w:val="00940A24"/>
    <w:rsid w:val="00940A77"/>
    <w:rsid w:val="00940B52"/>
    <w:rsid w:val="00940C34"/>
    <w:rsid w:val="00940D1B"/>
    <w:rsid w:val="00940D6D"/>
    <w:rsid w:val="00940D93"/>
    <w:rsid w:val="00940DB5"/>
    <w:rsid w:val="00940F84"/>
    <w:rsid w:val="0094117A"/>
    <w:rsid w:val="009411E7"/>
    <w:rsid w:val="00941349"/>
    <w:rsid w:val="00941409"/>
    <w:rsid w:val="00941480"/>
    <w:rsid w:val="009414D5"/>
    <w:rsid w:val="009415BE"/>
    <w:rsid w:val="009416ED"/>
    <w:rsid w:val="0094171E"/>
    <w:rsid w:val="0094172F"/>
    <w:rsid w:val="0094193B"/>
    <w:rsid w:val="00941A3E"/>
    <w:rsid w:val="00941AFD"/>
    <w:rsid w:val="00941BB4"/>
    <w:rsid w:val="00941BBF"/>
    <w:rsid w:val="00941CCA"/>
    <w:rsid w:val="00941CFF"/>
    <w:rsid w:val="00941D7F"/>
    <w:rsid w:val="00942103"/>
    <w:rsid w:val="0094224E"/>
    <w:rsid w:val="009422A0"/>
    <w:rsid w:val="0094232A"/>
    <w:rsid w:val="00942630"/>
    <w:rsid w:val="009428F7"/>
    <w:rsid w:val="00942CBC"/>
    <w:rsid w:val="00942FB0"/>
    <w:rsid w:val="0094311A"/>
    <w:rsid w:val="00943212"/>
    <w:rsid w:val="00943305"/>
    <w:rsid w:val="0094335C"/>
    <w:rsid w:val="00943469"/>
    <w:rsid w:val="00943650"/>
    <w:rsid w:val="00943783"/>
    <w:rsid w:val="009438F6"/>
    <w:rsid w:val="00943A67"/>
    <w:rsid w:val="00943AEA"/>
    <w:rsid w:val="00943AF0"/>
    <w:rsid w:val="00943D00"/>
    <w:rsid w:val="00943F89"/>
    <w:rsid w:val="0094408A"/>
    <w:rsid w:val="00944355"/>
    <w:rsid w:val="0094467A"/>
    <w:rsid w:val="00944937"/>
    <w:rsid w:val="00944B28"/>
    <w:rsid w:val="00944B5B"/>
    <w:rsid w:val="00944BBD"/>
    <w:rsid w:val="00944BF6"/>
    <w:rsid w:val="00944C57"/>
    <w:rsid w:val="00944D01"/>
    <w:rsid w:val="00944E88"/>
    <w:rsid w:val="00944F69"/>
    <w:rsid w:val="009450B4"/>
    <w:rsid w:val="009451CF"/>
    <w:rsid w:val="009451E9"/>
    <w:rsid w:val="009451EA"/>
    <w:rsid w:val="0094540A"/>
    <w:rsid w:val="00945446"/>
    <w:rsid w:val="00945694"/>
    <w:rsid w:val="00945710"/>
    <w:rsid w:val="0094571A"/>
    <w:rsid w:val="00945920"/>
    <w:rsid w:val="00945A17"/>
    <w:rsid w:val="00945B7B"/>
    <w:rsid w:val="00945BD2"/>
    <w:rsid w:val="00945CB6"/>
    <w:rsid w:val="00945ECC"/>
    <w:rsid w:val="00946184"/>
    <w:rsid w:val="00946203"/>
    <w:rsid w:val="0094681A"/>
    <w:rsid w:val="00946A72"/>
    <w:rsid w:val="00946D45"/>
    <w:rsid w:val="009470C5"/>
    <w:rsid w:val="009470F4"/>
    <w:rsid w:val="009473D0"/>
    <w:rsid w:val="00947428"/>
    <w:rsid w:val="00947600"/>
    <w:rsid w:val="00947666"/>
    <w:rsid w:val="00947697"/>
    <w:rsid w:val="009476FB"/>
    <w:rsid w:val="00947761"/>
    <w:rsid w:val="009477A3"/>
    <w:rsid w:val="00947AE3"/>
    <w:rsid w:val="00947D0A"/>
    <w:rsid w:val="00947F23"/>
    <w:rsid w:val="00950119"/>
    <w:rsid w:val="00950323"/>
    <w:rsid w:val="00950547"/>
    <w:rsid w:val="00950A25"/>
    <w:rsid w:val="00950A42"/>
    <w:rsid w:val="00950DB4"/>
    <w:rsid w:val="00950F44"/>
    <w:rsid w:val="00950F66"/>
    <w:rsid w:val="00951088"/>
    <w:rsid w:val="00951294"/>
    <w:rsid w:val="009512D1"/>
    <w:rsid w:val="0095158A"/>
    <w:rsid w:val="009515CC"/>
    <w:rsid w:val="0095168C"/>
    <w:rsid w:val="009517EE"/>
    <w:rsid w:val="00951EB7"/>
    <w:rsid w:val="00951FBB"/>
    <w:rsid w:val="00952036"/>
    <w:rsid w:val="009520F1"/>
    <w:rsid w:val="009522A9"/>
    <w:rsid w:val="009522AE"/>
    <w:rsid w:val="00952436"/>
    <w:rsid w:val="00952558"/>
    <w:rsid w:val="00952657"/>
    <w:rsid w:val="009526E1"/>
    <w:rsid w:val="009526F1"/>
    <w:rsid w:val="009528B2"/>
    <w:rsid w:val="00952B40"/>
    <w:rsid w:val="00952BB9"/>
    <w:rsid w:val="00952EC8"/>
    <w:rsid w:val="00952EDE"/>
    <w:rsid w:val="0095319B"/>
    <w:rsid w:val="009531DA"/>
    <w:rsid w:val="00953379"/>
    <w:rsid w:val="0095356F"/>
    <w:rsid w:val="0095377A"/>
    <w:rsid w:val="009537F1"/>
    <w:rsid w:val="00953841"/>
    <w:rsid w:val="00953859"/>
    <w:rsid w:val="009539FD"/>
    <w:rsid w:val="00953ABB"/>
    <w:rsid w:val="00953BDB"/>
    <w:rsid w:val="00953CB2"/>
    <w:rsid w:val="00953CD4"/>
    <w:rsid w:val="00953CE5"/>
    <w:rsid w:val="00953D87"/>
    <w:rsid w:val="00953FB9"/>
    <w:rsid w:val="00953FFF"/>
    <w:rsid w:val="0095475A"/>
    <w:rsid w:val="009548DD"/>
    <w:rsid w:val="00954BB5"/>
    <w:rsid w:val="00954CC8"/>
    <w:rsid w:val="00954CD6"/>
    <w:rsid w:val="00954E2D"/>
    <w:rsid w:val="00954EA3"/>
    <w:rsid w:val="00954FB5"/>
    <w:rsid w:val="009550AD"/>
    <w:rsid w:val="009550F3"/>
    <w:rsid w:val="00955587"/>
    <w:rsid w:val="009555E0"/>
    <w:rsid w:val="00955664"/>
    <w:rsid w:val="0095582A"/>
    <w:rsid w:val="009558A1"/>
    <w:rsid w:val="00955A15"/>
    <w:rsid w:val="00955AA7"/>
    <w:rsid w:val="00955C09"/>
    <w:rsid w:val="00955DA4"/>
    <w:rsid w:val="00955E5E"/>
    <w:rsid w:val="00955F67"/>
    <w:rsid w:val="00955FC3"/>
    <w:rsid w:val="00955FDD"/>
    <w:rsid w:val="00956051"/>
    <w:rsid w:val="00956203"/>
    <w:rsid w:val="00956494"/>
    <w:rsid w:val="0095649C"/>
    <w:rsid w:val="009565A3"/>
    <w:rsid w:val="009566CD"/>
    <w:rsid w:val="009567AA"/>
    <w:rsid w:val="009567E0"/>
    <w:rsid w:val="009567EB"/>
    <w:rsid w:val="00956A9E"/>
    <w:rsid w:val="00956AAE"/>
    <w:rsid w:val="00956AC6"/>
    <w:rsid w:val="00956AC7"/>
    <w:rsid w:val="00956AD5"/>
    <w:rsid w:val="00956C03"/>
    <w:rsid w:val="00956F60"/>
    <w:rsid w:val="009570CF"/>
    <w:rsid w:val="0095710D"/>
    <w:rsid w:val="0095727B"/>
    <w:rsid w:val="00957332"/>
    <w:rsid w:val="00957536"/>
    <w:rsid w:val="00957634"/>
    <w:rsid w:val="00957A69"/>
    <w:rsid w:val="00957B9A"/>
    <w:rsid w:val="00957E04"/>
    <w:rsid w:val="00957E11"/>
    <w:rsid w:val="00957EE1"/>
    <w:rsid w:val="00957FDF"/>
    <w:rsid w:val="00960232"/>
    <w:rsid w:val="009602FF"/>
    <w:rsid w:val="00960398"/>
    <w:rsid w:val="009603B3"/>
    <w:rsid w:val="009603C4"/>
    <w:rsid w:val="00960940"/>
    <w:rsid w:val="00960B36"/>
    <w:rsid w:val="00960C2E"/>
    <w:rsid w:val="00960C6A"/>
    <w:rsid w:val="00961046"/>
    <w:rsid w:val="0096148A"/>
    <w:rsid w:val="009618D1"/>
    <w:rsid w:val="00961905"/>
    <w:rsid w:val="00961A7B"/>
    <w:rsid w:val="00961ABA"/>
    <w:rsid w:val="00961BEC"/>
    <w:rsid w:val="009621DF"/>
    <w:rsid w:val="00962218"/>
    <w:rsid w:val="00962569"/>
    <w:rsid w:val="009627B5"/>
    <w:rsid w:val="00962863"/>
    <w:rsid w:val="00962953"/>
    <w:rsid w:val="00962B78"/>
    <w:rsid w:val="00962DCC"/>
    <w:rsid w:val="00962F7B"/>
    <w:rsid w:val="00962FA7"/>
    <w:rsid w:val="0096309D"/>
    <w:rsid w:val="00963172"/>
    <w:rsid w:val="009631BF"/>
    <w:rsid w:val="009632A3"/>
    <w:rsid w:val="009633E8"/>
    <w:rsid w:val="009636D5"/>
    <w:rsid w:val="00963921"/>
    <w:rsid w:val="00963AEE"/>
    <w:rsid w:val="00963D61"/>
    <w:rsid w:val="00963E0B"/>
    <w:rsid w:val="00963E18"/>
    <w:rsid w:val="00963E92"/>
    <w:rsid w:val="00964035"/>
    <w:rsid w:val="00964090"/>
    <w:rsid w:val="009640A5"/>
    <w:rsid w:val="00964301"/>
    <w:rsid w:val="00964330"/>
    <w:rsid w:val="00964356"/>
    <w:rsid w:val="00964361"/>
    <w:rsid w:val="0096440E"/>
    <w:rsid w:val="0096444C"/>
    <w:rsid w:val="00964630"/>
    <w:rsid w:val="00964679"/>
    <w:rsid w:val="009646A4"/>
    <w:rsid w:val="009646C4"/>
    <w:rsid w:val="009649A6"/>
    <w:rsid w:val="00964B67"/>
    <w:rsid w:val="00964BD6"/>
    <w:rsid w:val="00964C19"/>
    <w:rsid w:val="00964CE7"/>
    <w:rsid w:val="00964D99"/>
    <w:rsid w:val="00964E60"/>
    <w:rsid w:val="00964F3D"/>
    <w:rsid w:val="00964FC6"/>
    <w:rsid w:val="0096507A"/>
    <w:rsid w:val="009658FF"/>
    <w:rsid w:val="00965960"/>
    <w:rsid w:val="0096599E"/>
    <w:rsid w:val="009659A4"/>
    <w:rsid w:val="00965AD5"/>
    <w:rsid w:val="00965B43"/>
    <w:rsid w:val="00965D09"/>
    <w:rsid w:val="0096612A"/>
    <w:rsid w:val="009663AF"/>
    <w:rsid w:val="0096663B"/>
    <w:rsid w:val="0096674D"/>
    <w:rsid w:val="0096679B"/>
    <w:rsid w:val="009667E9"/>
    <w:rsid w:val="00966878"/>
    <w:rsid w:val="00966A80"/>
    <w:rsid w:val="00966ABA"/>
    <w:rsid w:val="00966AEC"/>
    <w:rsid w:val="00966C8C"/>
    <w:rsid w:val="00966D1D"/>
    <w:rsid w:val="00966D62"/>
    <w:rsid w:val="00966EFA"/>
    <w:rsid w:val="00967018"/>
    <w:rsid w:val="00967116"/>
    <w:rsid w:val="00967187"/>
    <w:rsid w:val="009671C6"/>
    <w:rsid w:val="0096724B"/>
    <w:rsid w:val="009672A9"/>
    <w:rsid w:val="0096746C"/>
    <w:rsid w:val="009674CA"/>
    <w:rsid w:val="0096751A"/>
    <w:rsid w:val="00967697"/>
    <w:rsid w:val="0096772E"/>
    <w:rsid w:val="00967748"/>
    <w:rsid w:val="00967A37"/>
    <w:rsid w:val="00967B36"/>
    <w:rsid w:val="00970138"/>
    <w:rsid w:val="0097018E"/>
    <w:rsid w:val="0097018F"/>
    <w:rsid w:val="00970224"/>
    <w:rsid w:val="00970263"/>
    <w:rsid w:val="009703E6"/>
    <w:rsid w:val="0097049D"/>
    <w:rsid w:val="0097068D"/>
    <w:rsid w:val="0097079F"/>
    <w:rsid w:val="00970B3C"/>
    <w:rsid w:val="00970C28"/>
    <w:rsid w:val="00970CAD"/>
    <w:rsid w:val="00970D08"/>
    <w:rsid w:val="00970FB1"/>
    <w:rsid w:val="00971037"/>
    <w:rsid w:val="00971038"/>
    <w:rsid w:val="0097106D"/>
    <w:rsid w:val="009710DC"/>
    <w:rsid w:val="00971160"/>
    <w:rsid w:val="00971185"/>
    <w:rsid w:val="00971239"/>
    <w:rsid w:val="00971454"/>
    <w:rsid w:val="0097146E"/>
    <w:rsid w:val="009714CF"/>
    <w:rsid w:val="0097178C"/>
    <w:rsid w:val="00971B7C"/>
    <w:rsid w:val="00971E17"/>
    <w:rsid w:val="00971EB1"/>
    <w:rsid w:val="009720D3"/>
    <w:rsid w:val="009726B8"/>
    <w:rsid w:val="00972811"/>
    <w:rsid w:val="00972847"/>
    <w:rsid w:val="00972DE2"/>
    <w:rsid w:val="009731E6"/>
    <w:rsid w:val="009732C3"/>
    <w:rsid w:val="00973378"/>
    <w:rsid w:val="00973527"/>
    <w:rsid w:val="0097360C"/>
    <w:rsid w:val="00973632"/>
    <w:rsid w:val="00973913"/>
    <w:rsid w:val="009739A0"/>
    <w:rsid w:val="00973A4B"/>
    <w:rsid w:val="00973B25"/>
    <w:rsid w:val="00973DD8"/>
    <w:rsid w:val="00974256"/>
    <w:rsid w:val="009743BF"/>
    <w:rsid w:val="009745CB"/>
    <w:rsid w:val="00974614"/>
    <w:rsid w:val="00974864"/>
    <w:rsid w:val="009749D2"/>
    <w:rsid w:val="00974A62"/>
    <w:rsid w:val="00974A75"/>
    <w:rsid w:val="00974B20"/>
    <w:rsid w:val="00974BC3"/>
    <w:rsid w:val="00974D13"/>
    <w:rsid w:val="00974E25"/>
    <w:rsid w:val="00975233"/>
    <w:rsid w:val="00975368"/>
    <w:rsid w:val="00975460"/>
    <w:rsid w:val="009754E8"/>
    <w:rsid w:val="009759B2"/>
    <w:rsid w:val="00975AD4"/>
    <w:rsid w:val="00975ECE"/>
    <w:rsid w:val="00975F6F"/>
    <w:rsid w:val="009764CF"/>
    <w:rsid w:val="009764D6"/>
    <w:rsid w:val="00976686"/>
    <w:rsid w:val="009767A0"/>
    <w:rsid w:val="009769B8"/>
    <w:rsid w:val="00976A58"/>
    <w:rsid w:val="00976B1F"/>
    <w:rsid w:val="00976C1A"/>
    <w:rsid w:val="00976E79"/>
    <w:rsid w:val="009774AB"/>
    <w:rsid w:val="00977518"/>
    <w:rsid w:val="00977580"/>
    <w:rsid w:val="00977777"/>
    <w:rsid w:val="009777DE"/>
    <w:rsid w:val="009778D6"/>
    <w:rsid w:val="00977A8F"/>
    <w:rsid w:val="00977ADF"/>
    <w:rsid w:val="00977AE1"/>
    <w:rsid w:val="00977B25"/>
    <w:rsid w:val="00977FE3"/>
    <w:rsid w:val="0098022F"/>
    <w:rsid w:val="00980399"/>
    <w:rsid w:val="0098045C"/>
    <w:rsid w:val="009804F8"/>
    <w:rsid w:val="00980674"/>
    <w:rsid w:val="009806A3"/>
    <w:rsid w:val="00980794"/>
    <w:rsid w:val="009809CA"/>
    <w:rsid w:val="00980B6D"/>
    <w:rsid w:val="00980CD1"/>
    <w:rsid w:val="00980D17"/>
    <w:rsid w:val="00980ED8"/>
    <w:rsid w:val="0098105E"/>
    <w:rsid w:val="0098112B"/>
    <w:rsid w:val="00981376"/>
    <w:rsid w:val="00981558"/>
    <w:rsid w:val="009815E9"/>
    <w:rsid w:val="00981863"/>
    <w:rsid w:val="00981BA6"/>
    <w:rsid w:val="00981BBC"/>
    <w:rsid w:val="00981D0F"/>
    <w:rsid w:val="00982143"/>
    <w:rsid w:val="00982287"/>
    <w:rsid w:val="0098258D"/>
    <w:rsid w:val="009825F5"/>
    <w:rsid w:val="00982909"/>
    <w:rsid w:val="00982A4A"/>
    <w:rsid w:val="00982BCA"/>
    <w:rsid w:val="00982C58"/>
    <w:rsid w:val="00982CE8"/>
    <w:rsid w:val="00982EC0"/>
    <w:rsid w:val="009831AC"/>
    <w:rsid w:val="009831B3"/>
    <w:rsid w:val="009833E0"/>
    <w:rsid w:val="009834F4"/>
    <w:rsid w:val="0098352E"/>
    <w:rsid w:val="0098357F"/>
    <w:rsid w:val="009835CA"/>
    <w:rsid w:val="009836B9"/>
    <w:rsid w:val="009837E4"/>
    <w:rsid w:val="00983801"/>
    <w:rsid w:val="00983997"/>
    <w:rsid w:val="00983A57"/>
    <w:rsid w:val="00983C1C"/>
    <w:rsid w:val="00983C49"/>
    <w:rsid w:val="00983D5E"/>
    <w:rsid w:val="00983E80"/>
    <w:rsid w:val="0098411B"/>
    <w:rsid w:val="0098428A"/>
    <w:rsid w:val="0098466C"/>
    <w:rsid w:val="00984751"/>
    <w:rsid w:val="0098483A"/>
    <w:rsid w:val="00984849"/>
    <w:rsid w:val="009848CC"/>
    <w:rsid w:val="009849B6"/>
    <w:rsid w:val="00984D67"/>
    <w:rsid w:val="00984E0B"/>
    <w:rsid w:val="00984E26"/>
    <w:rsid w:val="00984F06"/>
    <w:rsid w:val="00984F2C"/>
    <w:rsid w:val="00985110"/>
    <w:rsid w:val="009851DD"/>
    <w:rsid w:val="009852B7"/>
    <w:rsid w:val="009855AF"/>
    <w:rsid w:val="00985656"/>
    <w:rsid w:val="00985848"/>
    <w:rsid w:val="00985996"/>
    <w:rsid w:val="00985C1A"/>
    <w:rsid w:val="00985CA2"/>
    <w:rsid w:val="00985E5C"/>
    <w:rsid w:val="00985E93"/>
    <w:rsid w:val="00985EFF"/>
    <w:rsid w:val="00985F6D"/>
    <w:rsid w:val="00986184"/>
    <w:rsid w:val="009864B8"/>
    <w:rsid w:val="0098673C"/>
    <w:rsid w:val="00986765"/>
    <w:rsid w:val="009867BE"/>
    <w:rsid w:val="0098698B"/>
    <w:rsid w:val="00986D21"/>
    <w:rsid w:val="00986EBF"/>
    <w:rsid w:val="00986F5F"/>
    <w:rsid w:val="009870C5"/>
    <w:rsid w:val="009871FB"/>
    <w:rsid w:val="00987500"/>
    <w:rsid w:val="009876F9"/>
    <w:rsid w:val="00987807"/>
    <w:rsid w:val="00987A0C"/>
    <w:rsid w:val="00987D1A"/>
    <w:rsid w:val="00987DB8"/>
    <w:rsid w:val="00987DC8"/>
    <w:rsid w:val="00987E41"/>
    <w:rsid w:val="00987E71"/>
    <w:rsid w:val="00990140"/>
    <w:rsid w:val="00990202"/>
    <w:rsid w:val="009905AC"/>
    <w:rsid w:val="009909D7"/>
    <w:rsid w:val="00990A65"/>
    <w:rsid w:val="00990ADA"/>
    <w:rsid w:val="00990B63"/>
    <w:rsid w:val="00990C0F"/>
    <w:rsid w:val="00990C74"/>
    <w:rsid w:val="00990CCE"/>
    <w:rsid w:val="00990FA1"/>
    <w:rsid w:val="00991011"/>
    <w:rsid w:val="009912A9"/>
    <w:rsid w:val="009912F6"/>
    <w:rsid w:val="00991487"/>
    <w:rsid w:val="0099157D"/>
    <w:rsid w:val="0099158C"/>
    <w:rsid w:val="0099177D"/>
    <w:rsid w:val="009919D2"/>
    <w:rsid w:val="00991A38"/>
    <w:rsid w:val="00991C13"/>
    <w:rsid w:val="00991F93"/>
    <w:rsid w:val="00991FC1"/>
    <w:rsid w:val="0099244F"/>
    <w:rsid w:val="00992546"/>
    <w:rsid w:val="00992615"/>
    <w:rsid w:val="009926FB"/>
    <w:rsid w:val="009927CD"/>
    <w:rsid w:val="009927E2"/>
    <w:rsid w:val="00992870"/>
    <w:rsid w:val="00992BA7"/>
    <w:rsid w:val="00992C3B"/>
    <w:rsid w:val="00992CDA"/>
    <w:rsid w:val="00992F3D"/>
    <w:rsid w:val="00993027"/>
    <w:rsid w:val="0099309C"/>
    <w:rsid w:val="0099337C"/>
    <w:rsid w:val="0099352A"/>
    <w:rsid w:val="00993662"/>
    <w:rsid w:val="0099366B"/>
    <w:rsid w:val="00993692"/>
    <w:rsid w:val="009936DD"/>
    <w:rsid w:val="00993702"/>
    <w:rsid w:val="009937A5"/>
    <w:rsid w:val="009938B1"/>
    <w:rsid w:val="00993A09"/>
    <w:rsid w:val="00993A5D"/>
    <w:rsid w:val="00993AD2"/>
    <w:rsid w:val="00993B36"/>
    <w:rsid w:val="0099416B"/>
    <w:rsid w:val="009941EB"/>
    <w:rsid w:val="009942D4"/>
    <w:rsid w:val="009942DC"/>
    <w:rsid w:val="009944A3"/>
    <w:rsid w:val="009945B1"/>
    <w:rsid w:val="009945B5"/>
    <w:rsid w:val="0099486E"/>
    <w:rsid w:val="009948C9"/>
    <w:rsid w:val="00994913"/>
    <w:rsid w:val="009949C4"/>
    <w:rsid w:val="009949FA"/>
    <w:rsid w:val="0099509D"/>
    <w:rsid w:val="009951A5"/>
    <w:rsid w:val="00995434"/>
    <w:rsid w:val="009954D5"/>
    <w:rsid w:val="009956A5"/>
    <w:rsid w:val="00995749"/>
    <w:rsid w:val="00995803"/>
    <w:rsid w:val="009958F1"/>
    <w:rsid w:val="00995F46"/>
    <w:rsid w:val="00995FD2"/>
    <w:rsid w:val="009960C7"/>
    <w:rsid w:val="00996172"/>
    <w:rsid w:val="0099625D"/>
    <w:rsid w:val="00996407"/>
    <w:rsid w:val="0099649A"/>
    <w:rsid w:val="009968F7"/>
    <w:rsid w:val="00996E32"/>
    <w:rsid w:val="00996E70"/>
    <w:rsid w:val="00996ECE"/>
    <w:rsid w:val="00997133"/>
    <w:rsid w:val="009975F0"/>
    <w:rsid w:val="0099762D"/>
    <w:rsid w:val="009977F8"/>
    <w:rsid w:val="00997979"/>
    <w:rsid w:val="00997A58"/>
    <w:rsid w:val="00997B47"/>
    <w:rsid w:val="00997C5D"/>
    <w:rsid w:val="00997D2F"/>
    <w:rsid w:val="009A0036"/>
    <w:rsid w:val="009A081F"/>
    <w:rsid w:val="009A08FA"/>
    <w:rsid w:val="009A0948"/>
    <w:rsid w:val="009A0950"/>
    <w:rsid w:val="009A0CC9"/>
    <w:rsid w:val="009A0D57"/>
    <w:rsid w:val="009A10A8"/>
    <w:rsid w:val="009A10BE"/>
    <w:rsid w:val="009A113A"/>
    <w:rsid w:val="009A137B"/>
    <w:rsid w:val="009A1626"/>
    <w:rsid w:val="009A1925"/>
    <w:rsid w:val="009A19E8"/>
    <w:rsid w:val="009A1C4A"/>
    <w:rsid w:val="009A1D35"/>
    <w:rsid w:val="009A1DE1"/>
    <w:rsid w:val="009A20E4"/>
    <w:rsid w:val="009A2126"/>
    <w:rsid w:val="009A221D"/>
    <w:rsid w:val="009A24C1"/>
    <w:rsid w:val="009A24E2"/>
    <w:rsid w:val="009A2799"/>
    <w:rsid w:val="009A2A0A"/>
    <w:rsid w:val="009A2A46"/>
    <w:rsid w:val="009A2AAB"/>
    <w:rsid w:val="009A2AE7"/>
    <w:rsid w:val="009A2B39"/>
    <w:rsid w:val="009A2D06"/>
    <w:rsid w:val="009A2D38"/>
    <w:rsid w:val="009A2F86"/>
    <w:rsid w:val="009A2FA7"/>
    <w:rsid w:val="009A3129"/>
    <w:rsid w:val="009A31E8"/>
    <w:rsid w:val="009A328D"/>
    <w:rsid w:val="009A349D"/>
    <w:rsid w:val="009A361B"/>
    <w:rsid w:val="009A36C0"/>
    <w:rsid w:val="009A376E"/>
    <w:rsid w:val="009A39E5"/>
    <w:rsid w:val="009A3A85"/>
    <w:rsid w:val="009A3DA7"/>
    <w:rsid w:val="009A3E93"/>
    <w:rsid w:val="009A43B5"/>
    <w:rsid w:val="009A4573"/>
    <w:rsid w:val="009A4624"/>
    <w:rsid w:val="009A473D"/>
    <w:rsid w:val="009A4809"/>
    <w:rsid w:val="009A4AF7"/>
    <w:rsid w:val="009A4CA7"/>
    <w:rsid w:val="009A4D5A"/>
    <w:rsid w:val="009A5164"/>
    <w:rsid w:val="009A51E1"/>
    <w:rsid w:val="009A52C8"/>
    <w:rsid w:val="009A5402"/>
    <w:rsid w:val="009A5464"/>
    <w:rsid w:val="009A5596"/>
    <w:rsid w:val="009A581E"/>
    <w:rsid w:val="009A583A"/>
    <w:rsid w:val="009A5F11"/>
    <w:rsid w:val="009A5F83"/>
    <w:rsid w:val="009A6014"/>
    <w:rsid w:val="009A6034"/>
    <w:rsid w:val="009A6067"/>
    <w:rsid w:val="009A62BC"/>
    <w:rsid w:val="009A639A"/>
    <w:rsid w:val="009A640D"/>
    <w:rsid w:val="009A670F"/>
    <w:rsid w:val="009A6855"/>
    <w:rsid w:val="009A6B55"/>
    <w:rsid w:val="009A6B8E"/>
    <w:rsid w:val="009A6BA4"/>
    <w:rsid w:val="009A6BC9"/>
    <w:rsid w:val="009A6C76"/>
    <w:rsid w:val="009A6DEB"/>
    <w:rsid w:val="009A6E00"/>
    <w:rsid w:val="009A719A"/>
    <w:rsid w:val="009A71AF"/>
    <w:rsid w:val="009A7301"/>
    <w:rsid w:val="009A7483"/>
    <w:rsid w:val="009A7598"/>
    <w:rsid w:val="009A766C"/>
    <w:rsid w:val="009A76A1"/>
    <w:rsid w:val="009A79FE"/>
    <w:rsid w:val="009A7A01"/>
    <w:rsid w:val="009A7AF4"/>
    <w:rsid w:val="009A7C55"/>
    <w:rsid w:val="009A7CEA"/>
    <w:rsid w:val="009A7DDC"/>
    <w:rsid w:val="009A7EB2"/>
    <w:rsid w:val="009A7F24"/>
    <w:rsid w:val="009B01F4"/>
    <w:rsid w:val="009B03D7"/>
    <w:rsid w:val="009B0643"/>
    <w:rsid w:val="009B069F"/>
    <w:rsid w:val="009B06B6"/>
    <w:rsid w:val="009B0B21"/>
    <w:rsid w:val="009B0B56"/>
    <w:rsid w:val="009B0BE3"/>
    <w:rsid w:val="009B0C62"/>
    <w:rsid w:val="009B0C93"/>
    <w:rsid w:val="009B0F22"/>
    <w:rsid w:val="009B0F65"/>
    <w:rsid w:val="009B0F73"/>
    <w:rsid w:val="009B1120"/>
    <w:rsid w:val="009B1293"/>
    <w:rsid w:val="009B145B"/>
    <w:rsid w:val="009B16CC"/>
    <w:rsid w:val="009B1D99"/>
    <w:rsid w:val="009B2062"/>
    <w:rsid w:val="009B225A"/>
    <w:rsid w:val="009B22DE"/>
    <w:rsid w:val="009B232C"/>
    <w:rsid w:val="009B2345"/>
    <w:rsid w:val="009B24E0"/>
    <w:rsid w:val="009B257D"/>
    <w:rsid w:val="009B26F8"/>
    <w:rsid w:val="009B288A"/>
    <w:rsid w:val="009B28E3"/>
    <w:rsid w:val="009B2A0A"/>
    <w:rsid w:val="009B2BA5"/>
    <w:rsid w:val="009B2BE4"/>
    <w:rsid w:val="009B2C11"/>
    <w:rsid w:val="009B2F20"/>
    <w:rsid w:val="009B305A"/>
    <w:rsid w:val="009B309A"/>
    <w:rsid w:val="009B30A4"/>
    <w:rsid w:val="009B3321"/>
    <w:rsid w:val="009B34FF"/>
    <w:rsid w:val="009B37EC"/>
    <w:rsid w:val="009B3841"/>
    <w:rsid w:val="009B38A7"/>
    <w:rsid w:val="009B3990"/>
    <w:rsid w:val="009B417B"/>
    <w:rsid w:val="009B430D"/>
    <w:rsid w:val="009B43CD"/>
    <w:rsid w:val="009B45A1"/>
    <w:rsid w:val="009B47E2"/>
    <w:rsid w:val="009B4806"/>
    <w:rsid w:val="009B4956"/>
    <w:rsid w:val="009B4A7E"/>
    <w:rsid w:val="009B4ADC"/>
    <w:rsid w:val="009B4DEB"/>
    <w:rsid w:val="009B4FA5"/>
    <w:rsid w:val="009B4FD4"/>
    <w:rsid w:val="009B50BD"/>
    <w:rsid w:val="009B50CB"/>
    <w:rsid w:val="009B560A"/>
    <w:rsid w:val="009B5623"/>
    <w:rsid w:val="009B56B7"/>
    <w:rsid w:val="009B5881"/>
    <w:rsid w:val="009B5934"/>
    <w:rsid w:val="009B59DE"/>
    <w:rsid w:val="009B5A3C"/>
    <w:rsid w:val="009B5A48"/>
    <w:rsid w:val="009B5DAC"/>
    <w:rsid w:val="009B5DFE"/>
    <w:rsid w:val="009B6044"/>
    <w:rsid w:val="009B625F"/>
    <w:rsid w:val="009B64ED"/>
    <w:rsid w:val="009B6589"/>
    <w:rsid w:val="009B6641"/>
    <w:rsid w:val="009B6828"/>
    <w:rsid w:val="009B6884"/>
    <w:rsid w:val="009B69B2"/>
    <w:rsid w:val="009B6A2A"/>
    <w:rsid w:val="009B6C3F"/>
    <w:rsid w:val="009B6E47"/>
    <w:rsid w:val="009B7029"/>
    <w:rsid w:val="009B7057"/>
    <w:rsid w:val="009B70A1"/>
    <w:rsid w:val="009B74FC"/>
    <w:rsid w:val="009B76DC"/>
    <w:rsid w:val="009B7AB3"/>
    <w:rsid w:val="009B7B31"/>
    <w:rsid w:val="009B7C6A"/>
    <w:rsid w:val="009B7DCB"/>
    <w:rsid w:val="009B7E5F"/>
    <w:rsid w:val="009B7FA8"/>
    <w:rsid w:val="009B7FF6"/>
    <w:rsid w:val="009C004A"/>
    <w:rsid w:val="009C00FE"/>
    <w:rsid w:val="009C0151"/>
    <w:rsid w:val="009C045E"/>
    <w:rsid w:val="009C0575"/>
    <w:rsid w:val="009C0670"/>
    <w:rsid w:val="009C08A6"/>
    <w:rsid w:val="009C0983"/>
    <w:rsid w:val="009C09CC"/>
    <w:rsid w:val="009C0A93"/>
    <w:rsid w:val="009C0AD9"/>
    <w:rsid w:val="009C0B23"/>
    <w:rsid w:val="009C0BDF"/>
    <w:rsid w:val="009C0CA0"/>
    <w:rsid w:val="009C0E3E"/>
    <w:rsid w:val="009C0EDF"/>
    <w:rsid w:val="009C0EEF"/>
    <w:rsid w:val="009C0F94"/>
    <w:rsid w:val="009C102A"/>
    <w:rsid w:val="009C10AA"/>
    <w:rsid w:val="009C150B"/>
    <w:rsid w:val="009C160A"/>
    <w:rsid w:val="009C1B99"/>
    <w:rsid w:val="009C1D28"/>
    <w:rsid w:val="009C1F8F"/>
    <w:rsid w:val="009C1FE4"/>
    <w:rsid w:val="009C202F"/>
    <w:rsid w:val="009C2043"/>
    <w:rsid w:val="009C2171"/>
    <w:rsid w:val="009C2254"/>
    <w:rsid w:val="009C233B"/>
    <w:rsid w:val="009C23BA"/>
    <w:rsid w:val="009C2423"/>
    <w:rsid w:val="009C25E2"/>
    <w:rsid w:val="009C2666"/>
    <w:rsid w:val="009C2988"/>
    <w:rsid w:val="009C2A02"/>
    <w:rsid w:val="009C2A4D"/>
    <w:rsid w:val="009C2BA2"/>
    <w:rsid w:val="009C2DAD"/>
    <w:rsid w:val="009C31FD"/>
    <w:rsid w:val="009C3337"/>
    <w:rsid w:val="009C3552"/>
    <w:rsid w:val="009C3628"/>
    <w:rsid w:val="009C37CE"/>
    <w:rsid w:val="009C3850"/>
    <w:rsid w:val="009C39C7"/>
    <w:rsid w:val="009C3AAB"/>
    <w:rsid w:val="009C3AAD"/>
    <w:rsid w:val="009C3B0C"/>
    <w:rsid w:val="009C3B82"/>
    <w:rsid w:val="009C3BDE"/>
    <w:rsid w:val="009C3F97"/>
    <w:rsid w:val="009C4030"/>
    <w:rsid w:val="009C40BB"/>
    <w:rsid w:val="009C438E"/>
    <w:rsid w:val="009C44A5"/>
    <w:rsid w:val="009C45FF"/>
    <w:rsid w:val="009C4760"/>
    <w:rsid w:val="009C476C"/>
    <w:rsid w:val="009C4A7A"/>
    <w:rsid w:val="009C4B6E"/>
    <w:rsid w:val="009C4C84"/>
    <w:rsid w:val="009C4E2D"/>
    <w:rsid w:val="009C4F4D"/>
    <w:rsid w:val="009C5097"/>
    <w:rsid w:val="009C515B"/>
    <w:rsid w:val="009C51B3"/>
    <w:rsid w:val="009C527F"/>
    <w:rsid w:val="009C54D1"/>
    <w:rsid w:val="009C551E"/>
    <w:rsid w:val="009C5590"/>
    <w:rsid w:val="009C5659"/>
    <w:rsid w:val="009C575E"/>
    <w:rsid w:val="009C5A29"/>
    <w:rsid w:val="009C5C1A"/>
    <w:rsid w:val="009C5DA8"/>
    <w:rsid w:val="009C60D4"/>
    <w:rsid w:val="009C6166"/>
    <w:rsid w:val="009C61FE"/>
    <w:rsid w:val="009C635A"/>
    <w:rsid w:val="009C63E0"/>
    <w:rsid w:val="009C6686"/>
    <w:rsid w:val="009C6697"/>
    <w:rsid w:val="009C67B8"/>
    <w:rsid w:val="009C6874"/>
    <w:rsid w:val="009C68E6"/>
    <w:rsid w:val="009C6990"/>
    <w:rsid w:val="009C6B1F"/>
    <w:rsid w:val="009C6B2D"/>
    <w:rsid w:val="009C6BC1"/>
    <w:rsid w:val="009C6EA8"/>
    <w:rsid w:val="009C702B"/>
    <w:rsid w:val="009C708D"/>
    <w:rsid w:val="009C70BD"/>
    <w:rsid w:val="009C715F"/>
    <w:rsid w:val="009C7196"/>
    <w:rsid w:val="009C72B5"/>
    <w:rsid w:val="009C72FB"/>
    <w:rsid w:val="009C7356"/>
    <w:rsid w:val="009C741F"/>
    <w:rsid w:val="009C7731"/>
    <w:rsid w:val="009C7D18"/>
    <w:rsid w:val="009C7D5D"/>
    <w:rsid w:val="009C7EAA"/>
    <w:rsid w:val="009D0035"/>
    <w:rsid w:val="009D01D3"/>
    <w:rsid w:val="009D0230"/>
    <w:rsid w:val="009D0325"/>
    <w:rsid w:val="009D0365"/>
    <w:rsid w:val="009D0528"/>
    <w:rsid w:val="009D06C5"/>
    <w:rsid w:val="009D07AD"/>
    <w:rsid w:val="009D07C5"/>
    <w:rsid w:val="009D0E9E"/>
    <w:rsid w:val="009D0EE9"/>
    <w:rsid w:val="009D0F30"/>
    <w:rsid w:val="009D0FC3"/>
    <w:rsid w:val="009D0FE8"/>
    <w:rsid w:val="009D1222"/>
    <w:rsid w:val="009D1283"/>
    <w:rsid w:val="009D1295"/>
    <w:rsid w:val="009D14FA"/>
    <w:rsid w:val="009D16D1"/>
    <w:rsid w:val="009D16DF"/>
    <w:rsid w:val="009D1861"/>
    <w:rsid w:val="009D198E"/>
    <w:rsid w:val="009D1996"/>
    <w:rsid w:val="009D1A4C"/>
    <w:rsid w:val="009D2043"/>
    <w:rsid w:val="009D20BD"/>
    <w:rsid w:val="009D214D"/>
    <w:rsid w:val="009D234B"/>
    <w:rsid w:val="009D29F8"/>
    <w:rsid w:val="009D2A30"/>
    <w:rsid w:val="009D2BE8"/>
    <w:rsid w:val="009D2E02"/>
    <w:rsid w:val="009D2EE6"/>
    <w:rsid w:val="009D307A"/>
    <w:rsid w:val="009D30C2"/>
    <w:rsid w:val="009D3299"/>
    <w:rsid w:val="009D33E6"/>
    <w:rsid w:val="009D33FB"/>
    <w:rsid w:val="009D35CE"/>
    <w:rsid w:val="009D3CA8"/>
    <w:rsid w:val="009D3D32"/>
    <w:rsid w:val="009D3F42"/>
    <w:rsid w:val="009D41EA"/>
    <w:rsid w:val="009D4264"/>
    <w:rsid w:val="009D42C7"/>
    <w:rsid w:val="009D44CA"/>
    <w:rsid w:val="009D45BE"/>
    <w:rsid w:val="009D4614"/>
    <w:rsid w:val="009D464B"/>
    <w:rsid w:val="009D476F"/>
    <w:rsid w:val="009D4865"/>
    <w:rsid w:val="009D48AC"/>
    <w:rsid w:val="009D494C"/>
    <w:rsid w:val="009D4A50"/>
    <w:rsid w:val="009D4B47"/>
    <w:rsid w:val="009D514D"/>
    <w:rsid w:val="009D516C"/>
    <w:rsid w:val="009D54C2"/>
    <w:rsid w:val="009D55F7"/>
    <w:rsid w:val="009D5617"/>
    <w:rsid w:val="009D5638"/>
    <w:rsid w:val="009D58E1"/>
    <w:rsid w:val="009D5AA9"/>
    <w:rsid w:val="009D5B40"/>
    <w:rsid w:val="009D5C85"/>
    <w:rsid w:val="009D5E74"/>
    <w:rsid w:val="009D5FEB"/>
    <w:rsid w:val="009D60A5"/>
    <w:rsid w:val="009D614F"/>
    <w:rsid w:val="009D6174"/>
    <w:rsid w:val="009D62A3"/>
    <w:rsid w:val="009D63F8"/>
    <w:rsid w:val="009D6401"/>
    <w:rsid w:val="009D64A1"/>
    <w:rsid w:val="009D6538"/>
    <w:rsid w:val="009D656B"/>
    <w:rsid w:val="009D673D"/>
    <w:rsid w:val="009D697B"/>
    <w:rsid w:val="009D6B4D"/>
    <w:rsid w:val="009D6C4D"/>
    <w:rsid w:val="009D6D5D"/>
    <w:rsid w:val="009D7008"/>
    <w:rsid w:val="009D71A2"/>
    <w:rsid w:val="009D735F"/>
    <w:rsid w:val="009D737A"/>
    <w:rsid w:val="009D750E"/>
    <w:rsid w:val="009D7975"/>
    <w:rsid w:val="009D79ED"/>
    <w:rsid w:val="009D7B78"/>
    <w:rsid w:val="009D7C6D"/>
    <w:rsid w:val="009D7C76"/>
    <w:rsid w:val="009D7CA3"/>
    <w:rsid w:val="009D7E57"/>
    <w:rsid w:val="009D7F13"/>
    <w:rsid w:val="009E02AF"/>
    <w:rsid w:val="009E0371"/>
    <w:rsid w:val="009E0547"/>
    <w:rsid w:val="009E056D"/>
    <w:rsid w:val="009E0570"/>
    <w:rsid w:val="009E0704"/>
    <w:rsid w:val="009E07A2"/>
    <w:rsid w:val="009E09D9"/>
    <w:rsid w:val="009E0C94"/>
    <w:rsid w:val="009E0D4C"/>
    <w:rsid w:val="009E0D83"/>
    <w:rsid w:val="009E1004"/>
    <w:rsid w:val="009E1110"/>
    <w:rsid w:val="009E11DB"/>
    <w:rsid w:val="009E121C"/>
    <w:rsid w:val="009E142E"/>
    <w:rsid w:val="009E1502"/>
    <w:rsid w:val="009E16A7"/>
    <w:rsid w:val="009E179D"/>
    <w:rsid w:val="009E1C98"/>
    <w:rsid w:val="009E1F89"/>
    <w:rsid w:val="009E2084"/>
    <w:rsid w:val="009E20C1"/>
    <w:rsid w:val="009E20D0"/>
    <w:rsid w:val="009E2417"/>
    <w:rsid w:val="009E2677"/>
    <w:rsid w:val="009E26FF"/>
    <w:rsid w:val="009E27B8"/>
    <w:rsid w:val="009E296A"/>
    <w:rsid w:val="009E2A88"/>
    <w:rsid w:val="009E2B00"/>
    <w:rsid w:val="009E2D67"/>
    <w:rsid w:val="009E2ECC"/>
    <w:rsid w:val="009E3288"/>
    <w:rsid w:val="009E32A5"/>
    <w:rsid w:val="009E32FF"/>
    <w:rsid w:val="009E340D"/>
    <w:rsid w:val="009E349C"/>
    <w:rsid w:val="009E34BF"/>
    <w:rsid w:val="009E34C1"/>
    <w:rsid w:val="009E366B"/>
    <w:rsid w:val="009E368B"/>
    <w:rsid w:val="009E3810"/>
    <w:rsid w:val="009E398D"/>
    <w:rsid w:val="009E3BEA"/>
    <w:rsid w:val="009E3D2C"/>
    <w:rsid w:val="009E3D3F"/>
    <w:rsid w:val="009E3EFF"/>
    <w:rsid w:val="009E423F"/>
    <w:rsid w:val="009E4458"/>
    <w:rsid w:val="009E44BE"/>
    <w:rsid w:val="009E45D8"/>
    <w:rsid w:val="009E462A"/>
    <w:rsid w:val="009E48BE"/>
    <w:rsid w:val="009E4900"/>
    <w:rsid w:val="009E4A98"/>
    <w:rsid w:val="009E4AC2"/>
    <w:rsid w:val="009E4CC4"/>
    <w:rsid w:val="009E4D4C"/>
    <w:rsid w:val="009E4EF2"/>
    <w:rsid w:val="009E4FE4"/>
    <w:rsid w:val="009E50F0"/>
    <w:rsid w:val="009E5136"/>
    <w:rsid w:val="009E51A1"/>
    <w:rsid w:val="009E522A"/>
    <w:rsid w:val="009E52BD"/>
    <w:rsid w:val="009E5473"/>
    <w:rsid w:val="009E54B4"/>
    <w:rsid w:val="009E563C"/>
    <w:rsid w:val="009E5A0D"/>
    <w:rsid w:val="009E5A63"/>
    <w:rsid w:val="009E5AAB"/>
    <w:rsid w:val="009E5BBE"/>
    <w:rsid w:val="009E5BD5"/>
    <w:rsid w:val="009E5E06"/>
    <w:rsid w:val="009E5FA5"/>
    <w:rsid w:val="009E609C"/>
    <w:rsid w:val="009E60FC"/>
    <w:rsid w:val="009E61D1"/>
    <w:rsid w:val="009E6481"/>
    <w:rsid w:val="009E64F4"/>
    <w:rsid w:val="009E658A"/>
    <w:rsid w:val="009E67CC"/>
    <w:rsid w:val="009E67D0"/>
    <w:rsid w:val="009E69E3"/>
    <w:rsid w:val="009E6DE4"/>
    <w:rsid w:val="009E6EC2"/>
    <w:rsid w:val="009E6F15"/>
    <w:rsid w:val="009E706A"/>
    <w:rsid w:val="009E73D7"/>
    <w:rsid w:val="009E73FC"/>
    <w:rsid w:val="009E752B"/>
    <w:rsid w:val="009E757E"/>
    <w:rsid w:val="009E7709"/>
    <w:rsid w:val="009E7785"/>
    <w:rsid w:val="009E77F2"/>
    <w:rsid w:val="009E7901"/>
    <w:rsid w:val="009E7AE2"/>
    <w:rsid w:val="009E7BDD"/>
    <w:rsid w:val="009E7BDF"/>
    <w:rsid w:val="009E7F0E"/>
    <w:rsid w:val="009E7FE7"/>
    <w:rsid w:val="009F02DC"/>
    <w:rsid w:val="009F0CB2"/>
    <w:rsid w:val="009F0D2B"/>
    <w:rsid w:val="009F0D8B"/>
    <w:rsid w:val="009F0DD7"/>
    <w:rsid w:val="009F0EEF"/>
    <w:rsid w:val="009F1133"/>
    <w:rsid w:val="009F11D9"/>
    <w:rsid w:val="009F1283"/>
    <w:rsid w:val="009F12F8"/>
    <w:rsid w:val="009F1866"/>
    <w:rsid w:val="009F1884"/>
    <w:rsid w:val="009F18AE"/>
    <w:rsid w:val="009F19A7"/>
    <w:rsid w:val="009F24EB"/>
    <w:rsid w:val="009F2804"/>
    <w:rsid w:val="009F2813"/>
    <w:rsid w:val="009F28AC"/>
    <w:rsid w:val="009F2914"/>
    <w:rsid w:val="009F2A8C"/>
    <w:rsid w:val="009F2A98"/>
    <w:rsid w:val="009F2BB4"/>
    <w:rsid w:val="009F2DBB"/>
    <w:rsid w:val="009F2DC8"/>
    <w:rsid w:val="009F2FD8"/>
    <w:rsid w:val="009F3143"/>
    <w:rsid w:val="009F3288"/>
    <w:rsid w:val="009F35C0"/>
    <w:rsid w:val="009F37B1"/>
    <w:rsid w:val="009F38FB"/>
    <w:rsid w:val="009F3946"/>
    <w:rsid w:val="009F3A3F"/>
    <w:rsid w:val="009F3A81"/>
    <w:rsid w:val="009F3C26"/>
    <w:rsid w:val="009F3E93"/>
    <w:rsid w:val="009F4093"/>
    <w:rsid w:val="009F4123"/>
    <w:rsid w:val="009F42DA"/>
    <w:rsid w:val="009F4483"/>
    <w:rsid w:val="009F44ED"/>
    <w:rsid w:val="009F4A62"/>
    <w:rsid w:val="009F4B15"/>
    <w:rsid w:val="009F4D7F"/>
    <w:rsid w:val="009F4E9D"/>
    <w:rsid w:val="009F50BD"/>
    <w:rsid w:val="009F516A"/>
    <w:rsid w:val="009F5174"/>
    <w:rsid w:val="009F5293"/>
    <w:rsid w:val="009F544B"/>
    <w:rsid w:val="009F55DA"/>
    <w:rsid w:val="009F58E6"/>
    <w:rsid w:val="009F5924"/>
    <w:rsid w:val="009F5976"/>
    <w:rsid w:val="009F59D0"/>
    <w:rsid w:val="009F5ADD"/>
    <w:rsid w:val="009F5B4B"/>
    <w:rsid w:val="009F5B77"/>
    <w:rsid w:val="009F5B85"/>
    <w:rsid w:val="009F5E42"/>
    <w:rsid w:val="009F5EE5"/>
    <w:rsid w:val="009F5F5A"/>
    <w:rsid w:val="009F5FA0"/>
    <w:rsid w:val="009F5FF2"/>
    <w:rsid w:val="009F61B7"/>
    <w:rsid w:val="009F6239"/>
    <w:rsid w:val="009F6307"/>
    <w:rsid w:val="009F6CEC"/>
    <w:rsid w:val="009F6D7A"/>
    <w:rsid w:val="009F7147"/>
    <w:rsid w:val="009F718A"/>
    <w:rsid w:val="009F71A3"/>
    <w:rsid w:val="009F71A4"/>
    <w:rsid w:val="009F75CE"/>
    <w:rsid w:val="009F75EF"/>
    <w:rsid w:val="009F78E3"/>
    <w:rsid w:val="009F79A0"/>
    <w:rsid w:val="009F7B59"/>
    <w:rsid w:val="009F7D6E"/>
    <w:rsid w:val="009F7DA4"/>
    <w:rsid w:val="00A0026A"/>
    <w:rsid w:val="00A00281"/>
    <w:rsid w:val="00A003D0"/>
    <w:rsid w:val="00A00412"/>
    <w:rsid w:val="00A005F0"/>
    <w:rsid w:val="00A00716"/>
    <w:rsid w:val="00A00F41"/>
    <w:rsid w:val="00A01018"/>
    <w:rsid w:val="00A013D0"/>
    <w:rsid w:val="00A0140E"/>
    <w:rsid w:val="00A0143D"/>
    <w:rsid w:val="00A015FA"/>
    <w:rsid w:val="00A01709"/>
    <w:rsid w:val="00A01731"/>
    <w:rsid w:val="00A01991"/>
    <w:rsid w:val="00A01CFC"/>
    <w:rsid w:val="00A0210B"/>
    <w:rsid w:val="00A02120"/>
    <w:rsid w:val="00A02228"/>
    <w:rsid w:val="00A02566"/>
    <w:rsid w:val="00A02587"/>
    <w:rsid w:val="00A02615"/>
    <w:rsid w:val="00A028A0"/>
    <w:rsid w:val="00A02D3A"/>
    <w:rsid w:val="00A02E13"/>
    <w:rsid w:val="00A030FF"/>
    <w:rsid w:val="00A035F4"/>
    <w:rsid w:val="00A03A0E"/>
    <w:rsid w:val="00A03A61"/>
    <w:rsid w:val="00A03DA7"/>
    <w:rsid w:val="00A03F28"/>
    <w:rsid w:val="00A03F6C"/>
    <w:rsid w:val="00A03FA2"/>
    <w:rsid w:val="00A03FCC"/>
    <w:rsid w:val="00A04048"/>
    <w:rsid w:val="00A04086"/>
    <w:rsid w:val="00A045DB"/>
    <w:rsid w:val="00A046A8"/>
    <w:rsid w:val="00A04754"/>
    <w:rsid w:val="00A04913"/>
    <w:rsid w:val="00A04B86"/>
    <w:rsid w:val="00A04B9B"/>
    <w:rsid w:val="00A04D1C"/>
    <w:rsid w:val="00A04EBD"/>
    <w:rsid w:val="00A05020"/>
    <w:rsid w:val="00A0504E"/>
    <w:rsid w:val="00A05168"/>
    <w:rsid w:val="00A05215"/>
    <w:rsid w:val="00A05561"/>
    <w:rsid w:val="00A056E8"/>
    <w:rsid w:val="00A0571B"/>
    <w:rsid w:val="00A05778"/>
    <w:rsid w:val="00A05784"/>
    <w:rsid w:val="00A057AB"/>
    <w:rsid w:val="00A0580B"/>
    <w:rsid w:val="00A05CAD"/>
    <w:rsid w:val="00A05D5D"/>
    <w:rsid w:val="00A05EE7"/>
    <w:rsid w:val="00A06082"/>
    <w:rsid w:val="00A060D5"/>
    <w:rsid w:val="00A0631B"/>
    <w:rsid w:val="00A06656"/>
    <w:rsid w:val="00A0666B"/>
    <w:rsid w:val="00A06736"/>
    <w:rsid w:val="00A06B33"/>
    <w:rsid w:val="00A06D7C"/>
    <w:rsid w:val="00A06E36"/>
    <w:rsid w:val="00A06E62"/>
    <w:rsid w:val="00A071B5"/>
    <w:rsid w:val="00A074C6"/>
    <w:rsid w:val="00A07636"/>
    <w:rsid w:val="00A07738"/>
    <w:rsid w:val="00A0793F"/>
    <w:rsid w:val="00A07996"/>
    <w:rsid w:val="00A0799B"/>
    <w:rsid w:val="00A07A6C"/>
    <w:rsid w:val="00A07B35"/>
    <w:rsid w:val="00A07BD7"/>
    <w:rsid w:val="00A07D99"/>
    <w:rsid w:val="00A07DC7"/>
    <w:rsid w:val="00A07F73"/>
    <w:rsid w:val="00A10145"/>
    <w:rsid w:val="00A1079D"/>
    <w:rsid w:val="00A108AA"/>
    <w:rsid w:val="00A109B6"/>
    <w:rsid w:val="00A109C0"/>
    <w:rsid w:val="00A10A43"/>
    <w:rsid w:val="00A10CC5"/>
    <w:rsid w:val="00A10CF3"/>
    <w:rsid w:val="00A111DE"/>
    <w:rsid w:val="00A11516"/>
    <w:rsid w:val="00A11560"/>
    <w:rsid w:val="00A1162C"/>
    <w:rsid w:val="00A11A3F"/>
    <w:rsid w:val="00A11B51"/>
    <w:rsid w:val="00A11C20"/>
    <w:rsid w:val="00A11C34"/>
    <w:rsid w:val="00A11D8B"/>
    <w:rsid w:val="00A11F35"/>
    <w:rsid w:val="00A11F3D"/>
    <w:rsid w:val="00A11F57"/>
    <w:rsid w:val="00A11F77"/>
    <w:rsid w:val="00A11FDE"/>
    <w:rsid w:val="00A12051"/>
    <w:rsid w:val="00A12234"/>
    <w:rsid w:val="00A12619"/>
    <w:rsid w:val="00A126B0"/>
    <w:rsid w:val="00A127FB"/>
    <w:rsid w:val="00A1298C"/>
    <w:rsid w:val="00A12A10"/>
    <w:rsid w:val="00A12ACD"/>
    <w:rsid w:val="00A12C4A"/>
    <w:rsid w:val="00A12D1F"/>
    <w:rsid w:val="00A12D29"/>
    <w:rsid w:val="00A12D5E"/>
    <w:rsid w:val="00A12DEA"/>
    <w:rsid w:val="00A131E2"/>
    <w:rsid w:val="00A132C3"/>
    <w:rsid w:val="00A133AF"/>
    <w:rsid w:val="00A13557"/>
    <w:rsid w:val="00A135B5"/>
    <w:rsid w:val="00A137DB"/>
    <w:rsid w:val="00A137F4"/>
    <w:rsid w:val="00A1389B"/>
    <w:rsid w:val="00A1395B"/>
    <w:rsid w:val="00A13D40"/>
    <w:rsid w:val="00A13D91"/>
    <w:rsid w:val="00A1410B"/>
    <w:rsid w:val="00A14198"/>
    <w:rsid w:val="00A14388"/>
    <w:rsid w:val="00A14517"/>
    <w:rsid w:val="00A148AB"/>
    <w:rsid w:val="00A1493C"/>
    <w:rsid w:val="00A14A86"/>
    <w:rsid w:val="00A14D20"/>
    <w:rsid w:val="00A14F1C"/>
    <w:rsid w:val="00A15050"/>
    <w:rsid w:val="00A151F5"/>
    <w:rsid w:val="00A152D6"/>
    <w:rsid w:val="00A152F9"/>
    <w:rsid w:val="00A15359"/>
    <w:rsid w:val="00A154AC"/>
    <w:rsid w:val="00A1558F"/>
    <w:rsid w:val="00A155B2"/>
    <w:rsid w:val="00A156A5"/>
    <w:rsid w:val="00A15788"/>
    <w:rsid w:val="00A159BE"/>
    <w:rsid w:val="00A15A0B"/>
    <w:rsid w:val="00A15BB0"/>
    <w:rsid w:val="00A15BE4"/>
    <w:rsid w:val="00A15C46"/>
    <w:rsid w:val="00A15C78"/>
    <w:rsid w:val="00A15D23"/>
    <w:rsid w:val="00A15DD7"/>
    <w:rsid w:val="00A15E0F"/>
    <w:rsid w:val="00A15E3D"/>
    <w:rsid w:val="00A15EB8"/>
    <w:rsid w:val="00A160B4"/>
    <w:rsid w:val="00A161EC"/>
    <w:rsid w:val="00A161FC"/>
    <w:rsid w:val="00A16241"/>
    <w:rsid w:val="00A1642C"/>
    <w:rsid w:val="00A16682"/>
    <w:rsid w:val="00A16A69"/>
    <w:rsid w:val="00A16EBC"/>
    <w:rsid w:val="00A16EEA"/>
    <w:rsid w:val="00A17186"/>
    <w:rsid w:val="00A171BB"/>
    <w:rsid w:val="00A171D9"/>
    <w:rsid w:val="00A17223"/>
    <w:rsid w:val="00A173B4"/>
    <w:rsid w:val="00A173F3"/>
    <w:rsid w:val="00A17450"/>
    <w:rsid w:val="00A175B0"/>
    <w:rsid w:val="00A175C2"/>
    <w:rsid w:val="00A175CD"/>
    <w:rsid w:val="00A1790F"/>
    <w:rsid w:val="00A17A00"/>
    <w:rsid w:val="00A17ABE"/>
    <w:rsid w:val="00A17AF6"/>
    <w:rsid w:val="00A17F34"/>
    <w:rsid w:val="00A202F7"/>
    <w:rsid w:val="00A2044A"/>
    <w:rsid w:val="00A204AE"/>
    <w:rsid w:val="00A20502"/>
    <w:rsid w:val="00A205F7"/>
    <w:rsid w:val="00A205FF"/>
    <w:rsid w:val="00A2062D"/>
    <w:rsid w:val="00A206AF"/>
    <w:rsid w:val="00A207C5"/>
    <w:rsid w:val="00A208C1"/>
    <w:rsid w:val="00A20A37"/>
    <w:rsid w:val="00A20AAF"/>
    <w:rsid w:val="00A20B1F"/>
    <w:rsid w:val="00A20C1B"/>
    <w:rsid w:val="00A210F6"/>
    <w:rsid w:val="00A21259"/>
    <w:rsid w:val="00A2151A"/>
    <w:rsid w:val="00A21A81"/>
    <w:rsid w:val="00A21AA1"/>
    <w:rsid w:val="00A21C50"/>
    <w:rsid w:val="00A21DC3"/>
    <w:rsid w:val="00A21F7C"/>
    <w:rsid w:val="00A2210D"/>
    <w:rsid w:val="00A2221D"/>
    <w:rsid w:val="00A223C0"/>
    <w:rsid w:val="00A227D7"/>
    <w:rsid w:val="00A22843"/>
    <w:rsid w:val="00A228F5"/>
    <w:rsid w:val="00A229C3"/>
    <w:rsid w:val="00A22AE6"/>
    <w:rsid w:val="00A22DAD"/>
    <w:rsid w:val="00A2313B"/>
    <w:rsid w:val="00A2342C"/>
    <w:rsid w:val="00A234C8"/>
    <w:rsid w:val="00A23571"/>
    <w:rsid w:val="00A23754"/>
    <w:rsid w:val="00A2392C"/>
    <w:rsid w:val="00A239D5"/>
    <w:rsid w:val="00A239EE"/>
    <w:rsid w:val="00A23B29"/>
    <w:rsid w:val="00A23C6E"/>
    <w:rsid w:val="00A23D29"/>
    <w:rsid w:val="00A23E28"/>
    <w:rsid w:val="00A23E37"/>
    <w:rsid w:val="00A23F44"/>
    <w:rsid w:val="00A240B5"/>
    <w:rsid w:val="00A24153"/>
    <w:rsid w:val="00A241EE"/>
    <w:rsid w:val="00A241F4"/>
    <w:rsid w:val="00A24279"/>
    <w:rsid w:val="00A24390"/>
    <w:rsid w:val="00A2439D"/>
    <w:rsid w:val="00A2443B"/>
    <w:rsid w:val="00A24517"/>
    <w:rsid w:val="00A247E4"/>
    <w:rsid w:val="00A24812"/>
    <w:rsid w:val="00A248E9"/>
    <w:rsid w:val="00A24A15"/>
    <w:rsid w:val="00A24A41"/>
    <w:rsid w:val="00A24BB1"/>
    <w:rsid w:val="00A24C07"/>
    <w:rsid w:val="00A24D71"/>
    <w:rsid w:val="00A24E1C"/>
    <w:rsid w:val="00A24E4F"/>
    <w:rsid w:val="00A25354"/>
    <w:rsid w:val="00A25538"/>
    <w:rsid w:val="00A256C6"/>
    <w:rsid w:val="00A256D6"/>
    <w:rsid w:val="00A257FD"/>
    <w:rsid w:val="00A258B6"/>
    <w:rsid w:val="00A25940"/>
    <w:rsid w:val="00A25974"/>
    <w:rsid w:val="00A25B9B"/>
    <w:rsid w:val="00A25BD8"/>
    <w:rsid w:val="00A25CF8"/>
    <w:rsid w:val="00A25D0A"/>
    <w:rsid w:val="00A25DB9"/>
    <w:rsid w:val="00A25F87"/>
    <w:rsid w:val="00A2606A"/>
    <w:rsid w:val="00A2618C"/>
    <w:rsid w:val="00A2635A"/>
    <w:rsid w:val="00A26753"/>
    <w:rsid w:val="00A26980"/>
    <w:rsid w:val="00A26988"/>
    <w:rsid w:val="00A26C6A"/>
    <w:rsid w:val="00A26DAC"/>
    <w:rsid w:val="00A26E86"/>
    <w:rsid w:val="00A270B5"/>
    <w:rsid w:val="00A271E7"/>
    <w:rsid w:val="00A2720E"/>
    <w:rsid w:val="00A2722E"/>
    <w:rsid w:val="00A27388"/>
    <w:rsid w:val="00A273AE"/>
    <w:rsid w:val="00A274F0"/>
    <w:rsid w:val="00A276B8"/>
    <w:rsid w:val="00A276BB"/>
    <w:rsid w:val="00A2789B"/>
    <w:rsid w:val="00A27904"/>
    <w:rsid w:val="00A27B5B"/>
    <w:rsid w:val="00A27ED5"/>
    <w:rsid w:val="00A300C9"/>
    <w:rsid w:val="00A30183"/>
    <w:rsid w:val="00A30261"/>
    <w:rsid w:val="00A30298"/>
    <w:rsid w:val="00A302B3"/>
    <w:rsid w:val="00A30309"/>
    <w:rsid w:val="00A3041F"/>
    <w:rsid w:val="00A3053C"/>
    <w:rsid w:val="00A309BD"/>
    <w:rsid w:val="00A30AFF"/>
    <w:rsid w:val="00A30B8E"/>
    <w:rsid w:val="00A30CA7"/>
    <w:rsid w:val="00A30DAF"/>
    <w:rsid w:val="00A30E3D"/>
    <w:rsid w:val="00A30F40"/>
    <w:rsid w:val="00A30F45"/>
    <w:rsid w:val="00A30FF9"/>
    <w:rsid w:val="00A3111F"/>
    <w:rsid w:val="00A31293"/>
    <w:rsid w:val="00A313F9"/>
    <w:rsid w:val="00A31556"/>
    <w:rsid w:val="00A317B4"/>
    <w:rsid w:val="00A31828"/>
    <w:rsid w:val="00A31903"/>
    <w:rsid w:val="00A31BD2"/>
    <w:rsid w:val="00A31F1F"/>
    <w:rsid w:val="00A32241"/>
    <w:rsid w:val="00A322F1"/>
    <w:rsid w:val="00A32378"/>
    <w:rsid w:val="00A3271F"/>
    <w:rsid w:val="00A327AB"/>
    <w:rsid w:val="00A3299E"/>
    <w:rsid w:val="00A32B13"/>
    <w:rsid w:val="00A32E84"/>
    <w:rsid w:val="00A32F08"/>
    <w:rsid w:val="00A3310A"/>
    <w:rsid w:val="00A3326C"/>
    <w:rsid w:val="00A332C9"/>
    <w:rsid w:val="00A3352F"/>
    <w:rsid w:val="00A3376E"/>
    <w:rsid w:val="00A3385D"/>
    <w:rsid w:val="00A33B02"/>
    <w:rsid w:val="00A33D98"/>
    <w:rsid w:val="00A33DB4"/>
    <w:rsid w:val="00A3401A"/>
    <w:rsid w:val="00A34053"/>
    <w:rsid w:val="00A34081"/>
    <w:rsid w:val="00A340F9"/>
    <w:rsid w:val="00A343CA"/>
    <w:rsid w:val="00A34475"/>
    <w:rsid w:val="00A34506"/>
    <w:rsid w:val="00A3459D"/>
    <w:rsid w:val="00A3481A"/>
    <w:rsid w:val="00A34DCE"/>
    <w:rsid w:val="00A351C0"/>
    <w:rsid w:val="00A35279"/>
    <w:rsid w:val="00A3528D"/>
    <w:rsid w:val="00A3543B"/>
    <w:rsid w:val="00A3554F"/>
    <w:rsid w:val="00A35795"/>
    <w:rsid w:val="00A3582D"/>
    <w:rsid w:val="00A3584C"/>
    <w:rsid w:val="00A35B41"/>
    <w:rsid w:val="00A35B5F"/>
    <w:rsid w:val="00A35BE1"/>
    <w:rsid w:val="00A36325"/>
    <w:rsid w:val="00A3634F"/>
    <w:rsid w:val="00A3640A"/>
    <w:rsid w:val="00A36480"/>
    <w:rsid w:val="00A36574"/>
    <w:rsid w:val="00A36826"/>
    <w:rsid w:val="00A368F1"/>
    <w:rsid w:val="00A368FB"/>
    <w:rsid w:val="00A36953"/>
    <w:rsid w:val="00A369DF"/>
    <w:rsid w:val="00A369F9"/>
    <w:rsid w:val="00A36AC3"/>
    <w:rsid w:val="00A36B8B"/>
    <w:rsid w:val="00A36C51"/>
    <w:rsid w:val="00A36D25"/>
    <w:rsid w:val="00A36DD9"/>
    <w:rsid w:val="00A36E1D"/>
    <w:rsid w:val="00A36F07"/>
    <w:rsid w:val="00A36FA7"/>
    <w:rsid w:val="00A36FF3"/>
    <w:rsid w:val="00A37090"/>
    <w:rsid w:val="00A37143"/>
    <w:rsid w:val="00A371BB"/>
    <w:rsid w:val="00A37356"/>
    <w:rsid w:val="00A375BD"/>
    <w:rsid w:val="00A3767F"/>
    <w:rsid w:val="00A3781F"/>
    <w:rsid w:val="00A378AE"/>
    <w:rsid w:val="00A37A8D"/>
    <w:rsid w:val="00A37B1B"/>
    <w:rsid w:val="00A37B1C"/>
    <w:rsid w:val="00A37B91"/>
    <w:rsid w:val="00A37BF8"/>
    <w:rsid w:val="00A37C17"/>
    <w:rsid w:val="00A37C2E"/>
    <w:rsid w:val="00A37D23"/>
    <w:rsid w:val="00A37E81"/>
    <w:rsid w:val="00A4005A"/>
    <w:rsid w:val="00A4012B"/>
    <w:rsid w:val="00A4038E"/>
    <w:rsid w:val="00A40A7C"/>
    <w:rsid w:val="00A40B6F"/>
    <w:rsid w:val="00A40D71"/>
    <w:rsid w:val="00A40F35"/>
    <w:rsid w:val="00A41064"/>
    <w:rsid w:val="00A41103"/>
    <w:rsid w:val="00A41410"/>
    <w:rsid w:val="00A41435"/>
    <w:rsid w:val="00A41517"/>
    <w:rsid w:val="00A4155E"/>
    <w:rsid w:val="00A41707"/>
    <w:rsid w:val="00A4186A"/>
    <w:rsid w:val="00A419D3"/>
    <w:rsid w:val="00A419FA"/>
    <w:rsid w:val="00A41B04"/>
    <w:rsid w:val="00A41B86"/>
    <w:rsid w:val="00A41BF2"/>
    <w:rsid w:val="00A41E4C"/>
    <w:rsid w:val="00A41F5F"/>
    <w:rsid w:val="00A41FAF"/>
    <w:rsid w:val="00A41FC3"/>
    <w:rsid w:val="00A420AF"/>
    <w:rsid w:val="00A42118"/>
    <w:rsid w:val="00A422C9"/>
    <w:rsid w:val="00A4245D"/>
    <w:rsid w:val="00A42477"/>
    <w:rsid w:val="00A4258E"/>
    <w:rsid w:val="00A42663"/>
    <w:rsid w:val="00A426B1"/>
    <w:rsid w:val="00A428B5"/>
    <w:rsid w:val="00A42DE8"/>
    <w:rsid w:val="00A42E16"/>
    <w:rsid w:val="00A42F59"/>
    <w:rsid w:val="00A42FAA"/>
    <w:rsid w:val="00A42FB6"/>
    <w:rsid w:val="00A42FBF"/>
    <w:rsid w:val="00A42FCC"/>
    <w:rsid w:val="00A4306E"/>
    <w:rsid w:val="00A430F3"/>
    <w:rsid w:val="00A431C7"/>
    <w:rsid w:val="00A433B4"/>
    <w:rsid w:val="00A4375E"/>
    <w:rsid w:val="00A43879"/>
    <w:rsid w:val="00A43895"/>
    <w:rsid w:val="00A4390C"/>
    <w:rsid w:val="00A43981"/>
    <w:rsid w:val="00A43A09"/>
    <w:rsid w:val="00A43B58"/>
    <w:rsid w:val="00A43C96"/>
    <w:rsid w:val="00A43D0D"/>
    <w:rsid w:val="00A44047"/>
    <w:rsid w:val="00A44224"/>
    <w:rsid w:val="00A44266"/>
    <w:rsid w:val="00A442CF"/>
    <w:rsid w:val="00A443E7"/>
    <w:rsid w:val="00A4471A"/>
    <w:rsid w:val="00A44892"/>
    <w:rsid w:val="00A44A6B"/>
    <w:rsid w:val="00A44B8C"/>
    <w:rsid w:val="00A44EEF"/>
    <w:rsid w:val="00A450A2"/>
    <w:rsid w:val="00A450A4"/>
    <w:rsid w:val="00A4520B"/>
    <w:rsid w:val="00A453A4"/>
    <w:rsid w:val="00A454A2"/>
    <w:rsid w:val="00A45543"/>
    <w:rsid w:val="00A456C4"/>
    <w:rsid w:val="00A45742"/>
    <w:rsid w:val="00A4583B"/>
    <w:rsid w:val="00A45A50"/>
    <w:rsid w:val="00A45B14"/>
    <w:rsid w:val="00A45D93"/>
    <w:rsid w:val="00A45DA6"/>
    <w:rsid w:val="00A45F0B"/>
    <w:rsid w:val="00A46183"/>
    <w:rsid w:val="00A46249"/>
    <w:rsid w:val="00A462A8"/>
    <w:rsid w:val="00A4637B"/>
    <w:rsid w:val="00A46478"/>
    <w:rsid w:val="00A46754"/>
    <w:rsid w:val="00A46815"/>
    <w:rsid w:val="00A46883"/>
    <w:rsid w:val="00A468B7"/>
    <w:rsid w:val="00A468FD"/>
    <w:rsid w:val="00A4691A"/>
    <w:rsid w:val="00A469B7"/>
    <w:rsid w:val="00A46F03"/>
    <w:rsid w:val="00A4733C"/>
    <w:rsid w:val="00A474DB"/>
    <w:rsid w:val="00A47547"/>
    <w:rsid w:val="00A47550"/>
    <w:rsid w:val="00A47551"/>
    <w:rsid w:val="00A47633"/>
    <w:rsid w:val="00A47820"/>
    <w:rsid w:val="00A479E9"/>
    <w:rsid w:val="00A479ED"/>
    <w:rsid w:val="00A47B4D"/>
    <w:rsid w:val="00A47DCC"/>
    <w:rsid w:val="00A47F7A"/>
    <w:rsid w:val="00A47FB3"/>
    <w:rsid w:val="00A50109"/>
    <w:rsid w:val="00A50218"/>
    <w:rsid w:val="00A50311"/>
    <w:rsid w:val="00A504A2"/>
    <w:rsid w:val="00A50737"/>
    <w:rsid w:val="00A50754"/>
    <w:rsid w:val="00A50812"/>
    <w:rsid w:val="00A5097A"/>
    <w:rsid w:val="00A50A96"/>
    <w:rsid w:val="00A50AD5"/>
    <w:rsid w:val="00A50B54"/>
    <w:rsid w:val="00A50CA1"/>
    <w:rsid w:val="00A50DBF"/>
    <w:rsid w:val="00A510E9"/>
    <w:rsid w:val="00A51177"/>
    <w:rsid w:val="00A5117E"/>
    <w:rsid w:val="00A5128D"/>
    <w:rsid w:val="00A51446"/>
    <w:rsid w:val="00A5173B"/>
    <w:rsid w:val="00A517C1"/>
    <w:rsid w:val="00A51A0A"/>
    <w:rsid w:val="00A51ACD"/>
    <w:rsid w:val="00A51BC1"/>
    <w:rsid w:val="00A51BDF"/>
    <w:rsid w:val="00A51CAF"/>
    <w:rsid w:val="00A52050"/>
    <w:rsid w:val="00A520F8"/>
    <w:rsid w:val="00A5218B"/>
    <w:rsid w:val="00A52217"/>
    <w:rsid w:val="00A52251"/>
    <w:rsid w:val="00A52455"/>
    <w:rsid w:val="00A528BA"/>
    <w:rsid w:val="00A528DF"/>
    <w:rsid w:val="00A52E50"/>
    <w:rsid w:val="00A52E6F"/>
    <w:rsid w:val="00A5319D"/>
    <w:rsid w:val="00A532DC"/>
    <w:rsid w:val="00A53403"/>
    <w:rsid w:val="00A5342B"/>
    <w:rsid w:val="00A5344A"/>
    <w:rsid w:val="00A535B5"/>
    <w:rsid w:val="00A535DC"/>
    <w:rsid w:val="00A535E8"/>
    <w:rsid w:val="00A536EF"/>
    <w:rsid w:val="00A53760"/>
    <w:rsid w:val="00A538AE"/>
    <w:rsid w:val="00A53AA2"/>
    <w:rsid w:val="00A53ABE"/>
    <w:rsid w:val="00A53CE9"/>
    <w:rsid w:val="00A53D3E"/>
    <w:rsid w:val="00A53DFE"/>
    <w:rsid w:val="00A53FC3"/>
    <w:rsid w:val="00A54020"/>
    <w:rsid w:val="00A54056"/>
    <w:rsid w:val="00A54172"/>
    <w:rsid w:val="00A54199"/>
    <w:rsid w:val="00A54323"/>
    <w:rsid w:val="00A54568"/>
    <w:rsid w:val="00A54621"/>
    <w:rsid w:val="00A547B8"/>
    <w:rsid w:val="00A54832"/>
    <w:rsid w:val="00A548BC"/>
    <w:rsid w:val="00A54A8C"/>
    <w:rsid w:val="00A54DB4"/>
    <w:rsid w:val="00A54FD3"/>
    <w:rsid w:val="00A553D6"/>
    <w:rsid w:val="00A556BA"/>
    <w:rsid w:val="00A55741"/>
    <w:rsid w:val="00A5576A"/>
    <w:rsid w:val="00A557FF"/>
    <w:rsid w:val="00A5586B"/>
    <w:rsid w:val="00A55B77"/>
    <w:rsid w:val="00A55C8B"/>
    <w:rsid w:val="00A5615C"/>
    <w:rsid w:val="00A5643D"/>
    <w:rsid w:val="00A56450"/>
    <w:rsid w:val="00A565F8"/>
    <w:rsid w:val="00A56687"/>
    <w:rsid w:val="00A56768"/>
    <w:rsid w:val="00A56885"/>
    <w:rsid w:val="00A56B6A"/>
    <w:rsid w:val="00A56B91"/>
    <w:rsid w:val="00A56C46"/>
    <w:rsid w:val="00A56EB0"/>
    <w:rsid w:val="00A56FF8"/>
    <w:rsid w:val="00A5700C"/>
    <w:rsid w:val="00A570A1"/>
    <w:rsid w:val="00A5739F"/>
    <w:rsid w:val="00A5747A"/>
    <w:rsid w:val="00A575B0"/>
    <w:rsid w:val="00A577B1"/>
    <w:rsid w:val="00A579FF"/>
    <w:rsid w:val="00A57BC1"/>
    <w:rsid w:val="00A57E04"/>
    <w:rsid w:val="00A57ED2"/>
    <w:rsid w:val="00A57ED3"/>
    <w:rsid w:val="00A60087"/>
    <w:rsid w:val="00A60161"/>
    <w:rsid w:val="00A603B1"/>
    <w:rsid w:val="00A6086B"/>
    <w:rsid w:val="00A60A23"/>
    <w:rsid w:val="00A60D1F"/>
    <w:rsid w:val="00A60E9B"/>
    <w:rsid w:val="00A60F32"/>
    <w:rsid w:val="00A60F6F"/>
    <w:rsid w:val="00A610F1"/>
    <w:rsid w:val="00A61130"/>
    <w:rsid w:val="00A6125D"/>
    <w:rsid w:val="00A61297"/>
    <w:rsid w:val="00A612F1"/>
    <w:rsid w:val="00A612F2"/>
    <w:rsid w:val="00A61389"/>
    <w:rsid w:val="00A613EE"/>
    <w:rsid w:val="00A616EB"/>
    <w:rsid w:val="00A61810"/>
    <w:rsid w:val="00A61DC5"/>
    <w:rsid w:val="00A61DCC"/>
    <w:rsid w:val="00A61E8A"/>
    <w:rsid w:val="00A61E96"/>
    <w:rsid w:val="00A62016"/>
    <w:rsid w:val="00A6209D"/>
    <w:rsid w:val="00A62208"/>
    <w:rsid w:val="00A622F2"/>
    <w:rsid w:val="00A623FF"/>
    <w:rsid w:val="00A62515"/>
    <w:rsid w:val="00A626C0"/>
    <w:rsid w:val="00A628FF"/>
    <w:rsid w:val="00A6297D"/>
    <w:rsid w:val="00A62AEF"/>
    <w:rsid w:val="00A62AF5"/>
    <w:rsid w:val="00A62B84"/>
    <w:rsid w:val="00A62C64"/>
    <w:rsid w:val="00A62EAC"/>
    <w:rsid w:val="00A62F62"/>
    <w:rsid w:val="00A62F98"/>
    <w:rsid w:val="00A62FCC"/>
    <w:rsid w:val="00A63046"/>
    <w:rsid w:val="00A632F1"/>
    <w:rsid w:val="00A63389"/>
    <w:rsid w:val="00A633DC"/>
    <w:rsid w:val="00A6356C"/>
    <w:rsid w:val="00A635B5"/>
    <w:rsid w:val="00A63700"/>
    <w:rsid w:val="00A63831"/>
    <w:rsid w:val="00A63AD8"/>
    <w:rsid w:val="00A63AF6"/>
    <w:rsid w:val="00A63DBB"/>
    <w:rsid w:val="00A63E0D"/>
    <w:rsid w:val="00A63E25"/>
    <w:rsid w:val="00A63EA5"/>
    <w:rsid w:val="00A6409D"/>
    <w:rsid w:val="00A640F3"/>
    <w:rsid w:val="00A64273"/>
    <w:rsid w:val="00A64283"/>
    <w:rsid w:val="00A645DF"/>
    <w:rsid w:val="00A6477A"/>
    <w:rsid w:val="00A64806"/>
    <w:rsid w:val="00A64882"/>
    <w:rsid w:val="00A648BB"/>
    <w:rsid w:val="00A64960"/>
    <w:rsid w:val="00A64972"/>
    <w:rsid w:val="00A64A04"/>
    <w:rsid w:val="00A64ADA"/>
    <w:rsid w:val="00A64C1C"/>
    <w:rsid w:val="00A64E02"/>
    <w:rsid w:val="00A64EDB"/>
    <w:rsid w:val="00A650A8"/>
    <w:rsid w:val="00A65102"/>
    <w:rsid w:val="00A65142"/>
    <w:rsid w:val="00A651A6"/>
    <w:rsid w:val="00A65247"/>
    <w:rsid w:val="00A65373"/>
    <w:rsid w:val="00A65542"/>
    <w:rsid w:val="00A658B2"/>
    <w:rsid w:val="00A659D8"/>
    <w:rsid w:val="00A65A5E"/>
    <w:rsid w:val="00A65AD2"/>
    <w:rsid w:val="00A65B09"/>
    <w:rsid w:val="00A65C22"/>
    <w:rsid w:val="00A65C7C"/>
    <w:rsid w:val="00A65D59"/>
    <w:rsid w:val="00A65EC5"/>
    <w:rsid w:val="00A6634C"/>
    <w:rsid w:val="00A6651F"/>
    <w:rsid w:val="00A66537"/>
    <w:rsid w:val="00A6653F"/>
    <w:rsid w:val="00A668EC"/>
    <w:rsid w:val="00A66976"/>
    <w:rsid w:val="00A66A95"/>
    <w:rsid w:val="00A66C24"/>
    <w:rsid w:val="00A66C3A"/>
    <w:rsid w:val="00A66CD4"/>
    <w:rsid w:val="00A66E4D"/>
    <w:rsid w:val="00A66EAB"/>
    <w:rsid w:val="00A66FCD"/>
    <w:rsid w:val="00A66FFC"/>
    <w:rsid w:val="00A67009"/>
    <w:rsid w:val="00A670BE"/>
    <w:rsid w:val="00A6720D"/>
    <w:rsid w:val="00A6725F"/>
    <w:rsid w:val="00A672A3"/>
    <w:rsid w:val="00A672C5"/>
    <w:rsid w:val="00A67417"/>
    <w:rsid w:val="00A674F4"/>
    <w:rsid w:val="00A6753A"/>
    <w:rsid w:val="00A67547"/>
    <w:rsid w:val="00A67597"/>
    <w:rsid w:val="00A678AB"/>
    <w:rsid w:val="00A67993"/>
    <w:rsid w:val="00A67A3C"/>
    <w:rsid w:val="00A704F1"/>
    <w:rsid w:val="00A70626"/>
    <w:rsid w:val="00A706F7"/>
    <w:rsid w:val="00A70703"/>
    <w:rsid w:val="00A707CB"/>
    <w:rsid w:val="00A70ACF"/>
    <w:rsid w:val="00A70B2C"/>
    <w:rsid w:val="00A70F47"/>
    <w:rsid w:val="00A71027"/>
    <w:rsid w:val="00A71032"/>
    <w:rsid w:val="00A7107B"/>
    <w:rsid w:val="00A7111B"/>
    <w:rsid w:val="00A71136"/>
    <w:rsid w:val="00A71179"/>
    <w:rsid w:val="00A7123D"/>
    <w:rsid w:val="00A7153D"/>
    <w:rsid w:val="00A71699"/>
    <w:rsid w:val="00A71AD4"/>
    <w:rsid w:val="00A71B2E"/>
    <w:rsid w:val="00A71C57"/>
    <w:rsid w:val="00A71D99"/>
    <w:rsid w:val="00A71F45"/>
    <w:rsid w:val="00A720C3"/>
    <w:rsid w:val="00A7218C"/>
    <w:rsid w:val="00A72212"/>
    <w:rsid w:val="00A722BA"/>
    <w:rsid w:val="00A72317"/>
    <w:rsid w:val="00A724EA"/>
    <w:rsid w:val="00A72537"/>
    <w:rsid w:val="00A72629"/>
    <w:rsid w:val="00A726C4"/>
    <w:rsid w:val="00A7270D"/>
    <w:rsid w:val="00A7274D"/>
    <w:rsid w:val="00A728A8"/>
    <w:rsid w:val="00A7297C"/>
    <w:rsid w:val="00A72982"/>
    <w:rsid w:val="00A72B02"/>
    <w:rsid w:val="00A72B30"/>
    <w:rsid w:val="00A7309A"/>
    <w:rsid w:val="00A732F4"/>
    <w:rsid w:val="00A732F7"/>
    <w:rsid w:val="00A73661"/>
    <w:rsid w:val="00A7368B"/>
    <w:rsid w:val="00A736F3"/>
    <w:rsid w:val="00A73750"/>
    <w:rsid w:val="00A738A4"/>
    <w:rsid w:val="00A7396B"/>
    <w:rsid w:val="00A73AF7"/>
    <w:rsid w:val="00A73B6A"/>
    <w:rsid w:val="00A73B72"/>
    <w:rsid w:val="00A73CF8"/>
    <w:rsid w:val="00A73D5C"/>
    <w:rsid w:val="00A73D75"/>
    <w:rsid w:val="00A73FC4"/>
    <w:rsid w:val="00A74207"/>
    <w:rsid w:val="00A7460B"/>
    <w:rsid w:val="00A7464C"/>
    <w:rsid w:val="00A7468A"/>
    <w:rsid w:val="00A749BA"/>
    <w:rsid w:val="00A74A79"/>
    <w:rsid w:val="00A74AC0"/>
    <w:rsid w:val="00A74AC5"/>
    <w:rsid w:val="00A74B77"/>
    <w:rsid w:val="00A74C31"/>
    <w:rsid w:val="00A74F84"/>
    <w:rsid w:val="00A7503F"/>
    <w:rsid w:val="00A75153"/>
    <w:rsid w:val="00A75185"/>
    <w:rsid w:val="00A756CE"/>
    <w:rsid w:val="00A757CC"/>
    <w:rsid w:val="00A758BB"/>
    <w:rsid w:val="00A75BC3"/>
    <w:rsid w:val="00A75EA7"/>
    <w:rsid w:val="00A75ECD"/>
    <w:rsid w:val="00A762DE"/>
    <w:rsid w:val="00A762FA"/>
    <w:rsid w:val="00A7637F"/>
    <w:rsid w:val="00A764D4"/>
    <w:rsid w:val="00A765B6"/>
    <w:rsid w:val="00A76797"/>
    <w:rsid w:val="00A76803"/>
    <w:rsid w:val="00A769F4"/>
    <w:rsid w:val="00A76A3B"/>
    <w:rsid w:val="00A76D00"/>
    <w:rsid w:val="00A77005"/>
    <w:rsid w:val="00A77031"/>
    <w:rsid w:val="00A770B1"/>
    <w:rsid w:val="00A77260"/>
    <w:rsid w:val="00A772C9"/>
    <w:rsid w:val="00A7733B"/>
    <w:rsid w:val="00A774BE"/>
    <w:rsid w:val="00A77545"/>
    <w:rsid w:val="00A775CE"/>
    <w:rsid w:val="00A777D7"/>
    <w:rsid w:val="00A778D2"/>
    <w:rsid w:val="00A77A73"/>
    <w:rsid w:val="00A77ADF"/>
    <w:rsid w:val="00A77EC3"/>
    <w:rsid w:val="00A77ECC"/>
    <w:rsid w:val="00A80079"/>
    <w:rsid w:val="00A805B5"/>
    <w:rsid w:val="00A806D6"/>
    <w:rsid w:val="00A80717"/>
    <w:rsid w:val="00A80849"/>
    <w:rsid w:val="00A808ED"/>
    <w:rsid w:val="00A80A87"/>
    <w:rsid w:val="00A80EFD"/>
    <w:rsid w:val="00A80EFF"/>
    <w:rsid w:val="00A80F19"/>
    <w:rsid w:val="00A81068"/>
    <w:rsid w:val="00A810C3"/>
    <w:rsid w:val="00A81188"/>
    <w:rsid w:val="00A8137F"/>
    <w:rsid w:val="00A8162F"/>
    <w:rsid w:val="00A8179A"/>
    <w:rsid w:val="00A817EC"/>
    <w:rsid w:val="00A81956"/>
    <w:rsid w:val="00A81B3A"/>
    <w:rsid w:val="00A81B65"/>
    <w:rsid w:val="00A81CFE"/>
    <w:rsid w:val="00A82033"/>
    <w:rsid w:val="00A82068"/>
    <w:rsid w:val="00A82207"/>
    <w:rsid w:val="00A824F4"/>
    <w:rsid w:val="00A82ABE"/>
    <w:rsid w:val="00A82AF0"/>
    <w:rsid w:val="00A82B83"/>
    <w:rsid w:val="00A82DF4"/>
    <w:rsid w:val="00A82E77"/>
    <w:rsid w:val="00A82FA1"/>
    <w:rsid w:val="00A82FB9"/>
    <w:rsid w:val="00A83504"/>
    <w:rsid w:val="00A83615"/>
    <w:rsid w:val="00A8388C"/>
    <w:rsid w:val="00A839BE"/>
    <w:rsid w:val="00A83B15"/>
    <w:rsid w:val="00A83C87"/>
    <w:rsid w:val="00A83D7F"/>
    <w:rsid w:val="00A83E34"/>
    <w:rsid w:val="00A83E97"/>
    <w:rsid w:val="00A83F01"/>
    <w:rsid w:val="00A83F71"/>
    <w:rsid w:val="00A84088"/>
    <w:rsid w:val="00A8408C"/>
    <w:rsid w:val="00A8471E"/>
    <w:rsid w:val="00A849A4"/>
    <w:rsid w:val="00A849E5"/>
    <w:rsid w:val="00A84A64"/>
    <w:rsid w:val="00A84B46"/>
    <w:rsid w:val="00A84B51"/>
    <w:rsid w:val="00A850E1"/>
    <w:rsid w:val="00A853AA"/>
    <w:rsid w:val="00A8555C"/>
    <w:rsid w:val="00A855A2"/>
    <w:rsid w:val="00A85910"/>
    <w:rsid w:val="00A859F4"/>
    <w:rsid w:val="00A85A44"/>
    <w:rsid w:val="00A85BE4"/>
    <w:rsid w:val="00A85DA9"/>
    <w:rsid w:val="00A85DC3"/>
    <w:rsid w:val="00A85DFF"/>
    <w:rsid w:val="00A8610F"/>
    <w:rsid w:val="00A86237"/>
    <w:rsid w:val="00A86343"/>
    <w:rsid w:val="00A864AA"/>
    <w:rsid w:val="00A864B8"/>
    <w:rsid w:val="00A86838"/>
    <w:rsid w:val="00A869CE"/>
    <w:rsid w:val="00A86B33"/>
    <w:rsid w:val="00A86B4F"/>
    <w:rsid w:val="00A86B66"/>
    <w:rsid w:val="00A86BC2"/>
    <w:rsid w:val="00A86C66"/>
    <w:rsid w:val="00A86FB1"/>
    <w:rsid w:val="00A86FD5"/>
    <w:rsid w:val="00A87254"/>
    <w:rsid w:val="00A8727C"/>
    <w:rsid w:val="00A872E0"/>
    <w:rsid w:val="00A873B2"/>
    <w:rsid w:val="00A87428"/>
    <w:rsid w:val="00A874C4"/>
    <w:rsid w:val="00A87552"/>
    <w:rsid w:val="00A876E6"/>
    <w:rsid w:val="00A87869"/>
    <w:rsid w:val="00A87968"/>
    <w:rsid w:val="00A8797D"/>
    <w:rsid w:val="00A879C1"/>
    <w:rsid w:val="00A87A50"/>
    <w:rsid w:val="00A87D7C"/>
    <w:rsid w:val="00A87DEF"/>
    <w:rsid w:val="00A87E19"/>
    <w:rsid w:val="00A87E90"/>
    <w:rsid w:val="00A90198"/>
    <w:rsid w:val="00A903E4"/>
    <w:rsid w:val="00A9091F"/>
    <w:rsid w:val="00A9099D"/>
    <w:rsid w:val="00A90B12"/>
    <w:rsid w:val="00A90E99"/>
    <w:rsid w:val="00A9115F"/>
    <w:rsid w:val="00A911B5"/>
    <w:rsid w:val="00A917F6"/>
    <w:rsid w:val="00A91A0D"/>
    <w:rsid w:val="00A91BB1"/>
    <w:rsid w:val="00A91D06"/>
    <w:rsid w:val="00A91DC2"/>
    <w:rsid w:val="00A91FFB"/>
    <w:rsid w:val="00A92010"/>
    <w:rsid w:val="00A92123"/>
    <w:rsid w:val="00A92159"/>
    <w:rsid w:val="00A92466"/>
    <w:rsid w:val="00A92679"/>
    <w:rsid w:val="00A9269B"/>
    <w:rsid w:val="00A927DF"/>
    <w:rsid w:val="00A92809"/>
    <w:rsid w:val="00A92B80"/>
    <w:rsid w:val="00A9300A"/>
    <w:rsid w:val="00A93129"/>
    <w:rsid w:val="00A932F7"/>
    <w:rsid w:val="00A933ED"/>
    <w:rsid w:val="00A9389C"/>
    <w:rsid w:val="00A939E7"/>
    <w:rsid w:val="00A93B18"/>
    <w:rsid w:val="00A93B5F"/>
    <w:rsid w:val="00A93C11"/>
    <w:rsid w:val="00A93CE6"/>
    <w:rsid w:val="00A93EF4"/>
    <w:rsid w:val="00A93F6D"/>
    <w:rsid w:val="00A93FE7"/>
    <w:rsid w:val="00A93FED"/>
    <w:rsid w:val="00A940F4"/>
    <w:rsid w:val="00A942E4"/>
    <w:rsid w:val="00A9444D"/>
    <w:rsid w:val="00A9463D"/>
    <w:rsid w:val="00A9464B"/>
    <w:rsid w:val="00A947CC"/>
    <w:rsid w:val="00A94860"/>
    <w:rsid w:val="00A94AC9"/>
    <w:rsid w:val="00A94B06"/>
    <w:rsid w:val="00A94BB8"/>
    <w:rsid w:val="00A94C9E"/>
    <w:rsid w:val="00A94DF5"/>
    <w:rsid w:val="00A94EFA"/>
    <w:rsid w:val="00A94F32"/>
    <w:rsid w:val="00A94F65"/>
    <w:rsid w:val="00A950F2"/>
    <w:rsid w:val="00A95184"/>
    <w:rsid w:val="00A951F0"/>
    <w:rsid w:val="00A95321"/>
    <w:rsid w:val="00A9540B"/>
    <w:rsid w:val="00A9543B"/>
    <w:rsid w:val="00A95450"/>
    <w:rsid w:val="00A957B4"/>
    <w:rsid w:val="00A957D1"/>
    <w:rsid w:val="00A958FC"/>
    <w:rsid w:val="00A95A6D"/>
    <w:rsid w:val="00A95DA1"/>
    <w:rsid w:val="00A96087"/>
    <w:rsid w:val="00A960F2"/>
    <w:rsid w:val="00A961ED"/>
    <w:rsid w:val="00A966A7"/>
    <w:rsid w:val="00A96BB2"/>
    <w:rsid w:val="00A96BBE"/>
    <w:rsid w:val="00A96CD6"/>
    <w:rsid w:val="00A96D07"/>
    <w:rsid w:val="00A96F54"/>
    <w:rsid w:val="00A96F63"/>
    <w:rsid w:val="00A970C9"/>
    <w:rsid w:val="00A973BB"/>
    <w:rsid w:val="00A974F9"/>
    <w:rsid w:val="00A9753E"/>
    <w:rsid w:val="00A97614"/>
    <w:rsid w:val="00A9775D"/>
    <w:rsid w:val="00A97776"/>
    <w:rsid w:val="00A977AC"/>
    <w:rsid w:val="00A978C0"/>
    <w:rsid w:val="00A97B48"/>
    <w:rsid w:val="00A97CA7"/>
    <w:rsid w:val="00A97D51"/>
    <w:rsid w:val="00A97E48"/>
    <w:rsid w:val="00A97EA0"/>
    <w:rsid w:val="00AA016D"/>
    <w:rsid w:val="00AA01B6"/>
    <w:rsid w:val="00AA01F2"/>
    <w:rsid w:val="00AA0229"/>
    <w:rsid w:val="00AA0491"/>
    <w:rsid w:val="00AA05C5"/>
    <w:rsid w:val="00AA0694"/>
    <w:rsid w:val="00AA076C"/>
    <w:rsid w:val="00AA07A4"/>
    <w:rsid w:val="00AA092A"/>
    <w:rsid w:val="00AA0A3A"/>
    <w:rsid w:val="00AA0AD7"/>
    <w:rsid w:val="00AA0B51"/>
    <w:rsid w:val="00AA0DF0"/>
    <w:rsid w:val="00AA1074"/>
    <w:rsid w:val="00AA1430"/>
    <w:rsid w:val="00AA149D"/>
    <w:rsid w:val="00AA1568"/>
    <w:rsid w:val="00AA1630"/>
    <w:rsid w:val="00AA1640"/>
    <w:rsid w:val="00AA1C6A"/>
    <w:rsid w:val="00AA1E6D"/>
    <w:rsid w:val="00AA206F"/>
    <w:rsid w:val="00AA2080"/>
    <w:rsid w:val="00AA20E8"/>
    <w:rsid w:val="00AA213F"/>
    <w:rsid w:val="00AA22EE"/>
    <w:rsid w:val="00AA2503"/>
    <w:rsid w:val="00AA253A"/>
    <w:rsid w:val="00AA25D8"/>
    <w:rsid w:val="00AA28D7"/>
    <w:rsid w:val="00AA2BC1"/>
    <w:rsid w:val="00AA2D05"/>
    <w:rsid w:val="00AA2D95"/>
    <w:rsid w:val="00AA2F07"/>
    <w:rsid w:val="00AA2F0C"/>
    <w:rsid w:val="00AA2F6D"/>
    <w:rsid w:val="00AA30AF"/>
    <w:rsid w:val="00AA31F7"/>
    <w:rsid w:val="00AA334E"/>
    <w:rsid w:val="00AA340F"/>
    <w:rsid w:val="00AA36E6"/>
    <w:rsid w:val="00AA3753"/>
    <w:rsid w:val="00AA3936"/>
    <w:rsid w:val="00AA398B"/>
    <w:rsid w:val="00AA3A85"/>
    <w:rsid w:val="00AA3AFC"/>
    <w:rsid w:val="00AA3B6A"/>
    <w:rsid w:val="00AA3B9E"/>
    <w:rsid w:val="00AA3BC1"/>
    <w:rsid w:val="00AA3C08"/>
    <w:rsid w:val="00AA41EC"/>
    <w:rsid w:val="00AA421D"/>
    <w:rsid w:val="00AA4375"/>
    <w:rsid w:val="00AA4535"/>
    <w:rsid w:val="00AA483E"/>
    <w:rsid w:val="00AA4A63"/>
    <w:rsid w:val="00AA4B77"/>
    <w:rsid w:val="00AA4C23"/>
    <w:rsid w:val="00AA4D91"/>
    <w:rsid w:val="00AA5297"/>
    <w:rsid w:val="00AA53D7"/>
    <w:rsid w:val="00AA53E9"/>
    <w:rsid w:val="00AA54F2"/>
    <w:rsid w:val="00AA5574"/>
    <w:rsid w:val="00AA55FD"/>
    <w:rsid w:val="00AA5862"/>
    <w:rsid w:val="00AA5AB2"/>
    <w:rsid w:val="00AA5ACC"/>
    <w:rsid w:val="00AA5B8B"/>
    <w:rsid w:val="00AA5C1B"/>
    <w:rsid w:val="00AA5C7E"/>
    <w:rsid w:val="00AA5F1F"/>
    <w:rsid w:val="00AA6062"/>
    <w:rsid w:val="00AA60F1"/>
    <w:rsid w:val="00AA62F4"/>
    <w:rsid w:val="00AA6308"/>
    <w:rsid w:val="00AA6332"/>
    <w:rsid w:val="00AA635C"/>
    <w:rsid w:val="00AA647E"/>
    <w:rsid w:val="00AA66F6"/>
    <w:rsid w:val="00AA6C85"/>
    <w:rsid w:val="00AA6F0A"/>
    <w:rsid w:val="00AA6F23"/>
    <w:rsid w:val="00AA74CC"/>
    <w:rsid w:val="00AA7889"/>
    <w:rsid w:val="00AA79CF"/>
    <w:rsid w:val="00AA7C75"/>
    <w:rsid w:val="00AA7CFE"/>
    <w:rsid w:val="00AB0339"/>
    <w:rsid w:val="00AB0388"/>
    <w:rsid w:val="00AB0448"/>
    <w:rsid w:val="00AB04F8"/>
    <w:rsid w:val="00AB0612"/>
    <w:rsid w:val="00AB06EE"/>
    <w:rsid w:val="00AB07AD"/>
    <w:rsid w:val="00AB07F5"/>
    <w:rsid w:val="00AB080E"/>
    <w:rsid w:val="00AB08C6"/>
    <w:rsid w:val="00AB08D2"/>
    <w:rsid w:val="00AB0AC4"/>
    <w:rsid w:val="00AB0C76"/>
    <w:rsid w:val="00AB0E34"/>
    <w:rsid w:val="00AB0E3D"/>
    <w:rsid w:val="00AB0EF7"/>
    <w:rsid w:val="00AB0F1F"/>
    <w:rsid w:val="00AB1003"/>
    <w:rsid w:val="00AB101F"/>
    <w:rsid w:val="00AB106A"/>
    <w:rsid w:val="00AB1090"/>
    <w:rsid w:val="00AB11FD"/>
    <w:rsid w:val="00AB131B"/>
    <w:rsid w:val="00AB1357"/>
    <w:rsid w:val="00AB15B8"/>
    <w:rsid w:val="00AB1624"/>
    <w:rsid w:val="00AB1641"/>
    <w:rsid w:val="00AB1878"/>
    <w:rsid w:val="00AB197B"/>
    <w:rsid w:val="00AB199C"/>
    <w:rsid w:val="00AB1AFF"/>
    <w:rsid w:val="00AB1DA7"/>
    <w:rsid w:val="00AB1E7F"/>
    <w:rsid w:val="00AB1EE4"/>
    <w:rsid w:val="00AB2165"/>
    <w:rsid w:val="00AB2289"/>
    <w:rsid w:val="00AB228C"/>
    <w:rsid w:val="00AB247E"/>
    <w:rsid w:val="00AB24DB"/>
    <w:rsid w:val="00AB2527"/>
    <w:rsid w:val="00AB274F"/>
    <w:rsid w:val="00AB2819"/>
    <w:rsid w:val="00AB2AD8"/>
    <w:rsid w:val="00AB2C2B"/>
    <w:rsid w:val="00AB2C31"/>
    <w:rsid w:val="00AB2D74"/>
    <w:rsid w:val="00AB30B0"/>
    <w:rsid w:val="00AB314D"/>
    <w:rsid w:val="00AB321B"/>
    <w:rsid w:val="00AB33F2"/>
    <w:rsid w:val="00AB34A3"/>
    <w:rsid w:val="00AB3613"/>
    <w:rsid w:val="00AB3707"/>
    <w:rsid w:val="00AB377B"/>
    <w:rsid w:val="00AB38FD"/>
    <w:rsid w:val="00AB39C3"/>
    <w:rsid w:val="00AB3E7A"/>
    <w:rsid w:val="00AB3FDF"/>
    <w:rsid w:val="00AB42CA"/>
    <w:rsid w:val="00AB45B9"/>
    <w:rsid w:val="00AB4632"/>
    <w:rsid w:val="00AB47A7"/>
    <w:rsid w:val="00AB489A"/>
    <w:rsid w:val="00AB4A92"/>
    <w:rsid w:val="00AB4ADD"/>
    <w:rsid w:val="00AB4BDA"/>
    <w:rsid w:val="00AB4CF5"/>
    <w:rsid w:val="00AB4F3F"/>
    <w:rsid w:val="00AB4F6D"/>
    <w:rsid w:val="00AB4FB9"/>
    <w:rsid w:val="00AB5022"/>
    <w:rsid w:val="00AB5238"/>
    <w:rsid w:val="00AB535B"/>
    <w:rsid w:val="00AB5367"/>
    <w:rsid w:val="00AB53A7"/>
    <w:rsid w:val="00AB5401"/>
    <w:rsid w:val="00AB54E0"/>
    <w:rsid w:val="00AB556B"/>
    <w:rsid w:val="00AB55C6"/>
    <w:rsid w:val="00AB567F"/>
    <w:rsid w:val="00AB57AA"/>
    <w:rsid w:val="00AB5813"/>
    <w:rsid w:val="00AB5876"/>
    <w:rsid w:val="00AB5A52"/>
    <w:rsid w:val="00AB5A97"/>
    <w:rsid w:val="00AB5AEF"/>
    <w:rsid w:val="00AB5C65"/>
    <w:rsid w:val="00AB5E1C"/>
    <w:rsid w:val="00AB5FB6"/>
    <w:rsid w:val="00AB61DB"/>
    <w:rsid w:val="00AB61EF"/>
    <w:rsid w:val="00AB632D"/>
    <w:rsid w:val="00AB6610"/>
    <w:rsid w:val="00AB66E9"/>
    <w:rsid w:val="00AB6A18"/>
    <w:rsid w:val="00AB6A63"/>
    <w:rsid w:val="00AB6B82"/>
    <w:rsid w:val="00AB6C24"/>
    <w:rsid w:val="00AB6CC2"/>
    <w:rsid w:val="00AB6CD1"/>
    <w:rsid w:val="00AB6DCC"/>
    <w:rsid w:val="00AB6FFC"/>
    <w:rsid w:val="00AB710D"/>
    <w:rsid w:val="00AB7165"/>
    <w:rsid w:val="00AB716F"/>
    <w:rsid w:val="00AB7531"/>
    <w:rsid w:val="00AB7717"/>
    <w:rsid w:val="00AB776D"/>
    <w:rsid w:val="00AB7913"/>
    <w:rsid w:val="00AB7ABD"/>
    <w:rsid w:val="00AB7B51"/>
    <w:rsid w:val="00AB7BE0"/>
    <w:rsid w:val="00AB7C4C"/>
    <w:rsid w:val="00AB7C54"/>
    <w:rsid w:val="00AC0445"/>
    <w:rsid w:val="00AC04D0"/>
    <w:rsid w:val="00AC0616"/>
    <w:rsid w:val="00AC0703"/>
    <w:rsid w:val="00AC0735"/>
    <w:rsid w:val="00AC087E"/>
    <w:rsid w:val="00AC09F9"/>
    <w:rsid w:val="00AC0B2F"/>
    <w:rsid w:val="00AC0C16"/>
    <w:rsid w:val="00AC0DB2"/>
    <w:rsid w:val="00AC0E15"/>
    <w:rsid w:val="00AC0EFD"/>
    <w:rsid w:val="00AC0F54"/>
    <w:rsid w:val="00AC0FAD"/>
    <w:rsid w:val="00AC0FD7"/>
    <w:rsid w:val="00AC10A6"/>
    <w:rsid w:val="00AC10B0"/>
    <w:rsid w:val="00AC1149"/>
    <w:rsid w:val="00AC11CD"/>
    <w:rsid w:val="00AC148B"/>
    <w:rsid w:val="00AC16A5"/>
    <w:rsid w:val="00AC16AC"/>
    <w:rsid w:val="00AC17A2"/>
    <w:rsid w:val="00AC1AE2"/>
    <w:rsid w:val="00AC1BA6"/>
    <w:rsid w:val="00AC1BD1"/>
    <w:rsid w:val="00AC1C2F"/>
    <w:rsid w:val="00AC1D5B"/>
    <w:rsid w:val="00AC1E84"/>
    <w:rsid w:val="00AC1FB6"/>
    <w:rsid w:val="00AC2054"/>
    <w:rsid w:val="00AC2092"/>
    <w:rsid w:val="00AC21DD"/>
    <w:rsid w:val="00AC22B5"/>
    <w:rsid w:val="00AC254A"/>
    <w:rsid w:val="00AC271B"/>
    <w:rsid w:val="00AC27F5"/>
    <w:rsid w:val="00AC28AC"/>
    <w:rsid w:val="00AC2A88"/>
    <w:rsid w:val="00AC2B95"/>
    <w:rsid w:val="00AC2BA3"/>
    <w:rsid w:val="00AC2C88"/>
    <w:rsid w:val="00AC2CAD"/>
    <w:rsid w:val="00AC2CB4"/>
    <w:rsid w:val="00AC2D62"/>
    <w:rsid w:val="00AC2D84"/>
    <w:rsid w:val="00AC3297"/>
    <w:rsid w:val="00AC32B2"/>
    <w:rsid w:val="00AC33A3"/>
    <w:rsid w:val="00AC3487"/>
    <w:rsid w:val="00AC3674"/>
    <w:rsid w:val="00AC36E6"/>
    <w:rsid w:val="00AC36FD"/>
    <w:rsid w:val="00AC370F"/>
    <w:rsid w:val="00AC37D1"/>
    <w:rsid w:val="00AC389E"/>
    <w:rsid w:val="00AC38E6"/>
    <w:rsid w:val="00AC3BA3"/>
    <w:rsid w:val="00AC3C68"/>
    <w:rsid w:val="00AC3C96"/>
    <w:rsid w:val="00AC3D96"/>
    <w:rsid w:val="00AC4251"/>
    <w:rsid w:val="00AC42D0"/>
    <w:rsid w:val="00AC461E"/>
    <w:rsid w:val="00AC4781"/>
    <w:rsid w:val="00AC47E4"/>
    <w:rsid w:val="00AC487F"/>
    <w:rsid w:val="00AC4A52"/>
    <w:rsid w:val="00AC4BA1"/>
    <w:rsid w:val="00AC4F59"/>
    <w:rsid w:val="00AC50F6"/>
    <w:rsid w:val="00AC51BE"/>
    <w:rsid w:val="00AC51E3"/>
    <w:rsid w:val="00AC524B"/>
    <w:rsid w:val="00AC527A"/>
    <w:rsid w:val="00AC533C"/>
    <w:rsid w:val="00AC5401"/>
    <w:rsid w:val="00AC57D7"/>
    <w:rsid w:val="00AC588E"/>
    <w:rsid w:val="00AC58FA"/>
    <w:rsid w:val="00AC5AE8"/>
    <w:rsid w:val="00AC5BD7"/>
    <w:rsid w:val="00AC637F"/>
    <w:rsid w:val="00AC63FF"/>
    <w:rsid w:val="00AC6445"/>
    <w:rsid w:val="00AC64A6"/>
    <w:rsid w:val="00AC6559"/>
    <w:rsid w:val="00AC6604"/>
    <w:rsid w:val="00AC6636"/>
    <w:rsid w:val="00AC6787"/>
    <w:rsid w:val="00AC6859"/>
    <w:rsid w:val="00AC6C68"/>
    <w:rsid w:val="00AC6C8D"/>
    <w:rsid w:val="00AC6CEB"/>
    <w:rsid w:val="00AC6DF6"/>
    <w:rsid w:val="00AC7496"/>
    <w:rsid w:val="00AC74D1"/>
    <w:rsid w:val="00AC75E7"/>
    <w:rsid w:val="00AC7824"/>
    <w:rsid w:val="00AC7A68"/>
    <w:rsid w:val="00AC7B99"/>
    <w:rsid w:val="00AC7BCA"/>
    <w:rsid w:val="00AC7E57"/>
    <w:rsid w:val="00AC7E9C"/>
    <w:rsid w:val="00AD0023"/>
    <w:rsid w:val="00AD0031"/>
    <w:rsid w:val="00AD00DA"/>
    <w:rsid w:val="00AD024C"/>
    <w:rsid w:val="00AD0294"/>
    <w:rsid w:val="00AD02CA"/>
    <w:rsid w:val="00AD03A1"/>
    <w:rsid w:val="00AD0425"/>
    <w:rsid w:val="00AD062D"/>
    <w:rsid w:val="00AD0657"/>
    <w:rsid w:val="00AD06C2"/>
    <w:rsid w:val="00AD06D4"/>
    <w:rsid w:val="00AD06E9"/>
    <w:rsid w:val="00AD0802"/>
    <w:rsid w:val="00AD0C70"/>
    <w:rsid w:val="00AD0DE2"/>
    <w:rsid w:val="00AD0DE4"/>
    <w:rsid w:val="00AD0E1C"/>
    <w:rsid w:val="00AD0E49"/>
    <w:rsid w:val="00AD1040"/>
    <w:rsid w:val="00AD17DB"/>
    <w:rsid w:val="00AD18DA"/>
    <w:rsid w:val="00AD1999"/>
    <w:rsid w:val="00AD1A29"/>
    <w:rsid w:val="00AD1DA7"/>
    <w:rsid w:val="00AD1DD6"/>
    <w:rsid w:val="00AD1F72"/>
    <w:rsid w:val="00AD1FFA"/>
    <w:rsid w:val="00AD2408"/>
    <w:rsid w:val="00AD2418"/>
    <w:rsid w:val="00AD2571"/>
    <w:rsid w:val="00AD2626"/>
    <w:rsid w:val="00AD26EF"/>
    <w:rsid w:val="00AD2899"/>
    <w:rsid w:val="00AD2967"/>
    <w:rsid w:val="00AD2BCF"/>
    <w:rsid w:val="00AD2D92"/>
    <w:rsid w:val="00AD2F92"/>
    <w:rsid w:val="00AD3033"/>
    <w:rsid w:val="00AD334F"/>
    <w:rsid w:val="00AD342A"/>
    <w:rsid w:val="00AD34EB"/>
    <w:rsid w:val="00AD35D1"/>
    <w:rsid w:val="00AD361E"/>
    <w:rsid w:val="00AD36CB"/>
    <w:rsid w:val="00AD3835"/>
    <w:rsid w:val="00AD389D"/>
    <w:rsid w:val="00AD3C32"/>
    <w:rsid w:val="00AD3C37"/>
    <w:rsid w:val="00AD3DFC"/>
    <w:rsid w:val="00AD4321"/>
    <w:rsid w:val="00AD4905"/>
    <w:rsid w:val="00AD4967"/>
    <w:rsid w:val="00AD4B23"/>
    <w:rsid w:val="00AD4D19"/>
    <w:rsid w:val="00AD4D4C"/>
    <w:rsid w:val="00AD4F51"/>
    <w:rsid w:val="00AD5043"/>
    <w:rsid w:val="00AD5254"/>
    <w:rsid w:val="00AD52A2"/>
    <w:rsid w:val="00AD537E"/>
    <w:rsid w:val="00AD5723"/>
    <w:rsid w:val="00AD5C8B"/>
    <w:rsid w:val="00AD5D7C"/>
    <w:rsid w:val="00AD60AF"/>
    <w:rsid w:val="00AD64C7"/>
    <w:rsid w:val="00AD6709"/>
    <w:rsid w:val="00AD67F9"/>
    <w:rsid w:val="00AD6895"/>
    <w:rsid w:val="00AD68BE"/>
    <w:rsid w:val="00AD68EA"/>
    <w:rsid w:val="00AD6914"/>
    <w:rsid w:val="00AD6A22"/>
    <w:rsid w:val="00AD6A5E"/>
    <w:rsid w:val="00AD6C88"/>
    <w:rsid w:val="00AD6CAB"/>
    <w:rsid w:val="00AD6DBE"/>
    <w:rsid w:val="00AD6DC5"/>
    <w:rsid w:val="00AD6ECC"/>
    <w:rsid w:val="00AD7018"/>
    <w:rsid w:val="00AD7048"/>
    <w:rsid w:val="00AD7328"/>
    <w:rsid w:val="00AD74DA"/>
    <w:rsid w:val="00AD7584"/>
    <w:rsid w:val="00AD7781"/>
    <w:rsid w:val="00AD789A"/>
    <w:rsid w:val="00AD7923"/>
    <w:rsid w:val="00AD7999"/>
    <w:rsid w:val="00AD7BE1"/>
    <w:rsid w:val="00AD7CB5"/>
    <w:rsid w:val="00AD7CFF"/>
    <w:rsid w:val="00AD7DFD"/>
    <w:rsid w:val="00AD7E13"/>
    <w:rsid w:val="00AD7F87"/>
    <w:rsid w:val="00AE028D"/>
    <w:rsid w:val="00AE034E"/>
    <w:rsid w:val="00AE0494"/>
    <w:rsid w:val="00AE04CF"/>
    <w:rsid w:val="00AE059C"/>
    <w:rsid w:val="00AE05BB"/>
    <w:rsid w:val="00AE0637"/>
    <w:rsid w:val="00AE080D"/>
    <w:rsid w:val="00AE0917"/>
    <w:rsid w:val="00AE0AB0"/>
    <w:rsid w:val="00AE0B5B"/>
    <w:rsid w:val="00AE0BA7"/>
    <w:rsid w:val="00AE0BB3"/>
    <w:rsid w:val="00AE0C19"/>
    <w:rsid w:val="00AE0CA9"/>
    <w:rsid w:val="00AE0CB3"/>
    <w:rsid w:val="00AE0DAA"/>
    <w:rsid w:val="00AE0F50"/>
    <w:rsid w:val="00AE0F8F"/>
    <w:rsid w:val="00AE0F99"/>
    <w:rsid w:val="00AE1094"/>
    <w:rsid w:val="00AE10C6"/>
    <w:rsid w:val="00AE11B5"/>
    <w:rsid w:val="00AE120A"/>
    <w:rsid w:val="00AE1277"/>
    <w:rsid w:val="00AE13FF"/>
    <w:rsid w:val="00AE1596"/>
    <w:rsid w:val="00AE15A0"/>
    <w:rsid w:val="00AE1738"/>
    <w:rsid w:val="00AE17A0"/>
    <w:rsid w:val="00AE1823"/>
    <w:rsid w:val="00AE1AF5"/>
    <w:rsid w:val="00AE1B2B"/>
    <w:rsid w:val="00AE1BD4"/>
    <w:rsid w:val="00AE2317"/>
    <w:rsid w:val="00AE237E"/>
    <w:rsid w:val="00AE2602"/>
    <w:rsid w:val="00AE265B"/>
    <w:rsid w:val="00AE27A4"/>
    <w:rsid w:val="00AE2AF2"/>
    <w:rsid w:val="00AE2DEA"/>
    <w:rsid w:val="00AE31DE"/>
    <w:rsid w:val="00AE35C7"/>
    <w:rsid w:val="00AE36F0"/>
    <w:rsid w:val="00AE3CE7"/>
    <w:rsid w:val="00AE3E58"/>
    <w:rsid w:val="00AE3FF0"/>
    <w:rsid w:val="00AE4025"/>
    <w:rsid w:val="00AE439E"/>
    <w:rsid w:val="00AE43AB"/>
    <w:rsid w:val="00AE467F"/>
    <w:rsid w:val="00AE4793"/>
    <w:rsid w:val="00AE48C9"/>
    <w:rsid w:val="00AE4A5A"/>
    <w:rsid w:val="00AE4ABE"/>
    <w:rsid w:val="00AE4AED"/>
    <w:rsid w:val="00AE4C3B"/>
    <w:rsid w:val="00AE4E4F"/>
    <w:rsid w:val="00AE4E93"/>
    <w:rsid w:val="00AE4E9F"/>
    <w:rsid w:val="00AE50A6"/>
    <w:rsid w:val="00AE528F"/>
    <w:rsid w:val="00AE52BD"/>
    <w:rsid w:val="00AE53EB"/>
    <w:rsid w:val="00AE550E"/>
    <w:rsid w:val="00AE56FA"/>
    <w:rsid w:val="00AE5A27"/>
    <w:rsid w:val="00AE5A65"/>
    <w:rsid w:val="00AE5F06"/>
    <w:rsid w:val="00AE5F3E"/>
    <w:rsid w:val="00AE6220"/>
    <w:rsid w:val="00AE627E"/>
    <w:rsid w:val="00AE656B"/>
    <w:rsid w:val="00AE66BF"/>
    <w:rsid w:val="00AE66C2"/>
    <w:rsid w:val="00AE6861"/>
    <w:rsid w:val="00AE6910"/>
    <w:rsid w:val="00AE693B"/>
    <w:rsid w:val="00AE6A16"/>
    <w:rsid w:val="00AE6AE7"/>
    <w:rsid w:val="00AE6C3C"/>
    <w:rsid w:val="00AE6C7A"/>
    <w:rsid w:val="00AE6CAE"/>
    <w:rsid w:val="00AE6F08"/>
    <w:rsid w:val="00AE6F13"/>
    <w:rsid w:val="00AE725F"/>
    <w:rsid w:val="00AE759B"/>
    <w:rsid w:val="00AE7B16"/>
    <w:rsid w:val="00AE7B86"/>
    <w:rsid w:val="00AE7E0E"/>
    <w:rsid w:val="00AF0601"/>
    <w:rsid w:val="00AF06F1"/>
    <w:rsid w:val="00AF073D"/>
    <w:rsid w:val="00AF0A2F"/>
    <w:rsid w:val="00AF0D09"/>
    <w:rsid w:val="00AF0D53"/>
    <w:rsid w:val="00AF0E15"/>
    <w:rsid w:val="00AF0E5C"/>
    <w:rsid w:val="00AF0E8A"/>
    <w:rsid w:val="00AF1181"/>
    <w:rsid w:val="00AF11FD"/>
    <w:rsid w:val="00AF12A3"/>
    <w:rsid w:val="00AF1720"/>
    <w:rsid w:val="00AF1722"/>
    <w:rsid w:val="00AF1A8F"/>
    <w:rsid w:val="00AF1A93"/>
    <w:rsid w:val="00AF1C26"/>
    <w:rsid w:val="00AF1C2F"/>
    <w:rsid w:val="00AF1DBD"/>
    <w:rsid w:val="00AF1E79"/>
    <w:rsid w:val="00AF1F09"/>
    <w:rsid w:val="00AF1F68"/>
    <w:rsid w:val="00AF1FBF"/>
    <w:rsid w:val="00AF2001"/>
    <w:rsid w:val="00AF2255"/>
    <w:rsid w:val="00AF23C8"/>
    <w:rsid w:val="00AF23DD"/>
    <w:rsid w:val="00AF2616"/>
    <w:rsid w:val="00AF283F"/>
    <w:rsid w:val="00AF294B"/>
    <w:rsid w:val="00AF29D7"/>
    <w:rsid w:val="00AF2BAC"/>
    <w:rsid w:val="00AF2CC2"/>
    <w:rsid w:val="00AF2D73"/>
    <w:rsid w:val="00AF2DA8"/>
    <w:rsid w:val="00AF2F33"/>
    <w:rsid w:val="00AF3047"/>
    <w:rsid w:val="00AF30F0"/>
    <w:rsid w:val="00AF31BE"/>
    <w:rsid w:val="00AF3291"/>
    <w:rsid w:val="00AF3505"/>
    <w:rsid w:val="00AF3702"/>
    <w:rsid w:val="00AF3708"/>
    <w:rsid w:val="00AF3800"/>
    <w:rsid w:val="00AF3801"/>
    <w:rsid w:val="00AF384A"/>
    <w:rsid w:val="00AF399E"/>
    <w:rsid w:val="00AF3CDF"/>
    <w:rsid w:val="00AF3E99"/>
    <w:rsid w:val="00AF3F77"/>
    <w:rsid w:val="00AF43D6"/>
    <w:rsid w:val="00AF445D"/>
    <w:rsid w:val="00AF44B6"/>
    <w:rsid w:val="00AF4574"/>
    <w:rsid w:val="00AF4778"/>
    <w:rsid w:val="00AF482A"/>
    <w:rsid w:val="00AF48C3"/>
    <w:rsid w:val="00AF4AD8"/>
    <w:rsid w:val="00AF4C4F"/>
    <w:rsid w:val="00AF4E92"/>
    <w:rsid w:val="00AF4E98"/>
    <w:rsid w:val="00AF4E9E"/>
    <w:rsid w:val="00AF4FAD"/>
    <w:rsid w:val="00AF5181"/>
    <w:rsid w:val="00AF536F"/>
    <w:rsid w:val="00AF5391"/>
    <w:rsid w:val="00AF53A0"/>
    <w:rsid w:val="00AF5553"/>
    <w:rsid w:val="00AF565B"/>
    <w:rsid w:val="00AF56F7"/>
    <w:rsid w:val="00AF580B"/>
    <w:rsid w:val="00AF5835"/>
    <w:rsid w:val="00AF5895"/>
    <w:rsid w:val="00AF5907"/>
    <w:rsid w:val="00AF5923"/>
    <w:rsid w:val="00AF5AB9"/>
    <w:rsid w:val="00AF609B"/>
    <w:rsid w:val="00AF60C3"/>
    <w:rsid w:val="00AF6840"/>
    <w:rsid w:val="00AF68B8"/>
    <w:rsid w:val="00AF69F8"/>
    <w:rsid w:val="00AF6B4B"/>
    <w:rsid w:val="00AF6C9D"/>
    <w:rsid w:val="00AF6CEC"/>
    <w:rsid w:val="00AF6E09"/>
    <w:rsid w:val="00AF70D0"/>
    <w:rsid w:val="00AF72A0"/>
    <w:rsid w:val="00AF72D3"/>
    <w:rsid w:val="00AF730D"/>
    <w:rsid w:val="00AF74B7"/>
    <w:rsid w:val="00AF75DB"/>
    <w:rsid w:val="00AF77C1"/>
    <w:rsid w:val="00AF7FDE"/>
    <w:rsid w:val="00B005EB"/>
    <w:rsid w:val="00B0076D"/>
    <w:rsid w:val="00B007B9"/>
    <w:rsid w:val="00B00981"/>
    <w:rsid w:val="00B00A95"/>
    <w:rsid w:val="00B00C1D"/>
    <w:rsid w:val="00B00C3B"/>
    <w:rsid w:val="00B00D62"/>
    <w:rsid w:val="00B00EBB"/>
    <w:rsid w:val="00B01365"/>
    <w:rsid w:val="00B014AB"/>
    <w:rsid w:val="00B0164F"/>
    <w:rsid w:val="00B01716"/>
    <w:rsid w:val="00B01845"/>
    <w:rsid w:val="00B018B0"/>
    <w:rsid w:val="00B01916"/>
    <w:rsid w:val="00B01B03"/>
    <w:rsid w:val="00B01C5D"/>
    <w:rsid w:val="00B01D52"/>
    <w:rsid w:val="00B02163"/>
    <w:rsid w:val="00B02222"/>
    <w:rsid w:val="00B022DD"/>
    <w:rsid w:val="00B023B1"/>
    <w:rsid w:val="00B0257A"/>
    <w:rsid w:val="00B026BB"/>
    <w:rsid w:val="00B026D5"/>
    <w:rsid w:val="00B02802"/>
    <w:rsid w:val="00B028C6"/>
    <w:rsid w:val="00B02AAC"/>
    <w:rsid w:val="00B02C06"/>
    <w:rsid w:val="00B02DC1"/>
    <w:rsid w:val="00B02E05"/>
    <w:rsid w:val="00B035B1"/>
    <w:rsid w:val="00B0361E"/>
    <w:rsid w:val="00B0363D"/>
    <w:rsid w:val="00B0397F"/>
    <w:rsid w:val="00B03A23"/>
    <w:rsid w:val="00B03A3F"/>
    <w:rsid w:val="00B03BA0"/>
    <w:rsid w:val="00B03EC5"/>
    <w:rsid w:val="00B04165"/>
    <w:rsid w:val="00B04308"/>
    <w:rsid w:val="00B0446F"/>
    <w:rsid w:val="00B04567"/>
    <w:rsid w:val="00B04606"/>
    <w:rsid w:val="00B0475D"/>
    <w:rsid w:val="00B0483D"/>
    <w:rsid w:val="00B04A96"/>
    <w:rsid w:val="00B04B57"/>
    <w:rsid w:val="00B04BC1"/>
    <w:rsid w:val="00B05066"/>
    <w:rsid w:val="00B053FF"/>
    <w:rsid w:val="00B0544E"/>
    <w:rsid w:val="00B055D0"/>
    <w:rsid w:val="00B05812"/>
    <w:rsid w:val="00B05963"/>
    <w:rsid w:val="00B05AC2"/>
    <w:rsid w:val="00B0616D"/>
    <w:rsid w:val="00B0618C"/>
    <w:rsid w:val="00B06240"/>
    <w:rsid w:val="00B064B1"/>
    <w:rsid w:val="00B06561"/>
    <w:rsid w:val="00B065AB"/>
    <w:rsid w:val="00B06619"/>
    <w:rsid w:val="00B067D3"/>
    <w:rsid w:val="00B0683C"/>
    <w:rsid w:val="00B068E5"/>
    <w:rsid w:val="00B0691A"/>
    <w:rsid w:val="00B06957"/>
    <w:rsid w:val="00B06CC8"/>
    <w:rsid w:val="00B06D8B"/>
    <w:rsid w:val="00B0723B"/>
    <w:rsid w:val="00B0754B"/>
    <w:rsid w:val="00B075E8"/>
    <w:rsid w:val="00B077E6"/>
    <w:rsid w:val="00B07A6A"/>
    <w:rsid w:val="00B07EF5"/>
    <w:rsid w:val="00B102EA"/>
    <w:rsid w:val="00B10434"/>
    <w:rsid w:val="00B105BC"/>
    <w:rsid w:val="00B1067E"/>
    <w:rsid w:val="00B106DC"/>
    <w:rsid w:val="00B10716"/>
    <w:rsid w:val="00B108A7"/>
    <w:rsid w:val="00B1091D"/>
    <w:rsid w:val="00B10AD3"/>
    <w:rsid w:val="00B10B7F"/>
    <w:rsid w:val="00B10C22"/>
    <w:rsid w:val="00B10C4D"/>
    <w:rsid w:val="00B10CFA"/>
    <w:rsid w:val="00B10D80"/>
    <w:rsid w:val="00B10FD9"/>
    <w:rsid w:val="00B1141D"/>
    <w:rsid w:val="00B11485"/>
    <w:rsid w:val="00B11556"/>
    <w:rsid w:val="00B11787"/>
    <w:rsid w:val="00B11885"/>
    <w:rsid w:val="00B1188B"/>
    <w:rsid w:val="00B1199D"/>
    <w:rsid w:val="00B11A11"/>
    <w:rsid w:val="00B11A17"/>
    <w:rsid w:val="00B11A75"/>
    <w:rsid w:val="00B11AFB"/>
    <w:rsid w:val="00B11C2E"/>
    <w:rsid w:val="00B11D10"/>
    <w:rsid w:val="00B11E10"/>
    <w:rsid w:val="00B11E28"/>
    <w:rsid w:val="00B11E55"/>
    <w:rsid w:val="00B11EC1"/>
    <w:rsid w:val="00B11FB0"/>
    <w:rsid w:val="00B12207"/>
    <w:rsid w:val="00B1227F"/>
    <w:rsid w:val="00B12323"/>
    <w:rsid w:val="00B1239F"/>
    <w:rsid w:val="00B12418"/>
    <w:rsid w:val="00B124AC"/>
    <w:rsid w:val="00B124F0"/>
    <w:rsid w:val="00B125C0"/>
    <w:rsid w:val="00B12642"/>
    <w:rsid w:val="00B12848"/>
    <w:rsid w:val="00B12C72"/>
    <w:rsid w:val="00B12CC1"/>
    <w:rsid w:val="00B12ED1"/>
    <w:rsid w:val="00B12F4F"/>
    <w:rsid w:val="00B12FC6"/>
    <w:rsid w:val="00B13147"/>
    <w:rsid w:val="00B131CC"/>
    <w:rsid w:val="00B1325F"/>
    <w:rsid w:val="00B13286"/>
    <w:rsid w:val="00B1328B"/>
    <w:rsid w:val="00B1336E"/>
    <w:rsid w:val="00B13653"/>
    <w:rsid w:val="00B1391D"/>
    <w:rsid w:val="00B13A61"/>
    <w:rsid w:val="00B13B0F"/>
    <w:rsid w:val="00B13B79"/>
    <w:rsid w:val="00B13C74"/>
    <w:rsid w:val="00B13C75"/>
    <w:rsid w:val="00B13E70"/>
    <w:rsid w:val="00B13EEB"/>
    <w:rsid w:val="00B141CD"/>
    <w:rsid w:val="00B142A4"/>
    <w:rsid w:val="00B143C3"/>
    <w:rsid w:val="00B147CF"/>
    <w:rsid w:val="00B148E1"/>
    <w:rsid w:val="00B14961"/>
    <w:rsid w:val="00B14AFE"/>
    <w:rsid w:val="00B14D82"/>
    <w:rsid w:val="00B14EA8"/>
    <w:rsid w:val="00B14F92"/>
    <w:rsid w:val="00B15004"/>
    <w:rsid w:val="00B1513A"/>
    <w:rsid w:val="00B15189"/>
    <w:rsid w:val="00B151CE"/>
    <w:rsid w:val="00B15377"/>
    <w:rsid w:val="00B1547E"/>
    <w:rsid w:val="00B15573"/>
    <w:rsid w:val="00B15627"/>
    <w:rsid w:val="00B157EC"/>
    <w:rsid w:val="00B15987"/>
    <w:rsid w:val="00B15BD9"/>
    <w:rsid w:val="00B15EF6"/>
    <w:rsid w:val="00B15F4B"/>
    <w:rsid w:val="00B15FCB"/>
    <w:rsid w:val="00B160B3"/>
    <w:rsid w:val="00B16131"/>
    <w:rsid w:val="00B162C7"/>
    <w:rsid w:val="00B1644F"/>
    <w:rsid w:val="00B16467"/>
    <w:rsid w:val="00B165F1"/>
    <w:rsid w:val="00B1669C"/>
    <w:rsid w:val="00B167FE"/>
    <w:rsid w:val="00B16893"/>
    <w:rsid w:val="00B16925"/>
    <w:rsid w:val="00B16AFD"/>
    <w:rsid w:val="00B16C60"/>
    <w:rsid w:val="00B16E62"/>
    <w:rsid w:val="00B1739A"/>
    <w:rsid w:val="00B173EE"/>
    <w:rsid w:val="00B17988"/>
    <w:rsid w:val="00B17A3F"/>
    <w:rsid w:val="00B17B00"/>
    <w:rsid w:val="00B17C82"/>
    <w:rsid w:val="00B17D93"/>
    <w:rsid w:val="00B17E3F"/>
    <w:rsid w:val="00B17F2A"/>
    <w:rsid w:val="00B20073"/>
    <w:rsid w:val="00B200A4"/>
    <w:rsid w:val="00B200FC"/>
    <w:rsid w:val="00B2041E"/>
    <w:rsid w:val="00B209AF"/>
    <w:rsid w:val="00B20ACA"/>
    <w:rsid w:val="00B20BC8"/>
    <w:rsid w:val="00B210AF"/>
    <w:rsid w:val="00B21117"/>
    <w:rsid w:val="00B21176"/>
    <w:rsid w:val="00B21355"/>
    <w:rsid w:val="00B214F4"/>
    <w:rsid w:val="00B2161D"/>
    <w:rsid w:val="00B2186F"/>
    <w:rsid w:val="00B21A4D"/>
    <w:rsid w:val="00B21A5E"/>
    <w:rsid w:val="00B21B5A"/>
    <w:rsid w:val="00B21C68"/>
    <w:rsid w:val="00B21E9A"/>
    <w:rsid w:val="00B21F9B"/>
    <w:rsid w:val="00B21FDC"/>
    <w:rsid w:val="00B2218B"/>
    <w:rsid w:val="00B221CB"/>
    <w:rsid w:val="00B22294"/>
    <w:rsid w:val="00B222DC"/>
    <w:rsid w:val="00B223B3"/>
    <w:rsid w:val="00B2245A"/>
    <w:rsid w:val="00B22673"/>
    <w:rsid w:val="00B226C0"/>
    <w:rsid w:val="00B226F1"/>
    <w:rsid w:val="00B22AF7"/>
    <w:rsid w:val="00B22C02"/>
    <w:rsid w:val="00B22DD8"/>
    <w:rsid w:val="00B22E23"/>
    <w:rsid w:val="00B22E6D"/>
    <w:rsid w:val="00B22E78"/>
    <w:rsid w:val="00B22ED3"/>
    <w:rsid w:val="00B22F6D"/>
    <w:rsid w:val="00B23002"/>
    <w:rsid w:val="00B23038"/>
    <w:rsid w:val="00B230F7"/>
    <w:rsid w:val="00B23226"/>
    <w:rsid w:val="00B232B1"/>
    <w:rsid w:val="00B2340A"/>
    <w:rsid w:val="00B23529"/>
    <w:rsid w:val="00B2352C"/>
    <w:rsid w:val="00B23573"/>
    <w:rsid w:val="00B235B2"/>
    <w:rsid w:val="00B237A6"/>
    <w:rsid w:val="00B23842"/>
    <w:rsid w:val="00B2391C"/>
    <w:rsid w:val="00B23AFA"/>
    <w:rsid w:val="00B23B6F"/>
    <w:rsid w:val="00B23B9C"/>
    <w:rsid w:val="00B23D08"/>
    <w:rsid w:val="00B23DE6"/>
    <w:rsid w:val="00B2403F"/>
    <w:rsid w:val="00B2404F"/>
    <w:rsid w:val="00B241B0"/>
    <w:rsid w:val="00B24229"/>
    <w:rsid w:val="00B24235"/>
    <w:rsid w:val="00B2423C"/>
    <w:rsid w:val="00B24390"/>
    <w:rsid w:val="00B2451E"/>
    <w:rsid w:val="00B24551"/>
    <w:rsid w:val="00B24555"/>
    <w:rsid w:val="00B24685"/>
    <w:rsid w:val="00B24749"/>
    <w:rsid w:val="00B247A2"/>
    <w:rsid w:val="00B24C02"/>
    <w:rsid w:val="00B24F1E"/>
    <w:rsid w:val="00B25019"/>
    <w:rsid w:val="00B25056"/>
    <w:rsid w:val="00B251A7"/>
    <w:rsid w:val="00B25231"/>
    <w:rsid w:val="00B2526B"/>
    <w:rsid w:val="00B252D6"/>
    <w:rsid w:val="00B253ED"/>
    <w:rsid w:val="00B25503"/>
    <w:rsid w:val="00B256F7"/>
    <w:rsid w:val="00B25853"/>
    <w:rsid w:val="00B258D6"/>
    <w:rsid w:val="00B25942"/>
    <w:rsid w:val="00B2599D"/>
    <w:rsid w:val="00B259C0"/>
    <w:rsid w:val="00B25D05"/>
    <w:rsid w:val="00B25D19"/>
    <w:rsid w:val="00B25D25"/>
    <w:rsid w:val="00B25EB7"/>
    <w:rsid w:val="00B25F38"/>
    <w:rsid w:val="00B25FF9"/>
    <w:rsid w:val="00B261A7"/>
    <w:rsid w:val="00B262C6"/>
    <w:rsid w:val="00B26363"/>
    <w:rsid w:val="00B263D0"/>
    <w:rsid w:val="00B263FB"/>
    <w:rsid w:val="00B26414"/>
    <w:rsid w:val="00B266BD"/>
    <w:rsid w:val="00B2695D"/>
    <w:rsid w:val="00B26D2C"/>
    <w:rsid w:val="00B271AF"/>
    <w:rsid w:val="00B2752A"/>
    <w:rsid w:val="00B27541"/>
    <w:rsid w:val="00B2762E"/>
    <w:rsid w:val="00B27716"/>
    <w:rsid w:val="00B27866"/>
    <w:rsid w:val="00B27AA2"/>
    <w:rsid w:val="00B27ADD"/>
    <w:rsid w:val="00B27B10"/>
    <w:rsid w:val="00B27BA8"/>
    <w:rsid w:val="00B27CEF"/>
    <w:rsid w:val="00B27DAF"/>
    <w:rsid w:val="00B30249"/>
    <w:rsid w:val="00B30517"/>
    <w:rsid w:val="00B30575"/>
    <w:rsid w:val="00B3059C"/>
    <w:rsid w:val="00B3067F"/>
    <w:rsid w:val="00B307AA"/>
    <w:rsid w:val="00B308E1"/>
    <w:rsid w:val="00B3090B"/>
    <w:rsid w:val="00B30A05"/>
    <w:rsid w:val="00B30CCE"/>
    <w:rsid w:val="00B30DE5"/>
    <w:rsid w:val="00B30EE1"/>
    <w:rsid w:val="00B31112"/>
    <w:rsid w:val="00B311A6"/>
    <w:rsid w:val="00B312DD"/>
    <w:rsid w:val="00B31431"/>
    <w:rsid w:val="00B31494"/>
    <w:rsid w:val="00B3155A"/>
    <w:rsid w:val="00B315AD"/>
    <w:rsid w:val="00B31888"/>
    <w:rsid w:val="00B31A01"/>
    <w:rsid w:val="00B31B45"/>
    <w:rsid w:val="00B31E3D"/>
    <w:rsid w:val="00B31E69"/>
    <w:rsid w:val="00B3203D"/>
    <w:rsid w:val="00B32057"/>
    <w:rsid w:val="00B32077"/>
    <w:rsid w:val="00B321DB"/>
    <w:rsid w:val="00B32263"/>
    <w:rsid w:val="00B323FE"/>
    <w:rsid w:val="00B32574"/>
    <w:rsid w:val="00B326BE"/>
    <w:rsid w:val="00B3286C"/>
    <w:rsid w:val="00B32993"/>
    <w:rsid w:val="00B32A33"/>
    <w:rsid w:val="00B32A6A"/>
    <w:rsid w:val="00B32A7E"/>
    <w:rsid w:val="00B32CD2"/>
    <w:rsid w:val="00B32DA0"/>
    <w:rsid w:val="00B32EA3"/>
    <w:rsid w:val="00B3307D"/>
    <w:rsid w:val="00B3334B"/>
    <w:rsid w:val="00B335AD"/>
    <w:rsid w:val="00B335FF"/>
    <w:rsid w:val="00B3371F"/>
    <w:rsid w:val="00B337E1"/>
    <w:rsid w:val="00B338D2"/>
    <w:rsid w:val="00B33953"/>
    <w:rsid w:val="00B33D73"/>
    <w:rsid w:val="00B33E0B"/>
    <w:rsid w:val="00B33E5E"/>
    <w:rsid w:val="00B33FAC"/>
    <w:rsid w:val="00B34032"/>
    <w:rsid w:val="00B34112"/>
    <w:rsid w:val="00B3419A"/>
    <w:rsid w:val="00B34397"/>
    <w:rsid w:val="00B343D5"/>
    <w:rsid w:val="00B34403"/>
    <w:rsid w:val="00B34506"/>
    <w:rsid w:val="00B346CD"/>
    <w:rsid w:val="00B3482C"/>
    <w:rsid w:val="00B348EC"/>
    <w:rsid w:val="00B3490F"/>
    <w:rsid w:val="00B34A11"/>
    <w:rsid w:val="00B34B20"/>
    <w:rsid w:val="00B34BD9"/>
    <w:rsid w:val="00B34C78"/>
    <w:rsid w:val="00B34E03"/>
    <w:rsid w:val="00B34E64"/>
    <w:rsid w:val="00B34EAA"/>
    <w:rsid w:val="00B3504C"/>
    <w:rsid w:val="00B3562F"/>
    <w:rsid w:val="00B35752"/>
    <w:rsid w:val="00B359BA"/>
    <w:rsid w:val="00B35B43"/>
    <w:rsid w:val="00B35CC7"/>
    <w:rsid w:val="00B35EDD"/>
    <w:rsid w:val="00B3609A"/>
    <w:rsid w:val="00B360AA"/>
    <w:rsid w:val="00B36223"/>
    <w:rsid w:val="00B36298"/>
    <w:rsid w:val="00B36395"/>
    <w:rsid w:val="00B368B1"/>
    <w:rsid w:val="00B3694B"/>
    <w:rsid w:val="00B36950"/>
    <w:rsid w:val="00B36F32"/>
    <w:rsid w:val="00B36F78"/>
    <w:rsid w:val="00B37019"/>
    <w:rsid w:val="00B370A8"/>
    <w:rsid w:val="00B37215"/>
    <w:rsid w:val="00B372F2"/>
    <w:rsid w:val="00B372F7"/>
    <w:rsid w:val="00B373B7"/>
    <w:rsid w:val="00B37460"/>
    <w:rsid w:val="00B37558"/>
    <w:rsid w:val="00B376B6"/>
    <w:rsid w:val="00B377AC"/>
    <w:rsid w:val="00B3784C"/>
    <w:rsid w:val="00B3798E"/>
    <w:rsid w:val="00B37B2B"/>
    <w:rsid w:val="00B37B74"/>
    <w:rsid w:val="00B37CA6"/>
    <w:rsid w:val="00B37F30"/>
    <w:rsid w:val="00B402EE"/>
    <w:rsid w:val="00B40351"/>
    <w:rsid w:val="00B40487"/>
    <w:rsid w:val="00B404A6"/>
    <w:rsid w:val="00B404B7"/>
    <w:rsid w:val="00B40611"/>
    <w:rsid w:val="00B40642"/>
    <w:rsid w:val="00B40719"/>
    <w:rsid w:val="00B4085B"/>
    <w:rsid w:val="00B40972"/>
    <w:rsid w:val="00B40C54"/>
    <w:rsid w:val="00B40CC9"/>
    <w:rsid w:val="00B40CFD"/>
    <w:rsid w:val="00B40EBF"/>
    <w:rsid w:val="00B41092"/>
    <w:rsid w:val="00B41099"/>
    <w:rsid w:val="00B410BA"/>
    <w:rsid w:val="00B41147"/>
    <w:rsid w:val="00B4116C"/>
    <w:rsid w:val="00B4137A"/>
    <w:rsid w:val="00B413E1"/>
    <w:rsid w:val="00B41415"/>
    <w:rsid w:val="00B4184E"/>
    <w:rsid w:val="00B41921"/>
    <w:rsid w:val="00B41AA3"/>
    <w:rsid w:val="00B41C50"/>
    <w:rsid w:val="00B41C89"/>
    <w:rsid w:val="00B41DED"/>
    <w:rsid w:val="00B41E16"/>
    <w:rsid w:val="00B41F49"/>
    <w:rsid w:val="00B4202A"/>
    <w:rsid w:val="00B421D4"/>
    <w:rsid w:val="00B42267"/>
    <w:rsid w:val="00B42273"/>
    <w:rsid w:val="00B424E4"/>
    <w:rsid w:val="00B42578"/>
    <w:rsid w:val="00B425FC"/>
    <w:rsid w:val="00B426F2"/>
    <w:rsid w:val="00B42957"/>
    <w:rsid w:val="00B429D2"/>
    <w:rsid w:val="00B42A2B"/>
    <w:rsid w:val="00B42A7A"/>
    <w:rsid w:val="00B42BA9"/>
    <w:rsid w:val="00B43072"/>
    <w:rsid w:val="00B43299"/>
    <w:rsid w:val="00B432C9"/>
    <w:rsid w:val="00B43398"/>
    <w:rsid w:val="00B4352A"/>
    <w:rsid w:val="00B436A9"/>
    <w:rsid w:val="00B437D2"/>
    <w:rsid w:val="00B437E4"/>
    <w:rsid w:val="00B43A7E"/>
    <w:rsid w:val="00B43B51"/>
    <w:rsid w:val="00B43D06"/>
    <w:rsid w:val="00B43D1D"/>
    <w:rsid w:val="00B440FC"/>
    <w:rsid w:val="00B44299"/>
    <w:rsid w:val="00B44488"/>
    <w:rsid w:val="00B444A3"/>
    <w:rsid w:val="00B44508"/>
    <w:rsid w:val="00B4454E"/>
    <w:rsid w:val="00B445AA"/>
    <w:rsid w:val="00B445BA"/>
    <w:rsid w:val="00B445E8"/>
    <w:rsid w:val="00B44635"/>
    <w:rsid w:val="00B44639"/>
    <w:rsid w:val="00B446EE"/>
    <w:rsid w:val="00B44737"/>
    <w:rsid w:val="00B44791"/>
    <w:rsid w:val="00B44950"/>
    <w:rsid w:val="00B45720"/>
    <w:rsid w:val="00B4580C"/>
    <w:rsid w:val="00B45839"/>
    <w:rsid w:val="00B45998"/>
    <w:rsid w:val="00B45B1C"/>
    <w:rsid w:val="00B45EB6"/>
    <w:rsid w:val="00B45F67"/>
    <w:rsid w:val="00B461D4"/>
    <w:rsid w:val="00B46290"/>
    <w:rsid w:val="00B46294"/>
    <w:rsid w:val="00B462B1"/>
    <w:rsid w:val="00B46575"/>
    <w:rsid w:val="00B465B2"/>
    <w:rsid w:val="00B465E7"/>
    <w:rsid w:val="00B4681C"/>
    <w:rsid w:val="00B46849"/>
    <w:rsid w:val="00B468BF"/>
    <w:rsid w:val="00B469D6"/>
    <w:rsid w:val="00B46B8D"/>
    <w:rsid w:val="00B46D53"/>
    <w:rsid w:val="00B46F2E"/>
    <w:rsid w:val="00B47191"/>
    <w:rsid w:val="00B4727A"/>
    <w:rsid w:val="00B47342"/>
    <w:rsid w:val="00B47412"/>
    <w:rsid w:val="00B4746F"/>
    <w:rsid w:val="00B474B6"/>
    <w:rsid w:val="00B474FE"/>
    <w:rsid w:val="00B4754B"/>
    <w:rsid w:val="00B479BF"/>
    <w:rsid w:val="00B479EC"/>
    <w:rsid w:val="00B47B1E"/>
    <w:rsid w:val="00B47C68"/>
    <w:rsid w:val="00B47E54"/>
    <w:rsid w:val="00B47E5B"/>
    <w:rsid w:val="00B50153"/>
    <w:rsid w:val="00B50284"/>
    <w:rsid w:val="00B5031E"/>
    <w:rsid w:val="00B5035B"/>
    <w:rsid w:val="00B5050C"/>
    <w:rsid w:val="00B505E2"/>
    <w:rsid w:val="00B50808"/>
    <w:rsid w:val="00B5091C"/>
    <w:rsid w:val="00B50998"/>
    <w:rsid w:val="00B50B7E"/>
    <w:rsid w:val="00B50B9F"/>
    <w:rsid w:val="00B50CBA"/>
    <w:rsid w:val="00B51284"/>
    <w:rsid w:val="00B5148F"/>
    <w:rsid w:val="00B514C5"/>
    <w:rsid w:val="00B51668"/>
    <w:rsid w:val="00B518F1"/>
    <w:rsid w:val="00B518F3"/>
    <w:rsid w:val="00B51926"/>
    <w:rsid w:val="00B519C9"/>
    <w:rsid w:val="00B51B4A"/>
    <w:rsid w:val="00B51C53"/>
    <w:rsid w:val="00B51C65"/>
    <w:rsid w:val="00B51E24"/>
    <w:rsid w:val="00B51E3A"/>
    <w:rsid w:val="00B51F52"/>
    <w:rsid w:val="00B51FB7"/>
    <w:rsid w:val="00B5204F"/>
    <w:rsid w:val="00B521C6"/>
    <w:rsid w:val="00B5235A"/>
    <w:rsid w:val="00B523A3"/>
    <w:rsid w:val="00B52407"/>
    <w:rsid w:val="00B5244D"/>
    <w:rsid w:val="00B527CF"/>
    <w:rsid w:val="00B5297F"/>
    <w:rsid w:val="00B52CC4"/>
    <w:rsid w:val="00B52D02"/>
    <w:rsid w:val="00B52DFA"/>
    <w:rsid w:val="00B52F11"/>
    <w:rsid w:val="00B53205"/>
    <w:rsid w:val="00B532FC"/>
    <w:rsid w:val="00B5330E"/>
    <w:rsid w:val="00B53504"/>
    <w:rsid w:val="00B536CC"/>
    <w:rsid w:val="00B538A4"/>
    <w:rsid w:val="00B53BA2"/>
    <w:rsid w:val="00B53D0A"/>
    <w:rsid w:val="00B53DC2"/>
    <w:rsid w:val="00B53E8A"/>
    <w:rsid w:val="00B5407F"/>
    <w:rsid w:val="00B54507"/>
    <w:rsid w:val="00B5458B"/>
    <w:rsid w:val="00B5459E"/>
    <w:rsid w:val="00B54742"/>
    <w:rsid w:val="00B54788"/>
    <w:rsid w:val="00B548C7"/>
    <w:rsid w:val="00B54906"/>
    <w:rsid w:val="00B54A21"/>
    <w:rsid w:val="00B54AFC"/>
    <w:rsid w:val="00B54B4A"/>
    <w:rsid w:val="00B54D9B"/>
    <w:rsid w:val="00B54EF3"/>
    <w:rsid w:val="00B54F73"/>
    <w:rsid w:val="00B551C4"/>
    <w:rsid w:val="00B5526E"/>
    <w:rsid w:val="00B552B0"/>
    <w:rsid w:val="00B552CD"/>
    <w:rsid w:val="00B5536A"/>
    <w:rsid w:val="00B55417"/>
    <w:rsid w:val="00B55459"/>
    <w:rsid w:val="00B555AE"/>
    <w:rsid w:val="00B5567D"/>
    <w:rsid w:val="00B5574A"/>
    <w:rsid w:val="00B5590E"/>
    <w:rsid w:val="00B55967"/>
    <w:rsid w:val="00B559FA"/>
    <w:rsid w:val="00B559FB"/>
    <w:rsid w:val="00B56261"/>
    <w:rsid w:val="00B56288"/>
    <w:rsid w:val="00B56595"/>
    <w:rsid w:val="00B56616"/>
    <w:rsid w:val="00B56740"/>
    <w:rsid w:val="00B56C3D"/>
    <w:rsid w:val="00B5702C"/>
    <w:rsid w:val="00B571C0"/>
    <w:rsid w:val="00B57638"/>
    <w:rsid w:val="00B57729"/>
    <w:rsid w:val="00B57870"/>
    <w:rsid w:val="00B578D8"/>
    <w:rsid w:val="00B57CC9"/>
    <w:rsid w:val="00B57F4C"/>
    <w:rsid w:val="00B6005B"/>
    <w:rsid w:val="00B6024B"/>
    <w:rsid w:val="00B6038F"/>
    <w:rsid w:val="00B60526"/>
    <w:rsid w:val="00B60740"/>
    <w:rsid w:val="00B60798"/>
    <w:rsid w:val="00B60807"/>
    <w:rsid w:val="00B60904"/>
    <w:rsid w:val="00B60A4A"/>
    <w:rsid w:val="00B60A93"/>
    <w:rsid w:val="00B60B43"/>
    <w:rsid w:val="00B60B85"/>
    <w:rsid w:val="00B60BAD"/>
    <w:rsid w:val="00B60C7A"/>
    <w:rsid w:val="00B60CCB"/>
    <w:rsid w:val="00B60EC7"/>
    <w:rsid w:val="00B612F1"/>
    <w:rsid w:val="00B61559"/>
    <w:rsid w:val="00B61624"/>
    <w:rsid w:val="00B61661"/>
    <w:rsid w:val="00B616E8"/>
    <w:rsid w:val="00B61951"/>
    <w:rsid w:val="00B6196E"/>
    <w:rsid w:val="00B61A16"/>
    <w:rsid w:val="00B61DCC"/>
    <w:rsid w:val="00B6211E"/>
    <w:rsid w:val="00B625DE"/>
    <w:rsid w:val="00B62847"/>
    <w:rsid w:val="00B62CA7"/>
    <w:rsid w:val="00B62D2C"/>
    <w:rsid w:val="00B62FB4"/>
    <w:rsid w:val="00B6373D"/>
    <w:rsid w:val="00B6378C"/>
    <w:rsid w:val="00B63D7C"/>
    <w:rsid w:val="00B64105"/>
    <w:rsid w:val="00B6439C"/>
    <w:rsid w:val="00B64520"/>
    <w:rsid w:val="00B645B7"/>
    <w:rsid w:val="00B645C1"/>
    <w:rsid w:val="00B645E1"/>
    <w:rsid w:val="00B64644"/>
    <w:rsid w:val="00B64945"/>
    <w:rsid w:val="00B649FB"/>
    <w:rsid w:val="00B64C4B"/>
    <w:rsid w:val="00B64C90"/>
    <w:rsid w:val="00B64E19"/>
    <w:rsid w:val="00B64F5A"/>
    <w:rsid w:val="00B64FAC"/>
    <w:rsid w:val="00B651D4"/>
    <w:rsid w:val="00B6527A"/>
    <w:rsid w:val="00B65319"/>
    <w:rsid w:val="00B6551E"/>
    <w:rsid w:val="00B65610"/>
    <w:rsid w:val="00B6561C"/>
    <w:rsid w:val="00B65662"/>
    <w:rsid w:val="00B65D71"/>
    <w:rsid w:val="00B66289"/>
    <w:rsid w:val="00B66333"/>
    <w:rsid w:val="00B66434"/>
    <w:rsid w:val="00B66464"/>
    <w:rsid w:val="00B6651C"/>
    <w:rsid w:val="00B667E7"/>
    <w:rsid w:val="00B66B41"/>
    <w:rsid w:val="00B66B67"/>
    <w:rsid w:val="00B66BED"/>
    <w:rsid w:val="00B66C4B"/>
    <w:rsid w:val="00B66C9D"/>
    <w:rsid w:val="00B66D86"/>
    <w:rsid w:val="00B66E51"/>
    <w:rsid w:val="00B672F7"/>
    <w:rsid w:val="00B6732D"/>
    <w:rsid w:val="00B673D9"/>
    <w:rsid w:val="00B677D2"/>
    <w:rsid w:val="00B67A14"/>
    <w:rsid w:val="00B67C1C"/>
    <w:rsid w:val="00B67DE8"/>
    <w:rsid w:val="00B67F52"/>
    <w:rsid w:val="00B7007F"/>
    <w:rsid w:val="00B701E7"/>
    <w:rsid w:val="00B7021D"/>
    <w:rsid w:val="00B70375"/>
    <w:rsid w:val="00B7057B"/>
    <w:rsid w:val="00B705C9"/>
    <w:rsid w:val="00B705D2"/>
    <w:rsid w:val="00B70679"/>
    <w:rsid w:val="00B706D1"/>
    <w:rsid w:val="00B70828"/>
    <w:rsid w:val="00B70908"/>
    <w:rsid w:val="00B70936"/>
    <w:rsid w:val="00B70A46"/>
    <w:rsid w:val="00B70A76"/>
    <w:rsid w:val="00B70B97"/>
    <w:rsid w:val="00B70E85"/>
    <w:rsid w:val="00B70F3F"/>
    <w:rsid w:val="00B70FEF"/>
    <w:rsid w:val="00B7104A"/>
    <w:rsid w:val="00B711F0"/>
    <w:rsid w:val="00B712CC"/>
    <w:rsid w:val="00B7138E"/>
    <w:rsid w:val="00B713F2"/>
    <w:rsid w:val="00B718D5"/>
    <w:rsid w:val="00B71D00"/>
    <w:rsid w:val="00B71E39"/>
    <w:rsid w:val="00B71F17"/>
    <w:rsid w:val="00B72046"/>
    <w:rsid w:val="00B7231C"/>
    <w:rsid w:val="00B72357"/>
    <w:rsid w:val="00B72440"/>
    <w:rsid w:val="00B72626"/>
    <w:rsid w:val="00B7265F"/>
    <w:rsid w:val="00B72725"/>
    <w:rsid w:val="00B72744"/>
    <w:rsid w:val="00B7276D"/>
    <w:rsid w:val="00B728F2"/>
    <w:rsid w:val="00B72ACC"/>
    <w:rsid w:val="00B72F7A"/>
    <w:rsid w:val="00B7300E"/>
    <w:rsid w:val="00B73826"/>
    <w:rsid w:val="00B73938"/>
    <w:rsid w:val="00B73A32"/>
    <w:rsid w:val="00B73D0E"/>
    <w:rsid w:val="00B73D5A"/>
    <w:rsid w:val="00B73E96"/>
    <w:rsid w:val="00B73FD4"/>
    <w:rsid w:val="00B74157"/>
    <w:rsid w:val="00B74387"/>
    <w:rsid w:val="00B7445C"/>
    <w:rsid w:val="00B7453F"/>
    <w:rsid w:val="00B747C3"/>
    <w:rsid w:val="00B7481E"/>
    <w:rsid w:val="00B74865"/>
    <w:rsid w:val="00B748D2"/>
    <w:rsid w:val="00B74BA2"/>
    <w:rsid w:val="00B74DA9"/>
    <w:rsid w:val="00B74DF0"/>
    <w:rsid w:val="00B752FF"/>
    <w:rsid w:val="00B753CE"/>
    <w:rsid w:val="00B753F1"/>
    <w:rsid w:val="00B7552D"/>
    <w:rsid w:val="00B758C4"/>
    <w:rsid w:val="00B75AC7"/>
    <w:rsid w:val="00B75D14"/>
    <w:rsid w:val="00B75F02"/>
    <w:rsid w:val="00B760F3"/>
    <w:rsid w:val="00B7619C"/>
    <w:rsid w:val="00B7620F"/>
    <w:rsid w:val="00B762A5"/>
    <w:rsid w:val="00B76470"/>
    <w:rsid w:val="00B76595"/>
    <w:rsid w:val="00B769EF"/>
    <w:rsid w:val="00B76B7B"/>
    <w:rsid w:val="00B76B9C"/>
    <w:rsid w:val="00B76D43"/>
    <w:rsid w:val="00B76DAD"/>
    <w:rsid w:val="00B76EA2"/>
    <w:rsid w:val="00B76F21"/>
    <w:rsid w:val="00B76FB0"/>
    <w:rsid w:val="00B770AB"/>
    <w:rsid w:val="00B77147"/>
    <w:rsid w:val="00B7729E"/>
    <w:rsid w:val="00B77412"/>
    <w:rsid w:val="00B775CA"/>
    <w:rsid w:val="00B776F4"/>
    <w:rsid w:val="00B77940"/>
    <w:rsid w:val="00B77A1C"/>
    <w:rsid w:val="00B77D38"/>
    <w:rsid w:val="00B77D66"/>
    <w:rsid w:val="00B77D86"/>
    <w:rsid w:val="00B77E7F"/>
    <w:rsid w:val="00B80018"/>
    <w:rsid w:val="00B8021B"/>
    <w:rsid w:val="00B8059A"/>
    <w:rsid w:val="00B8088B"/>
    <w:rsid w:val="00B8094C"/>
    <w:rsid w:val="00B80A2E"/>
    <w:rsid w:val="00B80D30"/>
    <w:rsid w:val="00B81001"/>
    <w:rsid w:val="00B813F2"/>
    <w:rsid w:val="00B816BF"/>
    <w:rsid w:val="00B81B36"/>
    <w:rsid w:val="00B81CB8"/>
    <w:rsid w:val="00B81D0B"/>
    <w:rsid w:val="00B81E75"/>
    <w:rsid w:val="00B81EDD"/>
    <w:rsid w:val="00B820CD"/>
    <w:rsid w:val="00B82141"/>
    <w:rsid w:val="00B821A8"/>
    <w:rsid w:val="00B82326"/>
    <w:rsid w:val="00B82345"/>
    <w:rsid w:val="00B826CE"/>
    <w:rsid w:val="00B826F5"/>
    <w:rsid w:val="00B827BC"/>
    <w:rsid w:val="00B82869"/>
    <w:rsid w:val="00B828C3"/>
    <w:rsid w:val="00B828E6"/>
    <w:rsid w:val="00B82A5E"/>
    <w:rsid w:val="00B82AFF"/>
    <w:rsid w:val="00B82C75"/>
    <w:rsid w:val="00B830D9"/>
    <w:rsid w:val="00B8348B"/>
    <w:rsid w:val="00B836B4"/>
    <w:rsid w:val="00B8377D"/>
    <w:rsid w:val="00B8378E"/>
    <w:rsid w:val="00B837E4"/>
    <w:rsid w:val="00B83AD2"/>
    <w:rsid w:val="00B83C17"/>
    <w:rsid w:val="00B83C3A"/>
    <w:rsid w:val="00B83C3F"/>
    <w:rsid w:val="00B83C94"/>
    <w:rsid w:val="00B83E6F"/>
    <w:rsid w:val="00B83FFE"/>
    <w:rsid w:val="00B84127"/>
    <w:rsid w:val="00B841D8"/>
    <w:rsid w:val="00B845E3"/>
    <w:rsid w:val="00B84663"/>
    <w:rsid w:val="00B8485C"/>
    <w:rsid w:val="00B84879"/>
    <w:rsid w:val="00B848A4"/>
    <w:rsid w:val="00B848E2"/>
    <w:rsid w:val="00B848E6"/>
    <w:rsid w:val="00B849F9"/>
    <w:rsid w:val="00B84A36"/>
    <w:rsid w:val="00B84A7F"/>
    <w:rsid w:val="00B84ACC"/>
    <w:rsid w:val="00B84B54"/>
    <w:rsid w:val="00B84CF2"/>
    <w:rsid w:val="00B84D07"/>
    <w:rsid w:val="00B84DFD"/>
    <w:rsid w:val="00B84E3E"/>
    <w:rsid w:val="00B84E4C"/>
    <w:rsid w:val="00B84EC0"/>
    <w:rsid w:val="00B84FD0"/>
    <w:rsid w:val="00B85140"/>
    <w:rsid w:val="00B85272"/>
    <w:rsid w:val="00B8542B"/>
    <w:rsid w:val="00B85484"/>
    <w:rsid w:val="00B85496"/>
    <w:rsid w:val="00B857CA"/>
    <w:rsid w:val="00B85917"/>
    <w:rsid w:val="00B85A3E"/>
    <w:rsid w:val="00B85DAE"/>
    <w:rsid w:val="00B85E0A"/>
    <w:rsid w:val="00B8605D"/>
    <w:rsid w:val="00B86136"/>
    <w:rsid w:val="00B861D9"/>
    <w:rsid w:val="00B86323"/>
    <w:rsid w:val="00B863ED"/>
    <w:rsid w:val="00B86514"/>
    <w:rsid w:val="00B867F3"/>
    <w:rsid w:val="00B86868"/>
    <w:rsid w:val="00B869C2"/>
    <w:rsid w:val="00B86A6F"/>
    <w:rsid w:val="00B86CC7"/>
    <w:rsid w:val="00B86D55"/>
    <w:rsid w:val="00B87074"/>
    <w:rsid w:val="00B871F3"/>
    <w:rsid w:val="00B873CC"/>
    <w:rsid w:val="00B8766B"/>
    <w:rsid w:val="00B87845"/>
    <w:rsid w:val="00B87D2B"/>
    <w:rsid w:val="00B87D8F"/>
    <w:rsid w:val="00B87E82"/>
    <w:rsid w:val="00B90273"/>
    <w:rsid w:val="00B903EE"/>
    <w:rsid w:val="00B90468"/>
    <w:rsid w:val="00B906ED"/>
    <w:rsid w:val="00B907B3"/>
    <w:rsid w:val="00B908AE"/>
    <w:rsid w:val="00B909FE"/>
    <w:rsid w:val="00B90C9E"/>
    <w:rsid w:val="00B91327"/>
    <w:rsid w:val="00B9146B"/>
    <w:rsid w:val="00B91506"/>
    <w:rsid w:val="00B917B1"/>
    <w:rsid w:val="00B91A05"/>
    <w:rsid w:val="00B91D17"/>
    <w:rsid w:val="00B92128"/>
    <w:rsid w:val="00B921D5"/>
    <w:rsid w:val="00B9233B"/>
    <w:rsid w:val="00B9252F"/>
    <w:rsid w:val="00B925D6"/>
    <w:rsid w:val="00B92836"/>
    <w:rsid w:val="00B92866"/>
    <w:rsid w:val="00B928E6"/>
    <w:rsid w:val="00B92968"/>
    <w:rsid w:val="00B92B32"/>
    <w:rsid w:val="00B92D4B"/>
    <w:rsid w:val="00B92FE8"/>
    <w:rsid w:val="00B93154"/>
    <w:rsid w:val="00B93268"/>
    <w:rsid w:val="00B9327A"/>
    <w:rsid w:val="00B93423"/>
    <w:rsid w:val="00B934EB"/>
    <w:rsid w:val="00B93B6B"/>
    <w:rsid w:val="00B94057"/>
    <w:rsid w:val="00B94171"/>
    <w:rsid w:val="00B94246"/>
    <w:rsid w:val="00B94285"/>
    <w:rsid w:val="00B9434F"/>
    <w:rsid w:val="00B94674"/>
    <w:rsid w:val="00B94704"/>
    <w:rsid w:val="00B94715"/>
    <w:rsid w:val="00B949B5"/>
    <w:rsid w:val="00B94A9D"/>
    <w:rsid w:val="00B94C9F"/>
    <w:rsid w:val="00B94CE6"/>
    <w:rsid w:val="00B94CFB"/>
    <w:rsid w:val="00B94D1A"/>
    <w:rsid w:val="00B94E61"/>
    <w:rsid w:val="00B94E8C"/>
    <w:rsid w:val="00B94EF1"/>
    <w:rsid w:val="00B9513C"/>
    <w:rsid w:val="00B951CB"/>
    <w:rsid w:val="00B95339"/>
    <w:rsid w:val="00B953C0"/>
    <w:rsid w:val="00B95583"/>
    <w:rsid w:val="00B955FC"/>
    <w:rsid w:val="00B9563D"/>
    <w:rsid w:val="00B95D16"/>
    <w:rsid w:val="00B95F65"/>
    <w:rsid w:val="00B95FC3"/>
    <w:rsid w:val="00B96120"/>
    <w:rsid w:val="00B962BE"/>
    <w:rsid w:val="00B9631B"/>
    <w:rsid w:val="00B96324"/>
    <w:rsid w:val="00B96327"/>
    <w:rsid w:val="00B96438"/>
    <w:rsid w:val="00B966F5"/>
    <w:rsid w:val="00B96777"/>
    <w:rsid w:val="00B96886"/>
    <w:rsid w:val="00B96B72"/>
    <w:rsid w:val="00B96C2B"/>
    <w:rsid w:val="00B96C43"/>
    <w:rsid w:val="00B96CB5"/>
    <w:rsid w:val="00B96D31"/>
    <w:rsid w:val="00B96D65"/>
    <w:rsid w:val="00B96DB0"/>
    <w:rsid w:val="00B96DC9"/>
    <w:rsid w:val="00B96F0F"/>
    <w:rsid w:val="00B96F86"/>
    <w:rsid w:val="00B9713D"/>
    <w:rsid w:val="00B97162"/>
    <w:rsid w:val="00B9731B"/>
    <w:rsid w:val="00B976BF"/>
    <w:rsid w:val="00B976C4"/>
    <w:rsid w:val="00B97853"/>
    <w:rsid w:val="00B97862"/>
    <w:rsid w:val="00B9788F"/>
    <w:rsid w:val="00B97B18"/>
    <w:rsid w:val="00B97B26"/>
    <w:rsid w:val="00B97F3F"/>
    <w:rsid w:val="00B97FE3"/>
    <w:rsid w:val="00BA00F2"/>
    <w:rsid w:val="00BA022B"/>
    <w:rsid w:val="00BA02CE"/>
    <w:rsid w:val="00BA046E"/>
    <w:rsid w:val="00BA049E"/>
    <w:rsid w:val="00BA0507"/>
    <w:rsid w:val="00BA0527"/>
    <w:rsid w:val="00BA07C8"/>
    <w:rsid w:val="00BA08BA"/>
    <w:rsid w:val="00BA08EC"/>
    <w:rsid w:val="00BA0A98"/>
    <w:rsid w:val="00BA0ACB"/>
    <w:rsid w:val="00BA0B3D"/>
    <w:rsid w:val="00BA0F90"/>
    <w:rsid w:val="00BA0FB3"/>
    <w:rsid w:val="00BA0FE7"/>
    <w:rsid w:val="00BA1172"/>
    <w:rsid w:val="00BA1194"/>
    <w:rsid w:val="00BA15FD"/>
    <w:rsid w:val="00BA1924"/>
    <w:rsid w:val="00BA1994"/>
    <w:rsid w:val="00BA19B2"/>
    <w:rsid w:val="00BA1C9D"/>
    <w:rsid w:val="00BA1E64"/>
    <w:rsid w:val="00BA1F50"/>
    <w:rsid w:val="00BA23A3"/>
    <w:rsid w:val="00BA254E"/>
    <w:rsid w:val="00BA2563"/>
    <w:rsid w:val="00BA2663"/>
    <w:rsid w:val="00BA2AEA"/>
    <w:rsid w:val="00BA2F9D"/>
    <w:rsid w:val="00BA30F0"/>
    <w:rsid w:val="00BA3145"/>
    <w:rsid w:val="00BA31B7"/>
    <w:rsid w:val="00BA32B1"/>
    <w:rsid w:val="00BA32C2"/>
    <w:rsid w:val="00BA32C9"/>
    <w:rsid w:val="00BA3388"/>
    <w:rsid w:val="00BA35AD"/>
    <w:rsid w:val="00BA39C6"/>
    <w:rsid w:val="00BA3B5C"/>
    <w:rsid w:val="00BA3B85"/>
    <w:rsid w:val="00BA3D8F"/>
    <w:rsid w:val="00BA3F5D"/>
    <w:rsid w:val="00BA41E4"/>
    <w:rsid w:val="00BA427D"/>
    <w:rsid w:val="00BA427E"/>
    <w:rsid w:val="00BA4332"/>
    <w:rsid w:val="00BA438E"/>
    <w:rsid w:val="00BA46E1"/>
    <w:rsid w:val="00BA477F"/>
    <w:rsid w:val="00BA4829"/>
    <w:rsid w:val="00BA48F2"/>
    <w:rsid w:val="00BA4973"/>
    <w:rsid w:val="00BA4A63"/>
    <w:rsid w:val="00BA4C7B"/>
    <w:rsid w:val="00BA4FF9"/>
    <w:rsid w:val="00BA50F5"/>
    <w:rsid w:val="00BA5123"/>
    <w:rsid w:val="00BA53BE"/>
    <w:rsid w:val="00BA5427"/>
    <w:rsid w:val="00BA550B"/>
    <w:rsid w:val="00BA57DE"/>
    <w:rsid w:val="00BA5930"/>
    <w:rsid w:val="00BA5D74"/>
    <w:rsid w:val="00BA5E85"/>
    <w:rsid w:val="00BA5ED5"/>
    <w:rsid w:val="00BA5F83"/>
    <w:rsid w:val="00BA60DC"/>
    <w:rsid w:val="00BA6136"/>
    <w:rsid w:val="00BA6171"/>
    <w:rsid w:val="00BA63CA"/>
    <w:rsid w:val="00BA63FD"/>
    <w:rsid w:val="00BA6528"/>
    <w:rsid w:val="00BA654C"/>
    <w:rsid w:val="00BA65B4"/>
    <w:rsid w:val="00BA65B5"/>
    <w:rsid w:val="00BA672E"/>
    <w:rsid w:val="00BA67B9"/>
    <w:rsid w:val="00BA6805"/>
    <w:rsid w:val="00BA6973"/>
    <w:rsid w:val="00BA698C"/>
    <w:rsid w:val="00BA69EF"/>
    <w:rsid w:val="00BA6BC5"/>
    <w:rsid w:val="00BA6D37"/>
    <w:rsid w:val="00BA6FB0"/>
    <w:rsid w:val="00BA709C"/>
    <w:rsid w:val="00BA70A3"/>
    <w:rsid w:val="00BA7101"/>
    <w:rsid w:val="00BA7140"/>
    <w:rsid w:val="00BA715C"/>
    <w:rsid w:val="00BA7465"/>
    <w:rsid w:val="00BA761F"/>
    <w:rsid w:val="00BA7A00"/>
    <w:rsid w:val="00BA7A90"/>
    <w:rsid w:val="00BA7B4E"/>
    <w:rsid w:val="00BA7BE2"/>
    <w:rsid w:val="00BA7D13"/>
    <w:rsid w:val="00BA7EDC"/>
    <w:rsid w:val="00BB00BB"/>
    <w:rsid w:val="00BB0215"/>
    <w:rsid w:val="00BB0505"/>
    <w:rsid w:val="00BB06B1"/>
    <w:rsid w:val="00BB06E4"/>
    <w:rsid w:val="00BB0837"/>
    <w:rsid w:val="00BB0B7C"/>
    <w:rsid w:val="00BB0D68"/>
    <w:rsid w:val="00BB0D6B"/>
    <w:rsid w:val="00BB0E8F"/>
    <w:rsid w:val="00BB103C"/>
    <w:rsid w:val="00BB10DD"/>
    <w:rsid w:val="00BB125B"/>
    <w:rsid w:val="00BB1373"/>
    <w:rsid w:val="00BB1576"/>
    <w:rsid w:val="00BB15DA"/>
    <w:rsid w:val="00BB19AB"/>
    <w:rsid w:val="00BB19FA"/>
    <w:rsid w:val="00BB1C50"/>
    <w:rsid w:val="00BB1D62"/>
    <w:rsid w:val="00BB1F29"/>
    <w:rsid w:val="00BB1F89"/>
    <w:rsid w:val="00BB2307"/>
    <w:rsid w:val="00BB23E1"/>
    <w:rsid w:val="00BB2524"/>
    <w:rsid w:val="00BB2526"/>
    <w:rsid w:val="00BB2689"/>
    <w:rsid w:val="00BB294E"/>
    <w:rsid w:val="00BB29A6"/>
    <w:rsid w:val="00BB2AF4"/>
    <w:rsid w:val="00BB2BFF"/>
    <w:rsid w:val="00BB2D2A"/>
    <w:rsid w:val="00BB2D99"/>
    <w:rsid w:val="00BB2E5E"/>
    <w:rsid w:val="00BB2F2C"/>
    <w:rsid w:val="00BB2FA1"/>
    <w:rsid w:val="00BB3092"/>
    <w:rsid w:val="00BB310F"/>
    <w:rsid w:val="00BB3196"/>
    <w:rsid w:val="00BB31BE"/>
    <w:rsid w:val="00BB3296"/>
    <w:rsid w:val="00BB33A4"/>
    <w:rsid w:val="00BB34AA"/>
    <w:rsid w:val="00BB35B5"/>
    <w:rsid w:val="00BB3622"/>
    <w:rsid w:val="00BB3675"/>
    <w:rsid w:val="00BB38C5"/>
    <w:rsid w:val="00BB39DA"/>
    <w:rsid w:val="00BB39DE"/>
    <w:rsid w:val="00BB3B95"/>
    <w:rsid w:val="00BB3BAE"/>
    <w:rsid w:val="00BB3BB1"/>
    <w:rsid w:val="00BB3BED"/>
    <w:rsid w:val="00BB3C53"/>
    <w:rsid w:val="00BB3CE5"/>
    <w:rsid w:val="00BB416C"/>
    <w:rsid w:val="00BB4269"/>
    <w:rsid w:val="00BB42A8"/>
    <w:rsid w:val="00BB42EB"/>
    <w:rsid w:val="00BB4495"/>
    <w:rsid w:val="00BB488E"/>
    <w:rsid w:val="00BB48EE"/>
    <w:rsid w:val="00BB4BC0"/>
    <w:rsid w:val="00BB4D45"/>
    <w:rsid w:val="00BB4D62"/>
    <w:rsid w:val="00BB4DB4"/>
    <w:rsid w:val="00BB511F"/>
    <w:rsid w:val="00BB56F7"/>
    <w:rsid w:val="00BB57BE"/>
    <w:rsid w:val="00BB5884"/>
    <w:rsid w:val="00BB5B57"/>
    <w:rsid w:val="00BB5C1C"/>
    <w:rsid w:val="00BB5DBB"/>
    <w:rsid w:val="00BB5E4A"/>
    <w:rsid w:val="00BB5E9F"/>
    <w:rsid w:val="00BB6083"/>
    <w:rsid w:val="00BB6139"/>
    <w:rsid w:val="00BB6208"/>
    <w:rsid w:val="00BB629D"/>
    <w:rsid w:val="00BB633C"/>
    <w:rsid w:val="00BB63C2"/>
    <w:rsid w:val="00BB647C"/>
    <w:rsid w:val="00BB657D"/>
    <w:rsid w:val="00BB6851"/>
    <w:rsid w:val="00BB6886"/>
    <w:rsid w:val="00BB692A"/>
    <w:rsid w:val="00BB6A28"/>
    <w:rsid w:val="00BB6AC5"/>
    <w:rsid w:val="00BB6B6C"/>
    <w:rsid w:val="00BB6C2E"/>
    <w:rsid w:val="00BB6D02"/>
    <w:rsid w:val="00BB6D75"/>
    <w:rsid w:val="00BB6F4E"/>
    <w:rsid w:val="00BB70FF"/>
    <w:rsid w:val="00BB7224"/>
    <w:rsid w:val="00BB7252"/>
    <w:rsid w:val="00BB7271"/>
    <w:rsid w:val="00BB7274"/>
    <w:rsid w:val="00BB7464"/>
    <w:rsid w:val="00BB77BA"/>
    <w:rsid w:val="00BB7894"/>
    <w:rsid w:val="00BB7AD7"/>
    <w:rsid w:val="00BB7B61"/>
    <w:rsid w:val="00BB7BB1"/>
    <w:rsid w:val="00BB7D27"/>
    <w:rsid w:val="00BB7D50"/>
    <w:rsid w:val="00BB7EDB"/>
    <w:rsid w:val="00BB7EE9"/>
    <w:rsid w:val="00BB7F76"/>
    <w:rsid w:val="00BC0083"/>
    <w:rsid w:val="00BC0088"/>
    <w:rsid w:val="00BC00EA"/>
    <w:rsid w:val="00BC0102"/>
    <w:rsid w:val="00BC010B"/>
    <w:rsid w:val="00BC048A"/>
    <w:rsid w:val="00BC0865"/>
    <w:rsid w:val="00BC0B58"/>
    <w:rsid w:val="00BC0BF3"/>
    <w:rsid w:val="00BC0CB7"/>
    <w:rsid w:val="00BC0CDB"/>
    <w:rsid w:val="00BC0CE2"/>
    <w:rsid w:val="00BC0E7A"/>
    <w:rsid w:val="00BC0EE9"/>
    <w:rsid w:val="00BC106C"/>
    <w:rsid w:val="00BC12E4"/>
    <w:rsid w:val="00BC130A"/>
    <w:rsid w:val="00BC1400"/>
    <w:rsid w:val="00BC159E"/>
    <w:rsid w:val="00BC1603"/>
    <w:rsid w:val="00BC17F5"/>
    <w:rsid w:val="00BC1CF5"/>
    <w:rsid w:val="00BC1EA4"/>
    <w:rsid w:val="00BC2194"/>
    <w:rsid w:val="00BC225E"/>
    <w:rsid w:val="00BC261E"/>
    <w:rsid w:val="00BC26B9"/>
    <w:rsid w:val="00BC2786"/>
    <w:rsid w:val="00BC2A90"/>
    <w:rsid w:val="00BC2ACD"/>
    <w:rsid w:val="00BC2C6E"/>
    <w:rsid w:val="00BC2D4D"/>
    <w:rsid w:val="00BC2FB3"/>
    <w:rsid w:val="00BC32C5"/>
    <w:rsid w:val="00BC3315"/>
    <w:rsid w:val="00BC3525"/>
    <w:rsid w:val="00BC35A8"/>
    <w:rsid w:val="00BC36EC"/>
    <w:rsid w:val="00BC37ED"/>
    <w:rsid w:val="00BC38CD"/>
    <w:rsid w:val="00BC38F2"/>
    <w:rsid w:val="00BC38F8"/>
    <w:rsid w:val="00BC3A16"/>
    <w:rsid w:val="00BC3B87"/>
    <w:rsid w:val="00BC3C80"/>
    <w:rsid w:val="00BC3DBB"/>
    <w:rsid w:val="00BC427A"/>
    <w:rsid w:val="00BC43F7"/>
    <w:rsid w:val="00BC45E6"/>
    <w:rsid w:val="00BC4659"/>
    <w:rsid w:val="00BC484C"/>
    <w:rsid w:val="00BC48D8"/>
    <w:rsid w:val="00BC48DE"/>
    <w:rsid w:val="00BC4B26"/>
    <w:rsid w:val="00BC4B72"/>
    <w:rsid w:val="00BC4C72"/>
    <w:rsid w:val="00BC51B5"/>
    <w:rsid w:val="00BC51C2"/>
    <w:rsid w:val="00BC52F0"/>
    <w:rsid w:val="00BC53E6"/>
    <w:rsid w:val="00BC5DE0"/>
    <w:rsid w:val="00BC5EF2"/>
    <w:rsid w:val="00BC61A2"/>
    <w:rsid w:val="00BC61EE"/>
    <w:rsid w:val="00BC626A"/>
    <w:rsid w:val="00BC6275"/>
    <w:rsid w:val="00BC6294"/>
    <w:rsid w:val="00BC6355"/>
    <w:rsid w:val="00BC63D4"/>
    <w:rsid w:val="00BC6C3D"/>
    <w:rsid w:val="00BC6E09"/>
    <w:rsid w:val="00BC6EC2"/>
    <w:rsid w:val="00BC6ED3"/>
    <w:rsid w:val="00BC70E2"/>
    <w:rsid w:val="00BC710B"/>
    <w:rsid w:val="00BC7120"/>
    <w:rsid w:val="00BC724A"/>
    <w:rsid w:val="00BC72B4"/>
    <w:rsid w:val="00BC75B2"/>
    <w:rsid w:val="00BC7603"/>
    <w:rsid w:val="00BC78DD"/>
    <w:rsid w:val="00BC78E0"/>
    <w:rsid w:val="00BC7C24"/>
    <w:rsid w:val="00BC7D2C"/>
    <w:rsid w:val="00BC7DB9"/>
    <w:rsid w:val="00BC7E81"/>
    <w:rsid w:val="00BC7EC2"/>
    <w:rsid w:val="00BD020C"/>
    <w:rsid w:val="00BD0211"/>
    <w:rsid w:val="00BD04B6"/>
    <w:rsid w:val="00BD0594"/>
    <w:rsid w:val="00BD0621"/>
    <w:rsid w:val="00BD06A3"/>
    <w:rsid w:val="00BD07D4"/>
    <w:rsid w:val="00BD08A6"/>
    <w:rsid w:val="00BD0BEC"/>
    <w:rsid w:val="00BD0BFC"/>
    <w:rsid w:val="00BD0C81"/>
    <w:rsid w:val="00BD0CBB"/>
    <w:rsid w:val="00BD0F05"/>
    <w:rsid w:val="00BD10A2"/>
    <w:rsid w:val="00BD1167"/>
    <w:rsid w:val="00BD1379"/>
    <w:rsid w:val="00BD14F6"/>
    <w:rsid w:val="00BD170A"/>
    <w:rsid w:val="00BD17BF"/>
    <w:rsid w:val="00BD17C5"/>
    <w:rsid w:val="00BD185F"/>
    <w:rsid w:val="00BD1DFE"/>
    <w:rsid w:val="00BD20E0"/>
    <w:rsid w:val="00BD222D"/>
    <w:rsid w:val="00BD2331"/>
    <w:rsid w:val="00BD23E5"/>
    <w:rsid w:val="00BD255A"/>
    <w:rsid w:val="00BD25B7"/>
    <w:rsid w:val="00BD25D8"/>
    <w:rsid w:val="00BD26C0"/>
    <w:rsid w:val="00BD28DA"/>
    <w:rsid w:val="00BD2ACC"/>
    <w:rsid w:val="00BD2BA0"/>
    <w:rsid w:val="00BD2D0F"/>
    <w:rsid w:val="00BD2D1F"/>
    <w:rsid w:val="00BD2EFC"/>
    <w:rsid w:val="00BD2FC5"/>
    <w:rsid w:val="00BD301E"/>
    <w:rsid w:val="00BD313D"/>
    <w:rsid w:val="00BD325D"/>
    <w:rsid w:val="00BD32E0"/>
    <w:rsid w:val="00BD32EA"/>
    <w:rsid w:val="00BD332C"/>
    <w:rsid w:val="00BD33A7"/>
    <w:rsid w:val="00BD350E"/>
    <w:rsid w:val="00BD3519"/>
    <w:rsid w:val="00BD38FE"/>
    <w:rsid w:val="00BD3D25"/>
    <w:rsid w:val="00BD3E25"/>
    <w:rsid w:val="00BD3E5A"/>
    <w:rsid w:val="00BD3F2C"/>
    <w:rsid w:val="00BD4012"/>
    <w:rsid w:val="00BD4021"/>
    <w:rsid w:val="00BD40B5"/>
    <w:rsid w:val="00BD41A0"/>
    <w:rsid w:val="00BD427C"/>
    <w:rsid w:val="00BD43A1"/>
    <w:rsid w:val="00BD43E1"/>
    <w:rsid w:val="00BD4463"/>
    <w:rsid w:val="00BD44AF"/>
    <w:rsid w:val="00BD4522"/>
    <w:rsid w:val="00BD462F"/>
    <w:rsid w:val="00BD4675"/>
    <w:rsid w:val="00BD48F7"/>
    <w:rsid w:val="00BD497C"/>
    <w:rsid w:val="00BD4E5F"/>
    <w:rsid w:val="00BD509E"/>
    <w:rsid w:val="00BD50DF"/>
    <w:rsid w:val="00BD540A"/>
    <w:rsid w:val="00BD5720"/>
    <w:rsid w:val="00BD577D"/>
    <w:rsid w:val="00BD5797"/>
    <w:rsid w:val="00BD57B8"/>
    <w:rsid w:val="00BD5863"/>
    <w:rsid w:val="00BD58C2"/>
    <w:rsid w:val="00BD5A45"/>
    <w:rsid w:val="00BD5B02"/>
    <w:rsid w:val="00BD5B08"/>
    <w:rsid w:val="00BD5BBB"/>
    <w:rsid w:val="00BD5D27"/>
    <w:rsid w:val="00BD6053"/>
    <w:rsid w:val="00BD637B"/>
    <w:rsid w:val="00BD668A"/>
    <w:rsid w:val="00BD687D"/>
    <w:rsid w:val="00BD6BA9"/>
    <w:rsid w:val="00BD6C68"/>
    <w:rsid w:val="00BD6E06"/>
    <w:rsid w:val="00BD6EBE"/>
    <w:rsid w:val="00BD7252"/>
    <w:rsid w:val="00BD72D3"/>
    <w:rsid w:val="00BD7407"/>
    <w:rsid w:val="00BD75C6"/>
    <w:rsid w:val="00BD7721"/>
    <w:rsid w:val="00BD7832"/>
    <w:rsid w:val="00BD79FC"/>
    <w:rsid w:val="00BD7E83"/>
    <w:rsid w:val="00BD7EF6"/>
    <w:rsid w:val="00BD7FAE"/>
    <w:rsid w:val="00BE004D"/>
    <w:rsid w:val="00BE0277"/>
    <w:rsid w:val="00BE029A"/>
    <w:rsid w:val="00BE0379"/>
    <w:rsid w:val="00BE03C9"/>
    <w:rsid w:val="00BE042E"/>
    <w:rsid w:val="00BE08E1"/>
    <w:rsid w:val="00BE099D"/>
    <w:rsid w:val="00BE0B41"/>
    <w:rsid w:val="00BE0E6A"/>
    <w:rsid w:val="00BE0F01"/>
    <w:rsid w:val="00BE0F75"/>
    <w:rsid w:val="00BE1348"/>
    <w:rsid w:val="00BE13BA"/>
    <w:rsid w:val="00BE148A"/>
    <w:rsid w:val="00BE15A9"/>
    <w:rsid w:val="00BE161A"/>
    <w:rsid w:val="00BE18BB"/>
    <w:rsid w:val="00BE1AE6"/>
    <w:rsid w:val="00BE1C16"/>
    <w:rsid w:val="00BE206D"/>
    <w:rsid w:val="00BE2073"/>
    <w:rsid w:val="00BE23CB"/>
    <w:rsid w:val="00BE2489"/>
    <w:rsid w:val="00BE27A5"/>
    <w:rsid w:val="00BE27AB"/>
    <w:rsid w:val="00BE2CC6"/>
    <w:rsid w:val="00BE2FCC"/>
    <w:rsid w:val="00BE314D"/>
    <w:rsid w:val="00BE352B"/>
    <w:rsid w:val="00BE3640"/>
    <w:rsid w:val="00BE3876"/>
    <w:rsid w:val="00BE38E0"/>
    <w:rsid w:val="00BE3A5D"/>
    <w:rsid w:val="00BE3BD8"/>
    <w:rsid w:val="00BE3CD6"/>
    <w:rsid w:val="00BE3E21"/>
    <w:rsid w:val="00BE3E3D"/>
    <w:rsid w:val="00BE3F8F"/>
    <w:rsid w:val="00BE42DB"/>
    <w:rsid w:val="00BE432A"/>
    <w:rsid w:val="00BE43A7"/>
    <w:rsid w:val="00BE43C6"/>
    <w:rsid w:val="00BE43D3"/>
    <w:rsid w:val="00BE4587"/>
    <w:rsid w:val="00BE46A5"/>
    <w:rsid w:val="00BE4787"/>
    <w:rsid w:val="00BE4C60"/>
    <w:rsid w:val="00BE4CBA"/>
    <w:rsid w:val="00BE4D4B"/>
    <w:rsid w:val="00BE4EAA"/>
    <w:rsid w:val="00BE507B"/>
    <w:rsid w:val="00BE507D"/>
    <w:rsid w:val="00BE513A"/>
    <w:rsid w:val="00BE523D"/>
    <w:rsid w:val="00BE5263"/>
    <w:rsid w:val="00BE542B"/>
    <w:rsid w:val="00BE55A9"/>
    <w:rsid w:val="00BE57D2"/>
    <w:rsid w:val="00BE57FB"/>
    <w:rsid w:val="00BE58C2"/>
    <w:rsid w:val="00BE58DA"/>
    <w:rsid w:val="00BE59D5"/>
    <w:rsid w:val="00BE5AE5"/>
    <w:rsid w:val="00BE5DE3"/>
    <w:rsid w:val="00BE60E7"/>
    <w:rsid w:val="00BE61C7"/>
    <w:rsid w:val="00BE6257"/>
    <w:rsid w:val="00BE63CA"/>
    <w:rsid w:val="00BE64BF"/>
    <w:rsid w:val="00BE6522"/>
    <w:rsid w:val="00BE6548"/>
    <w:rsid w:val="00BE66E4"/>
    <w:rsid w:val="00BE6C52"/>
    <w:rsid w:val="00BE6C85"/>
    <w:rsid w:val="00BE6E56"/>
    <w:rsid w:val="00BE70E7"/>
    <w:rsid w:val="00BE72AE"/>
    <w:rsid w:val="00BE740C"/>
    <w:rsid w:val="00BE74F8"/>
    <w:rsid w:val="00BE75B2"/>
    <w:rsid w:val="00BE75FD"/>
    <w:rsid w:val="00BE766B"/>
    <w:rsid w:val="00BE767C"/>
    <w:rsid w:val="00BE7777"/>
    <w:rsid w:val="00BE7995"/>
    <w:rsid w:val="00BE7BB3"/>
    <w:rsid w:val="00BE7D41"/>
    <w:rsid w:val="00BE7F20"/>
    <w:rsid w:val="00BF0049"/>
    <w:rsid w:val="00BF0220"/>
    <w:rsid w:val="00BF034A"/>
    <w:rsid w:val="00BF0587"/>
    <w:rsid w:val="00BF05B2"/>
    <w:rsid w:val="00BF07EF"/>
    <w:rsid w:val="00BF07F8"/>
    <w:rsid w:val="00BF08CD"/>
    <w:rsid w:val="00BF0A03"/>
    <w:rsid w:val="00BF0DAD"/>
    <w:rsid w:val="00BF0E35"/>
    <w:rsid w:val="00BF1279"/>
    <w:rsid w:val="00BF1550"/>
    <w:rsid w:val="00BF166A"/>
    <w:rsid w:val="00BF184A"/>
    <w:rsid w:val="00BF184D"/>
    <w:rsid w:val="00BF1A00"/>
    <w:rsid w:val="00BF1AE4"/>
    <w:rsid w:val="00BF1B67"/>
    <w:rsid w:val="00BF1F15"/>
    <w:rsid w:val="00BF209C"/>
    <w:rsid w:val="00BF2122"/>
    <w:rsid w:val="00BF2411"/>
    <w:rsid w:val="00BF2708"/>
    <w:rsid w:val="00BF273B"/>
    <w:rsid w:val="00BF2798"/>
    <w:rsid w:val="00BF286B"/>
    <w:rsid w:val="00BF28FB"/>
    <w:rsid w:val="00BF2A0C"/>
    <w:rsid w:val="00BF2A85"/>
    <w:rsid w:val="00BF3074"/>
    <w:rsid w:val="00BF31D2"/>
    <w:rsid w:val="00BF31F7"/>
    <w:rsid w:val="00BF3218"/>
    <w:rsid w:val="00BF329F"/>
    <w:rsid w:val="00BF32A1"/>
    <w:rsid w:val="00BF3411"/>
    <w:rsid w:val="00BF3489"/>
    <w:rsid w:val="00BF35E9"/>
    <w:rsid w:val="00BF36C7"/>
    <w:rsid w:val="00BF3827"/>
    <w:rsid w:val="00BF38D2"/>
    <w:rsid w:val="00BF3A34"/>
    <w:rsid w:val="00BF3C3E"/>
    <w:rsid w:val="00BF3CE1"/>
    <w:rsid w:val="00BF3D55"/>
    <w:rsid w:val="00BF3E17"/>
    <w:rsid w:val="00BF4121"/>
    <w:rsid w:val="00BF43D7"/>
    <w:rsid w:val="00BF43F8"/>
    <w:rsid w:val="00BF4419"/>
    <w:rsid w:val="00BF4591"/>
    <w:rsid w:val="00BF4602"/>
    <w:rsid w:val="00BF4751"/>
    <w:rsid w:val="00BF4780"/>
    <w:rsid w:val="00BF4890"/>
    <w:rsid w:val="00BF4A49"/>
    <w:rsid w:val="00BF4AB4"/>
    <w:rsid w:val="00BF4AB7"/>
    <w:rsid w:val="00BF4AB9"/>
    <w:rsid w:val="00BF4D05"/>
    <w:rsid w:val="00BF4F09"/>
    <w:rsid w:val="00BF4F97"/>
    <w:rsid w:val="00BF50F6"/>
    <w:rsid w:val="00BF53A1"/>
    <w:rsid w:val="00BF553D"/>
    <w:rsid w:val="00BF5791"/>
    <w:rsid w:val="00BF57BA"/>
    <w:rsid w:val="00BF5973"/>
    <w:rsid w:val="00BF59DF"/>
    <w:rsid w:val="00BF5A3E"/>
    <w:rsid w:val="00BF5B32"/>
    <w:rsid w:val="00BF5F1F"/>
    <w:rsid w:val="00BF5F56"/>
    <w:rsid w:val="00BF6023"/>
    <w:rsid w:val="00BF602A"/>
    <w:rsid w:val="00BF605F"/>
    <w:rsid w:val="00BF6093"/>
    <w:rsid w:val="00BF6153"/>
    <w:rsid w:val="00BF6320"/>
    <w:rsid w:val="00BF6346"/>
    <w:rsid w:val="00BF64CC"/>
    <w:rsid w:val="00BF6617"/>
    <w:rsid w:val="00BF6865"/>
    <w:rsid w:val="00BF690A"/>
    <w:rsid w:val="00BF6D5E"/>
    <w:rsid w:val="00BF6D7A"/>
    <w:rsid w:val="00BF6E83"/>
    <w:rsid w:val="00BF74D1"/>
    <w:rsid w:val="00BF75EA"/>
    <w:rsid w:val="00BF7824"/>
    <w:rsid w:val="00BF7AA3"/>
    <w:rsid w:val="00BF7C31"/>
    <w:rsid w:val="00BF7CD8"/>
    <w:rsid w:val="00BF7D7C"/>
    <w:rsid w:val="00C0029B"/>
    <w:rsid w:val="00C003AC"/>
    <w:rsid w:val="00C00480"/>
    <w:rsid w:val="00C006D4"/>
    <w:rsid w:val="00C00986"/>
    <w:rsid w:val="00C00D4D"/>
    <w:rsid w:val="00C00D92"/>
    <w:rsid w:val="00C00F6A"/>
    <w:rsid w:val="00C014AF"/>
    <w:rsid w:val="00C016E4"/>
    <w:rsid w:val="00C01701"/>
    <w:rsid w:val="00C01723"/>
    <w:rsid w:val="00C0194A"/>
    <w:rsid w:val="00C01961"/>
    <w:rsid w:val="00C01967"/>
    <w:rsid w:val="00C01CDA"/>
    <w:rsid w:val="00C01FBA"/>
    <w:rsid w:val="00C020F3"/>
    <w:rsid w:val="00C021B6"/>
    <w:rsid w:val="00C02282"/>
    <w:rsid w:val="00C02495"/>
    <w:rsid w:val="00C024E7"/>
    <w:rsid w:val="00C02A2C"/>
    <w:rsid w:val="00C02B76"/>
    <w:rsid w:val="00C02C0D"/>
    <w:rsid w:val="00C02FC5"/>
    <w:rsid w:val="00C0307E"/>
    <w:rsid w:val="00C03350"/>
    <w:rsid w:val="00C0347F"/>
    <w:rsid w:val="00C03497"/>
    <w:rsid w:val="00C036BF"/>
    <w:rsid w:val="00C03814"/>
    <w:rsid w:val="00C038CF"/>
    <w:rsid w:val="00C03AE6"/>
    <w:rsid w:val="00C03B4D"/>
    <w:rsid w:val="00C03C49"/>
    <w:rsid w:val="00C03E87"/>
    <w:rsid w:val="00C03EA0"/>
    <w:rsid w:val="00C04161"/>
    <w:rsid w:val="00C04186"/>
    <w:rsid w:val="00C04210"/>
    <w:rsid w:val="00C0421C"/>
    <w:rsid w:val="00C04251"/>
    <w:rsid w:val="00C04498"/>
    <w:rsid w:val="00C04705"/>
    <w:rsid w:val="00C04923"/>
    <w:rsid w:val="00C04997"/>
    <w:rsid w:val="00C049CA"/>
    <w:rsid w:val="00C04D44"/>
    <w:rsid w:val="00C04E39"/>
    <w:rsid w:val="00C050A3"/>
    <w:rsid w:val="00C05314"/>
    <w:rsid w:val="00C05360"/>
    <w:rsid w:val="00C0539A"/>
    <w:rsid w:val="00C057F6"/>
    <w:rsid w:val="00C05A13"/>
    <w:rsid w:val="00C05AC6"/>
    <w:rsid w:val="00C05C71"/>
    <w:rsid w:val="00C05CF0"/>
    <w:rsid w:val="00C05E69"/>
    <w:rsid w:val="00C05E8F"/>
    <w:rsid w:val="00C06261"/>
    <w:rsid w:val="00C0646C"/>
    <w:rsid w:val="00C064C8"/>
    <w:rsid w:val="00C06772"/>
    <w:rsid w:val="00C06BFD"/>
    <w:rsid w:val="00C06E9D"/>
    <w:rsid w:val="00C06F45"/>
    <w:rsid w:val="00C0703E"/>
    <w:rsid w:val="00C0736A"/>
    <w:rsid w:val="00C07400"/>
    <w:rsid w:val="00C07568"/>
    <w:rsid w:val="00C075D4"/>
    <w:rsid w:val="00C0772F"/>
    <w:rsid w:val="00C07773"/>
    <w:rsid w:val="00C07864"/>
    <w:rsid w:val="00C07940"/>
    <w:rsid w:val="00C07A12"/>
    <w:rsid w:val="00C07AB6"/>
    <w:rsid w:val="00C07BB1"/>
    <w:rsid w:val="00C07C9B"/>
    <w:rsid w:val="00C07CAD"/>
    <w:rsid w:val="00C1009C"/>
    <w:rsid w:val="00C10300"/>
    <w:rsid w:val="00C10569"/>
    <w:rsid w:val="00C1062A"/>
    <w:rsid w:val="00C1064D"/>
    <w:rsid w:val="00C10737"/>
    <w:rsid w:val="00C10994"/>
    <w:rsid w:val="00C10A8B"/>
    <w:rsid w:val="00C10B4F"/>
    <w:rsid w:val="00C10BA5"/>
    <w:rsid w:val="00C10BC4"/>
    <w:rsid w:val="00C10C8E"/>
    <w:rsid w:val="00C10D48"/>
    <w:rsid w:val="00C10ECA"/>
    <w:rsid w:val="00C11166"/>
    <w:rsid w:val="00C11277"/>
    <w:rsid w:val="00C112A3"/>
    <w:rsid w:val="00C1144C"/>
    <w:rsid w:val="00C11900"/>
    <w:rsid w:val="00C11935"/>
    <w:rsid w:val="00C11B61"/>
    <w:rsid w:val="00C11BBA"/>
    <w:rsid w:val="00C11C11"/>
    <w:rsid w:val="00C11C3C"/>
    <w:rsid w:val="00C11FAC"/>
    <w:rsid w:val="00C1221D"/>
    <w:rsid w:val="00C122DA"/>
    <w:rsid w:val="00C12405"/>
    <w:rsid w:val="00C1241F"/>
    <w:rsid w:val="00C12927"/>
    <w:rsid w:val="00C12B3B"/>
    <w:rsid w:val="00C12C01"/>
    <w:rsid w:val="00C12D57"/>
    <w:rsid w:val="00C1322F"/>
    <w:rsid w:val="00C132FE"/>
    <w:rsid w:val="00C13452"/>
    <w:rsid w:val="00C134A8"/>
    <w:rsid w:val="00C13679"/>
    <w:rsid w:val="00C13746"/>
    <w:rsid w:val="00C13A18"/>
    <w:rsid w:val="00C13A7C"/>
    <w:rsid w:val="00C13E32"/>
    <w:rsid w:val="00C14151"/>
    <w:rsid w:val="00C143E4"/>
    <w:rsid w:val="00C14563"/>
    <w:rsid w:val="00C147EF"/>
    <w:rsid w:val="00C14814"/>
    <w:rsid w:val="00C148D8"/>
    <w:rsid w:val="00C151F2"/>
    <w:rsid w:val="00C1542C"/>
    <w:rsid w:val="00C154F9"/>
    <w:rsid w:val="00C15625"/>
    <w:rsid w:val="00C157A9"/>
    <w:rsid w:val="00C1581C"/>
    <w:rsid w:val="00C15896"/>
    <w:rsid w:val="00C159FD"/>
    <w:rsid w:val="00C15A0F"/>
    <w:rsid w:val="00C15CC4"/>
    <w:rsid w:val="00C16210"/>
    <w:rsid w:val="00C16226"/>
    <w:rsid w:val="00C1676F"/>
    <w:rsid w:val="00C168DB"/>
    <w:rsid w:val="00C16A43"/>
    <w:rsid w:val="00C16C15"/>
    <w:rsid w:val="00C16D6E"/>
    <w:rsid w:val="00C16F49"/>
    <w:rsid w:val="00C16FAD"/>
    <w:rsid w:val="00C170FB"/>
    <w:rsid w:val="00C171D4"/>
    <w:rsid w:val="00C17220"/>
    <w:rsid w:val="00C1764A"/>
    <w:rsid w:val="00C1780F"/>
    <w:rsid w:val="00C17A84"/>
    <w:rsid w:val="00C17BE9"/>
    <w:rsid w:val="00C17CC0"/>
    <w:rsid w:val="00C17D58"/>
    <w:rsid w:val="00C17DAB"/>
    <w:rsid w:val="00C2001E"/>
    <w:rsid w:val="00C20229"/>
    <w:rsid w:val="00C204B4"/>
    <w:rsid w:val="00C204C5"/>
    <w:rsid w:val="00C2059E"/>
    <w:rsid w:val="00C205A6"/>
    <w:rsid w:val="00C205D1"/>
    <w:rsid w:val="00C20A43"/>
    <w:rsid w:val="00C20F15"/>
    <w:rsid w:val="00C210A7"/>
    <w:rsid w:val="00C2122E"/>
    <w:rsid w:val="00C212E3"/>
    <w:rsid w:val="00C21302"/>
    <w:rsid w:val="00C21374"/>
    <w:rsid w:val="00C214DE"/>
    <w:rsid w:val="00C21763"/>
    <w:rsid w:val="00C217C9"/>
    <w:rsid w:val="00C217FE"/>
    <w:rsid w:val="00C2195D"/>
    <w:rsid w:val="00C21977"/>
    <w:rsid w:val="00C21B17"/>
    <w:rsid w:val="00C21D28"/>
    <w:rsid w:val="00C21D58"/>
    <w:rsid w:val="00C21E1B"/>
    <w:rsid w:val="00C21F85"/>
    <w:rsid w:val="00C223CF"/>
    <w:rsid w:val="00C224D5"/>
    <w:rsid w:val="00C22853"/>
    <w:rsid w:val="00C22884"/>
    <w:rsid w:val="00C22945"/>
    <w:rsid w:val="00C22B0F"/>
    <w:rsid w:val="00C22EA8"/>
    <w:rsid w:val="00C22EFA"/>
    <w:rsid w:val="00C22FE8"/>
    <w:rsid w:val="00C2349D"/>
    <w:rsid w:val="00C2364B"/>
    <w:rsid w:val="00C237E5"/>
    <w:rsid w:val="00C238C9"/>
    <w:rsid w:val="00C23A23"/>
    <w:rsid w:val="00C23ABC"/>
    <w:rsid w:val="00C23AC8"/>
    <w:rsid w:val="00C23C5F"/>
    <w:rsid w:val="00C23D5E"/>
    <w:rsid w:val="00C23E58"/>
    <w:rsid w:val="00C23EC7"/>
    <w:rsid w:val="00C24042"/>
    <w:rsid w:val="00C24091"/>
    <w:rsid w:val="00C24326"/>
    <w:rsid w:val="00C245F9"/>
    <w:rsid w:val="00C24794"/>
    <w:rsid w:val="00C247D2"/>
    <w:rsid w:val="00C248F1"/>
    <w:rsid w:val="00C24B66"/>
    <w:rsid w:val="00C24BDE"/>
    <w:rsid w:val="00C24C2E"/>
    <w:rsid w:val="00C24D07"/>
    <w:rsid w:val="00C251A9"/>
    <w:rsid w:val="00C25260"/>
    <w:rsid w:val="00C2526E"/>
    <w:rsid w:val="00C254E9"/>
    <w:rsid w:val="00C25693"/>
    <w:rsid w:val="00C25CD5"/>
    <w:rsid w:val="00C25D23"/>
    <w:rsid w:val="00C25F13"/>
    <w:rsid w:val="00C26105"/>
    <w:rsid w:val="00C26171"/>
    <w:rsid w:val="00C261CB"/>
    <w:rsid w:val="00C261F4"/>
    <w:rsid w:val="00C26535"/>
    <w:rsid w:val="00C2670C"/>
    <w:rsid w:val="00C26879"/>
    <w:rsid w:val="00C26B89"/>
    <w:rsid w:val="00C26D48"/>
    <w:rsid w:val="00C26EF4"/>
    <w:rsid w:val="00C26F3D"/>
    <w:rsid w:val="00C27163"/>
    <w:rsid w:val="00C271D4"/>
    <w:rsid w:val="00C271D9"/>
    <w:rsid w:val="00C2726B"/>
    <w:rsid w:val="00C27296"/>
    <w:rsid w:val="00C273D2"/>
    <w:rsid w:val="00C273FE"/>
    <w:rsid w:val="00C27856"/>
    <w:rsid w:val="00C2789D"/>
    <w:rsid w:val="00C27AC6"/>
    <w:rsid w:val="00C27B41"/>
    <w:rsid w:val="00C27D7F"/>
    <w:rsid w:val="00C27DF8"/>
    <w:rsid w:val="00C27E67"/>
    <w:rsid w:val="00C27E76"/>
    <w:rsid w:val="00C27E90"/>
    <w:rsid w:val="00C27FA6"/>
    <w:rsid w:val="00C3021A"/>
    <w:rsid w:val="00C302F4"/>
    <w:rsid w:val="00C306DB"/>
    <w:rsid w:val="00C30729"/>
    <w:rsid w:val="00C30924"/>
    <w:rsid w:val="00C309AA"/>
    <w:rsid w:val="00C30A84"/>
    <w:rsid w:val="00C30AF7"/>
    <w:rsid w:val="00C30C5C"/>
    <w:rsid w:val="00C30EE2"/>
    <w:rsid w:val="00C30FDB"/>
    <w:rsid w:val="00C314AB"/>
    <w:rsid w:val="00C31560"/>
    <w:rsid w:val="00C31748"/>
    <w:rsid w:val="00C3187C"/>
    <w:rsid w:val="00C31AC9"/>
    <w:rsid w:val="00C31D29"/>
    <w:rsid w:val="00C31D94"/>
    <w:rsid w:val="00C31E80"/>
    <w:rsid w:val="00C320DE"/>
    <w:rsid w:val="00C3212F"/>
    <w:rsid w:val="00C321D0"/>
    <w:rsid w:val="00C32704"/>
    <w:rsid w:val="00C328C4"/>
    <w:rsid w:val="00C32973"/>
    <w:rsid w:val="00C32D15"/>
    <w:rsid w:val="00C330E1"/>
    <w:rsid w:val="00C330F1"/>
    <w:rsid w:val="00C331FA"/>
    <w:rsid w:val="00C332B6"/>
    <w:rsid w:val="00C33470"/>
    <w:rsid w:val="00C3349F"/>
    <w:rsid w:val="00C33590"/>
    <w:rsid w:val="00C33A0A"/>
    <w:rsid w:val="00C33D23"/>
    <w:rsid w:val="00C33E18"/>
    <w:rsid w:val="00C33E9F"/>
    <w:rsid w:val="00C33F8D"/>
    <w:rsid w:val="00C340AB"/>
    <w:rsid w:val="00C344C3"/>
    <w:rsid w:val="00C344F6"/>
    <w:rsid w:val="00C34555"/>
    <w:rsid w:val="00C3456F"/>
    <w:rsid w:val="00C345FA"/>
    <w:rsid w:val="00C3460A"/>
    <w:rsid w:val="00C34759"/>
    <w:rsid w:val="00C347C9"/>
    <w:rsid w:val="00C348E3"/>
    <w:rsid w:val="00C34C1A"/>
    <w:rsid w:val="00C350A4"/>
    <w:rsid w:val="00C3511B"/>
    <w:rsid w:val="00C35155"/>
    <w:rsid w:val="00C352D5"/>
    <w:rsid w:val="00C352E8"/>
    <w:rsid w:val="00C3544A"/>
    <w:rsid w:val="00C35811"/>
    <w:rsid w:val="00C3598E"/>
    <w:rsid w:val="00C35A01"/>
    <w:rsid w:val="00C35B04"/>
    <w:rsid w:val="00C35CB7"/>
    <w:rsid w:val="00C35E0C"/>
    <w:rsid w:val="00C36428"/>
    <w:rsid w:val="00C365E5"/>
    <w:rsid w:val="00C36630"/>
    <w:rsid w:val="00C3677A"/>
    <w:rsid w:val="00C36A5C"/>
    <w:rsid w:val="00C36B19"/>
    <w:rsid w:val="00C36F62"/>
    <w:rsid w:val="00C3722A"/>
    <w:rsid w:val="00C37292"/>
    <w:rsid w:val="00C372C5"/>
    <w:rsid w:val="00C37391"/>
    <w:rsid w:val="00C3745F"/>
    <w:rsid w:val="00C379A9"/>
    <w:rsid w:val="00C379BF"/>
    <w:rsid w:val="00C37BA6"/>
    <w:rsid w:val="00C37C20"/>
    <w:rsid w:val="00C37D0B"/>
    <w:rsid w:val="00C40363"/>
    <w:rsid w:val="00C403FF"/>
    <w:rsid w:val="00C4042B"/>
    <w:rsid w:val="00C4046C"/>
    <w:rsid w:val="00C4074F"/>
    <w:rsid w:val="00C40917"/>
    <w:rsid w:val="00C409CE"/>
    <w:rsid w:val="00C40C35"/>
    <w:rsid w:val="00C40D5F"/>
    <w:rsid w:val="00C40E6B"/>
    <w:rsid w:val="00C40E9C"/>
    <w:rsid w:val="00C40FE8"/>
    <w:rsid w:val="00C41119"/>
    <w:rsid w:val="00C4113A"/>
    <w:rsid w:val="00C4119A"/>
    <w:rsid w:val="00C417D8"/>
    <w:rsid w:val="00C418DA"/>
    <w:rsid w:val="00C41B30"/>
    <w:rsid w:val="00C41B52"/>
    <w:rsid w:val="00C41B6D"/>
    <w:rsid w:val="00C41CCF"/>
    <w:rsid w:val="00C41E3D"/>
    <w:rsid w:val="00C41EC8"/>
    <w:rsid w:val="00C41EF2"/>
    <w:rsid w:val="00C41F2A"/>
    <w:rsid w:val="00C41F3F"/>
    <w:rsid w:val="00C422AF"/>
    <w:rsid w:val="00C42365"/>
    <w:rsid w:val="00C424EB"/>
    <w:rsid w:val="00C42557"/>
    <w:rsid w:val="00C4256B"/>
    <w:rsid w:val="00C4262A"/>
    <w:rsid w:val="00C429A9"/>
    <w:rsid w:val="00C42AE0"/>
    <w:rsid w:val="00C42B2A"/>
    <w:rsid w:val="00C42CFD"/>
    <w:rsid w:val="00C42E48"/>
    <w:rsid w:val="00C42E7D"/>
    <w:rsid w:val="00C42EB4"/>
    <w:rsid w:val="00C42F29"/>
    <w:rsid w:val="00C4308E"/>
    <w:rsid w:val="00C430F4"/>
    <w:rsid w:val="00C43434"/>
    <w:rsid w:val="00C434E4"/>
    <w:rsid w:val="00C435A1"/>
    <w:rsid w:val="00C436A7"/>
    <w:rsid w:val="00C436CF"/>
    <w:rsid w:val="00C437DC"/>
    <w:rsid w:val="00C439A6"/>
    <w:rsid w:val="00C43C0E"/>
    <w:rsid w:val="00C43CEA"/>
    <w:rsid w:val="00C43DA7"/>
    <w:rsid w:val="00C43F11"/>
    <w:rsid w:val="00C43F7E"/>
    <w:rsid w:val="00C44133"/>
    <w:rsid w:val="00C4441D"/>
    <w:rsid w:val="00C44479"/>
    <w:rsid w:val="00C4486A"/>
    <w:rsid w:val="00C44A03"/>
    <w:rsid w:val="00C44F8A"/>
    <w:rsid w:val="00C4509B"/>
    <w:rsid w:val="00C450B1"/>
    <w:rsid w:val="00C45150"/>
    <w:rsid w:val="00C4521A"/>
    <w:rsid w:val="00C45287"/>
    <w:rsid w:val="00C452A3"/>
    <w:rsid w:val="00C457E5"/>
    <w:rsid w:val="00C459E4"/>
    <w:rsid w:val="00C45B60"/>
    <w:rsid w:val="00C45B9A"/>
    <w:rsid w:val="00C45BC4"/>
    <w:rsid w:val="00C45C93"/>
    <w:rsid w:val="00C45DA9"/>
    <w:rsid w:val="00C45EF6"/>
    <w:rsid w:val="00C45F76"/>
    <w:rsid w:val="00C45F7F"/>
    <w:rsid w:val="00C4614D"/>
    <w:rsid w:val="00C461D7"/>
    <w:rsid w:val="00C46372"/>
    <w:rsid w:val="00C46416"/>
    <w:rsid w:val="00C4641C"/>
    <w:rsid w:val="00C4660D"/>
    <w:rsid w:val="00C46612"/>
    <w:rsid w:val="00C46646"/>
    <w:rsid w:val="00C4669D"/>
    <w:rsid w:val="00C466B4"/>
    <w:rsid w:val="00C4689A"/>
    <w:rsid w:val="00C46918"/>
    <w:rsid w:val="00C46A90"/>
    <w:rsid w:val="00C46C70"/>
    <w:rsid w:val="00C46CFD"/>
    <w:rsid w:val="00C46D62"/>
    <w:rsid w:val="00C471A3"/>
    <w:rsid w:val="00C471C2"/>
    <w:rsid w:val="00C47237"/>
    <w:rsid w:val="00C4723B"/>
    <w:rsid w:val="00C47260"/>
    <w:rsid w:val="00C472D9"/>
    <w:rsid w:val="00C47374"/>
    <w:rsid w:val="00C473A4"/>
    <w:rsid w:val="00C47588"/>
    <w:rsid w:val="00C475CE"/>
    <w:rsid w:val="00C4763B"/>
    <w:rsid w:val="00C4779D"/>
    <w:rsid w:val="00C478B3"/>
    <w:rsid w:val="00C479F8"/>
    <w:rsid w:val="00C47C05"/>
    <w:rsid w:val="00C47D70"/>
    <w:rsid w:val="00C5019D"/>
    <w:rsid w:val="00C5036A"/>
    <w:rsid w:val="00C508DA"/>
    <w:rsid w:val="00C5094C"/>
    <w:rsid w:val="00C50ADF"/>
    <w:rsid w:val="00C50BB6"/>
    <w:rsid w:val="00C50D47"/>
    <w:rsid w:val="00C50D9E"/>
    <w:rsid w:val="00C50FEE"/>
    <w:rsid w:val="00C51023"/>
    <w:rsid w:val="00C51110"/>
    <w:rsid w:val="00C5155D"/>
    <w:rsid w:val="00C51601"/>
    <w:rsid w:val="00C51686"/>
    <w:rsid w:val="00C517ED"/>
    <w:rsid w:val="00C5185B"/>
    <w:rsid w:val="00C5189F"/>
    <w:rsid w:val="00C51B1F"/>
    <w:rsid w:val="00C51B39"/>
    <w:rsid w:val="00C51B63"/>
    <w:rsid w:val="00C51B8E"/>
    <w:rsid w:val="00C51C93"/>
    <w:rsid w:val="00C51DC9"/>
    <w:rsid w:val="00C51F2D"/>
    <w:rsid w:val="00C5231B"/>
    <w:rsid w:val="00C523A1"/>
    <w:rsid w:val="00C523D8"/>
    <w:rsid w:val="00C5249E"/>
    <w:rsid w:val="00C524BB"/>
    <w:rsid w:val="00C52501"/>
    <w:rsid w:val="00C5271E"/>
    <w:rsid w:val="00C52863"/>
    <w:rsid w:val="00C52931"/>
    <w:rsid w:val="00C52A36"/>
    <w:rsid w:val="00C52A73"/>
    <w:rsid w:val="00C52AD7"/>
    <w:rsid w:val="00C52AF4"/>
    <w:rsid w:val="00C52F0B"/>
    <w:rsid w:val="00C52F6D"/>
    <w:rsid w:val="00C52FEA"/>
    <w:rsid w:val="00C53584"/>
    <w:rsid w:val="00C53598"/>
    <w:rsid w:val="00C53654"/>
    <w:rsid w:val="00C5368A"/>
    <w:rsid w:val="00C536CA"/>
    <w:rsid w:val="00C536CB"/>
    <w:rsid w:val="00C537FF"/>
    <w:rsid w:val="00C539A9"/>
    <w:rsid w:val="00C53CAA"/>
    <w:rsid w:val="00C53D6C"/>
    <w:rsid w:val="00C53E14"/>
    <w:rsid w:val="00C53E22"/>
    <w:rsid w:val="00C54110"/>
    <w:rsid w:val="00C5433D"/>
    <w:rsid w:val="00C54385"/>
    <w:rsid w:val="00C54568"/>
    <w:rsid w:val="00C546BA"/>
    <w:rsid w:val="00C548DA"/>
    <w:rsid w:val="00C548EC"/>
    <w:rsid w:val="00C54940"/>
    <w:rsid w:val="00C54ABF"/>
    <w:rsid w:val="00C54BA0"/>
    <w:rsid w:val="00C54C47"/>
    <w:rsid w:val="00C54DD3"/>
    <w:rsid w:val="00C55117"/>
    <w:rsid w:val="00C55140"/>
    <w:rsid w:val="00C556B4"/>
    <w:rsid w:val="00C557BE"/>
    <w:rsid w:val="00C55985"/>
    <w:rsid w:val="00C55B6A"/>
    <w:rsid w:val="00C55BE5"/>
    <w:rsid w:val="00C55BE7"/>
    <w:rsid w:val="00C55C27"/>
    <w:rsid w:val="00C55CED"/>
    <w:rsid w:val="00C55DA8"/>
    <w:rsid w:val="00C55E18"/>
    <w:rsid w:val="00C55E7D"/>
    <w:rsid w:val="00C55F0D"/>
    <w:rsid w:val="00C55F69"/>
    <w:rsid w:val="00C5603D"/>
    <w:rsid w:val="00C5632D"/>
    <w:rsid w:val="00C5634C"/>
    <w:rsid w:val="00C5637F"/>
    <w:rsid w:val="00C56484"/>
    <w:rsid w:val="00C5675A"/>
    <w:rsid w:val="00C5698E"/>
    <w:rsid w:val="00C56C84"/>
    <w:rsid w:val="00C56CA0"/>
    <w:rsid w:val="00C56CF3"/>
    <w:rsid w:val="00C56EE3"/>
    <w:rsid w:val="00C56F01"/>
    <w:rsid w:val="00C56FB5"/>
    <w:rsid w:val="00C56FBD"/>
    <w:rsid w:val="00C57176"/>
    <w:rsid w:val="00C573B9"/>
    <w:rsid w:val="00C575F4"/>
    <w:rsid w:val="00C57906"/>
    <w:rsid w:val="00C57916"/>
    <w:rsid w:val="00C579D9"/>
    <w:rsid w:val="00C57BDA"/>
    <w:rsid w:val="00C57BF9"/>
    <w:rsid w:val="00C57E52"/>
    <w:rsid w:val="00C57F18"/>
    <w:rsid w:val="00C57F7C"/>
    <w:rsid w:val="00C57FC8"/>
    <w:rsid w:val="00C601A0"/>
    <w:rsid w:val="00C602B0"/>
    <w:rsid w:val="00C602E4"/>
    <w:rsid w:val="00C6069D"/>
    <w:rsid w:val="00C6077F"/>
    <w:rsid w:val="00C607D2"/>
    <w:rsid w:val="00C60892"/>
    <w:rsid w:val="00C60996"/>
    <w:rsid w:val="00C60B89"/>
    <w:rsid w:val="00C611AA"/>
    <w:rsid w:val="00C612CE"/>
    <w:rsid w:val="00C61480"/>
    <w:rsid w:val="00C615CF"/>
    <w:rsid w:val="00C61743"/>
    <w:rsid w:val="00C6174A"/>
    <w:rsid w:val="00C61934"/>
    <w:rsid w:val="00C619A7"/>
    <w:rsid w:val="00C61B3D"/>
    <w:rsid w:val="00C61C65"/>
    <w:rsid w:val="00C61EC2"/>
    <w:rsid w:val="00C61FB9"/>
    <w:rsid w:val="00C621BA"/>
    <w:rsid w:val="00C62210"/>
    <w:rsid w:val="00C6229C"/>
    <w:rsid w:val="00C6234D"/>
    <w:rsid w:val="00C62382"/>
    <w:rsid w:val="00C62460"/>
    <w:rsid w:val="00C624AF"/>
    <w:rsid w:val="00C62667"/>
    <w:rsid w:val="00C626AF"/>
    <w:rsid w:val="00C626FF"/>
    <w:rsid w:val="00C62714"/>
    <w:rsid w:val="00C62AD8"/>
    <w:rsid w:val="00C62B9C"/>
    <w:rsid w:val="00C62D51"/>
    <w:rsid w:val="00C62D7B"/>
    <w:rsid w:val="00C62EA0"/>
    <w:rsid w:val="00C62FB3"/>
    <w:rsid w:val="00C632B4"/>
    <w:rsid w:val="00C632D2"/>
    <w:rsid w:val="00C633F4"/>
    <w:rsid w:val="00C63650"/>
    <w:rsid w:val="00C63933"/>
    <w:rsid w:val="00C639D5"/>
    <w:rsid w:val="00C63CCB"/>
    <w:rsid w:val="00C63D6C"/>
    <w:rsid w:val="00C63DFB"/>
    <w:rsid w:val="00C63EA8"/>
    <w:rsid w:val="00C64007"/>
    <w:rsid w:val="00C6423D"/>
    <w:rsid w:val="00C64383"/>
    <w:rsid w:val="00C643DE"/>
    <w:rsid w:val="00C6443C"/>
    <w:rsid w:val="00C64460"/>
    <w:rsid w:val="00C6449C"/>
    <w:rsid w:val="00C64698"/>
    <w:rsid w:val="00C646F1"/>
    <w:rsid w:val="00C64720"/>
    <w:rsid w:val="00C64944"/>
    <w:rsid w:val="00C64A2E"/>
    <w:rsid w:val="00C64AA4"/>
    <w:rsid w:val="00C64B16"/>
    <w:rsid w:val="00C64BB3"/>
    <w:rsid w:val="00C64D57"/>
    <w:rsid w:val="00C64D5F"/>
    <w:rsid w:val="00C64E0B"/>
    <w:rsid w:val="00C64F36"/>
    <w:rsid w:val="00C64F61"/>
    <w:rsid w:val="00C64F62"/>
    <w:rsid w:val="00C6515D"/>
    <w:rsid w:val="00C651E2"/>
    <w:rsid w:val="00C65289"/>
    <w:rsid w:val="00C65478"/>
    <w:rsid w:val="00C654FF"/>
    <w:rsid w:val="00C65518"/>
    <w:rsid w:val="00C655D4"/>
    <w:rsid w:val="00C65679"/>
    <w:rsid w:val="00C65693"/>
    <w:rsid w:val="00C656F5"/>
    <w:rsid w:val="00C65838"/>
    <w:rsid w:val="00C65860"/>
    <w:rsid w:val="00C658BB"/>
    <w:rsid w:val="00C658DF"/>
    <w:rsid w:val="00C6598B"/>
    <w:rsid w:val="00C65A9E"/>
    <w:rsid w:val="00C65CB7"/>
    <w:rsid w:val="00C65E2D"/>
    <w:rsid w:val="00C65FA8"/>
    <w:rsid w:val="00C6614C"/>
    <w:rsid w:val="00C66152"/>
    <w:rsid w:val="00C6620D"/>
    <w:rsid w:val="00C66318"/>
    <w:rsid w:val="00C664A5"/>
    <w:rsid w:val="00C66505"/>
    <w:rsid w:val="00C667AA"/>
    <w:rsid w:val="00C66A0A"/>
    <w:rsid w:val="00C66DB5"/>
    <w:rsid w:val="00C66DE3"/>
    <w:rsid w:val="00C66E9F"/>
    <w:rsid w:val="00C66FC4"/>
    <w:rsid w:val="00C67017"/>
    <w:rsid w:val="00C670D6"/>
    <w:rsid w:val="00C67203"/>
    <w:rsid w:val="00C67260"/>
    <w:rsid w:val="00C6736E"/>
    <w:rsid w:val="00C673CE"/>
    <w:rsid w:val="00C67496"/>
    <w:rsid w:val="00C67520"/>
    <w:rsid w:val="00C67593"/>
    <w:rsid w:val="00C67832"/>
    <w:rsid w:val="00C67B10"/>
    <w:rsid w:val="00C701EB"/>
    <w:rsid w:val="00C7025D"/>
    <w:rsid w:val="00C7026E"/>
    <w:rsid w:val="00C70378"/>
    <w:rsid w:val="00C70508"/>
    <w:rsid w:val="00C7054D"/>
    <w:rsid w:val="00C7066E"/>
    <w:rsid w:val="00C70E59"/>
    <w:rsid w:val="00C70FE5"/>
    <w:rsid w:val="00C71010"/>
    <w:rsid w:val="00C71064"/>
    <w:rsid w:val="00C711AC"/>
    <w:rsid w:val="00C714AB"/>
    <w:rsid w:val="00C71793"/>
    <w:rsid w:val="00C718CE"/>
    <w:rsid w:val="00C71B30"/>
    <w:rsid w:val="00C71C09"/>
    <w:rsid w:val="00C71CEE"/>
    <w:rsid w:val="00C71D66"/>
    <w:rsid w:val="00C71DA9"/>
    <w:rsid w:val="00C71F85"/>
    <w:rsid w:val="00C72051"/>
    <w:rsid w:val="00C7210C"/>
    <w:rsid w:val="00C72755"/>
    <w:rsid w:val="00C7280F"/>
    <w:rsid w:val="00C72B06"/>
    <w:rsid w:val="00C72E33"/>
    <w:rsid w:val="00C73100"/>
    <w:rsid w:val="00C73229"/>
    <w:rsid w:val="00C734AB"/>
    <w:rsid w:val="00C73578"/>
    <w:rsid w:val="00C735EA"/>
    <w:rsid w:val="00C73621"/>
    <w:rsid w:val="00C73886"/>
    <w:rsid w:val="00C738AA"/>
    <w:rsid w:val="00C738C6"/>
    <w:rsid w:val="00C73ACC"/>
    <w:rsid w:val="00C73C1E"/>
    <w:rsid w:val="00C73C4D"/>
    <w:rsid w:val="00C73DDB"/>
    <w:rsid w:val="00C73E1E"/>
    <w:rsid w:val="00C73E26"/>
    <w:rsid w:val="00C74383"/>
    <w:rsid w:val="00C74691"/>
    <w:rsid w:val="00C74B55"/>
    <w:rsid w:val="00C74F9F"/>
    <w:rsid w:val="00C75022"/>
    <w:rsid w:val="00C7532E"/>
    <w:rsid w:val="00C755E7"/>
    <w:rsid w:val="00C756B6"/>
    <w:rsid w:val="00C757B6"/>
    <w:rsid w:val="00C75837"/>
    <w:rsid w:val="00C759B4"/>
    <w:rsid w:val="00C75D1A"/>
    <w:rsid w:val="00C75D27"/>
    <w:rsid w:val="00C75ECE"/>
    <w:rsid w:val="00C75EE7"/>
    <w:rsid w:val="00C75FBF"/>
    <w:rsid w:val="00C760AB"/>
    <w:rsid w:val="00C760C2"/>
    <w:rsid w:val="00C760EA"/>
    <w:rsid w:val="00C76183"/>
    <w:rsid w:val="00C76205"/>
    <w:rsid w:val="00C76765"/>
    <w:rsid w:val="00C7684D"/>
    <w:rsid w:val="00C768CD"/>
    <w:rsid w:val="00C76ADF"/>
    <w:rsid w:val="00C76CF7"/>
    <w:rsid w:val="00C76D49"/>
    <w:rsid w:val="00C76DCA"/>
    <w:rsid w:val="00C76E30"/>
    <w:rsid w:val="00C76EC3"/>
    <w:rsid w:val="00C77543"/>
    <w:rsid w:val="00C7757D"/>
    <w:rsid w:val="00C77804"/>
    <w:rsid w:val="00C778E4"/>
    <w:rsid w:val="00C77C4C"/>
    <w:rsid w:val="00C77C64"/>
    <w:rsid w:val="00C77C8B"/>
    <w:rsid w:val="00C80168"/>
    <w:rsid w:val="00C8036A"/>
    <w:rsid w:val="00C807C0"/>
    <w:rsid w:val="00C8094D"/>
    <w:rsid w:val="00C80A1C"/>
    <w:rsid w:val="00C80ACA"/>
    <w:rsid w:val="00C80AE8"/>
    <w:rsid w:val="00C80AF5"/>
    <w:rsid w:val="00C81191"/>
    <w:rsid w:val="00C811B1"/>
    <w:rsid w:val="00C8121E"/>
    <w:rsid w:val="00C812C4"/>
    <w:rsid w:val="00C8135E"/>
    <w:rsid w:val="00C813DA"/>
    <w:rsid w:val="00C8166F"/>
    <w:rsid w:val="00C817C7"/>
    <w:rsid w:val="00C81869"/>
    <w:rsid w:val="00C8198E"/>
    <w:rsid w:val="00C81A5A"/>
    <w:rsid w:val="00C81C16"/>
    <w:rsid w:val="00C81D0C"/>
    <w:rsid w:val="00C81ED1"/>
    <w:rsid w:val="00C821A5"/>
    <w:rsid w:val="00C82598"/>
    <w:rsid w:val="00C82645"/>
    <w:rsid w:val="00C82900"/>
    <w:rsid w:val="00C82945"/>
    <w:rsid w:val="00C82AA1"/>
    <w:rsid w:val="00C82CC4"/>
    <w:rsid w:val="00C82CD9"/>
    <w:rsid w:val="00C83025"/>
    <w:rsid w:val="00C8303D"/>
    <w:rsid w:val="00C833F1"/>
    <w:rsid w:val="00C83491"/>
    <w:rsid w:val="00C834EC"/>
    <w:rsid w:val="00C83545"/>
    <w:rsid w:val="00C837D2"/>
    <w:rsid w:val="00C83843"/>
    <w:rsid w:val="00C83934"/>
    <w:rsid w:val="00C83AD5"/>
    <w:rsid w:val="00C83C16"/>
    <w:rsid w:val="00C83E4B"/>
    <w:rsid w:val="00C83E83"/>
    <w:rsid w:val="00C8412F"/>
    <w:rsid w:val="00C8423E"/>
    <w:rsid w:val="00C8434E"/>
    <w:rsid w:val="00C84422"/>
    <w:rsid w:val="00C84486"/>
    <w:rsid w:val="00C844C0"/>
    <w:rsid w:val="00C849C2"/>
    <w:rsid w:val="00C84E37"/>
    <w:rsid w:val="00C84E68"/>
    <w:rsid w:val="00C84F02"/>
    <w:rsid w:val="00C8534C"/>
    <w:rsid w:val="00C853BD"/>
    <w:rsid w:val="00C85592"/>
    <w:rsid w:val="00C85A69"/>
    <w:rsid w:val="00C85E5C"/>
    <w:rsid w:val="00C85ED7"/>
    <w:rsid w:val="00C86299"/>
    <w:rsid w:val="00C86572"/>
    <w:rsid w:val="00C86873"/>
    <w:rsid w:val="00C86988"/>
    <w:rsid w:val="00C86A1A"/>
    <w:rsid w:val="00C86B18"/>
    <w:rsid w:val="00C86BD5"/>
    <w:rsid w:val="00C86EA4"/>
    <w:rsid w:val="00C8719C"/>
    <w:rsid w:val="00C872AA"/>
    <w:rsid w:val="00C872E6"/>
    <w:rsid w:val="00C873F5"/>
    <w:rsid w:val="00C87589"/>
    <w:rsid w:val="00C875DA"/>
    <w:rsid w:val="00C87911"/>
    <w:rsid w:val="00C87945"/>
    <w:rsid w:val="00C8795E"/>
    <w:rsid w:val="00C87CFF"/>
    <w:rsid w:val="00C87D1B"/>
    <w:rsid w:val="00C87DA3"/>
    <w:rsid w:val="00C87FC2"/>
    <w:rsid w:val="00C90030"/>
    <w:rsid w:val="00C90096"/>
    <w:rsid w:val="00C90264"/>
    <w:rsid w:val="00C90295"/>
    <w:rsid w:val="00C90365"/>
    <w:rsid w:val="00C903DA"/>
    <w:rsid w:val="00C905E3"/>
    <w:rsid w:val="00C90828"/>
    <w:rsid w:val="00C909A1"/>
    <w:rsid w:val="00C90AFD"/>
    <w:rsid w:val="00C90B6A"/>
    <w:rsid w:val="00C90DDA"/>
    <w:rsid w:val="00C90E1F"/>
    <w:rsid w:val="00C90F89"/>
    <w:rsid w:val="00C91083"/>
    <w:rsid w:val="00C9116E"/>
    <w:rsid w:val="00C911F6"/>
    <w:rsid w:val="00C91312"/>
    <w:rsid w:val="00C9137F"/>
    <w:rsid w:val="00C914B9"/>
    <w:rsid w:val="00C914E7"/>
    <w:rsid w:val="00C91589"/>
    <w:rsid w:val="00C917C2"/>
    <w:rsid w:val="00C918E5"/>
    <w:rsid w:val="00C91997"/>
    <w:rsid w:val="00C91A0C"/>
    <w:rsid w:val="00C91C6A"/>
    <w:rsid w:val="00C91CD9"/>
    <w:rsid w:val="00C91D67"/>
    <w:rsid w:val="00C91F13"/>
    <w:rsid w:val="00C91F29"/>
    <w:rsid w:val="00C920B9"/>
    <w:rsid w:val="00C92120"/>
    <w:rsid w:val="00C9220E"/>
    <w:rsid w:val="00C9234D"/>
    <w:rsid w:val="00C923F9"/>
    <w:rsid w:val="00C9274C"/>
    <w:rsid w:val="00C92A4C"/>
    <w:rsid w:val="00C92B69"/>
    <w:rsid w:val="00C92B80"/>
    <w:rsid w:val="00C92BC0"/>
    <w:rsid w:val="00C92C45"/>
    <w:rsid w:val="00C92C92"/>
    <w:rsid w:val="00C92CA1"/>
    <w:rsid w:val="00C92FD1"/>
    <w:rsid w:val="00C92FF6"/>
    <w:rsid w:val="00C9309F"/>
    <w:rsid w:val="00C932D8"/>
    <w:rsid w:val="00C9352A"/>
    <w:rsid w:val="00C9352B"/>
    <w:rsid w:val="00C93955"/>
    <w:rsid w:val="00C93ABE"/>
    <w:rsid w:val="00C93B9E"/>
    <w:rsid w:val="00C93C20"/>
    <w:rsid w:val="00C93C3D"/>
    <w:rsid w:val="00C93E76"/>
    <w:rsid w:val="00C93EBA"/>
    <w:rsid w:val="00C93FC0"/>
    <w:rsid w:val="00C940B7"/>
    <w:rsid w:val="00C942FE"/>
    <w:rsid w:val="00C94350"/>
    <w:rsid w:val="00C9440F"/>
    <w:rsid w:val="00C944C8"/>
    <w:rsid w:val="00C944EB"/>
    <w:rsid w:val="00C946C9"/>
    <w:rsid w:val="00C949ED"/>
    <w:rsid w:val="00C94A8B"/>
    <w:rsid w:val="00C94AB7"/>
    <w:rsid w:val="00C94B82"/>
    <w:rsid w:val="00C94D4D"/>
    <w:rsid w:val="00C94EAC"/>
    <w:rsid w:val="00C94F56"/>
    <w:rsid w:val="00C9500E"/>
    <w:rsid w:val="00C950E7"/>
    <w:rsid w:val="00C95129"/>
    <w:rsid w:val="00C9541E"/>
    <w:rsid w:val="00C9544D"/>
    <w:rsid w:val="00C95475"/>
    <w:rsid w:val="00C955D8"/>
    <w:rsid w:val="00C956B9"/>
    <w:rsid w:val="00C9594B"/>
    <w:rsid w:val="00C9595A"/>
    <w:rsid w:val="00C95C3B"/>
    <w:rsid w:val="00C95E5A"/>
    <w:rsid w:val="00C95F33"/>
    <w:rsid w:val="00C95F4A"/>
    <w:rsid w:val="00C96151"/>
    <w:rsid w:val="00C962DE"/>
    <w:rsid w:val="00C9634D"/>
    <w:rsid w:val="00C96394"/>
    <w:rsid w:val="00C96429"/>
    <w:rsid w:val="00C965AF"/>
    <w:rsid w:val="00C9683D"/>
    <w:rsid w:val="00C96AD0"/>
    <w:rsid w:val="00C96B34"/>
    <w:rsid w:val="00C96B68"/>
    <w:rsid w:val="00C96C45"/>
    <w:rsid w:val="00C96C78"/>
    <w:rsid w:val="00C96D67"/>
    <w:rsid w:val="00C96D8A"/>
    <w:rsid w:val="00C96DAF"/>
    <w:rsid w:val="00C96FA0"/>
    <w:rsid w:val="00C96FF6"/>
    <w:rsid w:val="00C97018"/>
    <w:rsid w:val="00C9732F"/>
    <w:rsid w:val="00C9786F"/>
    <w:rsid w:val="00C97CDD"/>
    <w:rsid w:val="00CA000D"/>
    <w:rsid w:val="00CA001A"/>
    <w:rsid w:val="00CA0095"/>
    <w:rsid w:val="00CA015A"/>
    <w:rsid w:val="00CA0587"/>
    <w:rsid w:val="00CA07D5"/>
    <w:rsid w:val="00CA0856"/>
    <w:rsid w:val="00CA09EC"/>
    <w:rsid w:val="00CA0A7F"/>
    <w:rsid w:val="00CA0A98"/>
    <w:rsid w:val="00CA0DB1"/>
    <w:rsid w:val="00CA0DC4"/>
    <w:rsid w:val="00CA0F34"/>
    <w:rsid w:val="00CA0F4B"/>
    <w:rsid w:val="00CA1145"/>
    <w:rsid w:val="00CA11AD"/>
    <w:rsid w:val="00CA13B5"/>
    <w:rsid w:val="00CA142A"/>
    <w:rsid w:val="00CA17E5"/>
    <w:rsid w:val="00CA1805"/>
    <w:rsid w:val="00CA1848"/>
    <w:rsid w:val="00CA18AC"/>
    <w:rsid w:val="00CA19B7"/>
    <w:rsid w:val="00CA1C1B"/>
    <w:rsid w:val="00CA1D43"/>
    <w:rsid w:val="00CA1E5B"/>
    <w:rsid w:val="00CA1EA5"/>
    <w:rsid w:val="00CA1F03"/>
    <w:rsid w:val="00CA2040"/>
    <w:rsid w:val="00CA2084"/>
    <w:rsid w:val="00CA2301"/>
    <w:rsid w:val="00CA2411"/>
    <w:rsid w:val="00CA25D4"/>
    <w:rsid w:val="00CA25DD"/>
    <w:rsid w:val="00CA2859"/>
    <w:rsid w:val="00CA2DA9"/>
    <w:rsid w:val="00CA2DAB"/>
    <w:rsid w:val="00CA2E3F"/>
    <w:rsid w:val="00CA3080"/>
    <w:rsid w:val="00CA31D5"/>
    <w:rsid w:val="00CA35D4"/>
    <w:rsid w:val="00CA3607"/>
    <w:rsid w:val="00CA36E6"/>
    <w:rsid w:val="00CA3955"/>
    <w:rsid w:val="00CA3A63"/>
    <w:rsid w:val="00CA3AA7"/>
    <w:rsid w:val="00CA3B3D"/>
    <w:rsid w:val="00CA3C24"/>
    <w:rsid w:val="00CA3CF3"/>
    <w:rsid w:val="00CA3D28"/>
    <w:rsid w:val="00CA3DC7"/>
    <w:rsid w:val="00CA3E94"/>
    <w:rsid w:val="00CA3FBE"/>
    <w:rsid w:val="00CA4027"/>
    <w:rsid w:val="00CA4084"/>
    <w:rsid w:val="00CA40B7"/>
    <w:rsid w:val="00CA43D0"/>
    <w:rsid w:val="00CA4954"/>
    <w:rsid w:val="00CA49C0"/>
    <w:rsid w:val="00CA4AA7"/>
    <w:rsid w:val="00CA4AB2"/>
    <w:rsid w:val="00CA4ACD"/>
    <w:rsid w:val="00CA4C76"/>
    <w:rsid w:val="00CA4C7C"/>
    <w:rsid w:val="00CA4D4C"/>
    <w:rsid w:val="00CA4D55"/>
    <w:rsid w:val="00CA4E5F"/>
    <w:rsid w:val="00CA4EFE"/>
    <w:rsid w:val="00CA4F37"/>
    <w:rsid w:val="00CA4FEE"/>
    <w:rsid w:val="00CA513E"/>
    <w:rsid w:val="00CA5250"/>
    <w:rsid w:val="00CA5344"/>
    <w:rsid w:val="00CA5387"/>
    <w:rsid w:val="00CA53C5"/>
    <w:rsid w:val="00CA53C7"/>
    <w:rsid w:val="00CA53F3"/>
    <w:rsid w:val="00CA55DD"/>
    <w:rsid w:val="00CA5758"/>
    <w:rsid w:val="00CA5851"/>
    <w:rsid w:val="00CA58D2"/>
    <w:rsid w:val="00CA5993"/>
    <w:rsid w:val="00CA5BB2"/>
    <w:rsid w:val="00CA5C13"/>
    <w:rsid w:val="00CA5C61"/>
    <w:rsid w:val="00CA5D79"/>
    <w:rsid w:val="00CA5D9B"/>
    <w:rsid w:val="00CA5EC7"/>
    <w:rsid w:val="00CA5F7E"/>
    <w:rsid w:val="00CA5FBE"/>
    <w:rsid w:val="00CA6065"/>
    <w:rsid w:val="00CA610B"/>
    <w:rsid w:val="00CA6207"/>
    <w:rsid w:val="00CA6222"/>
    <w:rsid w:val="00CA626C"/>
    <w:rsid w:val="00CA67BC"/>
    <w:rsid w:val="00CA6A99"/>
    <w:rsid w:val="00CA6AA1"/>
    <w:rsid w:val="00CA6C10"/>
    <w:rsid w:val="00CA6FA9"/>
    <w:rsid w:val="00CA71F2"/>
    <w:rsid w:val="00CA7239"/>
    <w:rsid w:val="00CA7287"/>
    <w:rsid w:val="00CA729F"/>
    <w:rsid w:val="00CA7476"/>
    <w:rsid w:val="00CA75C5"/>
    <w:rsid w:val="00CA7620"/>
    <w:rsid w:val="00CA7940"/>
    <w:rsid w:val="00CA7AAE"/>
    <w:rsid w:val="00CA7C0D"/>
    <w:rsid w:val="00CA7C1D"/>
    <w:rsid w:val="00CA7CC6"/>
    <w:rsid w:val="00CB00BC"/>
    <w:rsid w:val="00CB0207"/>
    <w:rsid w:val="00CB0263"/>
    <w:rsid w:val="00CB027E"/>
    <w:rsid w:val="00CB03BE"/>
    <w:rsid w:val="00CB060B"/>
    <w:rsid w:val="00CB063D"/>
    <w:rsid w:val="00CB07AD"/>
    <w:rsid w:val="00CB0BCF"/>
    <w:rsid w:val="00CB0CBF"/>
    <w:rsid w:val="00CB0E54"/>
    <w:rsid w:val="00CB0EE3"/>
    <w:rsid w:val="00CB103D"/>
    <w:rsid w:val="00CB10F2"/>
    <w:rsid w:val="00CB1314"/>
    <w:rsid w:val="00CB1341"/>
    <w:rsid w:val="00CB1409"/>
    <w:rsid w:val="00CB141C"/>
    <w:rsid w:val="00CB1B03"/>
    <w:rsid w:val="00CB1E98"/>
    <w:rsid w:val="00CB21F2"/>
    <w:rsid w:val="00CB22B2"/>
    <w:rsid w:val="00CB23D0"/>
    <w:rsid w:val="00CB25A5"/>
    <w:rsid w:val="00CB261A"/>
    <w:rsid w:val="00CB271B"/>
    <w:rsid w:val="00CB273D"/>
    <w:rsid w:val="00CB27FF"/>
    <w:rsid w:val="00CB2B7A"/>
    <w:rsid w:val="00CB2C14"/>
    <w:rsid w:val="00CB2DA3"/>
    <w:rsid w:val="00CB2F1B"/>
    <w:rsid w:val="00CB31AA"/>
    <w:rsid w:val="00CB31BB"/>
    <w:rsid w:val="00CB3259"/>
    <w:rsid w:val="00CB332C"/>
    <w:rsid w:val="00CB33E4"/>
    <w:rsid w:val="00CB3402"/>
    <w:rsid w:val="00CB34E8"/>
    <w:rsid w:val="00CB366A"/>
    <w:rsid w:val="00CB3676"/>
    <w:rsid w:val="00CB3AC0"/>
    <w:rsid w:val="00CB3B2C"/>
    <w:rsid w:val="00CB3B7A"/>
    <w:rsid w:val="00CB3C0B"/>
    <w:rsid w:val="00CB3C83"/>
    <w:rsid w:val="00CB3D5A"/>
    <w:rsid w:val="00CB3F23"/>
    <w:rsid w:val="00CB3F3F"/>
    <w:rsid w:val="00CB4378"/>
    <w:rsid w:val="00CB451B"/>
    <w:rsid w:val="00CB455C"/>
    <w:rsid w:val="00CB45CC"/>
    <w:rsid w:val="00CB4623"/>
    <w:rsid w:val="00CB4681"/>
    <w:rsid w:val="00CB473C"/>
    <w:rsid w:val="00CB480B"/>
    <w:rsid w:val="00CB49D0"/>
    <w:rsid w:val="00CB4AC2"/>
    <w:rsid w:val="00CB4B5F"/>
    <w:rsid w:val="00CB4CD2"/>
    <w:rsid w:val="00CB4D7F"/>
    <w:rsid w:val="00CB4ED6"/>
    <w:rsid w:val="00CB513A"/>
    <w:rsid w:val="00CB51CC"/>
    <w:rsid w:val="00CB534E"/>
    <w:rsid w:val="00CB5407"/>
    <w:rsid w:val="00CB5620"/>
    <w:rsid w:val="00CB5736"/>
    <w:rsid w:val="00CB574E"/>
    <w:rsid w:val="00CB5892"/>
    <w:rsid w:val="00CB5AC4"/>
    <w:rsid w:val="00CB5D67"/>
    <w:rsid w:val="00CB5DC9"/>
    <w:rsid w:val="00CB5F2C"/>
    <w:rsid w:val="00CB5F57"/>
    <w:rsid w:val="00CB6192"/>
    <w:rsid w:val="00CB619F"/>
    <w:rsid w:val="00CB6397"/>
    <w:rsid w:val="00CB6497"/>
    <w:rsid w:val="00CB6511"/>
    <w:rsid w:val="00CB6B6F"/>
    <w:rsid w:val="00CB6CFC"/>
    <w:rsid w:val="00CB6D5A"/>
    <w:rsid w:val="00CB6D8D"/>
    <w:rsid w:val="00CB7026"/>
    <w:rsid w:val="00CB7463"/>
    <w:rsid w:val="00CB75F1"/>
    <w:rsid w:val="00CB7B8D"/>
    <w:rsid w:val="00CC044E"/>
    <w:rsid w:val="00CC071A"/>
    <w:rsid w:val="00CC09DE"/>
    <w:rsid w:val="00CC0AE8"/>
    <w:rsid w:val="00CC0AF0"/>
    <w:rsid w:val="00CC0D8A"/>
    <w:rsid w:val="00CC111B"/>
    <w:rsid w:val="00CC11D0"/>
    <w:rsid w:val="00CC1572"/>
    <w:rsid w:val="00CC1595"/>
    <w:rsid w:val="00CC16FB"/>
    <w:rsid w:val="00CC1770"/>
    <w:rsid w:val="00CC1803"/>
    <w:rsid w:val="00CC1876"/>
    <w:rsid w:val="00CC19FC"/>
    <w:rsid w:val="00CC1A1D"/>
    <w:rsid w:val="00CC1A5F"/>
    <w:rsid w:val="00CC1BC5"/>
    <w:rsid w:val="00CC1CB3"/>
    <w:rsid w:val="00CC1D6F"/>
    <w:rsid w:val="00CC1EE6"/>
    <w:rsid w:val="00CC2310"/>
    <w:rsid w:val="00CC2372"/>
    <w:rsid w:val="00CC2475"/>
    <w:rsid w:val="00CC247F"/>
    <w:rsid w:val="00CC24CA"/>
    <w:rsid w:val="00CC24E1"/>
    <w:rsid w:val="00CC2516"/>
    <w:rsid w:val="00CC2600"/>
    <w:rsid w:val="00CC2718"/>
    <w:rsid w:val="00CC2A87"/>
    <w:rsid w:val="00CC2ACF"/>
    <w:rsid w:val="00CC2E0D"/>
    <w:rsid w:val="00CC2F4A"/>
    <w:rsid w:val="00CC30DC"/>
    <w:rsid w:val="00CC328B"/>
    <w:rsid w:val="00CC32E6"/>
    <w:rsid w:val="00CC3350"/>
    <w:rsid w:val="00CC3B50"/>
    <w:rsid w:val="00CC3C09"/>
    <w:rsid w:val="00CC3DDF"/>
    <w:rsid w:val="00CC3ED7"/>
    <w:rsid w:val="00CC40BC"/>
    <w:rsid w:val="00CC4367"/>
    <w:rsid w:val="00CC43C4"/>
    <w:rsid w:val="00CC4443"/>
    <w:rsid w:val="00CC4572"/>
    <w:rsid w:val="00CC458A"/>
    <w:rsid w:val="00CC4960"/>
    <w:rsid w:val="00CC4987"/>
    <w:rsid w:val="00CC4FA3"/>
    <w:rsid w:val="00CC4FE0"/>
    <w:rsid w:val="00CC5042"/>
    <w:rsid w:val="00CC50A4"/>
    <w:rsid w:val="00CC5116"/>
    <w:rsid w:val="00CC51BB"/>
    <w:rsid w:val="00CC51E1"/>
    <w:rsid w:val="00CC5287"/>
    <w:rsid w:val="00CC546E"/>
    <w:rsid w:val="00CC5603"/>
    <w:rsid w:val="00CC5D78"/>
    <w:rsid w:val="00CC5E7F"/>
    <w:rsid w:val="00CC5F2B"/>
    <w:rsid w:val="00CC603D"/>
    <w:rsid w:val="00CC62DE"/>
    <w:rsid w:val="00CC63BF"/>
    <w:rsid w:val="00CC63E9"/>
    <w:rsid w:val="00CC640D"/>
    <w:rsid w:val="00CC642C"/>
    <w:rsid w:val="00CC6553"/>
    <w:rsid w:val="00CC670A"/>
    <w:rsid w:val="00CC67D4"/>
    <w:rsid w:val="00CC68DA"/>
    <w:rsid w:val="00CC6A36"/>
    <w:rsid w:val="00CC6A9B"/>
    <w:rsid w:val="00CC6CED"/>
    <w:rsid w:val="00CC6E93"/>
    <w:rsid w:val="00CC6F17"/>
    <w:rsid w:val="00CC7014"/>
    <w:rsid w:val="00CC722E"/>
    <w:rsid w:val="00CC7387"/>
    <w:rsid w:val="00CC73CE"/>
    <w:rsid w:val="00CC740F"/>
    <w:rsid w:val="00CC74F4"/>
    <w:rsid w:val="00CC7789"/>
    <w:rsid w:val="00CC77DC"/>
    <w:rsid w:val="00CC78E2"/>
    <w:rsid w:val="00CC7913"/>
    <w:rsid w:val="00CC7939"/>
    <w:rsid w:val="00CC797A"/>
    <w:rsid w:val="00CC7A63"/>
    <w:rsid w:val="00CC7AE3"/>
    <w:rsid w:val="00CC7B80"/>
    <w:rsid w:val="00CD0034"/>
    <w:rsid w:val="00CD0070"/>
    <w:rsid w:val="00CD00CA"/>
    <w:rsid w:val="00CD01FC"/>
    <w:rsid w:val="00CD026F"/>
    <w:rsid w:val="00CD0421"/>
    <w:rsid w:val="00CD056B"/>
    <w:rsid w:val="00CD0626"/>
    <w:rsid w:val="00CD0754"/>
    <w:rsid w:val="00CD08B4"/>
    <w:rsid w:val="00CD0971"/>
    <w:rsid w:val="00CD0D42"/>
    <w:rsid w:val="00CD0E7E"/>
    <w:rsid w:val="00CD11CB"/>
    <w:rsid w:val="00CD12C7"/>
    <w:rsid w:val="00CD13B4"/>
    <w:rsid w:val="00CD1465"/>
    <w:rsid w:val="00CD1482"/>
    <w:rsid w:val="00CD183B"/>
    <w:rsid w:val="00CD194C"/>
    <w:rsid w:val="00CD1977"/>
    <w:rsid w:val="00CD1A1A"/>
    <w:rsid w:val="00CD1AB8"/>
    <w:rsid w:val="00CD1E10"/>
    <w:rsid w:val="00CD1E6C"/>
    <w:rsid w:val="00CD200B"/>
    <w:rsid w:val="00CD2156"/>
    <w:rsid w:val="00CD21AE"/>
    <w:rsid w:val="00CD2409"/>
    <w:rsid w:val="00CD24C2"/>
    <w:rsid w:val="00CD24FA"/>
    <w:rsid w:val="00CD29EC"/>
    <w:rsid w:val="00CD29F7"/>
    <w:rsid w:val="00CD2ACE"/>
    <w:rsid w:val="00CD2BAB"/>
    <w:rsid w:val="00CD2DFF"/>
    <w:rsid w:val="00CD30A4"/>
    <w:rsid w:val="00CD31B9"/>
    <w:rsid w:val="00CD322E"/>
    <w:rsid w:val="00CD323E"/>
    <w:rsid w:val="00CD34FB"/>
    <w:rsid w:val="00CD36B3"/>
    <w:rsid w:val="00CD37A6"/>
    <w:rsid w:val="00CD3830"/>
    <w:rsid w:val="00CD3A92"/>
    <w:rsid w:val="00CD3B5B"/>
    <w:rsid w:val="00CD3CE7"/>
    <w:rsid w:val="00CD3DB0"/>
    <w:rsid w:val="00CD3DBB"/>
    <w:rsid w:val="00CD3DC3"/>
    <w:rsid w:val="00CD3E90"/>
    <w:rsid w:val="00CD3F6A"/>
    <w:rsid w:val="00CD45F5"/>
    <w:rsid w:val="00CD4725"/>
    <w:rsid w:val="00CD490E"/>
    <w:rsid w:val="00CD4A17"/>
    <w:rsid w:val="00CD4B1E"/>
    <w:rsid w:val="00CD4C7A"/>
    <w:rsid w:val="00CD4D87"/>
    <w:rsid w:val="00CD4D8E"/>
    <w:rsid w:val="00CD4DC2"/>
    <w:rsid w:val="00CD4E69"/>
    <w:rsid w:val="00CD4E8D"/>
    <w:rsid w:val="00CD4F53"/>
    <w:rsid w:val="00CD4FAF"/>
    <w:rsid w:val="00CD5061"/>
    <w:rsid w:val="00CD51AC"/>
    <w:rsid w:val="00CD5306"/>
    <w:rsid w:val="00CD5647"/>
    <w:rsid w:val="00CD575B"/>
    <w:rsid w:val="00CD57F9"/>
    <w:rsid w:val="00CD5A48"/>
    <w:rsid w:val="00CD5A63"/>
    <w:rsid w:val="00CD5BAD"/>
    <w:rsid w:val="00CD5D05"/>
    <w:rsid w:val="00CD5D66"/>
    <w:rsid w:val="00CD5FE9"/>
    <w:rsid w:val="00CD5FF9"/>
    <w:rsid w:val="00CD606F"/>
    <w:rsid w:val="00CD60CF"/>
    <w:rsid w:val="00CD63E2"/>
    <w:rsid w:val="00CD6568"/>
    <w:rsid w:val="00CD6695"/>
    <w:rsid w:val="00CD6757"/>
    <w:rsid w:val="00CD67B4"/>
    <w:rsid w:val="00CD67C1"/>
    <w:rsid w:val="00CD680F"/>
    <w:rsid w:val="00CD688D"/>
    <w:rsid w:val="00CD698A"/>
    <w:rsid w:val="00CD6AEB"/>
    <w:rsid w:val="00CD6B56"/>
    <w:rsid w:val="00CD6D12"/>
    <w:rsid w:val="00CD6D14"/>
    <w:rsid w:val="00CD6D1D"/>
    <w:rsid w:val="00CD7092"/>
    <w:rsid w:val="00CD7359"/>
    <w:rsid w:val="00CD7410"/>
    <w:rsid w:val="00CD7690"/>
    <w:rsid w:val="00CD7727"/>
    <w:rsid w:val="00CD77EB"/>
    <w:rsid w:val="00CD791D"/>
    <w:rsid w:val="00CD7B27"/>
    <w:rsid w:val="00CD7BB0"/>
    <w:rsid w:val="00CD7D31"/>
    <w:rsid w:val="00CD7F8E"/>
    <w:rsid w:val="00CD7FE9"/>
    <w:rsid w:val="00CD7FEF"/>
    <w:rsid w:val="00CE0180"/>
    <w:rsid w:val="00CE023A"/>
    <w:rsid w:val="00CE026A"/>
    <w:rsid w:val="00CE0386"/>
    <w:rsid w:val="00CE0533"/>
    <w:rsid w:val="00CE0613"/>
    <w:rsid w:val="00CE06EF"/>
    <w:rsid w:val="00CE0927"/>
    <w:rsid w:val="00CE0957"/>
    <w:rsid w:val="00CE0CBD"/>
    <w:rsid w:val="00CE0F67"/>
    <w:rsid w:val="00CE104B"/>
    <w:rsid w:val="00CE119B"/>
    <w:rsid w:val="00CE119D"/>
    <w:rsid w:val="00CE12A4"/>
    <w:rsid w:val="00CE145D"/>
    <w:rsid w:val="00CE1754"/>
    <w:rsid w:val="00CE17D6"/>
    <w:rsid w:val="00CE1974"/>
    <w:rsid w:val="00CE1AF2"/>
    <w:rsid w:val="00CE2001"/>
    <w:rsid w:val="00CE2014"/>
    <w:rsid w:val="00CE2046"/>
    <w:rsid w:val="00CE2098"/>
    <w:rsid w:val="00CE211A"/>
    <w:rsid w:val="00CE23AB"/>
    <w:rsid w:val="00CE25F5"/>
    <w:rsid w:val="00CE26BE"/>
    <w:rsid w:val="00CE2720"/>
    <w:rsid w:val="00CE2858"/>
    <w:rsid w:val="00CE2A03"/>
    <w:rsid w:val="00CE2DA0"/>
    <w:rsid w:val="00CE2E21"/>
    <w:rsid w:val="00CE2E32"/>
    <w:rsid w:val="00CE2E4B"/>
    <w:rsid w:val="00CE2FC7"/>
    <w:rsid w:val="00CE3101"/>
    <w:rsid w:val="00CE335E"/>
    <w:rsid w:val="00CE336B"/>
    <w:rsid w:val="00CE33BC"/>
    <w:rsid w:val="00CE33F5"/>
    <w:rsid w:val="00CE38F5"/>
    <w:rsid w:val="00CE39F8"/>
    <w:rsid w:val="00CE3A68"/>
    <w:rsid w:val="00CE3AD1"/>
    <w:rsid w:val="00CE3D74"/>
    <w:rsid w:val="00CE3D89"/>
    <w:rsid w:val="00CE4011"/>
    <w:rsid w:val="00CE4098"/>
    <w:rsid w:val="00CE4265"/>
    <w:rsid w:val="00CE4336"/>
    <w:rsid w:val="00CE433F"/>
    <w:rsid w:val="00CE4525"/>
    <w:rsid w:val="00CE48C1"/>
    <w:rsid w:val="00CE49AE"/>
    <w:rsid w:val="00CE4A02"/>
    <w:rsid w:val="00CE4C22"/>
    <w:rsid w:val="00CE4C76"/>
    <w:rsid w:val="00CE4DF0"/>
    <w:rsid w:val="00CE4E52"/>
    <w:rsid w:val="00CE4E97"/>
    <w:rsid w:val="00CE4EF2"/>
    <w:rsid w:val="00CE4F18"/>
    <w:rsid w:val="00CE4F35"/>
    <w:rsid w:val="00CE507C"/>
    <w:rsid w:val="00CE50B2"/>
    <w:rsid w:val="00CE537E"/>
    <w:rsid w:val="00CE551B"/>
    <w:rsid w:val="00CE57A4"/>
    <w:rsid w:val="00CE5819"/>
    <w:rsid w:val="00CE59B1"/>
    <w:rsid w:val="00CE59EF"/>
    <w:rsid w:val="00CE5C2C"/>
    <w:rsid w:val="00CE5E8F"/>
    <w:rsid w:val="00CE6191"/>
    <w:rsid w:val="00CE6274"/>
    <w:rsid w:val="00CE62B8"/>
    <w:rsid w:val="00CE662B"/>
    <w:rsid w:val="00CE6688"/>
    <w:rsid w:val="00CE67AC"/>
    <w:rsid w:val="00CE6850"/>
    <w:rsid w:val="00CE696B"/>
    <w:rsid w:val="00CE696E"/>
    <w:rsid w:val="00CE6A43"/>
    <w:rsid w:val="00CE6B21"/>
    <w:rsid w:val="00CE6B47"/>
    <w:rsid w:val="00CE6BC4"/>
    <w:rsid w:val="00CE6CBD"/>
    <w:rsid w:val="00CE6D38"/>
    <w:rsid w:val="00CE6D45"/>
    <w:rsid w:val="00CE6E75"/>
    <w:rsid w:val="00CE6F41"/>
    <w:rsid w:val="00CE7150"/>
    <w:rsid w:val="00CE7287"/>
    <w:rsid w:val="00CE74EA"/>
    <w:rsid w:val="00CE7594"/>
    <w:rsid w:val="00CE7766"/>
    <w:rsid w:val="00CE77A5"/>
    <w:rsid w:val="00CE798A"/>
    <w:rsid w:val="00CE7ABA"/>
    <w:rsid w:val="00CE7E79"/>
    <w:rsid w:val="00CE7E8D"/>
    <w:rsid w:val="00CE7EB9"/>
    <w:rsid w:val="00CE7F6B"/>
    <w:rsid w:val="00CE7F71"/>
    <w:rsid w:val="00CF01D0"/>
    <w:rsid w:val="00CF026C"/>
    <w:rsid w:val="00CF03D8"/>
    <w:rsid w:val="00CF03E3"/>
    <w:rsid w:val="00CF04DF"/>
    <w:rsid w:val="00CF0529"/>
    <w:rsid w:val="00CF0536"/>
    <w:rsid w:val="00CF05A8"/>
    <w:rsid w:val="00CF07F5"/>
    <w:rsid w:val="00CF0851"/>
    <w:rsid w:val="00CF0996"/>
    <w:rsid w:val="00CF09EC"/>
    <w:rsid w:val="00CF0A54"/>
    <w:rsid w:val="00CF0DE6"/>
    <w:rsid w:val="00CF17AC"/>
    <w:rsid w:val="00CF18E7"/>
    <w:rsid w:val="00CF1B8E"/>
    <w:rsid w:val="00CF1C64"/>
    <w:rsid w:val="00CF1C83"/>
    <w:rsid w:val="00CF1D54"/>
    <w:rsid w:val="00CF1E63"/>
    <w:rsid w:val="00CF2043"/>
    <w:rsid w:val="00CF2181"/>
    <w:rsid w:val="00CF22EC"/>
    <w:rsid w:val="00CF2382"/>
    <w:rsid w:val="00CF23B2"/>
    <w:rsid w:val="00CF2502"/>
    <w:rsid w:val="00CF252E"/>
    <w:rsid w:val="00CF267F"/>
    <w:rsid w:val="00CF26D5"/>
    <w:rsid w:val="00CF27B2"/>
    <w:rsid w:val="00CF2880"/>
    <w:rsid w:val="00CF2996"/>
    <w:rsid w:val="00CF2D78"/>
    <w:rsid w:val="00CF30A3"/>
    <w:rsid w:val="00CF31A1"/>
    <w:rsid w:val="00CF31FE"/>
    <w:rsid w:val="00CF32A8"/>
    <w:rsid w:val="00CF32E9"/>
    <w:rsid w:val="00CF3646"/>
    <w:rsid w:val="00CF36AC"/>
    <w:rsid w:val="00CF374C"/>
    <w:rsid w:val="00CF38E1"/>
    <w:rsid w:val="00CF38F1"/>
    <w:rsid w:val="00CF3927"/>
    <w:rsid w:val="00CF3986"/>
    <w:rsid w:val="00CF3BC7"/>
    <w:rsid w:val="00CF3D3C"/>
    <w:rsid w:val="00CF3E29"/>
    <w:rsid w:val="00CF3E3B"/>
    <w:rsid w:val="00CF3F2C"/>
    <w:rsid w:val="00CF4161"/>
    <w:rsid w:val="00CF41F5"/>
    <w:rsid w:val="00CF4341"/>
    <w:rsid w:val="00CF43A9"/>
    <w:rsid w:val="00CF4555"/>
    <w:rsid w:val="00CF4658"/>
    <w:rsid w:val="00CF49CF"/>
    <w:rsid w:val="00CF49E8"/>
    <w:rsid w:val="00CF4A64"/>
    <w:rsid w:val="00CF4C89"/>
    <w:rsid w:val="00CF4E3B"/>
    <w:rsid w:val="00CF4F0E"/>
    <w:rsid w:val="00CF5074"/>
    <w:rsid w:val="00CF50A0"/>
    <w:rsid w:val="00CF50B9"/>
    <w:rsid w:val="00CF521D"/>
    <w:rsid w:val="00CF528D"/>
    <w:rsid w:val="00CF5445"/>
    <w:rsid w:val="00CF56CA"/>
    <w:rsid w:val="00CF581C"/>
    <w:rsid w:val="00CF5A0D"/>
    <w:rsid w:val="00CF5EC5"/>
    <w:rsid w:val="00CF5F01"/>
    <w:rsid w:val="00CF5F8A"/>
    <w:rsid w:val="00CF6053"/>
    <w:rsid w:val="00CF6348"/>
    <w:rsid w:val="00CF6367"/>
    <w:rsid w:val="00CF6436"/>
    <w:rsid w:val="00CF647A"/>
    <w:rsid w:val="00CF64AC"/>
    <w:rsid w:val="00CF64FD"/>
    <w:rsid w:val="00CF6527"/>
    <w:rsid w:val="00CF675C"/>
    <w:rsid w:val="00CF6761"/>
    <w:rsid w:val="00CF67E1"/>
    <w:rsid w:val="00CF6911"/>
    <w:rsid w:val="00CF6950"/>
    <w:rsid w:val="00CF6A70"/>
    <w:rsid w:val="00CF6AB4"/>
    <w:rsid w:val="00CF6E15"/>
    <w:rsid w:val="00CF6E2B"/>
    <w:rsid w:val="00CF6E57"/>
    <w:rsid w:val="00CF6E5E"/>
    <w:rsid w:val="00CF6EA6"/>
    <w:rsid w:val="00CF7150"/>
    <w:rsid w:val="00CF71A8"/>
    <w:rsid w:val="00CF71E0"/>
    <w:rsid w:val="00CF72F8"/>
    <w:rsid w:val="00CF7434"/>
    <w:rsid w:val="00CF74BA"/>
    <w:rsid w:val="00CF79F8"/>
    <w:rsid w:val="00CF7D00"/>
    <w:rsid w:val="00CF7D2A"/>
    <w:rsid w:val="00CF7E86"/>
    <w:rsid w:val="00D00308"/>
    <w:rsid w:val="00D003B5"/>
    <w:rsid w:val="00D0040B"/>
    <w:rsid w:val="00D00537"/>
    <w:rsid w:val="00D0064F"/>
    <w:rsid w:val="00D0088C"/>
    <w:rsid w:val="00D00935"/>
    <w:rsid w:val="00D009C6"/>
    <w:rsid w:val="00D00C2E"/>
    <w:rsid w:val="00D00D60"/>
    <w:rsid w:val="00D00DBA"/>
    <w:rsid w:val="00D00EB5"/>
    <w:rsid w:val="00D01018"/>
    <w:rsid w:val="00D01068"/>
    <w:rsid w:val="00D012EB"/>
    <w:rsid w:val="00D01372"/>
    <w:rsid w:val="00D013A9"/>
    <w:rsid w:val="00D016DD"/>
    <w:rsid w:val="00D01806"/>
    <w:rsid w:val="00D01899"/>
    <w:rsid w:val="00D01985"/>
    <w:rsid w:val="00D01A0B"/>
    <w:rsid w:val="00D01A89"/>
    <w:rsid w:val="00D02189"/>
    <w:rsid w:val="00D02241"/>
    <w:rsid w:val="00D02335"/>
    <w:rsid w:val="00D02400"/>
    <w:rsid w:val="00D026C7"/>
    <w:rsid w:val="00D027C4"/>
    <w:rsid w:val="00D02817"/>
    <w:rsid w:val="00D02854"/>
    <w:rsid w:val="00D02950"/>
    <w:rsid w:val="00D02A8A"/>
    <w:rsid w:val="00D02A98"/>
    <w:rsid w:val="00D02B29"/>
    <w:rsid w:val="00D02B48"/>
    <w:rsid w:val="00D02C17"/>
    <w:rsid w:val="00D02DE8"/>
    <w:rsid w:val="00D03085"/>
    <w:rsid w:val="00D031EE"/>
    <w:rsid w:val="00D032B5"/>
    <w:rsid w:val="00D032E5"/>
    <w:rsid w:val="00D03384"/>
    <w:rsid w:val="00D0344A"/>
    <w:rsid w:val="00D034D6"/>
    <w:rsid w:val="00D03644"/>
    <w:rsid w:val="00D038E6"/>
    <w:rsid w:val="00D03A04"/>
    <w:rsid w:val="00D03A96"/>
    <w:rsid w:val="00D03B7C"/>
    <w:rsid w:val="00D03BDD"/>
    <w:rsid w:val="00D03E7F"/>
    <w:rsid w:val="00D03EBC"/>
    <w:rsid w:val="00D04058"/>
    <w:rsid w:val="00D041A8"/>
    <w:rsid w:val="00D041E2"/>
    <w:rsid w:val="00D04429"/>
    <w:rsid w:val="00D0464B"/>
    <w:rsid w:val="00D048DA"/>
    <w:rsid w:val="00D04963"/>
    <w:rsid w:val="00D04C43"/>
    <w:rsid w:val="00D05065"/>
    <w:rsid w:val="00D051D6"/>
    <w:rsid w:val="00D05284"/>
    <w:rsid w:val="00D053A0"/>
    <w:rsid w:val="00D05547"/>
    <w:rsid w:val="00D0576A"/>
    <w:rsid w:val="00D05818"/>
    <w:rsid w:val="00D05990"/>
    <w:rsid w:val="00D059E9"/>
    <w:rsid w:val="00D05C17"/>
    <w:rsid w:val="00D05D6B"/>
    <w:rsid w:val="00D05EA8"/>
    <w:rsid w:val="00D06172"/>
    <w:rsid w:val="00D06202"/>
    <w:rsid w:val="00D0632F"/>
    <w:rsid w:val="00D06357"/>
    <w:rsid w:val="00D063F2"/>
    <w:rsid w:val="00D06478"/>
    <w:rsid w:val="00D06494"/>
    <w:rsid w:val="00D06560"/>
    <w:rsid w:val="00D06571"/>
    <w:rsid w:val="00D06586"/>
    <w:rsid w:val="00D06640"/>
    <w:rsid w:val="00D0687D"/>
    <w:rsid w:val="00D068FA"/>
    <w:rsid w:val="00D06922"/>
    <w:rsid w:val="00D06A58"/>
    <w:rsid w:val="00D06A9B"/>
    <w:rsid w:val="00D06CC2"/>
    <w:rsid w:val="00D06D34"/>
    <w:rsid w:val="00D06DF3"/>
    <w:rsid w:val="00D06EEA"/>
    <w:rsid w:val="00D07109"/>
    <w:rsid w:val="00D07155"/>
    <w:rsid w:val="00D07319"/>
    <w:rsid w:val="00D07408"/>
    <w:rsid w:val="00D0750B"/>
    <w:rsid w:val="00D0752F"/>
    <w:rsid w:val="00D07BAC"/>
    <w:rsid w:val="00D101F7"/>
    <w:rsid w:val="00D104B2"/>
    <w:rsid w:val="00D10647"/>
    <w:rsid w:val="00D106A7"/>
    <w:rsid w:val="00D10805"/>
    <w:rsid w:val="00D10927"/>
    <w:rsid w:val="00D10AF7"/>
    <w:rsid w:val="00D10B58"/>
    <w:rsid w:val="00D10C92"/>
    <w:rsid w:val="00D10D6E"/>
    <w:rsid w:val="00D10EF0"/>
    <w:rsid w:val="00D10F86"/>
    <w:rsid w:val="00D11276"/>
    <w:rsid w:val="00D114D5"/>
    <w:rsid w:val="00D116E7"/>
    <w:rsid w:val="00D11C06"/>
    <w:rsid w:val="00D11E8C"/>
    <w:rsid w:val="00D12006"/>
    <w:rsid w:val="00D12174"/>
    <w:rsid w:val="00D121C5"/>
    <w:rsid w:val="00D128D7"/>
    <w:rsid w:val="00D12AA5"/>
    <w:rsid w:val="00D12B2D"/>
    <w:rsid w:val="00D12C23"/>
    <w:rsid w:val="00D12D64"/>
    <w:rsid w:val="00D12F80"/>
    <w:rsid w:val="00D1305A"/>
    <w:rsid w:val="00D132C6"/>
    <w:rsid w:val="00D13325"/>
    <w:rsid w:val="00D133AD"/>
    <w:rsid w:val="00D13467"/>
    <w:rsid w:val="00D1349A"/>
    <w:rsid w:val="00D1349F"/>
    <w:rsid w:val="00D13522"/>
    <w:rsid w:val="00D13732"/>
    <w:rsid w:val="00D13756"/>
    <w:rsid w:val="00D13EEA"/>
    <w:rsid w:val="00D13FAA"/>
    <w:rsid w:val="00D13FB2"/>
    <w:rsid w:val="00D14119"/>
    <w:rsid w:val="00D1411A"/>
    <w:rsid w:val="00D14225"/>
    <w:rsid w:val="00D14550"/>
    <w:rsid w:val="00D146FB"/>
    <w:rsid w:val="00D14AA6"/>
    <w:rsid w:val="00D14AAE"/>
    <w:rsid w:val="00D14AC9"/>
    <w:rsid w:val="00D14DF5"/>
    <w:rsid w:val="00D15124"/>
    <w:rsid w:val="00D151E2"/>
    <w:rsid w:val="00D15451"/>
    <w:rsid w:val="00D15736"/>
    <w:rsid w:val="00D1575A"/>
    <w:rsid w:val="00D157B0"/>
    <w:rsid w:val="00D157B6"/>
    <w:rsid w:val="00D15D2C"/>
    <w:rsid w:val="00D15F20"/>
    <w:rsid w:val="00D1601F"/>
    <w:rsid w:val="00D1608A"/>
    <w:rsid w:val="00D161DA"/>
    <w:rsid w:val="00D16280"/>
    <w:rsid w:val="00D162C5"/>
    <w:rsid w:val="00D162EA"/>
    <w:rsid w:val="00D16313"/>
    <w:rsid w:val="00D1632A"/>
    <w:rsid w:val="00D163AE"/>
    <w:rsid w:val="00D16499"/>
    <w:rsid w:val="00D1652C"/>
    <w:rsid w:val="00D166D2"/>
    <w:rsid w:val="00D16815"/>
    <w:rsid w:val="00D16874"/>
    <w:rsid w:val="00D169BE"/>
    <w:rsid w:val="00D16A9D"/>
    <w:rsid w:val="00D16B2A"/>
    <w:rsid w:val="00D16B49"/>
    <w:rsid w:val="00D16BA9"/>
    <w:rsid w:val="00D16C1C"/>
    <w:rsid w:val="00D16CD7"/>
    <w:rsid w:val="00D16D50"/>
    <w:rsid w:val="00D16E17"/>
    <w:rsid w:val="00D16EE0"/>
    <w:rsid w:val="00D1710B"/>
    <w:rsid w:val="00D1713B"/>
    <w:rsid w:val="00D17656"/>
    <w:rsid w:val="00D17774"/>
    <w:rsid w:val="00D1784D"/>
    <w:rsid w:val="00D178FD"/>
    <w:rsid w:val="00D17BB1"/>
    <w:rsid w:val="00D17C6C"/>
    <w:rsid w:val="00D17ECD"/>
    <w:rsid w:val="00D17F39"/>
    <w:rsid w:val="00D200DC"/>
    <w:rsid w:val="00D201DC"/>
    <w:rsid w:val="00D202C2"/>
    <w:rsid w:val="00D20361"/>
    <w:rsid w:val="00D2042A"/>
    <w:rsid w:val="00D20917"/>
    <w:rsid w:val="00D20A32"/>
    <w:rsid w:val="00D20B77"/>
    <w:rsid w:val="00D20D01"/>
    <w:rsid w:val="00D20D4B"/>
    <w:rsid w:val="00D20EAF"/>
    <w:rsid w:val="00D210EC"/>
    <w:rsid w:val="00D2139F"/>
    <w:rsid w:val="00D21500"/>
    <w:rsid w:val="00D21523"/>
    <w:rsid w:val="00D21591"/>
    <w:rsid w:val="00D21A07"/>
    <w:rsid w:val="00D21B97"/>
    <w:rsid w:val="00D21E7C"/>
    <w:rsid w:val="00D21F29"/>
    <w:rsid w:val="00D21FCF"/>
    <w:rsid w:val="00D223C5"/>
    <w:rsid w:val="00D22426"/>
    <w:rsid w:val="00D2262B"/>
    <w:rsid w:val="00D226FF"/>
    <w:rsid w:val="00D22783"/>
    <w:rsid w:val="00D227B3"/>
    <w:rsid w:val="00D228AC"/>
    <w:rsid w:val="00D22929"/>
    <w:rsid w:val="00D22A09"/>
    <w:rsid w:val="00D22A6B"/>
    <w:rsid w:val="00D22AA7"/>
    <w:rsid w:val="00D22BC4"/>
    <w:rsid w:val="00D2301A"/>
    <w:rsid w:val="00D23109"/>
    <w:rsid w:val="00D23195"/>
    <w:rsid w:val="00D231CC"/>
    <w:rsid w:val="00D2328C"/>
    <w:rsid w:val="00D2337D"/>
    <w:rsid w:val="00D2341E"/>
    <w:rsid w:val="00D23573"/>
    <w:rsid w:val="00D23A64"/>
    <w:rsid w:val="00D23E15"/>
    <w:rsid w:val="00D23EE2"/>
    <w:rsid w:val="00D24107"/>
    <w:rsid w:val="00D2424F"/>
    <w:rsid w:val="00D246D6"/>
    <w:rsid w:val="00D24752"/>
    <w:rsid w:val="00D2476A"/>
    <w:rsid w:val="00D2487A"/>
    <w:rsid w:val="00D248A8"/>
    <w:rsid w:val="00D24960"/>
    <w:rsid w:val="00D24ABB"/>
    <w:rsid w:val="00D24B13"/>
    <w:rsid w:val="00D24CE7"/>
    <w:rsid w:val="00D24F51"/>
    <w:rsid w:val="00D24F9C"/>
    <w:rsid w:val="00D250A5"/>
    <w:rsid w:val="00D252CD"/>
    <w:rsid w:val="00D25404"/>
    <w:rsid w:val="00D254BE"/>
    <w:rsid w:val="00D2560C"/>
    <w:rsid w:val="00D25703"/>
    <w:rsid w:val="00D259FE"/>
    <w:rsid w:val="00D260A7"/>
    <w:rsid w:val="00D26208"/>
    <w:rsid w:val="00D262A2"/>
    <w:rsid w:val="00D26476"/>
    <w:rsid w:val="00D26662"/>
    <w:rsid w:val="00D268A2"/>
    <w:rsid w:val="00D26925"/>
    <w:rsid w:val="00D26CF9"/>
    <w:rsid w:val="00D26D2B"/>
    <w:rsid w:val="00D26E57"/>
    <w:rsid w:val="00D26E96"/>
    <w:rsid w:val="00D26EF1"/>
    <w:rsid w:val="00D27096"/>
    <w:rsid w:val="00D270F9"/>
    <w:rsid w:val="00D2717C"/>
    <w:rsid w:val="00D273BD"/>
    <w:rsid w:val="00D27638"/>
    <w:rsid w:val="00D27731"/>
    <w:rsid w:val="00D27779"/>
    <w:rsid w:val="00D27987"/>
    <w:rsid w:val="00D27A07"/>
    <w:rsid w:val="00D27A2F"/>
    <w:rsid w:val="00D27AF4"/>
    <w:rsid w:val="00D27D6B"/>
    <w:rsid w:val="00D308B2"/>
    <w:rsid w:val="00D30A2B"/>
    <w:rsid w:val="00D30B5E"/>
    <w:rsid w:val="00D30D23"/>
    <w:rsid w:val="00D30DD4"/>
    <w:rsid w:val="00D31250"/>
    <w:rsid w:val="00D3143B"/>
    <w:rsid w:val="00D31449"/>
    <w:rsid w:val="00D31516"/>
    <w:rsid w:val="00D3160A"/>
    <w:rsid w:val="00D317B2"/>
    <w:rsid w:val="00D31886"/>
    <w:rsid w:val="00D318B7"/>
    <w:rsid w:val="00D31B49"/>
    <w:rsid w:val="00D31E6A"/>
    <w:rsid w:val="00D31EE4"/>
    <w:rsid w:val="00D3202F"/>
    <w:rsid w:val="00D32163"/>
    <w:rsid w:val="00D3246C"/>
    <w:rsid w:val="00D32479"/>
    <w:rsid w:val="00D3258A"/>
    <w:rsid w:val="00D326A9"/>
    <w:rsid w:val="00D326E8"/>
    <w:rsid w:val="00D327C8"/>
    <w:rsid w:val="00D328BE"/>
    <w:rsid w:val="00D32C4B"/>
    <w:rsid w:val="00D3304D"/>
    <w:rsid w:val="00D33100"/>
    <w:rsid w:val="00D3332B"/>
    <w:rsid w:val="00D33360"/>
    <w:rsid w:val="00D33905"/>
    <w:rsid w:val="00D33998"/>
    <w:rsid w:val="00D33A66"/>
    <w:rsid w:val="00D33A89"/>
    <w:rsid w:val="00D33CFC"/>
    <w:rsid w:val="00D33E3B"/>
    <w:rsid w:val="00D33F3A"/>
    <w:rsid w:val="00D341BA"/>
    <w:rsid w:val="00D341FE"/>
    <w:rsid w:val="00D3450E"/>
    <w:rsid w:val="00D34634"/>
    <w:rsid w:val="00D347F8"/>
    <w:rsid w:val="00D348D7"/>
    <w:rsid w:val="00D349F3"/>
    <w:rsid w:val="00D34B8F"/>
    <w:rsid w:val="00D34C2A"/>
    <w:rsid w:val="00D350B4"/>
    <w:rsid w:val="00D351D7"/>
    <w:rsid w:val="00D35568"/>
    <w:rsid w:val="00D356B5"/>
    <w:rsid w:val="00D35709"/>
    <w:rsid w:val="00D35756"/>
    <w:rsid w:val="00D35778"/>
    <w:rsid w:val="00D357C5"/>
    <w:rsid w:val="00D35801"/>
    <w:rsid w:val="00D3583E"/>
    <w:rsid w:val="00D358F6"/>
    <w:rsid w:val="00D35917"/>
    <w:rsid w:val="00D3596D"/>
    <w:rsid w:val="00D35B06"/>
    <w:rsid w:val="00D35B3B"/>
    <w:rsid w:val="00D35C8B"/>
    <w:rsid w:val="00D35D85"/>
    <w:rsid w:val="00D35DCA"/>
    <w:rsid w:val="00D35ED9"/>
    <w:rsid w:val="00D360A9"/>
    <w:rsid w:val="00D3621E"/>
    <w:rsid w:val="00D362AC"/>
    <w:rsid w:val="00D362F9"/>
    <w:rsid w:val="00D364E2"/>
    <w:rsid w:val="00D36A14"/>
    <w:rsid w:val="00D36A57"/>
    <w:rsid w:val="00D36A81"/>
    <w:rsid w:val="00D36B31"/>
    <w:rsid w:val="00D36BA1"/>
    <w:rsid w:val="00D36C17"/>
    <w:rsid w:val="00D36D5E"/>
    <w:rsid w:val="00D36F35"/>
    <w:rsid w:val="00D36F54"/>
    <w:rsid w:val="00D36F74"/>
    <w:rsid w:val="00D36FAC"/>
    <w:rsid w:val="00D373AB"/>
    <w:rsid w:val="00D3746D"/>
    <w:rsid w:val="00D37553"/>
    <w:rsid w:val="00D37756"/>
    <w:rsid w:val="00D37842"/>
    <w:rsid w:val="00D37987"/>
    <w:rsid w:val="00D37A95"/>
    <w:rsid w:val="00D37BBF"/>
    <w:rsid w:val="00D37CCD"/>
    <w:rsid w:val="00D37EB0"/>
    <w:rsid w:val="00D37FD1"/>
    <w:rsid w:val="00D40069"/>
    <w:rsid w:val="00D400E4"/>
    <w:rsid w:val="00D40265"/>
    <w:rsid w:val="00D4033F"/>
    <w:rsid w:val="00D4047D"/>
    <w:rsid w:val="00D405AE"/>
    <w:rsid w:val="00D40895"/>
    <w:rsid w:val="00D408A4"/>
    <w:rsid w:val="00D40EB3"/>
    <w:rsid w:val="00D40EB7"/>
    <w:rsid w:val="00D41185"/>
    <w:rsid w:val="00D412D8"/>
    <w:rsid w:val="00D413A3"/>
    <w:rsid w:val="00D41853"/>
    <w:rsid w:val="00D419A9"/>
    <w:rsid w:val="00D419BD"/>
    <w:rsid w:val="00D41ABE"/>
    <w:rsid w:val="00D41B58"/>
    <w:rsid w:val="00D41E4B"/>
    <w:rsid w:val="00D41F1F"/>
    <w:rsid w:val="00D4226B"/>
    <w:rsid w:val="00D42315"/>
    <w:rsid w:val="00D42423"/>
    <w:rsid w:val="00D42633"/>
    <w:rsid w:val="00D42ACE"/>
    <w:rsid w:val="00D42D34"/>
    <w:rsid w:val="00D42F02"/>
    <w:rsid w:val="00D4325A"/>
    <w:rsid w:val="00D433A1"/>
    <w:rsid w:val="00D43567"/>
    <w:rsid w:val="00D43586"/>
    <w:rsid w:val="00D435A4"/>
    <w:rsid w:val="00D435E4"/>
    <w:rsid w:val="00D43622"/>
    <w:rsid w:val="00D4365E"/>
    <w:rsid w:val="00D436CC"/>
    <w:rsid w:val="00D437F4"/>
    <w:rsid w:val="00D4398A"/>
    <w:rsid w:val="00D43A45"/>
    <w:rsid w:val="00D43AD6"/>
    <w:rsid w:val="00D44190"/>
    <w:rsid w:val="00D44195"/>
    <w:rsid w:val="00D44310"/>
    <w:rsid w:val="00D444A3"/>
    <w:rsid w:val="00D44646"/>
    <w:rsid w:val="00D44B02"/>
    <w:rsid w:val="00D44B09"/>
    <w:rsid w:val="00D44CCF"/>
    <w:rsid w:val="00D45014"/>
    <w:rsid w:val="00D45060"/>
    <w:rsid w:val="00D45461"/>
    <w:rsid w:val="00D45583"/>
    <w:rsid w:val="00D455F1"/>
    <w:rsid w:val="00D45623"/>
    <w:rsid w:val="00D45650"/>
    <w:rsid w:val="00D456A1"/>
    <w:rsid w:val="00D457EC"/>
    <w:rsid w:val="00D457F3"/>
    <w:rsid w:val="00D45A46"/>
    <w:rsid w:val="00D45B04"/>
    <w:rsid w:val="00D45DA6"/>
    <w:rsid w:val="00D45DE7"/>
    <w:rsid w:val="00D45E56"/>
    <w:rsid w:val="00D45FF3"/>
    <w:rsid w:val="00D4624E"/>
    <w:rsid w:val="00D463E5"/>
    <w:rsid w:val="00D4648A"/>
    <w:rsid w:val="00D464AF"/>
    <w:rsid w:val="00D464F8"/>
    <w:rsid w:val="00D4654C"/>
    <w:rsid w:val="00D4672F"/>
    <w:rsid w:val="00D468A3"/>
    <w:rsid w:val="00D46A71"/>
    <w:rsid w:val="00D46B14"/>
    <w:rsid w:val="00D46C2A"/>
    <w:rsid w:val="00D46ED6"/>
    <w:rsid w:val="00D4706C"/>
    <w:rsid w:val="00D4724A"/>
    <w:rsid w:val="00D47364"/>
    <w:rsid w:val="00D473F0"/>
    <w:rsid w:val="00D477C4"/>
    <w:rsid w:val="00D477F5"/>
    <w:rsid w:val="00D47839"/>
    <w:rsid w:val="00D47A05"/>
    <w:rsid w:val="00D47AE4"/>
    <w:rsid w:val="00D47C44"/>
    <w:rsid w:val="00D47DE4"/>
    <w:rsid w:val="00D47EC3"/>
    <w:rsid w:val="00D47EC6"/>
    <w:rsid w:val="00D47EE4"/>
    <w:rsid w:val="00D50032"/>
    <w:rsid w:val="00D500A1"/>
    <w:rsid w:val="00D500C9"/>
    <w:rsid w:val="00D50407"/>
    <w:rsid w:val="00D5041D"/>
    <w:rsid w:val="00D5049F"/>
    <w:rsid w:val="00D50A0D"/>
    <w:rsid w:val="00D50BAD"/>
    <w:rsid w:val="00D50CE0"/>
    <w:rsid w:val="00D50E98"/>
    <w:rsid w:val="00D50ED6"/>
    <w:rsid w:val="00D50F63"/>
    <w:rsid w:val="00D50FD4"/>
    <w:rsid w:val="00D510AA"/>
    <w:rsid w:val="00D510F6"/>
    <w:rsid w:val="00D511C3"/>
    <w:rsid w:val="00D51371"/>
    <w:rsid w:val="00D513FD"/>
    <w:rsid w:val="00D514C7"/>
    <w:rsid w:val="00D5172D"/>
    <w:rsid w:val="00D51936"/>
    <w:rsid w:val="00D51A33"/>
    <w:rsid w:val="00D51D05"/>
    <w:rsid w:val="00D51DD5"/>
    <w:rsid w:val="00D51E1E"/>
    <w:rsid w:val="00D51F22"/>
    <w:rsid w:val="00D5204C"/>
    <w:rsid w:val="00D52061"/>
    <w:rsid w:val="00D52172"/>
    <w:rsid w:val="00D52485"/>
    <w:rsid w:val="00D52490"/>
    <w:rsid w:val="00D526DE"/>
    <w:rsid w:val="00D5270F"/>
    <w:rsid w:val="00D5274E"/>
    <w:rsid w:val="00D5275B"/>
    <w:rsid w:val="00D527FA"/>
    <w:rsid w:val="00D5291E"/>
    <w:rsid w:val="00D5293A"/>
    <w:rsid w:val="00D52A7F"/>
    <w:rsid w:val="00D52B34"/>
    <w:rsid w:val="00D52B52"/>
    <w:rsid w:val="00D52C71"/>
    <w:rsid w:val="00D52F00"/>
    <w:rsid w:val="00D5301A"/>
    <w:rsid w:val="00D53124"/>
    <w:rsid w:val="00D53289"/>
    <w:rsid w:val="00D53547"/>
    <w:rsid w:val="00D535AC"/>
    <w:rsid w:val="00D5369C"/>
    <w:rsid w:val="00D537D8"/>
    <w:rsid w:val="00D5392A"/>
    <w:rsid w:val="00D53C40"/>
    <w:rsid w:val="00D53C7B"/>
    <w:rsid w:val="00D53CD3"/>
    <w:rsid w:val="00D53F2D"/>
    <w:rsid w:val="00D540C3"/>
    <w:rsid w:val="00D5446B"/>
    <w:rsid w:val="00D545C5"/>
    <w:rsid w:val="00D547B6"/>
    <w:rsid w:val="00D5482F"/>
    <w:rsid w:val="00D54A53"/>
    <w:rsid w:val="00D54B71"/>
    <w:rsid w:val="00D54D48"/>
    <w:rsid w:val="00D54E2F"/>
    <w:rsid w:val="00D54E53"/>
    <w:rsid w:val="00D54FA3"/>
    <w:rsid w:val="00D55085"/>
    <w:rsid w:val="00D554CA"/>
    <w:rsid w:val="00D55533"/>
    <w:rsid w:val="00D557CE"/>
    <w:rsid w:val="00D5591F"/>
    <w:rsid w:val="00D559DD"/>
    <w:rsid w:val="00D55AF2"/>
    <w:rsid w:val="00D55B04"/>
    <w:rsid w:val="00D55C4A"/>
    <w:rsid w:val="00D55CC9"/>
    <w:rsid w:val="00D55D54"/>
    <w:rsid w:val="00D55EF1"/>
    <w:rsid w:val="00D55FA8"/>
    <w:rsid w:val="00D5604E"/>
    <w:rsid w:val="00D56090"/>
    <w:rsid w:val="00D56145"/>
    <w:rsid w:val="00D563B8"/>
    <w:rsid w:val="00D566EA"/>
    <w:rsid w:val="00D56728"/>
    <w:rsid w:val="00D56931"/>
    <w:rsid w:val="00D56D62"/>
    <w:rsid w:val="00D56D9A"/>
    <w:rsid w:val="00D5705F"/>
    <w:rsid w:val="00D57130"/>
    <w:rsid w:val="00D571AC"/>
    <w:rsid w:val="00D57341"/>
    <w:rsid w:val="00D574B8"/>
    <w:rsid w:val="00D575CF"/>
    <w:rsid w:val="00D5762D"/>
    <w:rsid w:val="00D57797"/>
    <w:rsid w:val="00D578CB"/>
    <w:rsid w:val="00D578E3"/>
    <w:rsid w:val="00D578FD"/>
    <w:rsid w:val="00D579B8"/>
    <w:rsid w:val="00D57A9F"/>
    <w:rsid w:val="00D57B11"/>
    <w:rsid w:val="00D57E01"/>
    <w:rsid w:val="00D57E59"/>
    <w:rsid w:val="00D57F16"/>
    <w:rsid w:val="00D57F1E"/>
    <w:rsid w:val="00D57F3A"/>
    <w:rsid w:val="00D57F44"/>
    <w:rsid w:val="00D57FA3"/>
    <w:rsid w:val="00D60120"/>
    <w:rsid w:val="00D60375"/>
    <w:rsid w:val="00D60558"/>
    <w:rsid w:val="00D6055B"/>
    <w:rsid w:val="00D608E6"/>
    <w:rsid w:val="00D609C4"/>
    <w:rsid w:val="00D60A64"/>
    <w:rsid w:val="00D60ACD"/>
    <w:rsid w:val="00D60B55"/>
    <w:rsid w:val="00D60B62"/>
    <w:rsid w:val="00D60DE5"/>
    <w:rsid w:val="00D60FF1"/>
    <w:rsid w:val="00D6105C"/>
    <w:rsid w:val="00D61085"/>
    <w:rsid w:val="00D6108C"/>
    <w:rsid w:val="00D610D3"/>
    <w:rsid w:val="00D6145E"/>
    <w:rsid w:val="00D614B2"/>
    <w:rsid w:val="00D6152F"/>
    <w:rsid w:val="00D61559"/>
    <w:rsid w:val="00D6158E"/>
    <w:rsid w:val="00D615B2"/>
    <w:rsid w:val="00D616D4"/>
    <w:rsid w:val="00D61EA3"/>
    <w:rsid w:val="00D61FA7"/>
    <w:rsid w:val="00D62094"/>
    <w:rsid w:val="00D620A3"/>
    <w:rsid w:val="00D622CF"/>
    <w:rsid w:val="00D6239B"/>
    <w:rsid w:val="00D62417"/>
    <w:rsid w:val="00D6284A"/>
    <w:rsid w:val="00D62937"/>
    <w:rsid w:val="00D62967"/>
    <w:rsid w:val="00D629EE"/>
    <w:rsid w:val="00D62A0D"/>
    <w:rsid w:val="00D62B03"/>
    <w:rsid w:val="00D62B72"/>
    <w:rsid w:val="00D62C00"/>
    <w:rsid w:val="00D62EA4"/>
    <w:rsid w:val="00D62F01"/>
    <w:rsid w:val="00D62F03"/>
    <w:rsid w:val="00D62F76"/>
    <w:rsid w:val="00D630C2"/>
    <w:rsid w:val="00D63117"/>
    <w:rsid w:val="00D63124"/>
    <w:rsid w:val="00D632C7"/>
    <w:rsid w:val="00D6340E"/>
    <w:rsid w:val="00D63422"/>
    <w:rsid w:val="00D634E2"/>
    <w:rsid w:val="00D635A1"/>
    <w:rsid w:val="00D635D0"/>
    <w:rsid w:val="00D63901"/>
    <w:rsid w:val="00D63A1B"/>
    <w:rsid w:val="00D63AC1"/>
    <w:rsid w:val="00D63AD7"/>
    <w:rsid w:val="00D63B88"/>
    <w:rsid w:val="00D63C9A"/>
    <w:rsid w:val="00D64127"/>
    <w:rsid w:val="00D644CF"/>
    <w:rsid w:val="00D6463F"/>
    <w:rsid w:val="00D647EB"/>
    <w:rsid w:val="00D647F3"/>
    <w:rsid w:val="00D64C2E"/>
    <w:rsid w:val="00D64CCF"/>
    <w:rsid w:val="00D64E7F"/>
    <w:rsid w:val="00D64EE4"/>
    <w:rsid w:val="00D64F89"/>
    <w:rsid w:val="00D650B0"/>
    <w:rsid w:val="00D65108"/>
    <w:rsid w:val="00D6519C"/>
    <w:rsid w:val="00D651FA"/>
    <w:rsid w:val="00D65208"/>
    <w:rsid w:val="00D65991"/>
    <w:rsid w:val="00D659E4"/>
    <w:rsid w:val="00D65A9E"/>
    <w:rsid w:val="00D65B6C"/>
    <w:rsid w:val="00D65D5C"/>
    <w:rsid w:val="00D65F7B"/>
    <w:rsid w:val="00D660CE"/>
    <w:rsid w:val="00D663DC"/>
    <w:rsid w:val="00D668CE"/>
    <w:rsid w:val="00D66ADB"/>
    <w:rsid w:val="00D66B41"/>
    <w:rsid w:val="00D66F17"/>
    <w:rsid w:val="00D67261"/>
    <w:rsid w:val="00D67360"/>
    <w:rsid w:val="00D673D2"/>
    <w:rsid w:val="00D673DC"/>
    <w:rsid w:val="00D674BB"/>
    <w:rsid w:val="00D675D6"/>
    <w:rsid w:val="00D677EE"/>
    <w:rsid w:val="00D67977"/>
    <w:rsid w:val="00D67A2D"/>
    <w:rsid w:val="00D67AAB"/>
    <w:rsid w:val="00D67EAC"/>
    <w:rsid w:val="00D70023"/>
    <w:rsid w:val="00D7002F"/>
    <w:rsid w:val="00D70308"/>
    <w:rsid w:val="00D7032D"/>
    <w:rsid w:val="00D7062B"/>
    <w:rsid w:val="00D7078B"/>
    <w:rsid w:val="00D707CC"/>
    <w:rsid w:val="00D708B8"/>
    <w:rsid w:val="00D708CD"/>
    <w:rsid w:val="00D70B03"/>
    <w:rsid w:val="00D70E3A"/>
    <w:rsid w:val="00D70E99"/>
    <w:rsid w:val="00D71130"/>
    <w:rsid w:val="00D7120C"/>
    <w:rsid w:val="00D7131C"/>
    <w:rsid w:val="00D71629"/>
    <w:rsid w:val="00D717A8"/>
    <w:rsid w:val="00D71842"/>
    <w:rsid w:val="00D71A41"/>
    <w:rsid w:val="00D71B2A"/>
    <w:rsid w:val="00D71CD7"/>
    <w:rsid w:val="00D71FC9"/>
    <w:rsid w:val="00D72166"/>
    <w:rsid w:val="00D72272"/>
    <w:rsid w:val="00D722B9"/>
    <w:rsid w:val="00D7260A"/>
    <w:rsid w:val="00D7278E"/>
    <w:rsid w:val="00D72947"/>
    <w:rsid w:val="00D72A09"/>
    <w:rsid w:val="00D72A19"/>
    <w:rsid w:val="00D72A41"/>
    <w:rsid w:val="00D72AAA"/>
    <w:rsid w:val="00D72BF9"/>
    <w:rsid w:val="00D73186"/>
    <w:rsid w:val="00D73355"/>
    <w:rsid w:val="00D73608"/>
    <w:rsid w:val="00D7378E"/>
    <w:rsid w:val="00D737F2"/>
    <w:rsid w:val="00D7385A"/>
    <w:rsid w:val="00D738C8"/>
    <w:rsid w:val="00D738D3"/>
    <w:rsid w:val="00D7393D"/>
    <w:rsid w:val="00D7398A"/>
    <w:rsid w:val="00D739CF"/>
    <w:rsid w:val="00D73A67"/>
    <w:rsid w:val="00D73B3D"/>
    <w:rsid w:val="00D73C77"/>
    <w:rsid w:val="00D73C7F"/>
    <w:rsid w:val="00D73DA4"/>
    <w:rsid w:val="00D73E2D"/>
    <w:rsid w:val="00D73E42"/>
    <w:rsid w:val="00D73E9F"/>
    <w:rsid w:val="00D73F53"/>
    <w:rsid w:val="00D73FA9"/>
    <w:rsid w:val="00D73FB8"/>
    <w:rsid w:val="00D7435C"/>
    <w:rsid w:val="00D748CC"/>
    <w:rsid w:val="00D74984"/>
    <w:rsid w:val="00D74989"/>
    <w:rsid w:val="00D74A5A"/>
    <w:rsid w:val="00D74AB1"/>
    <w:rsid w:val="00D74D3F"/>
    <w:rsid w:val="00D74D72"/>
    <w:rsid w:val="00D74DBD"/>
    <w:rsid w:val="00D751B2"/>
    <w:rsid w:val="00D75250"/>
    <w:rsid w:val="00D753A0"/>
    <w:rsid w:val="00D75422"/>
    <w:rsid w:val="00D7547A"/>
    <w:rsid w:val="00D75543"/>
    <w:rsid w:val="00D75562"/>
    <w:rsid w:val="00D75681"/>
    <w:rsid w:val="00D756D7"/>
    <w:rsid w:val="00D75926"/>
    <w:rsid w:val="00D75B6F"/>
    <w:rsid w:val="00D75CB2"/>
    <w:rsid w:val="00D75CDA"/>
    <w:rsid w:val="00D75FAE"/>
    <w:rsid w:val="00D75FDD"/>
    <w:rsid w:val="00D760E9"/>
    <w:rsid w:val="00D76196"/>
    <w:rsid w:val="00D76248"/>
    <w:rsid w:val="00D765E6"/>
    <w:rsid w:val="00D769C6"/>
    <w:rsid w:val="00D76CBD"/>
    <w:rsid w:val="00D76ECD"/>
    <w:rsid w:val="00D77119"/>
    <w:rsid w:val="00D77135"/>
    <w:rsid w:val="00D77235"/>
    <w:rsid w:val="00D77355"/>
    <w:rsid w:val="00D77421"/>
    <w:rsid w:val="00D77535"/>
    <w:rsid w:val="00D77562"/>
    <w:rsid w:val="00D77619"/>
    <w:rsid w:val="00D77693"/>
    <w:rsid w:val="00D7782B"/>
    <w:rsid w:val="00D778F2"/>
    <w:rsid w:val="00D7794F"/>
    <w:rsid w:val="00D779A3"/>
    <w:rsid w:val="00D77C49"/>
    <w:rsid w:val="00D77D2E"/>
    <w:rsid w:val="00D77E6E"/>
    <w:rsid w:val="00D77F02"/>
    <w:rsid w:val="00D80004"/>
    <w:rsid w:val="00D801EB"/>
    <w:rsid w:val="00D8029E"/>
    <w:rsid w:val="00D8042D"/>
    <w:rsid w:val="00D8044F"/>
    <w:rsid w:val="00D806DE"/>
    <w:rsid w:val="00D80A6C"/>
    <w:rsid w:val="00D80B15"/>
    <w:rsid w:val="00D80C40"/>
    <w:rsid w:val="00D80D84"/>
    <w:rsid w:val="00D80E9F"/>
    <w:rsid w:val="00D8119E"/>
    <w:rsid w:val="00D81291"/>
    <w:rsid w:val="00D812D5"/>
    <w:rsid w:val="00D8146E"/>
    <w:rsid w:val="00D81651"/>
    <w:rsid w:val="00D816E1"/>
    <w:rsid w:val="00D818D3"/>
    <w:rsid w:val="00D81BB3"/>
    <w:rsid w:val="00D81BC5"/>
    <w:rsid w:val="00D81C8A"/>
    <w:rsid w:val="00D81F52"/>
    <w:rsid w:val="00D822AC"/>
    <w:rsid w:val="00D823B3"/>
    <w:rsid w:val="00D823BD"/>
    <w:rsid w:val="00D82430"/>
    <w:rsid w:val="00D8269C"/>
    <w:rsid w:val="00D82D3C"/>
    <w:rsid w:val="00D82DEA"/>
    <w:rsid w:val="00D82FFB"/>
    <w:rsid w:val="00D83274"/>
    <w:rsid w:val="00D83282"/>
    <w:rsid w:val="00D83367"/>
    <w:rsid w:val="00D834F2"/>
    <w:rsid w:val="00D83574"/>
    <w:rsid w:val="00D83621"/>
    <w:rsid w:val="00D83A66"/>
    <w:rsid w:val="00D83AE9"/>
    <w:rsid w:val="00D83C67"/>
    <w:rsid w:val="00D83C89"/>
    <w:rsid w:val="00D83D45"/>
    <w:rsid w:val="00D83E47"/>
    <w:rsid w:val="00D83EDC"/>
    <w:rsid w:val="00D83EDE"/>
    <w:rsid w:val="00D83F64"/>
    <w:rsid w:val="00D83FF5"/>
    <w:rsid w:val="00D84182"/>
    <w:rsid w:val="00D841A8"/>
    <w:rsid w:val="00D8421C"/>
    <w:rsid w:val="00D843E4"/>
    <w:rsid w:val="00D845A1"/>
    <w:rsid w:val="00D846B1"/>
    <w:rsid w:val="00D8484D"/>
    <w:rsid w:val="00D84873"/>
    <w:rsid w:val="00D848DA"/>
    <w:rsid w:val="00D848DC"/>
    <w:rsid w:val="00D84A81"/>
    <w:rsid w:val="00D84B96"/>
    <w:rsid w:val="00D84E62"/>
    <w:rsid w:val="00D84EFC"/>
    <w:rsid w:val="00D85128"/>
    <w:rsid w:val="00D85157"/>
    <w:rsid w:val="00D85262"/>
    <w:rsid w:val="00D852B4"/>
    <w:rsid w:val="00D85676"/>
    <w:rsid w:val="00D85897"/>
    <w:rsid w:val="00D858BE"/>
    <w:rsid w:val="00D858DA"/>
    <w:rsid w:val="00D85B38"/>
    <w:rsid w:val="00D85C37"/>
    <w:rsid w:val="00D85DB4"/>
    <w:rsid w:val="00D85FA6"/>
    <w:rsid w:val="00D86400"/>
    <w:rsid w:val="00D86595"/>
    <w:rsid w:val="00D867E0"/>
    <w:rsid w:val="00D86808"/>
    <w:rsid w:val="00D86A7F"/>
    <w:rsid w:val="00D86CD5"/>
    <w:rsid w:val="00D86DB7"/>
    <w:rsid w:val="00D86E36"/>
    <w:rsid w:val="00D86E39"/>
    <w:rsid w:val="00D87061"/>
    <w:rsid w:val="00D87290"/>
    <w:rsid w:val="00D872D1"/>
    <w:rsid w:val="00D87366"/>
    <w:rsid w:val="00D87379"/>
    <w:rsid w:val="00D873FE"/>
    <w:rsid w:val="00D87405"/>
    <w:rsid w:val="00D879BC"/>
    <w:rsid w:val="00D87A10"/>
    <w:rsid w:val="00D87A22"/>
    <w:rsid w:val="00D87B28"/>
    <w:rsid w:val="00D87CCE"/>
    <w:rsid w:val="00D87CF8"/>
    <w:rsid w:val="00D87F62"/>
    <w:rsid w:val="00D90267"/>
    <w:rsid w:val="00D902B5"/>
    <w:rsid w:val="00D9035F"/>
    <w:rsid w:val="00D903C3"/>
    <w:rsid w:val="00D904ED"/>
    <w:rsid w:val="00D905FE"/>
    <w:rsid w:val="00D909DC"/>
    <w:rsid w:val="00D90AF3"/>
    <w:rsid w:val="00D90BBD"/>
    <w:rsid w:val="00D90F4F"/>
    <w:rsid w:val="00D90FEF"/>
    <w:rsid w:val="00D9118D"/>
    <w:rsid w:val="00D911C9"/>
    <w:rsid w:val="00D911E4"/>
    <w:rsid w:val="00D913C2"/>
    <w:rsid w:val="00D913FA"/>
    <w:rsid w:val="00D914BE"/>
    <w:rsid w:val="00D91549"/>
    <w:rsid w:val="00D9174F"/>
    <w:rsid w:val="00D91861"/>
    <w:rsid w:val="00D91888"/>
    <w:rsid w:val="00D91966"/>
    <w:rsid w:val="00D91996"/>
    <w:rsid w:val="00D919A9"/>
    <w:rsid w:val="00D919BE"/>
    <w:rsid w:val="00D91E2C"/>
    <w:rsid w:val="00D921D8"/>
    <w:rsid w:val="00D921EB"/>
    <w:rsid w:val="00D92204"/>
    <w:rsid w:val="00D92381"/>
    <w:rsid w:val="00D92420"/>
    <w:rsid w:val="00D92478"/>
    <w:rsid w:val="00D92656"/>
    <w:rsid w:val="00D926BE"/>
    <w:rsid w:val="00D928C3"/>
    <w:rsid w:val="00D92B15"/>
    <w:rsid w:val="00D92E10"/>
    <w:rsid w:val="00D92E42"/>
    <w:rsid w:val="00D92F3D"/>
    <w:rsid w:val="00D92FA0"/>
    <w:rsid w:val="00D92FAA"/>
    <w:rsid w:val="00D931C4"/>
    <w:rsid w:val="00D934F3"/>
    <w:rsid w:val="00D935F5"/>
    <w:rsid w:val="00D93671"/>
    <w:rsid w:val="00D93A10"/>
    <w:rsid w:val="00D93B29"/>
    <w:rsid w:val="00D93B54"/>
    <w:rsid w:val="00D93D3E"/>
    <w:rsid w:val="00D93E8A"/>
    <w:rsid w:val="00D93F54"/>
    <w:rsid w:val="00D94194"/>
    <w:rsid w:val="00D941EC"/>
    <w:rsid w:val="00D94398"/>
    <w:rsid w:val="00D9463D"/>
    <w:rsid w:val="00D9472C"/>
    <w:rsid w:val="00D947B2"/>
    <w:rsid w:val="00D948ED"/>
    <w:rsid w:val="00D949C2"/>
    <w:rsid w:val="00D94B85"/>
    <w:rsid w:val="00D94C1D"/>
    <w:rsid w:val="00D94C60"/>
    <w:rsid w:val="00D94D51"/>
    <w:rsid w:val="00D94DF4"/>
    <w:rsid w:val="00D95053"/>
    <w:rsid w:val="00D950C1"/>
    <w:rsid w:val="00D952CF"/>
    <w:rsid w:val="00D954BE"/>
    <w:rsid w:val="00D954C8"/>
    <w:rsid w:val="00D95577"/>
    <w:rsid w:val="00D959E8"/>
    <w:rsid w:val="00D95B75"/>
    <w:rsid w:val="00D95C47"/>
    <w:rsid w:val="00D95D99"/>
    <w:rsid w:val="00D95F15"/>
    <w:rsid w:val="00D9607A"/>
    <w:rsid w:val="00D9613C"/>
    <w:rsid w:val="00D96252"/>
    <w:rsid w:val="00D9628F"/>
    <w:rsid w:val="00D962F9"/>
    <w:rsid w:val="00D96461"/>
    <w:rsid w:val="00D9650F"/>
    <w:rsid w:val="00D966B8"/>
    <w:rsid w:val="00D9684D"/>
    <w:rsid w:val="00D968C9"/>
    <w:rsid w:val="00D968F6"/>
    <w:rsid w:val="00D96D86"/>
    <w:rsid w:val="00D96DD3"/>
    <w:rsid w:val="00D96F34"/>
    <w:rsid w:val="00D971F2"/>
    <w:rsid w:val="00D97367"/>
    <w:rsid w:val="00D973B5"/>
    <w:rsid w:val="00D973EC"/>
    <w:rsid w:val="00D974FF"/>
    <w:rsid w:val="00D97609"/>
    <w:rsid w:val="00D97616"/>
    <w:rsid w:val="00D97694"/>
    <w:rsid w:val="00D977D1"/>
    <w:rsid w:val="00D9783B"/>
    <w:rsid w:val="00D97947"/>
    <w:rsid w:val="00D979B9"/>
    <w:rsid w:val="00D97A89"/>
    <w:rsid w:val="00D97ABA"/>
    <w:rsid w:val="00D97B84"/>
    <w:rsid w:val="00D97D4C"/>
    <w:rsid w:val="00D97DCE"/>
    <w:rsid w:val="00DA0035"/>
    <w:rsid w:val="00DA01F7"/>
    <w:rsid w:val="00DA039A"/>
    <w:rsid w:val="00DA0420"/>
    <w:rsid w:val="00DA0422"/>
    <w:rsid w:val="00DA0483"/>
    <w:rsid w:val="00DA04CD"/>
    <w:rsid w:val="00DA052D"/>
    <w:rsid w:val="00DA0BBE"/>
    <w:rsid w:val="00DA0C5F"/>
    <w:rsid w:val="00DA0E6E"/>
    <w:rsid w:val="00DA0EB5"/>
    <w:rsid w:val="00DA0F24"/>
    <w:rsid w:val="00DA14DC"/>
    <w:rsid w:val="00DA16C5"/>
    <w:rsid w:val="00DA1994"/>
    <w:rsid w:val="00DA1B74"/>
    <w:rsid w:val="00DA1D1C"/>
    <w:rsid w:val="00DA200A"/>
    <w:rsid w:val="00DA20F0"/>
    <w:rsid w:val="00DA223D"/>
    <w:rsid w:val="00DA226F"/>
    <w:rsid w:val="00DA24DF"/>
    <w:rsid w:val="00DA2580"/>
    <w:rsid w:val="00DA2ACF"/>
    <w:rsid w:val="00DA2B8F"/>
    <w:rsid w:val="00DA2C46"/>
    <w:rsid w:val="00DA2CB7"/>
    <w:rsid w:val="00DA2DB7"/>
    <w:rsid w:val="00DA2ECC"/>
    <w:rsid w:val="00DA303E"/>
    <w:rsid w:val="00DA313E"/>
    <w:rsid w:val="00DA34EF"/>
    <w:rsid w:val="00DA3743"/>
    <w:rsid w:val="00DA39D0"/>
    <w:rsid w:val="00DA39D5"/>
    <w:rsid w:val="00DA39DE"/>
    <w:rsid w:val="00DA39EC"/>
    <w:rsid w:val="00DA3A32"/>
    <w:rsid w:val="00DA3A86"/>
    <w:rsid w:val="00DA3ACC"/>
    <w:rsid w:val="00DA3B74"/>
    <w:rsid w:val="00DA3BB3"/>
    <w:rsid w:val="00DA401A"/>
    <w:rsid w:val="00DA41DD"/>
    <w:rsid w:val="00DA42CA"/>
    <w:rsid w:val="00DA4332"/>
    <w:rsid w:val="00DA457F"/>
    <w:rsid w:val="00DA4CB0"/>
    <w:rsid w:val="00DA4EE4"/>
    <w:rsid w:val="00DA4F64"/>
    <w:rsid w:val="00DA507D"/>
    <w:rsid w:val="00DA51AF"/>
    <w:rsid w:val="00DA530E"/>
    <w:rsid w:val="00DA5358"/>
    <w:rsid w:val="00DA5430"/>
    <w:rsid w:val="00DA546A"/>
    <w:rsid w:val="00DA54E8"/>
    <w:rsid w:val="00DA5571"/>
    <w:rsid w:val="00DA561A"/>
    <w:rsid w:val="00DA57B7"/>
    <w:rsid w:val="00DA5D14"/>
    <w:rsid w:val="00DA5D2E"/>
    <w:rsid w:val="00DA5D69"/>
    <w:rsid w:val="00DA5DA4"/>
    <w:rsid w:val="00DA6197"/>
    <w:rsid w:val="00DA6409"/>
    <w:rsid w:val="00DA6599"/>
    <w:rsid w:val="00DA65FA"/>
    <w:rsid w:val="00DA683C"/>
    <w:rsid w:val="00DA6CB4"/>
    <w:rsid w:val="00DA6EAF"/>
    <w:rsid w:val="00DA6EF8"/>
    <w:rsid w:val="00DA6EFC"/>
    <w:rsid w:val="00DA6F28"/>
    <w:rsid w:val="00DA7049"/>
    <w:rsid w:val="00DA7061"/>
    <w:rsid w:val="00DA7186"/>
    <w:rsid w:val="00DA7282"/>
    <w:rsid w:val="00DA7295"/>
    <w:rsid w:val="00DA739F"/>
    <w:rsid w:val="00DA75BE"/>
    <w:rsid w:val="00DA765D"/>
    <w:rsid w:val="00DA7729"/>
    <w:rsid w:val="00DA7755"/>
    <w:rsid w:val="00DA77AC"/>
    <w:rsid w:val="00DA77E9"/>
    <w:rsid w:val="00DA793C"/>
    <w:rsid w:val="00DA79F5"/>
    <w:rsid w:val="00DA7BA3"/>
    <w:rsid w:val="00DA7E50"/>
    <w:rsid w:val="00DA7F06"/>
    <w:rsid w:val="00DB0122"/>
    <w:rsid w:val="00DB01C8"/>
    <w:rsid w:val="00DB04EE"/>
    <w:rsid w:val="00DB0619"/>
    <w:rsid w:val="00DB06AA"/>
    <w:rsid w:val="00DB06D3"/>
    <w:rsid w:val="00DB07A4"/>
    <w:rsid w:val="00DB0809"/>
    <w:rsid w:val="00DB08A7"/>
    <w:rsid w:val="00DB0AA3"/>
    <w:rsid w:val="00DB0AF9"/>
    <w:rsid w:val="00DB0E0F"/>
    <w:rsid w:val="00DB0E51"/>
    <w:rsid w:val="00DB0E8B"/>
    <w:rsid w:val="00DB0E94"/>
    <w:rsid w:val="00DB0F00"/>
    <w:rsid w:val="00DB0FDD"/>
    <w:rsid w:val="00DB1086"/>
    <w:rsid w:val="00DB1119"/>
    <w:rsid w:val="00DB1216"/>
    <w:rsid w:val="00DB13A6"/>
    <w:rsid w:val="00DB1459"/>
    <w:rsid w:val="00DB15C4"/>
    <w:rsid w:val="00DB1876"/>
    <w:rsid w:val="00DB19D1"/>
    <w:rsid w:val="00DB1A3A"/>
    <w:rsid w:val="00DB1A79"/>
    <w:rsid w:val="00DB1C8A"/>
    <w:rsid w:val="00DB1CB3"/>
    <w:rsid w:val="00DB1CBA"/>
    <w:rsid w:val="00DB1E07"/>
    <w:rsid w:val="00DB1E6C"/>
    <w:rsid w:val="00DB1F82"/>
    <w:rsid w:val="00DB2161"/>
    <w:rsid w:val="00DB23D1"/>
    <w:rsid w:val="00DB25D6"/>
    <w:rsid w:val="00DB25D9"/>
    <w:rsid w:val="00DB2616"/>
    <w:rsid w:val="00DB291C"/>
    <w:rsid w:val="00DB29A4"/>
    <w:rsid w:val="00DB2AEA"/>
    <w:rsid w:val="00DB2AF8"/>
    <w:rsid w:val="00DB2D4E"/>
    <w:rsid w:val="00DB2F65"/>
    <w:rsid w:val="00DB330E"/>
    <w:rsid w:val="00DB362E"/>
    <w:rsid w:val="00DB37E4"/>
    <w:rsid w:val="00DB37F6"/>
    <w:rsid w:val="00DB3810"/>
    <w:rsid w:val="00DB3F05"/>
    <w:rsid w:val="00DB4014"/>
    <w:rsid w:val="00DB415F"/>
    <w:rsid w:val="00DB43B6"/>
    <w:rsid w:val="00DB45EA"/>
    <w:rsid w:val="00DB46B2"/>
    <w:rsid w:val="00DB48B4"/>
    <w:rsid w:val="00DB4940"/>
    <w:rsid w:val="00DB49D0"/>
    <w:rsid w:val="00DB4AB2"/>
    <w:rsid w:val="00DB4C61"/>
    <w:rsid w:val="00DB51A3"/>
    <w:rsid w:val="00DB52DC"/>
    <w:rsid w:val="00DB5327"/>
    <w:rsid w:val="00DB54AF"/>
    <w:rsid w:val="00DB55CE"/>
    <w:rsid w:val="00DB55FC"/>
    <w:rsid w:val="00DB5669"/>
    <w:rsid w:val="00DB5969"/>
    <w:rsid w:val="00DB59DA"/>
    <w:rsid w:val="00DB5C2F"/>
    <w:rsid w:val="00DB5C99"/>
    <w:rsid w:val="00DB5E24"/>
    <w:rsid w:val="00DB5F30"/>
    <w:rsid w:val="00DB5FDF"/>
    <w:rsid w:val="00DB6169"/>
    <w:rsid w:val="00DB6848"/>
    <w:rsid w:val="00DB68A6"/>
    <w:rsid w:val="00DB6A83"/>
    <w:rsid w:val="00DB6BFE"/>
    <w:rsid w:val="00DB6DC7"/>
    <w:rsid w:val="00DB6E39"/>
    <w:rsid w:val="00DB6EB9"/>
    <w:rsid w:val="00DB6FB0"/>
    <w:rsid w:val="00DB70D3"/>
    <w:rsid w:val="00DB71EA"/>
    <w:rsid w:val="00DB72D8"/>
    <w:rsid w:val="00DB7391"/>
    <w:rsid w:val="00DB74D9"/>
    <w:rsid w:val="00DB77F7"/>
    <w:rsid w:val="00DB7831"/>
    <w:rsid w:val="00DB789E"/>
    <w:rsid w:val="00DB78A7"/>
    <w:rsid w:val="00DB78DD"/>
    <w:rsid w:val="00DB79E4"/>
    <w:rsid w:val="00DB7A7B"/>
    <w:rsid w:val="00DB7C43"/>
    <w:rsid w:val="00DB7ED6"/>
    <w:rsid w:val="00DB7F9E"/>
    <w:rsid w:val="00DC0035"/>
    <w:rsid w:val="00DC0B44"/>
    <w:rsid w:val="00DC0BA1"/>
    <w:rsid w:val="00DC0E02"/>
    <w:rsid w:val="00DC0EDC"/>
    <w:rsid w:val="00DC0F7E"/>
    <w:rsid w:val="00DC0FB3"/>
    <w:rsid w:val="00DC1047"/>
    <w:rsid w:val="00DC110E"/>
    <w:rsid w:val="00DC129A"/>
    <w:rsid w:val="00DC1373"/>
    <w:rsid w:val="00DC1576"/>
    <w:rsid w:val="00DC1643"/>
    <w:rsid w:val="00DC164D"/>
    <w:rsid w:val="00DC17E6"/>
    <w:rsid w:val="00DC181B"/>
    <w:rsid w:val="00DC1844"/>
    <w:rsid w:val="00DC1897"/>
    <w:rsid w:val="00DC1914"/>
    <w:rsid w:val="00DC1B0A"/>
    <w:rsid w:val="00DC1C72"/>
    <w:rsid w:val="00DC1D44"/>
    <w:rsid w:val="00DC2381"/>
    <w:rsid w:val="00DC238F"/>
    <w:rsid w:val="00DC2397"/>
    <w:rsid w:val="00DC24C7"/>
    <w:rsid w:val="00DC2566"/>
    <w:rsid w:val="00DC26AF"/>
    <w:rsid w:val="00DC26BD"/>
    <w:rsid w:val="00DC26E3"/>
    <w:rsid w:val="00DC277C"/>
    <w:rsid w:val="00DC2870"/>
    <w:rsid w:val="00DC29D7"/>
    <w:rsid w:val="00DC2C23"/>
    <w:rsid w:val="00DC2C92"/>
    <w:rsid w:val="00DC2C9E"/>
    <w:rsid w:val="00DC2EC0"/>
    <w:rsid w:val="00DC2F99"/>
    <w:rsid w:val="00DC30FF"/>
    <w:rsid w:val="00DC312A"/>
    <w:rsid w:val="00DC3504"/>
    <w:rsid w:val="00DC35E6"/>
    <w:rsid w:val="00DC36C6"/>
    <w:rsid w:val="00DC3A90"/>
    <w:rsid w:val="00DC3AE5"/>
    <w:rsid w:val="00DC3BDA"/>
    <w:rsid w:val="00DC3F19"/>
    <w:rsid w:val="00DC3F9E"/>
    <w:rsid w:val="00DC3FEB"/>
    <w:rsid w:val="00DC40D3"/>
    <w:rsid w:val="00DC420E"/>
    <w:rsid w:val="00DC4286"/>
    <w:rsid w:val="00DC4577"/>
    <w:rsid w:val="00DC4857"/>
    <w:rsid w:val="00DC4B5E"/>
    <w:rsid w:val="00DC4F64"/>
    <w:rsid w:val="00DC4F81"/>
    <w:rsid w:val="00DC5429"/>
    <w:rsid w:val="00DC5492"/>
    <w:rsid w:val="00DC54D9"/>
    <w:rsid w:val="00DC55AC"/>
    <w:rsid w:val="00DC571F"/>
    <w:rsid w:val="00DC59F5"/>
    <w:rsid w:val="00DC5DBF"/>
    <w:rsid w:val="00DC5ECB"/>
    <w:rsid w:val="00DC6071"/>
    <w:rsid w:val="00DC62C5"/>
    <w:rsid w:val="00DC6308"/>
    <w:rsid w:val="00DC6394"/>
    <w:rsid w:val="00DC655D"/>
    <w:rsid w:val="00DC66FD"/>
    <w:rsid w:val="00DC670F"/>
    <w:rsid w:val="00DC67A4"/>
    <w:rsid w:val="00DC6832"/>
    <w:rsid w:val="00DC6864"/>
    <w:rsid w:val="00DC6A34"/>
    <w:rsid w:val="00DC6DB0"/>
    <w:rsid w:val="00DC6E4D"/>
    <w:rsid w:val="00DC6EE3"/>
    <w:rsid w:val="00DC6FEF"/>
    <w:rsid w:val="00DC71E4"/>
    <w:rsid w:val="00DC7225"/>
    <w:rsid w:val="00DC72AE"/>
    <w:rsid w:val="00DC75C6"/>
    <w:rsid w:val="00DC763C"/>
    <w:rsid w:val="00DC7699"/>
    <w:rsid w:val="00DC76CA"/>
    <w:rsid w:val="00DC76FF"/>
    <w:rsid w:val="00DC7843"/>
    <w:rsid w:val="00DC799C"/>
    <w:rsid w:val="00DC79C6"/>
    <w:rsid w:val="00DD0037"/>
    <w:rsid w:val="00DD0094"/>
    <w:rsid w:val="00DD01A3"/>
    <w:rsid w:val="00DD0757"/>
    <w:rsid w:val="00DD0789"/>
    <w:rsid w:val="00DD0AF8"/>
    <w:rsid w:val="00DD0B1E"/>
    <w:rsid w:val="00DD0C00"/>
    <w:rsid w:val="00DD0C81"/>
    <w:rsid w:val="00DD0E2B"/>
    <w:rsid w:val="00DD0F71"/>
    <w:rsid w:val="00DD1108"/>
    <w:rsid w:val="00DD1195"/>
    <w:rsid w:val="00DD135C"/>
    <w:rsid w:val="00DD1672"/>
    <w:rsid w:val="00DD1862"/>
    <w:rsid w:val="00DD1E31"/>
    <w:rsid w:val="00DD2055"/>
    <w:rsid w:val="00DD20AD"/>
    <w:rsid w:val="00DD20D1"/>
    <w:rsid w:val="00DD223F"/>
    <w:rsid w:val="00DD2555"/>
    <w:rsid w:val="00DD25C6"/>
    <w:rsid w:val="00DD2B09"/>
    <w:rsid w:val="00DD2B52"/>
    <w:rsid w:val="00DD2D69"/>
    <w:rsid w:val="00DD2DC6"/>
    <w:rsid w:val="00DD2E3F"/>
    <w:rsid w:val="00DD2FB2"/>
    <w:rsid w:val="00DD3333"/>
    <w:rsid w:val="00DD38B1"/>
    <w:rsid w:val="00DD3A70"/>
    <w:rsid w:val="00DD3AC1"/>
    <w:rsid w:val="00DD3AF7"/>
    <w:rsid w:val="00DD3B46"/>
    <w:rsid w:val="00DD3C85"/>
    <w:rsid w:val="00DD3EF3"/>
    <w:rsid w:val="00DD4018"/>
    <w:rsid w:val="00DD40F5"/>
    <w:rsid w:val="00DD40FA"/>
    <w:rsid w:val="00DD4135"/>
    <w:rsid w:val="00DD4162"/>
    <w:rsid w:val="00DD4183"/>
    <w:rsid w:val="00DD4274"/>
    <w:rsid w:val="00DD4326"/>
    <w:rsid w:val="00DD43D5"/>
    <w:rsid w:val="00DD44DD"/>
    <w:rsid w:val="00DD4524"/>
    <w:rsid w:val="00DD46B2"/>
    <w:rsid w:val="00DD4718"/>
    <w:rsid w:val="00DD47C5"/>
    <w:rsid w:val="00DD47EA"/>
    <w:rsid w:val="00DD48BF"/>
    <w:rsid w:val="00DD492E"/>
    <w:rsid w:val="00DD49BA"/>
    <w:rsid w:val="00DD4A1C"/>
    <w:rsid w:val="00DD4D16"/>
    <w:rsid w:val="00DD4E59"/>
    <w:rsid w:val="00DD4EA7"/>
    <w:rsid w:val="00DD5450"/>
    <w:rsid w:val="00DD55D7"/>
    <w:rsid w:val="00DD572E"/>
    <w:rsid w:val="00DD595D"/>
    <w:rsid w:val="00DD5B14"/>
    <w:rsid w:val="00DD5B6C"/>
    <w:rsid w:val="00DD5BE2"/>
    <w:rsid w:val="00DD602C"/>
    <w:rsid w:val="00DD61AC"/>
    <w:rsid w:val="00DD6293"/>
    <w:rsid w:val="00DD6B1D"/>
    <w:rsid w:val="00DD6B73"/>
    <w:rsid w:val="00DD6B87"/>
    <w:rsid w:val="00DD70A8"/>
    <w:rsid w:val="00DD73C6"/>
    <w:rsid w:val="00DD76AD"/>
    <w:rsid w:val="00DD7884"/>
    <w:rsid w:val="00DD7886"/>
    <w:rsid w:val="00DD7B68"/>
    <w:rsid w:val="00DD7C3B"/>
    <w:rsid w:val="00DD7CB6"/>
    <w:rsid w:val="00DD7DFE"/>
    <w:rsid w:val="00DD7E4B"/>
    <w:rsid w:val="00DD7ED4"/>
    <w:rsid w:val="00DD7F53"/>
    <w:rsid w:val="00DE00B3"/>
    <w:rsid w:val="00DE020B"/>
    <w:rsid w:val="00DE0386"/>
    <w:rsid w:val="00DE0592"/>
    <w:rsid w:val="00DE0630"/>
    <w:rsid w:val="00DE0887"/>
    <w:rsid w:val="00DE08A0"/>
    <w:rsid w:val="00DE0A04"/>
    <w:rsid w:val="00DE0B6F"/>
    <w:rsid w:val="00DE0E2E"/>
    <w:rsid w:val="00DE0F39"/>
    <w:rsid w:val="00DE100B"/>
    <w:rsid w:val="00DE14AB"/>
    <w:rsid w:val="00DE1549"/>
    <w:rsid w:val="00DE1597"/>
    <w:rsid w:val="00DE16B9"/>
    <w:rsid w:val="00DE16D9"/>
    <w:rsid w:val="00DE17F6"/>
    <w:rsid w:val="00DE1A0C"/>
    <w:rsid w:val="00DE1A41"/>
    <w:rsid w:val="00DE1A83"/>
    <w:rsid w:val="00DE1CB5"/>
    <w:rsid w:val="00DE1D2B"/>
    <w:rsid w:val="00DE1E86"/>
    <w:rsid w:val="00DE1ED8"/>
    <w:rsid w:val="00DE1F6D"/>
    <w:rsid w:val="00DE2396"/>
    <w:rsid w:val="00DE2528"/>
    <w:rsid w:val="00DE25C0"/>
    <w:rsid w:val="00DE2A23"/>
    <w:rsid w:val="00DE2B18"/>
    <w:rsid w:val="00DE2B55"/>
    <w:rsid w:val="00DE2ECF"/>
    <w:rsid w:val="00DE2F60"/>
    <w:rsid w:val="00DE30A5"/>
    <w:rsid w:val="00DE30B9"/>
    <w:rsid w:val="00DE3316"/>
    <w:rsid w:val="00DE34DE"/>
    <w:rsid w:val="00DE366A"/>
    <w:rsid w:val="00DE36B8"/>
    <w:rsid w:val="00DE3713"/>
    <w:rsid w:val="00DE375C"/>
    <w:rsid w:val="00DE3801"/>
    <w:rsid w:val="00DE3922"/>
    <w:rsid w:val="00DE3A06"/>
    <w:rsid w:val="00DE3ED9"/>
    <w:rsid w:val="00DE400F"/>
    <w:rsid w:val="00DE41AD"/>
    <w:rsid w:val="00DE43A2"/>
    <w:rsid w:val="00DE4423"/>
    <w:rsid w:val="00DE451B"/>
    <w:rsid w:val="00DE4566"/>
    <w:rsid w:val="00DE462B"/>
    <w:rsid w:val="00DE499D"/>
    <w:rsid w:val="00DE4A7D"/>
    <w:rsid w:val="00DE4E4C"/>
    <w:rsid w:val="00DE50FF"/>
    <w:rsid w:val="00DE5464"/>
    <w:rsid w:val="00DE55BD"/>
    <w:rsid w:val="00DE5A74"/>
    <w:rsid w:val="00DE5F13"/>
    <w:rsid w:val="00DE5FD5"/>
    <w:rsid w:val="00DE612B"/>
    <w:rsid w:val="00DE6234"/>
    <w:rsid w:val="00DE6415"/>
    <w:rsid w:val="00DE650C"/>
    <w:rsid w:val="00DE65FC"/>
    <w:rsid w:val="00DE68DB"/>
    <w:rsid w:val="00DE68FC"/>
    <w:rsid w:val="00DE6926"/>
    <w:rsid w:val="00DE6945"/>
    <w:rsid w:val="00DE699E"/>
    <w:rsid w:val="00DE6ACB"/>
    <w:rsid w:val="00DE6F5D"/>
    <w:rsid w:val="00DE717D"/>
    <w:rsid w:val="00DE7A06"/>
    <w:rsid w:val="00DE7A80"/>
    <w:rsid w:val="00DE7AE3"/>
    <w:rsid w:val="00DE7B01"/>
    <w:rsid w:val="00DE7BD3"/>
    <w:rsid w:val="00DE7C35"/>
    <w:rsid w:val="00DE7D19"/>
    <w:rsid w:val="00DE7DC7"/>
    <w:rsid w:val="00DF00C8"/>
    <w:rsid w:val="00DF0168"/>
    <w:rsid w:val="00DF01C2"/>
    <w:rsid w:val="00DF029D"/>
    <w:rsid w:val="00DF0623"/>
    <w:rsid w:val="00DF0680"/>
    <w:rsid w:val="00DF06F7"/>
    <w:rsid w:val="00DF079D"/>
    <w:rsid w:val="00DF0880"/>
    <w:rsid w:val="00DF0889"/>
    <w:rsid w:val="00DF0A81"/>
    <w:rsid w:val="00DF0AB9"/>
    <w:rsid w:val="00DF0E91"/>
    <w:rsid w:val="00DF0E9F"/>
    <w:rsid w:val="00DF0F96"/>
    <w:rsid w:val="00DF1267"/>
    <w:rsid w:val="00DF1397"/>
    <w:rsid w:val="00DF1417"/>
    <w:rsid w:val="00DF1435"/>
    <w:rsid w:val="00DF1499"/>
    <w:rsid w:val="00DF167A"/>
    <w:rsid w:val="00DF16C9"/>
    <w:rsid w:val="00DF184F"/>
    <w:rsid w:val="00DF1F49"/>
    <w:rsid w:val="00DF21CC"/>
    <w:rsid w:val="00DF21F8"/>
    <w:rsid w:val="00DF2397"/>
    <w:rsid w:val="00DF242D"/>
    <w:rsid w:val="00DF2435"/>
    <w:rsid w:val="00DF2481"/>
    <w:rsid w:val="00DF27CD"/>
    <w:rsid w:val="00DF286C"/>
    <w:rsid w:val="00DF2969"/>
    <w:rsid w:val="00DF2AEB"/>
    <w:rsid w:val="00DF2B91"/>
    <w:rsid w:val="00DF2BCC"/>
    <w:rsid w:val="00DF2D4E"/>
    <w:rsid w:val="00DF2E73"/>
    <w:rsid w:val="00DF2F54"/>
    <w:rsid w:val="00DF34CF"/>
    <w:rsid w:val="00DF3553"/>
    <w:rsid w:val="00DF3686"/>
    <w:rsid w:val="00DF37D7"/>
    <w:rsid w:val="00DF389C"/>
    <w:rsid w:val="00DF38C7"/>
    <w:rsid w:val="00DF3A44"/>
    <w:rsid w:val="00DF3C5C"/>
    <w:rsid w:val="00DF3E0C"/>
    <w:rsid w:val="00DF3F4F"/>
    <w:rsid w:val="00DF423F"/>
    <w:rsid w:val="00DF42E3"/>
    <w:rsid w:val="00DF43AC"/>
    <w:rsid w:val="00DF4436"/>
    <w:rsid w:val="00DF46B1"/>
    <w:rsid w:val="00DF47A4"/>
    <w:rsid w:val="00DF49CB"/>
    <w:rsid w:val="00DF4B2B"/>
    <w:rsid w:val="00DF4B73"/>
    <w:rsid w:val="00DF4C16"/>
    <w:rsid w:val="00DF4CA3"/>
    <w:rsid w:val="00DF4D47"/>
    <w:rsid w:val="00DF4DCA"/>
    <w:rsid w:val="00DF4EB4"/>
    <w:rsid w:val="00DF4EB5"/>
    <w:rsid w:val="00DF4EEC"/>
    <w:rsid w:val="00DF5008"/>
    <w:rsid w:val="00DF5203"/>
    <w:rsid w:val="00DF52C3"/>
    <w:rsid w:val="00DF52DD"/>
    <w:rsid w:val="00DF5341"/>
    <w:rsid w:val="00DF54E9"/>
    <w:rsid w:val="00DF56C5"/>
    <w:rsid w:val="00DF5750"/>
    <w:rsid w:val="00DF581B"/>
    <w:rsid w:val="00DF5AD9"/>
    <w:rsid w:val="00DF5AFB"/>
    <w:rsid w:val="00DF5B6C"/>
    <w:rsid w:val="00DF5BA5"/>
    <w:rsid w:val="00DF5D4F"/>
    <w:rsid w:val="00DF5FAD"/>
    <w:rsid w:val="00DF609C"/>
    <w:rsid w:val="00DF60E6"/>
    <w:rsid w:val="00DF614E"/>
    <w:rsid w:val="00DF6170"/>
    <w:rsid w:val="00DF6197"/>
    <w:rsid w:val="00DF63E6"/>
    <w:rsid w:val="00DF6481"/>
    <w:rsid w:val="00DF65ED"/>
    <w:rsid w:val="00DF68E0"/>
    <w:rsid w:val="00DF69CD"/>
    <w:rsid w:val="00DF6AF8"/>
    <w:rsid w:val="00DF6BB2"/>
    <w:rsid w:val="00DF6C85"/>
    <w:rsid w:val="00DF6D0D"/>
    <w:rsid w:val="00DF6E62"/>
    <w:rsid w:val="00DF6EEA"/>
    <w:rsid w:val="00DF6F32"/>
    <w:rsid w:val="00DF6F5D"/>
    <w:rsid w:val="00DF7141"/>
    <w:rsid w:val="00DF7181"/>
    <w:rsid w:val="00DF71ED"/>
    <w:rsid w:val="00DF747E"/>
    <w:rsid w:val="00DF769C"/>
    <w:rsid w:val="00DF7850"/>
    <w:rsid w:val="00DF7869"/>
    <w:rsid w:val="00DF78BA"/>
    <w:rsid w:val="00DF7998"/>
    <w:rsid w:val="00DF79F0"/>
    <w:rsid w:val="00DF7B28"/>
    <w:rsid w:val="00DF7BF0"/>
    <w:rsid w:val="00DF7EAB"/>
    <w:rsid w:val="00DF7F1E"/>
    <w:rsid w:val="00E0028A"/>
    <w:rsid w:val="00E0029C"/>
    <w:rsid w:val="00E0039B"/>
    <w:rsid w:val="00E0041E"/>
    <w:rsid w:val="00E00867"/>
    <w:rsid w:val="00E009DC"/>
    <w:rsid w:val="00E00A10"/>
    <w:rsid w:val="00E00AEF"/>
    <w:rsid w:val="00E00B0A"/>
    <w:rsid w:val="00E00BB7"/>
    <w:rsid w:val="00E00C22"/>
    <w:rsid w:val="00E00C4E"/>
    <w:rsid w:val="00E00D46"/>
    <w:rsid w:val="00E00DAD"/>
    <w:rsid w:val="00E00EA5"/>
    <w:rsid w:val="00E01038"/>
    <w:rsid w:val="00E010EA"/>
    <w:rsid w:val="00E0129B"/>
    <w:rsid w:val="00E012C0"/>
    <w:rsid w:val="00E012E8"/>
    <w:rsid w:val="00E014D8"/>
    <w:rsid w:val="00E016D3"/>
    <w:rsid w:val="00E0187A"/>
    <w:rsid w:val="00E01A0D"/>
    <w:rsid w:val="00E01D80"/>
    <w:rsid w:val="00E01DB2"/>
    <w:rsid w:val="00E01F7A"/>
    <w:rsid w:val="00E0219C"/>
    <w:rsid w:val="00E021D1"/>
    <w:rsid w:val="00E021DA"/>
    <w:rsid w:val="00E02547"/>
    <w:rsid w:val="00E026EA"/>
    <w:rsid w:val="00E02B27"/>
    <w:rsid w:val="00E02B99"/>
    <w:rsid w:val="00E02D94"/>
    <w:rsid w:val="00E02E0C"/>
    <w:rsid w:val="00E02EA2"/>
    <w:rsid w:val="00E02EF0"/>
    <w:rsid w:val="00E02F33"/>
    <w:rsid w:val="00E02F6C"/>
    <w:rsid w:val="00E0312B"/>
    <w:rsid w:val="00E0322B"/>
    <w:rsid w:val="00E0325C"/>
    <w:rsid w:val="00E032CC"/>
    <w:rsid w:val="00E0342F"/>
    <w:rsid w:val="00E03474"/>
    <w:rsid w:val="00E03609"/>
    <w:rsid w:val="00E037C4"/>
    <w:rsid w:val="00E03832"/>
    <w:rsid w:val="00E0393C"/>
    <w:rsid w:val="00E03A83"/>
    <w:rsid w:val="00E03B1F"/>
    <w:rsid w:val="00E03DBB"/>
    <w:rsid w:val="00E03FB2"/>
    <w:rsid w:val="00E042CF"/>
    <w:rsid w:val="00E043B2"/>
    <w:rsid w:val="00E043D1"/>
    <w:rsid w:val="00E04571"/>
    <w:rsid w:val="00E047F6"/>
    <w:rsid w:val="00E04904"/>
    <w:rsid w:val="00E04974"/>
    <w:rsid w:val="00E04BF9"/>
    <w:rsid w:val="00E04CA8"/>
    <w:rsid w:val="00E04CBE"/>
    <w:rsid w:val="00E04D29"/>
    <w:rsid w:val="00E04E31"/>
    <w:rsid w:val="00E04E76"/>
    <w:rsid w:val="00E05017"/>
    <w:rsid w:val="00E0515F"/>
    <w:rsid w:val="00E05301"/>
    <w:rsid w:val="00E056CD"/>
    <w:rsid w:val="00E056D3"/>
    <w:rsid w:val="00E057B8"/>
    <w:rsid w:val="00E05A45"/>
    <w:rsid w:val="00E05A95"/>
    <w:rsid w:val="00E05B75"/>
    <w:rsid w:val="00E05B7B"/>
    <w:rsid w:val="00E05BCA"/>
    <w:rsid w:val="00E05C70"/>
    <w:rsid w:val="00E062D9"/>
    <w:rsid w:val="00E0633C"/>
    <w:rsid w:val="00E0648F"/>
    <w:rsid w:val="00E067D8"/>
    <w:rsid w:val="00E06884"/>
    <w:rsid w:val="00E06A6F"/>
    <w:rsid w:val="00E06C48"/>
    <w:rsid w:val="00E06C7D"/>
    <w:rsid w:val="00E06C96"/>
    <w:rsid w:val="00E06CA8"/>
    <w:rsid w:val="00E06E56"/>
    <w:rsid w:val="00E06E72"/>
    <w:rsid w:val="00E06F20"/>
    <w:rsid w:val="00E070BE"/>
    <w:rsid w:val="00E07129"/>
    <w:rsid w:val="00E07285"/>
    <w:rsid w:val="00E075CE"/>
    <w:rsid w:val="00E075DE"/>
    <w:rsid w:val="00E07616"/>
    <w:rsid w:val="00E07B83"/>
    <w:rsid w:val="00E07C6A"/>
    <w:rsid w:val="00E101AF"/>
    <w:rsid w:val="00E10459"/>
    <w:rsid w:val="00E1047C"/>
    <w:rsid w:val="00E105C8"/>
    <w:rsid w:val="00E1061E"/>
    <w:rsid w:val="00E106B1"/>
    <w:rsid w:val="00E106CC"/>
    <w:rsid w:val="00E10777"/>
    <w:rsid w:val="00E107A1"/>
    <w:rsid w:val="00E10B99"/>
    <w:rsid w:val="00E10E4D"/>
    <w:rsid w:val="00E10E87"/>
    <w:rsid w:val="00E11007"/>
    <w:rsid w:val="00E11285"/>
    <w:rsid w:val="00E117BB"/>
    <w:rsid w:val="00E117C2"/>
    <w:rsid w:val="00E117E3"/>
    <w:rsid w:val="00E117FF"/>
    <w:rsid w:val="00E11CDF"/>
    <w:rsid w:val="00E11EF0"/>
    <w:rsid w:val="00E11F19"/>
    <w:rsid w:val="00E123CD"/>
    <w:rsid w:val="00E125C0"/>
    <w:rsid w:val="00E12604"/>
    <w:rsid w:val="00E1267A"/>
    <w:rsid w:val="00E1275D"/>
    <w:rsid w:val="00E1293C"/>
    <w:rsid w:val="00E12B5C"/>
    <w:rsid w:val="00E12B5E"/>
    <w:rsid w:val="00E12CE1"/>
    <w:rsid w:val="00E12D10"/>
    <w:rsid w:val="00E12D72"/>
    <w:rsid w:val="00E12D84"/>
    <w:rsid w:val="00E12E71"/>
    <w:rsid w:val="00E12EA4"/>
    <w:rsid w:val="00E12EFD"/>
    <w:rsid w:val="00E12F9C"/>
    <w:rsid w:val="00E1306C"/>
    <w:rsid w:val="00E13113"/>
    <w:rsid w:val="00E13127"/>
    <w:rsid w:val="00E13249"/>
    <w:rsid w:val="00E133A5"/>
    <w:rsid w:val="00E133D9"/>
    <w:rsid w:val="00E1362A"/>
    <w:rsid w:val="00E13733"/>
    <w:rsid w:val="00E13D1A"/>
    <w:rsid w:val="00E13D58"/>
    <w:rsid w:val="00E13D7E"/>
    <w:rsid w:val="00E13DDC"/>
    <w:rsid w:val="00E13E4D"/>
    <w:rsid w:val="00E1413E"/>
    <w:rsid w:val="00E141CE"/>
    <w:rsid w:val="00E141D9"/>
    <w:rsid w:val="00E1427E"/>
    <w:rsid w:val="00E143A4"/>
    <w:rsid w:val="00E14499"/>
    <w:rsid w:val="00E147E3"/>
    <w:rsid w:val="00E14B8F"/>
    <w:rsid w:val="00E14C9A"/>
    <w:rsid w:val="00E14E70"/>
    <w:rsid w:val="00E14EB0"/>
    <w:rsid w:val="00E15018"/>
    <w:rsid w:val="00E15167"/>
    <w:rsid w:val="00E157BC"/>
    <w:rsid w:val="00E1585B"/>
    <w:rsid w:val="00E1585F"/>
    <w:rsid w:val="00E15E18"/>
    <w:rsid w:val="00E15FD1"/>
    <w:rsid w:val="00E1636A"/>
    <w:rsid w:val="00E166CB"/>
    <w:rsid w:val="00E167B2"/>
    <w:rsid w:val="00E16ACA"/>
    <w:rsid w:val="00E16B65"/>
    <w:rsid w:val="00E16B82"/>
    <w:rsid w:val="00E16E8B"/>
    <w:rsid w:val="00E16FAC"/>
    <w:rsid w:val="00E16FB6"/>
    <w:rsid w:val="00E17166"/>
    <w:rsid w:val="00E17359"/>
    <w:rsid w:val="00E1753E"/>
    <w:rsid w:val="00E17650"/>
    <w:rsid w:val="00E177A8"/>
    <w:rsid w:val="00E177E5"/>
    <w:rsid w:val="00E1783E"/>
    <w:rsid w:val="00E17AB8"/>
    <w:rsid w:val="00E17C6E"/>
    <w:rsid w:val="00E17C8A"/>
    <w:rsid w:val="00E17CEE"/>
    <w:rsid w:val="00E2013D"/>
    <w:rsid w:val="00E203FE"/>
    <w:rsid w:val="00E20AFD"/>
    <w:rsid w:val="00E20BCD"/>
    <w:rsid w:val="00E20ED6"/>
    <w:rsid w:val="00E20F58"/>
    <w:rsid w:val="00E2100C"/>
    <w:rsid w:val="00E210BE"/>
    <w:rsid w:val="00E21127"/>
    <w:rsid w:val="00E21374"/>
    <w:rsid w:val="00E2154F"/>
    <w:rsid w:val="00E215F1"/>
    <w:rsid w:val="00E21657"/>
    <w:rsid w:val="00E21970"/>
    <w:rsid w:val="00E219CC"/>
    <w:rsid w:val="00E21A01"/>
    <w:rsid w:val="00E21CCE"/>
    <w:rsid w:val="00E21CE9"/>
    <w:rsid w:val="00E21D00"/>
    <w:rsid w:val="00E21E3B"/>
    <w:rsid w:val="00E220DF"/>
    <w:rsid w:val="00E223A5"/>
    <w:rsid w:val="00E22433"/>
    <w:rsid w:val="00E22544"/>
    <w:rsid w:val="00E2290B"/>
    <w:rsid w:val="00E22950"/>
    <w:rsid w:val="00E229EC"/>
    <w:rsid w:val="00E22B52"/>
    <w:rsid w:val="00E22B78"/>
    <w:rsid w:val="00E22BC4"/>
    <w:rsid w:val="00E22EE3"/>
    <w:rsid w:val="00E22F81"/>
    <w:rsid w:val="00E23094"/>
    <w:rsid w:val="00E230FC"/>
    <w:rsid w:val="00E23113"/>
    <w:rsid w:val="00E23146"/>
    <w:rsid w:val="00E23265"/>
    <w:rsid w:val="00E233B9"/>
    <w:rsid w:val="00E2341C"/>
    <w:rsid w:val="00E234FB"/>
    <w:rsid w:val="00E234FF"/>
    <w:rsid w:val="00E23933"/>
    <w:rsid w:val="00E2399E"/>
    <w:rsid w:val="00E23C76"/>
    <w:rsid w:val="00E23E84"/>
    <w:rsid w:val="00E24087"/>
    <w:rsid w:val="00E240F8"/>
    <w:rsid w:val="00E24348"/>
    <w:rsid w:val="00E2444C"/>
    <w:rsid w:val="00E24545"/>
    <w:rsid w:val="00E24608"/>
    <w:rsid w:val="00E24698"/>
    <w:rsid w:val="00E2488B"/>
    <w:rsid w:val="00E24B86"/>
    <w:rsid w:val="00E24E58"/>
    <w:rsid w:val="00E25240"/>
    <w:rsid w:val="00E25823"/>
    <w:rsid w:val="00E25B95"/>
    <w:rsid w:val="00E25E71"/>
    <w:rsid w:val="00E25F6E"/>
    <w:rsid w:val="00E2615A"/>
    <w:rsid w:val="00E2648B"/>
    <w:rsid w:val="00E264A8"/>
    <w:rsid w:val="00E26532"/>
    <w:rsid w:val="00E2670F"/>
    <w:rsid w:val="00E26A41"/>
    <w:rsid w:val="00E26A8B"/>
    <w:rsid w:val="00E26BF0"/>
    <w:rsid w:val="00E26CB1"/>
    <w:rsid w:val="00E26EE0"/>
    <w:rsid w:val="00E26F53"/>
    <w:rsid w:val="00E271B1"/>
    <w:rsid w:val="00E27278"/>
    <w:rsid w:val="00E2730C"/>
    <w:rsid w:val="00E2733D"/>
    <w:rsid w:val="00E27512"/>
    <w:rsid w:val="00E27A00"/>
    <w:rsid w:val="00E27A33"/>
    <w:rsid w:val="00E27B25"/>
    <w:rsid w:val="00E27BB2"/>
    <w:rsid w:val="00E27F0D"/>
    <w:rsid w:val="00E27F72"/>
    <w:rsid w:val="00E30148"/>
    <w:rsid w:val="00E302D9"/>
    <w:rsid w:val="00E304A3"/>
    <w:rsid w:val="00E3071D"/>
    <w:rsid w:val="00E30982"/>
    <w:rsid w:val="00E30AC1"/>
    <w:rsid w:val="00E30B8B"/>
    <w:rsid w:val="00E30BBB"/>
    <w:rsid w:val="00E30F0B"/>
    <w:rsid w:val="00E31016"/>
    <w:rsid w:val="00E310C1"/>
    <w:rsid w:val="00E310D6"/>
    <w:rsid w:val="00E310FA"/>
    <w:rsid w:val="00E3112B"/>
    <w:rsid w:val="00E3138D"/>
    <w:rsid w:val="00E313D2"/>
    <w:rsid w:val="00E3143D"/>
    <w:rsid w:val="00E31571"/>
    <w:rsid w:val="00E315D9"/>
    <w:rsid w:val="00E3170A"/>
    <w:rsid w:val="00E31846"/>
    <w:rsid w:val="00E3188B"/>
    <w:rsid w:val="00E31ACE"/>
    <w:rsid w:val="00E31B48"/>
    <w:rsid w:val="00E31C14"/>
    <w:rsid w:val="00E31D71"/>
    <w:rsid w:val="00E31DB2"/>
    <w:rsid w:val="00E31DC6"/>
    <w:rsid w:val="00E31EE8"/>
    <w:rsid w:val="00E31FCB"/>
    <w:rsid w:val="00E32200"/>
    <w:rsid w:val="00E3247B"/>
    <w:rsid w:val="00E325FF"/>
    <w:rsid w:val="00E328D8"/>
    <w:rsid w:val="00E32963"/>
    <w:rsid w:val="00E3296D"/>
    <w:rsid w:val="00E32981"/>
    <w:rsid w:val="00E32990"/>
    <w:rsid w:val="00E32A1F"/>
    <w:rsid w:val="00E32A2F"/>
    <w:rsid w:val="00E32AD0"/>
    <w:rsid w:val="00E32D67"/>
    <w:rsid w:val="00E32DF6"/>
    <w:rsid w:val="00E32F70"/>
    <w:rsid w:val="00E32F7A"/>
    <w:rsid w:val="00E32FBE"/>
    <w:rsid w:val="00E33433"/>
    <w:rsid w:val="00E3344D"/>
    <w:rsid w:val="00E3357B"/>
    <w:rsid w:val="00E33868"/>
    <w:rsid w:val="00E338E0"/>
    <w:rsid w:val="00E338F2"/>
    <w:rsid w:val="00E33A3B"/>
    <w:rsid w:val="00E33A50"/>
    <w:rsid w:val="00E33A57"/>
    <w:rsid w:val="00E33B48"/>
    <w:rsid w:val="00E33CC5"/>
    <w:rsid w:val="00E33D8F"/>
    <w:rsid w:val="00E33E65"/>
    <w:rsid w:val="00E33EC9"/>
    <w:rsid w:val="00E33F42"/>
    <w:rsid w:val="00E33F58"/>
    <w:rsid w:val="00E340E6"/>
    <w:rsid w:val="00E3415C"/>
    <w:rsid w:val="00E34315"/>
    <w:rsid w:val="00E343B9"/>
    <w:rsid w:val="00E3442A"/>
    <w:rsid w:val="00E344B9"/>
    <w:rsid w:val="00E345B3"/>
    <w:rsid w:val="00E345CD"/>
    <w:rsid w:val="00E346EF"/>
    <w:rsid w:val="00E347B0"/>
    <w:rsid w:val="00E347D3"/>
    <w:rsid w:val="00E348CB"/>
    <w:rsid w:val="00E348DC"/>
    <w:rsid w:val="00E34A60"/>
    <w:rsid w:val="00E34CAD"/>
    <w:rsid w:val="00E34CC1"/>
    <w:rsid w:val="00E34F3C"/>
    <w:rsid w:val="00E35080"/>
    <w:rsid w:val="00E35100"/>
    <w:rsid w:val="00E352A5"/>
    <w:rsid w:val="00E354C3"/>
    <w:rsid w:val="00E35503"/>
    <w:rsid w:val="00E3575C"/>
    <w:rsid w:val="00E357F5"/>
    <w:rsid w:val="00E35B2C"/>
    <w:rsid w:val="00E35BA7"/>
    <w:rsid w:val="00E35C9C"/>
    <w:rsid w:val="00E35F3A"/>
    <w:rsid w:val="00E3602F"/>
    <w:rsid w:val="00E36550"/>
    <w:rsid w:val="00E36587"/>
    <w:rsid w:val="00E366DD"/>
    <w:rsid w:val="00E3688C"/>
    <w:rsid w:val="00E369F8"/>
    <w:rsid w:val="00E36A14"/>
    <w:rsid w:val="00E36B62"/>
    <w:rsid w:val="00E36FF9"/>
    <w:rsid w:val="00E37198"/>
    <w:rsid w:val="00E37287"/>
    <w:rsid w:val="00E372B6"/>
    <w:rsid w:val="00E373D1"/>
    <w:rsid w:val="00E373E4"/>
    <w:rsid w:val="00E3749C"/>
    <w:rsid w:val="00E375F9"/>
    <w:rsid w:val="00E3763B"/>
    <w:rsid w:val="00E37847"/>
    <w:rsid w:val="00E37979"/>
    <w:rsid w:val="00E37A4E"/>
    <w:rsid w:val="00E37EF2"/>
    <w:rsid w:val="00E40015"/>
    <w:rsid w:val="00E40194"/>
    <w:rsid w:val="00E40522"/>
    <w:rsid w:val="00E40577"/>
    <w:rsid w:val="00E40718"/>
    <w:rsid w:val="00E407C3"/>
    <w:rsid w:val="00E4083E"/>
    <w:rsid w:val="00E4089C"/>
    <w:rsid w:val="00E408DB"/>
    <w:rsid w:val="00E408E1"/>
    <w:rsid w:val="00E40979"/>
    <w:rsid w:val="00E40A3A"/>
    <w:rsid w:val="00E410BD"/>
    <w:rsid w:val="00E415D4"/>
    <w:rsid w:val="00E41F19"/>
    <w:rsid w:val="00E4215B"/>
    <w:rsid w:val="00E423BC"/>
    <w:rsid w:val="00E424B2"/>
    <w:rsid w:val="00E42508"/>
    <w:rsid w:val="00E42590"/>
    <w:rsid w:val="00E4296A"/>
    <w:rsid w:val="00E42A9C"/>
    <w:rsid w:val="00E42AF4"/>
    <w:rsid w:val="00E42B0D"/>
    <w:rsid w:val="00E42CE1"/>
    <w:rsid w:val="00E42EB7"/>
    <w:rsid w:val="00E42F06"/>
    <w:rsid w:val="00E43114"/>
    <w:rsid w:val="00E431B1"/>
    <w:rsid w:val="00E43253"/>
    <w:rsid w:val="00E4339C"/>
    <w:rsid w:val="00E43476"/>
    <w:rsid w:val="00E4350C"/>
    <w:rsid w:val="00E435A4"/>
    <w:rsid w:val="00E4365C"/>
    <w:rsid w:val="00E4381D"/>
    <w:rsid w:val="00E43952"/>
    <w:rsid w:val="00E43A8A"/>
    <w:rsid w:val="00E43BE8"/>
    <w:rsid w:val="00E43E03"/>
    <w:rsid w:val="00E43FC4"/>
    <w:rsid w:val="00E44404"/>
    <w:rsid w:val="00E444EE"/>
    <w:rsid w:val="00E44539"/>
    <w:rsid w:val="00E44702"/>
    <w:rsid w:val="00E44705"/>
    <w:rsid w:val="00E4486E"/>
    <w:rsid w:val="00E450B5"/>
    <w:rsid w:val="00E450F1"/>
    <w:rsid w:val="00E450F2"/>
    <w:rsid w:val="00E4512E"/>
    <w:rsid w:val="00E45146"/>
    <w:rsid w:val="00E4527A"/>
    <w:rsid w:val="00E45417"/>
    <w:rsid w:val="00E4559E"/>
    <w:rsid w:val="00E45732"/>
    <w:rsid w:val="00E4584F"/>
    <w:rsid w:val="00E45860"/>
    <w:rsid w:val="00E458C5"/>
    <w:rsid w:val="00E45B03"/>
    <w:rsid w:val="00E45EBB"/>
    <w:rsid w:val="00E45FDA"/>
    <w:rsid w:val="00E4605C"/>
    <w:rsid w:val="00E461F6"/>
    <w:rsid w:val="00E465C2"/>
    <w:rsid w:val="00E46723"/>
    <w:rsid w:val="00E46A24"/>
    <w:rsid w:val="00E46DAC"/>
    <w:rsid w:val="00E46DB5"/>
    <w:rsid w:val="00E46E49"/>
    <w:rsid w:val="00E470E0"/>
    <w:rsid w:val="00E47142"/>
    <w:rsid w:val="00E47175"/>
    <w:rsid w:val="00E47490"/>
    <w:rsid w:val="00E47646"/>
    <w:rsid w:val="00E4787F"/>
    <w:rsid w:val="00E47A08"/>
    <w:rsid w:val="00E47AD5"/>
    <w:rsid w:val="00E5017D"/>
    <w:rsid w:val="00E502EE"/>
    <w:rsid w:val="00E50303"/>
    <w:rsid w:val="00E50386"/>
    <w:rsid w:val="00E504B8"/>
    <w:rsid w:val="00E50655"/>
    <w:rsid w:val="00E506A6"/>
    <w:rsid w:val="00E506DB"/>
    <w:rsid w:val="00E50700"/>
    <w:rsid w:val="00E507D3"/>
    <w:rsid w:val="00E50937"/>
    <w:rsid w:val="00E50F06"/>
    <w:rsid w:val="00E5121D"/>
    <w:rsid w:val="00E51389"/>
    <w:rsid w:val="00E5178C"/>
    <w:rsid w:val="00E51ABD"/>
    <w:rsid w:val="00E51D67"/>
    <w:rsid w:val="00E51FB5"/>
    <w:rsid w:val="00E5222D"/>
    <w:rsid w:val="00E52411"/>
    <w:rsid w:val="00E527AA"/>
    <w:rsid w:val="00E5280B"/>
    <w:rsid w:val="00E528BE"/>
    <w:rsid w:val="00E52D94"/>
    <w:rsid w:val="00E52E8E"/>
    <w:rsid w:val="00E52F4A"/>
    <w:rsid w:val="00E53087"/>
    <w:rsid w:val="00E535C0"/>
    <w:rsid w:val="00E53617"/>
    <w:rsid w:val="00E5364F"/>
    <w:rsid w:val="00E537D3"/>
    <w:rsid w:val="00E5399C"/>
    <w:rsid w:val="00E53B4F"/>
    <w:rsid w:val="00E5439F"/>
    <w:rsid w:val="00E543EE"/>
    <w:rsid w:val="00E54490"/>
    <w:rsid w:val="00E546E4"/>
    <w:rsid w:val="00E547D2"/>
    <w:rsid w:val="00E5494F"/>
    <w:rsid w:val="00E549CA"/>
    <w:rsid w:val="00E54A10"/>
    <w:rsid w:val="00E54B0A"/>
    <w:rsid w:val="00E54B16"/>
    <w:rsid w:val="00E54B5D"/>
    <w:rsid w:val="00E54CE9"/>
    <w:rsid w:val="00E54F85"/>
    <w:rsid w:val="00E5516E"/>
    <w:rsid w:val="00E55199"/>
    <w:rsid w:val="00E552E6"/>
    <w:rsid w:val="00E55355"/>
    <w:rsid w:val="00E5545F"/>
    <w:rsid w:val="00E55472"/>
    <w:rsid w:val="00E55698"/>
    <w:rsid w:val="00E5587E"/>
    <w:rsid w:val="00E5596A"/>
    <w:rsid w:val="00E5614D"/>
    <w:rsid w:val="00E56179"/>
    <w:rsid w:val="00E5619C"/>
    <w:rsid w:val="00E56263"/>
    <w:rsid w:val="00E562C0"/>
    <w:rsid w:val="00E562D8"/>
    <w:rsid w:val="00E562E3"/>
    <w:rsid w:val="00E563E7"/>
    <w:rsid w:val="00E56493"/>
    <w:rsid w:val="00E566EA"/>
    <w:rsid w:val="00E566FA"/>
    <w:rsid w:val="00E5671C"/>
    <w:rsid w:val="00E567E3"/>
    <w:rsid w:val="00E56864"/>
    <w:rsid w:val="00E569A2"/>
    <w:rsid w:val="00E56B9A"/>
    <w:rsid w:val="00E56DD7"/>
    <w:rsid w:val="00E56EEA"/>
    <w:rsid w:val="00E571B0"/>
    <w:rsid w:val="00E575F4"/>
    <w:rsid w:val="00E5787F"/>
    <w:rsid w:val="00E57953"/>
    <w:rsid w:val="00E57C22"/>
    <w:rsid w:val="00E57C43"/>
    <w:rsid w:val="00E57D98"/>
    <w:rsid w:val="00E60016"/>
    <w:rsid w:val="00E600F9"/>
    <w:rsid w:val="00E602C1"/>
    <w:rsid w:val="00E60444"/>
    <w:rsid w:val="00E6053F"/>
    <w:rsid w:val="00E60568"/>
    <w:rsid w:val="00E60776"/>
    <w:rsid w:val="00E60A66"/>
    <w:rsid w:val="00E60D1B"/>
    <w:rsid w:val="00E60E66"/>
    <w:rsid w:val="00E610C0"/>
    <w:rsid w:val="00E611BF"/>
    <w:rsid w:val="00E615A6"/>
    <w:rsid w:val="00E616C2"/>
    <w:rsid w:val="00E618A1"/>
    <w:rsid w:val="00E61917"/>
    <w:rsid w:val="00E61A65"/>
    <w:rsid w:val="00E61B78"/>
    <w:rsid w:val="00E61C96"/>
    <w:rsid w:val="00E61EBB"/>
    <w:rsid w:val="00E61EEB"/>
    <w:rsid w:val="00E61F21"/>
    <w:rsid w:val="00E620A6"/>
    <w:rsid w:val="00E624E1"/>
    <w:rsid w:val="00E62555"/>
    <w:rsid w:val="00E628A3"/>
    <w:rsid w:val="00E62A4B"/>
    <w:rsid w:val="00E62B2B"/>
    <w:rsid w:val="00E62B83"/>
    <w:rsid w:val="00E62C39"/>
    <w:rsid w:val="00E62CCB"/>
    <w:rsid w:val="00E62D10"/>
    <w:rsid w:val="00E62DBA"/>
    <w:rsid w:val="00E6302B"/>
    <w:rsid w:val="00E632A9"/>
    <w:rsid w:val="00E633C1"/>
    <w:rsid w:val="00E633EC"/>
    <w:rsid w:val="00E633F3"/>
    <w:rsid w:val="00E634B6"/>
    <w:rsid w:val="00E63574"/>
    <w:rsid w:val="00E63753"/>
    <w:rsid w:val="00E63836"/>
    <w:rsid w:val="00E638C9"/>
    <w:rsid w:val="00E638E4"/>
    <w:rsid w:val="00E63A0D"/>
    <w:rsid w:val="00E63A56"/>
    <w:rsid w:val="00E63C36"/>
    <w:rsid w:val="00E6418E"/>
    <w:rsid w:val="00E642CE"/>
    <w:rsid w:val="00E64448"/>
    <w:rsid w:val="00E6463A"/>
    <w:rsid w:val="00E6476F"/>
    <w:rsid w:val="00E647B2"/>
    <w:rsid w:val="00E6482C"/>
    <w:rsid w:val="00E64830"/>
    <w:rsid w:val="00E64B5B"/>
    <w:rsid w:val="00E64DDB"/>
    <w:rsid w:val="00E6517A"/>
    <w:rsid w:val="00E6528A"/>
    <w:rsid w:val="00E654D8"/>
    <w:rsid w:val="00E65616"/>
    <w:rsid w:val="00E6572A"/>
    <w:rsid w:val="00E659DE"/>
    <w:rsid w:val="00E65A23"/>
    <w:rsid w:val="00E65C00"/>
    <w:rsid w:val="00E65FEE"/>
    <w:rsid w:val="00E66142"/>
    <w:rsid w:val="00E6623A"/>
    <w:rsid w:val="00E6625E"/>
    <w:rsid w:val="00E663DB"/>
    <w:rsid w:val="00E66680"/>
    <w:rsid w:val="00E66748"/>
    <w:rsid w:val="00E66C00"/>
    <w:rsid w:val="00E66C59"/>
    <w:rsid w:val="00E66CAE"/>
    <w:rsid w:val="00E66EC5"/>
    <w:rsid w:val="00E67133"/>
    <w:rsid w:val="00E673F1"/>
    <w:rsid w:val="00E67463"/>
    <w:rsid w:val="00E675D9"/>
    <w:rsid w:val="00E67602"/>
    <w:rsid w:val="00E67950"/>
    <w:rsid w:val="00E67A1D"/>
    <w:rsid w:val="00E67DAD"/>
    <w:rsid w:val="00E7005F"/>
    <w:rsid w:val="00E701EE"/>
    <w:rsid w:val="00E70622"/>
    <w:rsid w:val="00E7070B"/>
    <w:rsid w:val="00E70C18"/>
    <w:rsid w:val="00E70F5F"/>
    <w:rsid w:val="00E70F67"/>
    <w:rsid w:val="00E70FEE"/>
    <w:rsid w:val="00E711D3"/>
    <w:rsid w:val="00E71305"/>
    <w:rsid w:val="00E71322"/>
    <w:rsid w:val="00E71867"/>
    <w:rsid w:val="00E718DA"/>
    <w:rsid w:val="00E71E63"/>
    <w:rsid w:val="00E71E6E"/>
    <w:rsid w:val="00E72112"/>
    <w:rsid w:val="00E72142"/>
    <w:rsid w:val="00E721CF"/>
    <w:rsid w:val="00E7225E"/>
    <w:rsid w:val="00E722B8"/>
    <w:rsid w:val="00E72360"/>
    <w:rsid w:val="00E723F3"/>
    <w:rsid w:val="00E72484"/>
    <w:rsid w:val="00E7265B"/>
    <w:rsid w:val="00E726CE"/>
    <w:rsid w:val="00E727AC"/>
    <w:rsid w:val="00E728D6"/>
    <w:rsid w:val="00E72A20"/>
    <w:rsid w:val="00E72D86"/>
    <w:rsid w:val="00E72DED"/>
    <w:rsid w:val="00E72E0E"/>
    <w:rsid w:val="00E72E5C"/>
    <w:rsid w:val="00E72EE4"/>
    <w:rsid w:val="00E72F18"/>
    <w:rsid w:val="00E72F59"/>
    <w:rsid w:val="00E7314D"/>
    <w:rsid w:val="00E73273"/>
    <w:rsid w:val="00E732F7"/>
    <w:rsid w:val="00E7348D"/>
    <w:rsid w:val="00E734E8"/>
    <w:rsid w:val="00E73B87"/>
    <w:rsid w:val="00E73D63"/>
    <w:rsid w:val="00E73E1F"/>
    <w:rsid w:val="00E74461"/>
    <w:rsid w:val="00E7470C"/>
    <w:rsid w:val="00E74BF7"/>
    <w:rsid w:val="00E74C91"/>
    <w:rsid w:val="00E74D3D"/>
    <w:rsid w:val="00E74E07"/>
    <w:rsid w:val="00E74FCF"/>
    <w:rsid w:val="00E75138"/>
    <w:rsid w:val="00E75426"/>
    <w:rsid w:val="00E7572F"/>
    <w:rsid w:val="00E7578A"/>
    <w:rsid w:val="00E75950"/>
    <w:rsid w:val="00E759C3"/>
    <w:rsid w:val="00E759D2"/>
    <w:rsid w:val="00E75A3A"/>
    <w:rsid w:val="00E75A3D"/>
    <w:rsid w:val="00E75AB2"/>
    <w:rsid w:val="00E75CAC"/>
    <w:rsid w:val="00E75D9A"/>
    <w:rsid w:val="00E75DCD"/>
    <w:rsid w:val="00E76223"/>
    <w:rsid w:val="00E76273"/>
    <w:rsid w:val="00E762DE"/>
    <w:rsid w:val="00E76412"/>
    <w:rsid w:val="00E7659B"/>
    <w:rsid w:val="00E766B0"/>
    <w:rsid w:val="00E768B1"/>
    <w:rsid w:val="00E768E3"/>
    <w:rsid w:val="00E76A5B"/>
    <w:rsid w:val="00E76AD5"/>
    <w:rsid w:val="00E76BD9"/>
    <w:rsid w:val="00E76C34"/>
    <w:rsid w:val="00E76E01"/>
    <w:rsid w:val="00E76E68"/>
    <w:rsid w:val="00E76EA4"/>
    <w:rsid w:val="00E77098"/>
    <w:rsid w:val="00E77364"/>
    <w:rsid w:val="00E77372"/>
    <w:rsid w:val="00E773DF"/>
    <w:rsid w:val="00E774C2"/>
    <w:rsid w:val="00E775B7"/>
    <w:rsid w:val="00E77679"/>
    <w:rsid w:val="00E776C1"/>
    <w:rsid w:val="00E776D6"/>
    <w:rsid w:val="00E7780C"/>
    <w:rsid w:val="00E77AA6"/>
    <w:rsid w:val="00E77B57"/>
    <w:rsid w:val="00E77C02"/>
    <w:rsid w:val="00E77C22"/>
    <w:rsid w:val="00E77C3C"/>
    <w:rsid w:val="00E77F85"/>
    <w:rsid w:val="00E800A4"/>
    <w:rsid w:val="00E80141"/>
    <w:rsid w:val="00E802DE"/>
    <w:rsid w:val="00E803B3"/>
    <w:rsid w:val="00E80828"/>
    <w:rsid w:val="00E80AAE"/>
    <w:rsid w:val="00E80C88"/>
    <w:rsid w:val="00E80DF9"/>
    <w:rsid w:val="00E80F59"/>
    <w:rsid w:val="00E81119"/>
    <w:rsid w:val="00E81191"/>
    <w:rsid w:val="00E812B7"/>
    <w:rsid w:val="00E81336"/>
    <w:rsid w:val="00E8142E"/>
    <w:rsid w:val="00E81481"/>
    <w:rsid w:val="00E8162F"/>
    <w:rsid w:val="00E8163F"/>
    <w:rsid w:val="00E8179B"/>
    <w:rsid w:val="00E817D6"/>
    <w:rsid w:val="00E8196A"/>
    <w:rsid w:val="00E819D9"/>
    <w:rsid w:val="00E81A6A"/>
    <w:rsid w:val="00E81AFE"/>
    <w:rsid w:val="00E81C8A"/>
    <w:rsid w:val="00E81E1F"/>
    <w:rsid w:val="00E81F15"/>
    <w:rsid w:val="00E822E1"/>
    <w:rsid w:val="00E82460"/>
    <w:rsid w:val="00E8248C"/>
    <w:rsid w:val="00E824F0"/>
    <w:rsid w:val="00E8250E"/>
    <w:rsid w:val="00E825B1"/>
    <w:rsid w:val="00E8262A"/>
    <w:rsid w:val="00E82838"/>
    <w:rsid w:val="00E82966"/>
    <w:rsid w:val="00E82A65"/>
    <w:rsid w:val="00E82A6B"/>
    <w:rsid w:val="00E82C67"/>
    <w:rsid w:val="00E82F56"/>
    <w:rsid w:val="00E82FE4"/>
    <w:rsid w:val="00E830A3"/>
    <w:rsid w:val="00E83240"/>
    <w:rsid w:val="00E833C5"/>
    <w:rsid w:val="00E8359D"/>
    <w:rsid w:val="00E83ED3"/>
    <w:rsid w:val="00E83F37"/>
    <w:rsid w:val="00E83F57"/>
    <w:rsid w:val="00E83F6E"/>
    <w:rsid w:val="00E84005"/>
    <w:rsid w:val="00E840F7"/>
    <w:rsid w:val="00E84126"/>
    <w:rsid w:val="00E8414E"/>
    <w:rsid w:val="00E841A5"/>
    <w:rsid w:val="00E841F5"/>
    <w:rsid w:val="00E843C8"/>
    <w:rsid w:val="00E84646"/>
    <w:rsid w:val="00E84BF5"/>
    <w:rsid w:val="00E84DB9"/>
    <w:rsid w:val="00E84DD8"/>
    <w:rsid w:val="00E84EF9"/>
    <w:rsid w:val="00E85432"/>
    <w:rsid w:val="00E85564"/>
    <w:rsid w:val="00E8559D"/>
    <w:rsid w:val="00E85661"/>
    <w:rsid w:val="00E857AF"/>
    <w:rsid w:val="00E859CC"/>
    <w:rsid w:val="00E85A4B"/>
    <w:rsid w:val="00E85B60"/>
    <w:rsid w:val="00E85CB8"/>
    <w:rsid w:val="00E85DA6"/>
    <w:rsid w:val="00E85F0F"/>
    <w:rsid w:val="00E86107"/>
    <w:rsid w:val="00E862B1"/>
    <w:rsid w:val="00E8635A"/>
    <w:rsid w:val="00E86754"/>
    <w:rsid w:val="00E867A2"/>
    <w:rsid w:val="00E8699A"/>
    <w:rsid w:val="00E869D6"/>
    <w:rsid w:val="00E86A88"/>
    <w:rsid w:val="00E86A9E"/>
    <w:rsid w:val="00E86C30"/>
    <w:rsid w:val="00E86D02"/>
    <w:rsid w:val="00E86DA0"/>
    <w:rsid w:val="00E86DC3"/>
    <w:rsid w:val="00E86E46"/>
    <w:rsid w:val="00E87012"/>
    <w:rsid w:val="00E870B4"/>
    <w:rsid w:val="00E870BD"/>
    <w:rsid w:val="00E8712B"/>
    <w:rsid w:val="00E871D6"/>
    <w:rsid w:val="00E871FF"/>
    <w:rsid w:val="00E872A2"/>
    <w:rsid w:val="00E87742"/>
    <w:rsid w:val="00E87A53"/>
    <w:rsid w:val="00E87A96"/>
    <w:rsid w:val="00E87D61"/>
    <w:rsid w:val="00E90114"/>
    <w:rsid w:val="00E90484"/>
    <w:rsid w:val="00E9052B"/>
    <w:rsid w:val="00E90531"/>
    <w:rsid w:val="00E90896"/>
    <w:rsid w:val="00E90999"/>
    <w:rsid w:val="00E90C4C"/>
    <w:rsid w:val="00E90DE5"/>
    <w:rsid w:val="00E90E71"/>
    <w:rsid w:val="00E90FF1"/>
    <w:rsid w:val="00E9137A"/>
    <w:rsid w:val="00E914C7"/>
    <w:rsid w:val="00E917EB"/>
    <w:rsid w:val="00E917FE"/>
    <w:rsid w:val="00E9180D"/>
    <w:rsid w:val="00E91A03"/>
    <w:rsid w:val="00E91A13"/>
    <w:rsid w:val="00E91A56"/>
    <w:rsid w:val="00E91AD9"/>
    <w:rsid w:val="00E91BC6"/>
    <w:rsid w:val="00E91D69"/>
    <w:rsid w:val="00E91E4F"/>
    <w:rsid w:val="00E9206B"/>
    <w:rsid w:val="00E925A1"/>
    <w:rsid w:val="00E92734"/>
    <w:rsid w:val="00E928E4"/>
    <w:rsid w:val="00E92CA2"/>
    <w:rsid w:val="00E92CBD"/>
    <w:rsid w:val="00E92CF0"/>
    <w:rsid w:val="00E92D47"/>
    <w:rsid w:val="00E92E9B"/>
    <w:rsid w:val="00E92F38"/>
    <w:rsid w:val="00E92FED"/>
    <w:rsid w:val="00E9334F"/>
    <w:rsid w:val="00E934C3"/>
    <w:rsid w:val="00E93541"/>
    <w:rsid w:val="00E938D4"/>
    <w:rsid w:val="00E938F4"/>
    <w:rsid w:val="00E9421C"/>
    <w:rsid w:val="00E94269"/>
    <w:rsid w:val="00E94713"/>
    <w:rsid w:val="00E9475F"/>
    <w:rsid w:val="00E947DF"/>
    <w:rsid w:val="00E9487F"/>
    <w:rsid w:val="00E94A76"/>
    <w:rsid w:val="00E94AE3"/>
    <w:rsid w:val="00E94B76"/>
    <w:rsid w:val="00E94C34"/>
    <w:rsid w:val="00E94C38"/>
    <w:rsid w:val="00E94E3A"/>
    <w:rsid w:val="00E94EA5"/>
    <w:rsid w:val="00E94F9E"/>
    <w:rsid w:val="00E952F2"/>
    <w:rsid w:val="00E952F8"/>
    <w:rsid w:val="00E95356"/>
    <w:rsid w:val="00E953A8"/>
    <w:rsid w:val="00E95441"/>
    <w:rsid w:val="00E9547B"/>
    <w:rsid w:val="00E95502"/>
    <w:rsid w:val="00E957EE"/>
    <w:rsid w:val="00E95826"/>
    <w:rsid w:val="00E95928"/>
    <w:rsid w:val="00E95A6D"/>
    <w:rsid w:val="00E95B90"/>
    <w:rsid w:val="00E95D8D"/>
    <w:rsid w:val="00E95EE9"/>
    <w:rsid w:val="00E960ED"/>
    <w:rsid w:val="00E96168"/>
    <w:rsid w:val="00E96194"/>
    <w:rsid w:val="00E962C7"/>
    <w:rsid w:val="00E963CF"/>
    <w:rsid w:val="00E96607"/>
    <w:rsid w:val="00E96ABE"/>
    <w:rsid w:val="00E96C32"/>
    <w:rsid w:val="00E96D64"/>
    <w:rsid w:val="00E96DB7"/>
    <w:rsid w:val="00E9707C"/>
    <w:rsid w:val="00E97094"/>
    <w:rsid w:val="00E9713E"/>
    <w:rsid w:val="00E9727E"/>
    <w:rsid w:val="00E972EA"/>
    <w:rsid w:val="00E9730D"/>
    <w:rsid w:val="00E973D5"/>
    <w:rsid w:val="00E97574"/>
    <w:rsid w:val="00E9792F"/>
    <w:rsid w:val="00E97BB2"/>
    <w:rsid w:val="00E97CF8"/>
    <w:rsid w:val="00E97EC8"/>
    <w:rsid w:val="00E97EDB"/>
    <w:rsid w:val="00E97FC3"/>
    <w:rsid w:val="00EA0035"/>
    <w:rsid w:val="00EA0480"/>
    <w:rsid w:val="00EA0563"/>
    <w:rsid w:val="00EA05B4"/>
    <w:rsid w:val="00EA05D6"/>
    <w:rsid w:val="00EA05FF"/>
    <w:rsid w:val="00EA0771"/>
    <w:rsid w:val="00EA0906"/>
    <w:rsid w:val="00EA0ADC"/>
    <w:rsid w:val="00EA0B90"/>
    <w:rsid w:val="00EA0B9E"/>
    <w:rsid w:val="00EA0C42"/>
    <w:rsid w:val="00EA0F2F"/>
    <w:rsid w:val="00EA0FAC"/>
    <w:rsid w:val="00EA14D8"/>
    <w:rsid w:val="00EA15F9"/>
    <w:rsid w:val="00EA1719"/>
    <w:rsid w:val="00EA17CB"/>
    <w:rsid w:val="00EA17DC"/>
    <w:rsid w:val="00EA1980"/>
    <w:rsid w:val="00EA1E74"/>
    <w:rsid w:val="00EA1E86"/>
    <w:rsid w:val="00EA2623"/>
    <w:rsid w:val="00EA269B"/>
    <w:rsid w:val="00EA2719"/>
    <w:rsid w:val="00EA2842"/>
    <w:rsid w:val="00EA28A1"/>
    <w:rsid w:val="00EA29FF"/>
    <w:rsid w:val="00EA2A87"/>
    <w:rsid w:val="00EA2C99"/>
    <w:rsid w:val="00EA2E01"/>
    <w:rsid w:val="00EA2F7E"/>
    <w:rsid w:val="00EA2FA3"/>
    <w:rsid w:val="00EA2FF1"/>
    <w:rsid w:val="00EA30D6"/>
    <w:rsid w:val="00EA325C"/>
    <w:rsid w:val="00EA3366"/>
    <w:rsid w:val="00EA3401"/>
    <w:rsid w:val="00EA35A1"/>
    <w:rsid w:val="00EA3723"/>
    <w:rsid w:val="00EA38F0"/>
    <w:rsid w:val="00EA3DC0"/>
    <w:rsid w:val="00EA3DCB"/>
    <w:rsid w:val="00EA3ED9"/>
    <w:rsid w:val="00EA3F9D"/>
    <w:rsid w:val="00EA4181"/>
    <w:rsid w:val="00EA4295"/>
    <w:rsid w:val="00EA4369"/>
    <w:rsid w:val="00EA436E"/>
    <w:rsid w:val="00EA4542"/>
    <w:rsid w:val="00EA486C"/>
    <w:rsid w:val="00EA49C2"/>
    <w:rsid w:val="00EA4BA6"/>
    <w:rsid w:val="00EA4E5E"/>
    <w:rsid w:val="00EA4F48"/>
    <w:rsid w:val="00EA4F5E"/>
    <w:rsid w:val="00EA4FD4"/>
    <w:rsid w:val="00EA5173"/>
    <w:rsid w:val="00EA5598"/>
    <w:rsid w:val="00EA568A"/>
    <w:rsid w:val="00EA591A"/>
    <w:rsid w:val="00EA5A4A"/>
    <w:rsid w:val="00EA5BB6"/>
    <w:rsid w:val="00EA5D5D"/>
    <w:rsid w:val="00EA5F55"/>
    <w:rsid w:val="00EA5FAB"/>
    <w:rsid w:val="00EA6041"/>
    <w:rsid w:val="00EA6051"/>
    <w:rsid w:val="00EA605E"/>
    <w:rsid w:val="00EA612E"/>
    <w:rsid w:val="00EA6199"/>
    <w:rsid w:val="00EA62EA"/>
    <w:rsid w:val="00EA62F8"/>
    <w:rsid w:val="00EA644C"/>
    <w:rsid w:val="00EA650D"/>
    <w:rsid w:val="00EA663D"/>
    <w:rsid w:val="00EA671A"/>
    <w:rsid w:val="00EA6803"/>
    <w:rsid w:val="00EA6828"/>
    <w:rsid w:val="00EA69F7"/>
    <w:rsid w:val="00EA6AD3"/>
    <w:rsid w:val="00EA6BE1"/>
    <w:rsid w:val="00EA6EA5"/>
    <w:rsid w:val="00EA70AB"/>
    <w:rsid w:val="00EA71DC"/>
    <w:rsid w:val="00EA71F6"/>
    <w:rsid w:val="00EA7325"/>
    <w:rsid w:val="00EA75CB"/>
    <w:rsid w:val="00EA76AC"/>
    <w:rsid w:val="00EA76AF"/>
    <w:rsid w:val="00EA76C3"/>
    <w:rsid w:val="00EA775B"/>
    <w:rsid w:val="00EA78BB"/>
    <w:rsid w:val="00EA79DD"/>
    <w:rsid w:val="00EA7B8F"/>
    <w:rsid w:val="00EB01E9"/>
    <w:rsid w:val="00EB0359"/>
    <w:rsid w:val="00EB0451"/>
    <w:rsid w:val="00EB07EE"/>
    <w:rsid w:val="00EB0A67"/>
    <w:rsid w:val="00EB0C76"/>
    <w:rsid w:val="00EB0DAC"/>
    <w:rsid w:val="00EB0E3D"/>
    <w:rsid w:val="00EB0F20"/>
    <w:rsid w:val="00EB0FDF"/>
    <w:rsid w:val="00EB1095"/>
    <w:rsid w:val="00EB10D7"/>
    <w:rsid w:val="00EB10F1"/>
    <w:rsid w:val="00EB14DA"/>
    <w:rsid w:val="00EB1710"/>
    <w:rsid w:val="00EB17F6"/>
    <w:rsid w:val="00EB1B3E"/>
    <w:rsid w:val="00EB1BD9"/>
    <w:rsid w:val="00EB1D78"/>
    <w:rsid w:val="00EB1F22"/>
    <w:rsid w:val="00EB1F72"/>
    <w:rsid w:val="00EB225C"/>
    <w:rsid w:val="00EB226F"/>
    <w:rsid w:val="00EB236F"/>
    <w:rsid w:val="00EB25DB"/>
    <w:rsid w:val="00EB2604"/>
    <w:rsid w:val="00EB269F"/>
    <w:rsid w:val="00EB2A81"/>
    <w:rsid w:val="00EB2B48"/>
    <w:rsid w:val="00EB2C06"/>
    <w:rsid w:val="00EB2E3A"/>
    <w:rsid w:val="00EB2F3F"/>
    <w:rsid w:val="00EB2FAE"/>
    <w:rsid w:val="00EB2FF8"/>
    <w:rsid w:val="00EB3207"/>
    <w:rsid w:val="00EB372A"/>
    <w:rsid w:val="00EB3764"/>
    <w:rsid w:val="00EB37EC"/>
    <w:rsid w:val="00EB387E"/>
    <w:rsid w:val="00EB3932"/>
    <w:rsid w:val="00EB3A1E"/>
    <w:rsid w:val="00EB3AC9"/>
    <w:rsid w:val="00EB3E82"/>
    <w:rsid w:val="00EB40F4"/>
    <w:rsid w:val="00EB4123"/>
    <w:rsid w:val="00EB417A"/>
    <w:rsid w:val="00EB4271"/>
    <w:rsid w:val="00EB431C"/>
    <w:rsid w:val="00EB463A"/>
    <w:rsid w:val="00EB4674"/>
    <w:rsid w:val="00EB46EE"/>
    <w:rsid w:val="00EB49CE"/>
    <w:rsid w:val="00EB4BD7"/>
    <w:rsid w:val="00EB4FFC"/>
    <w:rsid w:val="00EB525D"/>
    <w:rsid w:val="00EB5A08"/>
    <w:rsid w:val="00EB5A21"/>
    <w:rsid w:val="00EB5DFF"/>
    <w:rsid w:val="00EB5E26"/>
    <w:rsid w:val="00EB5EB2"/>
    <w:rsid w:val="00EB5EF2"/>
    <w:rsid w:val="00EB5F24"/>
    <w:rsid w:val="00EB6122"/>
    <w:rsid w:val="00EB6179"/>
    <w:rsid w:val="00EB63BB"/>
    <w:rsid w:val="00EB6441"/>
    <w:rsid w:val="00EB6575"/>
    <w:rsid w:val="00EB6837"/>
    <w:rsid w:val="00EB6A21"/>
    <w:rsid w:val="00EB6EC9"/>
    <w:rsid w:val="00EB6ECC"/>
    <w:rsid w:val="00EB6F12"/>
    <w:rsid w:val="00EB7146"/>
    <w:rsid w:val="00EB7287"/>
    <w:rsid w:val="00EB7410"/>
    <w:rsid w:val="00EB744B"/>
    <w:rsid w:val="00EB7753"/>
    <w:rsid w:val="00EB7825"/>
    <w:rsid w:val="00EB799F"/>
    <w:rsid w:val="00EB7D4D"/>
    <w:rsid w:val="00EC0036"/>
    <w:rsid w:val="00EC018F"/>
    <w:rsid w:val="00EC01BA"/>
    <w:rsid w:val="00EC0200"/>
    <w:rsid w:val="00EC028A"/>
    <w:rsid w:val="00EC0324"/>
    <w:rsid w:val="00EC0326"/>
    <w:rsid w:val="00EC0771"/>
    <w:rsid w:val="00EC09DA"/>
    <w:rsid w:val="00EC0D2A"/>
    <w:rsid w:val="00EC0D67"/>
    <w:rsid w:val="00EC0E70"/>
    <w:rsid w:val="00EC0F03"/>
    <w:rsid w:val="00EC0F3B"/>
    <w:rsid w:val="00EC0F5F"/>
    <w:rsid w:val="00EC1055"/>
    <w:rsid w:val="00EC120E"/>
    <w:rsid w:val="00EC14B3"/>
    <w:rsid w:val="00EC16D4"/>
    <w:rsid w:val="00EC17F5"/>
    <w:rsid w:val="00EC18F8"/>
    <w:rsid w:val="00EC1F87"/>
    <w:rsid w:val="00EC222B"/>
    <w:rsid w:val="00EC2344"/>
    <w:rsid w:val="00EC242C"/>
    <w:rsid w:val="00EC2553"/>
    <w:rsid w:val="00EC2660"/>
    <w:rsid w:val="00EC2833"/>
    <w:rsid w:val="00EC297B"/>
    <w:rsid w:val="00EC2AEF"/>
    <w:rsid w:val="00EC2B43"/>
    <w:rsid w:val="00EC2D2C"/>
    <w:rsid w:val="00EC2E7E"/>
    <w:rsid w:val="00EC2ED7"/>
    <w:rsid w:val="00EC3127"/>
    <w:rsid w:val="00EC322A"/>
    <w:rsid w:val="00EC3558"/>
    <w:rsid w:val="00EC3C87"/>
    <w:rsid w:val="00EC3D86"/>
    <w:rsid w:val="00EC3E53"/>
    <w:rsid w:val="00EC3EDE"/>
    <w:rsid w:val="00EC3F69"/>
    <w:rsid w:val="00EC3F7E"/>
    <w:rsid w:val="00EC416F"/>
    <w:rsid w:val="00EC4210"/>
    <w:rsid w:val="00EC431A"/>
    <w:rsid w:val="00EC4320"/>
    <w:rsid w:val="00EC4399"/>
    <w:rsid w:val="00EC43DD"/>
    <w:rsid w:val="00EC44B0"/>
    <w:rsid w:val="00EC44D5"/>
    <w:rsid w:val="00EC4500"/>
    <w:rsid w:val="00EC45ED"/>
    <w:rsid w:val="00EC46D7"/>
    <w:rsid w:val="00EC477E"/>
    <w:rsid w:val="00EC4887"/>
    <w:rsid w:val="00EC48E8"/>
    <w:rsid w:val="00EC49A3"/>
    <w:rsid w:val="00EC4A86"/>
    <w:rsid w:val="00EC4ACC"/>
    <w:rsid w:val="00EC4ACF"/>
    <w:rsid w:val="00EC4D44"/>
    <w:rsid w:val="00EC4F13"/>
    <w:rsid w:val="00EC51E9"/>
    <w:rsid w:val="00EC53BB"/>
    <w:rsid w:val="00EC5432"/>
    <w:rsid w:val="00EC5443"/>
    <w:rsid w:val="00EC5592"/>
    <w:rsid w:val="00EC5905"/>
    <w:rsid w:val="00EC5BFC"/>
    <w:rsid w:val="00EC5CEE"/>
    <w:rsid w:val="00EC5F64"/>
    <w:rsid w:val="00EC600A"/>
    <w:rsid w:val="00EC606A"/>
    <w:rsid w:val="00EC6230"/>
    <w:rsid w:val="00EC6317"/>
    <w:rsid w:val="00EC645A"/>
    <w:rsid w:val="00EC658F"/>
    <w:rsid w:val="00EC66A9"/>
    <w:rsid w:val="00EC68CA"/>
    <w:rsid w:val="00EC68CF"/>
    <w:rsid w:val="00EC6CBF"/>
    <w:rsid w:val="00EC6DDF"/>
    <w:rsid w:val="00EC6E77"/>
    <w:rsid w:val="00EC6EC2"/>
    <w:rsid w:val="00EC6FE0"/>
    <w:rsid w:val="00EC70EA"/>
    <w:rsid w:val="00EC734A"/>
    <w:rsid w:val="00EC750E"/>
    <w:rsid w:val="00EC783B"/>
    <w:rsid w:val="00EC7902"/>
    <w:rsid w:val="00EC793C"/>
    <w:rsid w:val="00EC7973"/>
    <w:rsid w:val="00EC7D6B"/>
    <w:rsid w:val="00EC7DFB"/>
    <w:rsid w:val="00ED00C7"/>
    <w:rsid w:val="00ED0136"/>
    <w:rsid w:val="00ED0181"/>
    <w:rsid w:val="00ED03FF"/>
    <w:rsid w:val="00ED063A"/>
    <w:rsid w:val="00ED0836"/>
    <w:rsid w:val="00ED09B8"/>
    <w:rsid w:val="00ED0C06"/>
    <w:rsid w:val="00ED0C5A"/>
    <w:rsid w:val="00ED12ED"/>
    <w:rsid w:val="00ED1393"/>
    <w:rsid w:val="00ED14FB"/>
    <w:rsid w:val="00ED157A"/>
    <w:rsid w:val="00ED159D"/>
    <w:rsid w:val="00ED15EF"/>
    <w:rsid w:val="00ED16CF"/>
    <w:rsid w:val="00ED18F6"/>
    <w:rsid w:val="00ED1A38"/>
    <w:rsid w:val="00ED1A66"/>
    <w:rsid w:val="00ED1AAA"/>
    <w:rsid w:val="00ED1C02"/>
    <w:rsid w:val="00ED1CC4"/>
    <w:rsid w:val="00ED1D2D"/>
    <w:rsid w:val="00ED1E80"/>
    <w:rsid w:val="00ED1E9B"/>
    <w:rsid w:val="00ED1EA7"/>
    <w:rsid w:val="00ED201E"/>
    <w:rsid w:val="00ED20AF"/>
    <w:rsid w:val="00ED2112"/>
    <w:rsid w:val="00ED2411"/>
    <w:rsid w:val="00ED250C"/>
    <w:rsid w:val="00ED2710"/>
    <w:rsid w:val="00ED29EA"/>
    <w:rsid w:val="00ED29EF"/>
    <w:rsid w:val="00ED2A1A"/>
    <w:rsid w:val="00ED2B16"/>
    <w:rsid w:val="00ED2B51"/>
    <w:rsid w:val="00ED2B78"/>
    <w:rsid w:val="00ED2C31"/>
    <w:rsid w:val="00ED2DB4"/>
    <w:rsid w:val="00ED33B7"/>
    <w:rsid w:val="00ED3433"/>
    <w:rsid w:val="00ED363C"/>
    <w:rsid w:val="00ED368A"/>
    <w:rsid w:val="00ED395A"/>
    <w:rsid w:val="00ED39BA"/>
    <w:rsid w:val="00ED3B44"/>
    <w:rsid w:val="00ED3DBE"/>
    <w:rsid w:val="00ED3E63"/>
    <w:rsid w:val="00ED3EAA"/>
    <w:rsid w:val="00ED406A"/>
    <w:rsid w:val="00ED41E7"/>
    <w:rsid w:val="00ED41F3"/>
    <w:rsid w:val="00ED4341"/>
    <w:rsid w:val="00ED4628"/>
    <w:rsid w:val="00ED4705"/>
    <w:rsid w:val="00ED47AB"/>
    <w:rsid w:val="00ED483A"/>
    <w:rsid w:val="00ED5091"/>
    <w:rsid w:val="00ED50BF"/>
    <w:rsid w:val="00ED510A"/>
    <w:rsid w:val="00ED516A"/>
    <w:rsid w:val="00ED51AC"/>
    <w:rsid w:val="00ED5503"/>
    <w:rsid w:val="00ED578A"/>
    <w:rsid w:val="00ED5A51"/>
    <w:rsid w:val="00ED5B35"/>
    <w:rsid w:val="00ED5B6F"/>
    <w:rsid w:val="00ED60B2"/>
    <w:rsid w:val="00ED6565"/>
    <w:rsid w:val="00ED683C"/>
    <w:rsid w:val="00ED6843"/>
    <w:rsid w:val="00ED6A49"/>
    <w:rsid w:val="00ED6C02"/>
    <w:rsid w:val="00ED6C76"/>
    <w:rsid w:val="00ED6D2F"/>
    <w:rsid w:val="00ED6D56"/>
    <w:rsid w:val="00ED6D7F"/>
    <w:rsid w:val="00ED71D4"/>
    <w:rsid w:val="00ED7228"/>
    <w:rsid w:val="00ED7292"/>
    <w:rsid w:val="00ED72A9"/>
    <w:rsid w:val="00ED72F5"/>
    <w:rsid w:val="00ED748E"/>
    <w:rsid w:val="00ED756C"/>
    <w:rsid w:val="00ED75D6"/>
    <w:rsid w:val="00ED7677"/>
    <w:rsid w:val="00ED76C9"/>
    <w:rsid w:val="00ED7875"/>
    <w:rsid w:val="00ED7F7D"/>
    <w:rsid w:val="00EE0121"/>
    <w:rsid w:val="00EE0338"/>
    <w:rsid w:val="00EE03DF"/>
    <w:rsid w:val="00EE044D"/>
    <w:rsid w:val="00EE0582"/>
    <w:rsid w:val="00EE0633"/>
    <w:rsid w:val="00EE08B1"/>
    <w:rsid w:val="00EE0B27"/>
    <w:rsid w:val="00EE100E"/>
    <w:rsid w:val="00EE12FA"/>
    <w:rsid w:val="00EE1398"/>
    <w:rsid w:val="00EE13EB"/>
    <w:rsid w:val="00EE1495"/>
    <w:rsid w:val="00EE17F4"/>
    <w:rsid w:val="00EE18AA"/>
    <w:rsid w:val="00EE19F8"/>
    <w:rsid w:val="00EE1B0E"/>
    <w:rsid w:val="00EE1CA8"/>
    <w:rsid w:val="00EE204B"/>
    <w:rsid w:val="00EE209F"/>
    <w:rsid w:val="00EE20FB"/>
    <w:rsid w:val="00EE23D1"/>
    <w:rsid w:val="00EE24BF"/>
    <w:rsid w:val="00EE25C4"/>
    <w:rsid w:val="00EE2624"/>
    <w:rsid w:val="00EE2705"/>
    <w:rsid w:val="00EE28C3"/>
    <w:rsid w:val="00EE2B5C"/>
    <w:rsid w:val="00EE2D58"/>
    <w:rsid w:val="00EE2F41"/>
    <w:rsid w:val="00EE32E0"/>
    <w:rsid w:val="00EE33A3"/>
    <w:rsid w:val="00EE34B7"/>
    <w:rsid w:val="00EE35E3"/>
    <w:rsid w:val="00EE3E92"/>
    <w:rsid w:val="00EE3F7B"/>
    <w:rsid w:val="00EE4233"/>
    <w:rsid w:val="00EE42A3"/>
    <w:rsid w:val="00EE4398"/>
    <w:rsid w:val="00EE44A6"/>
    <w:rsid w:val="00EE458C"/>
    <w:rsid w:val="00EE47E5"/>
    <w:rsid w:val="00EE4843"/>
    <w:rsid w:val="00EE48FE"/>
    <w:rsid w:val="00EE4B21"/>
    <w:rsid w:val="00EE4B8F"/>
    <w:rsid w:val="00EE4BE9"/>
    <w:rsid w:val="00EE4E5B"/>
    <w:rsid w:val="00EE50EA"/>
    <w:rsid w:val="00EE5503"/>
    <w:rsid w:val="00EE5624"/>
    <w:rsid w:val="00EE57B9"/>
    <w:rsid w:val="00EE5872"/>
    <w:rsid w:val="00EE5906"/>
    <w:rsid w:val="00EE5912"/>
    <w:rsid w:val="00EE5975"/>
    <w:rsid w:val="00EE5D10"/>
    <w:rsid w:val="00EE5DAA"/>
    <w:rsid w:val="00EE5DD7"/>
    <w:rsid w:val="00EE5ECC"/>
    <w:rsid w:val="00EE607E"/>
    <w:rsid w:val="00EE6191"/>
    <w:rsid w:val="00EE63AE"/>
    <w:rsid w:val="00EE645F"/>
    <w:rsid w:val="00EE659C"/>
    <w:rsid w:val="00EE6632"/>
    <w:rsid w:val="00EE66FC"/>
    <w:rsid w:val="00EE67EF"/>
    <w:rsid w:val="00EE6C3D"/>
    <w:rsid w:val="00EE7178"/>
    <w:rsid w:val="00EE73B8"/>
    <w:rsid w:val="00EE7466"/>
    <w:rsid w:val="00EE7791"/>
    <w:rsid w:val="00EE7A30"/>
    <w:rsid w:val="00EE7AE2"/>
    <w:rsid w:val="00EE7B8F"/>
    <w:rsid w:val="00EE7CAB"/>
    <w:rsid w:val="00EE7D11"/>
    <w:rsid w:val="00EE7D90"/>
    <w:rsid w:val="00EE7E0E"/>
    <w:rsid w:val="00EE7EAD"/>
    <w:rsid w:val="00EF0119"/>
    <w:rsid w:val="00EF0284"/>
    <w:rsid w:val="00EF0285"/>
    <w:rsid w:val="00EF0476"/>
    <w:rsid w:val="00EF050D"/>
    <w:rsid w:val="00EF091D"/>
    <w:rsid w:val="00EF0AA4"/>
    <w:rsid w:val="00EF0C34"/>
    <w:rsid w:val="00EF0C68"/>
    <w:rsid w:val="00EF0E29"/>
    <w:rsid w:val="00EF1018"/>
    <w:rsid w:val="00EF108E"/>
    <w:rsid w:val="00EF1256"/>
    <w:rsid w:val="00EF1A96"/>
    <w:rsid w:val="00EF1BB1"/>
    <w:rsid w:val="00EF1BD5"/>
    <w:rsid w:val="00EF1C8C"/>
    <w:rsid w:val="00EF1EA9"/>
    <w:rsid w:val="00EF21D2"/>
    <w:rsid w:val="00EF2483"/>
    <w:rsid w:val="00EF2C0A"/>
    <w:rsid w:val="00EF2D97"/>
    <w:rsid w:val="00EF2DE4"/>
    <w:rsid w:val="00EF3240"/>
    <w:rsid w:val="00EF34EB"/>
    <w:rsid w:val="00EF35A9"/>
    <w:rsid w:val="00EF35CB"/>
    <w:rsid w:val="00EF3848"/>
    <w:rsid w:val="00EF3A68"/>
    <w:rsid w:val="00EF3BBA"/>
    <w:rsid w:val="00EF3BD3"/>
    <w:rsid w:val="00EF3DB5"/>
    <w:rsid w:val="00EF3DBB"/>
    <w:rsid w:val="00EF3FD0"/>
    <w:rsid w:val="00EF3FE6"/>
    <w:rsid w:val="00EF4099"/>
    <w:rsid w:val="00EF4111"/>
    <w:rsid w:val="00EF414E"/>
    <w:rsid w:val="00EF4883"/>
    <w:rsid w:val="00EF4932"/>
    <w:rsid w:val="00EF493F"/>
    <w:rsid w:val="00EF4B51"/>
    <w:rsid w:val="00EF4C22"/>
    <w:rsid w:val="00EF4C80"/>
    <w:rsid w:val="00EF4D35"/>
    <w:rsid w:val="00EF4D49"/>
    <w:rsid w:val="00EF50D0"/>
    <w:rsid w:val="00EF540D"/>
    <w:rsid w:val="00EF545F"/>
    <w:rsid w:val="00EF56A9"/>
    <w:rsid w:val="00EF57D2"/>
    <w:rsid w:val="00EF5B46"/>
    <w:rsid w:val="00EF5FE8"/>
    <w:rsid w:val="00EF63B0"/>
    <w:rsid w:val="00EF665A"/>
    <w:rsid w:val="00EF6A3F"/>
    <w:rsid w:val="00EF6BA9"/>
    <w:rsid w:val="00EF6D06"/>
    <w:rsid w:val="00EF6DDB"/>
    <w:rsid w:val="00EF6FBD"/>
    <w:rsid w:val="00EF70DC"/>
    <w:rsid w:val="00EF7142"/>
    <w:rsid w:val="00EF721A"/>
    <w:rsid w:val="00EF734F"/>
    <w:rsid w:val="00EF7380"/>
    <w:rsid w:val="00EF73A4"/>
    <w:rsid w:val="00EF73FF"/>
    <w:rsid w:val="00EF764E"/>
    <w:rsid w:val="00EF7766"/>
    <w:rsid w:val="00EF77CA"/>
    <w:rsid w:val="00EF782E"/>
    <w:rsid w:val="00EF7DB2"/>
    <w:rsid w:val="00EF7DF2"/>
    <w:rsid w:val="00EF7FC3"/>
    <w:rsid w:val="00F00075"/>
    <w:rsid w:val="00F002B2"/>
    <w:rsid w:val="00F00339"/>
    <w:rsid w:val="00F003E3"/>
    <w:rsid w:val="00F0048B"/>
    <w:rsid w:val="00F008B3"/>
    <w:rsid w:val="00F00992"/>
    <w:rsid w:val="00F00A88"/>
    <w:rsid w:val="00F00ACC"/>
    <w:rsid w:val="00F00AF4"/>
    <w:rsid w:val="00F00B92"/>
    <w:rsid w:val="00F00BA4"/>
    <w:rsid w:val="00F00C09"/>
    <w:rsid w:val="00F00CB1"/>
    <w:rsid w:val="00F00F19"/>
    <w:rsid w:val="00F01462"/>
    <w:rsid w:val="00F01714"/>
    <w:rsid w:val="00F017DB"/>
    <w:rsid w:val="00F01824"/>
    <w:rsid w:val="00F01834"/>
    <w:rsid w:val="00F01856"/>
    <w:rsid w:val="00F019EB"/>
    <w:rsid w:val="00F01BBD"/>
    <w:rsid w:val="00F01F84"/>
    <w:rsid w:val="00F021BF"/>
    <w:rsid w:val="00F021F5"/>
    <w:rsid w:val="00F0223A"/>
    <w:rsid w:val="00F02669"/>
    <w:rsid w:val="00F026CB"/>
    <w:rsid w:val="00F02901"/>
    <w:rsid w:val="00F02D51"/>
    <w:rsid w:val="00F02F08"/>
    <w:rsid w:val="00F03042"/>
    <w:rsid w:val="00F0324F"/>
    <w:rsid w:val="00F03327"/>
    <w:rsid w:val="00F03356"/>
    <w:rsid w:val="00F0337D"/>
    <w:rsid w:val="00F033A1"/>
    <w:rsid w:val="00F033CF"/>
    <w:rsid w:val="00F035B1"/>
    <w:rsid w:val="00F03A33"/>
    <w:rsid w:val="00F03DE4"/>
    <w:rsid w:val="00F04036"/>
    <w:rsid w:val="00F04098"/>
    <w:rsid w:val="00F04113"/>
    <w:rsid w:val="00F0413C"/>
    <w:rsid w:val="00F041F1"/>
    <w:rsid w:val="00F042F4"/>
    <w:rsid w:val="00F047A5"/>
    <w:rsid w:val="00F04870"/>
    <w:rsid w:val="00F04B53"/>
    <w:rsid w:val="00F04CAC"/>
    <w:rsid w:val="00F04D79"/>
    <w:rsid w:val="00F04DA8"/>
    <w:rsid w:val="00F04FDD"/>
    <w:rsid w:val="00F05019"/>
    <w:rsid w:val="00F0507F"/>
    <w:rsid w:val="00F051C0"/>
    <w:rsid w:val="00F05255"/>
    <w:rsid w:val="00F05264"/>
    <w:rsid w:val="00F052E8"/>
    <w:rsid w:val="00F054C1"/>
    <w:rsid w:val="00F056C9"/>
    <w:rsid w:val="00F05719"/>
    <w:rsid w:val="00F05964"/>
    <w:rsid w:val="00F05A83"/>
    <w:rsid w:val="00F05A9E"/>
    <w:rsid w:val="00F05C11"/>
    <w:rsid w:val="00F05E9F"/>
    <w:rsid w:val="00F05ECE"/>
    <w:rsid w:val="00F05FC7"/>
    <w:rsid w:val="00F0602D"/>
    <w:rsid w:val="00F06035"/>
    <w:rsid w:val="00F06187"/>
    <w:rsid w:val="00F062D4"/>
    <w:rsid w:val="00F06483"/>
    <w:rsid w:val="00F06502"/>
    <w:rsid w:val="00F065BF"/>
    <w:rsid w:val="00F06632"/>
    <w:rsid w:val="00F06774"/>
    <w:rsid w:val="00F0695E"/>
    <w:rsid w:val="00F06AB2"/>
    <w:rsid w:val="00F071A9"/>
    <w:rsid w:val="00F073E4"/>
    <w:rsid w:val="00F078E9"/>
    <w:rsid w:val="00F0795A"/>
    <w:rsid w:val="00F07A0A"/>
    <w:rsid w:val="00F07A41"/>
    <w:rsid w:val="00F07CAC"/>
    <w:rsid w:val="00F07E1C"/>
    <w:rsid w:val="00F07EFE"/>
    <w:rsid w:val="00F07FF1"/>
    <w:rsid w:val="00F100E8"/>
    <w:rsid w:val="00F1033E"/>
    <w:rsid w:val="00F1056D"/>
    <w:rsid w:val="00F108B6"/>
    <w:rsid w:val="00F1090A"/>
    <w:rsid w:val="00F1097E"/>
    <w:rsid w:val="00F10A02"/>
    <w:rsid w:val="00F10B92"/>
    <w:rsid w:val="00F10C0E"/>
    <w:rsid w:val="00F10C1B"/>
    <w:rsid w:val="00F10C70"/>
    <w:rsid w:val="00F10E7E"/>
    <w:rsid w:val="00F10E9C"/>
    <w:rsid w:val="00F10F74"/>
    <w:rsid w:val="00F10F7F"/>
    <w:rsid w:val="00F111EE"/>
    <w:rsid w:val="00F11268"/>
    <w:rsid w:val="00F112D0"/>
    <w:rsid w:val="00F11343"/>
    <w:rsid w:val="00F11382"/>
    <w:rsid w:val="00F118E8"/>
    <w:rsid w:val="00F11987"/>
    <w:rsid w:val="00F119EA"/>
    <w:rsid w:val="00F11B87"/>
    <w:rsid w:val="00F11C9E"/>
    <w:rsid w:val="00F11E3A"/>
    <w:rsid w:val="00F11F4B"/>
    <w:rsid w:val="00F11F65"/>
    <w:rsid w:val="00F1215C"/>
    <w:rsid w:val="00F1222C"/>
    <w:rsid w:val="00F123E8"/>
    <w:rsid w:val="00F12408"/>
    <w:rsid w:val="00F126CE"/>
    <w:rsid w:val="00F128E1"/>
    <w:rsid w:val="00F12B17"/>
    <w:rsid w:val="00F12C14"/>
    <w:rsid w:val="00F12C40"/>
    <w:rsid w:val="00F12ED7"/>
    <w:rsid w:val="00F12F08"/>
    <w:rsid w:val="00F12FBC"/>
    <w:rsid w:val="00F13125"/>
    <w:rsid w:val="00F13515"/>
    <w:rsid w:val="00F1369C"/>
    <w:rsid w:val="00F136FD"/>
    <w:rsid w:val="00F13852"/>
    <w:rsid w:val="00F13A2B"/>
    <w:rsid w:val="00F13A6C"/>
    <w:rsid w:val="00F13B5B"/>
    <w:rsid w:val="00F13B8D"/>
    <w:rsid w:val="00F13ECB"/>
    <w:rsid w:val="00F14029"/>
    <w:rsid w:val="00F14137"/>
    <w:rsid w:val="00F14227"/>
    <w:rsid w:val="00F14315"/>
    <w:rsid w:val="00F1433B"/>
    <w:rsid w:val="00F14684"/>
    <w:rsid w:val="00F14689"/>
    <w:rsid w:val="00F14752"/>
    <w:rsid w:val="00F1488D"/>
    <w:rsid w:val="00F148D0"/>
    <w:rsid w:val="00F14AA0"/>
    <w:rsid w:val="00F14C0D"/>
    <w:rsid w:val="00F14CDA"/>
    <w:rsid w:val="00F14DE1"/>
    <w:rsid w:val="00F14E3F"/>
    <w:rsid w:val="00F15117"/>
    <w:rsid w:val="00F152B4"/>
    <w:rsid w:val="00F154FF"/>
    <w:rsid w:val="00F15613"/>
    <w:rsid w:val="00F157B8"/>
    <w:rsid w:val="00F15B88"/>
    <w:rsid w:val="00F15E12"/>
    <w:rsid w:val="00F160E3"/>
    <w:rsid w:val="00F160EA"/>
    <w:rsid w:val="00F160F1"/>
    <w:rsid w:val="00F1611D"/>
    <w:rsid w:val="00F16191"/>
    <w:rsid w:val="00F161F7"/>
    <w:rsid w:val="00F1622B"/>
    <w:rsid w:val="00F1625E"/>
    <w:rsid w:val="00F1629A"/>
    <w:rsid w:val="00F1642B"/>
    <w:rsid w:val="00F1643D"/>
    <w:rsid w:val="00F16638"/>
    <w:rsid w:val="00F16856"/>
    <w:rsid w:val="00F168F1"/>
    <w:rsid w:val="00F1699D"/>
    <w:rsid w:val="00F16AD6"/>
    <w:rsid w:val="00F16D97"/>
    <w:rsid w:val="00F16DC7"/>
    <w:rsid w:val="00F16E34"/>
    <w:rsid w:val="00F16F00"/>
    <w:rsid w:val="00F17180"/>
    <w:rsid w:val="00F17306"/>
    <w:rsid w:val="00F175BE"/>
    <w:rsid w:val="00F17B32"/>
    <w:rsid w:val="00F17B52"/>
    <w:rsid w:val="00F17FCD"/>
    <w:rsid w:val="00F205AC"/>
    <w:rsid w:val="00F206C0"/>
    <w:rsid w:val="00F20749"/>
    <w:rsid w:val="00F20A5A"/>
    <w:rsid w:val="00F21134"/>
    <w:rsid w:val="00F21322"/>
    <w:rsid w:val="00F2138C"/>
    <w:rsid w:val="00F2145E"/>
    <w:rsid w:val="00F214CA"/>
    <w:rsid w:val="00F21911"/>
    <w:rsid w:val="00F219C1"/>
    <w:rsid w:val="00F21B87"/>
    <w:rsid w:val="00F21BE1"/>
    <w:rsid w:val="00F21C0C"/>
    <w:rsid w:val="00F21C3A"/>
    <w:rsid w:val="00F21CCF"/>
    <w:rsid w:val="00F21D5E"/>
    <w:rsid w:val="00F21E0F"/>
    <w:rsid w:val="00F21F09"/>
    <w:rsid w:val="00F21FF7"/>
    <w:rsid w:val="00F220DE"/>
    <w:rsid w:val="00F22232"/>
    <w:rsid w:val="00F222EB"/>
    <w:rsid w:val="00F2264F"/>
    <w:rsid w:val="00F226FD"/>
    <w:rsid w:val="00F22AFE"/>
    <w:rsid w:val="00F22D58"/>
    <w:rsid w:val="00F230A7"/>
    <w:rsid w:val="00F23150"/>
    <w:rsid w:val="00F23189"/>
    <w:rsid w:val="00F23623"/>
    <w:rsid w:val="00F236CD"/>
    <w:rsid w:val="00F238DF"/>
    <w:rsid w:val="00F2391F"/>
    <w:rsid w:val="00F2398B"/>
    <w:rsid w:val="00F23C50"/>
    <w:rsid w:val="00F23DEF"/>
    <w:rsid w:val="00F23E9E"/>
    <w:rsid w:val="00F23FDE"/>
    <w:rsid w:val="00F2404A"/>
    <w:rsid w:val="00F2414D"/>
    <w:rsid w:val="00F241DF"/>
    <w:rsid w:val="00F246CA"/>
    <w:rsid w:val="00F24779"/>
    <w:rsid w:val="00F24860"/>
    <w:rsid w:val="00F24C8C"/>
    <w:rsid w:val="00F24E83"/>
    <w:rsid w:val="00F2510A"/>
    <w:rsid w:val="00F2513C"/>
    <w:rsid w:val="00F25164"/>
    <w:rsid w:val="00F25181"/>
    <w:rsid w:val="00F25238"/>
    <w:rsid w:val="00F2524F"/>
    <w:rsid w:val="00F25547"/>
    <w:rsid w:val="00F25571"/>
    <w:rsid w:val="00F256B0"/>
    <w:rsid w:val="00F25B2D"/>
    <w:rsid w:val="00F26045"/>
    <w:rsid w:val="00F2609C"/>
    <w:rsid w:val="00F2611C"/>
    <w:rsid w:val="00F264FB"/>
    <w:rsid w:val="00F26A4E"/>
    <w:rsid w:val="00F26A6D"/>
    <w:rsid w:val="00F26AFE"/>
    <w:rsid w:val="00F26B43"/>
    <w:rsid w:val="00F26BCD"/>
    <w:rsid w:val="00F26BFE"/>
    <w:rsid w:val="00F26CAA"/>
    <w:rsid w:val="00F26DAE"/>
    <w:rsid w:val="00F26E50"/>
    <w:rsid w:val="00F26F60"/>
    <w:rsid w:val="00F27045"/>
    <w:rsid w:val="00F27088"/>
    <w:rsid w:val="00F270AC"/>
    <w:rsid w:val="00F2711B"/>
    <w:rsid w:val="00F27260"/>
    <w:rsid w:val="00F2728D"/>
    <w:rsid w:val="00F27328"/>
    <w:rsid w:val="00F27354"/>
    <w:rsid w:val="00F27518"/>
    <w:rsid w:val="00F275B9"/>
    <w:rsid w:val="00F275F2"/>
    <w:rsid w:val="00F2762C"/>
    <w:rsid w:val="00F27701"/>
    <w:rsid w:val="00F277AB"/>
    <w:rsid w:val="00F2783D"/>
    <w:rsid w:val="00F27965"/>
    <w:rsid w:val="00F27BE3"/>
    <w:rsid w:val="00F27E94"/>
    <w:rsid w:val="00F27EFE"/>
    <w:rsid w:val="00F300CA"/>
    <w:rsid w:val="00F30198"/>
    <w:rsid w:val="00F30328"/>
    <w:rsid w:val="00F303E5"/>
    <w:rsid w:val="00F30616"/>
    <w:rsid w:val="00F3080D"/>
    <w:rsid w:val="00F3097E"/>
    <w:rsid w:val="00F30AAF"/>
    <w:rsid w:val="00F30B72"/>
    <w:rsid w:val="00F30CD7"/>
    <w:rsid w:val="00F30D55"/>
    <w:rsid w:val="00F30F21"/>
    <w:rsid w:val="00F31161"/>
    <w:rsid w:val="00F314A0"/>
    <w:rsid w:val="00F31633"/>
    <w:rsid w:val="00F3179E"/>
    <w:rsid w:val="00F317B2"/>
    <w:rsid w:val="00F318A9"/>
    <w:rsid w:val="00F3197B"/>
    <w:rsid w:val="00F31BCA"/>
    <w:rsid w:val="00F31DD8"/>
    <w:rsid w:val="00F31DF8"/>
    <w:rsid w:val="00F31E6A"/>
    <w:rsid w:val="00F320AB"/>
    <w:rsid w:val="00F3235B"/>
    <w:rsid w:val="00F3285D"/>
    <w:rsid w:val="00F32BD4"/>
    <w:rsid w:val="00F32C05"/>
    <w:rsid w:val="00F32C21"/>
    <w:rsid w:val="00F32D99"/>
    <w:rsid w:val="00F32E7A"/>
    <w:rsid w:val="00F32F1C"/>
    <w:rsid w:val="00F32FF6"/>
    <w:rsid w:val="00F3306F"/>
    <w:rsid w:val="00F33262"/>
    <w:rsid w:val="00F332EF"/>
    <w:rsid w:val="00F3370C"/>
    <w:rsid w:val="00F338F3"/>
    <w:rsid w:val="00F3392F"/>
    <w:rsid w:val="00F33968"/>
    <w:rsid w:val="00F33C85"/>
    <w:rsid w:val="00F33D3B"/>
    <w:rsid w:val="00F33D76"/>
    <w:rsid w:val="00F33D8A"/>
    <w:rsid w:val="00F33E25"/>
    <w:rsid w:val="00F33FC8"/>
    <w:rsid w:val="00F3423F"/>
    <w:rsid w:val="00F3462F"/>
    <w:rsid w:val="00F34776"/>
    <w:rsid w:val="00F3477E"/>
    <w:rsid w:val="00F34933"/>
    <w:rsid w:val="00F34AE2"/>
    <w:rsid w:val="00F34B76"/>
    <w:rsid w:val="00F34BE4"/>
    <w:rsid w:val="00F34C56"/>
    <w:rsid w:val="00F34C8A"/>
    <w:rsid w:val="00F34DF3"/>
    <w:rsid w:val="00F34F67"/>
    <w:rsid w:val="00F34FAF"/>
    <w:rsid w:val="00F350FC"/>
    <w:rsid w:val="00F352D7"/>
    <w:rsid w:val="00F35484"/>
    <w:rsid w:val="00F3552B"/>
    <w:rsid w:val="00F355B9"/>
    <w:rsid w:val="00F356B2"/>
    <w:rsid w:val="00F358E7"/>
    <w:rsid w:val="00F35E6D"/>
    <w:rsid w:val="00F360B6"/>
    <w:rsid w:val="00F361AD"/>
    <w:rsid w:val="00F361DA"/>
    <w:rsid w:val="00F3627C"/>
    <w:rsid w:val="00F36307"/>
    <w:rsid w:val="00F36461"/>
    <w:rsid w:val="00F36527"/>
    <w:rsid w:val="00F367DC"/>
    <w:rsid w:val="00F36802"/>
    <w:rsid w:val="00F3680B"/>
    <w:rsid w:val="00F368D0"/>
    <w:rsid w:val="00F3694A"/>
    <w:rsid w:val="00F36ABA"/>
    <w:rsid w:val="00F36C3B"/>
    <w:rsid w:val="00F36D26"/>
    <w:rsid w:val="00F36E1B"/>
    <w:rsid w:val="00F36E20"/>
    <w:rsid w:val="00F36E2E"/>
    <w:rsid w:val="00F370EC"/>
    <w:rsid w:val="00F37132"/>
    <w:rsid w:val="00F3763C"/>
    <w:rsid w:val="00F3766C"/>
    <w:rsid w:val="00F37674"/>
    <w:rsid w:val="00F37818"/>
    <w:rsid w:val="00F378B8"/>
    <w:rsid w:val="00F3796A"/>
    <w:rsid w:val="00F37A51"/>
    <w:rsid w:val="00F37A8E"/>
    <w:rsid w:val="00F37B36"/>
    <w:rsid w:val="00F37C42"/>
    <w:rsid w:val="00F37D5B"/>
    <w:rsid w:val="00F37DE9"/>
    <w:rsid w:val="00F37E08"/>
    <w:rsid w:val="00F40097"/>
    <w:rsid w:val="00F4016A"/>
    <w:rsid w:val="00F40314"/>
    <w:rsid w:val="00F403CB"/>
    <w:rsid w:val="00F404B4"/>
    <w:rsid w:val="00F405E0"/>
    <w:rsid w:val="00F405E4"/>
    <w:rsid w:val="00F405E7"/>
    <w:rsid w:val="00F4061B"/>
    <w:rsid w:val="00F40979"/>
    <w:rsid w:val="00F409B1"/>
    <w:rsid w:val="00F40A17"/>
    <w:rsid w:val="00F40B28"/>
    <w:rsid w:val="00F40C0C"/>
    <w:rsid w:val="00F40C2B"/>
    <w:rsid w:val="00F40D31"/>
    <w:rsid w:val="00F40DE3"/>
    <w:rsid w:val="00F40E67"/>
    <w:rsid w:val="00F41199"/>
    <w:rsid w:val="00F413D6"/>
    <w:rsid w:val="00F414CC"/>
    <w:rsid w:val="00F4152F"/>
    <w:rsid w:val="00F416B9"/>
    <w:rsid w:val="00F41782"/>
    <w:rsid w:val="00F41915"/>
    <w:rsid w:val="00F419AF"/>
    <w:rsid w:val="00F41AA7"/>
    <w:rsid w:val="00F41B23"/>
    <w:rsid w:val="00F41C39"/>
    <w:rsid w:val="00F41E36"/>
    <w:rsid w:val="00F41EFE"/>
    <w:rsid w:val="00F41F60"/>
    <w:rsid w:val="00F42031"/>
    <w:rsid w:val="00F42046"/>
    <w:rsid w:val="00F420FD"/>
    <w:rsid w:val="00F421C6"/>
    <w:rsid w:val="00F42240"/>
    <w:rsid w:val="00F42358"/>
    <w:rsid w:val="00F425A9"/>
    <w:rsid w:val="00F4263B"/>
    <w:rsid w:val="00F4265B"/>
    <w:rsid w:val="00F42728"/>
    <w:rsid w:val="00F42761"/>
    <w:rsid w:val="00F429CB"/>
    <w:rsid w:val="00F42AB2"/>
    <w:rsid w:val="00F42D0F"/>
    <w:rsid w:val="00F42E07"/>
    <w:rsid w:val="00F4328D"/>
    <w:rsid w:val="00F433B5"/>
    <w:rsid w:val="00F43587"/>
    <w:rsid w:val="00F435FD"/>
    <w:rsid w:val="00F4372A"/>
    <w:rsid w:val="00F43AD2"/>
    <w:rsid w:val="00F44029"/>
    <w:rsid w:val="00F441A2"/>
    <w:rsid w:val="00F4420C"/>
    <w:rsid w:val="00F44298"/>
    <w:rsid w:val="00F44337"/>
    <w:rsid w:val="00F44551"/>
    <w:rsid w:val="00F44833"/>
    <w:rsid w:val="00F4491D"/>
    <w:rsid w:val="00F44B9E"/>
    <w:rsid w:val="00F44BD2"/>
    <w:rsid w:val="00F44C43"/>
    <w:rsid w:val="00F44CAE"/>
    <w:rsid w:val="00F44D18"/>
    <w:rsid w:val="00F44F29"/>
    <w:rsid w:val="00F45149"/>
    <w:rsid w:val="00F45447"/>
    <w:rsid w:val="00F4548E"/>
    <w:rsid w:val="00F45844"/>
    <w:rsid w:val="00F4588F"/>
    <w:rsid w:val="00F45B18"/>
    <w:rsid w:val="00F45F2A"/>
    <w:rsid w:val="00F461E8"/>
    <w:rsid w:val="00F46524"/>
    <w:rsid w:val="00F46770"/>
    <w:rsid w:val="00F468B1"/>
    <w:rsid w:val="00F468CC"/>
    <w:rsid w:val="00F469EC"/>
    <w:rsid w:val="00F46AC9"/>
    <w:rsid w:val="00F46AF6"/>
    <w:rsid w:val="00F46F4C"/>
    <w:rsid w:val="00F471A8"/>
    <w:rsid w:val="00F471AF"/>
    <w:rsid w:val="00F471D2"/>
    <w:rsid w:val="00F472D5"/>
    <w:rsid w:val="00F47674"/>
    <w:rsid w:val="00F478DB"/>
    <w:rsid w:val="00F47931"/>
    <w:rsid w:val="00F47AA4"/>
    <w:rsid w:val="00F47AE9"/>
    <w:rsid w:val="00F47D07"/>
    <w:rsid w:val="00F47E87"/>
    <w:rsid w:val="00F50027"/>
    <w:rsid w:val="00F50225"/>
    <w:rsid w:val="00F5097D"/>
    <w:rsid w:val="00F50A07"/>
    <w:rsid w:val="00F50A58"/>
    <w:rsid w:val="00F50AD8"/>
    <w:rsid w:val="00F50BC9"/>
    <w:rsid w:val="00F50D73"/>
    <w:rsid w:val="00F50D98"/>
    <w:rsid w:val="00F50EC8"/>
    <w:rsid w:val="00F51004"/>
    <w:rsid w:val="00F51217"/>
    <w:rsid w:val="00F5124B"/>
    <w:rsid w:val="00F513BD"/>
    <w:rsid w:val="00F515B7"/>
    <w:rsid w:val="00F516FA"/>
    <w:rsid w:val="00F5196C"/>
    <w:rsid w:val="00F519B5"/>
    <w:rsid w:val="00F51EB1"/>
    <w:rsid w:val="00F5221C"/>
    <w:rsid w:val="00F52254"/>
    <w:rsid w:val="00F5239B"/>
    <w:rsid w:val="00F5240A"/>
    <w:rsid w:val="00F52674"/>
    <w:rsid w:val="00F5269B"/>
    <w:rsid w:val="00F527A2"/>
    <w:rsid w:val="00F52B22"/>
    <w:rsid w:val="00F52BF4"/>
    <w:rsid w:val="00F52E1C"/>
    <w:rsid w:val="00F52E69"/>
    <w:rsid w:val="00F52EFB"/>
    <w:rsid w:val="00F52F30"/>
    <w:rsid w:val="00F52F90"/>
    <w:rsid w:val="00F531E9"/>
    <w:rsid w:val="00F5323D"/>
    <w:rsid w:val="00F5365D"/>
    <w:rsid w:val="00F537BC"/>
    <w:rsid w:val="00F5387A"/>
    <w:rsid w:val="00F53988"/>
    <w:rsid w:val="00F539B8"/>
    <w:rsid w:val="00F53B0C"/>
    <w:rsid w:val="00F53C83"/>
    <w:rsid w:val="00F53CCE"/>
    <w:rsid w:val="00F53E6D"/>
    <w:rsid w:val="00F5403B"/>
    <w:rsid w:val="00F54141"/>
    <w:rsid w:val="00F5420D"/>
    <w:rsid w:val="00F543BD"/>
    <w:rsid w:val="00F5451E"/>
    <w:rsid w:val="00F54936"/>
    <w:rsid w:val="00F5494F"/>
    <w:rsid w:val="00F54968"/>
    <w:rsid w:val="00F54CB2"/>
    <w:rsid w:val="00F54E3B"/>
    <w:rsid w:val="00F55056"/>
    <w:rsid w:val="00F550CA"/>
    <w:rsid w:val="00F55302"/>
    <w:rsid w:val="00F55328"/>
    <w:rsid w:val="00F55471"/>
    <w:rsid w:val="00F5557B"/>
    <w:rsid w:val="00F55794"/>
    <w:rsid w:val="00F5582A"/>
    <w:rsid w:val="00F55831"/>
    <w:rsid w:val="00F558A8"/>
    <w:rsid w:val="00F5596F"/>
    <w:rsid w:val="00F55A21"/>
    <w:rsid w:val="00F55AF7"/>
    <w:rsid w:val="00F55BB0"/>
    <w:rsid w:val="00F55C04"/>
    <w:rsid w:val="00F55C14"/>
    <w:rsid w:val="00F55C38"/>
    <w:rsid w:val="00F56278"/>
    <w:rsid w:val="00F5650A"/>
    <w:rsid w:val="00F5665E"/>
    <w:rsid w:val="00F567BD"/>
    <w:rsid w:val="00F56A3B"/>
    <w:rsid w:val="00F56D1E"/>
    <w:rsid w:val="00F56E01"/>
    <w:rsid w:val="00F56FF1"/>
    <w:rsid w:val="00F5715D"/>
    <w:rsid w:val="00F571FE"/>
    <w:rsid w:val="00F57341"/>
    <w:rsid w:val="00F57403"/>
    <w:rsid w:val="00F576E7"/>
    <w:rsid w:val="00F57793"/>
    <w:rsid w:val="00F57877"/>
    <w:rsid w:val="00F57899"/>
    <w:rsid w:val="00F578EB"/>
    <w:rsid w:val="00F57939"/>
    <w:rsid w:val="00F57940"/>
    <w:rsid w:val="00F57E12"/>
    <w:rsid w:val="00F57FB5"/>
    <w:rsid w:val="00F57FCF"/>
    <w:rsid w:val="00F6005D"/>
    <w:rsid w:val="00F605AA"/>
    <w:rsid w:val="00F6066F"/>
    <w:rsid w:val="00F60690"/>
    <w:rsid w:val="00F606B8"/>
    <w:rsid w:val="00F60804"/>
    <w:rsid w:val="00F60855"/>
    <w:rsid w:val="00F60873"/>
    <w:rsid w:val="00F6087A"/>
    <w:rsid w:val="00F60A16"/>
    <w:rsid w:val="00F60BA7"/>
    <w:rsid w:val="00F60EB9"/>
    <w:rsid w:val="00F6127B"/>
    <w:rsid w:val="00F61348"/>
    <w:rsid w:val="00F61710"/>
    <w:rsid w:val="00F61854"/>
    <w:rsid w:val="00F61AC0"/>
    <w:rsid w:val="00F62070"/>
    <w:rsid w:val="00F623E7"/>
    <w:rsid w:val="00F62548"/>
    <w:rsid w:val="00F62815"/>
    <w:rsid w:val="00F628E4"/>
    <w:rsid w:val="00F62A69"/>
    <w:rsid w:val="00F62EF4"/>
    <w:rsid w:val="00F6306B"/>
    <w:rsid w:val="00F63086"/>
    <w:rsid w:val="00F630EB"/>
    <w:rsid w:val="00F6312C"/>
    <w:rsid w:val="00F632D3"/>
    <w:rsid w:val="00F63580"/>
    <w:rsid w:val="00F635D2"/>
    <w:rsid w:val="00F636D4"/>
    <w:rsid w:val="00F637EE"/>
    <w:rsid w:val="00F63865"/>
    <w:rsid w:val="00F639E5"/>
    <w:rsid w:val="00F63CC8"/>
    <w:rsid w:val="00F63E3A"/>
    <w:rsid w:val="00F63F6A"/>
    <w:rsid w:val="00F63F79"/>
    <w:rsid w:val="00F63FC4"/>
    <w:rsid w:val="00F63FC8"/>
    <w:rsid w:val="00F6425A"/>
    <w:rsid w:val="00F64417"/>
    <w:rsid w:val="00F64552"/>
    <w:rsid w:val="00F645B9"/>
    <w:rsid w:val="00F645CC"/>
    <w:rsid w:val="00F64625"/>
    <w:rsid w:val="00F64B30"/>
    <w:rsid w:val="00F64B4D"/>
    <w:rsid w:val="00F64D1F"/>
    <w:rsid w:val="00F64DB2"/>
    <w:rsid w:val="00F64E4B"/>
    <w:rsid w:val="00F64E74"/>
    <w:rsid w:val="00F64FDF"/>
    <w:rsid w:val="00F65324"/>
    <w:rsid w:val="00F6532D"/>
    <w:rsid w:val="00F654FE"/>
    <w:rsid w:val="00F6553A"/>
    <w:rsid w:val="00F65549"/>
    <w:rsid w:val="00F656E2"/>
    <w:rsid w:val="00F65959"/>
    <w:rsid w:val="00F65C32"/>
    <w:rsid w:val="00F65C5A"/>
    <w:rsid w:val="00F65C79"/>
    <w:rsid w:val="00F65D0A"/>
    <w:rsid w:val="00F65D23"/>
    <w:rsid w:val="00F65EFA"/>
    <w:rsid w:val="00F65FCB"/>
    <w:rsid w:val="00F65FEA"/>
    <w:rsid w:val="00F66107"/>
    <w:rsid w:val="00F66276"/>
    <w:rsid w:val="00F66281"/>
    <w:rsid w:val="00F66497"/>
    <w:rsid w:val="00F66620"/>
    <w:rsid w:val="00F66748"/>
    <w:rsid w:val="00F667CC"/>
    <w:rsid w:val="00F66AEF"/>
    <w:rsid w:val="00F66B1B"/>
    <w:rsid w:val="00F66C65"/>
    <w:rsid w:val="00F66CA9"/>
    <w:rsid w:val="00F66D55"/>
    <w:rsid w:val="00F67035"/>
    <w:rsid w:val="00F6709A"/>
    <w:rsid w:val="00F670FB"/>
    <w:rsid w:val="00F67127"/>
    <w:rsid w:val="00F672D4"/>
    <w:rsid w:val="00F6766C"/>
    <w:rsid w:val="00F67BE4"/>
    <w:rsid w:val="00F67DCF"/>
    <w:rsid w:val="00F67E8B"/>
    <w:rsid w:val="00F67EC7"/>
    <w:rsid w:val="00F702CB"/>
    <w:rsid w:val="00F70356"/>
    <w:rsid w:val="00F705CE"/>
    <w:rsid w:val="00F70847"/>
    <w:rsid w:val="00F709C1"/>
    <w:rsid w:val="00F70A8D"/>
    <w:rsid w:val="00F70D02"/>
    <w:rsid w:val="00F70E13"/>
    <w:rsid w:val="00F70F11"/>
    <w:rsid w:val="00F70F28"/>
    <w:rsid w:val="00F70FC3"/>
    <w:rsid w:val="00F71164"/>
    <w:rsid w:val="00F71238"/>
    <w:rsid w:val="00F7123C"/>
    <w:rsid w:val="00F712FB"/>
    <w:rsid w:val="00F713EB"/>
    <w:rsid w:val="00F71941"/>
    <w:rsid w:val="00F719B9"/>
    <w:rsid w:val="00F71A1F"/>
    <w:rsid w:val="00F71C46"/>
    <w:rsid w:val="00F71CC3"/>
    <w:rsid w:val="00F71D07"/>
    <w:rsid w:val="00F71D71"/>
    <w:rsid w:val="00F71E19"/>
    <w:rsid w:val="00F71E4F"/>
    <w:rsid w:val="00F72075"/>
    <w:rsid w:val="00F721CA"/>
    <w:rsid w:val="00F7260A"/>
    <w:rsid w:val="00F728C6"/>
    <w:rsid w:val="00F72913"/>
    <w:rsid w:val="00F72AA8"/>
    <w:rsid w:val="00F73032"/>
    <w:rsid w:val="00F730D7"/>
    <w:rsid w:val="00F73703"/>
    <w:rsid w:val="00F737A0"/>
    <w:rsid w:val="00F73895"/>
    <w:rsid w:val="00F7389F"/>
    <w:rsid w:val="00F73FFD"/>
    <w:rsid w:val="00F7402D"/>
    <w:rsid w:val="00F740F9"/>
    <w:rsid w:val="00F741A0"/>
    <w:rsid w:val="00F742AC"/>
    <w:rsid w:val="00F742F5"/>
    <w:rsid w:val="00F742FD"/>
    <w:rsid w:val="00F74330"/>
    <w:rsid w:val="00F74706"/>
    <w:rsid w:val="00F74797"/>
    <w:rsid w:val="00F74A04"/>
    <w:rsid w:val="00F74AA7"/>
    <w:rsid w:val="00F74DA9"/>
    <w:rsid w:val="00F74DAC"/>
    <w:rsid w:val="00F74EF8"/>
    <w:rsid w:val="00F7502D"/>
    <w:rsid w:val="00F751CA"/>
    <w:rsid w:val="00F755C6"/>
    <w:rsid w:val="00F75620"/>
    <w:rsid w:val="00F756C7"/>
    <w:rsid w:val="00F7584F"/>
    <w:rsid w:val="00F75929"/>
    <w:rsid w:val="00F759EC"/>
    <w:rsid w:val="00F75AA5"/>
    <w:rsid w:val="00F75AB9"/>
    <w:rsid w:val="00F75C48"/>
    <w:rsid w:val="00F75E83"/>
    <w:rsid w:val="00F75E93"/>
    <w:rsid w:val="00F75FC8"/>
    <w:rsid w:val="00F762B1"/>
    <w:rsid w:val="00F763AA"/>
    <w:rsid w:val="00F7641D"/>
    <w:rsid w:val="00F7695B"/>
    <w:rsid w:val="00F76BF1"/>
    <w:rsid w:val="00F76FF3"/>
    <w:rsid w:val="00F77369"/>
    <w:rsid w:val="00F776A2"/>
    <w:rsid w:val="00F77871"/>
    <w:rsid w:val="00F778CB"/>
    <w:rsid w:val="00F77926"/>
    <w:rsid w:val="00F77A0F"/>
    <w:rsid w:val="00F77E84"/>
    <w:rsid w:val="00F77FBF"/>
    <w:rsid w:val="00F80151"/>
    <w:rsid w:val="00F8032A"/>
    <w:rsid w:val="00F80495"/>
    <w:rsid w:val="00F804F9"/>
    <w:rsid w:val="00F805C4"/>
    <w:rsid w:val="00F806BD"/>
    <w:rsid w:val="00F806DD"/>
    <w:rsid w:val="00F806E6"/>
    <w:rsid w:val="00F8080B"/>
    <w:rsid w:val="00F80861"/>
    <w:rsid w:val="00F80884"/>
    <w:rsid w:val="00F808A9"/>
    <w:rsid w:val="00F80DD0"/>
    <w:rsid w:val="00F80DFB"/>
    <w:rsid w:val="00F80F26"/>
    <w:rsid w:val="00F80F9F"/>
    <w:rsid w:val="00F80FE9"/>
    <w:rsid w:val="00F81074"/>
    <w:rsid w:val="00F810D0"/>
    <w:rsid w:val="00F811C5"/>
    <w:rsid w:val="00F813C6"/>
    <w:rsid w:val="00F814DB"/>
    <w:rsid w:val="00F81737"/>
    <w:rsid w:val="00F81991"/>
    <w:rsid w:val="00F81AEC"/>
    <w:rsid w:val="00F81B26"/>
    <w:rsid w:val="00F81B6D"/>
    <w:rsid w:val="00F81F86"/>
    <w:rsid w:val="00F81FB1"/>
    <w:rsid w:val="00F82055"/>
    <w:rsid w:val="00F82061"/>
    <w:rsid w:val="00F821E6"/>
    <w:rsid w:val="00F82371"/>
    <w:rsid w:val="00F82393"/>
    <w:rsid w:val="00F823DC"/>
    <w:rsid w:val="00F824BA"/>
    <w:rsid w:val="00F8260A"/>
    <w:rsid w:val="00F82850"/>
    <w:rsid w:val="00F82902"/>
    <w:rsid w:val="00F829A4"/>
    <w:rsid w:val="00F829AC"/>
    <w:rsid w:val="00F82B26"/>
    <w:rsid w:val="00F82BED"/>
    <w:rsid w:val="00F82C9A"/>
    <w:rsid w:val="00F82CFB"/>
    <w:rsid w:val="00F82D18"/>
    <w:rsid w:val="00F82E50"/>
    <w:rsid w:val="00F82FD4"/>
    <w:rsid w:val="00F8305B"/>
    <w:rsid w:val="00F833DE"/>
    <w:rsid w:val="00F83403"/>
    <w:rsid w:val="00F83415"/>
    <w:rsid w:val="00F8379C"/>
    <w:rsid w:val="00F837D3"/>
    <w:rsid w:val="00F839C2"/>
    <w:rsid w:val="00F83C7E"/>
    <w:rsid w:val="00F83CC3"/>
    <w:rsid w:val="00F83CF3"/>
    <w:rsid w:val="00F83EF2"/>
    <w:rsid w:val="00F8404C"/>
    <w:rsid w:val="00F84184"/>
    <w:rsid w:val="00F842D1"/>
    <w:rsid w:val="00F84305"/>
    <w:rsid w:val="00F844BC"/>
    <w:rsid w:val="00F845D3"/>
    <w:rsid w:val="00F84611"/>
    <w:rsid w:val="00F846A8"/>
    <w:rsid w:val="00F84761"/>
    <w:rsid w:val="00F84A93"/>
    <w:rsid w:val="00F84BE7"/>
    <w:rsid w:val="00F84C36"/>
    <w:rsid w:val="00F851A7"/>
    <w:rsid w:val="00F85227"/>
    <w:rsid w:val="00F85599"/>
    <w:rsid w:val="00F85607"/>
    <w:rsid w:val="00F856F8"/>
    <w:rsid w:val="00F8581D"/>
    <w:rsid w:val="00F85849"/>
    <w:rsid w:val="00F8584E"/>
    <w:rsid w:val="00F85882"/>
    <w:rsid w:val="00F85C5C"/>
    <w:rsid w:val="00F85CB9"/>
    <w:rsid w:val="00F85F66"/>
    <w:rsid w:val="00F8606B"/>
    <w:rsid w:val="00F860F6"/>
    <w:rsid w:val="00F8627D"/>
    <w:rsid w:val="00F86482"/>
    <w:rsid w:val="00F868AC"/>
    <w:rsid w:val="00F86A8F"/>
    <w:rsid w:val="00F86A93"/>
    <w:rsid w:val="00F86ADC"/>
    <w:rsid w:val="00F86BB8"/>
    <w:rsid w:val="00F86DAE"/>
    <w:rsid w:val="00F86E3E"/>
    <w:rsid w:val="00F86EDD"/>
    <w:rsid w:val="00F870B6"/>
    <w:rsid w:val="00F8724B"/>
    <w:rsid w:val="00F874E9"/>
    <w:rsid w:val="00F87659"/>
    <w:rsid w:val="00F8775C"/>
    <w:rsid w:val="00F877AA"/>
    <w:rsid w:val="00F877BB"/>
    <w:rsid w:val="00F879C9"/>
    <w:rsid w:val="00F87BA8"/>
    <w:rsid w:val="00F87BC8"/>
    <w:rsid w:val="00F87BFA"/>
    <w:rsid w:val="00F87E59"/>
    <w:rsid w:val="00F87EDA"/>
    <w:rsid w:val="00F87F02"/>
    <w:rsid w:val="00F900DE"/>
    <w:rsid w:val="00F902BE"/>
    <w:rsid w:val="00F904A1"/>
    <w:rsid w:val="00F904CB"/>
    <w:rsid w:val="00F905FF"/>
    <w:rsid w:val="00F9080E"/>
    <w:rsid w:val="00F908E9"/>
    <w:rsid w:val="00F908F7"/>
    <w:rsid w:val="00F9090A"/>
    <w:rsid w:val="00F90A4B"/>
    <w:rsid w:val="00F90CDB"/>
    <w:rsid w:val="00F90CE4"/>
    <w:rsid w:val="00F90E3A"/>
    <w:rsid w:val="00F910A3"/>
    <w:rsid w:val="00F9138B"/>
    <w:rsid w:val="00F91AE1"/>
    <w:rsid w:val="00F91B90"/>
    <w:rsid w:val="00F91C23"/>
    <w:rsid w:val="00F91DCC"/>
    <w:rsid w:val="00F92086"/>
    <w:rsid w:val="00F921A8"/>
    <w:rsid w:val="00F922DC"/>
    <w:rsid w:val="00F923DB"/>
    <w:rsid w:val="00F92493"/>
    <w:rsid w:val="00F92517"/>
    <w:rsid w:val="00F9277E"/>
    <w:rsid w:val="00F92902"/>
    <w:rsid w:val="00F9292E"/>
    <w:rsid w:val="00F929EF"/>
    <w:rsid w:val="00F929F8"/>
    <w:rsid w:val="00F92BD9"/>
    <w:rsid w:val="00F92EA9"/>
    <w:rsid w:val="00F9312E"/>
    <w:rsid w:val="00F93272"/>
    <w:rsid w:val="00F93281"/>
    <w:rsid w:val="00F932A2"/>
    <w:rsid w:val="00F9333E"/>
    <w:rsid w:val="00F934BE"/>
    <w:rsid w:val="00F939D6"/>
    <w:rsid w:val="00F93BDA"/>
    <w:rsid w:val="00F93E7F"/>
    <w:rsid w:val="00F93EC0"/>
    <w:rsid w:val="00F93F71"/>
    <w:rsid w:val="00F93FBB"/>
    <w:rsid w:val="00F94304"/>
    <w:rsid w:val="00F943D0"/>
    <w:rsid w:val="00F94497"/>
    <w:rsid w:val="00F947A2"/>
    <w:rsid w:val="00F947AA"/>
    <w:rsid w:val="00F94C22"/>
    <w:rsid w:val="00F94C9B"/>
    <w:rsid w:val="00F94DAF"/>
    <w:rsid w:val="00F94EC1"/>
    <w:rsid w:val="00F94ECC"/>
    <w:rsid w:val="00F94F8D"/>
    <w:rsid w:val="00F95013"/>
    <w:rsid w:val="00F953D7"/>
    <w:rsid w:val="00F9559B"/>
    <w:rsid w:val="00F956C0"/>
    <w:rsid w:val="00F95762"/>
    <w:rsid w:val="00F95763"/>
    <w:rsid w:val="00F958F9"/>
    <w:rsid w:val="00F959FD"/>
    <w:rsid w:val="00F95B93"/>
    <w:rsid w:val="00F95C56"/>
    <w:rsid w:val="00F95DD9"/>
    <w:rsid w:val="00F95EF4"/>
    <w:rsid w:val="00F96034"/>
    <w:rsid w:val="00F960B8"/>
    <w:rsid w:val="00F9618E"/>
    <w:rsid w:val="00F96472"/>
    <w:rsid w:val="00F96473"/>
    <w:rsid w:val="00F96541"/>
    <w:rsid w:val="00F965B9"/>
    <w:rsid w:val="00F9660D"/>
    <w:rsid w:val="00F96859"/>
    <w:rsid w:val="00F9687C"/>
    <w:rsid w:val="00F968FB"/>
    <w:rsid w:val="00F96AF8"/>
    <w:rsid w:val="00F96BC3"/>
    <w:rsid w:val="00F96C14"/>
    <w:rsid w:val="00F96C4C"/>
    <w:rsid w:val="00F96C9F"/>
    <w:rsid w:val="00F96CB9"/>
    <w:rsid w:val="00F96D95"/>
    <w:rsid w:val="00F96E9F"/>
    <w:rsid w:val="00F97135"/>
    <w:rsid w:val="00F97794"/>
    <w:rsid w:val="00F97805"/>
    <w:rsid w:val="00F979B1"/>
    <w:rsid w:val="00F979EF"/>
    <w:rsid w:val="00F97B53"/>
    <w:rsid w:val="00F97BEF"/>
    <w:rsid w:val="00F97C2D"/>
    <w:rsid w:val="00F97D21"/>
    <w:rsid w:val="00F97DB1"/>
    <w:rsid w:val="00F97E89"/>
    <w:rsid w:val="00FA0061"/>
    <w:rsid w:val="00FA00C3"/>
    <w:rsid w:val="00FA00ED"/>
    <w:rsid w:val="00FA02C6"/>
    <w:rsid w:val="00FA030F"/>
    <w:rsid w:val="00FA0324"/>
    <w:rsid w:val="00FA037A"/>
    <w:rsid w:val="00FA05AB"/>
    <w:rsid w:val="00FA070E"/>
    <w:rsid w:val="00FA085D"/>
    <w:rsid w:val="00FA090B"/>
    <w:rsid w:val="00FA0A1F"/>
    <w:rsid w:val="00FA0A62"/>
    <w:rsid w:val="00FA0B11"/>
    <w:rsid w:val="00FA0D51"/>
    <w:rsid w:val="00FA0F56"/>
    <w:rsid w:val="00FA1240"/>
    <w:rsid w:val="00FA16A6"/>
    <w:rsid w:val="00FA170B"/>
    <w:rsid w:val="00FA17A5"/>
    <w:rsid w:val="00FA1903"/>
    <w:rsid w:val="00FA1B2A"/>
    <w:rsid w:val="00FA1B35"/>
    <w:rsid w:val="00FA1BDB"/>
    <w:rsid w:val="00FA1C16"/>
    <w:rsid w:val="00FA1D0C"/>
    <w:rsid w:val="00FA1D1C"/>
    <w:rsid w:val="00FA1D59"/>
    <w:rsid w:val="00FA1E54"/>
    <w:rsid w:val="00FA1F7B"/>
    <w:rsid w:val="00FA212E"/>
    <w:rsid w:val="00FA261D"/>
    <w:rsid w:val="00FA26CD"/>
    <w:rsid w:val="00FA285F"/>
    <w:rsid w:val="00FA288B"/>
    <w:rsid w:val="00FA291F"/>
    <w:rsid w:val="00FA2955"/>
    <w:rsid w:val="00FA29FB"/>
    <w:rsid w:val="00FA2E49"/>
    <w:rsid w:val="00FA3146"/>
    <w:rsid w:val="00FA3159"/>
    <w:rsid w:val="00FA316A"/>
    <w:rsid w:val="00FA32D5"/>
    <w:rsid w:val="00FA35FB"/>
    <w:rsid w:val="00FA369A"/>
    <w:rsid w:val="00FA36A7"/>
    <w:rsid w:val="00FA3AA6"/>
    <w:rsid w:val="00FA3BC0"/>
    <w:rsid w:val="00FA41F1"/>
    <w:rsid w:val="00FA427B"/>
    <w:rsid w:val="00FA4320"/>
    <w:rsid w:val="00FA437C"/>
    <w:rsid w:val="00FA43B1"/>
    <w:rsid w:val="00FA4701"/>
    <w:rsid w:val="00FA4790"/>
    <w:rsid w:val="00FA4A38"/>
    <w:rsid w:val="00FA4A65"/>
    <w:rsid w:val="00FA4CBB"/>
    <w:rsid w:val="00FA4D32"/>
    <w:rsid w:val="00FA4E89"/>
    <w:rsid w:val="00FA500B"/>
    <w:rsid w:val="00FA50C8"/>
    <w:rsid w:val="00FA51B3"/>
    <w:rsid w:val="00FA526F"/>
    <w:rsid w:val="00FA5472"/>
    <w:rsid w:val="00FA54EB"/>
    <w:rsid w:val="00FA5583"/>
    <w:rsid w:val="00FA567F"/>
    <w:rsid w:val="00FA569B"/>
    <w:rsid w:val="00FA59CD"/>
    <w:rsid w:val="00FA59F1"/>
    <w:rsid w:val="00FA5B42"/>
    <w:rsid w:val="00FA5BD6"/>
    <w:rsid w:val="00FA5BE5"/>
    <w:rsid w:val="00FA5C28"/>
    <w:rsid w:val="00FA5C5B"/>
    <w:rsid w:val="00FA5FF1"/>
    <w:rsid w:val="00FA6092"/>
    <w:rsid w:val="00FA613A"/>
    <w:rsid w:val="00FA62B2"/>
    <w:rsid w:val="00FA641F"/>
    <w:rsid w:val="00FA656B"/>
    <w:rsid w:val="00FA6748"/>
    <w:rsid w:val="00FA675A"/>
    <w:rsid w:val="00FA6886"/>
    <w:rsid w:val="00FA69A9"/>
    <w:rsid w:val="00FA6ACF"/>
    <w:rsid w:val="00FA6D1F"/>
    <w:rsid w:val="00FA6D61"/>
    <w:rsid w:val="00FA701E"/>
    <w:rsid w:val="00FA7956"/>
    <w:rsid w:val="00FA79D1"/>
    <w:rsid w:val="00FA7AC1"/>
    <w:rsid w:val="00FA7C50"/>
    <w:rsid w:val="00FA7E5B"/>
    <w:rsid w:val="00FA7E6B"/>
    <w:rsid w:val="00FB03F2"/>
    <w:rsid w:val="00FB0483"/>
    <w:rsid w:val="00FB0793"/>
    <w:rsid w:val="00FB08F9"/>
    <w:rsid w:val="00FB0BE1"/>
    <w:rsid w:val="00FB0C0C"/>
    <w:rsid w:val="00FB0D15"/>
    <w:rsid w:val="00FB0F8C"/>
    <w:rsid w:val="00FB1781"/>
    <w:rsid w:val="00FB1A10"/>
    <w:rsid w:val="00FB1A38"/>
    <w:rsid w:val="00FB1A3E"/>
    <w:rsid w:val="00FB1BD9"/>
    <w:rsid w:val="00FB1C3C"/>
    <w:rsid w:val="00FB1E3B"/>
    <w:rsid w:val="00FB1EA2"/>
    <w:rsid w:val="00FB1EFD"/>
    <w:rsid w:val="00FB20F4"/>
    <w:rsid w:val="00FB224A"/>
    <w:rsid w:val="00FB2282"/>
    <w:rsid w:val="00FB2629"/>
    <w:rsid w:val="00FB2771"/>
    <w:rsid w:val="00FB2ABC"/>
    <w:rsid w:val="00FB2C0E"/>
    <w:rsid w:val="00FB2DC5"/>
    <w:rsid w:val="00FB2E60"/>
    <w:rsid w:val="00FB2E82"/>
    <w:rsid w:val="00FB2F9F"/>
    <w:rsid w:val="00FB308F"/>
    <w:rsid w:val="00FB32AD"/>
    <w:rsid w:val="00FB3462"/>
    <w:rsid w:val="00FB34CB"/>
    <w:rsid w:val="00FB3521"/>
    <w:rsid w:val="00FB36C1"/>
    <w:rsid w:val="00FB37DA"/>
    <w:rsid w:val="00FB38A3"/>
    <w:rsid w:val="00FB394A"/>
    <w:rsid w:val="00FB3BD3"/>
    <w:rsid w:val="00FB3EAA"/>
    <w:rsid w:val="00FB3FC9"/>
    <w:rsid w:val="00FB4094"/>
    <w:rsid w:val="00FB40A1"/>
    <w:rsid w:val="00FB4193"/>
    <w:rsid w:val="00FB427A"/>
    <w:rsid w:val="00FB4475"/>
    <w:rsid w:val="00FB4510"/>
    <w:rsid w:val="00FB4686"/>
    <w:rsid w:val="00FB46AB"/>
    <w:rsid w:val="00FB479E"/>
    <w:rsid w:val="00FB49E3"/>
    <w:rsid w:val="00FB4A00"/>
    <w:rsid w:val="00FB4A12"/>
    <w:rsid w:val="00FB4B42"/>
    <w:rsid w:val="00FB4F22"/>
    <w:rsid w:val="00FB526C"/>
    <w:rsid w:val="00FB5284"/>
    <w:rsid w:val="00FB535C"/>
    <w:rsid w:val="00FB5398"/>
    <w:rsid w:val="00FB564B"/>
    <w:rsid w:val="00FB580B"/>
    <w:rsid w:val="00FB5B24"/>
    <w:rsid w:val="00FB5B49"/>
    <w:rsid w:val="00FB5D16"/>
    <w:rsid w:val="00FB5DFA"/>
    <w:rsid w:val="00FB5E4C"/>
    <w:rsid w:val="00FB5E5E"/>
    <w:rsid w:val="00FB5F3E"/>
    <w:rsid w:val="00FB614F"/>
    <w:rsid w:val="00FB63AE"/>
    <w:rsid w:val="00FB640C"/>
    <w:rsid w:val="00FB6513"/>
    <w:rsid w:val="00FB66C6"/>
    <w:rsid w:val="00FB678F"/>
    <w:rsid w:val="00FB6849"/>
    <w:rsid w:val="00FB69C4"/>
    <w:rsid w:val="00FB6BDC"/>
    <w:rsid w:val="00FB6BF9"/>
    <w:rsid w:val="00FB6C63"/>
    <w:rsid w:val="00FB6D87"/>
    <w:rsid w:val="00FB6F3E"/>
    <w:rsid w:val="00FB701A"/>
    <w:rsid w:val="00FB7059"/>
    <w:rsid w:val="00FB71D7"/>
    <w:rsid w:val="00FB71F8"/>
    <w:rsid w:val="00FB7267"/>
    <w:rsid w:val="00FB7462"/>
    <w:rsid w:val="00FB749F"/>
    <w:rsid w:val="00FB7646"/>
    <w:rsid w:val="00FB77A4"/>
    <w:rsid w:val="00FB7B20"/>
    <w:rsid w:val="00FB7B72"/>
    <w:rsid w:val="00FB7B93"/>
    <w:rsid w:val="00FB7BFE"/>
    <w:rsid w:val="00FB7CDC"/>
    <w:rsid w:val="00FB7EE0"/>
    <w:rsid w:val="00FB7F9D"/>
    <w:rsid w:val="00FC0016"/>
    <w:rsid w:val="00FC0046"/>
    <w:rsid w:val="00FC0452"/>
    <w:rsid w:val="00FC049A"/>
    <w:rsid w:val="00FC04B0"/>
    <w:rsid w:val="00FC056D"/>
    <w:rsid w:val="00FC060D"/>
    <w:rsid w:val="00FC0737"/>
    <w:rsid w:val="00FC07CB"/>
    <w:rsid w:val="00FC07E2"/>
    <w:rsid w:val="00FC08A7"/>
    <w:rsid w:val="00FC0BA8"/>
    <w:rsid w:val="00FC0BF5"/>
    <w:rsid w:val="00FC0CC2"/>
    <w:rsid w:val="00FC0D4A"/>
    <w:rsid w:val="00FC0DCA"/>
    <w:rsid w:val="00FC0DFD"/>
    <w:rsid w:val="00FC0F13"/>
    <w:rsid w:val="00FC10B7"/>
    <w:rsid w:val="00FC11A3"/>
    <w:rsid w:val="00FC11F5"/>
    <w:rsid w:val="00FC1442"/>
    <w:rsid w:val="00FC153E"/>
    <w:rsid w:val="00FC1540"/>
    <w:rsid w:val="00FC1CC9"/>
    <w:rsid w:val="00FC208C"/>
    <w:rsid w:val="00FC20CE"/>
    <w:rsid w:val="00FC20F6"/>
    <w:rsid w:val="00FC218F"/>
    <w:rsid w:val="00FC21A2"/>
    <w:rsid w:val="00FC23B7"/>
    <w:rsid w:val="00FC2488"/>
    <w:rsid w:val="00FC24CF"/>
    <w:rsid w:val="00FC24EE"/>
    <w:rsid w:val="00FC2741"/>
    <w:rsid w:val="00FC27B2"/>
    <w:rsid w:val="00FC288F"/>
    <w:rsid w:val="00FC29F7"/>
    <w:rsid w:val="00FC2B3F"/>
    <w:rsid w:val="00FC2C11"/>
    <w:rsid w:val="00FC2FB6"/>
    <w:rsid w:val="00FC321D"/>
    <w:rsid w:val="00FC32AD"/>
    <w:rsid w:val="00FC33DD"/>
    <w:rsid w:val="00FC3497"/>
    <w:rsid w:val="00FC368B"/>
    <w:rsid w:val="00FC36AC"/>
    <w:rsid w:val="00FC3788"/>
    <w:rsid w:val="00FC3CA9"/>
    <w:rsid w:val="00FC3CAD"/>
    <w:rsid w:val="00FC3DEA"/>
    <w:rsid w:val="00FC3F22"/>
    <w:rsid w:val="00FC3F90"/>
    <w:rsid w:val="00FC42E4"/>
    <w:rsid w:val="00FC4445"/>
    <w:rsid w:val="00FC4452"/>
    <w:rsid w:val="00FC4873"/>
    <w:rsid w:val="00FC48C2"/>
    <w:rsid w:val="00FC4AFD"/>
    <w:rsid w:val="00FC4BF5"/>
    <w:rsid w:val="00FC4CD1"/>
    <w:rsid w:val="00FC4DBA"/>
    <w:rsid w:val="00FC4F56"/>
    <w:rsid w:val="00FC5346"/>
    <w:rsid w:val="00FC53DD"/>
    <w:rsid w:val="00FC5451"/>
    <w:rsid w:val="00FC5A0C"/>
    <w:rsid w:val="00FC5BC6"/>
    <w:rsid w:val="00FC5F66"/>
    <w:rsid w:val="00FC60E9"/>
    <w:rsid w:val="00FC6204"/>
    <w:rsid w:val="00FC6599"/>
    <w:rsid w:val="00FC68EC"/>
    <w:rsid w:val="00FC6A95"/>
    <w:rsid w:val="00FC6B7A"/>
    <w:rsid w:val="00FC6BF2"/>
    <w:rsid w:val="00FC6D77"/>
    <w:rsid w:val="00FC6E85"/>
    <w:rsid w:val="00FC6EBA"/>
    <w:rsid w:val="00FC7002"/>
    <w:rsid w:val="00FC72BB"/>
    <w:rsid w:val="00FC73C9"/>
    <w:rsid w:val="00FC7540"/>
    <w:rsid w:val="00FC7EF8"/>
    <w:rsid w:val="00FC7F45"/>
    <w:rsid w:val="00FD002B"/>
    <w:rsid w:val="00FD01A6"/>
    <w:rsid w:val="00FD05DE"/>
    <w:rsid w:val="00FD0601"/>
    <w:rsid w:val="00FD0990"/>
    <w:rsid w:val="00FD0B95"/>
    <w:rsid w:val="00FD0BC5"/>
    <w:rsid w:val="00FD0D66"/>
    <w:rsid w:val="00FD0E14"/>
    <w:rsid w:val="00FD0E99"/>
    <w:rsid w:val="00FD1070"/>
    <w:rsid w:val="00FD12DB"/>
    <w:rsid w:val="00FD1731"/>
    <w:rsid w:val="00FD190B"/>
    <w:rsid w:val="00FD1945"/>
    <w:rsid w:val="00FD1BB7"/>
    <w:rsid w:val="00FD1C3A"/>
    <w:rsid w:val="00FD1F91"/>
    <w:rsid w:val="00FD2043"/>
    <w:rsid w:val="00FD2086"/>
    <w:rsid w:val="00FD236D"/>
    <w:rsid w:val="00FD2413"/>
    <w:rsid w:val="00FD248E"/>
    <w:rsid w:val="00FD282E"/>
    <w:rsid w:val="00FD28BA"/>
    <w:rsid w:val="00FD28E2"/>
    <w:rsid w:val="00FD290A"/>
    <w:rsid w:val="00FD2936"/>
    <w:rsid w:val="00FD2965"/>
    <w:rsid w:val="00FD29C8"/>
    <w:rsid w:val="00FD2A1F"/>
    <w:rsid w:val="00FD2BAC"/>
    <w:rsid w:val="00FD2D5E"/>
    <w:rsid w:val="00FD2F31"/>
    <w:rsid w:val="00FD32C9"/>
    <w:rsid w:val="00FD3412"/>
    <w:rsid w:val="00FD3421"/>
    <w:rsid w:val="00FD387D"/>
    <w:rsid w:val="00FD3B0D"/>
    <w:rsid w:val="00FD3C37"/>
    <w:rsid w:val="00FD3C5D"/>
    <w:rsid w:val="00FD3CC5"/>
    <w:rsid w:val="00FD3E8C"/>
    <w:rsid w:val="00FD3FB7"/>
    <w:rsid w:val="00FD4023"/>
    <w:rsid w:val="00FD4070"/>
    <w:rsid w:val="00FD40CA"/>
    <w:rsid w:val="00FD4190"/>
    <w:rsid w:val="00FD4477"/>
    <w:rsid w:val="00FD447E"/>
    <w:rsid w:val="00FD4694"/>
    <w:rsid w:val="00FD478B"/>
    <w:rsid w:val="00FD47F7"/>
    <w:rsid w:val="00FD4A17"/>
    <w:rsid w:val="00FD4A87"/>
    <w:rsid w:val="00FD4D7E"/>
    <w:rsid w:val="00FD4E4C"/>
    <w:rsid w:val="00FD4F2F"/>
    <w:rsid w:val="00FD5055"/>
    <w:rsid w:val="00FD55DD"/>
    <w:rsid w:val="00FD56C4"/>
    <w:rsid w:val="00FD5714"/>
    <w:rsid w:val="00FD599B"/>
    <w:rsid w:val="00FD5AF2"/>
    <w:rsid w:val="00FD5CEC"/>
    <w:rsid w:val="00FD5DA9"/>
    <w:rsid w:val="00FD5E64"/>
    <w:rsid w:val="00FD5E8B"/>
    <w:rsid w:val="00FD5F4C"/>
    <w:rsid w:val="00FD60E1"/>
    <w:rsid w:val="00FD6137"/>
    <w:rsid w:val="00FD6475"/>
    <w:rsid w:val="00FD651E"/>
    <w:rsid w:val="00FD654F"/>
    <w:rsid w:val="00FD66E7"/>
    <w:rsid w:val="00FD68A9"/>
    <w:rsid w:val="00FD68E2"/>
    <w:rsid w:val="00FD693E"/>
    <w:rsid w:val="00FD69E8"/>
    <w:rsid w:val="00FD69F9"/>
    <w:rsid w:val="00FD6B1B"/>
    <w:rsid w:val="00FD6B62"/>
    <w:rsid w:val="00FD6B6F"/>
    <w:rsid w:val="00FD6F0A"/>
    <w:rsid w:val="00FD6F8D"/>
    <w:rsid w:val="00FD708E"/>
    <w:rsid w:val="00FD721E"/>
    <w:rsid w:val="00FD7285"/>
    <w:rsid w:val="00FD72AA"/>
    <w:rsid w:val="00FD73D8"/>
    <w:rsid w:val="00FD7580"/>
    <w:rsid w:val="00FD7729"/>
    <w:rsid w:val="00FD7746"/>
    <w:rsid w:val="00FD77DA"/>
    <w:rsid w:val="00FD7BD3"/>
    <w:rsid w:val="00FD7E32"/>
    <w:rsid w:val="00FD7EE6"/>
    <w:rsid w:val="00FE0354"/>
    <w:rsid w:val="00FE03CC"/>
    <w:rsid w:val="00FE04CE"/>
    <w:rsid w:val="00FE062E"/>
    <w:rsid w:val="00FE07C1"/>
    <w:rsid w:val="00FE0842"/>
    <w:rsid w:val="00FE097C"/>
    <w:rsid w:val="00FE0A13"/>
    <w:rsid w:val="00FE0A32"/>
    <w:rsid w:val="00FE0A85"/>
    <w:rsid w:val="00FE0BF4"/>
    <w:rsid w:val="00FE0D24"/>
    <w:rsid w:val="00FE0D9C"/>
    <w:rsid w:val="00FE0FE5"/>
    <w:rsid w:val="00FE1125"/>
    <w:rsid w:val="00FE1322"/>
    <w:rsid w:val="00FE135F"/>
    <w:rsid w:val="00FE14A5"/>
    <w:rsid w:val="00FE1617"/>
    <w:rsid w:val="00FE1622"/>
    <w:rsid w:val="00FE1669"/>
    <w:rsid w:val="00FE177E"/>
    <w:rsid w:val="00FE17C3"/>
    <w:rsid w:val="00FE17F0"/>
    <w:rsid w:val="00FE1A0E"/>
    <w:rsid w:val="00FE1A70"/>
    <w:rsid w:val="00FE2020"/>
    <w:rsid w:val="00FE2050"/>
    <w:rsid w:val="00FE21CB"/>
    <w:rsid w:val="00FE2227"/>
    <w:rsid w:val="00FE23BE"/>
    <w:rsid w:val="00FE2619"/>
    <w:rsid w:val="00FE2B3F"/>
    <w:rsid w:val="00FE2BD0"/>
    <w:rsid w:val="00FE2CC6"/>
    <w:rsid w:val="00FE2CCE"/>
    <w:rsid w:val="00FE2CEE"/>
    <w:rsid w:val="00FE2D8C"/>
    <w:rsid w:val="00FE2DFA"/>
    <w:rsid w:val="00FE2E89"/>
    <w:rsid w:val="00FE32C6"/>
    <w:rsid w:val="00FE34FB"/>
    <w:rsid w:val="00FE37EE"/>
    <w:rsid w:val="00FE38FC"/>
    <w:rsid w:val="00FE3953"/>
    <w:rsid w:val="00FE39B0"/>
    <w:rsid w:val="00FE3B05"/>
    <w:rsid w:val="00FE3D3B"/>
    <w:rsid w:val="00FE3DED"/>
    <w:rsid w:val="00FE3F55"/>
    <w:rsid w:val="00FE40BE"/>
    <w:rsid w:val="00FE41ED"/>
    <w:rsid w:val="00FE4324"/>
    <w:rsid w:val="00FE4327"/>
    <w:rsid w:val="00FE43AC"/>
    <w:rsid w:val="00FE44BE"/>
    <w:rsid w:val="00FE452E"/>
    <w:rsid w:val="00FE4589"/>
    <w:rsid w:val="00FE45FE"/>
    <w:rsid w:val="00FE47B8"/>
    <w:rsid w:val="00FE4B23"/>
    <w:rsid w:val="00FE4B7A"/>
    <w:rsid w:val="00FE4DEB"/>
    <w:rsid w:val="00FE50B4"/>
    <w:rsid w:val="00FE5628"/>
    <w:rsid w:val="00FE5678"/>
    <w:rsid w:val="00FE56FF"/>
    <w:rsid w:val="00FE574E"/>
    <w:rsid w:val="00FE593B"/>
    <w:rsid w:val="00FE5BDC"/>
    <w:rsid w:val="00FE5D16"/>
    <w:rsid w:val="00FE6023"/>
    <w:rsid w:val="00FE606D"/>
    <w:rsid w:val="00FE6193"/>
    <w:rsid w:val="00FE651B"/>
    <w:rsid w:val="00FE682C"/>
    <w:rsid w:val="00FE69F9"/>
    <w:rsid w:val="00FE6A2B"/>
    <w:rsid w:val="00FE6A46"/>
    <w:rsid w:val="00FE6A57"/>
    <w:rsid w:val="00FE6B34"/>
    <w:rsid w:val="00FE6E42"/>
    <w:rsid w:val="00FE6F6F"/>
    <w:rsid w:val="00FE6FE1"/>
    <w:rsid w:val="00FE74B4"/>
    <w:rsid w:val="00FE76BC"/>
    <w:rsid w:val="00FE7909"/>
    <w:rsid w:val="00FE7929"/>
    <w:rsid w:val="00FE7CDB"/>
    <w:rsid w:val="00FE7F2B"/>
    <w:rsid w:val="00FE7F7C"/>
    <w:rsid w:val="00FF01EF"/>
    <w:rsid w:val="00FF0225"/>
    <w:rsid w:val="00FF0503"/>
    <w:rsid w:val="00FF0526"/>
    <w:rsid w:val="00FF07B8"/>
    <w:rsid w:val="00FF08C8"/>
    <w:rsid w:val="00FF0A85"/>
    <w:rsid w:val="00FF0B47"/>
    <w:rsid w:val="00FF0DAA"/>
    <w:rsid w:val="00FF0DB7"/>
    <w:rsid w:val="00FF1039"/>
    <w:rsid w:val="00FF10B9"/>
    <w:rsid w:val="00FF118B"/>
    <w:rsid w:val="00FF11F4"/>
    <w:rsid w:val="00FF14D5"/>
    <w:rsid w:val="00FF17AC"/>
    <w:rsid w:val="00FF17FD"/>
    <w:rsid w:val="00FF19C1"/>
    <w:rsid w:val="00FF1A74"/>
    <w:rsid w:val="00FF1BE5"/>
    <w:rsid w:val="00FF1C11"/>
    <w:rsid w:val="00FF1C21"/>
    <w:rsid w:val="00FF1CF6"/>
    <w:rsid w:val="00FF1E22"/>
    <w:rsid w:val="00FF2026"/>
    <w:rsid w:val="00FF204B"/>
    <w:rsid w:val="00FF2406"/>
    <w:rsid w:val="00FF25A0"/>
    <w:rsid w:val="00FF2A04"/>
    <w:rsid w:val="00FF2A71"/>
    <w:rsid w:val="00FF2C18"/>
    <w:rsid w:val="00FF2DF5"/>
    <w:rsid w:val="00FF2F50"/>
    <w:rsid w:val="00FF2F64"/>
    <w:rsid w:val="00FF30A6"/>
    <w:rsid w:val="00FF3198"/>
    <w:rsid w:val="00FF32BE"/>
    <w:rsid w:val="00FF33D7"/>
    <w:rsid w:val="00FF36C7"/>
    <w:rsid w:val="00FF3C97"/>
    <w:rsid w:val="00FF3DF0"/>
    <w:rsid w:val="00FF3E19"/>
    <w:rsid w:val="00FF3F97"/>
    <w:rsid w:val="00FF4064"/>
    <w:rsid w:val="00FF40D7"/>
    <w:rsid w:val="00FF4213"/>
    <w:rsid w:val="00FF422E"/>
    <w:rsid w:val="00FF423B"/>
    <w:rsid w:val="00FF4262"/>
    <w:rsid w:val="00FF4277"/>
    <w:rsid w:val="00FF4284"/>
    <w:rsid w:val="00FF42B2"/>
    <w:rsid w:val="00FF42C1"/>
    <w:rsid w:val="00FF4322"/>
    <w:rsid w:val="00FF43AE"/>
    <w:rsid w:val="00FF4848"/>
    <w:rsid w:val="00FF48FE"/>
    <w:rsid w:val="00FF4A4D"/>
    <w:rsid w:val="00FF4A85"/>
    <w:rsid w:val="00FF4AE5"/>
    <w:rsid w:val="00FF4BA5"/>
    <w:rsid w:val="00FF4CC3"/>
    <w:rsid w:val="00FF4CE2"/>
    <w:rsid w:val="00FF4F24"/>
    <w:rsid w:val="00FF4F90"/>
    <w:rsid w:val="00FF5077"/>
    <w:rsid w:val="00FF52A6"/>
    <w:rsid w:val="00FF5312"/>
    <w:rsid w:val="00FF5345"/>
    <w:rsid w:val="00FF54C3"/>
    <w:rsid w:val="00FF5523"/>
    <w:rsid w:val="00FF55A6"/>
    <w:rsid w:val="00FF58E7"/>
    <w:rsid w:val="00FF59FD"/>
    <w:rsid w:val="00FF5AEB"/>
    <w:rsid w:val="00FF617D"/>
    <w:rsid w:val="00FF61A9"/>
    <w:rsid w:val="00FF66AF"/>
    <w:rsid w:val="00FF66F6"/>
    <w:rsid w:val="00FF6760"/>
    <w:rsid w:val="00FF6A60"/>
    <w:rsid w:val="00FF6B15"/>
    <w:rsid w:val="00FF6CA8"/>
    <w:rsid w:val="00FF6D7F"/>
    <w:rsid w:val="00FF6DCC"/>
    <w:rsid w:val="00FF6E78"/>
    <w:rsid w:val="00FF6F87"/>
    <w:rsid w:val="00FF7087"/>
    <w:rsid w:val="00FF709B"/>
    <w:rsid w:val="00FF713B"/>
    <w:rsid w:val="00FF743E"/>
    <w:rsid w:val="00FF74A6"/>
    <w:rsid w:val="00FF761F"/>
    <w:rsid w:val="00FF762B"/>
    <w:rsid w:val="00FF7657"/>
    <w:rsid w:val="00FF772C"/>
    <w:rsid w:val="00FF787B"/>
    <w:rsid w:val="00FF7AAD"/>
    <w:rsid w:val="00FF7B60"/>
    <w:rsid w:val="00FF7B66"/>
    <w:rsid w:val="00FF7ECD"/>
    <w:rsid w:val="00FF7F95"/>
    <w:rsid w:val="01B03DDC"/>
    <w:rsid w:val="0259F05B"/>
    <w:rsid w:val="02625025"/>
    <w:rsid w:val="028A2B70"/>
    <w:rsid w:val="02B945B9"/>
    <w:rsid w:val="033261B1"/>
    <w:rsid w:val="0339FC95"/>
    <w:rsid w:val="033B1A17"/>
    <w:rsid w:val="033E2BB9"/>
    <w:rsid w:val="03531705"/>
    <w:rsid w:val="03B8D1DC"/>
    <w:rsid w:val="0414A5A6"/>
    <w:rsid w:val="051E681E"/>
    <w:rsid w:val="054F48A2"/>
    <w:rsid w:val="056E69B6"/>
    <w:rsid w:val="05780CE1"/>
    <w:rsid w:val="05BA3EF3"/>
    <w:rsid w:val="065647CB"/>
    <w:rsid w:val="06814B56"/>
    <w:rsid w:val="06FC3FDD"/>
    <w:rsid w:val="0700B1EB"/>
    <w:rsid w:val="0713B041"/>
    <w:rsid w:val="0732187F"/>
    <w:rsid w:val="077ABD4A"/>
    <w:rsid w:val="077DFF7A"/>
    <w:rsid w:val="07861101"/>
    <w:rsid w:val="079DD757"/>
    <w:rsid w:val="07E55A6F"/>
    <w:rsid w:val="07EFEEDE"/>
    <w:rsid w:val="0810113C"/>
    <w:rsid w:val="0825FA95"/>
    <w:rsid w:val="08CB9E55"/>
    <w:rsid w:val="08D930B9"/>
    <w:rsid w:val="08F0087E"/>
    <w:rsid w:val="090DEF02"/>
    <w:rsid w:val="090F5EE0"/>
    <w:rsid w:val="091E7274"/>
    <w:rsid w:val="095F0338"/>
    <w:rsid w:val="09B57F74"/>
    <w:rsid w:val="09B96168"/>
    <w:rsid w:val="09D3555A"/>
    <w:rsid w:val="0A08FACB"/>
    <w:rsid w:val="0A2A0E06"/>
    <w:rsid w:val="0AAA0D8D"/>
    <w:rsid w:val="0AB42D5D"/>
    <w:rsid w:val="0AC98287"/>
    <w:rsid w:val="0B1F20F2"/>
    <w:rsid w:val="0B61C336"/>
    <w:rsid w:val="0B876F63"/>
    <w:rsid w:val="0BD1F5BF"/>
    <w:rsid w:val="0BEACD1F"/>
    <w:rsid w:val="0CA967D5"/>
    <w:rsid w:val="0CAE6BAA"/>
    <w:rsid w:val="0CB0D09A"/>
    <w:rsid w:val="0DA1309C"/>
    <w:rsid w:val="0DDA192F"/>
    <w:rsid w:val="0E47A507"/>
    <w:rsid w:val="0E72A92E"/>
    <w:rsid w:val="0ED89CFF"/>
    <w:rsid w:val="0EE0B804"/>
    <w:rsid w:val="0F6D660F"/>
    <w:rsid w:val="0F97011C"/>
    <w:rsid w:val="0FA1EBA9"/>
    <w:rsid w:val="0FE693C9"/>
    <w:rsid w:val="0FF6E3D0"/>
    <w:rsid w:val="0FFB8695"/>
    <w:rsid w:val="0FFDFDC0"/>
    <w:rsid w:val="0FFE808E"/>
    <w:rsid w:val="100D653E"/>
    <w:rsid w:val="107F776E"/>
    <w:rsid w:val="10AC6347"/>
    <w:rsid w:val="10FC5A4A"/>
    <w:rsid w:val="111C4FBA"/>
    <w:rsid w:val="1133D592"/>
    <w:rsid w:val="115A50EC"/>
    <w:rsid w:val="11C10FF4"/>
    <w:rsid w:val="11EEBD61"/>
    <w:rsid w:val="1254F5C0"/>
    <w:rsid w:val="12853CA7"/>
    <w:rsid w:val="12924DC5"/>
    <w:rsid w:val="12DCE7D8"/>
    <w:rsid w:val="12E272B9"/>
    <w:rsid w:val="12FAABD4"/>
    <w:rsid w:val="130251AB"/>
    <w:rsid w:val="133DBC31"/>
    <w:rsid w:val="135C0DE8"/>
    <w:rsid w:val="1397E2C1"/>
    <w:rsid w:val="13F56B5E"/>
    <w:rsid w:val="140A5D56"/>
    <w:rsid w:val="144616CD"/>
    <w:rsid w:val="145FCEE6"/>
    <w:rsid w:val="1484F940"/>
    <w:rsid w:val="15097359"/>
    <w:rsid w:val="1542A9B7"/>
    <w:rsid w:val="15884B12"/>
    <w:rsid w:val="158E2400"/>
    <w:rsid w:val="159AAE7D"/>
    <w:rsid w:val="159DCA34"/>
    <w:rsid w:val="1606B649"/>
    <w:rsid w:val="16EC1FE6"/>
    <w:rsid w:val="17702BC0"/>
    <w:rsid w:val="1779DDE1"/>
    <w:rsid w:val="17C7C93A"/>
    <w:rsid w:val="18248A4B"/>
    <w:rsid w:val="183A772A"/>
    <w:rsid w:val="187BA121"/>
    <w:rsid w:val="18AABCD1"/>
    <w:rsid w:val="18B38656"/>
    <w:rsid w:val="18E13EED"/>
    <w:rsid w:val="199ADC1D"/>
    <w:rsid w:val="19B80F57"/>
    <w:rsid w:val="19CCF151"/>
    <w:rsid w:val="19EBE77B"/>
    <w:rsid w:val="1A0DF214"/>
    <w:rsid w:val="1A3498AD"/>
    <w:rsid w:val="1A5AFF32"/>
    <w:rsid w:val="1B02A909"/>
    <w:rsid w:val="1B1B7990"/>
    <w:rsid w:val="1B3C93A3"/>
    <w:rsid w:val="1B45C83A"/>
    <w:rsid w:val="1BDB58FA"/>
    <w:rsid w:val="1C302CAB"/>
    <w:rsid w:val="1C370CBB"/>
    <w:rsid w:val="1C89F593"/>
    <w:rsid w:val="1CA219FF"/>
    <w:rsid w:val="1D2E0953"/>
    <w:rsid w:val="1D6B5162"/>
    <w:rsid w:val="1D71F8D0"/>
    <w:rsid w:val="1DBF5356"/>
    <w:rsid w:val="1DC16F86"/>
    <w:rsid w:val="1DE484B9"/>
    <w:rsid w:val="1E04F8E3"/>
    <w:rsid w:val="1E564DE5"/>
    <w:rsid w:val="1EC88125"/>
    <w:rsid w:val="1F8424D6"/>
    <w:rsid w:val="20462394"/>
    <w:rsid w:val="2086687F"/>
    <w:rsid w:val="208C5B05"/>
    <w:rsid w:val="20A2DE12"/>
    <w:rsid w:val="20A69D8C"/>
    <w:rsid w:val="20BA9C1B"/>
    <w:rsid w:val="20EA0F19"/>
    <w:rsid w:val="20F5686C"/>
    <w:rsid w:val="21CC0452"/>
    <w:rsid w:val="21D7CCB5"/>
    <w:rsid w:val="21E272DD"/>
    <w:rsid w:val="220AA2E4"/>
    <w:rsid w:val="229FE58A"/>
    <w:rsid w:val="22B7272E"/>
    <w:rsid w:val="22CD68EA"/>
    <w:rsid w:val="22F7A5F2"/>
    <w:rsid w:val="22F91BB7"/>
    <w:rsid w:val="23BED1DB"/>
    <w:rsid w:val="23DE3D62"/>
    <w:rsid w:val="23EFBE37"/>
    <w:rsid w:val="248D5C44"/>
    <w:rsid w:val="24C75060"/>
    <w:rsid w:val="24C8236A"/>
    <w:rsid w:val="24D7FC29"/>
    <w:rsid w:val="24FCCF8A"/>
    <w:rsid w:val="252CAFAF"/>
    <w:rsid w:val="252D2407"/>
    <w:rsid w:val="25562853"/>
    <w:rsid w:val="25774B54"/>
    <w:rsid w:val="2625ACC7"/>
    <w:rsid w:val="262AAE42"/>
    <w:rsid w:val="264CEC40"/>
    <w:rsid w:val="26784588"/>
    <w:rsid w:val="26DD7E24"/>
    <w:rsid w:val="272495FA"/>
    <w:rsid w:val="2740B815"/>
    <w:rsid w:val="2791AC10"/>
    <w:rsid w:val="27E90F1A"/>
    <w:rsid w:val="27FCDC3E"/>
    <w:rsid w:val="28228CE7"/>
    <w:rsid w:val="283ACA7B"/>
    <w:rsid w:val="28AEEC16"/>
    <w:rsid w:val="28B9E22B"/>
    <w:rsid w:val="28CAF726"/>
    <w:rsid w:val="28E66CF6"/>
    <w:rsid w:val="296AF037"/>
    <w:rsid w:val="2A6A8ADA"/>
    <w:rsid w:val="2AA4CA5D"/>
    <w:rsid w:val="2B519A7F"/>
    <w:rsid w:val="2B5D47C9"/>
    <w:rsid w:val="2BAC9B19"/>
    <w:rsid w:val="2BC29F35"/>
    <w:rsid w:val="2C148181"/>
    <w:rsid w:val="2C16DBD7"/>
    <w:rsid w:val="2C185D09"/>
    <w:rsid w:val="2C5BBBD1"/>
    <w:rsid w:val="2CAA05EF"/>
    <w:rsid w:val="2D357748"/>
    <w:rsid w:val="2D45C355"/>
    <w:rsid w:val="2D922F85"/>
    <w:rsid w:val="2DA84FAE"/>
    <w:rsid w:val="2DF3693F"/>
    <w:rsid w:val="2E9E951B"/>
    <w:rsid w:val="2EA5FFFD"/>
    <w:rsid w:val="2EA6C5E9"/>
    <w:rsid w:val="2EC8E89F"/>
    <w:rsid w:val="2F1316CB"/>
    <w:rsid w:val="2F2B2D5C"/>
    <w:rsid w:val="2F6E2DCB"/>
    <w:rsid w:val="2FBE200F"/>
    <w:rsid w:val="2FE45BDC"/>
    <w:rsid w:val="305BE49A"/>
    <w:rsid w:val="306BC90E"/>
    <w:rsid w:val="30FF6C4F"/>
    <w:rsid w:val="31212B5A"/>
    <w:rsid w:val="317D247D"/>
    <w:rsid w:val="31DE6A53"/>
    <w:rsid w:val="31F02ACB"/>
    <w:rsid w:val="323CA5FF"/>
    <w:rsid w:val="32669C0A"/>
    <w:rsid w:val="326D7DCF"/>
    <w:rsid w:val="327426DF"/>
    <w:rsid w:val="32AC2A22"/>
    <w:rsid w:val="32C03730"/>
    <w:rsid w:val="32DA5591"/>
    <w:rsid w:val="3333107E"/>
    <w:rsid w:val="335FDB27"/>
    <w:rsid w:val="33790944"/>
    <w:rsid w:val="339D348B"/>
    <w:rsid w:val="33CEE92F"/>
    <w:rsid w:val="33D90C5C"/>
    <w:rsid w:val="33DBF99F"/>
    <w:rsid w:val="341EB4E8"/>
    <w:rsid w:val="34760C4A"/>
    <w:rsid w:val="348623AD"/>
    <w:rsid w:val="34A41A84"/>
    <w:rsid w:val="34A8BB8D"/>
    <w:rsid w:val="3505A10D"/>
    <w:rsid w:val="3513E8B1"/>
    <w:rsid w:val="3551843D"/>
    <w:rsid w:val="3566E2C0"/>
    <w:rsid w:val="35B7B76B"/>
    <w:rsid w:val="35E9CC65"/>
    <w:rsid w:val="362BA433"/>
    <w:rsid w:val="36704345"/>
    <w:rsid w:val="3727F5EE"/>
    <w:rsid w:val="374952F4"/>
    <w:rsid w:val="37EF4C16"/>
    <w:rsid w:val="37F6E104"/>
    <w:rsid w:val="3833B92B"/>
    <w:rsid w:val="3853ED24"/>
    <w:rsid w:val="3854B217"/>
    <w:rsid w:val="3886812D"/>
    <w:rsid w:val="38982184"/>
    <w:rsid w:val="38CFA97F"/>
    <w:rsid w:val="38F58851"/>
    <w:rsid w:val="38FF8817"/>
    <w:rsid w:val="3925A08B"/>
    <w:rsid w:val="39264479"/>
    <w:rsid w:val="393E7229"/>
    <w:rsid w:val="39733443"/>
    <w:rsid w:val="3993408F"/>
    <w:rsid w:val="39E1DD09"/>
    <w:rsid w:val="3A2F2583"/>
    <w:rsid w:val="3A6315E8"/>
    <w:rsid w:val="3A88DC76"/>
    <w:rsid w:val="3AE22B2C"/>
    <w:rsid w:val="3B974FF7"/>
    <w:rsid w:val="3CC9F7EF"/>
    <w:rsid w:val="3CDCF943"/>
    <w:rsid w:val="3D309CA5"/>
    <w:rsid w:val="3D66C645"/>
    <w:rsid w:val="3E5D519E"/>
    <w:rsid w:val="3E674F21"/>
    <w:rsid w:val="3EAE1146"/>
    <w:rsid w:val="3F1B81CD"/>
    <w:rsid w:val="3F3CE05B"/>
    <w:rsid w:val="3F741B0A"/>
    <w:rsid w:val="3FA19C3C"/>
    <w:rsid w:val="3FD97995"/>
    <w:rsid w:val="40528800"/>
    <w:rsid w:val="407A5466"/>
    <w:rsid w:val="40BBCC63"/>
    <w:rsid w:val="40DE3068"/>
    <w:rsid w:val="40E66167"/>
    <w:rsid w:val="41003721"/>
    <w:rsid w:val="41623E32"/>
    <w:rsid w:val="418D4B78"/>
    <w:rsid w:val="41E0D2FD"/>
    <w:rsid w:val="4207BF86"/>
    <w:rsid w:val="4237FA05"/>
    <w:rsid w:val="424337D6"/>
    <w:rsid w:val="4261D871"/>
    <w:rsid w:val="42644C66"/>
    <w:rsid w:val="43131BA5"/>
    <w:rsid w:val="4322A1DC"/>
    <w:rsid w:val="43468CBC"/>
    <w:rsid w:val="43749164"/>
    <w:rsid w:val="4383C486"/>
    <w:rsid w:val="43A14FEE"/>
    <w:rsid w:val="43A67F0D"/>
    <w:rsid w:val="43F27D42"/>
    <w:rsid w:val="43F8D170"/>
    <w:rsid w:val="4408D015"/>
    <w:rsid w:val="44140F31"/>
    <w:rsid w:val="443B104C"/>
    <w:rsid w:val="443DB64B"/>
    <w:rsid w:val="44F810F6"/>
    <w:rsid w:val="45AD0224"/>
    <w:rsid w:val="45D62010"/>
    <w:rsid w:val="4610A633"/>
    <w:rsid w:val="462741A8"/>
    <w:rsid w:val="4629C005"/>
    <w:rsid w:val="46397ABD"/>
    <w:rsid w:val="46508D23"/>
    <w:rsid w:val="46621120"/>
    <w:rsid w:val="46A239EF"/>
    <w:rsid w:val="46D78877"/>
    <w:rsid w:val="46E06B5B"/>
    <w:rsid w:val="46E08E63"/>
    <w:rsid w:val="474F4829"/>
    <w:rsid w:val="47FDE181"/>
    <w:rsid w:val="4820F41F"/>
    <w:rsid w:val="48E12C5A"/>
    <w:rsid w:val="4905B57C"/>
    <w:rsid w:val="49647E61"/>
    <w:rsid w:val="497556C0"/>
    <w:rsid w:val="4987DFF0"/>
    <w:rsid w:val="4A651F2B"/>
    <w:rsid w:val="4ADB0F22"/>
    <w:rsid w:val="4AE2733A"/>
    <w:rsid w:val="4B4D314C"/>
    <w:rsid w:val="4BCB297D"/>
    <w:rsid w:val="4C02560E"/>
    <w:rsid w:val="4C12EC9C"/>
    <w:rsid w:val="4C2686F9"/>
    <w:rsid w:val="4C7AC081"/>
    <w:rsid w:val="4C810666"/>
    <w:rsid w:val="4CDB67C7"/>
    <w:rsid w:val="4CDC342B"/>
    <w:rsid w:val="4D36DF31"/>
    <w:rsid w:val="4D44F8B5"/>
    <w:rsid w:val="4D921EB0"/>
    <w:rsid w:val="4E341093"/>
    <w:rsid w:val="4E4CD261"/>
    <w:rsid w:val="4E77467F"/>
    <w:rsid w:val="4EBFE2ED"/>
    <w:rsid w:val="4EF77D6F"/>
    <w:rsid w:val="4F18B89B"/>
    <w:rsid w:val="4F45B7F2"/>
    <w:rsid w:val="4F7FF735"/>
    <w:rsid w:val="4FB81A58"/>
    <w:rsid w:val="504CD9B6"/>
    <w:rsid w:val="5093C703"/>
    <w:rsid w:val="50BDC8E7"/>
    <w:rsid w:val="50DA96A5"/>
    <w:rsid w:val="50EE74BE"/>
    <w:rsid w:val="50FEAE3B"/>
    <w:rsid w:val="5194523E"/>
    <w:rsid w:val="51AFA54E"/>
    <w:rsid w:val="51C94FAE"/>
    <w:rsid w:val="51DC60AB"/>
    <w:rsid w:val="520686BC"/>
    <w:rsid w:val="5223AC14"/>
    <w:rsid w:val="523CC9B1"/>
    <w:rsid w:val="524FD56F"/>
    <w:rsid w:val="525AA28B"/>
    <w:rsid w:val="52652CD2"/>
    <w:rsid w:val="52A00EBE"/>
    <w:rsid w:val="52AE23F0"/>
    <w:rsid w:val="531E2ABB"/>
    <w:rsid w:val="53A1B8E4"/>
    <w:rsid w:val="53DA59CE"/>
    <w:rsid w:val="54828EBF"/>
    <w:rsid w:val="553EF1C1"/>
    <w:rsid w:val="556F4F4E"/>
    <w:rsid w:val="55BB1F05"/>
    <w:rsid w:val="55CDF582"/>
    <w:rsid w:val="55FA8839"/>
    <w:rsid w:val="562E1841"/>
    <w:rsid w:val="56831671"/>
    <w:rsid w:val="57D1773F"/>
    <w:rsid w:val="57F04614"/>
    <w:rsid w:val="580FD4EF"/>
    <w:rsid w:val="583F1FBF"/>
    <w:rsid w:val="58A4F2A0"/>
    <w:rsid w:val="58BE27C1"/>
    <w:rsid w:val="58E2848E"/>
    <w:rsid w:val="58E73C9F"/>
    <w:rsid w:val="58F320ED"/>
    <w:rsid w:val="5956FDA9"/>
    <w:rsid w:val="5964E788"/>
    <w:rsid w:val="597A714E"/>
    <w:rsid w:val="5996004B"/>
    <w:rsid w:val="59BD3E10"/>
    <w:rsid w:val="5A24F747"/>
    <w:rsid w:val="5A84B8F8"/>
    <w:rsid w:val="5A9CB85F"/>
    <w:rsid w:val="5AC35BA3"/>
    <w:rsid w:val="5ADD4E84"/>
    <w:rsid w:val="5B3C6318"/>
    <w:rsid w:val="5B52B26B"/>
    <w:rsid w:val="5B5BFF3A"/>
    <w:rsid w:val="5B6BEF2A"/>
    <w:rsid w:val="5BB3C316"/>
    <w:rsid w:val="5C558CF9"/>
    <w:rsid w:val="5C5D8A10"/>
    <w:rsid w:val="5CB607FC"/>
    <w:rsid w:val="5D258271"/>
    <w:rsid w:val="5DE4A9D3"/>
    <w:rsid w:val="5E5CE00D"/>
    <w:rsid w:val="5E9E36EE"/>
    <w:rsid w:val="5EDD2772"/>
    <w:rsid w:val="5F0FA5E5"/>
    <w:rsid w:val="5F3CFD34"/>
    <w:rsid w:val="5F45A106"/>
    <w:rsid w:val="5FB020C1"/>
    <w:rsid w:val="5FBAA16C"/>
    <w:rsid w:val="6010D05A"/>
    <w:rsid w:val="603590FA"/>
    <w:rsid w:val="60448CCE"/>
    <w:rsid w:val="60CE73D2"/>
    <w:rsid w:val="6104CE56"/>
    <w:rsid w:val="6192F8FB"/>
    <w:rsid w:val="61943B20"/>
    <w:rsid w:val="61CDA71B"/>
    <w:rsid w:val="6235EE95"/>
    <w:rsid w:val="624D45A5"/>
    <w:rsid w:val="62809C1B"/>
    <w:rsid w:val="62902ECB"/>
    <w:rsid w:val="629B6A04"/>
    <w:rsid w:val="62B7A57D"/>
    <w:rsid w:val="62C99C55"/>
    <w:rsid w:val="63707550"/>
    <w:rsid w:val="6376E413"/>
    <w:rsid w:val="638FF5A6"/>
    <w:rsid w:val="63B0FCF0"/>
    <w:rsid w:val="63C2D0E5"/>
    <w:rsid w:val="63D2E62E"/>
    <w:rsid w:val="63EAFC73"/>
    <w:rsid w:val="63F94D8E"/>
    <w:rsid w:val="64A8E044"/>
    <w:rsid w:val="64AA7F75"/>
    <w:rsid w:val="65003D1B"/>
    <w:rsid w:val="65AA70C9"/>
    <w:rsid w:val="6607EC14"/>
    <w:rsid w:val="661962E0"/>
    <w:rsid w:val="6630093B"/>
    <w:rsid w:val="663F24FD"/>
    <w:rsid w:val="666AEC67"/>
    <w:rsid w:val="667B9333"/>
    <w:rsid w:val="66854BD8"/>
    <w:rsid w:val="668FB082"/>
    <w:rsid w:val="66BFF407"/>
    <w:rsid w:val="67CFC90E"/>
    <w:rsid w:val="67FB32F9"/>
    <w:rsid w:val="6812849F"/>
    <w:rsid w:val="685EAE1F"/>
    <w:rsid w:val="6885B081"/>
    <w:rsid w:val="6893FD46"/>
    <w:rsid w:val="68AB3A44"/>
    <w:rsid w:val="68BB18D8"/>
    <w:rsid w:val="68C51405"/>
    <w:rsid w:val="690FA532"/>
    <w:rsid w:val="6916B1D9"/>
    <w:rsid w:val="695AFF0B"/>
    <w:rsid w:val="695FB6B8"/>
    <w:rsid w:val="69878DF0"/>
    <w:rsid w:val="69BD2373"/>
    <w:rsid w:val="69DD6818"/>
    <w:rsid w:val="69E8C6F6"/>
    <w:rsid w:val="69FBA593"/>
    <w:rsid w:val="6A8B88A8"/>
    <w:rsid w:val="6B0F6AF4"/>
    <w:rsid w:val="6B214BB8"/>
    <w:rsid w:val="6B6C0312"/>
    <w:rsid w:val="6B89E2FC"/>
    <w:rsid w:val="6BB7B9E8"/>
    <w:rsid w:val="6BF2B517"/>
    <w:rsid w:val="6C0CD7BC"/>
    <w:rsid w:val="6D1E3AC9"/>
    <w:rsid w:val="6D53DA9B"/>
    <w:rsid w:val="6DC1D648"/>
    <w:rsid w:val="6DE32268"/>
    <w:rsid w:val="6E4006B1"/>
    <w:rsid w:val="6E47F036"/>
    <w:rsid w:val="6E4F9350"/>
    <w:rsid w:val="6E5A7390"/>
    <w:rsid w:val="6E888E86"/>
    <w:rsid w:val="6E907929"/>
    <w:rsid w:val="6E931149"/>
    <w:rsid w:val="6EA88CF7"/>
    <w:rsid w:val="6EAB19F4"/>
    <w:rsid w:val="6EBCFDE1"/>
    <w:rsid w:val="6EE8141F"/>
    <w:rsid w:val="6EFA3BBA"/>
    <w:rsid w:val="6F0ECC2A"/>
    <w:rsid w:val="6F8E244B"/>
    <w:rsid w:val="6FAD59AD"/>
    <w:rsid w:val="700AD7C6"/>
    <w:rsid w:val="70119C84"/>
    <w:rsid w:val="70516C34"/>
    <w:rsid w:val="707F5E91"/>
    <w:rsid w:val="70FC9510"/>
    <w:rsid w:val="710B3E28"/>
    <w:rsid w:val="7110B4BF"/>
    <w:rsid w:val="71414C1C"/>
    <w:rsid w:val="718F3696"/>
    <w:rsid w:val="71D37C93"/>
    <w:rsid w:val="721E7798"/>
    <w:rsid w:val="722504D5"/>
    <w:rsid w:val="723B1490"/>
    <w:rsid w:val="72736E20"/>
    <w:rsid w:val="72880A13"/>
    <w:rsid w:val="733C5788"/>
    <w:rsid w:val="733C7DC7"/>
    <w:rsid w:val="737D69FC"/>
    <w:rsid w:val="73866FF5"/>
    <w:rsid w:val="73D2EB9A"/>
    <w:rsid w:val="73D61176"/>
    <w:rsid w:val="747107E5"/>
    <w:rsid w:val="747B28A1"/>
    <w:rsid w:val="747E144C"/>
    <w:rsid w:val="74C43DE9"/>
    <w:rsid w:val="74EA862D"/>
    <w:rsid w:val="74ECA950"/>
    <w:rsid w:val="75264CE9"/>
    <w:rsid w:val="75301C26"/>
    <w:rsid w:val="75638F73"/>
    <w:rsid w:val="757CB9A5"/>
    <w:rsid w:val="75A80A81"/>
    <w:rsid w:val="7626015F"/>
    <w:rsid w:val="76722476"/>
    <w:rsid w:val="77715351"/>
    <w:rsid w:val="77BE7E01"/>
    <w:rsid w:val="780F9892"/>
    <w:rsid w:val="782A7E25"/>
    <w:rsid w:val="785AF3B7"/>
    <w:rsid w:val="786A306F"/>
    <w:rsid w:val="78722D97"/>
    <w:rsid w:val="7875CE08"/>
    <w:rsid w:val="789DEBD7"/>
    <w:rsid w:val="78C21C86"/>
    <w:rsid w:val="78FD5F01"/>
    <w:rsid w:val="7903E3E2"/>
    <w:rsid w:val="79311551"/>
    <w:rsid w:val="7951C105"/>
    <w:rsid w:val="79BE17CD"/>
    <w:rsid w:val="79FB69E8"/>
    <w:rsid w:val="7A2E6AF0"/>
    <w:rsid w:val="7A52E836"/>
    <w:rsid w:val="7B492A40"/>
    <w:rsid w:val="7B6F2B1C"/>
    <w:rsid w:val="7B74D8BB"/>
    <w:rsid w:val="7BA46F24"/>
    <w:rsid w:val="7BB46031"/>
    <w:rsid w:val="7BCB5A5C"/>
    <w:rsid w:val="7BFBBEF9"/>
    <w:rsid w:val="7CA44406"/>
    <w:rsid w:val="7CAE9BCF"/>
    <w:rsid w:val="7D6B97DF"/>
    <w:rsid w:val="7DB9FCA1"/>
    <w:rsid w:val="7DE3059E"/>
    <w:rsid w:val="7EC37D4B"/>
    <w:rsid w:val="7EFDF72C"/>
    <w:rsid w:val="7F87E5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89" style="mso-position-horizontal-relative:margin;mso-width-relative:margin;mso-height-relative:margin;v-text-anchor:middle" fillcolor="none [664]" stroke="f">
      <v:fill color="none [664]"/>
      <v:stroke weight="1pt" on="f"/>
    </o:shapedefaults>
    <o:shapelayout v:ext="edit">
      <o:idmap v:ext="edit" data="2"/>
    </o:shapelayout>
  </w:shapeDefaults>
  <w:decimalSymbol w:val=","/>
  <w:listSeparator w:val=";"/>
  <w14:docId w14:val="7828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B2"/>
    <w:pPr>
      <w:jc w:val="both"/>
    </w:pPr>
    <w:rPr>
      <w:rFonts w:ascii="EC Square Sans Pro" w:hAnsi="EC Square Sans Pro"/>
      <w:szCs w:val="24"/>
    </w:rPr>
  </w:style>
  <w:style w:type="paragraph" w:styleId="Heading1">
    <w:name w:val="heading 1"/>
    <w:basedOn w:val="Normal"/>
    <w:next w:val="Normal"/>
    <w:link w:val="Heading1Char"/>
    <w:autoRedefine/>
    <w:uiPriority w:val="9"/>
    <w:qFormat/>
    <w:rsid w:val="006260B2"/>
    <w:pPr>
      <w:keepNext/>
      <w:keepLines/>
      <w:numPr>
        <w:numId w:val="2"/>
      </w:numPr>
      <w:spacing w:before="360" w:after="240"/>
      <w:ind w:left="454" w:hanging="454"/>
      <w:jc w:val="left"/>
      <w:outlineLvl w:val="0"/>
    </w:pPr>
    <w:rPr>
      <w:rFonts w:ascii="Times New Roman" w:eastAsiaTheme="majorEastAsia" w:hAnsi="Times New Roman" w:cstheme="majorBidi"/>
      <w:b/>
      <w:caps/>
      <w:noProof/>
      <w:color w:val="00ADDC" w:themeColor="accent2"/>
      <w:sz w:val="36"/>
      <w:szCs w:val="36"/>
    </w:rPr>
  </w:style>
  <w:style w:type="paragraph" w:styleId="Heading2">
    <w:name w:val="heading 2"/>
    <w:basedOn w:val="Normal"/>
    <w:next w:val="Normal"/>
    <w:link w:val="Heading2Char"/>
    <w:autoRedefine/>
    <w:uiPriority w:val="9"/>
    <w:unhideWhenUsed/>
    <w:qFormat/>
    <w:rsid w:val="006260B2"/>
    <w:pPr>
      <w:keepNext/>
      <w:keepLines/>
      <w:numPr>
        <w:ilvl w:val="1"/>
        <w:numId w:val="2"/>
      </w:numPr>
      <w:spacing w:before="360" w:after="240" w:line="240" w:lineRule="auto"/>
      <w:ind w:left="491" w:hanging="491"/>
      <w:outlineLvl w:val="1"/>
    </w:pPr>
    <w:rPr>
      <w:rFonts w:ascii="Times New Roman" w:eastAsiaTheme="majorEastAsia" w:hAnsi="Times New Roman" w:cstheme="majorBidi"/>
      <w:b/>
      <w:bCs/>
      <w:color w:val="00ADDC" w:themeColor="accent2"/>
      <w:sz w:val="28"/>
      <w:szCs w:val="28"/>
    </w:rPr>
  </w:style>
  <w:style w:type="paragraph" w:styleId="Heading3">
    <w:name w:val="heading 3"/>
    <w:basedOn w:val="Normal"/>
    <w:next w:val="Normal"/>
    <w:link w:val="Heading3Char"/>
    <w:uiPriority w:val="9"/>
    <w:unhideWhenUsed/>
    <w:qFormat/>
    <w:rsid w:val="00302172"/>
    <w:pPr>
      <w:keepNext/>
      <w:keepLines/>
      <w:numPr>
        <w:ilvl w:val="2"/>
        <w:numId w:val="48"/>
      </w:numPr>
      <w:spacing w:before="200" w:after="0"/>
      <w:outlineLvl w:val="2"/>
    </w:pPr>
    <w:rPr>
      <w:rFonts w:eastAsiaTheme="majorEastAsia" w:cstheme="majorBidi"/>
      <w:b/>
      <w:bCs/>
      <w:color w:val="000000" w:themeColor="text1"/>
      <w:szCs w:val="22"/>
    </w:rPr>
  </w:style>
  <w:style w:type="paragraph" w:styleId="Heading4">
    <w:name w:val="heading 4"/>
    <w:basedOn w:val="Normal"/>
    <w:next w:val="Normal"/>
    <w:link w:val="Heading4Char"/>
    <w:uiPriority w:val="9"/>
    <w:semiHidden/>
    <w:unhideWhenUsed/>
    <w:qFormat/>
    <w:rsid w:val="00302172"/>
    <w:pPr>
      <w:keepNext/>
      <w:keepLines/>
      <w:numPr>
        <w:ilvl w:val="3"/>
        <w:numId w:val="48"/>
      </w:numPr>
      <w:spacing w:before="200" w:after="0"/>
      <w:outlineLvl w:val="3"/>
    </w:pPr>
    <w:rPr>
      <w:rFonts w:eastAsiaTheme="majorEastAsia" w:cstheme="majorBidi"/>
      <w:b/>
      <w:bCs/>
      <w:i/>
      <w:iCs/>
      <w:color w:val="000000" w:themeColor="text1"/>
      <w:szCs w:val="22"/>
    </w:rPr>
  </w:style>
  <w:style w:type="paragraph" w:styleId="Heading5">
    <w:name w:val="heading 5"/>
    <w:basedOn w:val="Normal"/>
    <w:next w:val="Normal"/>
    <w:link w:val="Heading5Char"/>
    <w:uiPriority w:val="9"/>
    <w:semiHidden/>
    <w:unhideWhenUsed/>
    <w:qFormat/>
    <w:rsid w:val="00302172"/>
    <w:pPr>
      <w:keepNext/>
      <w:keepLines/>
      <w:numPr>
        <w:ilvl w:val="4"/>
        <w:numId w:val="48"/>
      </w:numPr>
      <w:spacing w:before="200" w:after="0"/>
      <w:outlineLvl w:val="4"/>
    </w:pPr>
    <w:rPr>
      <w:rFonts w:eastAsiaTheme="majorEastAsia" w:cstheme="majorBidi"/>
      <w:color w:val="17365D" w:themeColor="text2" w:themeShade="BF"/>
      <w:szCs w:val="22"/>
    </w:rPr>
  </w:style>
  <w:style w:type="paragraph" w:styleId="Heading6">
    <w:name w:val="heading 6"/>
    <w:basedOn w:val="Normal"/>
    <w:next w:val="Normal"/>
    <w:link w:val="Heading6Char"/>
    <w:uiPriority w:val="9"/>
    <w:semiHidden/>
    <w:unhideWhenUsed/>
    <w:qFormat/>
    <w:rsid w:val="00302172"/>
    <w:pPr>
      <w:keepNext/>
      <w:keepLines/>
      <w:numPr>
        <w:ilvl w:val="5"/>
        <w:numId w:val="48"/>
      </w:numPr>
      <w:spacing w:before="200" w:after="0"/>
      <w:outlineLvl w:val="5"/>
    </w:pPr>
    <w:rPr>
      <w:rFonts w:eastAsiaTheme="majorEastAsia" w:cstheme="majorBidi"/>
      <w:i/>
      <w:iCs/>
      <w:color w:val="17365D" w:themeColor="text2" w:themeShade="BF"/>
      <w:szCs w:val="22"/>
    </w:rPr>
  </w:style>
  <w:style w:type="paragraph" w:styleId="Heading7">
    <w:name w:val="heading 7"/>
    <w:basedOn w:val="Normal"/>
    <w:next w:val="Normal"/>
    <w:link w:val="Heading7Char"/>
    <w:uiPriority w:val="9"/>
    <w:semiHidden/>
    <w:unhideWhenUsed/>
    <w:qFormat/>
    <w:rsid w:val="00302172"/>
    <w:pPr>
      <w:keepNext/>
      <w:keepLines/>
      <w:numPr>
        <w:ilvl w:val="6"/>
        <w:numId w:val="48"/>
      </w:numPr>
      <w:spacing w:before="200" w:after="0"/>
      <w:outlineLvl w:val="6"/>
    </w:pPr>
    <w:rPr>
      <w:rFonts w:eastAsiaTheme="majorEastAsia"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302172"/>
    <w:pPr>
      <w:keepNext/>
      <w:keepLines/>
      <w:numPr>
        <w:ilvl w:val="7"/>
        <w:numId w:val="48"/>
      </w:numPr>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2172"/>
    <w:pPr>
      <w:keepNext/>
      <w:keepLines/>
      <w:numPr>
        <w:ilvl w:val="8"/>
        <w:numId w:val="48"/>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B54742"/>
    <w:rPr>
      <w:color w:val="0000FF"/>
      <w:shd w:val="clear" w:color="auto" w:fill="auto"/>
    </w:rPr>
  </w:style>
  <w:style w:type="paragraph" w:styleId="Header">
    <w:name w:val="header"/>
    <w:basedOn w:val="Normal"/>
    <w:link w:val="HeaderChar"/>
    <w:autoRedefine/>
    <w:uiPriority w:val="99"/>
    <w:unhideWhenUsed/>
    <w:qFormat/>
    <w:rsid w:val="00302172"/>
    <w:pPr>
      <w:tabs>
        <w:tab w:val="center" w:pos="4513"/>
        <w:tab w:val="right" w:pos="9026"/>
      </w:tabs>
      <w:spacing w:after="0" w:line="240" w:lineRule="auto"/>
      <w:jc w:val="right"/>
    </w:pPr>
    <w:rPr>
      <w:i/>
      <w:sz w:val="18"/>
      <w:szCs w:val="22"/>
    </w:rPr>
  </w:style>
  <w:style w:type="character" w:customStyle="1" w:styleId="HeaderChar">
    <w:name w:val="Header Char"/>
    <w:basedOn w:val="DefaultParagraphFont"/>
    <w:link w:val="Header"/>
    <w:uiPriority w:val="99"/>
    <w:rsid w:val="00302172"/>
    <w:rPr>
      <w:rFonts w:ascii="EC Square Sans Pro" w:hAnsi="EC Square Sans Pro"/>
      <w:i/>
      <w:sz w:val="18"/>
    </w:rPr>
  </w:style>
  <w:style w:type="paragraph" w:styleId="Footer">
    <w:name w:val="footer"/>
    <w:basedOn w:val="Normal"/>
    <w:link w:val="FooterChar"/>
    <w:uiPriority w:val="99"/>
    <w:unhideWhenUsed/>
    <w:rsid w:val="00B54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742"/>
  </w:style>
  <w:style w:type="paragraph" w:customStyle="1" w:styleId="Pagedecouverture">
    <w:name w:val="Page de couverture"/>
    <w:basedOn w:val="Normal"/>
    <w:next w:val="Normal"/>
    <w:rsid w:val="00B54742"/>
    <w:pPr>
      <w:spacing w:after="0" w:line="240" w:lineRule="auto"/>
    </w:pPr>
    <w:rPr>
      <w:rFonts w:ascii="Times New Roman" w:hAnsi="Times New Roman" w:cs="Times New Roman"/>
      <w:sz w:val="24"/>
    </w:rPr>
  </w:style>
  <w:style w:type="paragraph" w:customStyle="1" w:styleId="FooterCoverPage">
    <w:name w:val="Footer Cover Page"/>
    <w:basedOn w:val="Normal"/>
    <w:link w:val="FooterCoverPageChar"/>
    <w:rsid w:val="00B54742"/>
    <w:pPr>
      <w:tabs>
        <w:tab w:val="center" w:pos="4535"/>
        <w:tab w:val="right" w:pos="9071"/>
        <w:tab w:val="right" w:pos="9921"/>
      </w:tabs>
      <w:spacing w:before="360" w:after="0" w:line="240" w:lineRule="auto"/>
      <w:ind w:left="-850" w:right="-850"/>
      <w:jc w:val="left"/>
    </w:pPr>
    <w:rPr>
      <w:rFonts w:ascii="Times New Roman" w:hAnsi="Times New Roman" w:cs="Times New Roman"/>
      <w:sz w:val="24"/>
    </w:rPr>
  </w:style>
  <w:style w:type="character" w:customStyle="1" w:styleId="FooterCoverPageChar">
    <w:name w:val="Footer Cover Page Char"/>
    <w:basedOn w:val="DefaultParagraphFont"/>
    <w:link w:val="FooterCoverPage"/>
    <w:rsid w:val="00B54742"/>
    <w:rPr>
      <w:rFonts w:ascii="Times New Roman" w:hAnsi="Times New Roman" w:cs="Times New Roman"/>
      <w:sz w:val="24"/>
      <w:szCs w:val="24"/>
    </w:rPr>
  </w:style>
  <w:style w:type="paragraph" w:customStyle="1" w:styleId="FooterSensitivity">
    <w:name w:val="Footer Sensitivity"/>
    <w:basedOn w:val="Normal"/>
    <w:link w:val="FooterSensitivityChar"/>
    <w:rsid w:val="00B5474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B54742"/>
    <w:rPr>
      <w:rFonts w:ascii="Times New Roman" w:hAnsi="Times New Roman" w:cs="Times New Roman"/>
      <w:b/>
      <w:sz w:val="32"/>
      <w:szCs w:val="24"/>
    </w:rPr>
  </w:style>
  <w:style w:type="paragraph" w:customStyle="1" w:styleId="HeaderCoverPage">
    <w:name w:val="Header Cover Page"/>
    <w:basedOn w:val="Normal"/>
    <w:link w:val="HeaderCoverPageChar"/>
    <w:rsid w:val="00B54742"/>
    <w:pPr>
      <w:tabs>
        <w:tab w:val="center" w:pos="4535"/>
        <w:tab w:val="right" w:pos="9071"/>
      </w:tabs>
      <w:spacing w:after="120" w:line="240" w:lineRule="auto"/>
    </w:pPr>
    <w:rPr>
      <w:rFonts w:ascii="Times New Roman" w:hAnsi="Times New Roman" w:cs="Times New Roman"/>
      <w:sz w:val="24"/>
    </w:rPr>
  </w:style>
  <w:style w:type="character" w:customStyle="1" w:styleId="HeaderCoverPageChar">
    <w:name w:val="Header Cover Page Char"/>
    <w:basedOn w:val="DefaultParagraphFont"/>
    <w:link w:val="HeaderCoverPage"/>
    <w:rsid w:val="00B54742"/>
    <w:rPr>
      <w:rFonts w:ascii="Times New Roman" w:hAnsi="Times New Roman" w:cs="Times New Roman"/>
      <w:sz w:val="24"/>
      <w:szCs w:val="24"/>
    </w:rPr>
  </w:style>
  <w:style w:type="paragraph" w:customStyle="1" w:styleId="HeaderSensitivity">
    <w:name w:val="Header Sensitivity"/>
    <w:basedOn w:val="Normal"/>
    <w:link w:val="HeaderSensitivityChar"/>
    <w:rsid w:val="00B5474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B54742"/>
    <w:rPr>
      <w:rFonts w:ascii="Times New Roman" w:hAnsi="Times New Roman" w:cs="Times New Roman"/>
      <w:b/>
      <w:sz w:val="32"/>
      <w:szCs w:val="24"/>
    </w:rPr>
  </w:style>
  <w:style w:type="paragraph" w:customStyle="1" w:styleId="HeaderSensitivityRight">
    <w:name w:val="Header Sensitivity Right"/>
    <w:basedOn w:val="Normal"/>
    <w:link w:val="HeaderSensitivityRightChar"/>
    <w:rsid w:val="00B5474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B54742"/>
    <w:rPr>
      <w:rFonts w:ascii="Times New Roman" w:hAnsi="Times New Roman" w:cs="Times New Roman"/>
      <w:sz w:val="28"/>
      <w:szCs w:val="24"/>
    </w:rPr>
  </w:style>
  <w:style w:type="paragraph" w:styleId="ListParagraph">
    <w:name w:val="List Paragraph"/>
    <w:aliases w:val="Fiche List Paragraph,OBC Bullet,Dot pt,F5 List Paragraph,List Paragraph1,No Spacing1,List Paragraph Char Char Char,Indicator Text,Colorful List - Accent 11,Numbered Para 1,Bullet 1,Bullet Points,MAIN CONTENT,List Paragraph11,2,Bullet St,L"/>
    <w:basedOn w:val="Normal"/>
    <w:link w:val="ListParagraphChar"/>
    <w:autoRedefine/>
    <w:uiPriority w:val="34"/>
    <w:qFormat/>
    <w:rsid w:val="006260B2"/>
    <w:pPr>
      <w:numPr>
        <w:numId w:val="15"/>
      </w:numPr>
      <w:spacing w:after="80" w:line="240" w:lineRule="auto"/>
      <w:ind w:left="714" w:right="57" w:hanging="357"/>
    </w:pPr>
    <w:rPr>
      <w:rFonts w:ascii="Times New Roman" w:hAnsi="Times New Roman" w:cs="Times New Roman"/>
      <w:sz w:val="24"/>
      <w:szCs w:val="22"/>
    </w:rPr>
  </w:style>
  <w:style w:type="character" w:customStyle="1" w:styleId="Heading1Char">
    <w:name w:val="Heading 1 Char"/>
    <w:basedOn w:val="DefaultParagraphFont"/>
    <w:link w:val="Heading1"/>
    <w:uiPriority w:val="9"/>
    <w:rsid w:val="00285723"/>
    <w:rPr>
      <w:rFonts w:ascii="Times New Roman" w:eastAsiaTheme="majorEastAsia" w:hAnsi="Times New Roman" w:cstheme="majorBidi"/>
      <w:b/>
      <w:caps/>
      <w:noProof/>
      <w:color w:val="00ADDC" w:themeColor="accent2"/>
      <w:sz w:val="36"/>
      <w:szCs w:val="36"/>
      <w:lang w:val="sv-SE"/>
    </w:rPr>
  </w:style>
  <w:style w:type="character" w:customStyle="1" w:styleId="Heading2Char">
    <w:name w:val="Heading 2 Char"/>
    <w:basedOn w:val="DefaultParagraphFont"/>
    <w:link w:val="Heading2"/>
    <w:uiPriority w:val="9"/>
    <w:rsid w:val="00B36950"/>
    <w:rPr>
      <w:rFonts w:ascii="Times New Roman" w:eastAsiaTheme="majorEastAsia" w:hAnsi="Times New Roman" w:cstheme="majorBidi"/>
      <w:b/>
      <w:bCs/>
      <w:color w:val="00ADDC" w:themeColor="accent2"/>
      <w:sz w:val="28"/>
      <w:szCs w:val="28"/>
      <w:lang w:val="sv-SE"/>
    </w:rPr>
  </w:style>
  <w:style w:type="paragraph" w:styleId="CommentText">
    <w:name w:val="annotation text"/>
    <w:basedOn w:val="Normal"/>
    <w:link w:val="CommentTextChar"/>
    <w:uiPriority w:val="99"/>
    <w:unhideWhenUsed/>
    <w:rsid w:val="003603EB"/>
    <w:pPr>
      <w:spacing w:line="240" w:lineRule="auto"/>
    </w:pPr>
    <w:rPr>
      <w:sz w:val="20"/>
      <w:szCs w:val="20"/>
    </w:rPr>
  </w:style>
  <w:style w:type="character" w:customStyle="1" w:styleId="CommentTextChar">
    <w:name w:val="Comment Text Char"/>
    <w:basedOn w:val="DefaultParagraphFont"/>
    <w:link w:val="CommentText"/>
    <w:uiPriority w:val="99"/>
    <w:rsid w:val="003603EB"/>
    <w:rPr>
      <w:sz w:val="20"/>
      <w:szCs w:val="20"/>
    </w:rPr>
  </w:style>
  <w:style w:type="paragraph" w:styleId="FootnoteText">
    <w:name w:val="footnote text"/>
    <w:basedOn w:val="Normal"/>
    <w:link w:val="FootnoteTextChar"/>
    <w:uiPriority w:val="99"/>
    <w:unhideWhenUsed/>
    <w:rsid w:val="00DE4A7D"/>
    <w:pPr>
      <w:spacing w:after="0" w:line="240" w:lineRule="auto"/>
    </w:pPr>
    <w:rPr>
      <w:sz w:val="20"/>
      <w:szCs w:val="20"/>
    </w:rPr>
  </w:style>
  <w:style w:type="character" w:customStyle="1" w:styleId="FootnoteTextChar">
    <w:name w:val="Footnote Text Char"/>
    <w:basedOn w:val="DefaultParagraphFont"/>
    <w:link w:val="FootnoteText"/>
    <w:uiPriority w:val="99"/>
    <w:rsid w:val="00DE4A7D"/>
    <w:rPr>
      <w:rFonts w:ascii="EC Square Sans Pro" w:hAnsi="EC Square Sans Pro"/>
      <w:sz w:val="20"/>
      <w:szCs w:val="20"/>
    </w:rPr>
  </w:style>
  <w:style w:type="character" w:styleId="CommentReference">
    <w:name w:val="annotation reference"/>
    <w:basedOn w:val="DefaultParagraphFont"/>
    <w:uiPriority w:val="99"/>
    <w:semiHidden/>
    <w:unhideWhenUsed/>
    <w:rsid w:val="003603EB"/>
    <w:rPr>
      <w:sz w:val="16"/>
      <w:szCs w:val="16"/>
    </w:rPr>
  </w:style>
  <w:style w:type="character" w:styleId="FootnoteReference">
    <w:name w:val="footnote reference"/>
    <w:basedOn w:val="DefaultParagraphFont"/>
    <w:uiPriority w:val="99"/>
    <w:semiHidden/>
    <w:unhideWhenUsed/>
    <w:rsid w:val="003603EB"/>
    <w:rPr>
      <w:vertAlign w:val="superscript"/>
    </w:rPr>
  </w:style>
  <w:style w:type="paragraph" w:styleId="CommentSubject">
    <w:name w:val="annotation subject"/>
    <w:basedOn w:val="CommentText"/>
    <w:next w:val="CommentText"/>
    <w:link w:val="CommentSubjectChar"/>
    <w:uiPriority w:val="99"/>
    <w:semiHidden/>
    <w:unhideWhenUsed/>
    <w:rsid w:val="008274C6"/>
    <w:rPr>
      <w:b/>
      <w:bCs/>
    </w:rPr>
  </w:style>
  <w:style w:type="character" w:customStyle="1" w:styleId="CommentSubjectChar">
    <w:name w:val="Comment Subject Char"/>
    <w:basedOn w:val="CommentTextChar"/>
    <w:link w:val="CommentSubject"/>
    <w:uiPriority w:val="99"/>
    <w:semiHidden/>
    <w:rsid w:val="008274C6"/>
    <w:rPr>
      <w:b/>
      <w:bCs/>
      <w:sz w:val="20"/>
      <w:szCs w:val="20"/>
    </w:rPr>
  </w:style>
  <w:style w:type="table" w:styleId="TableGrid">
    <w:name w:val="Table Grid"/>
    <w:basedOn w:val="TableNormal"/>
    <w:uiPriority w:val="39"/>
    <w:rsid w:val="0017277F"/>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277F"/>
  </w:style>
  <w:style w:type="character" w:customStyle="1" w:styleId="eop">
    <w:name w:val="eop"/>
    <w:basedOn w:val="DefaultParagraphFont"/>
    <w:rsid w:val="0017277F"/>
  </w:style>
  <w:style w:type="character" w:customStyle="1" w:styleId="ListParagraphChar">
    <w:name w:val="List Paragraph Char"/>
    <w:aliases w:val="Fiche List Paragraph Char,OBC Bullet Char,Dot pt Char,F5 List Paragraph Char,List Paragraph1 Char,No Spacing1 Char,List Paragraph Char Char Char Char,Indicator Text Char,Colorful List - Accent 11 Char,Numbered Para 1 Char,2 Char"/>
    <w:basedOn w:val="DefaultParagraphFont"/>
    <w:link w:val="ListParagraph"/>
    <w:uiPriority w:val="34"/>
    <w:qFormat/>
    <w:rsid w:val="004E1DBA"/>
    <w:rPr>
      <w:rFonts w:ascii="Times New Roman" w:hAnsi="Times New Roman" w:cs="Times New Roman"/>
      <w:sz w:val="24"/>
      <w:lang w:val="sv-SE"/>
    </w:rPr>
  </w:style>
  <w:style w:type="paragraph" w:customStyle="1" w:styleId="paragraph">
    <w:name w:val="paragraph"/>
    <w:basedOn w:val="Normal"/>
    <w:rsid w:val="00C4723B"/>
    <w:pPr>
      <w:spacing w:before="100" w:beforeAutospacing="1" w:after="100" w:afterAutospacing="1" w:line="240" w:lineRule="auto"/>
    </w:pPr>
    <w:rPr>
      <w:rFonts w:ascii="Times New Roman" w:eastAsia="Times New Roman" w:hAnsi="Times New Roman" w:cs="Times New Roman"/>
      <w:sz w:val="24"/>
      <w:lang w:eastAsia="en-IE"/>
    </w:rPr>
  </w:style>
  <w:style w:type="paragraph" w:styleId="Revision">
    <w:name w:val="Revision"/>
    <w:hidden/>
    <w:uiPriority w:val="99"/>
    <w:semiHidden/>
    <w:rsid w:val="005B68A2"/>
    <w:pPr>
      <w:spacing w:after="0" w:line="240" w:lineRule="auto"/>
    </w:pPr>
  </w:style>
  <w:style w:type="character" w:customStyle="1" w:styleId="Mention1">
    <w:name w:val="Mention1"/>
    <w:basedOn w:val="DefaultParagraphFont"/>
    <w:uiPriority w:val="99"/>
    <w:unhideWhenUsed/>
    <w:rsid w:val="00A83504"/>
    <w:rPr>
      <w:color w:val="2B579A"/>
      <w:shd w:val="clear" w:color="auto" w:fill="E1DFDD"/>
    </w:rPr>
  </w:style>
  <w:style w:type="character" w:styleId="Hyperlink">
    <w:name w:val="Hyperlink"/>
    <w:basedOn w:val="DefaultParagraphFont"/>
    <w:uiPriority w:val="99"/>
    <w:unhideWhenUsed/>
    <w:rsid w:val="007B3E2F"/>
    <w:rPr>
      <w:color w:val="0000FF" w:themeColor="hyperlink"/>
      <w:u w:val="single"/>
    </w:rPr>
  </w:style>
  <w:style w:type="character" w:customStyle="1" w:styleId="UnresolvedMention1">
    <w:name w:val="Unresolved Mention1"/>
    <w:basedOn w:val="DefaultParagraphFont"/>
    <w:uiPriority w:val="99"/>
    <w:semiHidden/>
    <w:unhideWhenUsed/>
    <w:rsid w:val="00E22433"/>
    <w:rPr>
      <w:color w:val="605E5C"/>
      <w:shd w:val="clear" w:color="auto" w:fill="E1DFDD"/>
    </w:rPr>
  </w:style>
  <w:style w:type="paragraph" w:customStyle="1" w:styleId="pf0">
    <w:name w:val="pf0"/>
    <w:basedOn w:val="Normal"/>
    <w:rsid w:val="002E727D"/>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cf01">
    <w:name w:val="cf01"/>
    <w:basedOn w:val="DefaultParagraphFont"/>
    <w:rsid w:val="00B22E6D"/>
    <w:rPr>
      <w:rFonts w:ascii="Segoe UI" w:hAnsi="Segoe UI" w:cs="Segoe UI" w:hint="default"/>
      <w:sz w:val="22"/>
      <w:szCs w:val="22"/>
    </w:rPr>
  </w:style>
  <w:style w:type="character" w:customStyle="1" w:styleId="cf11">
    <w:name w:val="cf11"/>
    <w:basedOn w:val="DefaultParagraphFont"/>
    <w:rsid w:val="00B22E6D"/>
    <w:rPr>
      <w:rFonts w:ascii="Segoe UI" w:hAnsi="Segoe UI" w:cs="Segoe UI" w:hint="default"/>
      <w:sz w:val="22"/>
      <w:szCs w:val="22"/>
    </w:rPr>
  </w:style>
  <w:style w:type="character" w:customStyle="1" w:styleId="cf21">
    <w:name w:val="cf21"/>
    <w:basedOn w:val="DefaultParagraphFont"/>
    <w:rsid w:val="00B22E6D"/>
    <w:rPr>
      <w:rFonts w:ascii="Segoe UI" w:hAnsi="Segoe UI" w:cs="Segoe UI" w:hint="default"/>
      <w:sz w:val="22"/>
      <w:szCs w:val="22"/>
      <w:shd w:val="clear" w:color="auto" w:fill="FFFF00"/>
    </w:rPr>
  </w:style>
  <w:style w:type="paragraph" w:customStyle="1" w:styleId="Disclaimer">
    <w:name w:val="Disclaimer"/>
    <w:basedOn w:val="Normal"/>
    <w:rsid w:val="00C273FE"/>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pPr>
    <w:rPr>
      <w:rFonts w:ascii="Times New Roman" w:hAnsi="Times New Roman" w:cs="Times New Roman"/>
      <w:sz w:val="24"/>
    </w:rPr>
  </w:style>
  <w:style w:type="paragraph" w:customStyle="1" w:styleId="SecurityMarking">
    <w:name w:val="SecurityMarking"/>
    <w:basedOn w:val="Normal"/>
    <w:rsid w:val="00C273FE"/>
    <w:pPr>
      <w:spacing w:after="0" w:line="276" w:lineRule="auto"/>
      <w:ind w:left="5103"/>
    </w:pPr>
    <w:rPr>
      <w:rFonts w:ascii="Times New Roman" w:hAnsi="Times New Roman" w:cs="Times New Roman"/>
      <w:sz w:val="28"/>
    </w:rPr>
  </w:style>
  <w:style w:type="paragraph" w:customStyle="1" w:styleId="DateMarking">
    <w:name w:val="DateMarking"/>
    <w:basedOn w:val="Normal"/>
    <w:rsid w:val="00C273FE"/>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C273FE"/>
    <w:pPr>
      <w:spacing w:after="0" w:line="276" w:lineRule="auto"/>
      <w:ind w:left="5103"/>
    </w:pPr>
    <w:rPr>
      <w:rFonts w:ascii="Times New Roman" w:hAnsi="Times New Roman" w:cs="Times New Roman"/>
      <w:i/>
      <w:sz w:val="28"/>
    </w:rPr>
  </w:style>
  <w:style w:type="paragraph" w:customStyle="1" w:styleId="Text1">
    <w:name w:val="Text 1"/>
    <w:basedOn w:val="Normal"/>
    <w:uiPriority w:val="1"/>
    <w:qFormat/>
    <w:rsid w:val="00302172"/>
    <w:pPr>
      <w:spacing w:after="240" w:line="240" w:lineRule="auto"/>
      <w:ind w:left="482"/>
    </w:pPr>
    <w:rPr>
      <w:rFonts w:eastAsia="Times New Roman" w:cs="Times New Roman"/>
      <w:szCs w:val="20"/>
      <w:lang w:eastAsia="en-GB"/>
    </w:rPr>
  </w:style>
  <w:style w:type="paragraph" w:customStyle="1" w:styleId="Style1">
    <w:name w:val="Style1"/>
    <w:basedOn w:val="Heading1"/>
    <w:autoRedefine/>
    <w:qFormat/>
    <w:rsid w:val="00302172"/>
    <w:pPr>
      <w:numPr>
        <w:numId w:val="0"/>
      </w:numPr>
      <w:spacing w:before="0" w:after="0"/>
      <w:jc w:val="right"/>
    </w:pPr>
    <w:rPr>
      <w:i/>
      <w:caps w:val="0"/>
      <w:sz w:val="18"/>
    </w:rPr>
  </w:style>
  <w:style w:type="paragraph" w:customStyle="1" w:styleId="Annexes">
    <w:name w:val="Annexes"/>
    <w:basedOn w:val="Heading1"/>
    <w:autoRedefine/>
    <w:qFormat/>
    <w:rsid w:val="000B5CE0"/>
    <w:pPr>
      <w:numPr>
        <w:numId w:val="0"/>
      </w:numPr>
    </w:pPr>
  </w:style>
  <w:style w:type="paragraph" w:customStyle="1" w:styleId="TitleGuidelines">
    <w:name w:val="Title Guidelines"/>
    <w:basedOn w:val="Normal"/>
    <w:qFormat/>
    <w:rsid w:val="00302172"/>
    <w:rPr>
      <w:rFonts w:cs="Times New Roman"/>
      <w:b/>
      <w:bCs/>
      <w:color w:val="948A54" w:themeColor="background2" w:themeShade="80"/>
      <w:sz w:val="28"/>
      <w:szCs w:val="28"/>
    </w:rPr>
  </w:style>
  <w:style w:type="paragraph" w:customStyle="1" w:styleId="Covertitle">
    <w:name w:val="Cover title"/>
    <w:basedOn w:val="Normal"/>
    <w:qFormat/>
    <w:rsid w:val="00302172"/>
    <w:pPr>
      <w:suppressAutoHyphens/>
      <w:spacing w:line="192" w:lineRule="auto"/>
      <w:ind w:left="3828" w:right="-995"/>
      <w:jc w:val="left"/>
    </w:pPr>
    <w:rPr>
      <w:rFonts w:ascii="EC Square Sans Cond Pro Medium" w:hAnsi="EC Square Sans Cond Pro Medium" w:cs="Times New Roman"/>
      <w:caps/>
      <w:color w:val="FFC000"/>
      <w:sz w:val="68"/>
      <w:szCs w:val="68"/>
    </w:rPr>
  </w:style>
  <w:style w:type="paragraph" w:customStyle="1" w:styleId="Paragraphedelisteindent">
    <w:name w:val="Paragraphe de liste indent"/>
    <w:basedOn w:val="ListParagraph"/>
    <w:qFormat/>
    <w:rsid w:val="00302172"/>
    <w:pPr>
      <w:numPr>
        <w:numId w:val="0"/>
      </w:numPr>
      <w:ind w:left="1134"/>
    </w:pPr>
    <w:rPr>
      <w:i/>
    </w:rPr>
  </w:style>
  <w:style w:type="paragraph" w:customStyle="1" w:styleId="Paragraphedelistebullets">
    <w:name w:val="Paragraphe de liste bullets"/>
    <w:basedOn w:val="ListParagraph"/>
    <w:qFormat/>
    <w:rsid w:val="006260B2"/>
    <w:pPr>
      <w:numPr>
        <w:numId w:val="36"/>
      </w:numPr>
      <w:spacing w:after="120"/>
      <w:ind w:left="317" w:hanging="241"/>
      <w:jc w:val="left"/>
    </w:pPr>
    <w:rPr>
      <w:szCs w:val="20"/>
    </w:rPr>
  </w:style>
  <w:style w:type="paragraph" w:customStyle="1" w:styleId="Title2nonumbers">
    <w:name w:val="Title 2 no numbers"/>
    <w:basedOn w:val="Heading2"/>
    <w:qFormat/>
    <w:rsid w:val="00302172"/>
    <w:pPr>
      <w:numPr>
        <w:ilvl w:val="0"/>
        <w:numId w:val="0"/>
      </w:numPr>
    </w:pPr>
  </w:style>
  <w:style w:type="paragraph" w:customStyle="1" w:styleId="Coversubtitle">
    <w:name w:val="Cover subtitle"/>
    <w:basedOn w:val="Normal"/>
    <w:qFormat/>
    <w:rsid w:val="00302172"/>
    <w:pPr>
      <w:ind w:left="3828" w:right="-995"/>
      <w:jc w:val="left"/>
    </w:pPr>
    <w:rPr>
      <w:rFonts w:ascii="EC Square Sans Pro Medium" w:hAnsi="EC Square Sans Pro Medium" w:cs="Times New Roman"/>
      <w:color w:val="FFFFFF" w:themeColor="background1"/>
      <w:sz w:val="48"/>
      <w:szCs w:val="48"/>
    </w:rPr>
  </w:style>
  <w:style w:type="paragraph" w:customStyle="1" w:styleId="Tickbullets">
    <w:name w:val="Tick bullets"/>
    <w:basedOn w:val="ListParagraph"/>
    <w:qFormat/>
    <w:rsid w:val="00302172"/>
    <w:pPr>
      <w:numPr>
        <w:numId w:val="50"/>
      </w:numPr>
    </w:pPr>
  </w:style>
  <w:style w:type="character" w:customStyle="1" w:styleId="Heading3Char">
    <w:name w:val="Heading 3 Char"/>
    <w:basedOn w:val="DefaultParagraphFont"/>
    <w:link w:val="Heading3"/>
    <w:uiPriority w:val="9"/>
    <w:rsid w:val="00302172"/>
    <w:rPr>
      <w:rFonts w:ascii="EC Square Sans Pro" w:eastAsiaTheme="majorEastAsia" w:hAnsi="EC Square Sans Pro" w:cstheme="majorBidi"/>
      <w:b/>
      <w:bCs/>
      <w:color w:val="000000" w:themeColor="text1"/>
    </w:rPr>
  </w:style>
  <w:style w:type="character" w:customStyle="1" w:styleId="Heading4Char">
    <w:name w:val="Heading 4 Char"/>
    <w:basedOn w:val="DefaultParagraphFont"/>
    <w:link w:val="Heading4"/>
    <w:uiPriority w:val="9"/>
    <w:semiHidden/>
    <w:rsid w:val="00302172"/>
    <w:rPr>
      <w:rFonts w:ascii="EC Square Sans Pro" w:eastAsiaTheme="majorEastAsia" w:hAnsi="EC Square Sans Pro" w:cstheme="majorBidi"/>
      <w:b/>
      <w:bCs/>
      <w:i/>
      <w:iCs/>
      <w:color w:val="000000" w:themeColor="text1"/>
    </w:rPr>
  </w:style>
  <w:style w:type="character" w:customStyle="1" w:styleId="Heading5Char">
    <w:name w:val="Heading 5 Char"/>
    <w:basedOn w:val="DefaultParagraphFont"/>
    <w:link w:val="Heading5"/>
    <w:uiPriority w:val="9"/>
    <w:semiHidden/>
    <w:rsid w:val="00302172"/>
    <w:rPr>
      <w:rFonts w:ascii="EC Square Sans Pro" w:eastAsiaTheme="majorEastAsia" w:hAnsi="EC Square Sans Pro" w:cstheme="majorBidi"/>
      <w:color w:val="17365D" w:themeColor="text2" w:themeShade="BF"/>
    </w:rPr>
  </w:style>
  <w:style w:type="character" w:customStyle="1" w:styleId="Heading6Char">
    <w:name w:val="Heading 6 Char"/>
    <w:basedOn w:val="DefaultParagraphFont"/>
    <w:link w:val="Heading6"/>
    <w:uiPriority w:val="9"/>
    <w:semiHidden/>
    <w:rsid w:val="00302172"/>
    <w:rPr>
      <w:rFonts w:ascii="EC Square Sans Pro" w:eastAsiaTheme="majorEastAsia" w:hAnsi="EC Square Sans Pro" w:cstheme="majorBidi"/>
      <w:i/>
      <w:iCs/>
      <w:color w:val="17365D" w:themeColor="text2" w:themeShade="BF"/>
    </w:rPr>
  </w:style>
  <w:style w:type="character" w:customStyle="1" w:styleId="Heading7Char">
    <w:name w:val="Heading 7 Char"/>
    <w:basedOn w:val="DefaultParagraphFont"/>
    <w:link w:val="Heading7"/>
    <w:uiPriority w:val="9"/>
    <w:semiHidden/>
    <w:rsid w:val="00302172"/>
    <w:rPr>
      <w:rFonts w:ascii="EC Square Sans Pro" w:eastAsiaTheme="majorEastAsia" w:hAnsi="EC Square Sans Pro" w:cstheme="majorBidi"/>
      <w:i/>
      <w:iCs/>
      <w:color w:val="404040" w:themeColor="text1" w:themeTint="BF"/>
    </w:rPr>
  </w:style>
  <w:style w:type="character" w:customStyle="1" w:styleId="Heading8Char">
    <w:name w:val="Heading 8 Char"/>
    <w:basedOn w:val="DefaultParagraphFont"/>
    <w:link w:val="Heading8"/>
    <w:uiPriority w:val="9"/>
    <w:semiHidden/>
    <w:rsid w:val="00302172"/>
    <w:rPr>
      <w:rFonts w:ascii="EC Square Sans Pro" w:eastAsiaTheme="majorEastAsia" w:hAnsi="EC Square Sans Pro"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02172"/>
    <w:rPr>
      <w:rFonts w:ascii="EC Square Sans Pro" w:eastAsiaTheme="majorEastAsia" w:hAnsi="EC Square Sans Pro" w:cstheme="majorBidi"/>
      <w:i/>
      <w:iCs/>
      <w:color w:val="404040" w:themeColor="text1" w:themeTint="BF"/>
      <w:sz w:val="20"/>
      <w:szCs w:val="20"/>
    </w:rPr>
  </w:style>
  <w:style w:type="paragraph" w:styleId="Caption">
    <w:name w:val="caption"/>
    <w:basedOn w:val="Normal"/>
    <w:next w:val="Normal"/>
    <w:uiPriority w:val="35"/>
    <w:unhideWhenUsed/>
    <w:qFormat/>
    <w:rsid w:val="006260B2"/>
    <w:pPr>
      <w:spacing w:after="200" w:line="240" w:lineRule="auto"/>
    </w:pPr>
    <w:rPr>
      <w:rFonts w:cs="Times New Roman"/>
      <w:i/>
      <w:iCs/>
      <w:color w:val="1F497D" w:themeColor="text2"/>
      <w:sz w:val="18"/>
      <w:szCs w:val="18"/>
    </w:rPr>
  </w:style>
  <w:style w:type="paragraph" w:styleId="Title">
    <w:name w:val="Title"/>
    <w:basedOn w:val="Normal"/>
    <w:next w:val="Normal"/>
    <w:link w:val="TitleChar"/>
    <w:uiPriority w:val="10"/>
    <w:qFormat/>
    <w:rsid w:val="00302172"/>
    <w:pPr>
      <w:spacing w:after="0" w:line="240" w:lineRule="auto"/>
      <w:contextualSpacing/>
    </w:pPr>
    <w:rPr>
      <w:rFonts w:eastAsiaTheme="majorEastAsia" w:cstheme="majorBidi"/>
      <w:color w:val="000000" w:themeColor="text1"/>
      <w:sz w:val="56"/>
      <w:szCs w:val="56"/>
    </w:rPr>
  </w:style>
  <w:style w:type="character" w:customStyle="1" w:styleId="TitleChar">
    <w:name w:val="Title Char"/>
    <w:basedOn w:val="DefaultParagraphFont"/>
    <w:link w:val="Title"/>
    <w:uiPriority w:val="10"/>
    <w:rsid w:val="00302172"/>
    <w:rPr>
      <w:rFonts w:ascii="EC Square Sans Pro" w:eastAsiaTheme="majorEastAsia" w:hAnsi="EC Square Sans Pro" w:cstheme="majorBidi"/>
      <w:color w:val="000000" w:themeColor="text1"/>
      <w:sz w:val="56"/>
      <w:szCs w:val="56"/>
    </w:rPr>
  </w:style>
  <w:style w:type="paragraph" w:styleId="Subtitle">
    <w:name w:val="Subtitle"/>
    <w:aliases w:val="Graph title"/>
    <w:basedOn w:val="Normal"/>
    <w:next w:val="Normal"/>
    <w:link w:val="SubtitleChar"/>
    <w:uiPriority w:val="11"/>
    <w:qFormat/>
    <w:rsid w:val="00695AB2"/>
    <w:pPr>
      <w:keepNext/>
      <w:numPr>
        <w:ilvl w:val="1"/>
      </w:numPr>
      <w:jc w:val="center"/>
    </w:pPr>
    <w:rPr>
      <w:rFonts w:cs="Times New Roman"/>
      <w:b/>
      <w:bCs/>
      <w:caps/>
      <w:spacing w:val="10"/>
      <w:sz w:val="21"/>
      <w:szCs w:val="21"/>
    </w:rPr>
  </w:style>
  <w:style w:type="character" w:customStyle="1" w:styleId="SubtitleChar">
    <w:name w:val="Subtitle Char"/>
    <w:aliases w:val="Graph title Char"/>
    <w:basedOn w:val="DefaultParagraphFont"/>
    <w:link w:val="Subtitle"/>
    <w:uiPriority w:val="11"/>
    <w:rsid w:val="00695AB2"/>
    <w:rPr>
      <w:rFonts w:ascii="EC Square Sans Pro" w:hAnsi="EC Square Sans Pro" w:cs="Times New Roman"/>
      <w:b/>
      <w:bCs/>
      <w:caps/>
      <w:spacing w:val="10"/>
      <w:sz w:val="21"/>
      <w:szCs w:val="21"/>
    </w:rPr>
  </w:style>
  <w:style w:type="character" w:styleId="Strong">
    <w:name w:val="Strong"/>
    <w:basedOn w:val="DefaultParagraphFont"/>
    <w:uiPriority w:val="22"/>
    <w:qFormat/>
    <w:rsid w:val="00302172"/>
    <w:rPr>
      <w:b/>
      <w:bCs/>
      <w:color w:val="000000" w:themeColor="text1"/>
    </w:rPr>
  </w:style>
  <w:style w:type="character" w:styleId="Emphasis">
    <w:name w:val="Emphasis"/>
    <w:basedOn w:val="DefaultParagraphFont"/>
    <w:uiPriority w:val="20"/>
    <w:qFormat/>
    <w:rsid w:val="00302172"/>
    <w:rPr>
      <w:i/>
      <w:iCs/>
      <w:color w:val="auto"/>
    </w:rPr>
  </w:style>
  <w:style w:type="paragraph" w:styleId="NoSpacing">
    <w:name w:val="No Spacing"/>
    <w:uiPriority w:val="1"/>
    <w:qFormat/>
    <w:rsid w:val="00302172"/>
    <w:pPr>
      <w:spacing w:after="0" w:line="240" w:lineRule="auto"/>
    </w:pPr>
    <w:rPr>
      <w:rFonts w:ascii="EC Square Sans Pro" w:hAnsi="EC Square Sans Pro"/>
    </w:rPr>
  </w:style>
  <w:style w:type="paragraph" w:styleId="Quote">
    <w:name w:val="Quote"/>
    <w:basedOn w:val="Normal"/>
    <w:next w:val="Normal"/>
    <w:link w:val="QuoteChar"/>
    <w:uiPriority w:val="29"/>
    <w:qFormat/>
    <w:rsid w:val="00302172"/>
    <w:pPr>
      <w:spacing w:before="160"/>
      <w:ind w:left="720" w:right="720"/>
    </w:pPr>
    <w:rPr>
      <w:i/>
      <w:iCs/>
      <w:color w:val="000000" w:themeColor="text1"/>
      <w:szCs w:val="22"/>
    </w:rPr>
  </w:style>
  <w:style w:type="character" w:customStyle="1" w:styleId="QuoteChar">
    <w:name w:val="Quote Char"/>
    <w:basedOn w:val="DefaultParagraphFont"/>
    <w:link w:val="Quote"/>
    <w:uiPriority w:val="29"/>
    <w:rsid w:val="00302172"/>
    <w:rPr>
      <w:rFonts w:ascii="EC Square Sans Pro" w:hAnsi="EC Square Sans Pro"/>
      <w:i/>
      <w:iCs/>
      <w:color w:val="000000" w:themeColor="text1"/>
    </w:rPr>
  </w:style>
  <w:style w:type="paragraph" w:styleId="IntenseQuote">
    <w:name w:val="Intense Quote"/>
    <w:basedOn w:val="Normal"/>
    <w:next w:val="Normal"/>
    <w:link w:val="IntenseQuoteChar"/>
    <w:uiPriority w:val="30"/>
    <w:qFormat/>
    <w:rsid w:val="0030217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szCs w:val="22"/>
    </w:rPr>
  </w:style>
  <w:style w:type="character" w:customStyle="1" w:styleId="IntenseQuoteChar">
    <w:name w:val="Intense Quote Char"/>
    <w:basedOn w:val="DefaultParagraphFont"/>
    <w:link w:val="IntenseQuote"/>
    <w:uiPriority w:val="30"/>
    <w:rsid w:val="00302172"/>
    <w:rPr>
      <w:rFonts w:ascii="EC Square Sans Pro" w:hAnsi="EC Square Sans Pro"/>
      <w:color w:val="000000" w:themeColor="text1"/>
      <w:shd w:val="clear" w:color="auto" w:fill="F2F2F2" w:themeFill="background1" w:themeFillShade="F2"/>
    </w:rPr>
  </w:style>
  <w:style w:type="character" w:styleId="SubtleEmphasis">
    <w:name w:val="Subtle Emphasis"/>
    <w:basedOn w:val="DefaultParagraphFont"/>
    <w:uiPriority w:val="19"/>
    <w:qFormat/>
    <w:rsid w:val="00302172"/>
    <w:rPr>
      <w:i/>
      <w:iCs/>
      <w:color w:val="404040" w:themeColor="text1" w:themeTint="BF"/>
    </w:rPr>
  </w:style>
  <w:style w:type="character" w:styleId="IntenseEmphasis">
    <w:name w:val="Intense Emphasis"/>
    <w:basedOn w:val="DefaultParagraphFont"/>
    <w:uiPriority w:val="21"/>
    <w:qFormat/>
    <w:rsid w:val="00302172"/>
    <w:rPr>
      <w:b/>
      <w:bCs/>
      <w:i/>
      <w:iCs/>
      <w:caps/>
    </w:rPr>
  </w:style>
  <w:style w:type="character" w:styleId="SubtleReference">
    <w:name w:val="Subtle Reference"/>
    <w:basedOn w:val="DefaultParagraphFont"/>
    <w:uiPriority w:val="31"/>
    <w:qFormat/>
    <w:rsid w:val="0030217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02172"/>
    <w:rPr>
      <w:b/>
      <w:bCs/>
      <w:smallCaps/>
      <w:u w:val="single"/>
    </w:rPr>
  </w:style>
  <w:style w:type="character" w:styleId="BookTitle">
    <w:name w:val="Book Title"/>
    <w:basedOn w:val="DefaultParagraphFont"/>
    <w:uiPriority w:val="33"/>
    <w:qFormat/>
    <w:rsid w:val="00302172"/>
    <w:rPr>
      <w:b w:val="0"/>
      <w:bCs w:val="0"/>
      <w:smallCaps/>
      <w:spacing w:val="5"/>
    </w:rPr>
  </w:style>
  <w:style w:type="paragraph" w:styleId="TOCHeading">
    <w:name w:val="TOC Heading"/>
    <w:basedOn w:val="Heading1"/>
    <w:next w:val="Normal"/>
    <w:uiPriority w:val="39"/>
    <w:semiHidden/>
    <w:unhideWhenUsed/>
    <w:qFormat/>
    <w:rsid w:val="00302172"/>
    <w:pPr>
      <w:ind w:left="432" w:hanging="432"/>
      <w:outlineLvl w:val="9"/>
    </w:pPr>
  </w:style>
  <w:style w:type="paragraph" w:customStyle="1" w:styleId="Boxbody">
    <w:name w:val="Box body"/>
    <w:basedOn w:val="Normal"/>
    <w:qFormat/>
    <w:rsid w:val="00DE4A7D"/>
    <w:pPr>
      <w:spacing w:after="240" w:line="240" w:lineRule="auto"/>
    </w:pPr>
    <w:rPr>
      <w:rFonts w:eastAsia="Times New Roman" w:cs="Times New Roman"/>
      <w:bCs/>
      <w:sz w:val="20"/>
      <w:szCs w:val="20"/>
      <w:lang w:eastAsia="en-IE"/>
    </w:rPr>
  </w:style>
  <w:style w:type="paragraph" w:customStyle="1" w:styleId="Boxtitle">
    <w:name w:val="Box title"/>
    <w:basedOn w:val="Normal"/>
    <w:qFormat/>
    <w:rsid w:val="00637EF0"/>
    <w:pPr>
      <w:spacing w:after="120" w:line="240" w:lineRule="auto"/>
      <w:jc w:val="left"/>
    </w:pPr>
    <w:rPr>
      <w:rFonts w:cs="Times New Roman"/>
      <w:b/>
      <w:color w:val="1A8482" w:themeColor="accent5" w:themeShade="80"/>
      <w:sz w:val="24"/>
      <w:lang w:eastAsia="en-IE"/>
    </w:rPr>
  </w:style>
  <w:style w:type="paragraph" w:customStyle="1" w:styleId="Framebody">
    <w:name w:val="Frame body"/>
    <w:basedOn w:val="Boxbody"/>
    <w:qFormat/>
    <w:rsid w:val="006260B2"/>
    <w:pPr>
      <w:spacing w:after="0"/>
      <w:jc w:val="center"/>
    </w:pPr>
    <w:rPr>
      <w:rFonts w:ascii="Times New Roman" w:hAnsi="Times New Roman"/>
    </w:rPr>
  </w:style>
  <w:style w:type="paragraph" w:customStyle="1" w:styleId="Framesubtitle">
    <w:name w:val="Frame subtitle"/>
    <w:basedOn w:val="paragraph"/>
    <w:qFormat/>
    <w:rsid w:val="00406AA2"/>
    <w:pPr>
      <w:spacing w:after="120" w:afterAutospacing="0"/>
    </w:pPr>
    <w:rPr>
      <w:rFonts w:ascii="EC Square Sans Pro" w:hAnsi="EC Square Sans Pro"/>
      <w:b/>
      <w:bCs/>
      <w:iCs/>
      <w:color w:val="1A8482" w:themeColor="accent5" w:themeShade="80"/>
      <w:sz w:val="20"/>
      <w:szCs w:val="20"/>
    </w:rPr>
  </w:style>
  <w:style w:type="character" w:customStyle="1" w:styleId="Mention2">
    <w:name w:val="Mention2"/>
    <w:basedOn w:val="DefaultParagraphFont"/>
    <w:uiPriority w:val="99"/>
    <w:unhideWhenUsed/>
    <w:rsid w:val="003E1304"/>
    <w:rPr>
      <w:color w:val="2B579A"/>
      <w:shd w:val="clear" w:color="auto" w:fill="E1DFDD"/>
    </w:rPr>
  </w:style>
  <w:style w:type="paragraph" w:customStyle="1" w:styleId="title-bold">
    <w:name w:val="title-bold"/>
    <w:basedOn w:val="Normal"/>
    <w:rsid w:val="00787EB1"/>
    <w:pPr>
      <w:spacing w:before="100" w:beforeAutospacing="1" w:after="100" w:afterAutospacing="1" w:line="240" w:lineRule="auto"/>
      <w:jc w:val="left"/>
    </w:pPr>
    <w:rPr>
      <w:rFonts w:ascii="Times New Roman" w:eastAsia="Times New Roman" w:hAnsi="Times New Roman" w:cs="Times New Roman"/>
      <w:sz w:val="24"/>
      <w:lang w:eastAsia="en-IE"/>
    </w:rPr>
  </w:style>
  <w:style w:type="paragraph" w:styleId="NormalWeb">
    <w:name w:val="Normal (Web)"/>
    <w:basedOn w:val="Normal"/>
    <w:uiPriority w:val="99"/>
    <w:semiHidden/>
    <w:unhideWhenUsed/>
    <w:rsid w:val="00787EB1"/>
    <w:pPr>
      <w:spacing w:before="100" w:beforeAutospacing="1" w:after="100" w:afterAutospacing="1" w:line="240" w:lineRule="auto"/>
      <w:jc w:val="left"/>
    </w:pPr>
    <w:rPr>
      <w:rFonts w:ascii="Times New Roman" w:eastAsia="Times New Roman" w:hAnsi="Times New Roman" w:cs="Times New Roman"/>
      <w:sz w:val="24"/>
      <w:lang w:eastAsia="en-IE"/>
    </w:rPr>
  </w:style>
  <w:style w:type="character" w:customStyle="1" w:styleId="UnresolvedMention2">
    <w:name w:val="Unresolved Mention2"/>
    <w:basedOn w:val="DefaultParagraphFont"/>
    <w:uiPriority w:val="99"/>
    <w:semiHidden/>
    <w:unhideWhenUsed/>
    <w:rsid w:val="00B32993"/>
    <w:rPr>
      <w:color w:val="605E5C"/>
      <w:shd w:val="clear" w:color="auto" w:fill="E1DFDD"/>
    </w:rPr>
  </w:style>
  <w:style w:type="paragraph" w:styleId="BalloonText">
    <w:name w:val="Balloon Text"/>
    <w:basedOn w:val="Normal"/>
    <w:link w:val="BalloonTextChar"/>
    <w:uiPriority w:val="99"/>
    <w:semiHidden/>
    <w:unhideWhenUsed/>
    <w:rsid w:val="00C670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058">
      <w:bodyDiv w:val="1"/>
      <w:marLeft w:val="0"/>
      <w:marRight w:val="0"/>
      <w:marTop w:val="0"/>
      <w:marBottom w:val="0"/>
      <w:divBdr>
        <w:top w:val="none" w:sz="0" w:space="0" w:color="auto"/>
        <w:left w:val="none" w:sz="0" w:space="0" w:color="auto"/>
        <w:bottom w:val="none" w:sz="0" w:space="0" w:color="auto"/>
        <w:right w:val="none" w:sz="0" w:space="0" w:color="auto"/>
      </w:divBdr>
    </w:div>
    <w:div w:id="95028271">
      <w:bodyDiv w:val="1"/>
      <w:marLeft w:val="0"/>
      <w:marRight w:val="0"/>
      <w:marTop w:val="0"/>
      <w:marBottom w:val="0"/>
      <w:divBdr>
        <w:top w:val="none" w:sz="0" w:space="0" w:color="auto"/>
        <w:left w:val="none" w:sz="0" w:space="0" w:color="auto"/>
        <w:bottom w:val="none" w:sz="0" w:space="0" w:color="auto"/>
        <w:right w:val="none" w:sz="0" w:space="0" w:color="auto"/>
      </w:divBdr>
    </w:div>
    <w:div w:id="128862843">
      <w:bodyDiv w:val="1"/>
      <w:marLeft w:val="0"/>
      <w:marRight w:val="0"/>
      <w:marTop w:val="0"/>
      <w:marBottom w:val="0"/>
      <w:divBdr>
        <w:top w:val="none" w:sz="0" w:space="0" w:color="auto"/>
        <w:left w:val="none" w:sz="0" w:space="0" w:color="auto"/>
        <w:bottom w:val="none" w:sz="0" w:space="0" w:color="auto"/>
        <w:right w:val="none" w:sz="0" w:space="0" w:color="auto"/>
      </w:divBdr>
    </w:div>
    <w:div w:id="171994429">
      <w:bodyDiv w:val="1"/>
      <w:marLeft w:val="0"/>
      <w:marRight w:val="0"/>
      <w:marTop w:val="0"/>
      <w:marBottom w:val="0"/>
      <w:divBdr>
        <w:top w:val="none" w:sz="0" w:space="0" w:color="auto"/>
        <w:left w:val="none" w:sz="0" w:space="0" w:color="auto"/>
        <w:bottom w:val="none" w:sz="0" w:space="0" w:color="auto"/>
        <w:right w:val="none" w:sz="0" w:space="0" w:color="auto"/>
      </w:divBdr>
    </w:div>
    <w:div w:id="216357764">
      <w:bodyDiv w:val="1"/>
      <w:marLeft w:val="0"/>
      <w:marRight w:val="0"/>
      <w:marTop w:val="0"/>
      <w:marBottom w:val="0"/>
      <w:divBdr>
        <w:top w:val="none" w:sz="0" w:space="0" w:color="auto"/>
        <w:left w:val="none" w:sz="0" w:space="0" w:color="auto"/>
        <w:bottom w:val="none" w:sz="0" w:space="0" w:color="auto"/>
        <w:right w:val="none" w:sz="0" w:space="0" w:color="auto"/>
      </w:divBdr>
    </w:div>
    <w:div w:id="422847928">
      <w:bodyDiv w:val="1"/>
      <w:marLeft w:val="0"/>
      <w:marRight w:val="0"/>
      <w:marTop w:val="0"/>
      <w:marBottom w:val="0"/>
      <w:divBdr>
        <w:top w:val="none" w:sz="0" w:space="0" w:color="auto"/>
        <w:left w:val="none" w:sz="0" w:space="0" w:color="auto"/>
        <w:bottom w:val="none" w:sz="0" w:space="0" w:color="auto"/>
        <w:right w:val="none" w:sz="0" w:space="0" w:color="auto"/>
      </w:divBdr>
    </w:div>
    <w:div w:id="449979600">
      <w:bodyDiv w:val="1"/>
      <w:marLeft w:val="0"/>
      <w:marRight w:val="0"/>
      <w:marTop w:val="0"/>
      <w:marBottom w:val="0"/>
      <w:divBdr>
        <w:top w:val="none" w:sz="0" w:space="0" w:color="auto"/>
        <w:left w:val="none" w:sz="0" w:space="0" w:color="auto"/>
        <w:bottom w:val="none" w:sz="0" w:space="0" w:color="auto"/>
        <w:right w:val="none" w:sz="0" w:space="0" w:color="auto"/>
      </w:divBdr>
    </w:div>
    <w:div w:id="509949907">
      <w:bodyDiv w:val="1"/>
      <w:marLeft w:val="0"/>
      <w:marRight w:val="0"/>
      <w:marTop w:val="0"/>
      <w:marBottom w:val="0"/>
      <w:divBdr>
        <w:top w:val="none" w:sz="0" w:space="0" w:color="auto"/>
        <w:left w:val="none" w:sz="0" w:space="0" w:color="auto"/>
        <w:bottom w:val="none" w:sz="0" w:space="0" w:color="auto"/>
        <w:right w:val="none" w:sz="0" w:space="0" w:color="auto"/>
      </w:divBdr>
    </w:div>
    <w:div w:id="536509008">
      <w:bodyDiv w:val="1"/>
      <w:marLeft w:val="0"/>
      <w:marRight w:val="0"/>
      <w:marTop w:val="0"/>
      <w:marBottom w:val="0"/>
      <w:divBdr>
        <w:top w:val="none" w:sz="0" w:space="0" w:color="auto"/>
        <w:left w:val="none" w:sz="0" w:space="0" w:color="auto"/>
        <w:bottom w:val="none" w:sz="0" w:space="0" w:color="auto"/>
        <w:right w:val="none" w:sz="0" w:space="0" w:color="auto"/>
      </w:divBdr>
    </w:div>
    <w:div w:id="558250672">
      <w:bodyDiv w:val="1"/>
      <w:marLeft w:val="0"/>
      <w:marRight w:val="0"/>
      <w:marTop w:val="0"/>
      <w:marBottom w:val="0"/>
      <w:divBdr>
        <w:top w:val="none" w:sz="0" w:space="0" w:color="auto"/>
        <w:left w:val="none" w:sz="0" w:space="0" w:color="auto"/>
        <w:bottom w:val="none" w:sz="0" w:space="0" w:color="auto"/>
        <w:right w:val="none" w:sz="0" w:space="0" w:color="auto"/>
      </w:divBdr>
    </w:div>
    <w:div w:id="665858579">
      <w:bodyDiv w:val="1"/>
      <w:marLeft w:val="0"/>
      <w:marRight w:val="0"/>
      <w:marTop w:val="0"/>
      <w:marBottom w:val="0"/>
      <w:divBdr>
        <w:top w:val="none" w:sz="0" w:space="0" w:color="auto"/>
        <w:left w:val="none" w:sz="0" w:space="0" w:color="auto"/>
        <w:bottom w:val="none" w:sz="0" w:space="0" w:color="auto"/>
        <w:right w:val="none" w:sz="0" w:space="0" w:color="auto"/>
      </w:divBdr>
    </w:div>
    <w:div w:id="794907612">
      <w:bodyDiv w:val="1"/>
      <w:marLeft w:val="0"/>
      <w:marRight w:val="0"/>
      <w:marTop w:val="0"/>
      <w:marBottom w:val="0"/>
      <w:divBdr>
        <w:top w:val="none" w:sz="0" w:space="0" w:color="auto"/>
        <w:left w:val="none" w:sz="0" w:space="0" w:color="auto"/>
        <w:bottom w:val="none" w:sz="0" w:space="0" w:color="auto"/>
        <w:right w:val="none" w:sz="0" w:space="0" w:color="auto"/>
      </w:divBdr>
    </w:div>
    <w:div w:id="857620014">
      <w:bodyDiv w:val="1"/>
      <w:marLeft w:val="0"/>
      <w:marRight w:val="0"/>
      <w:marTop w:val="0"/>
      <w:marBottom w:val="0"/>
      <w:divBdr>
        <w:top w:val="none" w:sz="0" w:space="0" w:color="auto"/>
        <w:left w:val="none" w:sz="0" w:space="0" w:color="auto"/>
        <w:bottom w:val="none" w:sz="0" w:space="0" w:color="auto"/>
        <w:right w:val="none" w:sz="0" w:space="0" w:color="auto"/>
      </w:divBdr>
      <w:divsChild>
        <w:div w:id="766728196">
          <w:marLeft w:val="0"/>
          <w:marRight w:val="0"/>
          <w:marTop w:val="0"/>
          <w:marBottom w:val="0"/>
          <w:divBdr>
            <w:top w:val="none" w:sz="0" w:space="0" w:color="auto"/>
            <w:left w:val="none" w:sz="0" w:space="0" w:color="auto"/>
            <w:bottom w:val="none" w:sz="0" w:space="0" w:color="auto"/>
            <w:right w:val="none" w:sz="0" w:space="0" w:color="auto"/>
          </w:divBdr>
          <w:divsChild>
            <w:div w:id="721832322">
              <w:marLeft w:val="0"/>
              <w:marRight w:val="0"/>
              <w:marTop w:val="0"/>
              <w:marBottom w:val="0"/>
              <w:divBdr>
                <w:top w:val="none" w:sz="0" w:space="0" w:color="auto"/>
                <w:left w:val="none" w:sz="0" w:space="0" w:color="auto"/>
                <w:bottom w:val="none" w:sz="0" w:space="0" w:color="auto"/>
                <w:right w:val="none" w:sz="0" w:space="0" w:color="auto"/>
              </w:divBdr>
            </w:div>
          </w:divsChild>
        </w:div>
        <w:div w:id="807088922">
          <w:marLeft w:val="0"/>
          <w:marRight w:val="0"/>
          <w:marTop w:val="0"/>
          <w:marBottom w:val="0"/>
          <w:divBdr>
            <w:top w:val="none" w:sz="0" w:space="0" w:color="auto"/>
            <w:left w:val="none" w:sz="0" w:space="0" w:color="auto"/>
            <w:bottom w:val="none" w:sz="0" w:space="0" w:color="auto"/>
            <w:right w:val="none" w:sz="0" w:space="0" w:color="auto"/>
          </w:divBdr>
          <w:divsChild>
            <w:div w:id="217518002">
              <w:marLeft w:val="0"/>
              <w:marRight w:val="0"/>
              <w:marTop w:val="0"/>
              <w:marBottom w:val="0"/>
              <w:divBdr>
                <w:top w:val="none" w:sz="0" w:space="0" w:color="auto"/>
                <w:left w:val="none" w:sz="0" w:space="0" w:color="auto"/>
                <w:bottom w:val="none" w:sz="0" w:space="0" w:color="auto"/>
                <w:right w:val="none" w:sz="0" w:space="0" w:color="auto"/>
              </w:divBdr>
            </w:div>
          </w:divsChild>
        </w:div>
        <w:div w:id="863402457">
          <w:marLeft w:val="0"/>
          <w:marRight w:val="0"/>
          <w:marTop w:val="0"/>
          <w:marBottom w:val="0"/>
          <w:divBdr>
            <w:top w:val="none" w:sz="0" w:space="0" w:color="auto"/>
            <w:left w:val="none" w:sz="0" w:space="0" w:color="auto"/>
            <w:bottom w:val="none" w:sz="0" w:space="0" w:color="auto"/>
            <w:right w:val="none" w:sz="0" w:space="0" w:color="auto"/>
          </w:divBdr>
          <w:divsChild>
            <w:div w:id="1665357047">
              <w:marLeft w:val="0"/>
              <w:marRight w:val="0"/>
              <w:marTop w:val="0"/>
              <w:marBottom w:val="0"/>
              <w:divBdr>
                <w:top w:val="none" w:sz="0" w:space="0" w:color="auto"/>
                <w:left w:val="none" w:sz="0" w:space="0" w:color="auto"/>
                <w:bottom w:val="none" w:sz="0" w:space="0" w:color="auto"/>
                <w:right w:val="none" w:sz="0" w:space="0" w:color="auto"/>
              </w:divBdr>
            </w:div>
          </w:divsChild>
        </w:div>
        <w:div w:id="1322544266">
          <w:marLeft w:val="0"/>
          <w:marRight w:val="0"/>
          <w:marTop w:val="0"/>
          <w:marBottom w:val="0"/>
          <w:divBdr>
            <w:top w:val="none" w:sz="0" w:space="0" w:color="auto"/>
            <w:left w:val="none" w:sz="0" w:space="0" w:color="auto"/>
            <w:bottom w:val="none" w:sz="0" w:space="0" w:color="auto"/>
            <w:right w:val="none" w:sz="0" w:space="0" w:color="auto"/>
          </w:divBdr>
          <w:divsChild>
            <w:div w:id="1826897963">
              <w:marLeft w:val="0"/>
              <w:marRight w:val="0"/>
              <w:marTop w:val="0"/>
              <w:marBottom w:val="0"/>
              <w:divBdr>
                <w:top w:val="none" w:sz="0" w:space="0" w:color="auto"/>
                <w:left w:val="none" w:sz="0" w:space="0" w:color="auto"/>
                <w:bottom w:val="none" w:sz="0" w:space="0" w:color="auto"/>
                <w:right w:val="none" w:sz="0" w:space="0" w:color="auto"/>
              </w:divBdr>
            </w:div>
          </w:divsChild>
        </w:div>
        <w:div w:id="1707101120">
          <w:marLeft w:val="0"/>
          <w:marRight w:val="0"/>
          <w:marTop w:val="0"/>
          <w:marBottom w:val="0"/>
          <w:divBdr>
            <w:top w:val="none" w:sz="0" w:space="0" w:color="auto"/>
            <w:left w:val="none" w:sz="0" w:space="0" w:color="auto"/>
            <w:bottom w:val="none" w:sz="0" w:space="0" w:color="auto"/>
            <w:right w:val="none" w:sz="0" w:space="0" w:color="auto"/>
          </w:divBdr>
          <w:divsChild>
            <w:div w:id="718365028">
              <w:marLeft w:val="0"/>
              <w:marRight w:val="0"/>
              <w:marTop w:val="0"/>
              <w:marBottom w:val="0"/>
              <w:divBdr>
                <w:top w:val="none" w:sz="0" w:space="0" w:color="auto"/>
                <w:left w:val="none" w:sz="0" w:space="0" w:color="auto"/>
                <w:bottom w:val="none" w:sz="0" w:space="0" w:color="auto"/>
                <w:right w:val="none" w:sz="0" w:space="0" w:color="auto"/>
              </w:divBdr>
            </w:div>
          </w:divsChild>
        </w:div>
        <w:div w:id="1810515905">
          <w:marLeft w:val="0"/>
          <w:marRight w:val="0"/>
          <w:marTop w:val="0"/>
          <w:marBottom w:val="0"/>
          <w:divBdr>
            <w:top w:val="none" w:sz="0" w:space="0" w:color="auto"/>
            <w:left w:val="none" w:sz="0" w:space="0" w:color="auto"/>
            <w:bottom w:val="none" w:sz="0" w:space="0" w:color="auto"/>
            <w:right w:val="none" w:sz="0" w:space="0" w:color="auto"/>
          </w:divBdr>
          <w:divsChild>
            <w:div w:id="45373025">
              <w:marLeft w:val="0"/>
              <w:marRight w:val="0"/>
              <w:marTop w:val="0"/>
              <w:marBottom w:val="0"/>
              <w:divBdr>
                <w:top w:val="none" w:sz="0" w:space="0" w:color="auto"/>
                <w:left w:val="none" w:sz="0" w:space="0" w:color="auto"/>
                <w:bottom w:val="none" w:sz="0" w:space="0" w:color="auto"/>
                <w:right w:val="none" w:sz="0" w:space="0" w:color="auto"/>
              </w:divBdr>
            </w:div>
          </w:divsChild>
        </w:div>
        <w:div w:id="1844320650">
          <w:marLeft w:val="0"/>
          <w:marRight w:val="0"/>
          <w:marTop w:val="0"/>
          <w:marBottom w:val="0"/>
          <w:divBdr>
            <w:top w:val="none" w:sz="0" w:space="0" w:color="auto"/>
            <w:left w:val="none" w:sz="0" w:space="0" w:color="auto"/>
            <w:bottom w:val="none" w:sz="0" w:space="0" w:color="auto"/>
            <w:right w:val="none" w:sz="0" w:space="0" w:color="auto"/>
          </w:divBdr>
          <w:divsChild>
            <w:div w:id="364136332">
              <w:marLeft w:val="0"/>
              <w:marRight w:val="0"/>
              <w:marTop w:val="0"/>
              <w:marBottom w:val="0"/>
              <w:divBdr>
                <w:top w:val="none" w:sz="0" w:space="0" w:color="auto"/>
                <w:left w:val="none" w:sz="0" w:space="0" w:color="auto"/>
                <w:bottom w:val="none" w:sz="0" w:space="0" w:color="auto"/>
                <w:right w:val="none" w:sz="0" w:space="0" w:color="auto"/>
              </w:divBdr>
            </w:div>
          </w:divsChild>
        </w:div>
        <w:div w:id="1871340251">
          <w:marLeft w:val="0"/>
          <w:marRight w:val="0"/>
          <w:marTop w:val="0"/>
          <w:marBottom w:val="0"/>
          <w:divBdr>
            <w:top w:val="none" w:sz="0" w:space="0" w:color="auto"/>
            <w:left w:val="none" w:sz="0" w:space="0" w:color="auto"/>
            <w:bottom w:val="none" w:sz="0" w:space="0" w:color="auto"/>
            <w:right w:val="none" w:sz="0" w:space="0" w:color="auto"/>
          </w:divBdr>
          <w:divsChild>
            <w:div w:id="11552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01832">
      <w:bodyDiv w:val="1"/>
      <w:marLeft w:val="0"/>
      <w:marRight w:val="0"/>
      <w:marTop w:val="0"/>
      <w:marBottom w:val="0"/>
      <w:divBdr>
        <w:top w:val="none" w:sz="0" w:space="0" w:color="auto"/>
        <w:left w:val="none" w:sz="0" w:space="0" w:color="auto"/>
        <w:bottom w:val="none" w:sz="0" w:space="0" w:color="auto"/>
        <w:right w:val="none" w:sz="0" w:space="0" w:color="auto"/>
      </w:divBdr>
    </w:div>
    <w:div w:id="1024284880">
      <w:bodyDiv w:val="1"/>
      <w:marLeft w:val="0"/>
      <w:marRight w:val="0"/>
      <w:marTop w:val="0"/>
      <w:marBottom w:val="0"/>
      <w:divBdr>
        <w:top w:val="none" w:sz="0" w:space="0" w:color="auto"/>
        <w:left w:val="none" w:sz="0" w:space="0" w:color="auto"/>
        <w:bottom w:val="none" w:sz="0" w:space="0" w:color="auto"/>
        <w:right w:val="none" w:sz="0" w:space="0" w:color="auto"/>
      </w:divBdr>
    </w:div>
    <w:div w:id="1025643300">
      <w:bodyDiv w:val="1"/>
      <w:marLeft w:val="0"/>
      <w:marRight w:val="0"/>
      <w:marTop w:val="0"/>
      <w:marBottom w:val="0"/>
      <w:divBdr>
        <w:top w:val="none" w:sz="0" w:space="0" w:color="auto"/>
        <w:left w:val="none" w:sz="0" w:space="0" w:color="auto"/>
        <w:bottom w:val="none" w:sz="0" w:space="0" w:color="auto"/>
        <w:right w:val="none" w:sz="0" w:space="0" w:color="auto"/>
      </w:divBdr>
    </w:div>
    <w:div w:id="1047726179">
      <w:bodyDiv w:val="1"/>
      <w:marLeft w:val="0"/>
      <w:marRight w:val="0"/>
      <w:marTop w:val="0"/>
      <w:marBottom w:val="0"/>
      <w:divBdr>
        <w:top w:val="none" w:sz="0" w:space="0" w:color="auto"/>
        <w:left w:val="none" w:sz="0" w:space="0" w:color="auto"/>
        <w:bottom w:val="none" w:sz="0" w:space="0" w:color="auto"/>
        <w:right w:val="none" w:sz="0" w:space="0" w:color="auto"/>
      </w:divBdr>
    </w:div>
    <w:div w:id="1063288412">
      <w:bodyDiv w:val="1"/>
      <w:marLeft w:val="0"/>
      <w:marRight w:val="0"/>
      <w:marTop w:val="0"/>
      <w:marBottom w:val="0"/>
      <w:divBdr>
        <w:top w:val="none" w:sz="0" w:space="0" w:color="auto"/>
        <w:left w:val="none" w:sz="0" w:space="0" w:color="auto"/>
        <w:bottom w:val="none" w:sz="0" w:space="0" w:color="auto"/>
        <w:right w:val="none" w:sz="0" w:space="0" w:color="auto"/>
      </w:divBdr>
      <w:divsChild>
        <w:div w:id="800734250">
          <w:marLeft w:val="0"/>
          <w:marRight w:val="0"/>
          <w:marTop w:val="0"/>
          <w:marBottom w:val="0"/>
          <w:divBdr>
            <w:top w:val="none" w:sz="0" w:space="0" w:color="auto"/>
            <w:left w:val="none" w:sz="0" w:space="0" w:color="auto"/>
            <w:bottom w:val="none" w:sz="0" w:space="0" w:color="auto"/>
            <w:right w:val="none" w:sz="0" w:space="0" w:color="auto"/>
          </w:divBdr>
        </w:div>
      </w:divsChild>
    </w:div>
    <w:div w:id="1111894151">
      <w:bodyDiv w:val="1"/>
      <w:marLeft w:val="0"/>
      <w:marRight w:val="0"/>
      <w:marTop w:val="0"/>
      <w:marBottom w:val="0"/>
      <w:divBdr>
        <w:top w:val="none" w:sz="0" w:space="0" w:color="auto"/>
        <w:left w:val="none" w:sz="0" w:space="0" w:color="auto"/>
        <w:bottom w:val="none" w:sz="0" w:space="0" w:color="auto"/>
        <w:right w:val="none" w:sz="0" w:space="0" w:color="auto"/>
      </w:divBdr>
    </w:div>
    <w:div w:id="1132019842">
      <w:bodyDiv w:val="1"/>
      <w:marLeft w:val="0"/>
      <w:marRight w:val="0"/>
      <w:marTop w:val="0"/>
      <w:marBottom w:val="0"/>
      <w:divBdr>
        <w:top w:val="none" w:sz="0" w:space="0" w:color="auto"/>
        <w:left w:val="none" w:sz="0" w:space="0" w:color="auto"/>
        <w:bottom w:val="none" w:sz="0" w:space="0" w:color="auto"/>
        <w:right w:val="none" w:sz="0" w:space="0" w:color="auto"/>
      </w:divBdr>
    </w:div>
    <w:div w:id="1169175689">
      <w:bodyDiv w:val="1"/>
      <w:marLeft w:val="0"/>
      <w:marRight w:val="0"/>
      <w:marTop w:val="0"/>
      <w:marBottom w:val="0"/>
      <w:divBdr>
        <w:top w:val="none" w:sz="0" w:space="0" w:color="auto"/>
        <w:left w:val="none" w:sz="0" w:space="0" w:color="auto"/>
        <w:bottom w:val="none" w:sz="0" w:space="0" w:color="auto"/>
        <w:right w:val="none" w:sz="0" w:space="0" w:color="auto"/>
      </w:divBdr>
    </w:div>
    <w:div w:id="1207910712">
      <w:bodyDiv w:val="1"/>
      <w:marLeft w:val="0"/>
      <w:marRight w:val="0"/>
      <w:marTop w:val="0"/>
      <w:marBottom w:val="0"/>
      <w:divBdr>
        <w:top w:val="none" w:sz="0" w:space="0" w:color="auto"/>
        <w:left w:val="none" w:sz="0" w:space="0" w:color="auto"/>
        <w:bottom w:val="none" w:sz="0" w:space="0" w:color="auto"/>
        <w:right w:val="none" w:sz="0" w:space="0" w:color="auto"/>
      </w:divBdr>
    </w:div>
    <w:div w:id="1212232272">
      <w:bodyDiv w:val="1"/>
      <w:marLeft w:val="0"/>
      <w:marRight w:val="0"/>
      <w:marTop w:val="0"/>
      <w:marBottom w:val="0"/>
      <w:divBdr>
        <w:top w:val="none" w:sz="0" w:space="0" w:color="auto"/>
        <w:left w:val="none" w:sz="0" w:space="0" w:color="auto"/>
        <w:bottom w:val="none" w:sz="0" w:space="0" w:color="auto"/>
        <w:right w:val="none" w:sz="0" w:space="0" w:color="auto"/>
      </w:divBdr>
    </w:div>
    <w:div w:id="1304118549">
      <w:bodyDiv w:val="1"/>
      <w:marLeft w:val="0"/>
      <w:marRight w:val="0"/>
      <w:marTop w:val="0"/>
      <w:marBottom w:val="0"/>
      <w:divBdr>
        <w:top w:val="none" w:sz="0" w:space="0" w:color="auto"/>
        <w:left w:val="none" w:sz="0" w:space="0" w:color="auto"/>
        <w:bottom w:val="none" w:sz="0" w:space="0" w:color="auto"/>
        <w:right w:val="none" w:sz="0" w:space="0" w:color="auto"/>
      </w:divBdr>
    </w:div>
    <w:div w:id="1383017383">
      <w:bodyDiv w:val="1"/>
      <w:marLeft w:val="0"/>
      <w:marRight w:val="0"/>
      <w:marTop w:val="0"/>
      <w:marBottom w:val="0"/>
      <w:divBdr>
        <w:top w:val="none" w:sz="0" w:space="0" w:color="auto"/>
        <w:left w:val="none" w:sz="0" w:space="0" w:color="auto"/>
        <w:bottom w:val="none" w:sz="0" w:space="0" w:color="auto"/>
        <w:right w:val="none" w:sz="0" w:space="0" w:color="auto"/>
      </w:divBdr>
    </w:div>
    <w:div w:id="1403330387">
      <w:bodyDiv w:val="1"/>
      <w:marLeft w:val="0"/>
      <w:marRight w:val="0"/>
      <w:marTop w:val="0"/>
      <w:marBottom w:val="0"/>
      <w:divBdr>
        <w:top w:val="none" w:sz="0" w:space="0" w:color="auto"/>
        <w:left w:val="none" w:sz="0" w:space="0" w:color="auto"/>
        <w:bottom w:val="none" w:sz="0" w:space="0" w:color="auto"/>
        <w:right w:val="none" w:sz="0" w:space="0" w:color="auto"/>
      </w:divBdr>
      <w:divsChild>
        <w:div w:id="1184590065">
          <w:marLeft w:val="0"/>
          <w:marRight w:val="0"/>
          <w:marTop w:val="0"/>
          <w:marBottom w:val="0"/>
          <w:divBdr>
            <w:top w:val="none" w:sz="0" w:space="0" w:color="auto"/>
            <w:left w:val="none" w:sz="0" w:space="0" w:color="auto"/>
            <w:bottom w:val="none" w:sz="0" w:space="0" w:color="auto"/>
            <w:right w:val="none" w:sz="0" w:space="0" w:color="auto"/>
          </w:divBdr>
        </w:div>
      </w:divsChild>
    </w:div>
    <w:div w:id="1426801691">
      <w:bodyDiv w:val="1"/>
      <w:marLeft w:val="0"/>
      <w:marRight w:val="0"/>
      <w:marTop w:val="0"/>
      <w:marBottom w:val="0"/>
      <w:divBdr>
        <w:top w:val="none" w:sz="0" w:space="0" w:color="auto"/>
        <w:left w:val="none" w:sz="0" w:space="0" w:color="auto"/>
        <w:bottom w:val="none" w:sz="0" w:space="0" w:color="auto"/>
        <w:right w:val="none" w:sz="0" w:space="0" w:color="auto"/>
      </w:divBdr>
    </w:div>
    <w:div w:id="1522431181">
      <w:bodyDiv w:val="1"/>
      <w:marLeft w:val="0"/>
      <w:marRight w:val="0"/>
      <w:marTop w:val="0"/>
      <w:marBottom w:val="0"/>
      <w:divBdr>
        <w:top w:val="none" w:sz="0" w:space="0" w:color="auto"/>
        <w:left w:val="none" w:sz="0" w:space="0" w:color="auto"/>
        <w:bottom w:val="none" w:sz="0" w:space="0" w:color="auto"/>
        <w:right w:val="none" w:sz="0" w:space="0" w:color="auto"/>
      </w:divBdr>
      <w:divsChild>
        <w:div w:id="1359040567">
          <w:marLeft w:val="0"/>
          <w:marRight w:val="0"/>
          <w:marTop w:val="0"/>
          <w:marBottom w:val="0"/>
          <w:divBdr>
            <w:top w:val="none" w:sz="0" w:space="0" w:color="auto"/>
            <w:left w:val="none" w:sz="0" w:space="0" w:color="auto"/>
            <w:bottom w:val="none" w:sz="0" w:space="0" w:color="auto"/>
            <w:right w:val="none" w:sz="0" w:space="0" w:color="auto"/>
          </w:divBdr>
          <w:divsChild>
            <w:div w:id="570429917">
              <w:marLeft w:val="0"/>
              <w:marRight w:val="0"/>
              <w:marTop w:val="0"/>
              <w:marBottom w:val="0"/>
              <w:divBdr>
                <w:top w:val="none" w:sz="0" w:space="0" w:color="auto"/>
                <w:left w:val="none" w:sz="0" w:space="0" w:color="auto"/>
                <w:bottom w:val="none" w:sz="0" w:space="0" w:color="auto"/>
                <w:right w:val="none" w:sz="0" w:space="0" w:color="auto"/>
              </w:divBdr>
              <w:divsChild>
                <w:div w:id="16626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6104">
      <w:bodyDiv w:val="1"/>
      <w:marLeft w:val="0"/>
      <w:marRight w:val="0"/>
      <w:marTop w:val="0"/>
      <w:marBottom w:val="0"/>
      <w:divBdr>
        <w:top w:val="none" w:sz="0" w:space="0" w:color="auto"/>
        <w:left w:val="none" w:sz="0" w:space="0" w:color="auto"/>
        <w:bottom w:val="none" w:sz="0" w:space="0" w:color="auto"/>
        <w:right w:val="none" w:sz="0" w:space="0" w:color="auto"/>
      </w:divBdr>
    </w:div>
    <w:div w:id="1634170432">
      <w:bodyDiv w:val="1"/>
      <w:marLeft w:val="0"/>
      <w:marRight w:val="0"/>
      <w:marTop w:val="0"/>
      <w:marBottom w:val="0"/>
      <w:divBdr>
        <w:top w:val="none" w:sz="0" w:space="0" w:color="auto"/>
        <w:left w:val="none" w:sz="0" w:space="0" w:color="auto"/>
        <w:bottom w:val="none" w:sz="0" w:space="0" w:color="auto"/>
        <w:right w:val="none" w:sz="0" w:space="0" w:color="auto"/>
      </w:divBdr>
    </w:div>
    <w:div w:id="1659647741">
      <w:bodyDiv w:val="1"/>
      <w:marLeft w:val="0"/>
      <w:marRight w:val="0"/>
      <w:marTop w:val="0"/>
      <w:marBottom w:val="0"/>
      <w:divBdr>
        <w:top w:val="none" w:sz="0" w:space="0" w:color="auto"/>
        <w:left w:val="none" w:sz="0" w:space="0" w:color="auto"/>
        <w:bottom w:val="none" w:sz="0" w:space="0" w:color="auto"/>
        <w:right w:val="none" w:sz="0" w:space="0" w:color="auto"/>
      </w:divBdr>
    </w:div>
    <w:div w:id="1740518176">
      <w:bodyDiv w:val="1"/>
      <w:marLeft w:val="0"/>
      <w:marRight w:val="0"/>
      <w:marTop w:val="0"/>
      <w:marBottom w:val="0"/>
      <w:divBdr>
        <w:top w:val="none" w:sz="0" w:space="0" w:color="auto"/>
        <w:left w:val="none" w:sz="0" w:space="0" w:color="auto"/>
        <w:bottom w:val="none" w:sz="0" w:space="0" w:color="auto"/>
        <w:right w:val="none" w:sz="0" w:space="0" w:color="auto"/>
      </w:divBdr>
    </w:div>
    <w:div w:id="1816600815">
      <w:bodyDiv w:val="1"/>
      <w:marLeft w:val="0"/>
      <w:marRight w:val="0"/>
      <w:marTop w:val="0"/>
      <w:marBottom w:val="0"/>
      <w:divBdr>
        <w:top w:val="none" w:sz="0" w:space="0" w:color="auto"/>
        <w:left w:val="none" w:sz="0" w:space="0" w:color="auto"/>
        <w:bottom w:val="none" w:sz="0" w:space="0" w:color="auto"/>
        <w:right w:val="none" w:sz="0" w:space="0" w:color="auto"/>
      </w:divBdr>
    </w:div>
    <w:div w:id="1871452943">
      <w:bodyDiv w:val="1"/>
      <w:marLeft w:val="0"/>
      <w:marRight w:val="0"/>
      <w:marTop w:val="0"/>
      <w:marBottom w:val="0"/>
      <w:divBdr>
        <w:top w:val="none" w:sz="0" w:space="0" w:color="auto"/>
        <w:left w:val="none" w:sz="0" w:space="0" w:color="auto"/>
        <w:bottom w:val="none" w:sz="0" w:space="0" w:color="auto"/>
        <w:right w:val="none" w:sz="0" w:space="0" w:color="auto"/>
      </w:divBdr>
    </w:div>
    <w:div w:id="1883177815">
      <w:bodyDiv w:val="1"/>
      <w:marLeft w:val="0"/>
      <w:marRight w:val="0"/>
      <w:marTop w:val="0"/>
      <w:marBottom w:val="0"/>
      <w:divBdr>
        <w:top w:val="none" w:sz="0" w:space="0" w:color="auto"/>
        <w:left w:val="none" w:sz="0" w:space="0" w:color="auto"/>
        <w:bottom w:val="none" w:sz="0" w:space="0" w:color="auto"/>
        <w:right w:val="none" w:sz="0" w:space="0" w:color="auto"/>
      </w:divBdr>
    </w:div>
    <w:div w:id="1929464818">
      <w:bodyDiv w:val="1"/>
      <w:marLeft w:val="0"/>
      <w:marRight w:val="0"/>
      <w:marTop w:val="0"/>
      <w:marBottom w:val="0"/>
      <w:divBdr>
        <w:top w:val="none" w:sz="0" w:space="0" w:color="auto"/>
        <w:left w:val="none" w:sz="0" w:space="0" w:color="auto"/>
        <w:bottom w:val="none" w:sz="0" w:space="0" w:color="auto"/>
        <w:right w:val="none" w:sz="0" w:space="0" w:color="auto"/>
      </w:divBdr>
    </w:div>
    <w:div w:id="1941452534">
      <w:bodyDiv w:val="1"/>
      <w:marLeft w:val="0"/>
      <w:marRight w:val="0"/>
      <w:marTop w:val="0"/>
      <w:marBottom w:val="0"/>
      <w:divBdr>
        <w:top w:val="none" w:sz="0" w:space="0" w:color="auto"/>
        <w:left w:val="none" w:sz="0" w:space="0" w:color="auto"/>
        <w:bottom w:val="none" w:sz="0" w:space="0" w:color="auto"/>
        <w:right w:val="none" w:sz="0" w:space="0" w:color="auto"/>
      </w:divBdr>
    </w:div>
    <w:div w:id="1951938427">
      <w:bodyDiv w:val="1"/>
      <w:marLeft w:val="0"/>
      <w:marRight w:val="0"/>
      <w:marTop w:val="0"/>
      <w:marBottom w:val="0"/>
      <w:divBdr>
        <w:top w:val="none" w:sz="0" w:space="0" w:color="auto"/>
        <w:left w:val="none" w:sz="0" w:space="0" w:color="auto"/>
        <w:bottom w:val="none" w:sz="0" w:space="0" w:color="auto"/>
        <w:right w:val="none" w:sz="0" w:space="0" w:color="auto"/>
      </w:divBdr>
    </w:div>
    <w:div w:id="1988318330">
      <w:bodyDiv w:val="1"/>
      <w:marLeft w:val="0"/>
      <w:marRight w:val="0"/>
      <w:marTop w:val="0"/>
      <w:marBottom w:val="0"/>
      <w:divBdr>
        <w:top w:val="none" w:sz="0" w:space="0" w:color="auto"/>
        <w:left w:val="none" w:sz="0" w:space="0" w:color="auto"/>
        <w:bottom w:val="none" w:sz="0" w:space="0" w:color="auto"/>
        <w:right w:val="none" w:sz="0" w:space="0" w:color="auto"/>
      </w:divBdr>
    </w:div>
    <w:div w:id="2029214791">
      <w:bodyDiv w:val="1"/>
      <w:marLeft w:val="0"/>
      <w:marRight w:val="0"/>
      <w:marTop w:val="0"/>
      <w:marBottom w:val="0"/>
      <w:divBdr>
        <w:top w:val="none" w:sz="0" w:space="0" w:color="auto"/>
        <w:left w:val="none" w:sz="0" w:space="0" w:color="auto"/>
        <w:bottom w:val="none" w:sz="0" w:space="0" w:color="auto"/>
        <w:right w:val="none" w:sz="0" w:space="0" w:color="auto"/>
      </w:divBdr>
    </w:div>
    <w:div w:id="2086604844">
      <w:bodyDiv w:val="1"/>
      <w:marLeft w:val="0"/>
      <w:marRight w:val="0"/>
      <w:marTop w:val="0"/>
      <w:marBottom w:val="0"/>
      <w:divBdr>
        <w:top w:val="none" w:sz="0" w:space="0" w:color="auto"/>
        <w:left w:val="none" w:sz="0" w:space="0" w:color="auto"/>
        <w:bottom w:val="none" w:sz="0" w:space="0" w:color="auto"/>
        <w:right w:val="none" w:sz="0" w:space="0" w:color="auto"/>
      </w:divBdr>
    </w:div>
    <w:div w:id="2094890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footer" Target="foot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nowsdgs.jrc.ec.europa.eu/cfc" TargetMode="External"/></Relationships>
</file>

<file path=word/theme/theme1.xml><?xml version="1.0" encoding="utf-8"?>
<a:theme xmlns:a="http://schemas.openxmlformats.org/drawingml/2006/main" name="Office Theme">
  <a:themeElements>
    <a:clrScheme name="Democracy">
      <a:dk1>
        <a:sysClr val="windowText" lastClr="000000"/>
      </a:dk1>
      <a:lt1>
        <a:sysClr val="window" lastClr="FFFFFF"/>
      </a:lt1>
      <a:dk2>
        <a:srgbClr val="1F497D"/>
      </a:dk2>
      <a:lt2>
        <a:srgbClr val="EEECE1"/>
      </a:lt2>
      <a:accent1>
        <a:srgbClr val="FFC000"/>
      </a:accent1>
      <a:accent2>
        <a:srgbClr val="00ADDC"/>
      </a:accent2>
      <a:accent3>
        <a:srgbClr val="0070C0"/>
      </a:accent3>
      <a:accent4>
        <a:srgbClr val="1D2C65"/>
      </a:accent4>
      <a:accent5>
        <a:srgbClr val="5FDFDC"/>
      </a:accent5>
      <a:accent6>
        <a:srgbClr val="EB6E19"/>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16" ma:contentTypeDescription="Create a new document." ma:contentTypeScope="" ma:versionID="9a7603c524114638343658be406d78a5">
  <xsd:schema xmlns:xsd="http://www.w3.org/2001/XMLSchema" xmlns:xs="http://www.w3.org/2001/XMLSchema" xmlns:p="http://schemas.microsoft.com/office/2006/metadata/properties" xmlns:ns1="http://schemas.microsoft.com/sharepoint/v3" xmlns:ns2="cce4269c-1bca-4c47-bcbd-0ca0cb14aa6e" xmlns:ns3="96a7f24e-e0df-4592-b6e0-4a62e251a0e5" targetNamespace="http://schemas.microsoft.com/office/2006/metadata/properties" ma:root="true" ma:fieldsID="89cdbf63be496cba8f4c6891d88c3452" ns1:_="" ns2:_="" ns3:_="">
    <xsd:import namespace="http://schemas.microsoft.com/sharepoint/v3"/>
    <xsd:import namespace="cce4269c-1bca-4c47-bcbd-0ca0cb14aa6e"/>
    <xsd:import namespace="96a7f24e-e0df-4592-b6e0-4a62e251a0e5"/>
    <xsd:element name="properties">
      <xsd:complexType>
        <xsd:sequence>
          <xsd:element name="documentManagement">
            <xsd:complexType>
              <xsd:all>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Language"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5"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complexType>
        <xsd:complexContent>
          <xsd:extension base="dms:MultiChoice">
            <xsd:sequence>
              <xsd:element name="Value" maxOccurs="unbounded" minOccurs="0" nillable="true">
                <xsd:simpleType>
                  <xsd:restriction base="dms:Choice">
                    <xsd:enumeration value="FISMA"/>
                    <xsd:enumeration value="ESTAT"/>
                    <xsd:enumeration value="TAXUD"/>
                    <xsd:enumeration value="BUDGET"/>
                    <xsd:enumeration value="MANAGEMENT"/>
                    <xsd:enumeration value="LPPS"/>
                    <xsd:enumeration value="Choice 7"/>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ddeed7-3f14-4cbc-be1d-0468071a0c24}" ma:internalName="TaxCatchAll"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opic xmlns="cce4269c-1bca-4c47-bcbd-0ca0cb14aa6e" xsi:nil="true"/>
    <TaxCatchAll xmlns="96a7f24e-e0df-4592-b6e0-4a62e251a0e5" xsi:nil="true"/>
    <lcf76f155ced4ddcb4097134ff3c332f xmlns="cce4269c-1bca-4c47-bcbd-0ca0cb14aa6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0C528-603E-4F98-BBE2-84B543A44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0915C-A0EC-4882-BEC9-AF7316653FC3}">
  <ds:schemaRefs>
    <ds:schemaRef ds:uri="http://schemas.microsoft.com/office/2006/metadata/properties"/>
    <ds:schemaRef ds:uri="http://schemas.microsoft.com/office/infopath/2007/PartnerControls"/>
    <ds:schemaRef ds:uri="http://schemas.microsoft.com/sharepoint/v3"/>
    <ds:schemaRef ds:uri="cce4269c-1bca-4c47-bcbd-0ca0cb14aa6e"/>
    <ds:schemaRef ds:uri="96a7f24e-e0df-4592-b6e0-4a62e251a0e5"/>
  </ds:schemaRefs>
</ds:datastoreItem>
</file>

<file path=customXml/itemProps3.xml><?xml version="1.0" encoding="utf-8"?>
<ds:datastoreItem xmlns:ds="http://schemas.openxmlformats.org/officeDocument/2006/customXml" ds:itemID="{B392EB72-E56D-49CC-90E9-5590CEA4B168}">
  <ds:schemaRefs>
    <ds:schemaRef ds:uri="http://schemas.microsoft.com/sharepoint/v3/contenttype/forms"/>
  </ds:schemaRefs>
</ds:datastoreItem>
</file>

<file path=customXml/itemProps4.xml><?xml version="1.0" encoding="utf-8"?>
<ds:datastoreItem xmlns:ds="http://schemas.openxmlformats.org/officeDocument/2006/customXml" ds:itemID="{6EC7411A-BC1D-4999-B7BD-62F7CAFA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8401</Words>
  <Characters>53098</Characters>
  <Application>Microsoft Office Word</Application>
  <DocSecurity>0</DocSecurity>
  <Lines>769</Lines>
  <Paragraphs>162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61337</CharactersWithSpaces>
  <SharedDoc>false</SharedDoc>
  <HLinks>
    <vt:vector size="6" baseType="variant">
      <vt:variant>
        <vt:i4>655390</vt:i4>
      </vt:variant>
      <vt:variant>
        <vt:i4>0</vt:i4>
      </vt:variant>
      <vt:variant>
        <vt:i4>0</vt:i4>
      </vt:variant>
      <vt:variant>
        <vt:i4>5</vt:i4>
      </vt:variant>
      <vt:variant>
        <vt:lpwstr>https://knowsdgs.jrc.ec.europa.eu/cfc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2023-10-19T14:03:00Z</dcterms:created>
  <dcterms:modified xsi:type="dcterms:W3CDTF">2023-10-20T13:41:00Z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2023-09-20T15:06:19Z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a86e63f8-2795-4680-9480-17587fb6c5bb</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Level of sensitivity">
    <vt:lpwstr>Standard treatment</vt:lpwstr>
  </property>
  <property fmtid="{D5CDD505-2E9C-101B-9397-08002B2CF9AE}" pid="11" name="Last edited using">
    <vt:lpwstr>LW 9.0, Build 20230317</vt:lpwstr>
  </property>
  <property fmtid="{D5CDD505-2E9C-101B-9397-08002B2CF9AE}" pid="12" name="DocStatus">
    <vt:lpwstr>Green</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CP-014</vt:lpwstr>
  </property>
  <property fmtid="{D5CDD505-2E9C-101B-9397-08002B2CF9AE}" pid="16" name="MediaServiceImageTags">
    <vt:lpwstr/>
  </property>
</Properties>
</file>