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BCFF9" w14:textId="2D604B65" w:rsidR="00282508" w:rsidRPr="00C25964" w:rsidRDefault="0012551C" w:rsidP="004A0B38">
      <w:pPr>
        <w:pStyle w:val="Pagedecouverture"/>
        <w:rPr>
          <w:noProof/>
        </w:rPr>
      </w:pPr>
      <w:r>
        <w:rPr>
          <w:noProof/>
        </w:rPr>
        <w:pict w14:anchorId="5FE4E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1547C7E-0E44-4C14-8840-93BFC9A9F2B6" style="width:455.35pt;height:385.3pt">
            <v:imagedata r:id="rId11" o:title=""/>
          </v:shape>
        </w:pict>
      </w:r>
    </w:p>
    <w:p w14:paraId="398BFBA0" w14:textId="77777777" w:rsidR="00282508" w:rsidRPr="00C25964" w:rsidRDefault="00282508" w:rsidP="00282508">
      <w:pPr>
        <w:rPr>
          <w:noProof/>
        </w:rPr>
        <w:sectPr w:rsidR="00282508" w:rsidRPr="00C25964" w:rsidSect="004A0B38">
          <w:footerReference w:type="default" r:id="rId12"/>
          <w:pgSz w:w="11907" w:h="16839"/>
          <w:pgMar w:top="1134" w:right="1417" w:bottom="1134" w:left="1417" w:header="709" w:footer="709" w:gutter="0"/>
          <w:pgNumType w:start="0"/>
          <w:cols w:space="720"/>
          <w:docGrid w:linePitch="360"/>
        </w:sectPr>
      </w:pPr>
    </w:p>
    <w:p w14:paraId="3658C2F8" w14:textId="77777777" w:rsidR="00AA6B9B" w:rsidRPr="00C25964" w:rsidRDefault="00AA6B9B" w:rsidP="0010628A">
      <w:pPr>
        <w:pStyle w:val="Exposdesmotifstitre"/>
        <w:rPr>
          <w:noProof/>
        </w:rPr>
      </w:pPr>
      <w:r w:rsidRPr="00C25964">
        <w:rPr>
          <w:noProof/>
        </w:rPr>
        <w:lastRenderedPageBreak/>
        <w:t>MOTIVERING</w:t>
      </w:r>
    </w:p>
    <w:p w14:paraId="063C6CC7" w14:textId="77777777" w:rsidR="00AA6B9B" w:rsidRPr="00C25964" w:rsidRDefault="00AA6B9B" w:rsidP="00766970">
      <w:pPr>
        <w:pStyle w:val="ManualHeading1"/>
        <w:rPr>
          <w:noProof/>
        </w:rPr>
      </w:pPr>
      <w:r w:rsidRPr="00C25964">
        <w:rPr>
          <w:noProof/>
        </w:rPr>
        <w:t>1.</w:t>
      </w:r>
      <w:r w:rsidRPr="00C25964">
        <w:rPr>
          <w:noProof/>
        </w:rPr>
        <w:tab/>
        <w:t>BAKGRUND TILL FÖRSLAGET</w:t>
      </w:r>
    </w:p>
    <w:p w14:paraId="5725C91C" w14:textId="77777777" w:rsidR="00AA6B9B" w:rsidRPr="00C25964" w:rsidRDefault="00AA6B9B" w:rsidP="00766970">
      <w:pPr>
        <w:pStyle w:val="ManualHeading2"/>
        <w:rPr>
          <w:noProof/>
        </w:rPr>
      </w:pPr>
      <w:r w:rsidRPr="00C25964">
        <w:rPr>
          <w:noProof/>
          <w:color w:val="000000"/>
          <w:bdr w:val="nil"/>
        </w:rPr>
        <w:t>•</w:t>
      </w:r>
      <w:r w:rsidRPr="00C25964">
        <w:rPr>
          <w:noProof/>
        </w:rPr>
        <w:tab/>
        <w:t xml:space="preserve">Motiv och syfte med förslaget </w:t>
      </w:r>
    </w:p>
    <w:p w14:paraId="5FA12790" w14:textId="77777777" w:rsidR="00AA6B9B" w:rsidRPr="00C25964" w:rsidRDefault="00AA6B9B" w:rsidP="00AA6B9B">
      <w:pPr>
        <w:rPr>
          <w:rFonts w:eastAsia="Times New Roman"/>
          <w:i/>
          <w:iCs/>
          <w:noProof/>
          <w:color w:val="000000"/>
        </w:rPr>
      </w:pPr>
      <w:r w:rsidRPr="00C25964">
        <w:rPr>
          <w:noProof/>
        </w:rPr>
        <w:t xml:space="preserve">Den 15 september 2021 tillkännagav ordförande Ursula von der Leyen i sitt </w:t>
      </w:r>
      <w:r w:rsidRPr="00C25964">
        <w:rPr>
          <w:b/>
          <w:bCs/>
          <w:noProof/>
        </w:rPr>
        <w:t>tal om tillståndet i unionen</w:t>
      </w:r>
      <w:r w:rsidRPr="00C25964">
        <w:rPr>
          <w:noProof/>
        </w:rPr>
        <w:t xml:space="preserve"> att kommissionen skulle föreslå att 2022 ska bli Europaåret för ungdomar – ”ett år som ska ägnas åt att värdesätta och uppskatta de unga som har offrat så mycket för andra”. Samtidigt som hon lyfter fram den tillförsikt om Europas framtid hon känner tack vare inspirationen från Europas ungdomar tillägger hon att ungdomar måste få vara med och utforma Europas framtid om vi vill utforma unionen med de unga som förebild.</w:t>
      </w:r>
      <w:r w:rsidRPr="00C25964">
        <w:rPr>
          <w:i/>
          <w:iCs/>
          <w:noProof/>
          <w:color w:val="000000" w:themeColor="text1"/>
        </w:rPr>
        <w:t xml:space="preserve"> </w:t>
      </w:r>
    </w:p>
    <w:p w14:paraId="4477AAD6" w14:textId="77777777" w:rsidR="00AA6B9B" w:rsidRPr="00C25964" w:rsidRDefault="00AA6B9B" w:rsidP="00AA6B9B">
      <w:pPr>
        <w:rPr>
          <w:noProof/>
        </w:rPr>
      </w:pPr>
      <w:r w:rsidRPr="00C25964">
        <w:rPr>
          <w:noProof/>
        </w:rPr>
        <w:t>För att vi ska lyckas berika vårt kollektiva EU-projekt med de yngre generationernas insatser, drömmar, förhoppningar och insikter måste Europaåret för ungdomar vara fullständigt inkluderande. Ordförande Ursula von der Leyen betonar att Europa behöver alla sina ungdomar.</w:t>
      </w:r>
    </w:p>
    <w:p w14:paraId="3DE1A052" w14:textId="22986323" w:rsidR="00AA6B9B" w:rsidRPr="00C25964" w:rsidRDefault="00AA6B9B" w:rsidP="00AA6B9B">
      <w:pPr>
        <w:rPr>
          <w:noProof/>
        </w:rPr>
      </w:pPr>
      <w:r w:rsidRPr="00C25964">
        <w:rPr>
          <w:noProof/>
        </w:rPr>
        <w:t>Covid-19-pandemin har haft en aldrig tidigare skådad – och ojämn – inverkan på ungdomars utbildning, sysselsättning och psykiska hälsa. Pandemin och de åtgärder den medförde har lett till avbrott i deras utbildning och hindrat dem från att komma ut på arbetsmarknaden och många ungdomar har upplevt känslor av isolering, ångest och depression. Barn, ungdomar och unga vuxna har drabbats mycket hårt av avbrotten i kontakterna med familj och vänner, och den ekonomiska krisen till följd av nedstängningarna har särskilt drabbat unga människor i Europa.</w:t>
      </w:r>
      <w:r w:rsidRPr="00C25964">
        <w:rPr>
          <w:noProof/>
          <w:vertAlign w:val="superscript"/>
        </w:rPr>
        <w:t xml:space="preserve"> </w:t>
      </w:r>
      <w:r w:rsidRPr="00C25964">
        <w:rPr>
          <w:rStyle w:val="FootnoteReference0"/>
          <w:noProof/>
        </w:rPr>
        <w:footnoteReference w:id="2"/>
      </w:r>
    </w:p>
    <w:p w14:paraId="13D035B2" w14:textId="02F20AD0" w:rsidR="00AA6B9B" w:rsidRPr="00C25964" w:rsidRDefault="00AA6B9B" w:rsidP="00AA6B9B">
      <w:pPr>
        <w:rPr>
          <w:noProof/>
        </w:rPr>
      </w:pPr>
      <w:r w:rsidRPr="00C25964">
        <w:rPr>
          <w:noProof/>
        </w:rPr>
        <w:t xml:space="preserve">Samtidigt har våra ungdomar i sann solidarisk anda mellan generationerna offrat en del av sin värdefulla ungdomstid. Men </w:t>
      </w:r>
      <w:r w:rsidR="009A1BC9" w:rsidRPr="00C25964">
        <w:rPr>
          <w:noProof/>
        </w:rPr>
        <w:t>de unga</w:t>
      </w:r>
      <w:r w:rsidRPr="00C25964">
        <w:rPr>
          <w:noProof/>
        </w:rPr>
        <w:t xml:space="preserve">, som är en av de mest diversifierade grupperna i vårt europeiska samhälle, har också visat prov på stor motståndskraft och bidragit till att mildra konsekvenserna av pandemin. </w:t>
      </w:r>
    </w:p>
    <w:p w14:paraId="35A8A137" w14:textId="739D7C53" w:rsidR="00AA6B9B" w:rsidRPr="00C25964" w:rsidRDefault="00AA6B9B" w:rsidP="00AA6B9B">
      <w:pPr>
        <w:rPr>
          <w:noProof/>
          <w:szCs w:val="24"/>
        </w:rPr>
      </w:pPr>
      <w:r w:rsidRPr="00C25964">
        <w:rPr>
          <w:noProof/>
        </w:rPr>
        <w:t xml:space="preserve">Mot denna bakgrund skulle </w:t>
      </w:r>
      <w:r w:rsidRPr="00C25964">
        <w:rPr>
          <w:b/>
          <w:bCs/>
          <w:noProof/>
          <w:szCs w:val="24"/>
        </w:rPr>
        <w:t>Europaåret för ungdomar</w:t>
      </w:r>
      <w:r w:rsidRPr="00C25964">
        <w:rPr>
          <w:noProof/>
        </w:rPr>
        <w:t xml:space="preserve"> </w:t>
      </w:r>
      <w:r w:rsidRPr="00C25964">
        <w:rPr>
          <w:b/>
          <w:bCs/>
          <w:noProof/>
          <w:szCs w:val="24"/>
        </w:rPr>
        <w:t>2022</w:t>
      </w:r>
      <w:r w:rsidRPr="00C25964">
        <w:rPr>
          <w:noProof/>
        </w:rPr>
        <w:t xml:space="preserve"> ytterligare stimulera</w:t>
      </w:r>
      <w:r w:rsidR="009A1BC9" w:rsidRPr="00C25964">
        <w:rPr>
          <w:noProof/>
        </w:rPr>
        <w:t xml:space="preserve"> alla unga människor i</w:t>
      </w:r>
      <w:r w:rsidRPr="00C25964">
        <w:rPr>
          <w:noProof/>
        </w:rPr>
        <w:t xml:space="preserve"> Europa att komma med förslag och insikter för att forma unionens utveckling och samhället i stort. Det skulle också vara ett tillfälle att öka medvetenheten om de framtida möjligheterna för </w:t>
      </w:r>
      <w:r w:rsidR="009A1BC9" w:rsidRPr="00C25964">
        <w:rPr>
          <w:noProof/>
        </w:rPr>
        <w:t>de unga</w:t>
      </w:r>
      <w:r w:rsidRPr="00C25964">
        <w:rPr>
          <w:noProof/>
        </w:rPr>
        <w:t xml:space="preserve">.  </w:t>
      </w:r>
      <w:r w:rsidRPr="00C25964">
        <w:rPr>
          <w:b/>
          <w:bCs/>
          <w:noProof/>
          <w:szCs w:val="24"/>
        </w:rPr>
        <w:t>Det övergripande målet med Europaåret för ungdomar</w:t>
      </w:r>
      <w:r w:rsidRPr="00C25964">
        <w:rPr>
          <w:noProof/>
        </w:rPr>
        <w:t xml:space="preserve"> är att på följande sätt stärka unionens, medlemsstaternas och de regionala och lokala myndigheternas insatser för att </w:t>
      </w:r>
      <w:r w:rsidRPr="00C25964">
        <w:rPr>
          <w:b/>
          <w:bCs/>
          <w:noProof/>
          <w:szCs w:val="24"/>
        </w:rPr>
        <w:t>uppmärksamma, stödja och samarbeta med ungdomar i en värld efter pandemin</w:t>
      </w:r>
      <w:r w:rsidRPr="00C25964">
        <w:rPr>
          <w:noProof/>
        </w:rPr>
        <w:t>:</w:t>
      </w:r>
    </w:p>
    <w:p w14:paraId="213D939F" w14:textId="737E4CAC" w:rsidR="00AA6B9B" w:rsidRPr="00C25964" w:rsidRDefault="00AD1692" w:rsidP="00AD1692">
      <w:pPr>
        <w:pStyle w:val="Point0"/>
        <w:rPr>
          <w:noProof/>
        </w:rPr>
      </w:pPr>
      <w:r w:rsidRPr="00AD1692">
        <w:t>(1)</w:t>
      </w:r>
      <w:r w:rsidRPr="00AD1692">
        <w:tab/>
      </w:r>
      <w:r w:rsidR="00AA6B9B" w:rsidRPr="00C25964">
        <w:rPr>
          <w:noProof/>
        </w:rPr>
        <w:t xml:space="preserve">Belysa hur den gröna och den digitala omställningen ger nya framtidsutsikter och nya möjligheter att motverka pandemins negativa konsekvenser för ungdomar och samhället i stort, med inspiration från </w:t>
      </w:r>
      <w:r w:rsidR="001555DF" w:rsidRPr="00C25964">
        <w:rPr>
          <w:noProof/>
        </w:rPr>
        <w:t>de ungas</w:t>
      </w:r>
      <w:r w:rsidR="00AA6B9B" w:rsidRPr="00C25964">
        <w:rPr>
          <w:noProof/>
        </w:rPr>
        <w:t xml:space="preserve"> aktivitet, visioner och insikter för att ytterligare stärka och blåsa nytt liv i Europeiska unionens gemensamma projekt och lyssna till ungdomarna, med beaktande av deras farhågor, och stödja dem när det gäller att utveckla konkreta och inkluderande möjligheter, samtidigt som unionens instrument utnyttjas optimalt. </w:t>
      </w:r>
    </w:p>
    <w:p w14:paraId="52551008" w14:textId="4E321C8E" w:rsidR="00AA6B9B" w:rsidRPr="00C25964" w:rsidRDefault="00AD1692" w:rsidP="00AD1692">
      <w:pPr>
        <w:pStyle w:val="Point0"/>
        <w:rPr>
          <w:noProof/>
        </w:rPr>
      </w:pPr>
      <w:r w:rsidRPr="00AD1692">
        <w:t>(2)</w:t>
      </w:r>
      <w:r w:rsidRPr="00AD1692">
        <w:tab/>
      </w:r>
      <w:r w:rsidR="00AA6B9B" w:rsidRPr="00C25964">
        <w:rPr>
          <w:noProof/>
        </w:rPr>
        <w:t xml:space="preserve">Uppmuntra alla ungdomar, särskilt ungdomar med begränsade möjligheter och ungdomar från mindre gynnade förhållanden eller i utsatta grupper, att bli aktiva och engagerade medborgare och aktörer för förändring, inspirerade av en känsla av </w:t>
      </w:r>
      <w:r w:rsidR="00AA6B9B" w:rsidRPr="00C25964">
        <w:rPr>
          <w:noProof/>
        </w:rPr>
        <w:lastRenderedPageBreak/>
        <w:t>europeisk tillhörighet.  Detta inbegriper ytterligare insatser för att bygga upp kapaciteten när det gäller ungdomars delaktighet, liksom samhällsengagemanget hos ungdomar och alla berörda parter som arbetar för att företräda deras intressen. Förutsättningen är att ungdomar med olika bakgrund och även de som kommer från utsatta grupper tas med i viktiga samråd, såsom konferensen om Europas framtid.</w:t>
      </w:r>
    </w:p>
    <w:p w14:paraId="2454D182" w14:textId="2E50008E" w:rsidR="00AA6B9B" w:rsidRPr="00C25964" w:rsidRDefault="00AD1692" w:rsidP="00AD1692">
      <w:pPr>
        <w:pStyle w:val="Point0"/>
        <w:rPr>
          <w:noProof/>
        </w:rPr>
      </w:pPr>
      <w:r w:rsidRPr="00AD1692">
        <w:t>(3)</w:t>
      </w:r>
      <w:r w:rsidRPr="00AD1692">
        <w:tab/>
      </w:r>
      <w:r w:rsidR="00AA6B9B" w:rsidRPr="00C25964">
        <w:rPr>
          <w:noProof/>
        </w:rPr>
        <w:t>Främja de möjligheter ungdomar ges genom offentlig politik på EU-nivå och på nationell, regional och lokal nivå i syfte att stödja deras personliga, sociala och yrkesmässiga utveckling i en grönare och mer digital och inkluderande union.</w:t>
      </w:r>
    </w:p>
    <w:p w14:paraId="64F63075" w14:textId="0BBC7F21" w:rsidR="00AA6B9B" w:rsidRPr="00C25964" w:rsidRDefault="00AA6B9B" w:rsidP="00AA6B9B">
      <w:pPr>
        <w:rPr>
          <w:noProof/>
        </w:rPr>
      </w:pPr>
      <w:r w:rsidRPr="00C25964">
        <w:rPr>
          <w:noProof/>
        </w:rPr>
        <w:t xml:space="preserve">I vidare bemärkelse kommer Europaåret för ungdomar att gå hand i hand med genomförandet av </w:t>
      </w:r>
      <w:r w:rsidRPr="00C25964">
        <w:rPr>
          <w:b/>
          <w:bCs/>
          <w:noProof/>
        </w:rPr>
        <w:t>NextGenerationEU</w:t>
      </w:r>
      <w:r w:rsidRPr="00C25964">
        <w:rPr>
          <w:noProof/>
        </w:rPr>
        <w:t xml:space="preserve">, som säkerställer en snabb grön och digital omställning, ger oss möjlighet att tillsammans gå stärkta ur pandemin och åter öppnar en värld av många möjligheter för ungdomar, inbegripet sådana sysselsättnings- och utbildningsmöjligheter av god kvalitet som behövs i framtidens Europa, samtidigt som ungdomars delaktighet i samhället stöds. Kommissionen strävar efter att stärka ungdomarnas roll när det gäller att göra återhämtningen till en drivkraft för välbefinnande och välfärd i framtiden.  </w:t>
      </w:r>
    </w:p>
    <w:p w14:paraId="53ADD63D" w14:textId="77777777" w:rsidR="00AA6B9B" w:rsidRPr="00C25964" w:rsidRDefault="00AA6B9B" w:rsidP="00766970">
      <w:pPr>
        <w:pStyle w:val="ManualHeading2"/>
        <w:rPr>
          <w:noProof/>
        </w:rPr>
      </w:pPr>
      <w:r w:rsidRPr="00C25964">
        <w:rPr>
          <w:noProof/>
        </w:rPr>
        <w:t>•</w:t>
      </w:r>
      <w:r w:rsidRPr="00C25964">
        <w:rPr>
          <w:noProof/>
        </w:rPr>
        <w:tab/>
        <w:t>Förenlighet med befintliga bestämmelser inom området</w:t>
      </w:r>
    </w:p>
    <w:p w14:paraId="4F00C4EA" w14:textId="3259116F" w:rsidR="00AA6B9B" w:rsidRPr="00C25964" w:rsidRDefault="00AA6B9B" w:rsidP="00AA6B9B">
      <w:pPr>
        <w:rPr>
          <w:noProof/>
        </w:rPr>
      </w:pPr>
      <w:r w:rsidRPr="00C25964">
        <w:rPr>
          <w:b/>
          <w:bCs/>
          <w:noProof/>
        </w:rPr>
        <w:t>EU:s ungdomsstrategi</w:t>
      </w:r>
      <w:r w:rsidRPr="00C25964">
        <w:rPr>
          <w:noProof/>
        </w:rPr>
        <w:t xml:space="preserve"> är ramen för EU:s ungdomspolitiska samarbete för 2019–2027, på grundval av </w:t>
      </w:r>
      <w:r w:rsidRPr="00C25964">
        <w:rPr>
          <w:b/>
          <w:bCs/>
          <w:noProof/>
        </w:rPr>
        <w:t>rådets resolution av den 26 november 2018</w:t>
      </w:r>
      <w:r w:rsidRPr="00C25964">
        <w:rPr>
          <w:rStyle w:val="FootnoteReference0"/>
          <w:noProof/>
        </w:rPr>
        <w:footnoteReference w:id="3"/>
      </w:r>
      <w:r w:rsidRPr="00C25964">
        <w:rPr>
          <w:noProof/>
        </w:rPr>
        <w:t xml:space="preserve">. EU:s ungdomspolitiska samarbete syftar till att tillvarata ungdomspolitikens potential. Samarbetet främjar ungdomars deltagande i det demokratiska livet, i enlighet med artikel 165.2 i fördraget om Europeiska unionens funktionssätt. Det stöder också socialt och medborgerligt engagemang och har som syfte att se till att alla ungdomar har de resurser som behövs för att delta i samhället. </w:t>
      </w:r>
    </w:p>
    <w:p w14:paraId="6B8F2E48" w14:textId="640EA92C" w:rsidR="00AA6B9B" w:rsidRPr="00C25964" w:rsidRDefault="00AA6B9B" w:rsidP="00AA6B9B">
      <w:pPr>
        <w:rPr>
          <w:rFonts w:eastAsia="Times New Roman"/>
          <w:noProof/>
        </w:rPr>
      </w:pPr>
      <w:r w:rsidRPr="00C25964">
        <w:rPr>
          <w:noProof/>
        </w:rPr>
        <w:t xml:space="preserve">De </w:t>
      </w:r>
      <w:r w:rsidRPr="00C25964">
        <w:rPr>
          <w:b/>
          <w:noProof/>
        </w:rPr>
        <w:t>europeiska ungdomsmålen</w:t>
      </w:r>
      <w:r w:rsidRPr="00C25964">
        <w:rPr>
          <w:rStyle w:val="FootnoteReference0"/>
          <w:noProof/>
        </w:rPr>
        <w:footnoteReference w:id="4"/>
      </w:r>
      <w:r w:rsidRPr="00C25964">
        <w:rPr>
          <w:noProof/>
        </w:rPr>
        <w:t xml:space="preserve">, som är en integrerad del av EU:s ungdomsstrategi, har utformats av ungdomar för ungdomar inom ramen för EU:s ungdomsdialog och representerar de områden där förändringar fortfarande måste ske, så att ungdomar kan ta vara på alla sina möjligheter. </w:t>
      </w:r>
    </w:p>
    <w:p w14:paraId="5EF0CB02" w14:textId="4E30F779" w:rsidR="00677978" w:rsidRPr="00C25964" w:rsidRDefault="00AA6B9B" w:rsidP="00AA6B9B">
      <w:pPr>
        <w:rPr>
          <w:noProof/>
        </w:rPr>
      </w:pPr>
      <w:r w:rsidRPr="00C25964">
        <w:rPr>
          <w:noProof/>
        </w:rPr>
        <w:t xml:space="preserve">Samtidigt kommer Europaåret för ungdomar 2022 att ge en unik impuls till ett </w:t>
      </w:r>
      <w:r w:rsidRPr="00C25964">
        <w:rPr>
          <w:b/>
          <w:bCs/>
          <w:noProof/>
        </w:rPr>
        <w:t>europeiskt område för utbildning</w:t>
      </w:r>
      <w:r w:rsidRPr="00C25964">
        <w:rPr>
          <w:noProof/>
        </w:rPr>
        <w:t xml:space="preserve"> genom att det skapas ett verkligt område för lärande i EU senast 2025, där inkluderande utbildning av hög kvalitet för alla inte hindras av några gränser. Det kommer att bidra till den </w:t>
      </w:r>
      <w:r w:rsidRPr="00C25964">
        <w:rPr>
          <w:b/>
          <w:noProof/>
        </w:rPr>
        <w:t>europeiska klimatpakten</w:t>
      </w:r>
      <w:r w:rsidRPr="00C25964">
        <w:rPr>
          <w:noProof/>
        </w:rPr>
        <w:t xml:space="preserve">, den uppdaterade </w:t>
      </w:r>
      <w:r w:rsidRPr="00C25964">
        <w:rPr>
          <w:b/>
          <w:noProof/>
        </w:rPr>
        <w:t>handlingsplanen för digital utbildning</w:t>
      </w:r>
      <w:r w:rsidRPr="00C25964">
        <w:rPr>
          <w:noProof/>
        </w:rPr>
        <w:t xml:space="preserve"> och initiativet </w:t>
      </w:r>
      <w:r w:rsidRPr="00C25964">
        <w:rPr>
          <w:b/>
          <w:noProof/>
        </w:rPr>
        <w:t>En hälsosam livsstil för alla</w:t>
      </w:r>
      <w:r w:rsidRPr="00C25964">
        <w:rPr>
          <w:noProof/>
        </w:rPr>
        <w:t xml:space="preserve"> (HealthyLifestyle4all). Det kommer att stödjas av den europeiska pelaren för sociala rättigheter när det gäller sysselsättning, kompetens och fattigdomsminskning. Europaåret för ungdomar kommer att förstärka unionens ansträngningar att öka sysselsättningsmöjligheterna för ungdomar under återhämtningen efter pandemin genom den förstärkta </w:t>
      </w:r>
      <w:r w:rsidRPr="00C25964">
        <w:rPr>
          <w:b/>
          <w:bCs/>
          <w:noProof/>
        </w:rPr>
        <w:t>ungdomsgarantin</w:t>
      </w:r>
      <w:r w:rsidRPr="00C25964">
        <w:rPr>
          <w:rStyle w:val="FootnoteReference0"/>
          <w:noProof/>
        </w:rPr>
        <w:footnoteReference w:id="5"/>
      </w:r>
      <w:r w:rsidRPr="00C25964">
        <w:rPr>
          <w:noProof/>
        </w:rPr>
        <w:t xml:space="preserve"> och nystarten av den europeiska alliansen och nätverket för lärlingsutbildning, den europeiska barngarantin, genomförandet av den </w:t>
      </w:r>
      <w:r w:rsidRPr="00C25964">
        <w:rPr>
          <w:b/>
          <w:bCs/>
          <w:noProof/>
        </w:rPr>
        <w:t>europeiska kompetensagendan</w:t>
      </w:r>
      <w:r w:rsidRPr="00C25964">
        <w:rPr>
          <w:rStyle w:val="FootnoteReference0"/>
          <w:noProof/>
        </w:rPr>
        <w:footnoteReference w:id="6"/>
      </w:r>
      <w:r w:rsidRPr="00C25964">
        <w:rPr>
          <w:b/>
          <w:bCs/>
          <w:noProof/>
        </w:rPr>
        <w:t>,</w:t>
      </w:r>
      <w:r w:rsidRPr="00C25964">
        <w:rPr>
          <w:noProof/>
        </w:rPr>
        <w:t xml:space="preserve"> kommissionens rekommendation om </w:t>
      </w:r>
      <w:r w:rsidRPr="00C25964">
        <w:rPr>
          <w:b/>
          <w:bCs/>
          <w:noProof/>
        </w:rPr>
        <w:t>effektiva aktiva arbetsmarknadsåtgärder till följd av covid-19-krisen</w:t>
      </w:r>
      <w:r w:rsidRPr="00C25964">
        <w:rPr>
          <w:rStyle w:val="FootnoteReference0"/>
          <w:noProof/>
        </w:rPr>
        <w:footnoteReference w:id="7"/>
      </w:r>
      <w:r w:rsidRPr="00C25964">
        <w:rPr>
          <w:noProof/>
        </w:rPr>
        <w:t xml:space="preserve"> , liksom lanseringen av det nya initiativet </w:t>
      </w:r>
      <w:r w:rsidRPr="00C25964">
        <w:rPr>
          <w:b/>
          <w:bCs/>
          <w:noProof/>
        </w:rPr>
        <w:t>Alma</w:t>
      </w:r>
      <w:r w:rsidRPr="00C25964">
        <w:rPr>
          <w:noProof/>
        </w:rPr>
        <w:t>. Alma (</w:t>
      </w:r>
      <w:r w:rsidR="001555DF" w:rsidRPr="00C25964">
        <w:rPr>
          <w:noProof/>
        </w:rPr>
        <w:t xml:space="preserve">en akronym av </w:t>
      </w:r>
      <w:r w:rsidRPr="00C25964">
        <w:rPr>
          <w:noProof/>
        </w:rPr>
        <w:t xml:space="preserve">Aim, Learn, Master, Achieve, dvs. sikta, lära, bemästra och nå resultat) kommer att vara ett gränsöverskridande mobilitetsprogram för mindre gynnade ungdomar i åldern 18–30 år som varken arbetar eller studerar. </w:t>
      </w:r>
    </w:p>
    <w:p w14:paraId="4A4FFFCE" w14:textId="77777777" w:rsidR="00CB714D" w:rsidRPr="00C25964" w:rsidRDefault="00AA6B9B" w:rsidP="00AA6B9B">
      <w:pPr>
        <w:rPr>
          <w:rFonts w:eastAsia="Times New Roman"/>
          <w:noProof/>
          <w:szCs w:val="24"/>
        </w:rPr>
      </w:pPr>
      <w:r w:rsidRPr="00C25964">
        <w:rPr>
          <w:noProof/>
        </w:rPr>
        <w:t xml:space="preserve">Även om ungdomar är uppvuxna med digital teknik förtjänar de, särskilt om de är minderåriga, råd och stöd när tillvaron på internet alltmer flyter ihop med det verkliga livet. Under 2022 kommer den uppdaterade </w:t>
      </w:r>
      <w:r w:rsidRPr="00C25964">
        <w:rPr>
          <w:b/>
          <w:bCs/>
          <w:noProof/>
          <w:szCs w:val="24"/>
        </w:rPr>
        <w:t>strategin för ett bättre internet för barn</w:t>
      </w:r>
      <w:r w:rsidRPr="00C25964">
        <w:rPr>
          <w:noProof/>
        </w:rPr>
        <w:t xml:space="preserve"> att sätta ungdomars delaktighet, digitala färdigheter, inkludering och främjande av barns välbefinnande i centrum.</w:t>
      </w:r>
    </w:p>
    <w:p w14:paraId="6EEF61DC" w14:textId="5F94BB28" w:rsidR="00AA6B9B" w:rsidRPr="00C25964" w:rsidRDefault="00677978" w:rsidP="00AA6B9B">
      <w:pPr>
        <w:rPr>
          <w:rFonts w:eastAsia="Times New Roman"/>
          <w:noProof/>
          <w:szCs w:val="24"/>
        </w:rPr>
      </w:pPr>
      <w:r w:rsidRPr="00C25964">
        <w:rPr>
          <w:noProof/>
        </w:rPr>
        <w:t>I EU:s övergripande strategi för barnets rättigheter och den europeiska barngarantin</w:t>
      </w:r>
      <w:r w:rsidRPr="00C25964">
        <w:rPr>
          <w:rStyle w:val="FootnoteReference0"/>
          <w:rFonts w:eastAsia="Times New Roman"/>
          <w:noProof/>
          <w:szCs w:val="24"/>
        </w:rPr>
        <w:footnoteReference w:id="8"/>
      </w:r>
      <w:r w:rsidRPr="00C25964">
        <w:rPr>
          <w:noProof/>
        </w:rPr>
        <w:t xml:space="preserve"> fastställs en ny standard för barns och ungdomars delaktighet som har utvecklats i samarbete med de minderåriga själva.</w:t>
      </w:r>
    </w:p>
    <w:p w14:paraId="708A2FBA" w14:textId="4FDA687F" w:rsidR="00AA6B9B" w:rsidRPr="00C25964" w:rsidRDefault="00AA6B9B" w:rsidP="00AA6B9B">
      <w:pPr>
        <w:rPr>
          <w:rFonts w:eastAsia="Times New Roman"/>
          <w:noProof/>
          <w:szCs w:val="24"/>
        </w:rPr>
      </w:pPr>
      <w:r w:rsidRPr="00C25964">
        <w:rPr>
          <w:noProof/>
        </w:rPr>
        <w:t>Många av dessa möjligheter stöds av betydande EU-investeringar, särskilt genom program som Erasmus+, Europeiska solidaritetskåren, Europeiska socialfonden+, Kreativa Europa, Horisont Europa, programmet för medborgare, jämlikhet, rättigheter och värden, asyl-, migrations- och integrationsfonden, programmet för rättsliga frågor, Europeiska regionala utvecklingsfonden, Europeiska havs-, fiskeri- och vattenbruksfonden och Europeiska jordbruksfonden för landsbygdsutveckling.</w:t>
      </w:r>
      <w:r w:rsidRPr="00C25964">
        <w:rPr>
          <w:noProof/>
          <w:color w:val="203864"/>
          <w:szCs w:val="24"/>
        </w:rPr>
        <w:t xml:space="preserve"> </w:t>
      </w:r>
      <w:r w:rsidRPr="00C25964">
        <w:rPr>
          <w:noProof/>
        </w:rPr>
        <w:t>Dessa finansieringsprogram ger ett betydande bidrag från EU för att göra det möjligt för ungdomar att fortsätta sin personliga, sociala och yrkesmässiga utveckling.</w:t>
      </w:r>
      <w:r w:rsidRPr="00C25964">
        <w:rPr>
          <w:noProof/>
          <w:color w:val="203864"/>
          <w:szCs w:val="24"/>
        </w:rPr>
        <w:t xml:space="preserve"> </w:t>
      </w:r>
      <w:r w:rsidRPr="00C25964">
        <w:rPr>
          <w:noProof/>
        </w:rPr>
        <w:t xml:space="preserve"> </w:t>
      </w:r>
    </w:p>
    <w:p w14:paraId="0055E7B0" w14:textId="77777777" w:rsidR="00AA6B9B" w:rsidRPr="00C25964" w:rsidRDefault="00AA6B9B" w:rsidP="00AA6B9B">
      <w:pPr>
        <w:rPr>
          <w:noProof/>
        </w:rPr>
      </w:pPr>
      <w:r w:rsidRPr="00C25964">
        <w:rPr>
          <w:noProof/>
        </w:rPr>
        <w:t xml:space="preserve">De EU-program som är särskilt inriktade på unga kommer att spela en viktig roll under Europaåret för ungdomar. År 2022 har Erasmusprogrammet funnits i 35 år, vilket ger en ypperlig möjlighet att fira att tio miljoner ungdomar har varit en del av äventyret sedan 1987 och att marknadsföra det nya programmet som har blivit mer mångsidigt och omfattar utbildning, praktik, ungdomsfrågor och idrott. Europeiska solidaritetskåren kommer också att inleda sitt femte verksamhetsår 2022. Den 9 maj är ett symboliskt datum för att anordna aktiviteter eller evenemang kring dessa teman. </w:t>
      </w:r>
    </w:p>
    <w:p w14:paraId="7AA5FAD0" w14:textId="77777777" w:rsidR="00AA6B9B" w:rsidRPr="00C25964" w:rsidRDefault="00AA6B9B" w:rsidP="00AA6B9B">
      <w:pPr>
        <w:rPr>
          <w:noProof/>
          <w:color w:val="444444"/>
        </w:rPr>
      </w:pPr>
      <w:r w:rsidRPr="00C25964">
        <w:rPr>
          <w:noProof/>
        </w:rPr>
        <w:t>Verksamhet som anordnas under Europaåret bör vara relevant för alla medlemsstater. Medlemsstaterna ombeds därför att utse nationella samordnare som ska ansvara för att organisera landets deltagande i Europaåret för ungdomar. Kommissionen ska sammankalla möten för de nationella samordnarna för att samordna genomförandet av Europaåret för ungdomar och utbyta information om genomförandet på nationell nivå och unionsnivå.</w:t>
      </w:r>
    </w:p>
    <w:p w14:paraId="4C940063" w14:textId="77777777" w:rsidR="00AA6B9B" w:rsidRPr="00C25964" w:rsidRDefault="00AA6B9B" w:rsidP="00766970">
      <w:pPr>
        <w:pStyle w:val="ManualHeading2"/>
        <w:rPr>
          <w:noProof/>
        </w:rPr>
      </w:pPr>
      <w:r w:rsidRPr="00C25964">
        <w:rPr>
          <w:noProof/>
          <w:color w:val="000000"/>
          <w:bdr w:val="nil"/>
        </w:rPr>
        <w:t>•</w:t>
      </w:r>
      <w:r w:rsidRPr="00C25964">
        <w:rPr>
          <w:noProof/>
        </w:rPr>
        <w:tab/>
        <w:t>Förenlighet med unionens politik inom andra områden</w:t>
      </w:r>
    </w:p>
    <w:p w14:paraId="64DFC3BC" w14:textId="32DE0BA9" w:rsidR="00AA6B9B" w:rsidRPr="00C25964" w:rsidRDefault="00AA6B9B" w:rsidP="00AA6B9B">
      <w:pPr>
        <w:pBdr>
          <w:top w:val="nil"/>
          <w:left w:val="nil"/>
          <w:bottom w:val="nil"/>
          <w:right w:val="nil"/>
          <w:between w:val="nil"/>
          <w:bar w:val="nil"/>
        </w:pBdr>
        <w:spacing w:before="0" w:after="240"/>
        <w:rPr>
          <w:noProof/>
          <w:shd w:val="clear" w:color="auto" w:fill="FFFFFF"/>
        </w:rPr>
      </w:pPr>
      <w:r w:rsidRPr="00C25964">
        <w:rPr>
          <w:noProof/>
        </w:rPr>
        <w:t xml:space="preserve">Europaåret för ungdomar 2022 kommer att vara sektorsövergripande och bygger </w:t>
      </w:r>
      <w:r w:rsidRPr="00C25964">
        <w:rPr>
          <w:noProof/>
          <w:color w:val="000000" w:themeColor="text1"/>
        </w:rPr>
        <w:t xml:space="preserve">på alla EU:s </w:t>
      </w:r>
      <w:r w:rsidRPr="00C25964">
        <w:rPr>
          <w:noProof/>
          <w:color w:val="000000" w:themeColor="text1"/>
          <w:shd w:val="clear" w:color="auto" w:fill="FFFFFF"/>
        </w:rPr>
        <w:t>strategier och program som syftar till att förbättra livet för alla ungdomar och främja deras delaktighet</w:t>
      </w:r>
      <w:r w:rsidRPr="00C25964">
        <w:rPr>
          <w:noProof/>
          <w:color w:val="000000" w:themeColor="text1"/>
        </w:rPr>
        <w:t xml:space="preserve">. </w:t>
      </w:r>
      <w:r w:rsidRPr="00C25964">
        <w:rPr>
          <w:noProof/>
        </w:rPr>
        <w:t xml:space="preserve">Europaåret för ungdomar bör bygga vidare på den europeiska gröna given – EU:s strategi för hållbar tillväxt – och andra befintliga initiativ och strategier, såsom det digitala årtiondet, den europeiska inre marknaden (som snart kommer att fira sitt 30-årsjubileum), det nya europeiska Bauhaus, Horisont Europa-uppdragen, konferensen om Europas framtid, den europeiska pelaren för sociala rättigheter, EU:s strategi för barnets rättigheter, strategin för rättigheter för personer med funktionsnedsättning, EU:s strategiska ram för romers jämlikhet, inkludering och delaktighet, jämlikhetsstrategin för hbtqi-personer, EU:s handlingsplan mot rasism, EU:s strategi mot antisemitism och för främjande av judiskt liv, handlingsplanen för integration och inkludering för 2021–2027, EU:s jämställdhetsstrategi, handlingsplanen för demokratin i Europa, den europeiska planen mot cancer och den långsiktiga visionen för EU:s landsbygdsområden.  </w:t>
      </w:r>
      <w:r w:rsidRPr="00C25964">
        <w:rPr>
          <w:noProof/>
          <w:shd w:val="clear" w:color="auto" w:fill="FFFFFF"/>
        </w:rPr>
        <w:t xml:space="preserve">Europaåret för ungdomar är kopplat till många av unionens politikområden utöver själva ungdomspolitiken, t.ex. utbildning, sysselsättning, social inkludering, kultur och medier, idrott, hälsa, forskning och innovation, miljö och klimat, transporter, icke-diskriminering och antirasism, sammanhållnings- och stadspolitik, landsbygdsutveckling, migration samt med unionens förbindelser med sina grannländer och olika internationella partnerskap. </w:t>
      </w:r>
    </w:p>
    <w:p w14:paraId="7764E11B" w14:textId="6BE925D2" w:rsidR="00AA6B9B" w:rsidRPr="00C25964" w:rsidRDefault="00AA6B9B" w:rsidP="00AA6B9B">
      <w:pPr>
        <w:rPr>
          <w:noProof/>
        </w:rPr>
      </w:pPr>
      <w:r w:rsidRPr="00C25964">
        <w:rPr>
          <w:noProof/>
        </w:rPr>
        <w:t xml:space="preserve">Europaåret för ungdomar kommer att genomföras med hjälp av de EU-program och genomförandemekanismer som redan finns och den drivkraft som </w:t>
      </w:r>
      <w:r w:rsidRPr="00C25964">
        <w:rPr>
          <w:noProof/>
          <w:shd w:val="clear" w:color="auto" w:fill="FFFFFF"/>
        </w:rPr>
        <w:t>NextGenerationEU</w:t>
      </w:r>
      <w:r w:rsidRPr="00C25964">
        <w:rPr>
          <w:noProof/>
        </w:rPr>
        <w:t xml:space="preserve"> erbjuder. Ungdomsrelevanta investeringar kan för närvarande beviljas betydande EU-finansiering inom flera EU-program och EU-instrument, särskilt Erasmus+, Europeiska solidaritetskåren, Erasmus för unga företagare, Kreativa Europa, Europeiska socialfonden+, sysselsättningsinitiativet för unga, Europeiska regionala utvecklingsfonden, Europeiska jordbruksfonden för landsbygdsutveckling, Europeiska havs-,</w:t>
      </w:r>
      <w:r w:rsidR="001555DF" w:rsidRPr="00C25964">
        <w:rPr>
          <w:noProof/>
        </w:rPr>
        <w:t xml:space="preserve"> fiskeri- och vattenbruksfonden</w:t>
      </w:r>
      <w:r w:rsidRPr="00C25964">
        <w:rPr>
          <w:noProof/>
        </w:rPr>
        <w:t>, programmet för medborgare, jämlikhet, rättigheter och värden, det digitala Europa och Horisont Europa. Den externa dimensionen av dessa program och vidareförmedlandet av värdefulla lärdomar, liksom olika särskilda externa instrument, såsom NDICI-Global Europe, kommer att vara en integrerad del av EU:s ungdomssamarbete med våra internationella partner. Den kommande ungdomshandlingsplanen kommer att stå i centrum för den externa dimensionen av Europaåret för ungdomar.</w:t>
      </w:r>
    </w:p>
    <w:p w14:paraId="741CB288" w14:textId="77777777" w:rsidR="00AA6B9B" w:rsidRPr="00C25964" w:rsidRDefault="00AA6B9B" w:rsidP="00AA6B9B">
      <w:pPr>
        <w:spacing w:before="0" w:after="240"/>
        <w:rPr>
          <w:noProof/>
        </w:rPr>
      </w:pPr>
      <w:r w:rsidRPr="00C25964">
        <w:rPr>
          <w:noProof/>
        </w:rPr>
        <w:t>Europaåret för ungdomar 2022 kommer att anpassas till kommissionens prioriteringar för 2019–2024.</w:t>
      </w:r>
    </w:p>
    <w:p w14:paraId="0BF9F0A3" w14:textId="77777777" w:rsidR="00AA6B9B" w:rsidRPr="00C25964" w:rsidRDefault="00AA6B9B" w:rsidP="00766970">
      <w:pPr>
        <w:pStyle w:val="ManualHeading1"/>
        <w:rPr>
          <w:noProof/>
        </w:rPr>
      </w:pPr>
      <w:r w:rsidRPr="00C25964">
        <w:rPr>
          <w:noProof/>
        </w:rPr>
        <w:t>2. RÄTTSLIG GRUND, SUBSIDIARITETSPRINCIPEN OCH PROPORTIONALITETSPRINCIPEN</w:t>
      </w:r>
    </w:p>
    <w:p w14:paraId="0E915FFB" w14:textId="77777777" w:rsidR="00AA6B9B" w:rsidRPr="00C25964" w:rsidRDefault="00AA6B9B" w:rsidP="00766970">
      <w:pPr>
        <w:pStyle w:val="ManualHeading2"/>
        <w:rPr>
          <w:noProof/>
        </w:rPr>
      </w:pPr>
      <w:r w:rsidRPr="00C25964">
        <w:rPr>
          <w:noProof/>
          <w:bdr w:val="nil"/>
        </w:rPr>
        <w:t>•</w:t>
      </w:r>
      <w:r w:rsidRPr="00C25964">
        <w:rPr>
          <w:noProof/>
        </w:rPr>
        <w:tab/>
      </w:r>
      <w:r w:rsidRPr="00C25964">
        <w:rPr>
          <w:noProof/>
          <w:bdr w:val="nil"/>
        </w:rPr>
        <w:t>Rättslig grund</w:t>
      </w:r>
    </w:p>
    <w:p w14:paraId="7A1BCD96" w14:textId="77777777" w:rsidR="00AA6B9B" w:rsidRPr="00C25964" w:rsidRDefault="00AA6B9B" w:rsidP="00AA6B9B">
      <w:pPr>
        <w:pBdr>
          <w:top w:val="nil"/>
          <w:left w:val="nil"/>
          <w:bottom w:val="nil"/>
          <w:right w:val="nil"/>
          <w:between w:val="nil"/>
          <w:bar w:val="nil"/>
        </w:pBdr>
        <w:spacing w:before="0" w:after="240"/>
        <w:rPr>
          <w:noProof/>
          <w:shd w:val="clear" w:color="auto" w:fill="FFFFFF"/>
        </w:rPr>
      </w:pPr>
      <w:r w:rsidRPr="00C25964">
        <w:rPr>
          <w:noProof/>
          <w:shd w:val="clear" w:color="auto" w:fill="FFFFFF"/>
        </w:rPr>
        <w:t>I enlighet med artikel 6 e i fördraget om Europeiska unionens funktionssätt (</w:t>
      </w:r>
      <w:r w:rsidRPr="00C25964">
        <w:rPr>
          <w:i/>
          <w:noProof/>
          <w:shd w:val="clear" w:color="auto" w:fill="FFFFFF"/>
        </w:rPr>
        <w:t>EUF-fördraget</w:t>
      </w:r>
      <w:r w:rsidRPr="00C25964">
        <w:rPr>
          <w:noProof/>
          <w:shd w:val="clear" w:color="auto" w:fill="FFFFFF"/>
        </w:rPr>
        <w:t>) har unionen i ungdomsfrågor befogenhet att vidta åtgärder för att stödja, samordna eller komplettera medlemsstaternas åtgärder. I artikel 165.2 EUF-fördraget föreskrivs att målet för unionens insatser ska vara att</w:t>
      </w:r>
      <w:r w:rsidRPr="00C25964">
        <w:rPr>
          <w:noProof/>
        </w:rPr>
        <w:t xml:space="preserve"> </w:t>
      </w:r>
      <w:r w:rsidRPr="00C25964">
        <w:rPr>
          <w:i/>
          <w:noProof/>
        </w:rPr>
        <w:t>främja utvecklingen av ungdoms- och ungdomsledarutbyte och stimulera ungdomars deltagande i Europas demokratiska liv</w:t>
      </w:r>
      <w:r w:rsidRPr="00C25964">
        <w:rPr>
          <w:noProof/>
          <w:shd w:val="clear" w:color="auto" w:fill="FFFFFF"/>
        </w:rPr>
        <w:t xml:space="preserve">. Denna artikel syftar vidare till att främja studentmobilitet och den europeiska dimensionen inom utbildning och idrott. Dessutom föreskrivs i artikel 166.2 EUF-fördraget att målet för unionens insatser ska vara att </w:t>
      </w:r>
      <w:r w:rsidRPr="00C25964">
        <w:rPr>
          <w:i/>
          <w:noProof/>
          <w:shd w:val="clear" w:color="auto" w:fill="FFFFFF"/>
        </w:rPr>
        <w:t>underlätta tillträde till yrkesutbildning och främja rörligheten för yrkeslärare och för elever i sådan utbildning, särskilt de unga</w:t>
      </w:r>
      <w:r w:rsidRPr="00C25964">
        <w:rPr>
          <w:noProof/>
          <w:shd w:val="clear" w:color="auto" w:fill="FFFFFF"/>
        </w:rPr>
        <w:t xml:space="preserve"> och att </w:t>
      </w:r>
      <w:r w:rsidRPr="00C25964">
        <w:rPr>
          <w:i/>
          <w:noProof/>
          <w:shd w:val="clear" w:color="auto" w:fill="FFFFFF"/>
        </w:rPr>
        <w:t>utveckla informations- och erfarenhetsutbyte i frågor som är gemensamma för medlemsstaternas yrkesutbildningssystem</w:t>
      </w:r>
      <w:r w:rsidRPr="00C25964">
        <w:rPr>
          <w:noProof/>
          <w:shd w:val="clear" w:color="auto" w:fill="FFFFFF"/>
        </w:rPr>
        <w:t>.</w:t>
      </w:r>
    </w:p>
    <w:p w14:paraId="17AAF68B" w14:textId="77777777" w:rsidR="00AA6B9B" w:rsidRPr="00C25964" w:rsidRDefault="00AA6B9B" w:rsidP="00AA6B9B">
      <w:pPr>
        <w:spacing w:before="100" w:beforeAutospacing="1" w:after="100" w:afterAutospacing="1"/>
        <w:jc w:val="left"/>
        <w:rPr>
          <w:rFonts w:eastAsia="Times New Roman"/>
          <w:noProof/>
          <w:szCs w:val="24"/>
          <w:shd w:val="clear" w:color="auto" w:fill="FFFFFF"/>
        </w:rPr>
      </w:pPr>
      <w:r w:rsidRPr="00C25964">
        <w:rPr>
          <w:noProof/>
          <w:szCs w:val="24"/>
          <w:shd w:val="clear" w:color="auto" w:fill="FFFFFF"/>
        </w:rPr>
        <w:t xml:space="preserve">Förslaget har följande två rättsliga grunder:  </w:t>
      </w:r>
    </w:p>
    <w:p w14:paraId="14C10080" w14:textId="4EBC7136" w:rsidR="00AA6B9B" w:rsidRPr="00C25964" w:rsidRDefault="00AD1692" w:rsidP="00AD1692">
      <w:pPr>
        <w:pStyle w:val="Point0"/>
        <w:rPr>
          <w:noProof/>
        </w:rPr>
      </w:pPr>
      <w:r w:rsidRPr="00AD1692">
        <w:t>(1)</w:t>
      </w:r>
      <w:r w:rsidRPr="00AD1692">
        <w:tab/>
      </w:r>
      <w:r w:rsidR="00AA6B9B" w:rsidRPr="00C25964">
        <w:rPr>
          <w:noProof/>
          <w:shd w:val="clear" w:color="auto" w:fill="FFFFFF"/>
        </w:rPr>
        <w:t>Artikel 165.4 i EUF-fördraget, där följande föreskrivs: För att bidra till att de mål som anges i denna artikel uppnås, ska Europaparlamentet och rådet i enlighet med det ordinarie lagstiftningsförfarandet och efter att ha hört Ekonomiska och sociala kommittén samt Regionkommittén besluta om stimulansåtgärder som dock inte får omfatta någon harmonisering av medlemsstaternas lagar eller andra författningar.</w:t>
      </w:r>
    </w:p>
    <w:p w14:paraId="4B3CE559" w14:textId="6F55EEF0" w:rsidR="00AA6B9B" w:rsidRPr="00C25964" w:rsidRDefault="00AD1692" w:rsidP="00AD1692">
      <w:pPr>
        <w:pStyle w:val="Point0"/>
        <w:rPr>
          <w:noProof/>
        </w:rPr>
      </w:pPr>
      <w:r w:rsidRPr="00AD1692">
        <w:t>(2)</w:t>
      </w:r>
      <w:r w:rsidRPr="00AD1692">
        <w:tab/>
      </w:r>
      <w:r w:rsidR="00AA6B9B" w:rsidRPr="00C25964">
        <w:rPr>
          <w:noProof/>
        </w:rPr>
        <w:t>Artikel 166.4 i EUF-fördraget, där följande föreskrivs: ”Europaparlamentet och rådet ska i enlighet med det ordinarie lagstiftningsförfarandet och efter att ha hört Ekonomiska och sociala kommittén och Regionkommittén besluta om åtgärder för att bidra till att de mål som anges i denna artikel uppnås, dock utan att dessa åtgärder får omfatta någon harmonisering av medlemsstaternas lagar eller andra författningar, och rådet ska på förslag av kommissionen anta rekommendationer”.</w:t>
      </w:r>
    </w:p>
    <w:p w14:paraId="7A375FAB" w14:textId="77777777" w:rsidR="00AA6B9B" w:rsidRPr="00C25964" w:rsidRDefault="00AA6B9B" w:rsidP="00766970">
      <w:pPr>
        <w:pStyle w:val="ManualHeading2"/>
        <w:rPr>
          <w:noProof/>
        </w:rPr>
      </w:pPr>
      <w:r w:rsidRPr="00C25964">
        <w:rPr>
          <w:noProof/>
          <w:bdr w:val="nil"/>
        </w:rPr>
        <w:t>•</w:t>
      </w:r>
      <w:r w:rsidRPr="00C25964">
        <w:rPr>
          <w:noProof/>
        </w:rPr>
        <w:tab/>
      </w:r>
      <w:r w:rsidRPr="00C25964">
        <w:rPr>
          <w:noProof/>
          <w:bdr w:val="nil"/>
        </w:rPr>
        <w:t xml:space="preserve">Subsidiaritetsprincipen (för icke-exklusiv befogenhet) </w:t>
      </w:r>
    </w:p>
    <w:p w14:paraId="395E293E" w14:textId="77777777" w:rsidR="00AA6B9B" w:rsidRPr="00C25964" w:rsidRDefault="00AA6B9B" w:rsidP="00AA6B9B">
      <w:pPr>
        <w:pBdr>
          <w:top w:val="nil"/>
          <w:left w:val="nil"/>
          <w:bottom w:val="nil"/>
          <w:right w:val="nil"/>
          <w:between w:val="nil"/>
          <w:bar w:val="nil"/>
        </w:pBdr>
        <w:spacing w:before="0" w:after="240"/>
        <w:rPr>
          <w:rFonts w:eastAsia="Arial Unicode MS"/>
          <w:noProof/>
        </w:rPr>
      </w:pPr>
      <w:r w:rsidRPr="00C25964">
        <w:rPr>
          <w:noProof/>
          <w:shd w:val="clear" w:color="auto" w:fill="FFFFFF"/>
        </w:rPr>
        <w:t>Detta förslag är förenligt med subsidiaritetsprincipen i artikel 5.3 i fördraget om Europeiska unionen (</w:t>
      </w:r>
      <w:r w:rsidRPr="00C25964">
        <w:rPr>
          <w:i/>
          <w:noProof/>
          <w:shd w:val="clear" w:color="auto" w:fill="FFFFFF"/>
        </w:rPr>
        <w:t>EU-fördraget</w:t>
      </w:r>
      <w:r w:rsidRPr="00C25964">
        <w:rPr>
          <w:noProof/>
          <w:shd w:val="clear" w:color="auto" w:fill="FFFFFF"/>
        </w:rPr>
        <w:t>). Förslagets syfte kan inte uppnås på ett tillfredsställande sätt endast genom åtgärder från medlemsstaternas sida. Detta beror på att åtgärden särskilt syftar till</w:t>
      </w:r>
      <w:r w:rsidRPr="00C25964">
        <w:rPr>
          <w:noProof/>
        </w:rPr>
        <w:t xml:space="preserve"> att stärka ungdomarnas röst på EU-nivå för att berika det gemensamma EU-projektet och </w:t>
      </w:r>
      <w:r w:rsidRPr="00C25964">
        <w:rPr>
          <w:noProof/>
          <w:shd w:val="clear" w:color="auto" w:fill="FFFFFF"/>
        </w:rPr>
        <w:t>på att åtgärder enbart på nationell nivå inte skulle kunna dra nytta av den europeiska dimensionen av utbyte av erfarenheter och god praxis mellan medlemsstaterna. Unionen ska sträva mot sina mål med lämpliga medel som står i proportion till de befogenheter som den tilldelas i fördragen. Dessutom gynnas medlemsstaternas aktiviteter av att EU sprider information både i och utanför EU.</w:t>
      </w:r>
    </w:p>
    <w:p w14:paraId="6C610EC1" w14:textId="77777777" w:rsidR="00AA6B9B" w:rsidRPr="00C25964" w:rsidRDefault="00AA6B9B" w:rsidP="00766970">
      <w:pPr>
        <w:pStyle w:val="ManualHeading2"/>
        <w:rPr>
          <w:noProof/>
        </w:rPr>
      </w:pPr>
      <w:r w:rsidRPr="00C25964">
        <w:rPr>
          <w:noProof/>
          <w:bdr w:val="nil"/>
        </w:rPr>
        <w:t>•</w:t>
      </w:r>
      <w:r w:rsidRPr="00C25964">
        <w:rPr>
          <w:noProof/>
        </w:rPr>
        <w:tab/>
      </w:r>
      <w:r w:rsidRPr="00C25964">
        <w:rPr>
          <w:noProof/>
          <w:bdr w:val="nil"/>
        </w:rPr>
        <w:t>Proportionalitetsprincipen</w:t>
      </w:r>
    </w:p>
    <w:p w14:paraId="627FFD25" w14:textId="77777777" w:rsidR="00AA6B9B" w:rsidRPr="00C25964" w:rsidRDefault="00AA6B9B" w:rsidP="00AA6B9B">
      <w:pPr>
        <w:rPr>
          <w:noProof/>
        </w:rPr>
      </w:pPr>
      <w:r w:rsidRPr="00C25964">
        <w:rPr>
          <w:noProof/>
        </w:rPr>
        <w:t>Detta förslag är förenligt med proportionalitetsprincipen i artikel 5.4 i EU-fördraget. Det föreslagna tillvägagångssättet är enkelt. Det bygger på befintliga program och kommunikationsverksamhet inriktad på temat för Europaåret för ungdomar 2022. Det medför inga oproportionerliga begränsningar i verksamheten hos de förvaltningar som genomför förslaget.</w:t>
      </w:r>
    </w:p>
    <w:p w14:paraId="631F582B" w14:textId="77777777" w:rsidR="00AA6B9B" w:rsidRPr="00C25964" w:rsidRDefault="00AA6B9B" w:rsidP="00AA6B9B">
      <w:pPr>
        <w:rPr>
          <w:noProof/>
        </w:rPr>
      </w:pPr>
      <w:r w:rsidRPr="00C25964">
        <w:rPr>
          <w:noProof/>
        </w:rPr>
        <w:t>Medlemsstaternas arbete kommer att stödjas och kompletteras genom EU-åtgärder. Dessa kommer i första hand att förbättra effektiviteten hos unionens egna instrument. Dessutom kommer EU-åtgärderna att skapa underlag för och uppmuntra till synergieffekter och samarbete mellan medlemsstaterna, organisationer och stiftelser samt privata och offentliga företag.</w:t>
      </w:r>
    </w:p>
    <w:p w14:paraId="448660C2" w14:textId="77777777" w:rsidR="00AA6B9B" w:rsidRPr="00C25964" w:rsidRDefault="00AA6B9B" w:rsidP="00AA6B9B">
      <w:pPr>
        <w:rPr>
          <w:noProof/>
        </w:rPr>
      </w:pPr>
      <w:r w:rsidRPr="00C25964">
        <w:rPr>
          <w:noProof/>
        </w:rPr>
        <w:t>EU-åtgärderna går inte utöver vad som är nödvändigt för att hantera de konstaterade problemen.</w:t>
      </w:r>
    </w:p>
    <w:p w14:paraId="723AC4F8" w14:textId="77777777" w:rsidR="00AA6B9B" w:rsidRPr="00C25964" w:rsidRDefault="00AA6B9B" w:rsidP="00766970">
      <w:pPr>
        <w:pStyle w:val="ManualHeading2"/>
        <w:rPr>
          <w:noProof/>
          <w:bdr w:val="nil"/>
        </w:rPr>
      </w:pPr>
      <w:r w:rsidRPr="00C25964">
        <w:rPr>
          <w:noProof/>
          <w:bdr w:val="nil"/>
        </w:rPr>
        <w:t>•</w:t>
      </w:r>
      <w:r w:rsidRPr="00C25964">
        <w:rPr>
          <w:noProof/>
        </w:rPr>
        <w:tab/>
      </w:r>
      <w:r w:rsidRPr="00C25964">
        <w:rPr>
          <w:noProof/>
          <w:bdr w:val="nil"/>
        </w:rPr>
        <w:t>Val av instrument</w:t>
      </w:r>
    </w:p>
    <w:p w14:paraId="53A35DC5" w14:textId="77777777" w:rsidR="00AA6B9B" w:rsidRPr="00C25964" w:rsidRDefault="00AA6B9B" w:rsidP="00AA6B9B">
      <w:pPr>
        <w:pBdr>
          <w:top w:val="nil"/>
          <w:left w:val="nil"/>
          <w:bottom w:val="nil"/>
          <w:right w:val="nil"/>
          <w:between w:val="nil"/>
          <w:bar w:val="nil"/>
        </w:pBdr>
        <w:spacing w:before="0" w:after="240"/>
        <w:rPr>
          <w:rFonts w:eastAsia="Arial Unicode MS"/>
          <w:noProof/>
        </w:rPr>
      </w:pPr>
      <w:r w:rsidRPr="00C25964">
        <w:rPr>
          <w:noProof/>
          <w:shd w:val="clear" w:color="auto" w:fill="FFFFFF"/>
        </w:rPr>
        <w:t>Ett beslut av Europaparlamentet och rådet är det lämpligaste instrumentet för att säkerställa att lagstiftaren är fullt involverad i utnämnandet av 2022 till Europaåret för ungdomar.</w:t>
      </w:r>
    </w:p>
    <w:p w14:paraId="3D513C30" w14:textId="77777777" w:rsidR="00AA6B9B" w:rsidRPr="00C25964" w:rsidRDefault="00AA6B9B" w:rsidP="00766970">
      <w:pPr>
        <w:pStyle w:val="ManualHeading1"/>
        <w:rPr>
          <w:noProof/>
        </w:rPr>
      </w:pPr>
      <w:r w:rsidRPr="00C25964">
        <w:rPr>
          <w:noProof/>
        </w:rPr>
        <w:t>3.</w:t>
      </w:r>
      <w:r w:rsidRPr="00C25964">
        <w:rPr>
          <w:noProof/>
        </w:rPr>
        <w:tab/>
        <w:t>RESULTAT AV EFTERHANDSUTVÄRDERINGAR, SAMRÅD MED BERÖRDA PARTER OCH KONSEKVENSBEDÖMNINGAR</w:t>
      </w:r>
    </w:p>
    <w:p w14:paraId="707ECD4F" w14:textId="77777777" w:rsidR="00AA6B9B" w:rsidRPr="00C25964" w:rsidRDefault="00AA6B9B" w:rsidP="00766970">
      <w:pPr>
        <w:pStyle w:val="ManualHeading2"/>
        <w:rPr>
          <w:noProof/>
        </w:rPr>
      </w:pPr>
      <w:r w:rsidRPr="00C25964">
        <w:rPr>
          <w:noProof/>
          <w:bdr w:val="nil"/>
        </w:rPr>
        <w:t>•</w:t>
      </w:r>
      <w:r w:rsidRPr="00C25964">
        <w:rPr>
          <w:noProof/>
        </w:rPr>
        <w:tab/>
      </w:r>
      <w:r w:rsidRPr="00C25964">
        <w:rPr>
          <w:noProof/>
          <w:bdr w:val="nil"/>
        </w:rPr>
        <w:t>Efterhandsutvärderingar/kontroller av ändamålsenligheten hos befintlig lagstiftning</w:t>
      </w:r>
    </w:p>
    <w:p w14:paraId="4B9741AA" w14:textId="77777777" w:rsidR="00AA6B9B" w:rsidRPr="00C25964" w:rsidRDefault="00AA6B9B" w:rsidP="00AA6B9B">
      <w:pPr>
        <w:pBdr>
          <w:top w:val="nil"/>
          <w:left w:val="nil"/>
          <w:bottom w:val="nil"/>
          <w:right w:val="nil"/>
          <w:between w:val="nil"/>
          <w:bar w:val="nil"/>
        </w:pBdr>
        <w:spacing w:before="0" w:after="240"/>
        <w:rPr>
          <w:rFonts w:eastAsia="Arial Unicode MS"/>
          <w:noProof/>
        </w:rPr>
      </w:pPr>
      <w:r w:rsidRPr="00C25964">
        <w:rPr>
          <w:noProof/>
        </w:rPr>
        <w:t>Ej tillämpligt</w:t>
      </w:r>
    </w:p>
    <w:p w14:paraId="04BEFB3E" w14:textId="77777777" w:rsidR="00AA6B9B" w:rsidRPr="00C25964" w:rsidRDefault="00AA6B9B" w:rsidP="00766970">
      <w:pPr>
        <w:pStyle w:val="ManualHeading2"/>
        <w:rPr>
          <w:noProof/>
          <w:bdr w:val="nil"/>
        </w:rPr>
      </w:pPr>
      <w:r w:rsidRPr="00C25964">
        <w:rPr>
          <w:noProof/>
          <w:bdr w:val="nil"/>
        </w:rPr>
        <w:t>•</w:t>
      </w:r>
      <w:r w:rsidRPr="00C25964">
        <w:rPr>
          <w:noProof/>
        </w:rPr>
        <w:tab/>
      </w:r>
      <w:r w:rsidRPr="00C25964">
        <w:rPr>
          <w:noProof/>
          <w:bdr w:val="nil"/>
        </w:rPr>
        <w:t>Samråd med berörda parter</w:t>
      </w:r>
    </w:p>
    <w:p w14:paraId="2DB91CE4" w14:textId="77777777" w:rsidR="00AA6B9B" w:rsidRPr="00C25964" w:rsidRDefault="00AA6B9B" w:rsidP="00AA6B9B">
      <w:pPr>
        <w:pBdr>
          <w:top w:val="nil"/>
          <w:left w:val="nil"/>
          <w:bottom w:val="nil"/>
          <w:right w:val="nil"/>
          <w:between w:val="nil"/>
          <w:bar w:val="nil"/>
        </w:pBdr>
        <w:spacing w:before="0" w:after="240"/>
        <w:rPr>
          <w:noProof/>
        </w:rPr>
      </w:pPr>
      <w:r w:rsidRPr="00C25964">
        <w:rPr>
          <w:noProof/>
        </w:rPr>
        <w:t>Ej tillämpligt</w:t>
      </w:r>
    </w:p>
    <w:p w14:paraId="3196267A" w14:textId="77777777" w:rsidR="00AA6B9B" w:rsidRPr="00C25964" w:rsidRDefault="00AA6B9B" w:rsidP="00766970">
      <w:pPr>
        <w:pStyle w:val="ManualHeading2"/>
        <w:rPr>
          <w:noProof/>
          <w:bdr w:val="nil"/>
        </w:rPr>
      </w:pPr>
      <w:r w:rsidRPr="00C25964">
        <w:rPr>
          <w:noProof/>
          <w:bdr w:val="nil"/>
        </w:rPr>
        <w:t>•</w:t>
      </w:r>
      <w:r w:rsidRPr="00C25964">
        <w:rPr>
          <w:noProof/>
        </w:rPr>
        <w:tab/>
      </w:r>
      <w:r w:rsidRPr="00C25964">
        <w:rPr>
          <w:noProof/>
          <w:bdr w:val="nil"/>
        </w:rPr>
        <w:t>Insamling och användning av sakkunnigutlåtanden</w:t>
      </w:r>
    </w:p>
    <w:p w14:paraId="684EF361" w14:textId="77777777" w:rsidR="00AA6B9B" w:rsidRPr="00C25964" w:rsidRDefault="00AA6B9B" w:rsidP="00AA6B9B">
      <w:pPr>
        <w:pBdr>
          <w:top w:val="nil"/>
          <w:left w:val="nil"/>
          <w:bottom w:val="nil"/>
          <w:right w:val="nil"/>
          <w:between w:val="nil"/>
          <w:bar w:val="nil"/>
        </w:pBdr>
        <w:spacing w:before="0" w:after="240"/>
        <w:rPr>
          <w:noProof/>
        </w:rPr>
      </w:pPr>
      <w:r w:rsidRPr="00C25964">
        <w:rPr>
          <w:noProof/>
        </w:rPr>
        <w:t>Ej tillämpligt</w:t>
      </w:r>
    </w:p>
    <w:p w14:paraId="37DBC102" w14:textId="77777777" w:rsidR="00AA6B9B" w:rsidRPr="00C25964" w:rsidRDefault="00AA6B9B" w:rsidP="00766970">
      <w:pPr>
        <w:pStyle w:val="ManualHeading2"/>
        <w:rPr>
          <w:noProof/>
          <w:bdr w:val="nil"/>
        </w:rPr>
      </w:pPr>
      <w:r w:rsidRPr="00C25964">
        <w:rPr>
          <w:noProof/>
          <w:bdr w:val="nil"/>
        </w:rPr>
        <w:t>•</w:t>
      </w:r>
      <w:r w:rsidRPr="00C25964">
        <w:rPr>
          <w:noProof/>
        </w:rPr>
        <w:tab/>
      </w:r>
      <w:r w:rsidRPr="00C25964">
        <w:rPr>
          <w:noProof/>
          <w:bdr w:val="nil"/>
        </w:rPr>
        <w:t>Konsekvensbedömning</w:t>
      </w:r>
    </w:p>
    <w:p w14:paraId="04882B5E" w14:textId="77777777" w:rsidR="00AA6B9B" w:rsidRPr="00C25964" w:rsidRDefault="00AA6B9B" w:rsidP="00AA6B9B">
      <w:pPr>
        <w:pBdr>
          <w:top w:val="nil"/>
          <w:left w:val="nil"/>
          <w:bottom w:val="nil"/>
          <w:right w:val="nil"/>
          <w:between w:val="nil"/>
          <w:bar w:val="nil"/>
        </w:pBdr>
        <w:spacing w:before="0" w:after="240"/>
        <w:rPr>
          <w:rFonts w:eastAsia="Arial Unicode MS"/>
          <w:noProof/>
        </w:rPr>
      </w:pPr>
      <w:r w:rsidRPr="00C25964">
        <w:rPr>
          <w:noProof/>
          <w:shd w:val="clear" w:color="auto" w:fill="FFFFFF"/>
        </w:rPr>
        <w:t xml:space="preserve">Det krävs ingen konsekvensbedömning, eftersom målen med det föreslagna initiativet ligger inom ramarna för befintliga unionsprogram. Europaåret för ungdomar 2022 kan genomföras med de befintliga budgetanslagen genom att utnyttja program som fastställer prioriteringar för årlig eller flerårig finansiering. Det föreslagna initiativet skulle inte heller leda till några större sociala, ekonomiska eller miljömässiga konsekvenser utöver de som orsakas av redan befintliga instrument. </w:t>
      </w:r>
    </w:p>
    <w:p w14:paraId="76F46D1E" w14:textId="77777777" w:rsidR="00AA6B9B" w:rsidRPr="00C25964" w:rsidRDefault="00AA6B9B" w:rsidP="00766970">
      <w:pPr>
        <w:pStyle w:val="ManualHeading2"/>
        <w:rPr>
          <w:noProof/>
          <w:bdr w:val="nil"/>
        </w:rPr>
      </w:pPr>
      <w:r w:rsidRPr="00C25964">
        <w:rPr>
          <w:noProof/>
          <w:bdr w:val="nil"/>
        </w:rPr>
        <w:t>•</w:t>
      </w:r>
      <w:r w:rsidRPr="00C25964">
        <w:rPr>
          <w:noProof/>
        </w:rPr>
        <w:tab/>
      </w:r>
      <w:r w:rsidRPr="00C25964">
        <w:rPr>
          <w:noProof/>
          <w:bdr w:val="nil"/>
        </w:rPr>
        <w:t>Lagstiftningens ändamålsenlighet och förenkling</w:t>
      </w:r>
    </w:p>
    <w:p w14:paraId="1A0B0C0A" w14:textId="77777777" w:rsidR="00AA6B9B" w:rsidRPr="00C25964" w:rsidRDefault="00AA6B9B" w:rsidP="00AA6B9B">
      <w:pPr>
        <w:pBdr>
          <w:top w:val="nil"/>
          <w:left w:val="nil"/>
          <w:bottom w:val="nil"/>
          <w:right w:val="nil"/>
          <w:between w:val="nil"/>
          <w:bar w:val="nil"/>
        </w:pBdr>
        <w:spacing w:before="0" w:after="240"/>
        <w:rPr>
          <w:rFonts w:eastAsia="Arial Unicode MS"/>
          <w:noProof/>
        </w:rPr>
      </w:pPr>
      <w:r w:rsidRPr="00C25964">
        <w:rPr>
          <w:noProof/>
        </w:rPr>
        <w:t>Ej tillämpligt</w:t>
      </w:r>
    </w:p>
    <w:p w14:paraId="34D9A417" w14:textId="77777777" w:rsidR="00AA6B9B" w:rsidRPr="00C25964" w:rsidRDefault="00AA6B9B" w:rsidP="00766970">
      <w:pPr>
        <w:pStyle w:val="ManualHeading2"/>
        <w:rPr>
          <w:noProof/>
          <w:bdr w:val="nil"/>
        </w:rPr>
      </w:pPr>
      <w:r w:rsidRPr="00C25964">
        <w:rPr>
          <w:noProof/>
          <w:bdr w:val="nil"/>
        </w:rPr>
        <w:t>•</w:t>
      </w:r>
      <w:r w:rsidRPr="00C25964">
        <w:rPr>
          <w:noProof/>
        </w:rPr>
        <w:tab/>
      </w:r>
      <w:r w:rsidRPr="00C25964">
        <w:rPr>
          <w:noProof/>
          <w:bdr w:val="nil"/>
        </w:rPr>
        <w:t>Grundläggande rättigheter</w:t>
      </w:r>
    </w:p>
    <w:p w14:paraId="1C78D2A3" w14:textId="77777777" w:rsidR="00AA6B9B" w:rsidRPr="00C25964" w:rsidRDefault="00AA6B9B" w:rsidP="00AA6B9B">
      <w:pPr>
        <w:pBdr>
          <w:top w:val="nil"/>
          <w:left w:val="nil"/>
          <w:bottom w:val="nil"/>
          <w:right w:val="nil"/>
          <w:between w:val="nil"/>
          <w:bar w:val="nil"/>
        </w:pBdr>
        <w:spacing w:before="0" w:after="240"/>
        <w:rPr>
          <w:noProof/>
        </w:rPr>
      </w:pPr>
      <w:r w:rsidRPr="00C25964">
        <w:rPr>
          <w:noProof/>
        </w:rPr>
        <w:t>Ej tillämpligt</w:t>
      </w:r>
    </w:p>
    <w:p w14:paraId="6235673E" w14:textId="77777777" w:rsidR="00AA6B9B" w:rsidRPr="00C25964" w:rsidRDefault="00AA6B9B" w:rsidP="00766970">
      <w:pPr>
        <w:pStyle w:val="ManualHeading1"/>
        <w:rPr>
          <w:noProof/>
        </w:rPr>
      </w:pPr>
      <w:r w:rsidRPr="00C25964">
        <w:rPr>
          <w:noProof/>
        </w:rPr>
        <w:t>4.</w:t>
      </w:r>
      <w:r w:rsidRPr="00C25964">
        <w:rPr>
          <w:noProof/>
        </w:rPr>
        <w:tab/>
        <w:t>BUDGETKONSEKVENSER</w:t>
      </w:r>
    </w:p>
    <w:p w14:paraId="35C69FEC" w14:textId="77777777" w:rsidR="00AA6B9B" w:rsidRPr="00C25964" w:rsidRDefault="00AA6B9B" w:rsidP="00AA6B9B">
      <w:pPr>
        <w:pBdr>
          <w:top w:val="nil"/>
          <w:left w:val="nil"/>
          <w:bottom w:val="nil"/>
          <w:right w:val="nil"/>
          <w:between w:val="nil"/>
          <w:bar w:val="nil"/>
        </w:pBdr>
        <w:spacing w:before="0" w:after="240"/>
        <w:rPr>
          <w:noProof/>
          <w:shd w:val="clear" w:color="auto" w:fill="FFFFFF"/>
        </w:rPr>
      </w:pPr>
      <w:r w:rsidRPr="00C25964">
        <w:rPr>
          <w:noProof/>
          <w:shd w:val="clear" w:color="auto" w:fill="FFFFFF"/>
        </w:rPr>
        <w:t>Flexibiliteten när det gäller att fastställa prioriteringar på årlig eller flerårig basis i relevanta program, såsom Erasmus+ och Europeiska solidaritetskåren, är tillräcklig för att man ska kunna planera en informationskampanj i samma omfattning som för tidigare Europaår. Minst 8 miljoner euro kommer att avsättas för sådan samordning. De flesta av åtgärderna kommer att stödjas genom unionens program och instrument, med åtgärder som direkt gynnar Europas ungdomar.</w:t>
      </w:r>
    </w:p>
    <w:p w14:paraId="1FF1F7E1" w14:textId="77777777" w:rsidR="00AA6B9B" w:rsidRPr="00C25964" w:rsidRDefault="00AA6B9B" w:rsidP="00766970">
      <w:pPr>
        <w:pStyle w:val="ManualHeading1"/>
        <w:rPr>
          <w:noProof/>
        </w:rPr>
      </w:pPr>
      <w:r w:rsidRPr="00C25964">
        <w:rPr>
          <w:noProof/>
        </w:rPr>
        <w:t>5.</w:t>
      </w:r>
      <w:r w:rsidRPr="00C25964">
        <w:rPr>
          <w:noProof/>
        </w:rPr>
        <w:tab/>
        <w:t>ÖVRIGA INSLAG</w:t>
      </w:r>
    </w:p>
    <w:p w14:paraId="20BF2FBB" w14:textId="77777777" w:rsidR="00AA6B9B" w:rsidRPr="00C25964" w:rsidRDefault="00AA6B9B" w:rsidP="00766970">
      <w:pPr>
        <w:pStyle w:val="ManualHeading2"/>
        <w:rPr>
          <w:noProof/>
        </w:rPr>
      </w:pPr>
      <w:r w:rsidRPr="00C25964">
        <w:rPr>
          <w:noProof/>
          <w:bdr w:val="nil"/>
        </w:rPr>
        <w:t>•</w:t>
      </w:r>
      <w:r w:rsidRPr="00C25964">
        <w:rPr>
          <w:noProof/>
        </w:rPr>
        <w:tab/>
      </w:r>
      <w:r w:rsidRPr="00C25964">
        <w:rPr>
          <w:noProof/>
          <w:bdr w:val="nil"/>
        </w:rPr>
        <w:t>Genomförandeplaner samt åtgärder för övervakning, utvärdering och rapportering</w:t>
      </w:r>
    </w:p>
    <w:p w14:paraId="6196ED3A" w14:textId="77777777" w:rsidR="00AA6B9B" w:rsidRPr="00C25964" w:rsidRDefault="00AA6B9B" w:rsidP="00AA6B9B">
      <w:pPr>
        <w:spacing w:before="0" w:after="240"/>
        <w:rPr>
          <w:noProof/>
        </w:rPr>
      </w:pPr>
      <w:r w:rsidRPr="00C25964">
        <w:rPr>
          <w:noProof/>
        </w:rPr>
        <w:t xml:space="preserve">De nationella samordnarna bör, i samarbete med företrädare för organisationer eller organ på ungdomsområdet, inbegripet ungdomarna själva när så är möjligt, aktivt engagera ungdomar i förberedelserna och genomförandet av verksamheten under Europaåret för ungdomar 2022. </w:t>
      </w:r>
    </w:p>
    <w:p w14:paraId="7617B12B" w14:textId="77777777" w:rsidR="00AA6B9B" w:rsidRPr="00C25964" w:rsidRDefault="00AA6B9B" w:rsidP="00AA6B9B">
      <w:pPr>
        <w:pBdr>
          <w:top w:val="nil"/>
          <w:left w:val="nil"/>
          <w:bottom w:val="nil"/>
          <w:right w:val="nil"/>
          <w:between w:val="nil"/>
          <w:bar w:val="nil"/>
        </w:pBdr>
        <w:spacing w:before="0" w:after="240"/>
        <w:rPr>
          <w:rFonts w:eastAsia="Arial Unicode MS"/>
          <w:noProof/>
        </w:rPr>
      </w:pPr>
      <w:r w:rsidRPr="00C25964">
        <w:rPr>
          <w:noProof/>
          <w:shd w:val="clear" w:color="auto" w:fill="FFFFFF"/>
        </w:rPr>
        <w:t>Enligt förslaget ska kommissionen senast den 31 december 2023 rapportera om genomförandet, resultaten och den övergripande bedömningen av de initiativ som omfattas av Europaåret för ungdomar.</w:t>
      </w:r>
    </w:p>
    <w:p w14:paraId="05F4BC6E" w14:textId="77777777" w:rsidR="00AA6B9B" w:rsidRPr="00C25964" w:rsidRDefault="00AA6B9B" w:rsidP="00AA6B9B">
      <w:pPr>
        <w:pBdr>
          <w:top w:val="nil"/>
          <w:left w:val="nil"/>
          <w:bottom w:val="nil"/>
          <w:right w:val="nil"/>
          <w:between w:val="nil"/>
          <w:bar w:val="nil"/>
        </w:pBdr>
        <w:spacing w:before="0" w:after="240"/>
        <w:rPr>
          <w:rFonts w:eastAsia="Arial Unicode MS"/>
          <w:noProof/>
        </w:rPr>
      </w:pPr>
      <w:r w:rsidRPr="00C25964">
        <w:rPr>
          <w:noProof/>
          <w:shd w:val="clear" w:color="auto" w:fill="FFFFFF"/>
        </w:rPr>
        <w:t xml:space="preserve">Efter </w:t>
      </w:r>
      <w:r w:rsidRPr="00C25964">
        <w:rPr>
          <w:noProof/>
        </w:rPr>
        <w:t>Europaåret för ungdomar</w:t>
      </w:r>
      <w:r w:rsidRPr="00C25964">
        <w:rPr>
          <w:noProof/>
          <w:shd w:val="clear" w:color="auto" w:fill="FFFFFF"/>
        </w:rPr>
        <w:t xml:space="preserve"> kommer kommissionen, inom ramen för genomförandet av den europeiska ungdomsstrategin 2019–2027, att arbeta för att upprätthålla utfallet av Europaåret, liksom att främja och ytterligare analysera och genomföra detta via EU:s olika ungdomsprogram. </w:t>
      </w:r>
    </w:p>
    <w:p w14:paraId="18ED7A8A" w14:textId="77777777" w:rsidR="00AA6B9B" w:rsidRPr="00C25964" w:rsidRDefault="00AA6B9B" w:rsidP="00766970">
      <w:pPr>
        <w:pStyle w:val="ManualHeading2"/>
        <w:rPr>
          <w:noProof/>
        </w:rPr>
      </w:pPr>
      <w:r w:rsidRPr="00C25964">
        <w:rPr>
          <w:noProof/>
          <w:bdr w:val="nil"/>
        </w:rPr>
        <w:t>•</w:t>
      </w:r>
      <w:r w:rsidRPr="00C25964">
        <w:rPr>
          <w:noProof/>
        </w:rPr>
        <w:tab/>
      </w:r>
      <w:r w:rsidRPr="00C25964">
        <w:rPr>
          <w:noProof/>
          <w:bdr w:val="nil"/>
        </w:rPr>
        <w:t>Förklarande dokument (för direktiv)</w:t>
      </w:r>
    </w:p>
    <w:p w14:paraId="6982CAE9" w14:textId="77777777" w:rsidR="00AA6B9B" w:rsidRPr="00C25964" w:rsidRDefault="00AA6B9B" w:rsidP="00AA6B9B">
      <w:pPr>
        <w:pBdr>
          <w:top w:val="nil"/>
          <w:left w:val="nil"/>
          <w:bottom w:val="nil"/>
          <w:right w:val="nil"/>
          <w:between w:val="nil"/>
          <w:bar w:val="nil"/>
        </w:pBdr>
        <w:spacing w:before="0" w:after="240"/>
        <w:rPr>
          <w:noProof/>
        </w:rPr>
      </w:pPr>
      <w:r w:rsidRPr="00C25964">
        <w:rPr>
          <w:noProof/>
        </w:rPr>
        <w:t>Ej tillämpligt</w:t>
      </w:r>
    </w:p>
    <w:p w14:paraId="59AF311F" w14:textId="77777777" w:rsidR="00AA6B9B" w:rsidRPr="00C25964" w:rsidRDefault="00AA6B9B" w:rsidP="00766970">
      <w:pPr>
        <w:pStyle w:val="ManualHeading2"/>
        <w:rPr>
          <w:noProof/>
        </w:rPr>
      </w:pPr>
      <w:r w:rsidRPr="00C25964">
        <w:rPr>
          <w:noProof/>
          <w:bdr w:val="nil"/>
        </w:rPr>
        <w:t>•</w:t>
      </w:r>
      <w:r w:rsidRPr="00C25964">
        <w:rPr>
          <w:noProof/>
        </w:rPr>
        <w:tab/>
      </w:r>
      <w:r w:rsidRPr="00C25964">
        <w:rPr>
          <w:noProof/>
          <w:bdr w:val="nil"/>
        </w:rPr>
        <w:t>Ingående redogörelse för de specifika bestämmelserna i förslaget</w:t>
      </w:r>
    </w:p>
    <w:p w14:paraId="30FC625B" w14:textId="77777777" w:rsidR="00AA6B9B" w:rsidRPr="00C25964" w:rsidRDefault="00AA6B9B" w:rsidP="00AA6B9B">
      <w:pPr>
        <w:pBdr>
          <w:top w:val="nil"/>
          <w:left w:val="nil"/>
          <w:bottom w:val="nil"/>
          <w:right w:val="nil"/>
          <w:between w:val="nil"/>
          <w:bar w:val="nil"/>
        </w:pBdr>
        <w:spacing w:before="0" w:after="240"/>
        <w:rPr>
          <w:rFonts w:eastAsia="Arial Unicode MS"/>
          <w:noProof/>
        </w:rPr>
      </w:pPr>
    </w:p>
    <w:p w14:paraId="5D560CB5" w14:textId="77777777" w:rsidR="00AA6B9B" w:rsidRPr="00C25964" w:rsidRDefault="00AA6B9B" w:rsidP="00AA6B9B">
      <w:pPr>
        <w:rPr>
          <w:noProof/>
        </w:rPr>
        <w:sectPr w:rsidR="00AA6B9B" w:rsidRPr="00C25964" w:rsidSect="004A0B38">
          <w:footerReference w:type="default" r:id="rId13"/>
          <w:footerReference w:type="first" r:id="rId14"/>
          <w:pgSz w:w="11907" w:h="16839"/>
          <w:pgMar w:top="1134" w:right="1417" w:bottom="1134" w:left="1417" w:header="709" w:footer="709" w:gutter="0"/>
          <w:cols w:space="708"/>
          <w:docGrid w:linePitch="360"/>
        </w:sectPr>
      </w:pPr>
    </w:p>
    <w:p w14:paraId="4CFA3CFF" w14:textId="5227944A" w:rsidR="002A0878" w:rsidRPr="00C25964" w:rsidRDefault="000C319C" w:rsidP="000C319C">
      <w:pPr>
        <w:pStyle w:val="Rfrenceinterinstitutionnelle"/>
        <w:rPr>
          <w:noProof/>
        </w:rPr>
      </w:pPr>
      <w:r w:rsidRPr="000C319C">
        <w:t>2021/0328 (COD)</w:t>
      </w:r>
    </w:p>
    <w:p w14:paraId="493258D1" w14:textId="09719FB4" w:rsidR="00AA6B9B" w:rsidRPr="00C25964" w:rsidRDefault="00C25964" w:rsidP="00C25964">
      <w:pPr>
        <w:pStyle w:val="Statut"/>
        <w:rPr>
          <w:noProof/>
        </w:rPr>
      </w:pPr>
      <w:r w:rsidRPr="00C25964">
        <w:rPr>
          <w:noProof/>
        </w:rPr>
        <w:t>Förslag till</w:t>
      </w:r>
    </w:p>
    <w:p w14:paraId="2B861455" w14:textId="489056A4" w:rsidR="00AA6B9B" w:rsidRPr="00C25964" w:rsidRDefault="00C25964" w:rsidP="00C25964">
      <w:pPr>
        <w:pStyle w:val="Typedudocument"/>
        <w:rPr>
          <w:noProof/>
        </w:rPr>
      </w:pPr>
      <w:r w:rsidRPr="00C25964">
        <w:rPr>
          <w:noProof/>
        </w:rPr>
        <w:t>EUROPAPARLAMENTETS OCH RÅDETS BESLUT</w:t>
      </w:r>
    </w:p>
    <w:p w14:paraId="51C6C284" w14:textId="3902960D" w:rsidR="00AA6B9B" w:rsidRPr="00C25964" w:rsidRDefault="00C25964" w:rsidP="00C25964">
      <w:pPr>
        <w:pStyle w:val="Titreobjet"/>
        <w:rPr>
          <w:noProof/>
        </w:rPr>
      </w:pPr>
      <w:r w:rsidRPr="00C25964">
        <w:rPr>
          <w:noProof/>
        </w:rPr>
        <w:t>om ett Europaår för ungdomar 2022</w:t>
      </w:r>
    </w:p>
    <w:p w14:paraId="27D90A3B" w14:textId="3811A22A" w:rsidR="00641B37" w:rsidRPr="00C25964" w:rsidRDefault="00C25964" w:rsidP="00C25964">
      <w:pPr>
        <w:pStyle w:val="IntrtEEE"/>
        <w:rPr>
          <w:noProof/>
        </w:rPr>
      </w:pPr>
      <w:r w:rsidRPr="00C25964">
        <w:rPr>
          <w:noProof/>
        </w:rPr>
        <w:t>(Text av betydelse för EES)</w:t>
      </w:r>
    </w:p>
    <w:p w14:paraId="5121204A" w14:textId="0CF82CBD" w:rsidR="00AA6B9B" w:rsidRPr="00C25964" w:rsidRDefault="00AA6B9B" w:rsidP="00766970">
      <w:pPr>
        <w:pStyle w:val="Institutionquiagit"/>
        <w:rPr>
          <w:noProof/>
        </w:rPr>
      </w:pPr>
      <w:r w:rsidRPr="00C25964">
        <w:rPr>
          <w:noProof/>
        </w:rPr>
        <w:t>EUROPAPARLAMENTET OCH EUROPEISKA UNIONENS RÅD HAR ANTAGIT DETTA BESLUT</w:t>
      </w:r>
    </w:p>
    <w:p w14:paraId="7EE084A8" w14:textId="77777777" w:rsidR="00AA6B9B" w:rsidRPr="00C25964" w:rsidRDefault="00AA6B9B" w:rsidP="00AA6B9B">
      <w:pPr>
        <w:rPr>
          <w:noProof/>
        </w:rPr>
      </w:pPr>
      <w:r w:rsidRPr="00C25964">
        <w:rPr>
          <w:noProof/>
        </w:rPr>
        <w:t>med beaktande av fördraget om Europeiska unionens funktionssätt, särskilt artiklarna 165.4 och 166.4,</w:t>
      </w:r>
    </w:p>
    <w:p w14:paraId="064E0FB4" w14:textId="77777777" w:rsidR="00AA6B9B" w:rsidRPr="00C25964" w:rsidRDefault="00AA6B9B" w:rsidP="00AA6B9B">
      <w:pPr>
        <w:rPr>
          <w:noProof/>
        </w:rPr>
      </w:pPr>
      <w:r w:rsidRPr="00C25964">
        <w:rPr>
          <w:noProof/>
        </w:rPr>
        <w:t>med beaktande av Europeiska kommissionens förslag,</w:t>
      </w:r>
    </w:p>
    <w:p w14:paraId="7BBD2ACD" w14:textId="77777777" w:rsidR="00AA6B9B" w:rsidRPr="00C25964" w:rsidRDefault="00AA6B9B" w:rsidP="00AA6B9B">
      <w:pPr>
        <w:rPr>
          <w:noProof/>
        </w:rPr>
      </w:pPr>
      <w:r w:rsidRPr="00C25964">
        <w:rPr>
          <w:noProof/>
        </w:rPr>
        <w:t>efter översändande av utkastet till lagstiftningsakt till de nationella parlamenten,</w:t>
      </w:r>
    </w:p>
    <w:p w14:paraId="23200671" w14:textId="77777777" w:rsidR="00AA6B9B" w:rsidRPr="00C25964" w:rsidRDefault="00AA6B9B" w:rsidP="00AA6B9B">
      <w:pPr>
        <w:rPr>
          <w:noProof/>
        </w:rPr>
      </w:pPr>
      <w:r w:rsidRPr="00C25964">
        <w:rPr>
          <w:noProof/>
        </w:rPr>
        <w:t>med beaktande av Europeiska ekonomiska och sociala kommitténs yttrande</w:t>
      </w:r>
      <w:r w:rsidRPr="00C25964">
        <w:rPr>
          <w:rStyle w:val="FootnoteReference0"/>
          <w:noProof/>
        </w:rPr>
        <w:footnoteReference w:id="9"/>
      </w:r>
      <w:r w:rsidRPr="00C25964">
        <w:rPr>
          <w:noProof/>
        </w:rPr>
        <w:t xml:space="preserve">, </w:t>
      </w:r>
    </w:p>
    <w:p w14:paraId="1EA3DC38" w14:textId="77777777" w:rsidR="00AA6B9B" w:rsidRPr="00C25964" w:rsidRDefault="00AA6B9B" w:rsidP="00AA6B9B">
      <w:pPr>
        <w:rPr>
          <w:noProof/>
        </w:rPr>
      </w:pPr>
      <w:r w:rsidRPr="00C25964">
        <w:rPr>
          <w:noProof/>
        </w:rPr>
        <w:t>med beaktande av Regionkommitténs yttrande</w:t>
      </w:r>
      <w:r w:rsidRPr="00C25964">
        <w:rPr>
          <w:rStyle w:val="FootnoteReference0"/>
          <w:noProof/>
        </w:rPr>
        <w:footnoteReference w:id="10"/>
      </w:r>
      <w:r w:rsidRPr="00C25964">
        <w:rPr>
          <w:noProof/>
        </w:rPr>
        <w:t xml:space="preserve">, </w:t>
      </w:r>
    </w:p>
    <w:p w14:paraId="0F44088B" w14:textId="77777777" w:rsidR="00AA6B9B" w:rsidRPr="00C25964" w:rsidRDefault="00AA6B9B" w:rsidP="00AA6B9B">
      <w:pPr>
        <w:rPr>
          <w:noProof/>
        </w:rPr>
      </w:pPr>
      <w:r w:rsidRPr="00C25964">
        <w:rPr>
          <w:noProof/>
        </w:rPr>
        <w:t>i enlighet med det ordinarie lagstiftningsförfarandet, och</w:t>
      </w:r>
    </w:p>
    <w:p w14:paraId="400878D0" w14:textId="77777777" w:rsidR="00AA6B9B" w:rsidRPr="00C25964" w:rsidRDefault="00AA6B9B" w:rsidP="00AA6B9B">
      <w:pPr>
        <w:rPr>
          <w:noProof/>
        </w:rPr>
      </w:pPr>
      <w:r w:rsidRPr="00C25964">
        <w:rPr>
          <w:noProof/>
        </w:rPr>
        <w:t xml:space="preserve">av följande skäl: </w:t>
      </w:r>
    </w:p>
    <w:p w14:paraId="200FA5DF" w14:textId="3539393F" w:rsidR="00AA6B9B" w:rsidRPr="00C25964" w:rsidDel="002D2BEF" w:rsidRDefault="00AD1692" w:rsidP="00AD1692">
      <w:pPr>
        <w:pStyle w:val="ManualConsidrant"/>
        <w:rPr>
          <w:noProof/>
        </w:rPr>
      </w:pPr>
      <w:r w:rsidRPr="00AD1692">
        <w:t>(1)</w:t>
      </w:r>
      <w:r w:rsidRPr="00AD1692">
        <w:tab/>
      </w:r>
      <w:r w:rsidR="00AA6B9B" w:rsidRPr="00C25964">
        <w:rPr>
          <w:noProof/>
        </w:rPr>
        <w:t>I artikel 165.2 i fördraget om Europeiska unionens funktionssätt anges att unionens insatser bland annat ska stimulera ungdomars deltagande i Europas demokratiska liv.</w:t>
      </w:r>
    </w:p>
    <w:p w14:paraId="135B1B7B" w14:textId="7E3AEA3E" w:rsidR="00AA6B9B" w:rsidRPr="00C25964" w:rsidDel="002D2BEF" w:rsidRDefault="00AD1692" w:rsidP="00AD1692">
      <w:pPr>
        <w:pStyle w:val="ManualConsidrant"/>
        <w:rPr>
          <w:noProof/>
        </w:rPr>
      </w:pPr>
      <w:r w:rsidRPr="00AD1692">
        <w:t>(2)</w:t>
      </w:r>
      <w:r w:rsidRPr="00AD1692">
        <w:tab/>
      </w:r>
      <w:r w:rsidR="00AA6B9B" w:rsidRPr="00C25964">
        <w:rPr>
          <w:noProof/>
        </w:rPr>
        <w:t>I Bratislavafärdplanen av den 16 september 2016</w:t>
      </w:r>
      <w:r w:rsidR="00AA6B9B" w:rsidRPr="00C25964">
        <w:rPr>
          <w:rStyle w:val="FootnoteReference0"/>
          <w:noProof/>
        </w:rPr>
        <w:footnoteReference w:id="11"/>
      </w:r>
      <w:r w:rsidR="00AA6B9B" w:rsidRPr="00C25964">
        <w:rPr>
          <w:noProof/>
        </w:rPr>
        <w:t xml:space="preserve"> åtog sig de 27 stats- och regeringscheferna att ”skapa bättre möjligheter för ungdomar”, särskilt genom ”EU-stöd till medlemsstaterna i kampen mot ungdomsarbetslöshet och förbättrade EU-program för ungdomar”. </w:t>
      </w:r>
    </w:p>
    <w:p w14:paraId="2939EB64" w14:textId="71C06DA3" w:rsidR="00AA6B9B" w:rsidRPr="00C25964" w:rsidDel="002D2BEF" w:rsidRDefault="00AD1692" w:rsidP="00AD1692">
      <w:pPr>
        <w:pStyle w:val="ManualConsidrant"/>
        <w:rPr>
          <w:noProof/>
        </w:rPr>
      </w:pPr>
      <w:r w:rsidRPr="00AD1692">
        <w:t>(3)</w:t>
      </w:r>
      <w:r w:rsidRPr="00AD1692">
        <w:tab/>
      </w:r>
      <w:r w:rsidR="00AA6B9B" w:rsidRPr="00C25964">
        <w:rPr>
          <w:noProof/>
        </w:rPr>
        <w:t>I Romförklaringen av den 25 mars 2017</w:t>
      </w:r>
      <w:r w:rsidR="00AA6B9B" w:rsidRPr="00C25964">
        <w:rPr>
          <w:rStyle w:val="FootnoteReference0"/>
          <w:noProof/>
        </w:rPr>
        <w:footnoteReference w:id="12"/>
      </w:r>
      <w:r w:rsidR="00AA6B9B" w:rsidRPr="00C25964">
        <w:rPr>
          <w:noProof/>
        </w:rPr>
        <w:t xml:space="preserve"> utfäste sig ledarna för de 27 medlemsstaterna, Europeiska rådet, Europaparlamentet och Europeiska kommissionen att sträva efter ett EU där unga får den bästa utbildningen och kan studera och få arbete i hela Europa. </w:t>
      </w:r>
    </w:p>
    <w:p w14:paraId="1016171C" w14:textId="6B8F4113" w:rsidR="00677978" w:rsidRPr="00C25964" w:rsidDel="002D2BEF" w:rsidRDefault="00AD1692" w:rsidP="00AD1692">
      <w:pPr>
        <w:pStyle w:val="ManualConsidrant"/>
        <w:rPr>
          <w:noProof/>
        </w:rPr>
      </w:pPr>
      <w:r w:rsidRPr="00AD1692">
        <w:t>(4)</w:t>
      </w:r>
      <w:r w:rsidRPr="00AD1692">
        <w:tab/>
      </w:r>
      <w:r w:rsidR="00AA6B9B" w:rsidRPr="00C25964">
        <w:rPr>
          <w:noProof/>
        </w:rPr>
        <w:t xml:space="preserve">I Europeiska unionens ungdomsstrategi 2019–2027 framhålls att ungdomar utformar sina egna liv, bidrar till positiva förändringar i samhället och till att utveckla EU:s ambitioner, och att ungdomspolitiken kan bidra till att skapa utrymme för ungdomar att tillvarata möjligheter och relatera till europeiska värden. Tidigare Europaår, t.ex. Europaåret för järnvägen 2021, Europaåret för kulturarv 2018 eller Europaåret för medborgarna 2013–2014, bidrar med värdefulla erfarenheter som bör ligga till grund för framtida insatser för att engagera ungdomar i utformningen av deras framtid och Europas framtid.  </w:t>
      </w:r>
    </w:p>
    <w:p w14:paraId="0AC7517D" w14:textId="16E1B2A6" w:rsidR="00AA6B9B" w:rsidRPr="00C25964" w:rsidDel="002D2BEF" w:rsidRDefault="00AD1692" w:rsidP="00AD1692">
      <w:pPr>
        <w:pStyle w:val="ManualConsidrant"/>
        <w:rPr>
          <w:noProof/>
        </w:rPr>
      </w:pPr>
      <w:r w:rsidRPr="00AD1692">
        <w:t>(5)</w:t>
      </w:r>
      <w:r w:rsidRPr="00AD1692">
        <w:tab/>
      </w:r>
      <w:r w:rsidR="00AA6B9B" w:rsidRPr="00C25964">
        <w:rPr>
          <w:noProof/>
        </w:rPr>
        <w:t>NextGenerationEU säkerställer en snabb grön och digital omställning, ger oss möjlighet att tillsammans gå stärkta ur pandemin och öppnar åter en värld av många möjligheter för ungdomar, inbegripet arbetstillfällen av hög kvalitet och anpassning till sociala förändringar. Unionen strävar efter att ungdomar fullt ut ska medverka i genomförandet av NextGenerationEU och att stärka deras roll i den gröna och den digitala omställningen.</w:t>
      </w:r>
    </w:p>
    <w:p w14:paraId="1B8DD9CA" w14:textId="1CFC51FA" w:rsidR="00AA6B9B" w:rsidRPr="00C25964" w:rsidDel="002D2BEF" w:rsidRDefault="00AD1692" w:rsidP="00AD1692">
      <w:pPr>
        <w:pStyle w:val="ManualConsidrant"/>
        <w:rPr>
          <w:noProof/>
          <w:sz w:val="22"/>
        </w:rPr>
      </w:pPr>
      <w:r w:rsidRPr="00AD1692">
        <w:t>(6)</w:t>
      </w:r>
      <w:r w:rsidRPr="00AD1692">
        <w:tab/>
      </w:r>
      <w:r w:rsidR="00AA6B9B" w:rsidRPr="00C25964">
        <w:rPr>
          <w:noProof/>
        </w:rPr>
        <w:t>Den 15 september 2021 tillkännagav ordförande Ursula von der Leyen i sitt tal om tillståndet i unionen</w:t>
      </w:r>
      <w:r w:rsidR="00AA6B9B" w:rsidRPr="00C25964">
        <w:rPr>
          <w:rStyle w:val="FootnoteReference0"/>
          <w:noProof/>
        </w:rPr>
        <w:footnoteReference w:id="13"/>
      </w:r>
      <w:r w:rsidR="00AA6B9B" w:rsidRPr="00C25964">
        <w:rPr>
          <w:noProof/>
        </w:rPr>
        <w:t xml:space="preserve"> att Europeiska kommissionen skulle föreslå att 2022 ska vara Europaåret för ungdomar. Samtidigt som hon lyfte fram den tillförsikt om Europas framtid hon känner tack vare inspirationen från Europas ungdomar tillade hon att ungdomar måste få vara med och utforma Europas framtid om vi vill utforma unionen med de unga som förebild.</w:t>
      </w:r>
      <w:r w:rsidR="00AA6B9B" w:rsidRPr="00C25964">
        <w:rPr>
          <w:i/>
          <w:iCs/>
          <w:noProof/>
          <w:color w:val="000000"/>
        </w:rPr>
        <w:t xml:space="preserve"> </w:t>
      </w:r>
      <w:r w:rsidR="00AA6B9B" w:rsidRPr="00C25964">
        <w:rPr>
          <w:noProof/>
        </w:rPr>
        <w:t xml:space="preserve">Europa behöver alla ungdomars vision, engagemang och deltagande för att bygga en bättre framtid, och Europa måste ge unga möjligheter för framtiden, en framtid som är grönare, mer digital och mer inkluderande. Därför föreslog kommissionens ordförande ett år som ska ägnas åt att värdesätta och uppskatta de unga som har offrat så mycket för andra. </w:t>
      </w:r>
    </w:p>
    <w:p w14:paraId="2BE8E8C2" w14:textId="4C6D6D06" w:rsidR="00AA6B9B" w:rsidRPr="00C25964" w:rsidDel="002D2BEF" w:rsidRDefault="00AD1692" w:rsidP="00AD1692">
      <w:pPr>
        <w:pStyle w:val="ManualConsidrant"/>
        <w:rPr>
          <w:noProof/>
        </w:rPr>
      </w:pPr>
      <w:r w:rsidRPr="00AD1692">
        <w:t>(7)</w:t>
      </w:r>
      <w:r w:rsidRPr="00AD1692">
        <w:tab/>
      </w:r>
      <w:r w:rsidR="00AA6B9B" w:rsidRPr="00C25964">
        <w:rPr>
          <w:noProof/>
        </w:rPr>
        <w:t>Ungdomarnas aktiva deltagande i demokratiska processer är avgörande för Europas framtid och dess demokratiska samhällen. I enlighet med EU:s handlingsplan för demokrati</w:t>
      </w:r>
      <w:r w:rsidR="00AA6B9B" w:rsidRPr="00C25964">
        <w:rPr>
          <w:rStyle w:val="FootnoteReference0"/>
          <w:noProof/>
        </w:rPr>
        <w:footnoteReference w:id="14"/>
      </w:r>
      <w:r w:rsidR="00AA6B9B" w:rsidRPr="00C25964">
        <w:rPr>
          <w:noProof/>
        </w:rPr>
        <w:t xml:space="preserve"> syftar därför Europaåret för ungdomar till att främja ungdomars aktiva deltagande i Europas demokratiska liv, bland annat genom att stödja deltagande av ungdomar med olika bakgrund i processer såsom konferensen om Europas framtid, främja medborgarengagemang och volontärinitiativ och därigenom öka medvetenheten om europeiska gemensamma värden och grundläggande rättigheter samt europeisk historia och kultur, föra samman ungdomar och beslutsfattare på lokal, nationell och europeisk nivå och bidra till den europeiska integrationsprocessen.</w:t>
      </w:r>
    </w:p>
    <w:p w14:paraId="2136342B" w14:textId="49408CFC" w:rsidR="00AA6B9B" w:rsidRPr="00C25964" w:rsidRDefault="00AD1692" w:rsidP="00AD1692">
      <w:pPr>
        <w:pStyle w:val="ManualConsidrant"/>
        <w:rPr>
          <w:noProof/>
        </w:rPr>
      </w:pPr>
      <w:r w:rsidRPr="00AD1692">
        <w:t>(8)</w:t>
      </w:r>
      <w:r w:rsidRPr="00AD1692">
        <w:tab/>
      </w:r>
      <w:r w:rsidR="00AA6B9B" w:rsidRPr="00C25964">
        <w:rPr>
          <w:noProof/>
        </w:rPr>
        <w:t>Ungdomarnas avgörande roll erkänns också och måste stödjas ytterligare så att deras outsinliga förmåga till aktivism kanaliseras för att skapa en bättre värld. Europaåret för ungdomar är ett konkret bidrag till FN:s Agenda 2030 för hållbar utveckling (</w:t>
      </w:r>
      <w:r w:rsidR="00AA6B9B" w:rsidRPr="00C25964">
        <w:rPr>
          <w:i/>
          <w:iCs/>
          <w:noProof/>
        </w:rPr>
        <w:t>Agenda 2030</w:t>
      </w:r>
      <w:r w:rsidR="00AA6B9B" w:rsidRPr="00C25964">
        <w:rPr>
          <w:noProof/>
        </w:rPr>
        <w:t>)</w:t>
      </w:r>
      <w:r w:rsidR="00AA6B9B" w:rsidRPr="00C25964">
        <w:rPr>
          <w:rStyle w:val="FootnoteReference0"/>
          <w:noProof/>
        </w:rPr>
        <w:footnoteReference w:id="15"/>
      </w:r>
      <w:r w:rsidR="00AA6B9B" w:rsidRPr="00C25964">
        <w:rPr>
          <w:noProof/>
        </w:rPr>
        <w:t>, där det framhålls att barn och unga kvinnor och män är viktiga drivkrafter för förändring, och bör ge ytterligare impulser till genomförandet av den agendan, vägen mot hållbar utveckling och ungdomars förmåga att forma framtiden, inte bara för unionen utan även för EU:s partnerländer och hela världen.</w:t>
      </w:r>
    </w:p>
    <w:p w14:paraId="52D22875" w14:textId="1A79AF23" w:rsidR="004A03FF" w:rsidRPr="00C25964" w:rsidDel="002D2BEF" w:rsidRDefault="00AD1692" w:rsidP="00AD1692">
      <w:pPr>
        <w:pStyle w:val="ManualConsidrant"/>
        <w:rPr>
          <w:rFonts w:eastAsia="Times"/>
          <w:noProof/>
        </w:rPr>
      </w:pPr>
      <w:r w:rsidRPr="00AD1692">
        <w:t>(9)</w:t>
      </w:r>
      <w:r w:rsidRPr="00AD1692">
        <w:tab/>
      </w:r>
      <w:r w:rsidR="004A03FF" w:rsidRPr="00C25964">
        <w:rPr>
          <w:noProof/>
        </w:rPr>
        <w:t>Europaåret bör bidra till att stärka ungdomars delaktighet när det gäller EU:s externa åtgärder inom alla politikområden, skapa nya möjligheter till utbildning och utbyten, partnerskap och dialog mellan ungdomar från EU och partnerländerna och öka ungdomarnas engagemang i strategisk kommunikation och offentlig diplomati.</w:t>
      </w:r>
    </w:p>
    <w:p w14:paraId="377C195B" w14:textId="711A569D" w:rsidR="00AA6B9B" w:rsidRPr="00C25964" w:rsidDel="002D2BEF" w:rsidRDefault="00AD1692" w:rsidP="00AD1692">
      <w:pPr>
        <w:pStyle w:val="ManualConsidrant"/>
        <w:rPr>
          <w:noProof/>
        </w:rPr>
      </w:pPr>
      <w:r w:rsidRPr="00AD1692">
        <w:t>(10)</w:t>
      </w:r>
      <w:r w:rsidRPr="00AD1692">
        <w:tab/>
      </w:r>
      <w:r w:rsidR="00AA6B9B" w:rsidRPr="00C25964">
        <w:rPr>
          <w:noProof/>
        </w:rPr>
        <w:t>De europeiska ungdomsmålen, som är en integrerad del av EU:s ungdomsstrategi och som har utformats av ungdomar för ungdomar inom ramen för EU:s ungdomsdialog</w:t>
      </w:r>
      <w:r w:rsidR="00AA6B9B" w:rsidRPr="00C25964">
        <w:rPr>
          <w:noProof/>
          <w:color w:val="000000" w:themeColor="text1"/>
        </w:rPr>
        <w:t xml:space="preserve">, </w:t>
      </w:r>
      <w:r w:rsidR="00AA6B9B" w:rsidRPr="00C25964">
        <w:rPr>
          <w:noProof/>
          <w:color w:val="000000" w:themeColor="text1"/>
          <w:shd w:val="clear" w:color="auto" w:fill="FFFFFF"/>
        </w:rPr>
        <w:t>vittnar om att många europeiska ungdomar gärna vill vara med och bestämma i vilken riktning Europeiska unionen bör utvecklas</w:t>
      </w:r>
      <w:r w:rsidR="00AA6B9B" w:rsidRPr="00C25964">
        <w:rPr>
          <w:noProof/>
          <w:color w:val="000000" w:themeColor="text1"/>
        </w:rPr>
        <w:t>.</w:t>
      </w:r>
      <w:r w:rsidR="00AA6B9B" w:rsidRPr="00C25964">
        <w:rPr>
          <w:noProof/>
        </w:rPr>
        <w:t xml:space="preserve"> </w:t>
      </w:r>
    </w:p>
    <w:p w14:paraId="2EE599B1" w14:textId="230E27D2" w:rsidR="00AA6B9B" w:rsidRPr="00C25964" w:rsidDel="002D2BEF" w:rsidRDefault="00AD1692" w:rsidP="00AD1692">
      <w:pPr>
        <w:pStyle w:val="ManualConsidrant"/>
        <w:rPr>
          <w:noProof/>
        </w:rPr>
      </w:pPr>
      <w:r w:rsidRPr="00AD1692">
        <w:t>(11)</w:t>
      </w:r>
      <w:r w:rsidRPr="00AD1692">
        <w:tab/>
      </w:r>
      <w:r w:rsidR="00AA6B9B" w:rsidRPr="00C25964">
        <w:rPr>
          <w:noProof/>
        </w:rPr>
        <w:t>Europaåret för ungdomar bör främja genomförandet av den första principen i den europeiska pelaren för sociala rättigheter</w:t>
      </w:r>
      <w:r w:rsidR="00AA6B9B" w:rsidRPr="00C25964">
        <w:rPr>
          <w:rStyle w:val="FootnoteReference0"/>
          <w:noProof/>
        </w:rPr>
        <w:footnoteReference w:id="16"/>
      </w:r>
      <w:r w:rsidR="00AA6B9B" w:rsidRPr="00C25964">
        <w:rPr>
          <w:noProof/>
        </w:rPr>
        <w:t xml:space="preserve">, där det framhålls att alla har ”rätt till god, inkluderande utbildning och livslångt lärande” och det europeiska området för utbildning, som syftar till att stimulera ungdomar i deras personliga, sociala och yrkesmässiga utveckling genom att det skapas ett verkligt europeiskt område för lärande senast 2025 där inkluderande utbildning av hög kvalitet för alla inte hindras av några gränser. </w:t>
      </w:r>
    </w:p>
    <w:p w14:paraId="3945E8C7" w14:textId="6FA83535" w:rsidR="00AA6B9B" w:rsidRPr="00C25964" w:rsidDel="002D2BEF" w:rsidRDefault="00AD1692" w:rsidP="00AD1692">
      <w:pPr>
        <w:pStyle w:val="ManualConsidrant"/>
        <w:rPr>
          <w:noProof/>
          <w:sz w:val="22"/>
        </w:rPr>
      </w:pPr>
      <w:r w:rsidRPr="00AD1692">
        <w:t>(12)</w:t>
      </w:r>
      <w:r w:rsidRPr="00AD1692">
        <w:tab/>
      </w:r>
      <w:r w:rsidR="00AA6B9B" w:rsidRPr="00C25964">
        <w:rPr>
          <w:noProof/>
        </w:rPr>
        <w:t xml:space="preserve">Europaåret för ungdomar bör stödja unionens insatser för att öka sysselsättningsmöjligheterna för ungdomar under återhämtningen efter pandemin i enlighet med </w:t>
      </w:r>
      <w:hyperlink r:id="rId15" w:history="1">
        <w:r w:rsidR="00AA6B9B" w:rsidRPr="00C25964">
          <w:rPr>
            <w:bCs/>
            <w:noProof/>
            <w:color w:val="000000"/>
            <w:u w:val="single"/>
          </w:rPr>
          <w:t>Europaparlamentets resolution om ungdomsgarantin</w:t>
        </w:r>
      </w:hyperlink>
      <w:r w:rsidR="00AA6B9B" w:rsidRPr="00C25964">
        <w:rPr>
          <w:noProof/>
        </w:rPr>
        <w:t xml:space="preserve"> (</w:t>
      </w:r>
      <w:hyperlink r:id="rId16" w:history="1">
        <w:r w:rsidR="00AA6B9B" w:rsidRPr="00C25964">
          <w:rPr>
            <w:noProof/>
            <w:color w:val="000000"/>
            <w:u w:val="single"/>
          </w:rPr>
          <w:t>2020/2764 (RSP)</w:t>
        </w:r>
      </w:hyperlink>
      <w:r w:rsidR="00AA6B9B" w:rsidRPr="00C25964">
        <w:rPr>
          <w:noProof/>
        </w:rPr>
        <w:t>)</w:t>
      </w:r>
      <w:r w:rsidR="00AA6B9B" w:rsidRPr="00C25964">
        <w:rPr>
          <w:rStyle w:val="FootnoteReference0"/>
          <w:noProof/>
        </w:rPr>
        <w:footnoteReference w:id="17"/>
      </w:r>
      <w:r w:rsidR="00AA6B9B" w:rsidRPr="00C25964">
        <w:rPr>
          <w:noProof/>
        </w:rPr>
        <w:t xml:space="preserve">, där det betonas att isoleringsåtgärderna har orsakat ett plötsligt avbrott i ungdomars formella och informella utbildning och i fråga om traineeplatser, praktikplatser och lärlingsplatser samt arbetstillfällen, vilket har påverkat deras inkomst, inkomstpotential och välbefinnande, inbegripet deras hälsa och framför allt deras psykiska hälsa. </w:t>
      </w:r>
    </w:p>
    <w:p w14:paraId="49FFED17" w14:textId="29A6661D" w:rsidR="00AA6B9B" w:rsidRPr="00C25964" w:rsidDel="002D2BEF" w:rsidRDefault="00AD1692" w:rsidP="00AD1692">
      <w:pPr>
        <w:pStyle w:val="ManualConsidrant"/>
        <w:rPr>
          <w:rFonts w:eastAsia="Calibri"/>
          <w:noProof/>
        </w:rPr>
      </w:pPr>
      <w:r w:rsidRPr="00AD1692">
        <w:t>(13)</w:t>
      </w:r>
      <w:r w:rsidRPr="00AD1692">
        <w:tab/>
      </w:r>
      <w:r w:rsidR="00AA6B9B" w:rsidRPr="00C25964">
        <w:rPr>
          <w:noProof/>
        </w:rPr>
        <w:t>Europaåret för ungdomar bör ge ytterligare impulser till skapandet av arbetstillfällen av hög kvalitet för ungdomar inom ramen för initiativet för ungdomssysselsättningsstöd, inbegripet den förstärkta ungdomsgarantin</w:t>
      </w:r>
      <w:r w:rsidR="00AA6B9B" w:rsidRPr="00C25964">
        <w:rPr>
          <w:rStyle w:val="FootnoteReference0"/>
          <w:noProof/>
        </w:rPr>
        <w:footnoteReference w:id="18"/>
      </w:r>
      <w:r w:rsidR="00AA6B9B" w:rsidRPr="00C25964">
        <w:rPr>
          <w:noProof/>
        </w:rPr>
        <w:t xml:space="preserve"> och inom ramen för Alma-initiativet (Aim, Learn, Master, Achieve) som ska genomföras inom ramen för Europeiska socialfonden+. Alma bör vara ett gränsöverskridande mobilitetsprogram för mindre gynnade ungdomar som varken arbetar eller studerar för att få yrkeserfarenhet utomlands tillsammans med sociala tjänster i syfte att ge dessa ungdomar, bland annat från landsbygdsområden, randområden och mindre utvecklade regioner, utbildning eller sysselsättning av god kvalitet.  </w:t>
      </w:r>
    </w:p>
    <w:p w14:paraId="7A375A2D" w14:textId="040407A8" w:rsidR="00AA6B9B" w:rsidRPr="00C25964" w:rsidDel="002D2BEF" w:rsidRDefault="00AD1692" w:rsidP="00AD1692">
      <w:pPr>
        <w:pStyle w:val="ManualConsidrant"/>
        <w:rPr>
          <w:noProof/>
          <w:sz w:val="22"/>
        </w:rPr>
      </w:pPr>
      <w:r w:rsidRPr="00AD1692">
        <w:t>(14)</w:t>
      </w:r>
      <w:r w:rsidRPr="00AD1692">
        <w:tab/>
      </w:r>
      <w:r w:rsidR="00AA6B9B" w:rsidRPr="00C25964">
        <w:rPr>
          <w:noProof/>
        </w:rPr>
        <w:t>Europaparlamentet understryker i sin resolution om hur covid-19 påverkar ungdomar och idrott (2020/2864 (RSP))</w:t>
      </w:r>
      <w:r w:rsidR="00AA6B9B" w:rsidRPr="00C25964">
        <w:rPr>
          <w:rStyle w:val="FootnoteReference0"/>
          <w:noProof/>
        </w:rPr>
        <w:footnoteReference w:id="19"/>
      </w:r>
      <w:r w:rsidR="00AA6B9B" w:rsidRPr="00C25964">
        <w:rPr>
          <w:noProof/>
        </w:rPr>
        <w:t xml:space="preserve"> de särskilt kännbara följder som den pågående pandemin har haft för unga som varken arbetar eller studerar och framhäver behovet av att man behöver åtgärda de problem som ungdomar från utsatta grupper ställs inför. Europaparlamentet konstaterar att ungdomsarbetslösheten och fattigdomen stadigt har ökat sedan pandemin bröt ut och uppmanar kommissionen och medlemsstaterna att vidta alla nödvändiga åtgärder för att motverka de förödande följderna för ungdomssysselsättningen. Resolutionen påminner om den roll som frivilligarbete spelar för utvecklingen av ungdomars livskunskap och arbetsfärdigheter och anser att den europeiska solidaritetskåren kan hjälpa europeiska ungdomar att bredda sina möjligheter bortom den lokala nivån. </w:t>
      </w:r>
    </w:p>
    <w:p w14:paraId="388B73D9" w14:textId="7CD149AA" w:rsidR="00AA6B9B" w:rsidRPr="00C25964" w:rsidDel="002D2BEF" w:rsidRDefault="00AD1692" w:rsidP="00AD1692">
      <w:pPr>
        <w:pStyle w:val="ManualConsidrant"/>
        <w:rPr>
          <w:noProof/>
        </w:rPr>
      </w:pPr>
      <w:r w:rsidRPr="00AD1692">
        <w:t>(15)</w:t>
      </w:r>
      <w:r w:rsidRPr="00AD1692">
        <w:tab/>
      </w:r>
      <w:r w:rsidR="00AA6B9B" w:rsidRPr="00C25964">
        <w:rPr>
          <w:noProof/>
        </w:rPr>
        <w:t>Europaåret för ungdomar bör stödja genomförandet av rådets resolution av den 1 december 2020 för inrättandet av en europeisk agenda för ungdomsarbete</w:t>
      </w:r>
      <w:r w:rsidR="00AA6B9B" w:rsidRPr="00C25964">
        <w:rPr>
          <w:rStyle w:val="FootnoteReference0"/>
          <w:noProof/>
        </w:rPr>
        <w:footnoteReference w:id="20"/>
      </w:r>
      <w:r w:rsidR="00AA6B9B" w:rsidRPr="00C25964">
        <w:rPr>
          <w:noProof/>
        </w:rPr>
        <w:t xml:space="preserve"> och rådets slutsatser av den 22 maj 2019 om ungdomar och arbetets framtid</w:t>
      </w:r>
      <w:r w:rsidR="00AA6B9B" w:rsidRPr="00C25964">
        <w:rPr>
          <w:rStyle w:val="FootnoteReference0"/>
          <w:noProof/>
        </w:rPr>
        <w:footnoteReference w:id="21"/>
      </w:r>
      <w:r w:rsidR="00AA6B9B" w:rsidRPr="00C25964">
        <w:rPr>
          <w:noProof/>
        </w:rPr>
        <w:t>, av den 10 december 2019 om digitalt ungdomsarbete</w:t>
      </w:r>
      <w:r w:rsidR="00AA6B9B" w:rsidRPr="00C25964">
        <w:rPr>
          <w:rStyle w:val="FootnoteReference0"/>
          <w:noProof/>
        </w:rPr>
        <w:footnoteReference w:id="22"/>
      </w:r>
      <w:r w:rsidR="00AA6B9B" w:rsidRPr="00C25964">
        <w:rPr>
          <w:noProof/>
        </w:rPr>
        <w:t xml:space="preserve"> och av den 7 december 2017 om smart ungdomsarbete</w:t>
      </w:r>
      <w:r w:rsidR="00AA6B9B" w:rsidRPr="00C25964">
        <w:rPr>
          <w:rStyle w:val="FootnoteReference0"/>
          <w:noProof/>
        </w:rPr>
        <w:footnoteReference w:id="23"/>
      </w:r>
      <w:r w:rsidR="00AA6B9B" w:rsidRPr="00C25964">
        <w:rPr>
          <w:noProof/>
        </w:rPr>
        <w:t xml:space="preserve">. </w:t>
      </w:r>
    </w:p>
    <w:p w14:paraId="58E81D47" w14:textId="6F8FDAFF" w:rsidR="00AA6B9B" w:rsidRPr="00C25964" w:rsidDel="002D2BEF" w:rsidRDefault="00AD1692" w:rsidP="00AD1692">
      <w:pPr>
        <w:pStyle w:val="ManualConsidrant"/>
        <w:rPr>
          <w:rFonts w:eastAsiaTheme="minorEastAsia"/>
          <w:noProof/>
          <w:szCs w:val="24"/>
        </w:rPr>
      </w:pPr>
      <w:r w:rsidRPr="00AD1692">
        <w:t>(16)</w:t>
      </w:r>
      <w:r w:rsidRPr="00AD1692">
        <w:tab/>
      </w:r>
      <w:r w:rsidR="00AA6B9B" w:rsidRPr="00C25964">
        <w:rPr>
          <w:noProof/>
        </w:rPr>
        <w:t>För att lyfta fram vikten av klimat- och miljöarbetet i linje med unionens åtagande att genomföra Parisavtalet</w:t>
      </w:r>
      <w:r w:rsidR="00AA6B9B" w:rsidRPr="00C25964">
        <w:rPr>
          <w:rStyle w:val="FootnoteReference0"/>
          <w:noProof/>
        </w:rPr>
        <w:footnoteReference w:id="24"/>
      </w:r>
      <w:r w:rsidR="00AA6B9B" w:rsidRPr="00C25964">
        <w:rPr>
          <w:noProof/>
        </w:rPr>
        <w:t xml:space="preserve"> och uppnå FN:s mål för hållbar utveckling bör Europaåret för ungdomar bidra till att integrera klimat- och miljöåtgärder och till att genomföra den europeiska gröna given</w:t>
      </w:r>
      <w:r w:rsidR="00AA6B9B" w:rsidRPr="00C25964">
        <w:rPr>
          <w:rStyle w:val="FootnoteReference0"/>
          <w:noProof/>
        </w:rPr>
        <w:footnoteReference w:id="25"/>
      </w:r>
      <w:r w:rsidR="00AA6B9B" w:rsidRPr="00C25964">
        <w:rPr>
          <w:noProof/>
        </w:rPr>
        <w:t xml:space="preserve"> på ett rättvist och inkluderande sätt, liksom uppdragen i Horisont Europa och 55 %-paketet</w:t>
      </w:r>
      <w:r w:rsidR="00AA6B9B" w:rsidRPr="00C25964">
        <w:rPr>
          <w:rStyle w:val="FootnoteReference0"/>
          <w:noProof/>
        </w:rPr>
        <w:footnoteReference w:id="26"/>
      </w:r>
      <w:r w:rsidR="00AA6B9B" w:rsidRPr="00C25964">
        <w:rPr>
          <w:noProof/>
        </w:rPr>
        <w:t>, särskilt genom att uppmuntra ungdomar att formulera egna initiativ och kreativa idéer om hur de relevanta målen kan uppnås.</w:t>
      </w:r>
    </w:p>
    <w:p w14:paraId="5BB817A4" w14:textId="7AF3A1B7" w:rsidR="00AA6B9B" w:rsidRPr="00C25964" w:rsidDel="002D2BEF" w:rsidRDefault="00AD1692" w:rsidP="00AD1692">
      <w:pPr>
        <w:pStyle w:val="ManualConsidrant"/>
        <w:rPr>
          <w:noProof/>
          <w:sz w:val="22"/>
        </w:rPr>
      </w:pPr>
      <w:r w:rsidRPr="00AD1692">
        <w:t>(17)</w:t>
      </w:r>
      <w:r w:rsidRPr="00AD1692">
        <w:tab/>
      </w:r>
      <w:r w:rsidR="00AA6B9B" w:rsidRPr="00C25964">
        <w:rPr>
          <w:noProof/>
        </w:rPr>
        <w:t>Europaåret för ungdomar bör ge ytterligare drivkraft till Europaparlamentets resolution om effektiva åtgärder för att göra Erasmus+, Kreativa Europa och Europeiska solidaritetskåren (2019/2195 (INI))</w:t>
      </w:r>
      <w:r w:rsidR="00AA6B9B" w:rsidRPr="00C25964">
        <w:rPr>
          <w:rStyle w:val="FootnoteReference0"/>
          <w:noProof/>
        </w:rPr>
        <w:footnoteReference w:id="27"/>
      </w:r>
      <w:r w:rsidR="00AA6B9B" w:rsidRPr="00C25964">
        <w:rPr>
          <w:noProof/>
        </w:rPr>
        <w:t xml:space="preserve"> grönare, där det understryks att Erasmus+, genom sitt stöd till formell och icke-formell utbildning och ungdomsverksamhet, är avgörande för att öka medvetenheten bland européer, särskilt bland de yngre generationerna, och uppmuntra dem till en aktiv inställning och välunderbyggda åsikter när det gäller hållbarhet och relevant politik för att utvecklas till engagerade och medvetna medborgare i framtiden. Parlamentet framhåller i detta sammanhang vilken viktig roll ungdoms- och civilsamhällesorganisationer har vid utbyte av bästa praxis och genomförande av projekt så att de yngre generationerna blir mer medvetna om hållbarhet. </w:t>
      </w:r>
    </w:p>
    <w:p w14:paraId="406FC92B" w14:textId="2EEAA61E" w:rsidR="00AA6B9B" w:rsidRPr="00C25964" w:rsidDel="002D2BEF" w:rsidRDefault="00AD1692" w:rsidP="00AD1692">
      <w:pPr>
        <w:pStyle w:val="ManualConsidrant"/>
        <w:rPr>
          <w:rFonts w:asciiTheme="minorHAnsi" w:eastAsiaTheme="minorEastAsia" w:hAnsiTheme="minorHAnsi" w:cstheme="minorBidi"/>
          <w:noProof/>
          <w:szCs w:val="24"/>
        </w:rPr>
      </w:pPr>
      <w:r w:rsidRPr="00AD1692">
        <w:t>(18)</w:t>
      </w:r>
      <w:r w:rsidRPr="00AD1692">
        <w:tab/>
      </w:r>
      <w:r w:rsidR="00AA6B9B" w:rsidRPr="00C25964">
        <w:rPr>
          <w:noProof/>
        </w:rPr>
        <w:t xml:space="preserve">I sitt tal om tillståndet i Europeiska unionen betonade kommissionens ordförande Ursula von der Leyen att Europa behöver alla sina ungdomar. För att uppnå sina mål bör Europaåret vara helt inkluderande och aktivt främja deltagande av personer med begränsade möjligheter. </w:t>
      </w:r>
    </w:p>
    <w:p w14:paraId="1B854141" w14:textId="50E65228" w:rsidR="00AA6B9B" w:rsidRPr="00C25964" w:rsidDel="002D2BEF" w:rsidRDefault="00AD1692" w:rsidP="00AD1692">
      <w:pPr>
        <w:pStyle w:val="ManualConsidrant"/>
        <w:rPr>
          <w:noProof/>
        </w:rPr>
      </w:pPr>
      <w:r w:rsidRPr="00AD1692">
        <w:t>(19)</w:t>
      </w:r>
      <w:r w:rsidRPr="00AD1692">
        <w:tab/>
      </w:r>
      <w:r w:rsidR="00AA6B9B" w:rsidRPr="00C25964">
        <w:rPr>
          <w:noProof/>
        </w:rPr>
        <w:t>Europaåret för ungdomar är fast förankrat i de principer som erkänns i Europeiska unionens stadga om de grundläggande rättigheterna (</w:t>
      </w:r>
      <w:r w:rsidR="00AA6B9B" w:rsidRPr="00C25964">
        <w:rPr>
          <w:i/>
          <w:iCs/>
          <w:noProof/>
        </w:rPr>
        <w:t>stadgan</w:t>
      </w:r>
      <w:r w:rsidR="00AA6B9B" w:rsidRPr="00C25964">
        <w:rPr>
          <w:noProof/>
        </w:rPr>
        <w:t>)</w:t>
      </w:r>
      <w:r w:rsidR="00AA6B9B" w:rsidRPr="00C25964">
        <w:rPr>
          <w:rStyle w:val="FootnoteReference0"/>
          <w:noProof/>
        </w:rPr>
        <w:footnoteReference w:id="28"/>
      </w:r>
      <w:r w:rsidR="00AA6B9B" w:rsidRPr="00C25964">
        <w:rPr>
          <w:noProof/>
        </w:rPr>
        <w:t>. Insatserna och verksamheten inom ramen för Europaåret för ungdomar bör särskilt säkerställa full respekt för rätten till jämställdhet mellan kvinnor och män och rätten att inte diskrimineras på grund av kön, ras eller etniskt ursprung, religion eller övertygelse, funktionshinder, ålder eller sexuell läggning samt främja tillämpningen av stadgan. EU:s strategi för barnets rättigheter</w:t>
      </w:r>
      <w:r w:rsidR="00AA6B9B" w:rsidRPr="00C25964">
        <w:rPr>
          <w:rStyle w:val="FootnoteReference0"/>
          <w:noProof/>
        </w:rPr>
        <w:footnoteReference w:id="29"/>
      </w:r>
      <w:r w:rsidR="00AA6B9B" w:rsidRPr="00C25964">
        <w:rPr>
          <w:noProof/>
        </w:rPr>
        <w:t xml:space="preserve"> och den europeiska barngarantin</w:t>
      </w:r>
      <w:r w:rsidR="00AA6B9B" w:rsidRPr="00C25964">
        <w:rPr>
          <w:rStyle w:val="FootnoteReference0"/>
          <w:noProof/>
        </w:rPr>
        <w:footnoteReference w:id="30"/>
      </w:r>
      <w:r w:rsidR="00AA6B9B" w:rsidRPr="00C25964">
        <w:rPr>
          <w:noProof/>
        </w:rPr>
        <w:t xml:space="preserve"> fastställer en ny standard för barns och ungdomars representation och erkänner barn och ungdomar som aktiva medborgare som driver på förändring.</w:t>
      </w:r>
    </w:p>
    <w:p w14:paraId="62250ACA" w14:textId="1F3BB6F3" w:rsidR="00AA6B9B" w:rsidRPr="00C25964" w:rsidDel="002D2BEF" w:rsidRDefault="00AD1692" w:rsidP="00AD1692">
      <w:pPr>
        <w:pStyle w:val="ManualConsidrant"/>
        <w:rPr>
          <w:noProof/>
        </w:rPr>
      </w:pPr>
      <w:r w:rsidRPr="00AD1692">
        <w:t>(20)</w:t>
      </w:r>
      <w:r w:rsidRPr="00AD1692">
        <w:tab/>
      </w:r>
      <w:r w:rsidR="00AA6B9B" w:rsidRPr="00C25964">
        <w:rPr>
          <w:noProof/>
        </w:rPr>
        <w:t>För att säkerställa ett effektivt och ändamålsenligt genomförande av Europaåret för ungdomar bör man i största möjliga mån använda befintliga genomförandemekanismer. För att optimera Europaårets mervärde bör synergieffekter och komplementaritet eftersträvas, i synnerhet mellan Europaåret och unionsprogrammen, inbegripet program med internationell utåtriktad verksamhet som särskilt riktar sig till ungdomar, sådana som inte har en transnationell eller internationell karaktär, särskilt sådana program som rör utbildning, idrott, kultur och medier, ungdom och solidaritet, volontärarbete, sysselsättning och social inkludering, forskning och innovation, industri och företagande, digital politik, jordbruk och landsbygdsutveckling som fokuserar på unga jordbrukare, miljö och klimat, sammanhållningspolitik, migration, säkerhet och internationellt samarbete och utveckling, samt med medlemsstaternas verksamhet.</w:t>
      </w:r>
    </w:p>
    <w:p w14:paraId="421BDFB8" w14:textId="164CE6B7" w:rsidR="00AA6B9B" w:rsidRPr="00C25964" w:rsidDel="002D2BEF" w:rsidRDefault="00AD1692" w:rsidP="00AD1692">
      <w:pPr>
        <w:pStyle w:val="ManualConsidrant"/>
        <w:rPr>
          <w:noProof/>
        </w:rPr>
      </w:pPr>
      <w:r w:rsidRPr="00AD1692">
        <w:t>(21)</w:t>
      </w:r>
      <w:r w:rsidRPr="00AD1692">
        <w:tab/>
      </w:r>
      <w:r w:rsidR="00AA6B9B" w:rsidRPr="00C25964">
        <w:rPr>
          <w:noProof/>
        </w:rPr>
        <w:t xml:space="preserve">Genom att skapa en miljö som främjar dessa syften samtidigt på unionsnivå, regional och lokal nivå kan starkare synergieffekter och effektivare resursanvändning uppnås. I det avseendet bör kommissionen i tid informera och föra ett nära samarbete med Europaparlamentet, rådet och medlemsstaterna, Regionkommittén, Europeiska ekonomiska och sociala kommittén och de organ och sammanslutningar som är verksamma på ungdomsområdet på unionsnivå. I syfte att säkerställa att de aktiviteter som utarbetats för Europaåret för ungdomar har en europeisk dimension uppmuntras även medlemsstaterna att samarbeta med varandra. </w:t>
      </w:r>
    </w:p>
    <w:p w14:paraId="426264BE" w14:textId="50EC5A31" w:rsidR="00AA6B9B" w:rsidRPr="00C25964" w:rsidDel="002D2BEF" w:rsidRDefault="00AD1692" w:rsidP="00AD1692">
      <w:pPr>
        <w:pStyle w:val="ManualConsidrant"/>
        <w:rPr>
          <w:rFonts w:asciiTheme="minorHAnsi" w:eastAsiaTheme="minorEastAsia" w:hAnsiTheme="minorHAnsi" w:cstheme="minorBidi"/>
          <w:noProof/>
          <w:szCs w:val="24"/>
        </w:rPr>
      </w:pPr>
      <w:r w:rsidRPr="00AD1692">
        <w:t>(22)</w:t>
      </w:r>
      <w:r w:rsidRPr="00AD1692">
        <w:tab/>
      </w:r>
      <w:r w:rsidR="00AA6B9B" w:rsidRPr="00C25964">
        <w:rPr>
          <w:noProof/>
        </w:rPr>
        <w:t>Europaåret för ungdomar bör också fokusera på insatser och aktiviteter som kan ge ett europeiskt mervärde. Begreppet europeiskt mervärde ska tolkas brett och visas på olika sätt, t.ex. när åtgärder eller verksamheter har en gränsöverskridande karaktär, särskilt när det gäller samarbete som syftar till att uppnå en hållbar systemeffekt eller bidra till ungdomars europeiska identitet, medvetenhet om och ansvarstagande för europeiska gemensamma värden och grundläggande rättigheter samt förmåga att delta i unionens representativa och deltagande demokrati.</w:t>
      </w:r>
    </w:p>
    <w:p w14:paraId="53BFB120" w14:textId="1860B429" w:rsidR="00AA6B9B" w:rsidRPr="00C25964" w:rsidDel="002D2BEF" w:rsidRDefault="00AD1692" w:rsidP="00AD1692">
      <w:pPr>
        <w:pStyle w:val="ManualConsidrant"/>
        <w:rPr>
          <w:rFonts w:eastAsiaTheme="minorEastAsia"/>
          <w:noProof/>
          <w:szCs w:val="24"/>
        </w:rPr>
      </w:pPr>
      <w:r w:rsidRPr="00AD1692">
        <w:t>(23)</w:t>
      </w:r>
      <w:r w:rsidRPr="00AD1692">
        <w:tab/>
      </w:r>
      <w:r w:rsidR="00AA6B9B" w:rsidRPr="00C25964">
        <w:rPr>
          <w:noProof/>
        </w:rPr>
        <w:t xml:space="preserve">På unionsnivå fastställs de finansiella anslag som är nödvändiga för genomförandet av detta beslut inom ramen för budgeten för de bidragande programmen i enlighet med den fleråriga budgetramen 2021–2027. Utan att det påverkar budgetmyndighetens befogenheter bör målet vara att tillhandahålla minst åtta miljoner euro för att finansiera genomförandet av detta beslut. Under förutsättning att medel finns tillgängliga bör den verksamhet som stöder Europaåret för ungdomar medfinansieras från unionens budget i enlighet med de regler som gäller för de relevanta programmen, särskilt Erasmus+ och den europeiska solidaritetskåren och, i förekommande fall, andra unionsprogram. </w:t>
      </w:r>
    </w:p>
    <w:p w14:paraId="7BFB0C3C" w14:textId="79CF14DF" w:rsidR="00AA6B9B" w:rsidRPr="00C25964" w:rsidDel="002D2BEF" w:rsidRDefault="00AD1692" w:rsidP="00AD1692">
      <w:pPr>
        <w:pStyle w:val="ManualConsidrant"/>
        <w:rPr>
          <w:noProof/>
        </w:rPr>
      </w:pPr>
      <w:r w:rsidRPr="00AD1692">
        <w:t>(24)</w:t>
      </w:r>
      <w:r w:rsidRPr="00AD1692">
        <w:tab/>
      </w:r>
      <w:r w:rsidR="00AA6B9B" w:rsidRPr="00C25964">
        <w:rPr>
          <w:noProof/>
        </w:rPr>
        <w:t>Eftersom målen för detta beslut inte i tillräcklig utsträckning kan uppnås av medlemsstaterna utan snarare, på grund av den föreslagna åtgärdens omfattning och effekt, bättre kan uppnås på unionsnivå kan unionen vidta åtgärder i enlighet med subsidiaritetsprincipen i artikel 5 i EU-fördraget. I enlighet med proportionalitetsprincipen i samma artikel går detta beslut inte utöver vad som är nödvändigt för att uppnå dessa mål.</w:t>
      </w:r>
    </w:p>
    <w:p w14:paraId="69116469" w14:textId="346DF7FB" w:rsidR="00AA6B9B" w:rsidRPr="00C25964" w:rsidRDefault="00AD1692" w:rsidP="00AD1692">
      <w:pPr>
        <w:pStyle w:val="ManualConsidrant"/>
        <w:rPr>
          <w:noProof/>
        </w:rPr>
      </w:pPr>
      <w:r w:rsidRPr="00AD1692">
        <w:t>(25)</w:t>
      </w:r>
      <w:r w:rsidRPr="00AD1692">
        <w:tab/>
      </w:r>
      <w:r w:rsidR="00AA6B9B" w:rsidRPr="00C25964">
        <w:rPr>
          <w:noProof/>
        </w:rPr>
        <w:t>Med beaktande av covid-19-pandemins konsekvenser för ungdomar och det följaktligen brådskande behovet av att under detta Europaår arbeta för att uppmärksamma, stödja och involvera ungdomarna efter pandemin, är det lämpligt att föreskriva ett undantag från den åttaveckorsperiod som avses i artikel 4 i protokoll nr 1 om de nationella parlamentens roll i Europeiska unionen, fogat till fördraget om Europeiska unionen, fördraget om Europeiska unionens funktionssätt och fördraget om upprättandet av Europeiska atomenergigemenskapen.</w:t>
      </w:r>
    </w:p>
    <w:p w14:paraId="4952C4EB" w14:textId="54BB6712" w:rsidR="003C7C95" w:rsidRPr="00C25964" w:rsidRDefault="00AD1692" w:rsidP="00AD1692">
      <w:pPr>
        <w:pStyle w:val="ManualConsidrant"/>
        <w:rPr>
          <w:noProof/>
        </w:rPr>
      </w:pPr>
      <w:r w:rsidRPr="00AD1692">
        <w:t>(26)</w:t>
      </w:r>
      <w:r w:rsidRPr="00AD1692">
        <w:tab/>
      </w:r>
      <w:r w:rsidR="003C7C95" w:rsidRPr="00C25964">
        <w:rPr>
          <w:noProof/>
        </w:rPr>
        <w:t xml:space="preserve">För att säkerställa ett snabbt genomförande av Europaåret för ungdomar bör detta beslut av brådskande skäl träda i kraft dagen efter det att det har offentliggjorts i </w:t>
      </w:r>
      <w:r w:rsidR="003C7C95" w:rsidRPr="00C25964">
        <w:rPr>
          <w:i/>
          <w:noProof/>
        </w:rPr>
        <w:t>Europeiska unionens officiella tidning</w:t>
      </w:r>
      <w:r w:rsidR="003C7C95" w:rsidRPr="00C25964">
        <w:rPr>
          <w:noProof/>
        </w:rPr>
        <w:t>.</w:t>
      </w:r>
    </w:p>
    <w:p w14:paraId="5B4611D8" w14:textId="77777777" w:rsidR="00AA6B9B" w:rsidRPr="00C25964" w:rsidRDefault="00AA6B9B" w:rsidP="00766970">
      <w:pPr>
        <w:pStyle w:val="Formuledadoption"/>
        <w:rPr>
          <w:noProof/>
        </w:rPr>
      </w:pPr>
      <w:r w:rsidRPr="00C25964">
        <w:rPr>
          <w:noProof/>
        </w:rPr>
        <w:t xml:space="preserve">HÄRIGENOM FÖRESKRIVS FÖLJANDE. </w:t>
      </w:r>
    </w:p>
    <w:p w14:paraId="2A27756B" w14:textId="77777777" w:rsidR="00AA6B9B" w:rsidRPr="00C25964" w:rsidRDefault="00AA6B9B" w:rsidP="00766970">
      <w:pPr>
        <w:pStyle w:val="Titrearticlef3"/>
        <w:rPr>
          <w:b/>
          <w:noProof/>
        </w:rPr>
      </w:pPr>
      <w:r w:rsidRPr="00C25964">
        <w:rPr>
          <w:b/>
          <w:noProof/>
        </w:rPr>
        <w:t>Artikel 1</w:t>
      </w:r>
      <w:r w:rsidRPr="00C25964">
        <w:rPr>
          <w:noProof/>
        </w:rPr>
        <w:t xml:space="preserve"> </w:t>
      </w:r>
      <w:r w:rsidRPr="00C25964">
        <w:rPr>
          <w:noProof/>
        </w:rPr>
        <w:br/>
      </w:r>
      <w:r w:rsidRPr="00C25964">
        <w:rPr>
          <w:b/>
          <w:noProof/>
        </w:rPr>
        <w:t>Innehåll</w:t>
      </w:r>
    </w:p>
    <w:p w14:paraId="46D05D91" w14:textId="77777777" w:rsidR="00AA6B9B" w:rsidRPr="00C25964" w:rsidRDefault="00AA6B9B" w:rsidP="00AA6B9B">
      <w:pPr>
        <w:rPr>
          <w:noProof/>
          <w:highlight w:val="yellow"/>
        </w:rPr>
      </w:pPr>
      <w:r w:rsidRPr="00C25964">
        <w:rPr>
          <w:noProof/>
        </w:rPr>
        <w:t>År 2022 ska utses till Europaåret för ungdomar 2022 (</w:t>
      </w:r>
      <w:r w:rsidRPr="00C25964">
        <w:rPr>
          <w:i/>
          <w:noProof/>
        </w:rPr>
        <w:t>Europaåret</w:t>
      </w:r>
      <w:r w:rsidRPr="00C25964">
        <w:rPr>
          <w:noProof/>
        </w:rPr>
        <w:t xml:space="preserve">). </w:t>
      </w:r>
    </w:p>
    <w:p w14:paraId="42A25965" w14:textId="77777777" w:rsidR="00AA6B9B" w:rsidRPr="00C25964" w:rsidRDefault="00AA6B9B" w:rsidP="00766970">
      <w:pPr>
        <w:pStyle w:val="Titrearticlef3"/>
        <w:rPr>
          <w:b/>
          <w:noProof/>
        </w:rPr>
      </w:pPr>
      <w:r w:rsidRPr="00C25964">
        <w:rPr>
          <w:b/>
          <w:noProof/>
        </w:rPr>
        <w:t>Artikel 2</w:t>
      </w:r>
      <w:r w:rsidRPr="00C25964">
        <w:rPr>
          <w:noProof/>
        </w:rPr>
        <w:t xml:space="preserve"> </w:t>
      </w:r>
      <w:r w:rsidRPr="00C25964">
        <w:rPr>
          <w:noProof/>
        </w:rPr>
        <w:br/>
      </w:r>
      <w:r w:rsidRPr="00C25964">
        <w:rPr>
          <w:b/>
          <w:noProof/>
        </w:rPr>
        <w:t>Mål</w:t>
      </w:r>
    </w:p>
    <w:p w14:paraId="694C49BC" w14:textId="77777777" w:rsidR="00AA6B9B" w:rsidRPr="00C25964" w:rsidRDefault="00AA6B9B" w:rsidP="00AA6B9B">
      <w:pPr>
        <w:shd w:val="clear" w:color="auto" w:fill="FFFFFF" w:themeFill="background1"/>
        <w:spacing w:before="0" w:after="0"/>
        <w:rPr>
          <w:rFonts w:eastAsia="Times New Roman"/>
          <w:noProof/>
          <w:szCs w:val="24"/>
        </w:rPr>
      </w:pPr>
      <w:r w:rsidRPr="00C25964">
        <w:rPr>
          <w:noProof/>
        </w:rPr>
        <w:t>I enlighet med målen i EU:s ungdomsstrategi 2019–2027 och de europeiska ungdomsmålen ska det övergripande målet med Europaåret vara att stärka unionens, medlemsstaternas och de regionala och lokala myndigheternas insatser för att uppmärksamma, stödja och samarbeta med ungdomar i en värld efter pandemin. Europaåret ska särskilt inriktas på följande:</w:t>
      </w:r>
    </w:p>
    <w:p w14:paraId="2EB5AD88" w14:textId="77777777" w:rsidR="00AA6B9B" w:rsidRPr="00C25964" w:rsidRDefault="00AA6B9B" w:rsidP="00AA6B9B">
      <w:pPr>
        <w:shd w:val="clear" w:color="auto" w:fill="FFFFFF" w:themeFill="background1"/>
        <w:spacing w:before="0" w:after="0"/>
        <w:ind w:left="720"/>
        <w:rPr>
          <w:rFonts w:eastAsia="Times New Roman"/>
          <w:noProof/>
          <w:szCs w:val="24"/>
          <w:highlight w:val="yellow"/>
        </w:rPr>
      </w:pPr>
      <w:r w:rsidRPr="00C25964">
        <w:rPr>
          <w:noProof/>
          <w:color w:val="000000" w:themeColor="text1"/>
          <w:szCs w:val="24"/>
        </w:rPr>
        <w:t xml:space="preserve"> </w:t>
      </w:r>
    </w:p>
    <w:p w14:paraId="0ACEF408" w14:textId="71AB53D1" w:rsidR="00AA6B9B" w:rsidRPr="00C25964" w:rsidRDefault="00AD1692" w:rsidP="00AD1692">
      <w:pPr>
        <w:pStyle w:val="ManualNumPar1"/>
        <w:rPr>
          <w:noProof/>
        </w:rPr>
      </w:pPr>
      <w:r w:rsidRPr="00AD1692">
        <w:t>1.</w:t>
      </w:r>
      <w:r w:rsidRPr="00AD1692">
        <w:tab/>
      </w:r>
      <w:r w:rsidR="00AA6B9B" w:rsidRPr="00C25964">
        <w:rPr>
          <w:noProof/>
        </w:rPr>
        <w:t xml:space="preserve">Belysa hur den gröna och den digitala omställningen ger nya framtidsutsikter och nya möjligheter att motverka pandemins negativa konsekvenser för ungdomar och samhället i stort, med inspiration från ungdomars aktivitet, visioner och insikter för att ytterligare stärka och blåsa nytt liv i Europeiska unionens gemensamma projekt och lyssna till ungdomarna, med beaktande av deras farhågor, och stödja dem när det gäller att utveckla konkreta och inkluderande möjligheter, samtidigt som unionens instrument utnyttjas optimalt. </w:t>
      </w:r>
    </w:p>
    <w:p w14:paraId="40747E2B" w14:textId="29F330FE" w:rsidR="00AA6B9B" w:rsidRPr="00C25964" w:rsidRDefault="00AD1692" w:rsidP="00AD1692">
      <w:pPr>
        <w:pStyle w:val="ManualNumPar1"/>
        <w:rPr>
          <w:noProof/>
        </w:rPr>
      </w:pPr>
      <w:r w:rsidRPr="00AD1692">
        <w:t>2.</w:t>
      </w:r>
      <w:r w:rsidRPr="00AD1692">
        <w:tab/>
      </w:r>
      <w:r w:rsidR="00AA6B9B" w:rsidRPr="00C25964">
        <w:rPr>
          <w:noProof/>
        </w:rPr>
        <w:t>Uppmuntra alla ungdomar, särskilt ungdomar med begränsade möjligheter och ungdomar från mindre gynnade förhållanden eller i utsatta grupper samt ungdomar från landsbygdsområden, randområden och mindre utvecklade regioner, att bli aktiva och engagerade medborgare och aktörer för förändring, inspirerade av en känsla av europeisk tillhörighet, inbegripet ytterligare insatser för att bygga upp kapaciteten när det gäller delaktighet och samhällsengagemang hos ungdomar och hos alla berörda parter som arbetar för att företräda deras intressen samt inkludera bidrag från ungdomar med olika bakgrund i viktiga samråd, såsom konferensen om Europas framtid.</w:t>
      </w:r>
    </w:p>
    <w:p w14:paraId="5019185A" w14:textId="1DC1AC14" w:rsidR="00AA6B9B" w:rsidRPr="00C25964" w:rsidRDefault="00AD1692" w:rsidP="00AD1692">
      <w:pPr>
        <w:pStyle w:val="ManualNumPar1"/>
        <w:rPr>
          <w:noProof/>
        </w:rPr>
      </w:pPr>
      <w:r w:rsidRPr="00AD1692">
        <w:t>3.</w:t>
      </w:r>
      <w:r w:rsidRPr="00AD1692">
        <w:tab/>
      </w:r>
      <w:r w:rsidR="00AA6B9B" w:rsidRPr="00C25964">
        <w:rPr>
          <w:noProof/>
        </w:rPr>
        <w:t>Främja de möjligheter ungdomar ges genom offentlig politik på EU-nivå och på nationell, regional och lokal nivå i syfte att stödja deras personliga, sociala och yrkesmässiga utveckling i en grön, digital och inkluderande värld.</w:t>
      </w:r>
    </w:p>
    <w:p w14:paraId="6DC821A3" w14:textId="77777777" w:rsidR="00AA6B9B" w:rsidRPr="00C25964" w:rsidRDefault="00AA6B9B" w:rsidP="00766970">
      <w:pPr>
        <w:pStyle w:val="Titrearticlef3"/>
        <w:rPr>
          <w:b/>
          <w:noProof/>
        </w:rPr>
      </w:pPr>
      <w:r w:rsidRPr="00C25964">
        <w:rPr>
          <w:b/>
          <w:noProof/>
        </w:rPr>
        <w:t>Artikel 3</w:t>
      </w:r>
      <w:r w:rsidRPr="00C25964">
        <w:rPr>
          <w:noProof/>
        </w:rPr>
        <w:t xml:space="preserve"> </w:t>
      </w:r>
      <w:r w:rsidRPr="00C25964">
        <w:rPr>
          <w:noProof/>
        </w:rPr>
        <w:br/>
      </w:r>
      <w:r w:rsidRPr="00C25964">
        <w:rPr>
          <w:b/>
          <w:noProof/>
        </w:rPr>
        <w:t>Typ av åtgärder</w:t>
      </w:r>
    </w:p>
    <w:p w14:paraId="31BF6E77" w14:textId="030CD12F" w:rsidR="00AA6B9B" w:rsidRPr="00C25964" w:rsidRDefault="00AD1692" w:rsidP="00AD1692">
      <w:pPr>
        <w:pStyle w:val="ManualNumPar1"/>
        <w:rPr>
          <w:noProof/>
        </w:rPr>
      </w:pPr>
      <w:r w:rsidRPr="00AD1692">
        <w:t>1.</w:t>
      </w:r>
      <w:r w:rsidRPr="00AD1692">
        <w:tab/>
      </w:r>
      <w:r w:rsidR="00AA6B9B" w:rsidRPr="00C25964">
        <w:rPr>
          <w:noProof/>
        </w:rPr>
        <w:t>De åtgärder som ska vidtas för att uppnå målen i artikel 2 i ska inbegripa följande typer av verksamhet på EU-nivå och på nationell, regional eller lokal nivå, och i relevanta fall i partnerländer, med koppling till målen för Europaåret:</w:t>
      </w:r>
    </w:p>
    <w:p w14:paraId="17FD95A3" w14:textId="07F5FD8D" w:rsidR="00AA6B9B" w:rsidRPr="00C25964" w:rsidRDefault="00AD1692" w:rsidP="00AD1692">
      <w:pPr>
        <w:pStyle w:val="Point1"/>
        <w:rPr>
          <w:rFonts w:asciiTheme="minorHAnsi" w:eastAsiaTheme="minorEastAsia" w:hAnsiTheme="minorHAnsi" w:cstheme="minorBidi"/>
          <w:noProof/>
        </w:rPr>
      </w:pPr>
      <w:r w:rsidRPr="00AD1692">
        <w:t>(a)</w:t>
      </w:r>
      <w:r w:rsidRPr="00AD1692">
        <w:tab/>
      </w:r>
      <w:r w:rsidR="00AA6B9B" w:rsidRPr="00C25964">
        <w:rPr>
          <w:noProof/>
        </w:rPr>
        <w:t>Konferenser, evenemang och initiativ för att främja en inkluderande och tillgänglig debatt om utmaningar, inbegripet de konsekvenser av covid-19-pandemin som ungdomar, inklusive ungdomar med begränsade möjligheter och ungdomar i utsatta grupper, ställs inför och om de åtgärder som aktörer på olika nivåer kan vidta.</w:t>
      </w:r>
    </w:p>
    <w:p w14:paraId="76624FD9" w14:textId="3F7BB5B0" w:rsidR="00AA6B9B" w:rsidRPr="00C25964" w:rsidRDefault="00AD1692" w:rsidP="00AD1692">
      <w:pPr>
        <w:pStyle w:val="Point1"/>
        <w:rPr>
          <w:noProof/>
        </w:rPr>
      </w:pPr>
      <w:r w:rsidRPr="00AD1692">
        <w:t>(b)</w:t>
      </w:r>
      <w:r w:rsidRPr="00AD1692">
        <w:tab/>
      </w:r>
      <w:r w:rsidR="00AA6B9B" w:rsidRPr="00C25964">
        <w:rPr>
          <w:noProof/>
        </w:rPr>
        <w:t xml:space="preserve">Främjande av ungdomars delaktighet och förbättrande av befintliga verktyg, kanaler och program som gör det möjligt för ungdomar att nå beslutsfattare genom att identifiera, samla in och dela med sig av erfarenheter och god praxis. </w:t>
      </w:r>
    </w:p>
    <w:p w14:paraId="349E3C88" w14:textId="461C1C6F" w:rsidR="00AA6B9B" w:rsidRPr="00C25964" w:rsidRDefault="00AD1692" w:rsidP="00AD1692">
      <w:pPr>
        <w:pStyle w:val="Point1"/>
        <w:rPr>
          <w:noProof/>
        </w:rPr>
      </w:pPr>
      <w:r w:rsidRPr="00AD1692">
        <w:t>(c)</w:t>
      </w:r>
      <w:r w:rsidRPr="00AD1692">
        <w:tab/>
      </w:r>
      <w:r w:rsidR="00AA6B9B" w:rsidRPr="00C25964">
        <w:rPr>
          <w:noProof/>
        </w:rPr>
        <w:t xml:space="preserve">Insamling av idéer med hjälp av delaktighetsbaserade metoder för att gemensamt utforma Europaåret. </w:t>
      </w:r>
    </w:p>
    <w:p w14:paraId="3584FB42" w14:textId="1138AB9B" w:rsidR="00AA6B9B" w:rsidRPr="00C25964" w:rsidRDefault="00AD1692" w:rsidP="00AD1692">
      <w:pPr>
        <w:pStyle w:val="Point1"/>
        <w:rPr>
          <w:noProof/>
        </w:rPr>
      </w:pPr>
      <w:r w:rsidRPr="00AD1692">
        <w:t>(d)</w:t>
      </w:r>
      <w:r w:rsidRPr="00AD1692">
        <w:tab/>
      </w:r>
      <w:r w:rsidR="00AA6B9B" w:rsidRPr="00C25964">
        <w:rPr>
          <w:noProof/>
        </w:rPr>
        <w:t xml:space="preserve">Informations-, utbildnings- och upplysningskampanjer för att förmedla värden såsom jämlikhet, solidaritet, frivilligarbete, känsla av tillhörighet och säkerhet, känsla av att bli hörda och respekterade, för att stimulera ungdomars aktiva bidrag till att bygga ett samhälle som är mer inkluderande, grönt och digitalt.  </w:t>
      </w:r>
    </w:p>
    <w:p w14:paraId="49A7E240" w14:textId="043570E5" w:rsidR="00AA6B9B" w:rsidRPr="00C25964" w:rsidRDefault="00AD1692" w:rsidP="00AD1692">
      <w:pPr>
        <w:pStyle w:val="Point1"/>
        <w:rPr>
          <w:noProof/>
        </w:rPr>
      </w:pPr>
      <w:r w:rsidRPr="00AD1692">
        <w:t>(e)</w:t>
      </w:r>
      <w:r w:rsidRPr="00AD1692">
        <w:tab/>
      </w:r>
      <w:r w:rsidR="00AA6B9B" w:rsidRPr="00C25964">
        <w:rPr>
          <w:noProof/>
        </w:rPr>
        <w:t>Skapande utrymme för utbyte när det gäller att omvandla utmaningar till möjligheter i en anda av entreprenörskap.</w:t>
      </w:r>
    </w:p>
    <w:p w14:paraId="489F91D5" w14:textId="01B47D3E" w:rsidR="00AA6B9B" w:rsidRPr="00C25964" w:rsidRDefault="00AD1692" w:rsidP="00AD1692">
      <w:pPr>
        <w:pStyle w:val="Point1"/>
        <w:rPr>
          <w:rFonts w:asciiTheme="minorHAnsi" w:eastAsiaTheme="minorEastAsia" w:hAnsiTheme="minorHAnsi" w:cstheme="minorBidi"/>
          <w:noProof/>
        </w:rPr>
      </w:pPr>
      <w:r w:rsidRPr="00AD1692">
        <w:t>(f)</w:t>
      </w:r>
      <w:r w:rsidRPr="00AD1692">
        <w:tab/>
      </w:r>
      <w:r w:rsidR="00AA6B9B" w:rsidRPr="00C25964">
        <w:rPr>
          <w:noProof/>
        </w:rPr>
        <w:t xml:space="preserve">Genomförande av studier och forskning om ungdomars situation i unionen, även genom att framställa harmoniserad europeisk statistik och använda den och annan EU-statistik, samt främja och sprida dessa resultat på europeisk, nationell eller regional nivå. </w:t>
      </w:r>
    </w:p>
    <w:p w14:paraId="2CAA7764" w14:textId="794C5DB9" w:rsidR="00AA6B9B" w:rsidRPr="00C25964" w:rsidRDefault="00AD1692" w:rsidP="00AD1692">
      <w:pPr>
        <w:pStyle w:val="Point1"/>
        <w:rPr>
          <w:noProof/>
        </w:rPr>
      </w:pPr>
      <w:r w:rsidRPr="00AD1692">
        <w:t>(g)</w:t>
      </w:r>
      <w:r w:rsidRPr="00AD1692">
        <w:tab/>
      </w:r>
      <w:r w:rsidR="00EC2CBD" w:rsidRPr="00C25964">
        <w:rPr>
          <w:noProof/>
        </w:rPr>
        <w:t>Främjande av program, finansieringsmöjligheter, projekt, åtgärder och nätverk som är relevanta för ungdomar, bland annat genom sociala medier och nätgemenskaper.</w:t>
      </w:r>
    </w:p>
    <w:p w14:paraId="22B2F718" w14:textId="09B4D497" w:rsidR="00AA6B9B" w:rsidRPr="00C25964" w:rsidRDefault="00AD1692" w:rsidP="00AD1692">
      <w:pPr>
        <w:pStyle w:val="ManualNumPar1"/>
        <w:rPr>
          <w:noProof/>
        </w:rPr>
      </w:pPr>
      <w:r w:rsidRPr="00AD1692">
        <w:t>2.</w:t>
      </w:r>
      <w:r w:rsidRPr="00AD1692">
        <w:tab/>
      </w:r>
      <w:r w:rsidR="00AA6B9B" w:rsidRPr="00C25964">
        <w:rPr>
          <w:noProof/>
        </w:rPr>
        <w:t>Kommissionen får identifiera annan verksamhet som kan bidra till Europaårets mål och tillåta att hänvisningar till Europaåret görs i marknadsföringen av denna verksamhet i den mån den bidrar till att uppnå dessa mål. EU:s institutioner och medlemsstaterna får också identifiera annan verksamhet och föreslå sådan verksamhet för kommissionen.</w:t>
      </w:r>
    </w:p>
    <w:p w14:paraId="46BE1D4C" w14:textId="77777777" w:rsidR="00AA6B9B" w:rsidRPr="00C25964" w:rsidRDefault="00AA6B9B" w:rsidP="00766970">
      <w:pPr>
        <w:pStyle w:val="Titrearticlef3"/>
        <w:rPr>
          <w:b/>
          <w:noProof/>
        </w:rPr>
      </w:pPr>
      <w:r w:rsidRPr="00C25964">
        <w:rPr>
          <w:b/>
          <w:noProof/>
        </w:rPr>
        <w:t>Artikel 4</w:t>
      </w:r>
      <w:r w:rsidRPr="00C25964">
        <w:rPr>
          <w:noProof/>
        </w:rPr>
        <w:t xml:space="preserve"> </w:t>
      </w:r>
      <w:r w:rsidRPr="00C25964">
        <w:rPr>
          <w:noProof/>
        </w:rPr>
        <w:br/>
      </w:r>
      <w:r w:rsidRPr="00C25964">
        <w:rPr>
          <w:b/>
          <w:noProof/>
        </w:rPr>
        <w:t>Samordning på nationell nivå</w:t>
      </w:r>
    </w:p>
    <w:p w14:paraId="0676D4B0" w14:textId="77777777" w:rsidR="00AA6B9B" w:rsidRPr="00C25964" w:rsidRDefault="00AA6B9B" w:rsidP="00AA6B9B">
      <w:pPr>
        <w:rPr>
          <w:noProof/>
        </w:rPr>
      </w:pPr>
      <w:r w:rsidRPr="00C25964">
        <w:rPr>
          <w:noProof/>
        </w:rPr>
        <w:t xml:space="preserve">Medlemsstaterna ska ha ansvar för organisationen av deltagandet i Europaåret på nationell nivå. Medlemsstaterna ska utse nationella samordnare för detta ändamål. De nationella samordnarna ska säkerställa att de relevanta aktiviteterna samordnas på nationell nivå. De ska också se till att ungdomar och det civila samhällets ungdomsorganisationer deltar aktivt i genomförandet av Europaårets verksamhet. </w:t>
      </w:r>
    </w:p>
    <w:p w14:paraId="17CA22E1" w14:textId="77777777" w:rsidR="00AA6B9B" w:rsidRPr="00C25964" w:rsidRDefault="00AA6B9B" w:rsidP="00766970">
      <w:pPr>
        <w:pStyle w:val="Titrearticlef3"/>
        <w:rPr>
          <w:b/>
          <w:noProof/>
        </w:rPr>
      </w:pPr>
      <w:r w:rsidRPr="00C25964">
        <w:rPr>
          <w:b/>
          <w:noProof/>
        </w:rPr>
        <w:t>Artikel 5</w:t>
      </w:r>
      <w:r w:rsidRPr="00C25964">
        <w:rPr>
          <w:noProof/>
        </w:rPr>
        <w:t xml:space="preserve"> </w:t>
      </w:r>
      <w:r w:rsidRPr="00C25964">
        <w:rPr>
          <w:noProof/>
        </w:rPr>
        <w:br/>
      </w:r>
      <w:r w:rsidRPr="00C25964">
        <w:rPr>
          <w:b/>
          <w:noProof/>
        </w:rPr>
        <w:t>Samordning på unionsnivå</w:t>
      </w:r>
    </w:p>
    <w:p w14:paraId="40A8DB65" w14:textId="77777777" w:rsidR="00AA6B9B" w:rsidRPr="00C25964" w:rsidRDefault="00AA6B9B" w:rsidP="00AA6B9B">
      <w:pPr>
        <w:shd w:val="clear" w:color="auto" w:fill="FFFFFF" w:themeFill="background1"/>
        <w:spacing w:before="0" w:after="0"/>
        <w:rPr>
          <w:rFonts w:eastAsia="Times New Roman"/>
          <w:noProof/>
          <w:szCs w:val="24"/>
          <w:lang w:eastAsia="en-GB"/>
        </w:rPr>
      </w:pPr>
    </w:p>
    <w:p w14:paraId="28F57A60" w14:textId="15C034C3" w:rsidR="00AA6B9B" w:rsidRPr="00C25964" w:rsidRDefault="00AD1692" w:rsidP="00AD1692">
      <w:pPr>
        <w:pStyle w:val="ManualNumPar1"/>
        <w:rPr>
          <w:noProof/>
        </w:rPr>
      </w:pPr>
      <w:r w:rsidRPr="00AD1692">
        <w:t>1.</w:t>
      </w:r>
      <w:r w:rsidRPr="00AD1692">
        <w:tab/>
      </w:r>
      <w:r w:rsidR="00AA6B9B" w:rsidRPr="00C25964">
        <w:rPr>
          <w:noProof/>
        </w:rPr>
        <w:t>Kommissionen ska sammankalla möten för de nationella samordnarna för att samordna genomförandet av Europaåret. Mötena ska även tjäna till att utbyta information om genomförandet av Europaåret på nationell nivå och unionsnivå. Företrädare för Europaparlamentet får delta som observatörer och bidra till dessa möten.</w:t>
      </w:r>
    </w:p>
    <w:p w14:paraId="6C646FB1" w14:textId="29E01CDE" w:rsidR="00AA6B9B" w:rsidRPr="00C25964" w:rsidRDefault="00AD1692" w:rsidP="00AD1692">
      <w:pPr>
        <w:pStyle w:val="ManualNumPar1"/>
        <w:rPr>
          <w:noProof/>
        </w:rPr>
      </w:pPr>
      <w:r w:rsidRPr="00AD1692">
        <w:t>2.</w:t>
      </w:r>
      <w:r w:rsidRPr="00AD1692">
        <w:tab/>
      </w:r>
      <w:r w:rsidR="00AA6B9B" w:rsidRPr="00C25964">
        <w:rPr>
          <w:noProof/>
        </w:rPr>
        <w:t xml:space="preserve">Samordningen av Europaåret på unionsnivå ska ske på ett övergripande sätt i syfte att skapa synergier mellan unionens olika program och initiativ av relevans för ungdomar. </w:t>
      </w:r>
    </w:p>
    <w:p w14:paraId="641DC9B1" w14:textId="628BD7BB" w:rsidR="00AA6B9B" w:rsidRPr="00C25964" w:rsidRDefault="00AD1692" w:rsidP="00AD1692">
      <w:pPr>
        <w:pStyle w:val="ManualNumPar1"/>
        <w:rPr>
          <w:noProof/>
        </w:rPr>
      </w:pPr>
      <w:r w:rsidRPr="00AD1692">
        <w:t>3.</w:t>
      </w:r>
      <w:r w:rsidRPr="00AD1692">
        <w:tab/>
      </w:r>
      <w:r w:rsidR="00AA6B9B" w:rsidRPr="00C25964">
        <w:rPr>
          <w:noProof/>
        </w:rPr>
        <w:t>Kommissionen ska sammankalla möten med berörda parter och företrädare för organisationer eller organ på ungdomsområdet för att hjälpa till att gemensamt utforma och genomföra Europaåret på unionsnivå.</w:t>
      </w:r>
    </w:p>
    <w:p w14:paraId="65CF76D2" w14:textId="77777777" w:rsidR="00AA6B9B" w:rsidRPr="00C25964" w:rsidRDefault="00AA6B9B" w:rsidP="00766970">
      <w:pPr>
        <w:pStyle w:val="Titrearticlef3"/>
        <w:rPr>
          <w:b/>
          <w:noProof/>
        </w:rPr>
      </w:pPr>
      <w:r w:rsidRPr="00C25964">
        <w:rPr>
          <w:b/>
          <w:noProof/>
        </w:rPr>
        <w:t>Artikel 6</w:t>
      </w:r>
      <w:r w:rsidRPr="00C25964">
        <w:rPr>
          <w:noProof/>
        </w:rPr>
        <w:t xml:space="preserve"> </w:t>
      </w:r>
      <w:r w:rsidRPr="00C25964">
        <w:rPr>
          <w:noProof/>
        </w:rPr>
        <w:br/>
      </w:r>
      <w:r w:rsidRPr="00C25964">
        <w:rPr>
          <w:b/>
          <w:noProof/>
        </w:rPr>
        <w:t>Internationellt samarbete</w:t>
      </w:r>
    </w:p>
    <w:p w14:paraId="630E493A" w14:textId="77777777" w:rsidR="00AA6B9B" w:rsidRPr="00C25964" w:rsidRDefault="00AA6B9B" w:rsidP="00AA6B9B">
      <w:pPr>
        <w:rPr>
          <w:noProof/>
        </w:rPr>
      </w:pPr>
      <w:r w:rsidRPr="00C25964">
        <w:rPr>
          <w:noProof/>
        </w:rPr>
        <w:t>Kommissionen ska, inom ramen för Europaåret, vid behov samarbeta med internationella partner och behöriga internationella organisationer, och samtidigt säkerställa att EU:s deltagande framgår tydligt. Kommissionen ska särskilt säkerställa samarbete med Europarådet, bland annat inom ramen för ungdomspartnerskapet mellan EU och Europarådet, samt med internationella ungdomsnätverk och ungdomsorganisationer.</w:t>
      </w:r>
    </w:p>
    <w:p w14:paraId="361C2856" w14:textId="77777777" w:rsidR="00AA6B9B" w:rsidRPr="00C25964" w:rsidRDefault="00AA6B9B" w:rsidP="00766970">
      <w:pPr>
        <w:pStyle w:val="Titrearticlef3"/>
        <w:rPr>
          <w:b/>
          <w:noProof/>
        </w:rPr>
      </w:pPr>
      <w:r w:rsidRPr="00C25964">
        <w:rPr>
          <w:b/>
          <w:noProof/>
        </w:rPr>
        <w:t>Artikel 7</w:t>
      </w:r>
      <w:r w:rsidRPr="00C25964">
        <w:rPr>
          <w:noProof/>
        </w:rPr>
        <w:t xml:space="preserve"> </w:t>
      </w:r>
      <w:r w:rsidRPr="00C25964">
        <w:rPr>
          <w:noProof/>
        </w:rPr>
        <w:br/>
      </w:r>
      <w:r w:rsidRPr="00C25964">
        <w:rPr>
          <w:b/>
          <w:noProof/>
        </w:rPr>
        <w:t>Övervakning och utvärdering</w:t>
      </w:r>
    </w:p>
    <w:p w14:paraId="71444527" w14:textId="77777777" w:rsidR="00AA6B9B" w:rsidRPr="00C25964" w:rsidRDefault="00AA6B9B" w:rsidP="00AA6B9B">
      <w:pPr>
        <w:rPr>
          <w:noProof/>
        </w:rPr>
      </w:pPr>
      <w:r w:rsidRPr="00C25964">
        <w:rPr>
          <w:noProof/>
        </w:rPr>
        <w:t>Kommissionen ska senast den 31 december 2023 lämna en rapport till Europaparlamentet, rådet, Europeiska ekonomiska och sociala kommittén och Regionkommittén om genomförandet, resultaten och den övergripande bedömningen av de initiativ som föreskrivs i detta beslut.</w:t>
      </w:r>
    </w:p>
    <w:p w14:paraId="631DE82B" w14:textId="77777777" w:rsidR="00AA6B9B" w:rsidRPr="00C25964" w:rsidRDefault="00AA6B9B" w:rsidP="002E3180">
      <w:pPr>
        <w:pStyle w:val="Titrearticlef3"/>
        <w:rPr>
          <w:b/>
          <w:noProof/>
        </w:rPr>
      </w:pPr>
      <w:r w:rsidRPr="00C25964">
        <w:rPr>
          <w:b/>
          <w:noProof/>
        </w:rPr>
        <w:t>Artikel 8</w:t>
      </w:r>
      <w:r w:rsidRPr="00C25964">
        <w:rPr>
          <w:noProof/>
        </w:rPr>
        <w:t xml:space="preserve"> </w:t>
      </w:r>
      <w:r w:rsidRPr="00C25964">
        <w:rPr>
          <w:noProof/>
        </w:rPr>
        <w:br/>
      </w:r>
      <w:r w:rsidRPr="00C25964">
        <w:rPr>
          <w:b/>
          <w:noProof/>
        </w:rPr>
        <w:t>Ikraftträdande</w:t>
      </w:r>
    </w:p>
    <w:p w14:paraId="0D60B555" w14:textId="77777777" w:rsidR="00AA6B9B" w:rsidRPr="00C25964" w:rsidRDefault="00AA6B9B" w:rsidP="00AA6B9B">
      <w:pPr>
        <w:keepNext/>
        <w:keepLines/>
        <w:jc w:val="left"/>
        <w:rPr>
          <w:noProof/>
        </w:rPr>
      </w:pPr>
      <w:r w:rsidRPr="00C25964">
        <w:rPr>
          <w:noProof/>
        </w:rPr>
        <w:t xml:space="preserve">Detta beslut träder i kraft dagen efter det att det har offentliggjorts i </w:t>
      </w:r>
      <w:r w:rsidRPr="00C25964">
        <w:rPr>
          <w:i/>
          <w:iCs/>
          <w:noProof/>
        </w:rPr>
        <w:t>Europeiska unionens officiella tidning</w:t>
      </w:r>
      <w:r w:rsidRPr="00C25964">
        <w:rPr>
          <w:noProof/>
        </w:rPr>
        <w:t>.</w:t>
      </w:r>
    </w:p>
    <w:p w14:paraId="52192D15" w14:textId="0B7E09DE" w:rsidR="00AA6B9B" w:rsidRPr="00C25964" w:rsidRDefault="001717E4" w:rsidP="002E3180">
      <w:pPr>
        <w:pStyle w:val="Fait"/>
        <w:rPr>
          <w:noProof/>
        </w:rPr>
      </w:pPr>
      <w:r w:rsidRPr="001717E4">
        <w:t>Utfärdat i Bryssel den</w:t>
      </w:r>
    </w:p>
    <w:p w14:paraId="2AE3691B" w14:textId="77777777" w:rsidR="00AA6B9B" w:rsidRPr="00C25964" w:rsidRDefault="00AA6B9B" w:rsidP="002E3180">
      <w:pPr>
        <w:pStyle w:val="Institutionquisigne"/>
        <w:rPr>
          <w:noProof/>
        </w:rPr>
      </w:pPr>
      <w:r w:rsidRPr="00C25964">
        <w:rPr>
          <w:noProof/>
        </w:rPr>
        <w:t>På Europaparlamentets vägnar</w:t>
      </w:r>
      <w:r w:rsidRPr="00C25964">
        <w:rPr>
          <w:noProof/>
        </w:rPr>
        <w:tab/>
        <w:t>På rådets vägnar</w:t>
      </w:r>
    </w:p>
    <w:p w14:paraId="5B9F4427" w14:textId="7143E88D" w:rsidR="00252FB9" w:rsidRPr="00C25964" w:rsidRDefault="00AA6B9B" w:rsidP="00AA6B9B">
      <w:pPr>
        <w:pStyle w:val="Personnequisigne"/>
        <w:rPr>
          <w:noProof/>
        </w:rPr>
        <w:sectPr w:rsidR="00252FB9" w:rsidRPr="00C25964" w:rsidSect="004A0B38">
          <w:pgSz w:w="11907" w:h="16839"/>
          <w:pgMar w:top="1134" w:right="1417" w:bottom="1134" w:left="1417" w:header="709" w:footer="709" w:gutter="0"/>
          <w:cols w:space="708"/>
          <w:docGrid w:linePitch="360"/>
        </w:sectPr>
      </w:pPr>
      <w:r w:rsidRPr="00C25964">
        <w:rPr>
          <w:i w:val="0"/>
          <w:noProof/>
        </w:rPr>
        <w:t>Ordförande</w:t>
      </w:r>
      <w:r w:rsidRPr="00C25964">
        <w:rPr>
          <w:noProof/>
        </w:rPr>
        <w:tab/>
      </w:r>
      <w:r w:rsidRPr="00C25964">
        <w:rPr>
          <w:i w:val="0"/>
          <w:noProof/>
        </w:rPr>
        <w:t>Ordförande</w:t>
      </w:r>
    </w:p>
    <w:p w14:paraId="710F121A" w14:textId="77777777" w:rsidR="00252FB9" w:rsidRPr="00C25964" w:rsidRDefault="00252FB9" w:rsidP="005359C1">
      <w:pPr>
        <w:pStyle w:val="Fichefinanciretitre"/>
        <w:rPr>
          <w:rFonts w:eastAsia="Times New Roman"/>
          <w:noProof/>
        </w:rPr>
      </w:pPr>
      <w:r w:rsidRPr="00C25964">
        <w:rPr>
          <w:noProof/>
        </w:rPr>
        <w:t>FINANSIERINGSÖVERSIKT FÖR RÄTTSAKTEN</w:t>
      </w:r>
    </w:p>
    <w:sdt>
      <w:sdtPr>
        <w:rPr>
          <w:b w:val="0"/>
          <w:noProof/>
          <w:sz w:val="24"/>
        </w:rPr>
        <w:id w:val="601696785"/>
        <w:docPartObj>
          <w:docPartGallery w:val="Table of Contents"/>
          <w:docPartUnique/>
        </w:docPartObj>
      </w:sdtPr>
      <w:sdtEndPr>
        <w:rPr>
          <w:bCs/>
        </w:rPr>
      </w:sdtEndPr>
      <w:sdtContent>
        <w:p w14:paraId="75E52EBF" w14:textId="77777777" w:rsidR="00252FB9" w:rsidRPr="00C25964" w:rsidRDefault="00252FB9" w:rsidP="00252FB9">
          <w:pPr>
            <w:pStyle w:val="TOCHeading"/>
            <w:rPr>
              <w:noProof/>
            </w:rPr>
          </w:pPr>
          <w:r w:rsidRPr="00C25964">
            <w:rPr>
              <w:noProof/>
            </w:rPr>
            <w:t>Innehåll</w:t>
          </w:r>
        </w:p>
        <w:p w14:paraId="743F3B96" w14:textId="1CBC7F21" w:rsidR="00252FB9" w:rsidRPr="00C25964" w:rsidRDefault="00252FB9" w:rsidP="00252FB9">
          <w:pPr>
            <w:pStyle w:val="TOC1"/>
            <w:rPr>
              <w:rFonts w:asciiTheme="minorHAnsi" w:eastAsiaTheme="minorEastAsia" w:hAnsiTheme="minorHAnsi" w:cstheme="minorBidi"/>
              <w:noProof/>
              <w:sz w:val="22"/>
            </w:rPr>
          </w:pPr>
          <w:r w:rsidRPr="00C25964">
            <w:rPr>
              <w:b/>
              <w:bCs/>
              <w:noProof/>
            </w:rPr>
            <w:fldChar w:fldCharType="begin" w:fldLock="1"/>
          </w:r>
          <w:r w:rsidRPr="00C25964">
            <w:rPr>
              <w:b/>
              <w:bCs/>
              <w:noProof/>
            </w:rPr>
            <w:instrText xml:space="preserve"> TOC \o "1-3" \h \z \u </w:instrText>
          </w:r>
          <w:r w:rsidRPr="00C25964">
            <w:rPr>
              <w:b/>
              <w:bCs/>
              <w:noProof/>
            </w:rPr>
            <w:fldChar w:fldCharType="separate"/>
          </w:r>
          <w:hyperlink w:anchor="_Toc520485025" w:history="1">
            <w:r w:rsidRPr="00C25964">
              <w:rPr>
                <w:rStyle w:val="Hyperlink"/>
                <w:noProof/>
              </w:rPr>
              <w:t>1.</w:t>
            </w:r>
            <w:r w:rsidRPr="00C25964">
              <w:rPr>
                <w:noProof/>
              </w:rPr>
              <w:tab/>
            </w:r>
            <w:r w:rsidR="009139DE" w:rsidRPr="00C25964">
              <w:rPr>
                <w:rStyle w:val="Hyperlink"/>
                <w:noProof/>
              </w:rPr>
              <w:t>GRUNDLÄGGANDE UPPGIFTER OM FÖRSLAGET ELLER INITIATIVET</w:t>
            </w:r>
            <w:r w:rsidRPr="00C25964">
              <w:rPr>
                <w:noProof/>
              </w:rPr>
              <w:tab/>
            </w:r>
            <w:r w:rsidRPr="00C25964">
              <w:rPr>
                <w:noProof/>
                <w:webHidden/>
              </w:rPr>
              <w:fldChar w:fldCharType="begin" w:fldLock="1"/>
            </w:r>
            <w:r w:rsidRPr="00C25964">
              <w:rPr>
                <w:noProof/>
                <w:webHidden/>
              </w:rPr>
              <w:instrText xml:space="preserve"> PAGEREF _Toc520485025 \h </w:instrText>
            </w:r>
            <w:r w:rsidRPr="00C25964">
              <w:rPr>
                <w:noProof/>
                <w:webHidden/>
              </w:rPr>
            </w:r>
            <w:r w:rsidRPr="00C25964">
              <w:rPr>
                <w:noProof/>
                <w:webHidden/>
              </w:rPr>
              <w:fldChar w:fldCharType="separate"/>
            </w:r>
            <w:r w:rsidRPr="00C25964">
              <w:rPr>
                <w:noProof/>
                <w:webHidden/>
              </w:rPr>
              <w:t>17</w:t>
            </w:r>
            <w:r w:rsidRPr="00C25964">
              <w:rPr>
                <w:noProof/>
                <w:webHidden/>
              </w:rPr>
              <w:fldChar w:fldCharType="end"/>
            </w:r>
          </w:hyperlink>
        </w:p>
        <w:p w14:paraId="38DDE067" w14:textId="7639678F" w:rsidR="00252FB9" w:rsidRPr="00C25964" w:rsidRDefault="0012551C" w:rsidP="00252FB9">
          <w:pPr>
            <w:pStyle w:val="TOC2"/>
            <w:rPr>
              <w:rFonts w:asciiTheme="minorHAnsi" w:eastAsiaTheme="minorEastAsia" w:hAnsiTheme="minorHAnsi" w:cstheme="minorBidi"/>
              <w:noProof/>
              <w:sz w:val="22"/>
            </w:rPr>
          </w:pPr>
          <w:hyperlink w:anchor="_Toc520485026" w:history="1">
            <w:r w:rsidR="000F70C4" w:rsidRPr="00C25964">
              <w:rPr>
                <w:rStyle w:val="Hyperlink"/>
                <w:noProof/>
              </w:rPr>
              <w:t>1.1.</w:t>
            </w:r>
            <w:r w:rsidR="000F70C4" w:rsidRPr="00C25964">
              <w:rPr>
                <w:noProof/>
              </w:rPr>
              <w:tab/>
            </w:r>
            <w:r w:rsidR="009139DE" w:rsidRPr="00C25964">
              <w:rPr>
                <w:rStyle w:val="Hyperlink"/>
                <w:noProof/>
              </w:rPr>
              <w:t>Förslagets eller initiativets titel</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_Toc520485026 \h </w:instrText>
            </w:r>
            <w:r w:rsidR="000F70C4" w:rsidRPr="00C25964">
              <w:rPr>
                <w:noProof/>
                <w:webHidden/>
              </w:rPr>
            </w:r>
            <w:r w:rsidR="000F70C4" w:rsidRPr="00C25964">
              <w:rPr>
                <w:noProof/>
                <w:webHidden/>
              </w:rPr>
              <w:fldChar w:fldCharType="separate"/>
            </w:r>
            <w:r w:rsidR="000F70C4" w:rsidRPr="00C25964">
              <w:rPr>
                <w:noProof/>
                <w:webHidden/>
              </w:rPr>
              <w:t>17</w:t>
            </w:r>
            <w:r w:rsidR="000F70C4" w:rsidRPr="00C25964">
              <w:rPr>
                <w:noProof/>
                <w:webHidden/>
              </w:rPr>
              <w:fldChar w:fldCharType="end"/>
            </w:r>
          </w:hyperlink>
        </w:p>
        <w:p w14:paraId="32F6B373" w14:textId="5FDA7D5F" w:rsidR="00252FB9" w:rsidRPr="00C25964" w:rsidRDefault="0012551C" w:rsidP="00252FB9">
          <w:pPr>
            <w:pStyle w:val="TOC2"/>
            <w:rPr>
              <w:rFonts w:asciiTheme="minorHAnsi" w:eastAsiaTheme="minorEastAsia" w:hAnsiTheme="minorHAnsi" w:cstheme="minorBidi"/>
              <w:noProof/>
              <w:sz w:val="22"/>
            </w:rPr>
          </w:pPr>
          <w:hyperlink w:anchor="_Toc520485027" w:history="1">
            <w:r w:rsidR="000F70C4" w:rsidRPr="00C25964">
              <w:rPr>
                <w:rStyle w:val="Hyperlink"/>
                <w:noProof/>
              </w:rPr>
              <w:t>1.2</w:t>
            </w:r>
            <w:r w:rsidR="000F70C4" w:rsidRPr="00C25964">
              <w:rPr>
                <w:rStyle w:val="Hyperlink"/>
                <w:i/>
                <w:noProof/>
              </w:rPr>
              <w:t>.</w:t>
            </w:r>
            <w:r w:rsidR="000F70C4" w:rsidRPr="00C25964">
              <w:rPr>
                <w:noProof/>
              </w:rPr>
              <w:tab/>
            </w:r>
            <w:r w:rsidR="009139DE" w:rsidRPr="00C25964">
              <w:rPr>
                <w:rStyle w:val="Hyperlink"/>
                <w:noProof/>
              </w:rPr>
              <w:t>Berörda politikområden</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_Toc520485027 \h </w:instrText>
            </w:r>
            <w:r w:rsidR="000F70C4" w:rsidRPr="00C25964">
              <w:rPr>
                <w:noProof/>
                <w:webHidden/>
              </w:rPr>
            </w:r>
            <w:r w:rsidR="000F70C4" w:rsidRPr="00C25964">
              <w:rPr>
                <w:noProof/>
                <w:webHidden/>
              </w:rPr>
              <w:fldChar w:fldCharType="separate"/>
            </w:r>
            <w:r w:rsidR="000F70C4" w:rsidRPr="00C25964">
              <w:rPr>
                <w:noProof/>
                <w:webHidden/>
              </w:rPr>
              <w:t>17</w:t>
            </w:r>
            <w:r w:rsidR="000F70C4" w:rsidRPr="00C25964">
              <w:rPr>
                <w:noProof/>
                <w:webHidden/>
              </w:rPr>
              <w:fldChar w:fldCharType="end"/>
            </w:r>
          </w:hyperlink>
        </w:p>
        <w:p w14:paraId="3D4F0910" w14:textId="37A1B5CC" w:rsidR="00252FB9" w:rsidRPr="00C25964" w:rsidRDefault="0012551C" w:rsidP="00252FB9">
          <w:pPr>
            <w:pStyle w:val="TOC2"/>
            <w:rPr>
              <w:rFonts w:asciiTheme="minorHAnsi" w:eastAsiaTheme="minorEastAsia" w:hAnsiTheme="minorHAnsi" w:cstheme="minorBidi"/>
              <w:noProof/>
              <w:sz w:val="22"/>
            </w:rPr>
          </w:pPr>
          <w:hyperlink w:anchor="_Toc520485028" w:history="1">
            <w:r w:rsidR="000F70C4" w:rsidRPr="00C25964">
              <w:rPr>
                <w:rStyle w:val="Hyperlink"/>
                <w:noProof/>
              </w:rPr>
              <w:t>1.3.</w:t>
            </w:r>
            <w:r w:rsidR="000F70C4" w:rsidRPr="00C25964">
              <w:rPr>
                <w:noProof/>
              </w:rPr>
              <w:tab/>
            </w:r>
            <w:r w:rsidR="009139DE" w:rsidRPr="00C25964">
              <w:rPr>
                <w:rStyle w:val="Hyperlink"/>
                <w:noProof/>
              </w:rPr>
              <w:t>Förslaget eller initiativet avser</w:t>
            </w:r>
            <w:r w:rsidR="000F70C4" w:rsidRPr="00C25964">
              <w:rPr>
                <w:rStyle w:val="Hyperlink"/>
                <w:noProof/>
              </w:rPr>
              <w:t>:</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_Toc520485028 \h </w:instrText>
            </w:r>
            <w:r w:rsidR="000F70C4" w:rsidRPr="00C25964">
              <w:rPr>
                <w:noProof/>
                <w:webHidden/>
              </w:rPr>
            </w:r>
            <w:r w:rsidR="000F70C4" w:rsidRPr="00C25964">
              <w:rPr>
                <w:noProof/>
                <w:webHidden/>
              </w:rPr>
              <w:fldChar w:fldCharType="separate"/>
            </w:r>
            <w:r w:rsidR="000F70C4" w:rsidRPr="00C25964">
              <w:rPr>
                <w:noProof/>
                <w:webHidden/>
              </w:rPr>
              <w:t>17</w:t>
            </w:r>
            <w:r w:rsidR="000F70C4" w:rsidRPr="00C25964">
              <w:rPr>
                <w:noProof/>
                <w:webHidden/>
              </w:rPr>
              <w:fldChar w:fldCharType="end"/>
            </w:r>
          </w:hyperlink>
        </w:p>
        <w:p w14:paraId="1C1B6CD4" w14:textId="21A36928" w:rsidR="00252FB9" w:rsidRPr="00C25964" w:rsidRDefault="0012551C" w:rsidP="00252FB9">
          <w:pPr>
            <w:pStyle w:val="TOC2"/>
            <w:rPr>
              <w:rFonts w:asciiTheme="minorHAnsi" w:eastAsiaTheme="minorEastAsia" w:hAnsiTheme="minorHAnsi" w:cstheme="minorBidi"/>
              <w:noProof/>
              <w:sz w:val="22"/>
            </w:rPr>
          </w:pPr>
          <w:hyperlink w:anchor="_Toc520485029" w:history="1">
            <w:r w:rsidR="000F70C4" w:rsidRPr="00C25964">
              <w:rPr>
                <w:rStyle w:val="Hyperlink"/>
                <w:noProof/>
              </w:rPr>
              <w:t>1.4.</w:t>
            </w:r>
            <w:r w:rsidR="000F70C4" w:rsidRPr="00C25964">
              <w:rPr>
                <w:noProof/>
              </w:rPr>
              <w:tab/>
            </w:r>
            <w:r w:rsidR="009139DE" w:rsidRPr="00C25964">
              <w:rPr>
                <w:rStyle w:val="Hyperlink"/>
                <w:noProof/>
              </w:rPr>
              <w:t>Mål</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_Toc520485029 \h </w:instrText>
            </w:r>
            <w:r w:rsidR="000F70C4" w:rsidRPr="00C25964">
              <w:rPr>
                <w:noProof/>
                <w:webHidden/>
              </w:rPr>
            </w:r>
            <w:r w:rsidR="000F70C4" w:rsidRPr="00C25964">
              <w:rPr>
                <w:noProof/>
                <w:webHidden/>
              </w:rPr>
              <w:fldChar w:fldCharType="separate"/>
            </w:r>
            <w:r w:rsidR="000F70C4" w:rsidRPr="00C25964">
              <w:rPr>
                <w:noProof/>
                <w:webHidden/>
              </w:rPr>
              <w:t>17</w:t>
            </w:r>
            <w:r w:rsidR="000F70C4" w:rsidRPr="00C25964">
              <w:rPr>
                <w:noProof/>
                <w:webHidden/>
              </w:rPr>
              <w:fldChar w:fldCharType="end"/>
            </w:r>
          </w:hyperlink>
        </w:p>
        <w:p w14:paraId="632AB577" w14:textId="7CA296FB" w:rsidR="00252FB9" w:rsidRPr="00C25964" w:rsidRDefault="0012551C" w:rsidP="00252FB9">
          <w:pPr>
            <w:pStyle w:val="TOC3"/>
            <w:rPr>
              <w:rFonts w:asciiTheme="minorHAnsi" w:eastAsiaTheme="minorEastAsia" w:hAnsiTheme="minorHAnsi" w:cstheme="minorBidi"/>
              <w:noProof/>
              <w:sz w:val="22"/>
            </w:rPr>
          </w:pPr>
          <w:hyperlink w:anchor="_Toc520485030" w:history="1">
            <w:r w:rsidR="000F70C4" w:rsidRPr="00C25964">
              <w:rPr>
                <w:rStyle w:val="Hyperlink"/>
                <w:noProof/>
              </w:rPr>
              <w:t>1.4.1.</w:t>
            </w:r>
            <w:r w:rsidR="000F70C4" w:rsidRPr="00C25964">
              <w:rPr>
                <w:noProof/>
              </w:rPr>
              <w:tab/>
            </w:r>
            <w:r w:rsidR="009139DE" w:rsidRPr="00C25964">
              <w:rPr>
                <w:rStyle w:val="Hyperlink"/>
                <w:noProof/>
              </w:rPr>
              <w:t>Allmänt/allmänna mål</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_Toc520485030 \h </w:instrText>
            </w:r>
            <w:r w:rsidR="000F70C4" w:rsidRPr="00C25964">
              <w:rPr>
                <w:noProof/>
                <w:webHidden/>
              </w:rPr>
            </w:r>
            <w:r w:rsidR="000F70C4" w:rsidRPr="00C25964">
              <w:rPr>
                <w:noProof/>
                <w:webHidden/>
              </w:rPr>
              <w:fldChar w:fldCharType="separate"/>
            </w:r>
            <w:r w:rsidR="000F70C4" w:rsidRPr="00C25964">
              <w:rPr>
                <w:noProof/>
                <w:webHidden/>
              </w:rPr>
              <w:t>17</w:t>
            </w:r>
            <w:r w:rsidR="000F70C4" w:rsidRPr="00C25964">
              <w:rPr>
                <w:noProof/>
                <w:webHidden/>
              </w:rPr>
              <w:fldChar w:fldCharType="end"/>
            </w:r>
          </w:hyperlink>
        </w:p>
        <w:p w14:paraId="788075C3" w14:textId="0DE483A3" w:rsidR="00252FB9" w:rsidRPr="00C25964" w:rsidRDefault="0012551C" w:rsidP="00252FB9">
          <w:pPr>
            <w:pStyle w:val="TOC3"/>
            <w:rPr>
              <w:rFonts w:asciiTheme="minorHAnsi" w:eastAsiaTheme="minorEastAsia" w:hAnsiTheme="minorHAnsi" w:cstheme="minorBidi"/>
              <w:noProof/>
              <w:sz w:val="22"/>
            </w:rPr>
          </w:pPr>
          <w:hyperlink w:anchor="_Toc520485031" w:history="1">
            <w:r w:rsidR="000F70C4" w:rsidRPr="00C25964">
              <w:rPr>
                <w:rStyle w:val="Hyperlink"/>
                <w:noProof/>
              </w:rPr>
              <w:t>1.4.2.</w:t>
            </w:r>
            <w:r w:rsidR="000F70C4" w:rsidRPr="00C25964">
              <w:rPr>
                <w:noProof/>
              </w:rPr>
              <w:tab/>
            </w:r>
            <w:r w:rsidR="009139DE" w:rsidRPr="00C25964">
              <w:rPr>
                <w:rStyle w:val="Hyperlink"/>
                <w:noProof/>
              </w:rPr>
              <w:t>Specifikt/specifika mål</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_Toc520485031 \h </w:instrText>
            </w:r>
            <w:r w:rsidR="000F70C4" w:rsidRPr="00C25964">
              <w:rPr>
                <w:noProof/>
                <w:webHidden/>
              </w:rPr>
            </w:r>
            <w:r w:rsidR="000F70C4" w:rsidRPr="00C25964">
              <w:rPr>
                <w:noProof/>
                <w:webHidden/>
              </w:rPr>
              <w:fldChar w:fldCharType="separate"/>
            </w:r>
            <w:r w:rsidR="000F70C4" w:rsidRPr="00C25964">
              <w:rPr>
                <w:noProof/>
                <w:webHidden/>
              </w:rPr>
              <w:t>17</w:t>
            </w:r>
            <w:r w:rsidR="000F70C4" w:rsidRPr="00C25964">
              <w:rPr>
                <w:noProof/>
                <w:webHidden/>
              </w:rPr>
              <w:fldChar w:fldCharType="end"/>
            </w:r>
          </w:hyperlink>
        </w:p>
        <w:p w14:paraId="7332AA61" w14:textId="3505AD78" w:rsidR="00252FB9" w:rsidRPr="00C25964" w:rsidRDefault="0012551C" w:rsidP="00252FB9">
          <w:pPr>
            <w:pStyle w:val="TOC3"/>
            <w:rPr>
              <w:rFonts w:asciiTheme="minorHAnsi" w:eastAsiaTheme="minorEastAsia" w:hAnsiTheme="minorHAnsi" w:cstheme="minorBidi"/>
              <w:noProof/>
              <w:sz w:val="22"/>
            </w:rPr>
          </w:pPr>
          <w:hyperlink w:anchor="_Toc520485032" w:history="1">
            <w:r w:rsidR="000F70C4" w:rsidRPr="00C25964">
              <w:rPr>
                <w:rStyle w:val="Hyperlink"/>
                <w:noProof/>
              </w:rPr>
              <w:t>1.4.3.</w:t>
            </w:r>
            <w:r w:rsidR="000F70C4" w:rsidRPr="00C25964">
              <w:rPr>
                <w:noProof/>
              </w:rPr>
              <w:tab/>
            </w:r>
            <w:r w:rsidR="009139DE" w:rsidRPr="00C25964">
              <w:rPr>
                <w:rStyle w:val="Hyperlink"/>
                <w:noProof/>
              </w:rPr>
              <w:t>Verkan eller resultat som förväntas</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_Toc520485032 \h </w:instrText>
            </w:r>
            <w:r w:rsidR="000F70C4" w:rsidRPr="00C25964">
              <w:rPr>
                <w:noProof/>
                <w:webHidden/>
              </w:rPr>
            </w:r>
            <w:r w:rsidR="000F70C4" w:rsidRPr="00C25964">
              <w:rPr>
                <w:noProof/>
                <w:webHidden/>
              </w:rPr>
              <w:fldChar w:fldCharType="separate"/>
            </w:r>
            <w:r w:rsidR="000F70C4" w:rsidRPr="00C25964">
              <w:rPr>
                <w:noProof/>
                <w:webHidden/>
              </w:rPr>
              <w:t>18</w:t>
            </w:r>
            <w:r w:rsidR="000F70C4" w:rsidRPr="00C25964">
              <w:rPr>
                <w:noProof/>
                <w:webHidden/>
              </w:rPr>
              <w:fldChar w:fldCharType="end"/>
            </w:r>
          </w:hyperlink>
        </w:p>
        <w:p w14:paraId="79BF44D8" w14:textId="0263F4EF" w:rsidR="00252FB9" w:rsidRPr="00C25964" w:rsidRDefault="0012551C" w:rsidP="00252FB9">
          <w:pPr>
            <w:pStyle w:val="TOC3"/>
            <w:rPr>
              <w:rFonts w:asciiTheme="minorHAnsi" w:eastAsiaTheme="minorEastAsia" w:hAnsiTheme="minorHAnsi" w:cstheme="minorBidi"/>
              <w:noProof/>
              <w:sz w:val="22"/>
            </w:rPr>
          </w:pPr>
          <w:hyperlink w:anchor="_Toc520485033" w:history="1">
            <w:r w:rsidR="000F70C4" w:rsidRPr="00C25964">
              <w:rPr>
                <w:rStyle w:val="Hyperlink"/>
                <w:noProof/>
              </w:rPr>
              <w:t>1.4.4.</w:t>
            </w:r>
            <w:r w:rsidR="000F70C4" w:rsidRPr="00C25964">
              <w:rPr>
                <w:noProof/>
              </w:rPr>
              <w:tab/>
            </w:r>
            <w:r w:rsidR="009139DE" w:rsidRPr="00C25964">
              <w:rPr>
                <w:rStyle w:val="Hyperlink"/>
                <w:noProof/>
              </w:rPr>
              <w:t>Prestationsindikatorer</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_Toc520485033 \h </w:instrText>
            </w:r>
            <w:r w:rsidR="000F70C4" w:rsidRPr="00C25964">
              <w:rPr>
                <w:noProof/>
                <w:webHidden/>
              </w:rPr>
            </w:r>
            <w:r w:rsidR="000F70C4" w:rsidRPr="00C25964">
              <w:rPr>
                <w:noProof/>
                <w:webHidden/>
              </w:rPr>
              <w:fldChar w:fldCharType="separate"/>
            </w:r>
            <w:r w:rsidR="000F70C4" w:rsidRPr="00C25964">
              <w:rPr>
                <w:noProof/>
                <w:webHidden/>
              </w:rPr>
              <w:t>18</w:t>
            </w:r>
            <w:r w:rsidR="000F70C4" w:rsidRPr="00C25964">
              <w:rPr>
                <w:noProof/>
                <w:webHidden/>
              </w:rPr>
              <w:fldChar w:fldCharType="end"/>
            </w:r>
          </w:hyperlink>
        </w:p>
        <w:p w14:paraId="39C10B2E" w14:textId="25E783DF" w:rsidR="00252FB9" w:rsidRPr="00C25964" w:rsidRDefault="0012551C" w:rsidP="00252FB9">
          <w:pPr>
            <w:pStyle w:val="TOC2"/>
            <w:rPr>
              <w:rFonts w:asciiTheme="minorHAnsi" w:eastAsiaTheme="minorEastAsia" w:hAnsiTheme="minorHAnsi" w:cstheme="minorBidi"/>
              <w:noProof/>
              <w:sz w:val="22"/>
            </w:rPr>
          </w:pPr>
          <w:hyperlink w:anchor="_Toc520485034" w:history="1">
            <w:r w:rsidR="000F70C4" w:rsidRPr="00C25964">
              <w:rPr>
                <w:rStyle w:val="Hyperlink"/>
                <w:noProof/>
              </w:rPr>
              <w:t>1.5.</w:t>
            </w:r>
            <w:r w:rsidR="000F70C4" w:rsidRPr="00C25964">
              <w:rPr>
                <w:noProof/>
              </w:rPr>
              <w:tab/>
            </w:r>
            <w:r w:rsidR="009139DE" w:rsidRPr="00C25964">
              <w:rPr>
                <w:rStyle w:val="Hyperlink"/>
                <w:noProof/>
              </w:rPr>
              <w:t>Grunder för förslaget eller initiativet</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_Toc520485034 \h </w:instrText>
            </w:r>
            <w:r w:rsidR="000F70C4" w:rsidRPr="00C25964">
              <w:rPr>
                <w:noProof/>
                <w:webHidden/>
              </w:rPr>
            </w:r>
            <w:r w:rsidR="000F70C4" w:rsidRPr="00C25964">
              <w:rPr>
                <w:noProof/>
                <w:webHidden/>
              </w:rPr>
              <w:fldChar w:fldCharType="separate"/>
            </w:r>
            <w:r w:rsidR="000F70C4" w:rsidRPr="00C25964">
              <w:rPr>
                <w:noProof/>
                <w:webHidden/>
              </w:rPr>
              <w:t>18</w:t>
            </w:r>
            <w:r w:rsidR="000F70C4" w:rsidRPr="00C25964">
              <w:rPr>
                <w:noProof/>
                <w:webHidden/>
              </w:rPr>
              <w:fldChar w:fldCharType="end"/>
            </w:r>
          </w:hyperlink>
        </w:p>
        <w:p w14:paraId="3DD6AF2A" w14:textId="7F845609" w:rsidR="00252FB9" w:rsidRPr="00C25964" w:rsidRDefault="0012551C" w:rsidP="00252FB9">
          <w:pPr>
            <w:pStyle w:val="TOC3"/>
            <w:rPr>
              <w:rFonts w:asciiTheme="minorHAnsi" w:eastAsiaTheme="minorEastAsia" w:hAnsiTheme="minorHAnsi" w:cstheme="minorBidi"/>
              <w:noProof/>
              <w:sz w:val="22"/>
            </w:rPr>
          </w:pPr>
          <w:hyperlink w:anchor="_Toc520485035" w:history="1">
            <w:r w:rsidR="000F70C4" w:rsidRPr="00C25964">
              <w:rPr>
                <w:rStyle w:val="Hyperlink"/>
                <w:noProof/>
              </w:rPr>
              <w:t>1.5.1.</w:t>
            </w:r>
            <w:r w:rsidR="000F70C4" w:rsidRPr="00C25964">
              <w:rPr>
                <w:noProof/>
              </w:rPr>
              <w:tab/>
            </w:r>
            <w:r w:rsidR="009139DE" w:rsidRPr="00C25964">
              <w:rPr>
                <w:rStyle w:val="Hyperlink"/>
                <w:noProof/>
              </w:rPr>
              <w:t>Krav som ska uppfyllas på kort eller lång sikt, inbegripet en detaljerad tidsplan för genomförandet av initiativet</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_Toc520485035 \h </w:instrText>
            </w:r>
            <w:r w:rsidR="000F70C4" w:rsidRPr="00C25964">
              <w:rPr>
                <w:noProof/>
                <w:webHidden/>
              </w:rPr>
            </w:r>
            <w:r w:rsidR="000F70C4" w:rsidRPr="00C25964">
              <w:rPr>
                <w:noProof/>
                <w:webHidden/>
              </w:rPr>
              <w:fldChar w:fldCharType="separate"/>
            </w:r>
            <w:r w:rsidR="000F70C4" w:rsidRPr="00C25964">
              <w:rPr>
                <w:noProof/>
                <w:webHidden/>
              </w:rPr>
              <w:t>18</w:t>
            </w:r>
            <w:r w:rsidR="000F70C4" w:rsidRPr="00C25964">
              <w:rPr>
                <w:noProof/>
                <w:webHidden/>
              </w:rPr>
              <w:fldChar w:fldCharType="end"/>
            </w:r>
          </w:hyperlink>
        </w:p>
        <w:p w14:paraId="700AB4B9" w14:textId="55719C16" w:rsidR="00252FB9" w:rsidRPr="00C25964" w:rsidRDefault="0012551C" w:rsidP="00252FB9">
          <w:pPr>
            <w:pStyle w:val="TOC3"/>
            <w:rPr>
              <w:rFonts w:asciiTheme="minorHAnsi" w:eastAsiaTheme="minorEastAsia" w:hAnsiTheme="minorHAnsi" w:cstheme="minorBidi"/>
              <w:noProof/>
              <w:sz w:val="22"/>
            </w:rPr>
          </w:pPr>
          <w:hyperlink w:anchor="_Toc520485036" w:history="1">
            <w:r w:rsidR="000F70C4" w:rsidRPr="00C25964">
              <w:rPr>
                <w:rStyle w:val="Hyperlink"/>
                <w:noProof/>
              </w:rPr>
              <w:t>1.5.2.</w:t>
            </w:r>
            <w:r w:rsidR="000F70C4" w:rsidRPr="00C25964">
              <w:rPr>
                <w:noProof/>
              </w:rPr>
              <w:tab/>
            </w:r>
            <w:r w:rsidR="009139DE" w:rsidRPr="00C25964">
              <w:rPr>
                <w:rStyle w:val="Hyperlink"/>
                <w:noProof/>
              </w:rPr>
              <w:t>Mervärdet av en åtgärd på unionsnivå (som kan följa av flera faktorer, t.ex. samordningsfördelar, rättssäkerhet, ökad effektivitet eller komplementaritet).</w:t>
            </w:r>
            <w:r w:rsidR="000F70C4" w:rsidRPr="00C25964">
              <w:rPr>
                <w:rStyle w:val="Hyperlink"/>
                <w:noProof/>
              </w:rPr>
              <w:t xml:space="preserve"> </w:t>
            </w:r>
            <w:r w:rsidR="009139DE" w:rsidRPr="00C25964">
              <w:rPr>
                <w:rStyle w:val="Hyperlink"/>
                <w:noProof/>
              </w:rPr>
              <w:t>Med ”mervärdet av en åtgärd på unionsnivå” i denna punkt avses det värde en åtgärd från unionens sida tillför utöver det värde som annars skulle ha skapats av enbart medlemsstaterna</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_Toc520485036 \h </w:instrText>
            </w:r>
            <w:r w:rsidR="000F70C4" w:rsidRPr="00C25964">
              <w:rPr>
                <w:noProof/>
                <w:webHidden/>
              </w:rPr>
            </w:r>
            <w:r w:rsidR="000F70C4" w:rsidRPr="00C25964">
              <w:rPr>
                <w:noProof/>
                <w:webHidden/>
              </w:rPr>
              <w:fldChar w:fldCharType="separate"/>
            </w:r>
            <w:r w:rsidR="000F70C4" w:rsidRPr="00C25964">
              <w:rPr>
                <w:noProof/>
                <w:webHidden/>
              </w:rPr>
              <w:t>18</w:t>
            </w:r>
            <w:r w:rsidR="000F70C4" w:rsidRPr="00C25964">
              <w:rPr>
                <w:noProof/>
                <w:webHidden/>
              </w:rPr>
              <w:fldChar w:fldCharType="end"/>
            </w:r>
          </w:hyperlink>
        </w:p>
        <w:p w14:paraId="65C40E92" w14:textId="24319217" w:rsidR="00252FB9" w:rsidRPr="00C25964" w:rsidRDefault="0012551C" w:rsidP="00252FB9">
          <w:pPr>
            <w:pStyle w:val="TOC3"/>
            <w:rPr>
              <w:rFonts w:asciiTheme="minorHAnsi" w:eastAsiaTheme="minorEastAsia" w:hAnsiTheme="minorHAnsi" w:cstheme="minorBidi"/>
              <w:noProof/>
              <w:sz w:val="22"/>
            </w:rPr>
          </w:pPr>
          <w:hyperlink w:anchor="_Toc520485037" w:history="1">
            <w:r w:rsidR="000F70C4" w:rsidRPr="00C25964">
              <w:rPr>
                <w:rStyle w:val="Hyperlink"/>
                <w:noProof/>
              </w:rPr>
              <w:t>1.5.3.</w:t>
            </w:r>
            <w:r w:rsidR="000F70C4" w:rsidRPr="00C25964">
              <w:rPr>
                <w:noProof/>
              </w:rPr>
              <w:tab/>
            </w:r>
            <w:r w:rsidR="009139DE" w:rsidRPr="00C25964">
              <w:rPr>
                <w:rStyle w:val="Hyperlink"/>
                <w:noProof/>
              </w:rPr>
              <w:t>Erfarenheter från tidigare liknande åtgärder</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_Toc520485037 \h </w:instrText>
            </w:r>
            <w:r w:rsidR="000F70C4" w:rsidRPr="00C25964">
              <w:rPr>
                <w:noProof/>
                <w:webHidden/>
              </w:rPr>
            </w:r>
            <w:r w:rsidR="000F70C4" w:rsidRPr="00C25964">
              <w:rPr>
                <w:noProof/>
                <w:webHidden/>
              </w:rPr>
              <w:fldChar w:fldCharType="separate"/>
            </w:r>
            <w:r w:rsidR="000F70C4" w:rsidRPr="00C25964">
              <w:rPr>
                <w:noProof/>
                <w:webHidden/>
              </w:rPr>
              <w:t>19</w:t>
            </w:r>
            <w:r w:rsidR="000F70C4" w:rsidRPr="00C25964">
              <w:rPr>
                <w:noProof/>
                <w:webHidden/>
              </w:rPr>
              <w:fldChar w:fldCharType="end"/>
            </w:r>
          </w:hyperlink>
        </w:p>
        <w:p w14:paraId="2D6FF080" w14:textId="232C1830" w:rsidR="00252FB9" w:rsidRPr="00C25964" w:rsidRDefault="0012551C" w:rsidP="00252FB9">
          <w:pPr>
            <w:pStyle w:val="TOC3"/>
            <w:rPr>
              <w:rFonts w:asciiTheme="minorHAnsi" w:eastAsiaTheme="minorEastAsia" w:hAnsiTheme="minorHAnsi" w:cstheme="minorBidi"/>
              <w:noProof/>
              <w:sz w:val="22"/>
            </w:rPr>
          </w:pPr>
          <w:hyperlink w:anchor="_Toc520485038" w:history="1">
            <w:r w:rsidR="000F70C4" w:rsidRPr="00C25964">
              <w:rPr>
                <w:rStyle w:val="Hyperlink"/>
                <w:noProof/>
              </w:rPr>
              <w:t>1.5.4.</w:t>
            </w:r>
            <w:r w:rsidR="000F70C4" w:rsidRPr="00C25964">
              <w:rPr>
                <w:noProof/>
              </w:rPr>
              <w:tab/>
            </w:r>
            <w:r w:rsidR="009139DE" w:rsidRPr="00C25964">
              <w:rPr>
                <w:rStyle w:val="Hyperlink"/>
                <w:noProof/>
              </w:rPr>
              <w:t>Förenlighet med den fleråriga budgetramen och eventuella synergieffekter med andra relevanta instrument</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_Toc520485038 \h </w:instrText>
            </w:r>
            <w:r w:rsidR="000F70C4" w:rsidRPr="00C25964">
              <w:rPr>
                <w:noProof/>
                <w:webHidden/>
              </w:rPr>
            </w:r>
            <w:r w:rsidR="000F70C4" w:rsidRPr="00C25964">
              <w:rPr>
                <w:noProof/>
                <w:webHidden/>
              </w:rPr>
              <w:fldChar w:fldCharType="separate"/>
            </w:r>
            <w:r w:rsidR="000F70C4" w:rsidRPr="00C25964">
              <w:rPr>
                <w:noProof/>
                <w:webHidden/>
              </w:rPr>
              <w:t>19</w:t>
            </w:r>
            <w:r w:rsidR="000F70C4" w:rsidRPr="00C25964">
              <w:rPr>
                <w:noProof/>
                <w:webHidden/>
              </w:rPr>
              <w:fldChar w:fldCharType="end"/>
            </w:r>
          </w:hyperlink>
        </w:p>
        <w:p w14:paraId="14C73866" w14:textId="728F7104" w:rsidR="00252FB9" w:rsidRPr="00C25964" w:rsidRDefault="0012551C" w:rsidP="00252FB9">
          <w:pPr>
            <w:pStyle w:val="TOC2"/>
            <w:rPr>
              <w:rFonts w:asciiTheme="minorHAnsi" w:eastAsiaTheme="minorEastAsia" w:hAnsiTheme="minorHAnsi" w:cstheme="minorBidi"/>
              <w:noProof/>
              <w:sz w:val="22"/>
            </w:rPr>
          </w:pPr>
          <w:hyperlink w:anchor="_Toc520485040" w:history="1">
            <w:r w:rsidR="000F70C4" w:rsidRPr="00C25964">
              <w:rPr>
                <w:rStyle w:val="Hyperlink"/>
                <w:noProof/>
              </w:rPr>
              <w:t>1.6.</w:t>
            </w:r>
            <w:r w:rsidR="000F70C4" w:rsidRPr="00C25964">
              <w:rPr>
                <w:noProof/>
              </w:rPr>
              <w:tab/>
            </w:r>
            <w:r w:rsidR="009139DE" w:rsidRPr="00C25964">
              <w:rPr>
                <w:rStyle w:val="Hyperlink"/>
                <w:noProof/>
              </w:rPr>
              <w:t>Beräknad varaktighet för och beräknade budgetkonsekvenser av förslaget eller initiativet</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_Toc520485040 \h </w:instrText>
            </w:r>
            <w:r w:rsidR="000F70C4" w:rsidRPr="00C25964">
              <w:rPr>
                <w:noProof/>
                <w:webHidden/>
              </w:rPr>
            </w:r>
            <w:r w:rsidR="000F70C4" w:rsidRPr="00C25964">
              <w:rPr>
                <w:noProof/>
                <w:webHidden/>
              </w:rPr>
              <w:fldChar w:fldCharType="separate"/>
            </w:r>
            <w:r w:rsidR="000F70C4" w:rsidRPr="00C25964">
              <w:rPr>
                <w:noProof/>
                <w:webHidden/>
              </w:rPr>
              <w:t>20</w:t>
            </w:r>
            <w:r w:rsidR="000F70C4" w:rsidRPr="00C25964">
              <w:rPr>
                <w:noProof/>
                <w:webHidden/>
              </w:rPr>
              <w:fldChar w:fldCharType="end"/>
            </w:r>
          </w:hyperlink>
        </w:p>
        <w:p w14:paraId="39CB4D90" w14:textId="057DB3D1" w:rsidR="00252FB9" w:rsidRPr="00C25964" w:rsidRDefault="0012551C" w:rsidP="00252FB9">
          <w:pPr>
            <w:pStyle w:val="TOC2"/>
            <w:rPr>
              <w:rFonts w:asciiTheme="minorHAnsi" w:eastAsiaTheme="minorEastAsia" w:hAnsiTheme="minorHAnsi" w:cstheme="minorBidi"/>
              <w:noProof/>
              <w:sz w:val="22"/>
            </w:rPr>
          </w:pPr>
          <w:hyperlink w:anchor="_Toc520485041" w:history="1">
            <w:r w:rsidR="000F70C4" w:rsidRPr="00C25964">
              <w:rPr>
                <w:rStyle w:val="Hyperlink"/>
                <w:noProof/>
              </w:rPr>
              <w:t>1.7.</w:t>
            </w:r>
            <w:r w:rsidR="000F70C4" w:rsidRPr="00C25964">
              <w:rPr>
                <w:noProof/>
              </w:rPr>
              <w:tab/>
            </w:r>
            <w:r w:rsidR="009139DE" w:rsidRPr="00C25964">
              <w:rPr>
                <w:rStyle w:val="Hyperlink"/>
                <w:noProof/>
              </w:rPr>
              <w:t>Planerad metod för genomförandet</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_Toc520485041 \h </w:instrText>
            </w:r>
            <w:r w:rsidR="000F70C4" w:rsidRPr="00C25964">
              <w:rPr>
                <w:noProof/>
                <w:webHidden/>
              </w:rPr>
            </w:r>
            <w:r w:rsidR="000F70C4" w:rsidRPr="00C25964">
              <w:rPr>
                <w:noProof/>
                <w:webHidden/>
              </w:rPr>
              <w:fldChar w:fldCharType="separate"/>
            </w:r>
            <w:r w:rsidR="000F70C4" w:rsidRPr="00C25964">
              <w:rPr>
                <w:noProof/>
                <w:webHidden/>
              </w:rPr>
              <w:t>20</w:t>
            </w:r>
            <w:r w:rsidR="000F70C4" w:rsidRPr="00C25964">
              <w:rPr>
                <w:noProof/>
                <w:webHidden/>
              </w:rPr>
              <w:fldChar w:fldCharType="end"/>
            </w:r>
          </w:hyperlink>
        </w:p>
        <w:p w14:paraId="476B631B" w14:textId="1F8ED5AD" w:rsidR="00252FB9" w:rsidRPr="00C25964" w:rsidRDefault="0012551C" w:rsidP="00252FB9">
          <w:pPr>
            <w:pStyle w:val="TOC1"/>
            <w:rPr>
              <w:rFonts w:asciiTheme="minorHAnsi" w:eastAsiaTheme="minorEastAsia" w:hAnsiTheme="minorHAnsi" w:cstheme="minorBidi"/>
              <w:noProof/>
              <w:sz w:val="22"/>
            </w:rPr>
          </w:pPr>
          <w:hyperlink w:anchor="_Toc520485042" w:history="1">
            <w:r w:rsidR="000F70C4" w:rsidRPr="00C25964">
              <w:rPr>
                <w:rStyle w:val="Hyperlink"/>
                <w:noProof/>
              </w:rPr>
              <w:t>2.</w:t>
            </w:r>
            <w:r w:rsidR="000F70C4" w:rsidRPr="00C25964">
              <w:rPr>
                <w:noProof/>
              </w:rPr>
              <w:tab/>
            </w:r>
            <w:r w:rsidR="009139DE" w:rsidRPr="00C25964">
              <w:rPr>
                <w:rStyle w:val="Hyperlink"/>
                <w:noProof/>
              </w:rPr>
              <w:t>FÖRVALTNING</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_Toc520485042 \h </w:instrText>
            </w:r>
            <w:r w:rsidR="000F70C4" w:rsidRPr="00C25964">
              <w:rPr>
                <w:noProof/>
                <w:webHidden/>
              </w:rPr>
            </w:r>
            <w:r w:rsidR="000F70C4" w:rsidRPr="00C25964">
              <w:rPr>
                <w:noProof/>
                <w:webHidden/>
              </w:rPr>
              <w:fldChar w:fldCharType="separate"/>
            </w:r>
            <w:r w:rsidR="000F70C4" w:rsidRPr="00C25964">
              <w:rPr>
                <w:noProof/>
                <w:webHidden/>
              </w:rPr>
              <w:t>21</w:t>
            </w:r>
            <w:r w:rsidR="000F70C4" w:rsidRPr="00C25964">
              <w:rPr>
                <w:noProof/>
                <w:webHidden/>
              </w:rPr>
              <w:fldChar w:fldCharType="end"/>
            </w:r>
          </w:hyperlink>
        </w:p>
        <w:p w14:paraId="7DC5DBD2" w14:textId="521C0644" w:rsidR="00252FB9" w:rsidRPr="00C25964" w:rsidRDefault="0012551C" w:rsidP="00252FB9">
          <w:pPr>
            <w:pStyle w:val="TOC2"/>
            <w:rPr>
              <w:rFonts w:asciiTheme="minorHAnsi" w:eastAsiaTheme="minorEastAsia" w:hAnsiTheme="minorHAnsi" w:cstheme="minorBidi"/>
              <w:noProof/>
              <w:sz w:val="22"/>
            </w:rPr>
          </w:pPr>
          <w:hyperlink w:anchor="_Toc520485043" w:history="1">
            <w:r w:rsidR="000F70C4" w:rsidRPr="00C25964">
              <w:rPr>
                <w:rStyle w:val="Hyperlink"/>
                <w:noProof/>
              </w:rPr>
              <w:t>2.1.</w:t>
            </w:r>
            <w:r w:rsidR="000F70C4" w:rsidRPr="00C25964">
              <w:rPr>
                <w:noProof/>
              </w:rPr>
              <w:tab/>
            </w:r>
            <w:r w:rsidR="009139DE" w:rsidRPr="00C25964">
              <w:rPr>
                <w:rStyle w:val="Hyperlink"/>
                <w:noProof/>
              </w:rPr>
              <w:t>Regler om uppföljning och rapportering</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_Toc520485043 \h </w:instrText>
            </w:r>
            <w:r w:rsidR="000F70C4" w:rsidRPr="00C25964">
              <w:rPr>
                <w:noProof/>
                <w:webHidden/>
              </w:rPr>
            </w:r>
            <w:r w:rsidR="000F70C4" w:rsidRPr="00C25964">
              <w:rPr>
                <w:noProof/>
                <w:webHidden/>
              </w:rPr>
              <w:fldChar w:fldCharType="separate"/>
            </w:r>
            <w:r w:rsidR="000F70C4" w:rsidRPr="00C25964">
              <w:rPr>
                <w:noProof/>
                <w:webHidden/>
              </w:rPr>
              <w:t>21</w:t>
            </w:r>
            <w:r w:rsidR="000F70C4" w:rsidRPr="00C25964">
              <w:rPr>
                <w:noProof/>
                <w:webHidden/>
              </w:rPr>
              <w:fldChar w:fldCharType="end"/>
            </w:r>
          </w:hyperlink>
        </w:p>
        <w:p w14:paraId="2A8EFF67" w14:textId="25EEBB51" w:rsidR="00252FB9" w:rsidRPr="00C25964" w:rsidRDefault="0012551C" w:rsidP="00252FB9">
          <w:pPr>
            <w:pStyle w:val="TOC2"/>
            <w:rPr>
              <w:rFonts w:asciiTheme="minorHAnsi" w:eastAsiaTheme="minorEastAsia" w:hAnsiTheme="minorHAnsi" w:cstheme="minorBidi"/>
              <w:noProof/>
              <w:sz w:val="22"/>
            </w:rPr>
          </w:pPr>
          <w:hyperlink w:anchor="_Toc520485044" w:history="1">
            <w:r w:rsidR="000F70C4" w:rsidRPr="00C25964">
              <w:rPr>
                <w:rStyle w:val="Hyperlink"/>
                <w:noProof/>
              </w:rPr>
              <w:t>2.2.</w:t>
            </w:r>
            <w:r w:rsidR="000F70C4" w:rsidRPr="00C25964">
              <w:rPr>
                <w:noProof/>
              </w:rPr>
              <w:tab/>
            </w:r>
            <w:r w:rsidR="009139DE" w:rsidRPr="00C25964">
              <w:rPr>
                <w:rStyle w:val="Hyperlink"/>
                <w:noProof/>
              </w:rPr>
              <w:t>Förvaltnings- och kontrollsystem</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_Toc520485044 \h </w:instrText>
            </w:r>
            <w:r w:rsidR="000F70C4" w:rsidRPr="00C25964">
              <w:rPr>
                <w:noProof/>
                <w:webHidden/>
              </w:rPr>
            </w:r>
            <w:r w:rsidR="000F70C4" w:rsidRPr="00C25964">
              <w:rPr>
                <w:noProof/>
                <w:webHidden/>
              </w:rPr>
              <w:fldChar w:fldCharType="separate"/>
            </w:r>
            <w:r w:rsidR="000F70C4" w:rsidRPr="00C25964">
              <w:rPr>
                <w:noProof/>
                <w:webHidden/>
              </w:rPr>
              <w:t>21</w:t>
            </w:r>
            <w:r w:rsidR="000F70C4" w:rsidRPr="00C25964">
              <w:rPr>
                <w:noProof/>
                <w:webHidden/>
              </w:rPr>
              <w:fldChar w:fldCharType="end"/>
            </w:r>
          </w:hyperlink>
        </w:p>
        <w:p w14:paraId="4AE8CC7D" w14:textId="634C6468" w:rsidR="00252FB9" w:rsidRPr="00C25964" w:rsidRDefault="0012551C" w:rsidP="00252FB9">
          <w:pPr>
            <w:pStyle w:val="TOC3"/>
            <w:rPr>
              <w:rFonts w:asciiTheme="minorHAnsi" w:eastAsiaTheme="minorEastAsia" w:hAnsiTheme="minorHAnsi" w:cstheme="minorBidi"/>
              <w:noProof/>
              <w:sz w:val="22"/>
            </w:rPr>
          </w:pPr>
          <w:hyperlink w:anchor="_Toc520485045" w:history="1">
            <w:r w:rsidR="000F70C4" w:rsidRPr="00C25964">
              <w:rPr>
                <w:rStyle w:val="Hyperlink"/>
                <w:noProof/>
              </w:rPr>
              <w:t>2.2.1.</w:t>
            </w:r>
            <w:r w:rsidR="000F70C4" w:rsidRPr="00C25964">
              <w:rPr>
                <w:noProof/>
              </w:rPr>
              <w:tab/>
            </w:r>
            <w:r w:rsidR="009139DE" w:rsidRPr="00C25964">
              <w:rPr>
                <w:rStyle w:val="Hyperlink"/>
                <w:noProof/>
              </w:rPr>
              <w:t>Motivering av den genomförandemetod, de finansieringsmekanismer, de betalningsvillkor och den kontrollstrategi som föreslås</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_Toc520485045 \h </w:instrText>
            </w:r>
            <w:r w:rsidR="000F70C4" w:rsidRPr="00C25964">
              <w:rPr>
                <w:noProof/>
                <w:webHidden/>
              </w:rPr>
            </w:r>
            <w:r w:rsidR="000F70C4" w:rsidRPr="00C25964">
              <w:rPr>
                <w:noProof/>
                <w:webHidden/>
              </w:rPr>
              <w:fldChar w:fldCharType="separate"/>
            </w:r>
            <w:r w:rsidR="000F70C4" w:rsidRPr="00C25964">
              <w:rPr>
                <w:noProof/>
                <w:webHidden/>
              </w:rPr>
              <w:t>21</w:t>
            </w:r>
            <w:r w:rsidR="000F70C4" w:rsidRPr="00C25964">
              <w:rPr>
                <w:noProof/>
                <w:webHidden/>
              </w:rPr>
              <w:fldChar w:fldCharType="end"/>
            </w:r>
          </w:hyperlink>
        </w:p>
        <w:p w14:paraId="07C1650F" w14:textId="53ED30E8" w:rsidR="00252FB9" w:rsidRPr="00C25964" w:rsidRDefault="0012551C" w:rsidP="00252FB9">
          <w:pPr>
            <w:pStyle w:val="TOC3"/>
            <w:rPr>
              <w:rFonts w:asciiTheme="minorHAnsi" w:eastAsiaTheme="minorEastAsia" w:hAnsiTheme="minorHAnsi" w:cstheme="minorBidi"/>
              <w:noProof/>
              <w:sz w:val="22"/>
            </w:rPr>
          </w:pPr>
          <w:hyperlink w:anchor="_Toc520485046" w:history="1">
            <w:r w:rsidR="000F70C4" w:rsidRPr="00C25964">
              <w:rPr>
                <w:rStyle w:val="Hyperlink"/>
                <w:noProof/>
              </w:rPr>
              <w:t>2.2.2.</w:t>
            </w:r>
            <w:r w:rsidR="000F70C4" w:rsidRPr="00C25964">
              <w:rPr>
                <w:noProof/>
              </w:rPr>
              <w:tab/>
            </w:r>
            <w:r w:rsidR="001555DF" w:rsidRPr="00C25964">
              <w:rPr>
                <w:noProof/>
              </w:rPr>
              <w:t>Beräkning och motivering av kontrollernas kostnadseffektivitet (dvs. förhållandet mellan kostnaden för kontrollerna och värdet av de medel som förvaltas) och en bedömning av den förväntade risken för fel (vid betalning och vid avslutande)</w:t>
            </w:r>
            <w:r w:rsidR="001555DF" w:rsidRPr="00C25964">
              <w:rPr>
                <w:noProof/>
              </w:rPr>
              <w:tab/>
            </w:r>
            <w:r w:rsidR="001555DF" w:rsidRPr="00C25964">
              <w:rPr>
                <w:noProof/>
                <w:webHidden/>
              </w:rPr>
              <w:fldChar w:fldCharType="begin" w:fldLock="1"/>
            </w:r>
            <w:r w:rsidR="001555DF" w:rsidRPr="00C25964">
              <w:rPr>
                <w:noProof/>
                <w:webHidden/>
              </w:rPr>
              <w:instrText xml:space="preserve"> PAGEREF _Toc520485047 \h </w:instrText>
            </w:r>
            <w:r w:rsidR="001555DF" w:rsidRPr="00C25964">
              <w:rPr>
                <w:noProof/>
                <w:webHidden/>
              </w:rPr>
            </w:r>
            <w:r w:rsidR="001555DF" w:rsidRPr="00C25964">
              <w:rPr>
                <w:noProof/>
                <w:webHidden/>
              </w:rPr>
              <w:fldChar w:fldCharType="separate"/>
            </w:r>
            <w:r w:rsidR="001555DF" w:rsidRPr="00C25964">
              <w:rPr>
                <w:noProof/>
                <w:webHidden/>
              </w:rPr>
              <w:t>21</w:t>
            </w:r>
            <w:r w:rsidR="001555DF" w:rsidRPr="00C25964">
              <w:rPr>
                <w:noProof/>
                <w:webHidden/>
              </w:rPr>
              <w:fldChar w:fldCharType="end"/>
            </w:r>
          </w:hyperlink>
        </w:p>
        <w:p w14:paraId="214E92EB" w14:textId="676B74DB" w:rsidR="00252FB9" w:rsidRPr="00C25964" w:rsidRDefault="0012551C" w:rsidP="00252FB9">
          <w:pPr>
            <w:pStyle w:val="TOC2"/>
            <w:rPr>
              <w:rFonts w:asciiTheme="minorHAnsi" w:eastAsiaTheme="minorEastAsia" w:hAnsiTheme="minorHAnsi" w:cstheme="minorBidi"/>
              <w:noProof/>
              <w:sz w:val="22"/>
            </w:rPr>
          </w:pPr>
          <w:hyperlink w:anchor="_Toc520485048" w:history="1">
            <w:r w:rsidR="000F70C4" w:rsidRPr="00C25964">
              <w:rPr>
                <w:rStyle w:val="Hyperlink"/>
                <w:noProof/>
              </w:rPr>
              <w:t>2.3.</w:t>
            </w:r>
            <w:r w:rsidR="000F70C4" w:rsidRPr="00C25964">
              <w:rPr>
                <w:noProof/>
              </w:rPr>
              <w:tab/>
            </w:r>
            <w:r w:rsidR="009139DE" w:rsidRPr="00C25964">
              <w:rPr>
                <w:rStyle w:val="Hyperlink"/>
                <w:noProof/>
              </w:rPr>
              <w:t>Åtgärder för att förebygga bedrägeri och oriktigheter</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_Toc520485048 \h </w:instrText>
            </w:r>
            <w:r w:rsidR="000F70C4" w:rsidRPr="00C25964">
              <w:rPr>
                <w:noProof/>
                <w:webHidden/>
              </w:rPr>
            </w:r>
            <w:r w:rsidR="000F70C4" w:rsidRPr="00C25964">
              <w:rPr>
                <w:noProof/>
                <w:webHidden/>
              </w:rPr>
              <w:fldChar w:fldCharType="separate"/>
            </w:r>
            <w:r w:rsidR="000F70C4" w:rsidRPr="00C25964">
              <w:rPr>
                <w:noProof/>
                <w:webHidden/>
              </w:rPr>
              <w:t>21</w:t>
            </w:r>
            <w:r w:rsidR="000F70C4" w:rsidRPr="00C25964">
              <w:rPr>
                <w:noProof/>
                <w:webHidden/>
              </w:rPr>
              <w:fldChar w:fldCharType="end"/>
            </w:r>
          </w:hyperlink>
        </w:p>
        <w:p w14:paraId="5E670A20" w14:textId="50085B66" w:rsidR="00252FB9" w:rsidRPr="00C25964" w:rsidRDefault="0012551C" w:rsidP="00252FB9">
          <w:pPr>
            <w:pStyle w:val="TOC1"/>
            <w:rPr>
              <w:rFonts w:asciiTheme="minorHAnsi" w:eastAsiaTheme="minorEastAsia" w:hAnsiTheme="minorHAnsi" w:cstheme="minorBidi"/>
              <w:noProof/>
              <w:sz w:val="22"/>
            </w:rPr>
          </w:pPr>
          <w:hyperlink w:anchor="_Toc520485049" w:history="1">
            <w:r w:rsidR="000F70C4" w:rsidRPr="00C25964">
              <w:rPr>
                <w:rStyle w:val="Hyperlink"/>
                <w:noProof/>
              </w:rPr>
              <w:t>3.</w:t>
            </w:r>
            <w:r w:rsidR="000F70C4" w:rsidRPr="00C25964">
              <w:rPr>
                <w:noProof/>
              </w:rPr>
              <w:tab/>
            </w:r>
            <w:r w:rsidR="009139DE" w:rsidRPr="00C25964">
              <w:rPr>
                <w:rStyle w:val="Hyperlink"/>
                <w:noProof/>
              </w:rPr>
              <w:t>BERÄKNADE BUDGETKONSEKVENSER AV FÖRSLAGET ELLER INITIATIVET</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_Toc520485049 \h </w:instrText>
            </w:r>
            <w:r w:rsidR="000F70C4" w:rsidRPr="00C25964">
              <w:rPr>
                <w:noProof/>
                <w:webHidden/>
              </w:rPr>
            </w:r>
            <w:r w:rsidR="000F70C4" w:rsidRPr="00C25964">
              <w:rPr>
                <w:noProof/>
                <w:webHidden/>
              </w:rPr>
              <w:fldChar w:fldCharType="separate"/>
            </w:r>
            <w:r w:rsidR="000F70C4" w:rsidRPr="00C25964">
              <w:rPr>
                <w:noProof/>
                <w:webHidden/>
              </w:rPr>
              <w:t>22</w:t>
            </w:r>
            <w:r w:rsidR="000F70C4" w:rsidRPr="00C25964">
              <w:rPr>
                <w:noProof/>
                <w:webHidden/>
              </w:rPr>
              <w:fldChar w:fldCharType="end"/>
            </w:r>
          </w:hyperlink>
        </w:p>
        <w:p w14:paraId="31FC55C7" w14:textId="5C0D1004" w:rsidR="00252FB9" w:rsidRPr="00C25964" w:rsidRDefault="0012551C" w:rsidP="00252FB9">
          <w:pPr>
            <w:pStyle w:val="TOC2"/>
            <w:rPr>
              <w:rFonts w:asciiTheme="minorHAnsi" w:eastAsiaTheme="minorEastAsia" w:hAnsiTheme="minorHAnsi" w:cstheme="minorBidi"/>
              <w:noProof/>
              <w:sz w:val="22"/>
            </w:rPr>
          </w:pPr>
          <w:hyperlink w:anchor="_Toc520485050" w:history="1">
            <w:r w:rsidR="000F70C4" w:rsidRPr="00C25964">
              <w:rPr>
                <w:rStyle w:val="Hyperlink"/>
                <w:noProof/>
              </w:rPr>
              <w:t>3.1.</w:t>
            </w:r>
            <w:r w:rsidR="000F70C4" w:rsidRPr="00C25964">
              <w:rPr>
                <w:noProof/>
              </w:rPr>
              <w:tab/>
            </w:r>
            <w:r w:rsidR="009139DE" w:rsidRPr="00C25964">
              <w:rPr>
                <w:rStyle w:val="Hyperlink"/>
                <w:noProof/>
              </w:rPr>
              <w:t>Berörda rubriker i den fleråriga budgetramen och budgetrubriker i den årliga budgetens utgiftsdel</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_Toc520485050 \h </w:instrText>
            </w:r>
            <w:r w:rsidR="000F70C4" w:rsidRPr="00C25964">
              <w:rPr>
                <w:noProof/>
                <w:webHidden/>
              </w:rPr>
            </w:r>
            <w:r w:rsidR="000F70C4" w:rsidRPr="00C25964">
              <w:rPr>
                <w:noProof/>
                <w:webHidden/>
              </w:rPr>
              <w:fldChar w:fldCharType="separate"/>
            </w:r>
            <w:r w:rsidR="000F70C4" w:rsidRPr="00C25964">
              <w:rPr>
                <w:noProof/>
                <w:webHidden/>
              </w:rPr>
              <w:t>22</w:t>
            </w:r>
            <w:r w:rsidR="000F70C4" w:rsidRPr="00C25964">
              <w:rPr>
                <w:noProof/>
                <w:webHidden/>
              </w:rPr>
              <w:fldChar w:fldCharType="end"/>
            </w:r>
          </w:hyperlink>
        </w:p>
        <w:p w14:paraId="38737934" w14:textId="0D187207" w:rsidR="00252FB9" w:rsidRPr="00C25964" w:rsidRDefault="0012551C" w:rsidP="00252FB9">
          <w:pPr>
            <w:pStyle w:val="TOC2"/>
            <w:rPr>
              <w:rFonts w:asciiTheme="minorHAnsi" w:eastAsiaTheme="minorEastAsia" w:hAnsiTheme="minorHAnsi" w:cstheme="minorBidi"/>
              <w:noProof/>
              <w:sz w:val="22"/>
            </w:rPr>
          </w:pPr>
          <w:hyperlink w:anchor="_Toc520485051" w:history="1">
            <w:r w:rsidR="000F70C4" w:rsidRPr="00C25964">
              <w:rPr>
                <w:rStyle w:val="Hyperlink"/>
                <w:noProof/>
              </w:rPr>
              <w:t>3.2.</w:t>
            </w:r>
            <w:r w:rsidR="000F70C4" w:rsidRPr="00C25964">
              <w:rPr>
                <w:noProof/>
              </w:rPr>
              <w:tab/>
            </w:r>
            <w:r w:rsidR="00931067" w:rsidRPr="00C25964">
              <w:rPr>
                <w:rStyle w:val="Hyperlink"/>
                <w:noProof/>
              </w:rPr>
              <w:t>Förslagets beräknade budgetkonsekvenser på anslagen</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_Toc520485051 \h </w:instrText>
            </w:r>
            <w:r w:rsidR="000F70C4" w:rsidRPr="00C25964">
              <w:rPr>
                <w:noProof/>
                <w:webHidden/>
              </w:rPr>
            </w:r>
            <w:r w:rsidR="000F70C4" w:rsidRPr="00C25964">
              <w:rPr>
                <w:noProof/>
                <w:webHidden/>
              </w:rPr>
              <w:fldChar w:fldCharType="separate"/>
            </w:r>
            <w:r w:rsidR="000F70C4" w:rsidRPr="00C25964">
              <w:rPr>
                <w:noProof/>
                <w:webHidden/>
              </w:rPr>
              <w:t>23</w:t>
            </w:r>
            <w:r w:rsidR="000F70C4" w:rsidRPr="00C25964">
              <w:rPr>
                <w:noProof/>
                <w:webHidden/>
              </w:rPr>
              <w:fldChar w:fldCharType="end"/>
            </w:r>
          </w:hyperlink>
        </w:p>
        <w:p w14:paraId="40FD856D" w14:textId="2C7D5FCD" w:rsidR="00252FB9" w:rsidRPr="00C25964" w:rsidRDefault="0012551C" w:rsidP="00252FB9">
          <w:pPr>
            <w:pStyle w:val="TOC3"/>
            <w:rPr>
              <w:rFonts w:asciiTheme="minorHAnsi" w:eastAsiaTheme="minorEastAsia" w:hAnsiTheme="minorHAnsi" w:cstheme="minorBidi"/>
              <w:noProof/>
              <w:sz w:val="22"/>
            </w:rPr>
          </w:pPr>
          <w:hyperlink w:anchor="_Toc520485052" w:history="1">
            <w:r w:rsidR="000F70C4" w:rsidRPr="00C25964">
              <w:rPr>
                <w:rStyle w:val="Hyperlink"/>
                <w:noProof/>
              </w:rPr>
              <w:t>3.2.1.</w:t>
            </w:r>
            <w:r w:rsidR="000F70C4" w:rsidRPr="00C25964">
              <w:rPr>
                <w:noProof/>
              </w:rPr>
              <w:tab/>
            </w:r>
            <w:r w:rsidR="00931067" w:rsidRPr="00C25964">
              <w:rPr>
                <w:rStyle w:val="Hyperlink"/>
                <w:noProof/>
              </w:rPr>
              <w:t>Sammanfattning av beräknad inverkan på driftsanslagen</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_Toc520485052 \h </w:instrText>
            </w:r>
            <w:r w:rsidR="000F70C4" w:rsidRPr="00C25964">
              <w:rPr>
                <w:noProof/>
                <w:webHidden/>
              </w:rPr>
            </w:r>
            <w:r w:rsidR="000F70C4" w:rsidRPr="00C25964">
              <w:rPr>
                <w:noProof/>
                <w:webHidden/>
              </w:rPr>
              <w:fldChar w:fldCharType="separate"/>
            </w:r>
            <w:r w:rsidR="000F70C4" w:rsidRPr="00C25964">
              <w:rPr>
                <w:noProof/>
                <w:webHidden/>
              </w:rPr>
              <w:t>23</w:t>
            </w:r>
            <w:r w:rsidR="000F70C4" w:rsidRPr="00C25964">
              <w:rPr>
                <w:noProof/>
                <w:webHidden/>
              </w:rPr>
              <w:fldChar w:fldCharType="end"/>
            </w:r>
          </w:hyperlink>
        </w:p>
        <w:p w14:paraId="58F46FA7" w14:textId="419ABD95" w:rsidR="00252FB9" w:rsidRPr="00C25964" w:rsidRDefault="0012551C" w:rsidP="00252FB9">
          <w:pPr>
            <w:pStyle w:val="TOC3"/>
            <w:rPr>
              <w:rFonts w:asciiTheme="minorHAnsi" w:eastAsiaTheme="minorEastAsia" w:hAnsiTheme="minorHAnsi" w:cstheme="minorBidi"/>
              <w:noProof/>
              <w:sz w:val="22"/>
            </w:rPr>
          </w:pPr>
          <w:hyperlink w:anchor="_Toc520485053" w:history="1">
            <w:r w:rsidR="000F70C4" w:rsidRPr="00C25964">
              <w:rPr>
                <w:rStyle w:val="Hyperlink"/>
                <w:noProof/>
              </w:rPr>
              <w:t>3.2.2.</w:t>
            </w:r>
            <w:r w:rsidR="000F70C4" w:rsidRPr="00C25964">
              <w:rPr>
                <w:noProof/>
              </w:rPr>
              <w:tab/>
            </w:r>
            <w:r w:rsidR="00931067" w:rsidRPr="00C25964">
              <w:rPr>
                <w:rStyle w:val="Hyperlink"/>
                <w:noProof/>
              </w:rPr>
              <w:t>Beräknad output som finansieras med driftsanslag</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_Toc520485053 \h </w:instrText>
            </w:r>
            <w:r w:rsidR="000F70C4" w:rsidRPr="00C25964">
              <w:rPr>
                <w:noProof/>
                <w:webHidden/>
              </w:rPr>
            </w:r>
            <w:r w:rsidR="000F70C4" w:rsidRPr="00C25964">
              <w:rPr>
                <w:noProof/>
                <w:webHidden/>
              </w:rPr>
              <w:fldChar w:fldCharType="separate"/>
            </w:r>
            <w:r w:rsidR="000F70C4" w:rsidRPr="00C25964">
              <w:rPr>
                <w:noProof/>
                <w:webHidden/>
              </w:rPr>
              <w:t>26</w:t>
            </w:r>
            <w:r w:rsidR="000F70C4" w:rsidRPr="00C25964">
              <w:rPr>
                <w:noProof/>
                <w:webHidden/>
              </w:rPr>
              <w:fldChar w:fldCharType="end"/>
            </w:r>
          </w:hyperlink>
        </w:p>
        <w:p w14:paraId="346C3754" w14:textId="2684F0F3" w:rsidR="00252FB9" w:rsidRPr="00C25964" w:rsidRDefault="0012551C" w:rsidP="00252FB9">
          <w:pPr>
            <w:pStyle w:val="TOC3"/>
            <w:rPr>
              <w:rFonts w:asciiTheme="minorHAnsi" w:eastAsiaTheme="minorEastAsia" w:hAnsiTheme="minorHAnsi" w:cstheme="minorBidi"/>
              <w:noProof/>
              <w:sz w:val="22"/>
            </w:rPr>
          </w:pPr>
          <w:hyperlink w:anchor="_Toc520485054" w:history="1">
            <w:r w:rsidR="000F70C4" w:rsidRPr="00C25964">
              <w:rPr>
                <w:rStyle w:val="Hyperlink"/>
                <w:noProof/>
              </w:rPr>
              <w:t>3.2.3.</w:t>
            </w:r>
            <w:r w:rsidR="000F70C4" w:rsidRPr="00C25964">
              <w:rPr>
                <w:noProof/>
              </w:rPr>
              <w:tab/>
            </w:r>
            <w:r w:rsidR="00931067" w:rsidRPr="00C25964">
              <w:rPr>
                <w:rStyle w:val="Hyperlink"/>
                <w:noProof/>
              </w:rPr>
              <w:t>Sammanfattning av beräknad inverkan på de administrativa anslagen</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_Toc520485054 \h </w:instrText>
            </w:r>
            <w:r w:rsidR="000F70C4" w:rsidRPr="00C25964">
              <w:rPr>
                <w:noProof/>
                <w:webHidden/>
              </w:rPr>
            </w:r>
            <w:r w:rsidR="000F70C4" w:rsidRPr="00C25964">
              <w:rPr>
                <w:noProof/>
                <w:webHidden/>
              </w:rPr>
              <w:fldChar w:fldCharType="separate"/>
            </w:r>
            <w:r w:rsidR="000F70C4" w:rsidRPr="00C25964">
              <w:rPr>
                <w:noProof/>
                <w:webHidden/>
              </w:rPr>
              <w:t>27</w:t>
            </w:r>
            <w:r w:rsidR="000F70C4" w:rsidRPr="00C25964">
              <w:rPr>
                <w:noProof/>
                <w:webHidden/>
              </w:rPr>
              <w:fldChar w:fldCharType="end"/>
            </w:r>
          </w:hyperlink>
        </w:p>
        <w:p w14:paraId="36936D4E" w14:textId="7729BFB3" w:rsidR="00252FB9" w:rsidRPr="00C25964" w:rsidRDefault="0012551C" w:rsidP="00252FB9">
          <w:pPr>
            <w:pStyle w:val="TOC3"/>
            <w:rPr>
              <w:rFonts w:asciiTheme="minorHAnsi" w:eastAsiaTheme="minorEastAsia" w:hAnsiTheme="minorHAnsi" w:cstheme="minorBidi"/>
              <w:noProof/>
              <w:sz w:val="22"/>
            </w:rPr>
          </w:pPr>
          <w:hyperlink w:anchor="_Toc520485055" w:history="1">
            <w:r w:rsidR="000F70C4" w:rsidRPr="00C25964">
              <w:rPr>
                <w:rStyle w:val="Hyperlink"/>
                <w:noProof/>
              </w:rPr>
              <w:t>3.2.4.</w:t>
            </w:r>
            <w:r w:rsidR="000F70C4" w:rsidRPr="00C25964">
              <w:rPr>
                <w:noProof/>
              </w:rPr>
              <w:tab/>
            </w:r>
            <w:r w:rsidR="00931067" w:rsidRPr="00C25964">
              <w:rPr>
                <w:rStyle w:val="Hyperlink"/>
                <w:noProof/>
              </w:rPr>
              <w:t>Förenlighet med den gällande fleråriga budgetramen</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_Toc520485055 \h </w:instrText>
            </w:r>
            <w:r w:rsidR="000F70C4" w:rsidRPr="00C25964">
              <w:rPr>
                <w:noProof/>
                <w:webHidden/>
              </w:rPr>
            </w:r>
            <w:r w:rsidR="000F70C4" w:rsidRPr="00C25964">
              <w:rPr>
                <w:noProof/>
                <w:webHidden/>
              </w:rPr>
              <w:fldChar w:fldCharType="separate"/>
            </w:r>
            <w:r w:rsidR="000F70C4" w:rsidRPr="00C25964">
              <w:rPr>
                <w:noProof/>
                <w:webHidden/>
              </w:rPr>
              <w:t>29</w:t>
            </w:r>
            <w:r w:rsidR="000F70C4" w:rsidRPr="00C25964">
              <w:rPr>
                <w:noProof/>
                <w:webHidden/>
              </w:rPr>
              <w:fldChar w:fldCharType="end"/>
            </w:r>
          </w:hyperlink>
        </w:p>
        <w:p w14:paraId="50D5105E" w14:textId="1CB257BA" w:rsidR="00252FB9" w:rsidRPr="00C25964" w:rsidRDefault="0012551C" w:rsidP="00252FB9">
          <w:pPr>
            <w:pStyle w:val="TOC3"/>
            <w:rPr>
              <w:rFonts w:asciiTheme="minorHAnsi" w:eastAsiaTheme="minorEastAsia" w:hAnsiTheme="minorHAnsi" w:cstheme="minorBidi"/>
              <w:noProof/>
              <w:sz w:val="22"/>
            </w:rPr>
          </w:pPr>
          <w:hyperlink w:anchor="_Toc520485056" w:history="1">
            <w:r w:rsidR="000F70C4" w:rsidRPr="00C25964">
              <w:rPr>
                <w:rStyle w:val="Hyperlink"/>
                <w:noProof/>
              </w:rPr>
              <w:t>3.2.5.</w:t>
            </w:r>
            <w:r w:rsidR="000F70C4" w:rsidRPr="00C25964">
              <w:rPr>
                <w:noProof/>
              </w:rPr>
              <w:tab/>
            </w:r>
            <w:r w:rsidR="00931067" w:rsidRPr="00C25964">
              <w:rPr>
                <w:rStyle w:val="Hyperlink"/>
                <w:noProof/>
              </w:rPr>
              <w:t>Bidrag från tredje part</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_Toc520485056 \h </w:instrText>
            </w:r>
            <w:r w:rsidR="000F70C4" w:rsidRPr="00C25964">
              <w:rPr>
                <w:noProof/>
                <w:webHidden/>
              </w:rPr>
            </w:r>
            <w:r w:rsidR="000F70C4" w:rsidRPr="00C25964">
              <w:rPr>
                <w:noProof/>
                <w:webHidden/>
              </w:rPr>
              <w:fldChar w:fldCharType="separate"/>
            </w:r>
            <w:r w:rsidR="000F70C4" w:rsidRPr="00C25964">
              <w:rPr>
                <w:noProof/>
                <w:webHidden/>
              </w:rPr>
              <w:t>29</w:t>
            </w:r>
            <w:r w:rsidR="000F70C4" w:rsidRPr="00C25964">
              <w:rPr>
                <w:noProof/>
                <w:webHidden/>
              </w:rPr>
              <w:fldChar w:fldCharType="end"/>
            </w:r>
          </w:hyperlink>
        </w:p>
        <w:p w14:paraId="18E1C77C" w14:textId="4C9691C3" w:rsidR="00252FB9" w:rsidRPr="00C25964" w:rsidRDefault="0012551C" w:rsidP="00252FB9">
          <w:pPr>
            <w:pStyle w:val="TOC2"/>
            <w:rPr>
              <w:rFonts w:asciiTheme="minorHAnsi" w:eastAsiaTheme="minorEastAsia" w:hAnsiTheme="minorHAnsi" w:cstheme="minorBidi"/>
              <w:noProof/>
              <w:sz w:val="22"/>
            </w:rPr>
          </w:pPr>
          <w:hyperlink w:anchor="_Toc520485057" w:history="1">
            <w:r w:rsidR="000F70C4" w:rsidRPr="00C25964">
              <w:rPr>
                <w:rStyle w:val="Hyperlink"/>
                <w:noProof/>
              </w:rPr>
              <w:t>3.3.</w:t>
            </w:r>
            <w:r w:rsidR="000F70C4" w:rsidRPr="00C25964">
              <w:rPr>
                <w:noProof/>
              </w:rPr>
              <w:tab/>
            </w:r>
            <w:r w:rsidR="00931067" w:rsidRPr="00C25964">
              <w:rPr>
                <w:rStyle w:val="Hyperlink"/>
                <w:noProof/>
              </w:rPr>
              <w:t>Beräknad inverkan på inkomsterna</w:t>
            </w:r>
            <w:r w:rsidR="000F70C4" w:rsidRPr="00C25964">
              <w:rPr>
                <w:noProof/>
              </w:rPr>
              <w:tab/>
            </w:r>
            <w:r w:rsidR="000F70C4" w:rsidRPr="00C25964">
              <w:rPr>
                <w:noProof/>
                <w:webHidden/>
              </w:rPr>
              <w:fldChar w:fldCharType="begin" w:fldLock="1"/>
            </w:r>
            <w:r w:rsidR="000F70C4" w:rsidRPr="00C25964">
              <w:rPr>
                <w:noProof/>
                <w:webHidden/>
              </w:rPr>
              <w:instrText xml:space="preserve"> PAGEREF _Toc520485057 \h </w:instrText>
            </w:r>
            <w:r w:rsidR="000F70C4" w:rsidRPr="00C25964">
              <w:rPr>
                <w:noProof/>
                <w:webHidden/>
              </w:rPr>
            </w:r>
            <w:r w:rsidR="000F70C4" w:rsidRPr="00C25964">
              <w:rPr>
                <w:noProof/>
                <w:webHidden/>
              </w:rPr>
              <w:fldChar w:fldCharType="separate"/>
            </w:r>
            <w:r w:rsidR="000F70C4" w:rsidRPr="00C25964">
              <w:rPr>
                <w:noProof/>
                <w:webHidden/>
              </w:rPr>
              <w:t>30</w:t>
            </w:r>
            <w:r w:rsidR="000F70C4" w:rsidRPr="00C25964">
              <w:rPr>
                <w:noProof/>
                <w:webHidden/>
              </w:rPr>
              <w:fldChar w:fldCharType="end"/>
            </w:r>
          </w:hyperlink>
        </w:p>
        <w:p w14:paraId="28AE91A7" w14:textId="2B836811" w:rsidR="00252FB9" w:rsidRPr="00C25964" w:rsidRDefault="00252FB9" w:rsidP="00252FB9">
          <w:pPr>
            <w:rPr>
              <w:noProof/>
            </w:rPr>
          </w:pPr>
          <w:r w:rsidRPr="00C25964">
            <w:rPr>
              <w:b/>
              <w:bCs/>
              <w:noProof/>
            </w:rPr>
            <w:fldChar w:fldCharType="end"/>
          </w:r>
        </w:p>
      </w:sdtContent>
    </w:sdt>
    <w:p w14:paraId="4C167096" w14:textId="77777777" w:rsidR="00252FB9" w:rsidRPr="00C25964" w:rsidRDefault="00252FB9" w:rsidP="00252FB9">
      <w:pPr>
        <w:rPr>
          <w:noProof/>
        </w:rPr>
        <w:sectPr w:rsidR="00252FB9" w:rsidRPr="00C25964" w:rsidSect="004A0B38">
          <w:pgSz w:w="11907" w:h="16840" w:code="9"/>
          <w:pgMar w:top="1134" w:right="1418" w:bottom="1134" w:left="1418" w:header="709" w:footer="709" w:gutter="0"/>
          <w:cols w:space="720"/>
          <w:docGrid w:linePitch="360"/>
        </w:sectPr>
      </w:pPr>
    </w:p>
    <w:p w14:paraId="13E9F7D2" w14:textId="15CEDB30" w:rsidR="00252FB9" w:rsidRPr="00C25964" w:rsidRDefault="00252FB9" w:rsidP="00796BD0">
      <w:pPr>
        <w:jc w:val="center"/>
        <w:rPr>
          <w:b/>
          <w:noProof/>
          <w:u w:val="single"/>
        </w:rPr>
      </w:pPr>
      <w:r w:rsidRPr="00C25964">
        <w:rPr>
          <w:b/>
          <w:noProof/>
          <w:u w:val="single"/>
        </w:rPr>
        <w:t>FINANSIERINGSÖVERSIKT FÖR RÄTTSAKTEN</w:t>
      </w:r>
    </w:p>
    <w:p w14:paraId="11D4F827" w14:textId="17819DB5" w:rsidR="00252FB9" w:rsidRPr="00C25964" w:rsidRDefault="00AD1692" w:rsidP="00AD1692">
      <w:pPr>
        <w:pStyle w:val="ManualHeading1"/>
        <w:rPr>
          <w:noProof/>
        </w:rPr>
      </w:pPr>
      <w:bookmarkStart w:id="0" w:name="_Toc514938007"/>
      <w:bookmarkStart w:id="1" w:name="_Toc520485025"/>
      <w:r w:rsidRPr="00AD1692">
        <w:t>1.</w:t>
      </w:r>
      <w:r w:rsidRPr="00AD1692">
        <w:tab/>
      </w:r>
      <w:r w:rsidR="00252FB9" w:rsidRPr="00C25964">
        <w:rPr>
          <w:noProof/>
        </w:rPr>
        <w:t>GRUNDLÄGGANDE UPPGIFTER OM FÖRSLAGET ELLER INITIATIVET</w:t>
      </w:r>
      <w:bookmarkEnd w:id="0"/>
      <w:bookmarkEnd w:id="1"/>
      <w:r w:rsidR="00252FB9" w:rsidRPr="00C25964">
        <w:rPr>
          <w:noProof/>
        </w:rPr>
        <w:t xml:space="preserve"> </w:t>
      </w:r>
    </w:p>
    <w:p w14:paraId="3240A0DF" w14:textId="7019593E" w:rsidR="00252FB9" w:rsidRPr="00C25964" w:rsidRDefault="00AD1692" w:rsidP="00AD1692">
      <w:pPr>
        <w:pStyle w:val="ManualHeading2"/>
        <w:rPr>
          <w:noProof/>
        </w:rPr>
      </w:pPr>
      <w:bookmarkStart w:id="2" w:name="_Toc514938008"/>
      <w:bookmarkStart w:id="3" w:name="_Toc520485026"/>
      <w:r w:rsidRPr="00AD1692">
        <w:t>1.1.</w:t>
      </w:r>
      <w:r w:rsidRPr="00AD1692">
        <w:tab/>
      </w:r>
      <w:r w:rsidR="00252FB9" w:rsidRPr="00C25964">
        <w:rPr>
          <w:noProof/>
        </w:rPr>
        <w:t>Förslagets eller initiativets titel</w:t>
      </w:r>
      <w:bookmarkEnd w:id="2"/>
      <w:bookmarkEnd w:id="3"/>
    </w:p>
    <w:p w14:paraId="74686765" w14:textId="5F67B3BB" w:rsidR="00252FB9" w:rsidRPr="00C25964" w:rsidRDefault="00F77F1E" w:rsidP="00B42A30">
      <w:pPr>
        <w:pStyle w:val="text10"/>
        <w:pBdr>
          <w:top w:val="single" w:sz="4" w:space="1" w:color="auto"/>
          <w:left w:val="single" w:sz="4" w:space="4" w:color="auto"/>
          <w:bottom w:val="single" w:sz="4" w:space="1" w:color="auto"/>
          <w:right w:val="single" w:sz="4" w:space="4" w:color="auto"/>
        </w:pBdr>
        <w:ind w:left="720"/>
        <w:rPr>
          <w:noProof/>
        </w:rPr>
      </w:pPr>
      <w:r w:rsidRPr="00C25964">
        <w:rPr>
          <w:noProof/>
        </w:rPr>
        <w:t>Europaåret för ungdomar 2022</w:t>
      </w:r>
    </w:p>
    <w:p w14:paraId="64538C78" w14:textId="24C9E315" w:rsidR="00252FB9" w:rsidRPr="00C25964" w:rsidRDefault="00AD1692" w:rsidP="00AD1692">
      <w:pPr>
        <w:pStyle w:val="ManualHeading2"/>
        <w:rPr>
          <w:i/>
          <w:noProof/>
        </w:rPr>
      </w:pPr>
      <w:bookmarkStart w:id="4" w:name="_Toc514938011"/>
      <w:bookmarkStart w:id="5" w:name="_Toc520485027"/>
      <w:r w:rsidRPr="00AD1692">
        <w:t>1.2.</w:t>
      </w:r>
      <w:r w:rsidRPr="00AD1692">
        <w:tab/>
      </w:r>
      <w:r w:rsidR="00252FB9" w:rsidRPr="00C25964">
        <w:rPr>
          <w:noProof/>
        </w:rPr>
        <w:t>Berörda politikområden</w:t>
      </w:r>
      <w:bookmarkEnd w:id="4"/>
      <w:bookmarkEnd w:id="5"/>
      <w:r w:rsidR="00252FB9" w:rsidRPr="00C25964">
        <w:rPr>
          <w:i/>
          <w:noProof/>
        </w:rPr>
        <w:t xml:space="preserve"> </w:t>
      </w:r>
    </w:p>
    <w:p w14:paraId="7440BE51" w14:textId="77777777" w:rsidR="00252FB9" w:rsidRPr="00C25964" w:rsidRDefault="00252FB9" w:rsidP="000C2BAD">
      <w:pPr>
        <w:pStyle w:val="Text1"/>
        <w:pBdr>
          <w:top w:val="single" w:sz="4" w:space="1" w:color="auto"/>
          <w:left w:val="single" w:sz="4" w:space="4" w:color="auto"/>
          <w:bottom w:val="single" w:sz="4" w:space="1" w:color="auto"/>
          <w:right w:val="single" w:sz="4" w:space="4" w:color="auto"/>
        </w:pBdr>
        <w:rPr>
          <w:noProof/>
        </w:rPr>
      </w:pPr>
      <w:r w:rsidRPr="00C25964">
        <w:rPr>
          <w:noProof/>
        </w:rPr>
        <w:t xml:space="preserve">Politikområde: Utbildning, ungdomsfrågor och idrott  </w:t>
      </w:r>
    </w:p>
    <w:p w14:paraId="72D22AC0" w14:textId="77777777" w:rsidR="00252FB9" w:rsidRPr="00C25964" w:rsidRDefault="00252FB9" w:rsidP="000C2BAD">
      <w:pPr>
        <w:pStyle w:val="Text1"/>
        <w:pBdr>
          <w:top w:val="single" w:sz="4" w:space="1" w:color="auto"/>
          <w:left w:val="single" w:sz="4" w:space="4" w:color="auto"/>
          <w:bottom w:val="single" w:sz="4" w:space="1" w:color="auto"/>
          <w:right w:val="single" w:sz="4" w:space="4" w:color="auto"/>
        </w:pBdr>
        <w:rPr>
          <w:noProof/>
        </w:rPr>
      </w:pPr>
      <w:r w:rsidRPr="00C25964">
        <w:rPr>
          <w:noProof/>
        </w:rPr>
        <w:t>under rubrik 2: Sammanhållning, resiliens och värden</w:t>
      </w:r>
    </w:p>
    <w:p w14:paraId="03BEF560" w14:textId="2358E806" w:rsidR="00252FB9" w:rsidRPr="00C25964" w:rsidRDefault="00AD1692" w:rsidP="00AD1692">
      <w:pPr>
        <w:pStyle w:val="ManualHeading2"/>
        <w:rPr>
          <w:noProof/>
        </w:rPr>
      </w:pPr>
      <w:bookmarkStart w:id="6" w:name="_Toc514938014"/>
      <w:bookmarkStart w:id="7" w:name="_Toc520485028"/>
      <w:r w:rsidRPr="00AD1692">
        <w:t>1.3.</w:t>
      </w:r>
      <w:r w:rsidRPr="00AD1692">
        <w:tab/>
      </w:r>
      <w:r w:rsidR="00252FB9" w:rsidRPr="00C25964">
        <w:rPr>
          <w:noProof/>
        </w:rPr>
        <w:t>Förslaget eller initiativet avser</w:t>
      </w:r>
      <w:bookmarkEnd w:id="6"/>
      <w:bookmarkEnd w:id="7"/>
      <w:r w:rsidR="00252FB9" w:rsidRPr="00C25964">
        <w:rPr>
          <w:noProof/>
        </w:rPr>
        <w:t xml:space="preserve"> </w:t>
      </w:r>
    </w:p>
    <w:p w14:paraId="4FD80D76" w14:textId="77777777" w:rsidR="00252FB9" w:rsidRPr="00C25964" w:rsidRDefault="00252FB9" w:rsidP="00252FB9">
      <w:pPr>
        <w:pStyle w:val="Text1"/>
        <w:rPr>
          <w:b/>
          <w:bCs/>
          <w:noProof/>
          <w:sz w:val="22"/>
        </w:rPr>
      </w:pPr>
      <w:r w:rsidRPr="00C25964">
        <w:rPr>
          <w:b/>
          <w:bCs/>
          <w:noProof/>
        </w:rPr>
        <w:t>X en ny åtgärd</w:t>
      </w:r>
      <w:r w:rsidRPr="00C25964">
        <w:rPr>
          <w:b/>
          <w:bCs/>
          <w:noProof/>
          <w:sz w:val="22"/>
        </w:rPr>
        <w:t xml:space="preserve"> </w:t>
      </w:r>
    </w:p>
    <w:p w14:paraId="2E893A71" w14:textId="77777777" w:rsidR="00252FB9" w:rsidRPr="00C25964" w:rsidRDefault="00252FB9" w:rsidP="00252FB9">
      <w:pPr>
        <w:pStyle w:val="Text1"/>
        <w:rPr>
          <w:noProof/>
          <w:sz w:val="22"/>
        </w:rPr>
      </w:pPr>
      <w:r w:rsidRPr="00C25964">
        <w:rPr>
          <w:noProof/>
          <w:sz w:val="22"/>
        </w:rPr>
        <w:sym w:font="Wingdings" w:char="F0A8"/>
      </w:r>
      <w:r w:rsidRPr="00C25964">
        <w:rPr>
          <w:i/>
          <w:iCs/>
          <w:noProof/>
          <w:sz w:val="22"/>
        </w:rPr>
        <w:t xml:space="preserve"> </w:t>
      </w:r>
      <w:r w:rsidRPr="00C25964">
        <w:rPr>
          <w:b/>
          <w:bCs/>
          <w:noProof/>
        </w:rPr>
        <w:t>en ny åtgärd som bygger på ett pilotprojekt eller en förberedande åtgärd</w:t>
      </w:r>
      <w:r w:rsidRPr="00C25964">
        <w:rPr>
          <w:rStyle w:val="FootnoteReference0"/>
          <w:b/>
          <w:bCs/>
          <w:noProof/>
        </w:rPr>
        <w:footnoteReference w:id="31"/>
      </w:r>
      <w:r w:rsidRPr="00C25964">
        <w:rPr>
          <w:noProof/>
          <w:sz w:val="22"/>
        </w:rPr>
        <w:t xml:space="preserve"> </w:t>
      </w:r>
    </w:p>
    <w:p w14:paraId="6193BAF8" w14:textId="77777777" w:rsidR="00252FB9" w:rsidRPr="00C25964" w:rsidRDefault="00252FB9" w:rsidP="00252FB9">
      <w:pPr>
        <w:pStyle w:val="Text1"/>
        <w:rPr>
          <w:noProof/>
          <w:sz w:val="22"/>
        </w:rPr>
      </w:pPr>
      <w:r w:rsidRPr="00C25964">
        <w:rPr>
          <w:noProof/>
          <w:sz w:val="22"/>
        </w:rPr>
        <w:sym w:font="Wingdings" w:char="F0A8"/>
      </w:r>
      <w:r w:rsidRPr="00C25964">
        <w:rPr>
          <w:i/>
          <w:iCs/>
          <w:noProof/>
          <w:sz w:val="22"/>
        </w:rPr>
        <w:t xml:space="preserve"> </w:t>
      </w:r>
      <w:r w:rsidRPr="00C25964">
        <w:rPr>
          <w:b/>
          <w:bCs/>
          <w:noProof/>
        </w:rPr>
        <w:t>en förlängning av en befintlig åtgärd</w:t>
      </w:r>
      <w:r w:rsidRPr="00C25964">
        <w:rPr>
          <w:noProof/>
          <w:sz w:val="22"/>
        </w:rPr>
        <w:t xml:space="preserve"> </w:t>
      </w:r>
    </w:p>
    <w:p w14:paraId="7B78A597" w14:textId="77777777" w:rsidR="00252FB9" w:rsidRPr="00C25964" w:rsidRDefault="00252FB9" w:rsidP="00252FB9">
      <w:pPr>
        <w:pStyle w:val="Text1"/>
        <w:rPr>
          <w:noProof/>
        </w:rPr>
      </w:pPr>
      <w:r w:rsidRPr="00C25964">
        <w:rPr>
          <w:noProof/>
          <w:sz w:val="22"/>
        </w:rPr>
        <w:sym w:font="Wingdings" w:char="F0A8"/>
      </w:r>
      <w:r w:rsidRPr="00C25964">
        <w:rPr>
          <w:i/>
          <w:iCs/>
          <w:noProof/>
          <w:sz w:val="22"/>
        </w:rPr>
        <w:t xml:space="preserve"> </w:t>
      </w:r>
      <w:r w:rsidRPr="00C25964">
        <w:rPr>
          <w:b/>
          <w:bCs/>
          <w:noProof/>
        </w:rPr>
        <w:t>en sammanslagning eller omdirigering av en eller flera åtgärder mot en annan/en ny åtgärd</w:t>
      </w:r>
      <w:r w:rsidRPr="00C25964">
        <w:rPr>
          <w:noProof/>
        </w:rPr>
        <w:t xml:space="preserve"> </w:t>
      </w:r>
    </w:p>
    <w:p w14:paraId="5E758877" w14:textId="0E6DBF84" w:rsidR="00252FB9" w:rsidRPr="00C25964" w:rsidRDefault="00AD1692" w:rsidP="00AD1692">
      <w:pPr>
        <w:pStyle w:val="ManualHeading2"/>
        <w:rPr>
          <w:noProof/>
        </w:rPr>
      </w:pPr>
      <w:bookmarkStart w:id="8" w:name="_Toc514938015"/>
      <w:bookmarkStart w:id="9" w:name="_Toc520485029"/>
      <w:r w:rsidRPr="00AD1692">
        <w:t>1.4.</w:t>
      </w:r>
      <w:r w:rsidRPr="00AD1692">
        <w:tab/>
      </w:r>
      <w:r w:rsidR="00252FB9" w:rsidRPr="00C25964">
        <w:rPr>
          <w:noProof/>
        </w:rPr>
        <w:t>Mål</w:t>
      </w:r>
      <w:bookmarkEnd w:id="8"/>
      <w:bookmarkEnd w:id="9"/>
    </w:p>
    <w:p w14:paraId="5E012BC0" w14:textId="79AD74FB" w:rsidR="00252FB9" w:rsidRPr="00C25964" w:rsidRDefault="00AD1692" w:rsidP="00AD1692">
      <w:pPr>
        <w:pStyle w:val="ManualHeading3"/>
        <w:rPr>
          <w:noProof/>
        </w:rPr>
      </w:pPr>
      <w:bookmarkStart w:id="10" w:name="_Toc514938016"/>
      <w:bookmarkStart w:id="11" w:name="_Toc520485030"/>
      <w:r w:rsidRPr="00AD1692">
        <w:t>1.4.1.</w:t>
      </w:r>
      <w:r w:rsidRPr="00AD1692">
        <w:tab/>
      </w:r>
      <w:r w:rsidR="00252FB9" w:rsidRPr="00C25964">
        <w:rPr>
          <w:noProof/>
        </w:rPr>
        <w:t>Allmänt/allmänna mål:</w:t>
      </w:r>
      <w:bookmarkEnd w:id="10"/>
      <w:bookmarkEnd w:id="11"/>
    </w:p>
    <w:p w14:paraId="6DF83B84" w14:textId="77777777" w:rsidR="00252FB9" w:rsidRPr="00C25964" w:rsidRDefault="00252FB9" w:rsidP="00252FB9">
      <w:pPr>
        <w:pStyle w:val="Text1"/>
        <w:pBdr>
          <w:top w:val="single" w:sz="4" w:space="1" w:color="auto"/>
          <w:left w:val="single" w:sz="4" w:space="4" w:color="auto"/>
          <w:bottom w:val="single" w:sz="4" w:space="1" w:color="auto"/>
          <w:right w:val="single" w:sz="4" w:space="4" w:color="auto"/>
        </w:pBdr>
        <w:rPr>
          <w:rStyle w:val="normaltextrun"/>
          <w:noProof/>
          <w:color w:val="000000"/>
          <w:shd w:val="clear" w:color="auto" w:fill="FFFFFF"/>
        </w:rPr>
      </w:pPr>
      <w:r w:rsidRPr="00C25964">
        <w:rPr>
          <w:rStyle w:val="normaltextrun"/>
          <w:noProof/>
          <w:color w:val="000000" w:themeColor="text1"/>
        </w:rPr>
        <w:t>Målet för Europaåret för ungdomar är att stärka och stödja unionens, medlemsstaternas och de regionala och lokala myndigheternas insatser för att uppmärksamma ungdomarna i en värld efter pandemin genom att inspireras av ungdomarnas idéer, strävanden och visioner. Därigenom formas unionens framtida utveckling och samhället i stort. Det är ett tillfälle att öka medvetenheten om framtida möjligheter för unga människor i Europa.  </w:t>
      </w:r>
    </w:p>
    <w:p w14:paraId="67101DD4" w14:textId="19EB79D4" w:rsidR="00252FB9" w:rsidRPr="00C25964" w:rsidRDefault="00AD1692" w:rsidP="00AD1692">
      <w:pPr>
        <w:pStyle w:val="ManualHeading3"/>
        <w:rPr>
          <w:bCs/>
          <w:noProof/>
          <w:szCs w:val="24"/>
        </w:rPr>
      </w:pPr>
      <w:bookmarkStart w:id="12" w:name="_Toc514938018"/>
      <w:bookmarkStart w:id="13" w:name="_Toc520485031"/>
      <w:r w:rsidRPr="00AD1692">
        <w:t>1.4.2.</w:t>
      </w:r>
      <w:r w:rsidRPr="00AD1692">
        <w:tab/>
      </w:r>
      <w:r w:rsidR="00252FB9" w:rsidRPr="00C25964">
        <w:rPr>
          <w:noProof/>
        </w:rPr>
        <w:t>Specifikt/specifika mål:</w:t>
      </w:r>
      <w:bookmarkEnd w:id="12"/>
      <w:bookmarkEnd w:id="13"/>
    </w:p>
    <w:p w14:paraId="705536FD" w14:textId="0FDDDE07" w:rsidR="00252FB9" w:rsidRPr="00C25964" w:rsidRDefault="00252FB9" w:rsidP="00252FB9">
      <w:pPr>
        <w:pStyle w:val="paragraph"/>
        <w:spacing w:before="0" w:beforeAutospacing="0" w:after="0" w:afterAutospacing="0"/>
        <w:ind w:left="5100" w:right="-570"/>
        <w:textAlignment w:val="baseline"/>
        <w:rPr>
          <w:noProof/>
        </w:rPr>
      </w:pPr>
      <w:r w:rsidRPr="00C25964">
        <w:rPr>
          <w:rStyle w:val="eop"/>
          <w:noProof/>
          <w:sz w:val="20"/>
          <w:szCs w:val="20"/>
        </w:rPr>
        <w:t xml:space="preserve"> </w:t>
      </w:r>
    </w:p>
    <w:p w14:paraId="25AB9060" w14:textId="6C383A0E" w:rsidR="0049162E" w:rsidRPr="00C25964" w:rsidRDefault="0049162E" w:rsidP="0049162E">
      <w:pPr>
        <w:pStyle w:val="Text1"/>
        <w:pBdr>
          <w:top w:val="single" w:sz="4" w:space="1" w:color="auto"/>
          <w:left w:val="single" w:sz="4" w:space="4" w:color="auto"/>
          <w:bottom w:val="single" w:sz="4" w:space="1" w:color="auto"/>
          <w:right w:val="single" w:sz="4" w:space="4" w:color="auto"/>
        </w:pBdr>
        <w:ind w:left="1210"/>
        <w:rPr>
          <w:noProof/>
        </w:rPr>
      </w:pPr>
      <w:r w:rsidRPr="00C25964">
        <w:rPr>
          <w:noProof/>
        </w:rPr>
        <w:t xml:space="preserve">– Belysa hur den gröna och den digitala omställningen ger nya framtidsutsikter och nya möjligheter att motverka pandemins negativa konsekvenser för ungdomar och samhället i stort, med inspiration från ungdomars vision och insikter för att ytterligare stärka och blåsa nytt liv i Europeiska unionens gemensamma projekt och lyssna på ungdomar, med beaktande av deras farhågor, och stödja dem när det gäller att utveckla konkreta och inkluderande möjligheter, samtidigt som unionens instrument utnyttjas optimalt, </w:t>
      </w:r>
    </w:p>
    <w:p w14:paraId="44BE5651" w14:textId="244FD7B4" w:rsidR="0049162E" w:rsidRPr="00C25964" w:rsidRDefault="0049162E" w:rsidP="0049162E">
      <w:pPr>
        <w:pStyle w:val="Text1"/>
        <w:pBdr>
          <w:top w:val="single" w:sz="4" w:space="1" w:color="auto"/>
          <w:left w:val="single" w:sz="4" w:space="4" w:color="auto"/>
          <w:bottom w:val="single" w:sz="4" w:space="1" w:color="auto"/>
          <w:right w:val="single" w:sz="4" w:space="4" w:color="auto"/>
        </w:pBdr>
        <w:ind w:left="1210"/>
        <w:rPr>
          <w:noProof/>
        </w:rPr>
      </w:pPr>
      <w:r w:rsidRPr="00C25964">
        <w:rPr>
          <w:noProof/>
        </w:rPr>
        <w:t>– Uppmuntra alla ungdomar, särskilt ungdomar med begränsade möjligheter och ungdomar från mindre gynnade förhållanden eller i utsatta grupper, att bli aktiva och engagerade medborgare samt aktörer för förändring, inspirerade av en känsla av europeisk tillhörighet. Detta inbegriper ytterligare insatser för att bygga upp kapaciteten när det gäller ungdomars delaktighet, liksom samhällsengagemanget hos ungdomar och alla berörda parter som arbetar för att företräda deras intressen. Förutsättningen är att ungdomar med olika bakgrund och även de som hör till utsatta grupper kan delta i viktiga samråd, såsom konferensen om Europas framtid.</w:t>
      </w:r>
    </w:p>
    <w:p w14:paraId="44ACE62E" w14:textId="087B4695" w:rsidR="00252FB9" w:rsidRPr="00C25964" w:rsidRDefault="0049162E" w:rsidP="0049162E">
      <w:pPr>
        <w:pStyle w:val="Text1"/>
        <w:pBdr>
          <w:top w:val="single" w:sz="4" w:space="1" w:color="auto"/>
          <w:left w:val="single" w:sz="4" w:space="4" w:color="auto"/>
          <w:bottom w:val="single" w:sz="4" w:space="1" w:color="auto"/>
          <w:right w:val="single" w:sz="4" w:space="4" w:color="auto"/>
        </w:pBdr>
        <w:ind w:left="1210"/>
        <w:rPr>
          <w:i/>
          <w:iCs/>
          <w:noProof/>
        </w:rPr>
      </w:pPr>
      <w:r w:rsidRPr="00C25964">
        <w:rPr>
          <w:noProof/>
        </w:rPr>
        <w:t xml:space="preserve">– Främja de möjligheter ungdomar ges genom offentlig politik på EU-nivå och på nationell, regional och lokal nivå, och på lika villkor, i syfte att stödja deras personliga, sociala och yrkesmässiga utveckling i en grön, digital och inkluderande värld. </w:t>
      </w:r>
    </w:p>
    <w:p w14:paraId="08394F9E" w14:textId="20E55B47" w:rsidR="00252FB9" w:rsidRPr="00C25964" w:rsidRDefault="00AD1692" w:rsidP="00AD1692">
      <w:pPr>
        <w:pStyle w:val="ManualHeading3"/>
        <w:rPr>
          <w:noProof/>
        </w:rPr>
      </w:pPr>
      <w:bookmarkStart w:id="14" w:name="_Toc514938019"/>
      <w:bookmarkStart w:id="15" w:name="_Toc520485032"/>
      <w:r w:rsidRPr="00AD1692">
        <w:t>1.4.3.</w:t>
      </w:r>
      <w:r w:rsidRPr="00AD1692">
        <w:tab/>
      </w:r>
      <w:r w:rsidR="00252FB9" w:rsidRPr="00C25964">
        <w:rPr>
          <w:noProof/>
        </w:rPr>
        <w:t>Verkan eller resultat som förväntas</w:t>
      </w:r>
      <w:bookmarkEnd w:id="14"/>
      <w:bookmarkEnd w:id="15"/>
    </w:p>
    <w:p w14:paraId="19B01A3F" w14:textId="77777777" w:rsidR="00252FB9" w:rsidRPr="00C25964" w:rsidRDefault="00252FB9" w:rsidP="00252FB9">
      <w:pPr>
        <w:pStyle w:val="Text1"/>
        <w:rPr>
          <w:i/>
          <w:noProof/>
          <w:sz w:val="20"/>
        </w:rPr>
      </w:pPr>
      <w:r w:rsidRPr="00C25964">
        <w:rPr>
          <w:i/>
          <w:noProof/>
          <w:sz w:val="20"/>
        </w:rPr>
        <w:t>Beskriv den verkan som förslaget eller initiativet förväntas få på de mottagare eller den del av befolkningen som berörs.</w:t>
      </w:r>
    </w:p>
    <w:p w14:paraId="13EB9F0F" w14:textId="77777777" w:rsidR="00252FB9" w:rsidRPr="00C25964" w:rsidRDefault="00252FB9" w:rsidP="000C2BAD">
      <w:pPr>
        <w:pStyle w:val="Text1"/>
        <w:pBdr>
          <w:top w:val="single" w:sz="4" w:space="1" w:color="auto"/>
          <w:left w:val="single" w:sz="4" w:space="4" w:color="auto"/>
          <w:bottom w:val="single" w:sz="4" w:space="1" w:color="auto"/>
          <w:right w:val="single" w:sz="4" w:space="4" w:color="auto"/>
        </w:pBdr>
        <w:rPr>
          <w:noProof/>
        </w:rPr>
      </w:pPr>
      <w:r w:rsidRPr="00C25964">
        <w:rPr>
          <w:noProof/>
        </w:rPr>
        <w:t>Genomföra informations- och marknadsföringskampanjer, evenemang och initiativ på EU-nivå samt nationell, regional och lokal nivå för att förmedla budskapet och sprida information om god praxis, inklusive om hur EU medverkar till att främja gemensamma lösningar. Detta kommer att leda till aktivt deltagande och lärande på viktiga politikområden som klimatförändringar, den gröna given osv.</w:t>
      </w:r>
    </w:p>
    <w:p w14:paraId="5141B074" w14:textId="77777777" w:rsidR="00252FB9" w:rsidRPr="00C25964" w:rsidRDefault="00252FB9" w:rsidP="000C2BAD">
      <w:pPr>
        <w:pStyle w:val="Text1"/>
        <w:pBdr>
          <w:top w:val="single" w:sz="4" w:space="1" w:color="auto"/>
          <w:left w:val="single" w:sz="4" w:space="4" w:color="auto"/>
          <w:bottom w:val="single" w:sz="4" w:space="1" w:color="auto"/>
          <w:right w:val="single" w:sz="4" w:space="4" w:color="auto"/>
        </w:pBdr>
        <w:rPr>
          <w:noProof/>
        </w:rPr>
      </w:pPr>
      <w:r w:rsidRPr="00C25964">
        <w:rPr>
          <w:noProof/>
        </w:rPr>
        <w:t xml:space="preserve">Öka medvetenheten om ungdomars betydelse och centrala roll i EU:s framtid och främja verktyg som gör det möjligt för ungdomar att delta i utformningen av en förnyad vision för ett samhälle som är mer inkluderande, grönt och digitalt på nationell och europeisk nivå, </w:t>
      </w:r>
    </w:p>
    <w:p w14:paraId="601B4035" w14:textId="77777777" w:rsidR="00252FB9" w:rsidRPr="00C25964" w:rsidRDefault="00252FB9" w:rsidP="000C2BAD">
      <w:pPr>
        <w:pStyle w:val="Text1"/>
        <w:pBdr>
          <w:top w:val="single" w:sz="4" w:space="1" w:color="auto"/>
          <w:left w:val="single" w:sz="4" w:space="4" w:color="auto"/>
          <w:bottom w:val="single" w:sz="4" w:space="1" w:color="auto"/>
          <w:right w:val="single" w:sz="4" w:space="4" w:color="auto"/>
        </w:pBdr>
        <w:rPr>
          <w:noProof/>
        </w:rPr>
      </w:pPr>
      <w:r w:rsidRPr="00C25964">
        <w:rPr>
          <w:noProof/>
        </w:rPr>
        <w:t>Ungdomarna kommer att förvärva sådana kunskaper, färdigheter och kompetenser, värderingar och attityder som de behöver för att kunna avancera i sin personliga utveckling och karriärutveckling. De kommer att bli mer bekanta med det politiska landskapet på europeisk, nationell och regional nivå.</w:t>
      </w:r>
    </w:p>
    <w:p w14:paraId="107B2AF1" w14:textId="77777777" w:rsidR="00252FB9" w:rsidRPr="00C25964" w:rsidRDefault="00252FB9" w:rsidP="00252FB9">
      <w:pPr>
        <w:pStyle w:val="Text1"/>
        <w:pBdr>
          <w:top w:val="single" w:sz="4" w:space="1" w:color="auto"/>
          <w:left w:val="single" w:sz="4" w:space="4" w:color="auto"/>
          <w:bottom w:val="single" w:sz="4" w:space="1" w:color="auto"/>
          <w:right w:val="single" w:sz="4" w:space="4" w:color="auto"/>
        </w:pBdr>
        <w:rPr>
          <w:noProof/>
        </w:rPr>
      </w:pPr>
    </w:p>
    <w:p w14:paraId="602B126D" w14:textId="121DEBA2" w:rsidR="00252FB9" w:rsidRPr="00C25964" w:rsidRDefault="00AD1692" w:rsidP="00AD1692">
      <w:pPr>
        <w:pStyle w:val="ManualHeading3"/>
        <w:rPr>
          <w:noProof/>
          <w:szCs w:val="24"/>
        </w:rPr>
      </w:pPr>
      <w:bookmarkStart w:id="16" w:name="_Toc514938023"/>
      <w:bookmarkStart w:id="17" w:name="_Toc520485033"/>
      <w:r w:rsidRPr="00AD1692">
        <w:t>1.4.4.</w:t>
      </w:r>
      <w:r w:rsidRPr="00AD1692">
        <w:tab/>
      </w:r>
      <w:r w:rsidR="00252FB9" w:rsidRPr="00C25964">
        <w:rPr>
          <w:noProof/>
        </w:rPr>
        <w:t>Prestationsindikatorer</w:t>
      </w:r>
      <w:bookmarkEnd w:id="16"/>
      <w:bookmarkEnd w:id="17"/>
    </w:p>
    <w:p w14:paraId="6F6EC63F" w14:textId="77777777" w:rsidR="00252FB9" w:rsidRPr="00C25964" w:rsidRDefault="00252FB9" w:rsidP="00252FB9">
      <w:pPr>
        <w:pStyle w:val="Text1"/>
        <w:rPr>
          <w:i/>
          <w:noProof/>
          <w:sz w:val="20"/>
        </w:rPr>
      </w:pPr>
      <w:r w:rsidRPr="00C25964">
        <w:rPr>
          <w:i/>
          <w:noProof/>
          <w:sz w:val="20"/>
        </w:rPr>
        <w:t>Ange indikatorer för övervakning av framsteg och resultat.</w:t>
      </w:r>
    </w:p>
    <w:p w14:paraId="46449131" w14:textId="6214DA11" w:rsidR="00252FB9" w:rsidRPr="00C25964" w:rsidRDefault="00252FB9" w:rsidP="00252FB9">
      <w:pPr>
        <w:pStyle w:val="Text1"/>
        <w:pBdr>
          <w:top w:val="single" w:sz="4" w:space="1" w:color="auto"/>
          <w:left w:val="single" w:sz="4" w:space="4" w:color="auto"/>
          <w:bottom w:val="single" w:sz="4" w:space="1" w:color="auto"/>
          <w:right w:val="single" w:sz="4" w:space="4" w:color="auto"/>
        </w:pBdr>
        <w:rPr>
          <w:noProof/>
          <w:color w:val="0000FF"/>
        </w:rPr>
      </w:pPr>
      <w:r w:rsidRPr="00C25964">
        <w:rPr>
          <w:noProof/>
        </w:rPr>
        <w:t xml:space="preserve">Antal resultat som ska fastställas inom ramen för informationskampanjen </w:t>
      </w:r>
    </w:p>
    <w:p w14:paraId="4F82CD55" w14:textId="5B597658" w:rsidR="00252FB9" w:rsidRPr="00C25964" w:rsidRDefault="00AD1692" w:rsidP="00AD1692">
      <w:pPr>
        <w:pStyle w:val="ManualHeading2"/>
        <w:rPr>
          <w:bCs/>
          <w:noProof/>
          <w:szCs w:val="24"/>
        </w:rPr>
      </w:pPr>
      <w:bookmarkStart w:id="18" w:name="_Toc514938025"/>
      <w:bookmarkStart w:id="19" w:name="_Toc520485034"/>
      <w:r w:rsidRPr="00AD1692">
        <w:t>1.5.</w:t>
      </w:r>
      <w:r w:rsidRPr="00AD1692">
        <w:tab/>
      </w:r>
      <w:r w:rsidR="00252FB9" w:rsidRPr="00C25964">
        <w:rPr>
          <w:noProof/>
        </w:rPr>
        <w:t>Grunder för förslaget eller initiativet</w:t>
      </w:r>
      <w:bookmarkEnd w:id="18"/>
      <w:bookmarkEnd w:id="19"/>
      <w:r w:rsidR="00252FB9" w:rsidRPr="00C25964">
        <w:rPr>
          <w:noProof/>
        </w:rPr>
        <w:t xml:space="preserve"> </w:t>
      </w:r>
    </w:p>
    <w:p w14:paraId="680C091F" w14:textId="0704B9D3" w:rsidR="00252FB9" w:rsidRPr="00C25964" w:rsidRDefault="00AD1692" w:rsidP="00AD1692">
      <w:pPr>
        <w:pStyle w:val="ManualHeading3"/>
        <w:rPr>
          <w:noProof/>
        </w:rPr>
      </w:pPr>
      <w:bookmarkStart w:id="20" w:name="_Toc514938026"/>
      <w:bookmarkStart w:id="21" w:name="_Toc520485035"/>
      <w:r w:rsidRPr="00AD1692">
        <w:t>1.5.1.</w:t>
      </w:r>
      <w:r w:rsidRPr="00AD1692">
        <w:tab/>
      </w:r>
      <w:r w:rsidR="00252FB9" w:rsidRPr="00C25964">
        <w:rPr>
          <w:noProof/>
        </w:rPr>
        <w:t>Krav som ska uppfyllas på kort eller lång sikt, inbegripet en detaljerad tidsplan för genomförandet av initiativet</w:t>
      </w:r>
      <w:bookmarkEnd w:id="20"/>
      <w:bookmarkEnd w:id="21"/>
    </w:p>
    <w:p w14:paraId="30C6E2E6" w14:textId="77777777" w:rsidR="00252FB9" w:rsidRPr="00C25964" w:rsidRDefault="00252FB9" w:rsidP="000C2BAD">
      <w:pPr>
        <w:pStyle w:val="Text1"/>
        <w:pBdr>
          <w:top w:val="single" w:sz="4" w:space="1" w:color="auto"/>
          <w:left w:val="single" w:sz="4" w:space="4" w:color="auto"/>
          <w:bottom w:val="single" w:sz="4" w:space="1" w:color="auto"/>
          <w:right w:val="single" w:sz="4" w:space="4" w:color="auto"/>
        </w:pBdr>
        <w:rPr>
          <w:noProof/>
        </w:rPr>
      </w:pPr>
      <w:r w:rsidRPr="00C25964">
        <w:rPr>
          <w:noProof/>
        </w:rPr>
        <w:t>På kort sikt: Ökad medvetenhet om ungdomarnas betydelse och roll i utformningen av Europas framtid och de verktyg som finns tillgängliga för att hjälpa ungdomar att påverka sina samhällen.</w:t>
      </w:r>
    </w:p>
    <w:p w14:paraId="58FB55F7" w14:textId="77777777" w:rsidR="00252FB9" w:rsidRPr="00C25964" w:rsidRDefault="00252FB9" w:rsidP="000C2BAD">
      <w:pPr>
        <w:pStyle w:val="Text1"/>
        <w:pBdr>
          <w:top w:val="single" w:sz="4" w:space="1" w:color="auto"/>
          <w:left w:val="single" w:sz="4" w:space="4" w:color="auto"/>
          <w:bottom w:val="single" w:sz="4" w:space="1" w:color="auto"/>
          <w:right w:val="single" w:sz="4" w:space="4" w:color="auto"/>
        </w:pBdr>
        <w:rPr>
          <w:noProof/>
        </w:rPr>
      </w:pPr>
      <w:r w:rsidRPr="00C25964">
        <w:rPr>
          <w:noProof/>
        </w:rPr>
        <w:t xml:space="preserve">På lång sikt: Ge ungdomarna förnyad motivation efter pandemin och nya möjligheter och färdigheter för att stödja deras personliga och yrkesmässiga utveckling i en föränderlig värld. </w:t>
      </w:r>
    </w:p>
    <w:p w14:paraId="3D1DB85A" w14:textId="76F3EE2A" w:rsidR="00252FB9" w:rsidRPr="00C25964" w:rsidRDefault="00AD1692" w:rsidP="00AD1692">
      <w:pPr>
        <w:pStyle w:val="ManualHeading3"/>
        <w:rPr>
          <w:noProof/>
        </w:rPr>
      </w:pPr>
      <w:bookmarkStart w:id="22" w:name="_Toc514938029"/>
      <w:bookmarkStart w:id="23" w:name="_Toc520485036"/>
      <w:r w:rsidRPr="00AD1692">
        <w:t>1.5.2.</w:t>
      </w:r>
      <w:r w:rsidRPr="00AD1692">
        <w:tab/>
      </w:r>
      <w:r w:rsidR="00252FB9" w:rsidRPr="00C25964">
        <w:rPr>
          <w:noProof/>
        </w:rPr>
        <w:t>Mervärdet av en åtgärd på unionsnivå (som kan följa av flera faktorer, t.ex. samordningsfördelar, rättssäkerhet, ökad effektivitet eller komplementaritet). Med ”mervärdet av en åtgärd på unionsnivå” i denna punkt avses det värde en åtgärd från unionens sida tillför utöver det värde som annars skulle ha skapats av enbart medlemsstaterna.</w:t>
      </w:r>
      <w:bookmarkEnd w:id="22"/>
      <w:bookmarkEnd w:id="23"/>
    </w:p>
    <w:p w14:paraId="38362372" w14:textId="77777777" w:rsidR="00252FB9" w:rsidRPr="00C25964" w:rsidRDefault="00252FB9" w:rsidP="000C2BAD">
      <w:pPr>
        <w:pStyle w:val="Text1"/>
        <w:pBdr>
          <w:top w:val="single" w:sz="4" w:space="1" w:color="auto"/>
          <w:left w:val="single" w:sz="4" w:space="4" w:color="auto"/>
          <w:bottom w:val="single" w:sz="4" w:space="1" w:color="auto"/>
          <w:right w:val="single" w:sz="4" w:space="4" w:color="auto"/>
        </w:pBdr>
        <w:rPr>
          <w:noProof/>
        </w:rPr>
      </w:pPr>
      <w:r w:rsidRPr="00C25964">
        <w:rPr>
          <w:noProof/>
        </w:rPr>
        <w:t xml:space="preserve">Öka medvetenheten om ungdomars möjligheter att bli aktiva och engagerade medborgare på europeisk, nationell och lokal nivå samt aktörer för förändring utifrån en känsla av europeisk tillhörighet. </w:t>
      </w:r>
    </w:p>
    <w:p w14:paraId="0FFAA296" w14:textId="77777777" w:rsidR="00252FB9" w:rsidRPr="00C25964" w:rsidRDefault="00252FB9" w:rsidP="000C2BAD">
      <w:pPr>
        <w:pStyle w:val="Text1"/>
        <w:pBdr>
          <w:top w:val="single" w:sz="4" w:space="1" w:color="auto"/>
          <w:left w:val="single" w:sz="4" w:space="4" w:color="auto"/>
          <w:bottom w:val="single" w:sz="4" w:space="1" w:color="auto"/>
          <w:right w:val="single" w:sz="4" w:space="4" w:color="auto"/>
        </w:pBdr>
        <w:rPr>
          <w:noProof/>
        </w:rPr>
      </w:pPr>
      <w:r w:rsidRPr="00C25964">
        <w:rPr>
          <w:noProof/>
        </w:rPr>
        <w:t xml:space="preserve">Åtgärder med en unionsdimension för att påskynda ungdomars yrkesmässiga och personliga återhämtning efter pandemin, i linje med målen för NextGenerationEU, de politiska riktlinjerna för den nuvarande Europeiska kommissionen (2019–2024) och annan EU-politik och andra EU-program som syftar till att förbättra livet för ungdomar. </w:t>
      </w:r>
    </w:p>
    <w:p w14:paraId="1D3C03A0" w14:textId="00AC8EEE" w:rsidR="00252FB9" w:rsidRPr="00C25964" w:rsidRDefault="00AD1692" w:rsidP="00AD1692">
      <w:pPr>
        <w:pStyle w:val="ManualHeading3"/>
        <w:rPr>
          <w:noProof/>
        </w:rPr>
      </w:pPr>
      <w:bookmarkStart w:id="24" w:name="_Toc514938030"/>
      <w:bookmarkStart w:id="25" w:name="_Toc520485037"/>
      <w:r w:rsidRPr="00AD1692">
        <w:t>1.5.3.</w:t>
      </w:r>
      <w:r w:rsidRPr="00AD1692">
        <w:tab/>
      </w:r>
      <w:r w:rsidR="00252FB9" w:rsidRPr="00C25964">
        <w:rPr>
          <w:noProof/>
        </w:rPr>
        <w:t>Erfarenheter från tidigare liknande åtgärder</w:t>
      </w:r>
      <w:bookmarkEnd w:id="24"/>
      <w:bookmarkEnd w:id="25"/>
    </w:p>
    <w:p w14:paraId="2263CE45" w14:textId="77777777" w:rsidR="00252FB9" w:rsidRPr="00C25964" w:rsidRDefault="00252FB9" w:rsidP="00252FB9">
      <w:pPr>
        <w:pStyle w:val="Text1"/>
        <w:pBdr>
          <w:top w:val="single" w:sz="4" w:space="1" w:color="auto"/>
          <w:left w:val="single" w:sz="4" w:space="4" w:color="auto"/>
          <w:bottom w:val="single" w:sz="4" w:space="1" w:color="auto"/>
          <w:right w:val="single" w:sz="4" w:space="4" w:color="auto"/>
        </w:pBdr>
        <w:rPr>
          <w:noProof/>
        </w:rPr>
      </w:pPr>
      <w:r w:rsidRPr="00C25964">
        <w:rPr>
          <w:noProof/>
        </w:rPr>
        <w:t>De Europaår som har anordnats under de senaste tio åren har visat sig effektiva för att öka medvetenheten om en viss fråga, och på så sätt påverka både allmänheten och informationsförmedlare och skapa synergier mellan olika insatsområden på unions- och medlemsstatsnivå.</w:t>
      </w:r>
    </w:p>
    <w:p w14:paraId="69ECE8EF" w14:textId="77777777" w:rsidR="00252FB9" w:rsidRPr="00C25964" w:rsidRDefault="00252FB9" w:rsidP="00252FB9">
      <w:pPr>
        <w:pStyle w:val="Text1"/>
        <w:pBdr>
          <w:top w:val="single" w:sz="4" w:space="1" w:color="auto"/>
          <w:left w:val="single" w:sz="4" w:space="4" w:color="auto"/>
          <w:bottom w:val="single" w:sz="4" w:space="1" w:color="auto"/>
          <w:right w:val="single" w:sz="4" w:space="4" w:color="auto"/>
        </w:pBdr>
        <w:rPr>
          <w:noProof/>
        </w:rPr>
      </w:pPr>
    </w:p>
    <w:p w14:paraId="40B0F7AF" w14:textId="50C069ED" w:rsidR="00252FB9" w:rsidRPr="00C25964" w:rsidRDefault="00AD1692" w:rsidP="00AD1692">
      <w:pPr>
        <w:pStyle w:val="ManualHeading3"/>
        <w:rPr>
          <w:noProof/>
        </w:rPr>
      </w:pPr>
      <w:bookmarkStart w:id="26" w:name="_Toc514938033"/>
      <w:bookmarkStart w:id="27" w:name="_Toc520485038"/>
      <w:r w:rsidRPr="00AD1692">
        <w:t>1.5.4.</w:t>
      </w:r>
      <w:r w:rsidRPr="00AD1692">
        <w:tab/>
      </w:r>
      <w:r w:rsidR="00252FB9" w:rsidRPr="00C25964">
        <w:rPr>
          <w:noProof/>
        </w:rPr>
        <w:t>Förenlighet med den fleråriga budgetramen och eventuella synergieffekter med andra relevanta instrument</w:t>
      </w:r>
      <w:bookmarkEnd w:id="26"/>
      <w:bookmarkEnd w:id="27"/>
    </w:p>
    <w:p w14:paraId="601ACCC3" w14:textId="77777777" w:rsidR="00252FB9" w:rsidRPr="00C25964" w:rsidRDefault="00252FB9" w:rsidP="00252FB9">
      <w:pPr>
        <w:pStyle w:val="Text1"/>
        <w:pBdr>
          <w:top w:val="single" w:sz="4" w:space="1" w:color="auto"/>
          <w:left w:val="single" w:sz="4" w:space="4" w:color="auto"/>
          <w:bottom w:val="single" w:sz="4" w:space="1" w:color="auto"/>
          <w:right w:val="single" w:sz="4" w:space="4" w:color="auto"/>
        </w:pBdr>
        <w:rPr>
          <w:rStyle w:val="eop"/>
          <w:noProof/>
          <w:color w:val="000000"/>
          <w:shd w:val="clear" w:color="auto" w:fill="FFFFFF"/>
        </w:rPr>
      </w:pPr>
      <w:r w:rsidRPr="00C25964">
        <w:rPr>
          <w:noProof/>
        </w:rPr>
        <w:t>Europaåret för ungdomar (2022) kommer att vara sektorsövergripande och bygga på alla EU:s strategier och program som syftar till att förbättra livet för ungdomar och främja deras delaktighet.</w:t>
      </w:r>
      <w:r w:rsidRPr="00C25964">
        <w:rPr>
          <w:rStyle w:val="normaltextrun"/>
          <w:noProof/>
          <w:color w:val="000000"/>
          <w:shd w:val="clear" w:color="auto" w:fill="FFFFFF"/>
        </w:rPr>
        <w:t> Europaåret bör bygga på befintliga initiativ och strategier såsom den europeiska gröna given, det digitala årtiondet, det nya europeiska Bauhaus, konferensen om Europas framtid, den europeiska pelaren för sociala rättigheter, barngarantin, EU:s strategi för barnets rättigheter, handlingsplanen för integration och inkludering 2021–2027, den europeiska handlingsplanen för demokrati, landsbygdspakten och handlingsplanen för landsbygden. </w:t>
      </w:r>
      <w:r w:rsidRPr="00C25964">
        <w:rPr>
          <w:rStyle w:val="eop"/>
          <w:noProof/>
          <w:color w:val="000000"/>
          <w:shd w:val="clear" w:color="auto" w:fill="FFFFFF"/>
        </w:rPr>
        <w:t xml:space="preserve"> </w:t>
      </w:r>
    </w:p>
    <w:p w14:paraId="7F2E4D05" w14:textId="77777777" w:rsidR="00252FB9" w:rsidRPr="00C25964" w:rsidRDefault="00252FB9" w:rsidP="00252FB9">
      <w:pPr>
        <w:pStyle w:val="Text1"/>
        <w:pBdr>
          <w:top w:val="single" w:sz="4" w:space="1" w:color="auto"/>
          <w:left w:val="single" w:sz="4" w:space="4" w:color="auto"/>
          <w:bottom w:val="single" w:sz="4" w:space="1" w:color="auto"/>
          <w:right w:val="single" w:sz="4" w:space="4" w:color="auto"/>
        </w:pBdr>
        <w:rPr>
          <w:rStyle w:val="normaltextrun"/>
          <w:noProof/>
          <w:color w:val="000000"/>
        </w:rPr>
      </w:pPr>
      <w:r w:rsidRPr="00C25964">
        <w:rPr>
          <w:noProof/>
        </w:rPr>
        <w:t>Europaåret är kopplat till många av unionens politikområden utöver själva ungdomspolitiken, t.ex. utbildning, sysselsättning, social inkludering, kultur och medier, idrott, hälsa, forskning och innovation, miljö och klimat, sammanhållnings- politik, landsbygdsutveckling, migration samt med unionens förbindelser med sina grannländer.</w:t>
      </w:r>
      <w:r w:rsidRPr="00C25964">
        <w:rPr>
          <w:rStyle w:val="normaltextrun"/>
          <w:noProof/>
          <w:color w:val="000000"/>
        </w:rPr>
        <w:t> Europaåret kommer att understryka den europeiska och tvärvetenskapliga dimensionen hos dagens ungdom som den generation som ska leda Europa vidare på ett inkluderande, hållbart och mer digitalt sätt. </w:t>
      </w:r>
    </w:p>
    <w:p w14:paraId="2E4DC682" w14:textId="77777777" w:rsidR="00252FB9" w:rsidRPr="00C25964" w:rsidRDefault="00252FB9" w:rsidP="00252FB9">
      <w:pPr>
        <w:pStyle w:val="Text1"/>
        <w:pBdr>
          <w:top w:val="single" w:sz="4" w:space="1" w:color="auto"/>
          <w:left w:val="single" w:sz="4" w:space="4" w:color="auto"/>
          <w:bottom w:val="single" w:sz="4" w:space="1" w:color="auto"/>
          <w:right w:val="single" w:sz="4" w:space="4" w:color="auto"/>
        </w:pBdr>
        <w:rPr>
          <w:noProof/>
        </w:rPr>
      </w:pPr>
    </w:p>
    <w:p w14:paraId="78C52F48" w14:textId="20A40E2C" w:rsidR="00252FB9" w:rsidRPr="00C25964" w:rsidRDefault="00252FB9" w:rsidP="00AD1692">
      <w:pPr>
        <w:pStyle w:val="ManualHeading2"/>
        <w:rPr>
          <w:bCs/>
          <w:noProof/>
          <w:szCs w:val="24"/>
        </w:rPr>
      </w:pPr>
      <w:r w:rsidRPr="00C25964">
        <w:rPr>
          <w:noProof/>
        </w:rPr>
        <w:br w:type="page"/>
      </w:r>
      <w:bookmarkStart w:id="28" w:name="_Toc514938039"/>
      <w:bookmarkStart w:id="29" w:name="_Toc520485040"/>
      <w:r w:rsidR="00AD1692" w:rsidRPr="00AD1692">
        <w:t>1.6.</w:t>
      </w:r>
      <w:r w:rsidR="00AD1692" w:rsidRPr="00AD1692">
        <w:tab/>
      </w:r>
      <w:r w:rsidRPr="00C25964">
        <w:rPr>
          <w:noProof/>
        </w:rPr>
        <w:t>Beräknad varaktighet för och beräknade budgetkonsekvenser av förslaget eller initiativet</w:t>
      </w:r>
      <w:bookmarkEnd w:id="28"/>
      <w:bookmarkEnd w:id="29"/>
    </w:p>
    <w:p w14:paraId="3FB3D6FD" w14:textId="77777777" w:rsidR="00252FB9" w:rsidRPr="00C25964" w:rsidRDefault="00252FB9" w:rsidP="00252FB9">
      <w:pPr>
        <w:pStyle w:val="Text1"/>
        <w:rPr>
          <w:noProof/>
        </w:rPr>
      </w:pPr>
      <w:r w:rsidRPr="00C25964">
        <w:rPr>
          <w:noProof/>
        </w:rPr>
        <w:t>X</w:t>
      </w:r>
      <w:r w:rsidRPr="00C25964">
        <w:rPr>
          <w:b/>
          <w:bCs/>
          <w:i/>
          <w:iCs/>
          <w:noProof/>
        </w:rPr>
        <w:t xml:space="preserve"> </w:t>
      </w:r>
      <w:r w:rsidRPr="00C25964">
        <w:rPr>
          <w:b/>
          <w:bCs/>
          <w:noProof/>
        </w:rPr>
        <w:t xml:space="preserve">begränsad varaktighet </w:t>
      </w:r>
    </w:p>
    <w:p w14:paraId="714B8F3C" w14:textId="77777777" w:rsidR="00252FB9" w:rsidRPr="00C25964" w:rsidRDefault="00252FB9" w:rsidP="00252FB9">
      <w:pPr>
        <w:pStyle w:val="ListDash2"/>
        <w:rPr>
          <w:noProof/>
        </w:rPr>
      </w:pPr>
      <w:r w:rsidRPr="00C25964">
        <w:rPr>
          <w:noProof/>
        </w:rPr>
        <w:t>X</w:t>
      </w:r>
      <w:r w:rsidRPr="00C25964">
        <w:rPr>
          <w:noProof/>
        </w:rPr>
        <w:tab/>
        <w:t xml:space="preserve">med verkan från antagandet av beslutet till 31.12.2023 </w:t>
      </w:r>
    </w:p>
    <w:p w14:paraId="7AC2DD24" w14:textId="77777777" w:rsidR="00252FB9" w:rsidRPr="00C25964" w:rsidRDefault="00252FB9" w:rsidP="00252FB9">
      <w:pPr>
        <w:pStyle w:val="ListDash2"/>
        <w:rPr>
          <w:noProof/>
        </w:rPr>
      </w:pPr>
      <w:r w:rsidRPr="00C25964">
        <w:rPr>
          <w:noProof/>
        </w:rPr>
        <w:t>X</w:t>
      </w:r>
      <w:r w:rsidRPr="00C25964">
        <w:rPr>
          <w:noProof/>
        </w:rPr>
        <w:tab/>
        <w:t xml:space="preserve">Budgetkonsekvenser från och med 2021 till och med 2024 för åtagandebemyndiganden och från och med 2022 till och med 2026 för betalningsbemyndiganden. </w:t>
      </w:r>
    </w:p>
    <w:p w14:paraId="20AAA118" w14:textId="77777777" w:rsidR="00252FB9" w:rsidRPr="00C25964" w:rsidRDefault="00252FB9" w:rsidP="00252FB9">
      <w:pPr>
        <w:pStyle w:val="Text1"/>
        <w:rPr>
          <w:noProof/>
        </w:rPr>
      </w:pPr>
      <w:r w:rsidRPr="00C25964">
        <w:rPr>
          <w:noProof/>
        </w:rPr>
        <w:sym w:font="Wingdings" w:char="F0A8"/>
      </w:r>
      <w:r w:rsidRPr="00C25964">
        <w:rPr>
          <w:b/>
          <w:i/>
          <w:noProof/>
        </w:rPr>
        <w:t xml:space="preserve"> </w:t>
      </w:r>
      <w:r w:rsidRPr="00C25964">
        <w:rPr>
          <w:b/>
          <w:noProof/>
        </w:rPr>
        <w:t>obegränsad varaktighet</w:t>
      </w:r>
    </w:p>
    <w:p w14:paraId="4CF2E8AA" w14:textId="77777777" w:rsidR="00252FB9" w:rsidRPr="00C25964" w:rsidRDefault="00252FB9" w:rsidP="00252FB9">
      <w:pPr>
        <w:pStyle w:val="ListDash1"/>
        <w:rPr>
          <w:noProof/>
        </w:rPr>
      </w:pPr>
      <w:r w:rsidRPr="00C25964">
        <w:rPr>
          <w:noProof/>
        </w:rPr>
        <w:t>Efter en inledande period ÅÅÅÅ–ÅÅÅÅ,</w:t>
      </w:r>
    </w:p>
    <w:p w14:paraId="1DD49E85" w14:textId="77777777" w:rsidR="00252FB9" w:rsidRPr="00C25964" w:rsidRDefault="00252FB9" w:rsidP="00252FB9">
      <w:pPr>
        <w:pStyle w:val="ListDash1"/>
        <w:rPr>
          <w:noProof/>
        </w:rPr>
      </w:pPr>
      <w:r w:rsidRPr="00C25964">
        <w:rPr>
          <w:noProof/>
        </w:rPr>
        <w:t>beräknas genomförandetakten nå en stabil nivå.</w:t>
      </w:r>
    </w:p>
    <w:p w14:paraId="00D22937" w14:textId="1A1487A2" w:rsidR="00252FB9" w:rsidRPr="00C25964" w:rsidRDefault="00AD1692" w:rsidP="00AD1692">
      <w:pPr>
        <w:pStyle w:val="ManualHeading2"/>
        <w:rPr>
          <w:noProof/>
        </w:rPr>
      </w:pPr>
      <w:bookmarkStart w:id="30" w:name="_Toc514938040"/>
      <w:bookmarkStart w:id="31" w:name="_Toc520485041"/>
      <w:r w:rsidRPr="00AD1692">
        <w:t>1.7.</w:t>
      </w:r>
      <w:r w:rsidRPr="00AD1692">
        <w:tab/>
      </w:r>
      <w:r w:rsidR="00252FB9" w:rsidRPr="00C25964">
        <w:rPr>
          <w:noProof/>
        </w:rPr>
        <w:t>Planerad metod för genomförandet</w:t>
      </w:r>
      <w:r w:rsidR="00252FB9" w:rsidRPr="00C25964">
        <w:rPr>
          <w:rStyle w:val="FootnoteReference0"/>
          <w:noProof/>
        </w:rPr>
        <w:footnoteReference w:id="32"/>
      </w:r>
      <w:r w:rsidR="00252FB9" w:rsidRPr="00C25964">
        <w:rPr>
          <w:rStyle w:val="FootnoteReference0"/>
          <w:noProof/>
        </w:rPr>
        <w:t xml:space="preserve"> </w:t>
      </w:r>
      <w:bookmarkEnd w:id="30"/>
      <w:bookmarkEnd w:id="31"/>
      <w:r w:rsidR="00252FB9" w:rsidRPr="00C25964">
        <w:rPr>
          <w:rStyle w:val="FootnoteReference0"/>
          <w:noProof/>
        </w:rPr>
        <w:t xml:space="preserve"> </w:t>
      </w:r>
    </w:p>
    <w:p w14:paraId="1983CEBE" w14:textId="77777777" w:rsidR="00252FB9" w:rsidRPr="00C25964" w:rsidRDefault="00252FB9" w:rsidP="00252FB9">
      <w:pPr>
        <w:pStyle w:val="Text1"/>
        <w:rPr>
          <w:noProof/>
        </w:rPr>
      </w:pPr>
      <w:r w:rsidRPr="00C25964">
        <w:rPr>
          <w:noProof/>
        </w:rPr>
        <w:t>X</w:t>
      </w:r>
      <w:r w:rsidRPr="00C25964">
        <w:rPr>
          <w:i/>
          <w:noProof/>
        </w:rPr>
        <w:t xml:space="preserve"> </w:t>
      </w:r>
      <w:r w:rsidRPr="00C25964">
        <w:rPr>
          <w:b/>
          <w:noProof/>
        </w:rPr>
        <w:t xml:space="preserve"> Direkt förvaltning</w:t>
      </w:r>
      <w:r w:rsidRPr="00C25964">
        <w:rPr>
          <w:noProof/>
        </w:rPr>
        <w:t xml:space="preserve"> som sköts av kommissionen</w:t>
      </w:r>
    </w:p>
    <w:p w14:paraId="709F057F" w14:textId="77777777" w:rsidR="00252FB9" w:rsidRPr="00C25964" w:rsidRDefault="00252FB9" w:rsidP="00252FB9">
      <w:pPr>
        <w:pStyle w:val="ListDash2"/>
        <w:rPr>
          <w:rFonts w:cs="EUAlbertina"/>
          <w:noProof/>
        </w:rPr>
      </w:pPr>
      <w:r w:rsidRPr="00C25964">
        <w:rPr>
          <w:noProof/>
        </w:rPr>
        <w:t xml:space="preserve">x av dess avdelningar, vilket också inbegriper personalen vid unionens delegationer </w:t>
      </w:r>
    </w:p>
    <w:p w14:paraId="1FA2C081" w14:textId="77777777" w:rsidR="00252FB9" w:rsidRPr="00C25964" w:rsidRDefault="00252FB9" w:rsidP="00252FB9">
      <w:pPr>
        <w:pStyle w:val="ListDash2"/>
        <w:rPr>
          <w:noProof/>
        </w:rPr>
      </w:pPr>
      <w:r w:rsidRPr="00C25964">
        <w:rPr>
          <w:noProof/>
        </w:rPr>
        <w:t>x</w:t>
      </w:r>
      <w:r w:rsidRPr="00C25964">
        <w:rPr>
          <w:noProof/>
        </w:rPr>
        <w:tab/>
      </w:r>
      <w:r w:rsidRPr="00C25964">
        <w:rPr>
          <w:b/>
          <w:bCs/>
          <w:noProof/>
        </w:rPr>
        <w:t xml:space="preserve">av genomförandeorgan </w:t>
      </w:r>
    </w:p>
    <w:p w14:paraId="41BFCB30" w14:textId="77777777" w:rsidR="00252FB9" w:rsidRPr="00C25964" w:rsidRDefault="00252FB9" w:rsidP="00252FB9">
      <w:pPr>
        <w:pStyle w:val="Text1"/>
        <w:rPr>
          <w:noProof/>
        </w:rPr>
      </w:pPr>
      <w:r w:rsidRPr="00C25964">
        <w:rPr>
          <w:noProof/>
        </w:rPr>
        <w:sym w:font="Wingdings" w:char="F0A8"/>
      </w:r>
      <w:r w:rsidRPr="00C25964">
        <w:rPr>
          <w:b/>
          <w:bCs/>
          <w:i/>
          <w:iCs/>
          <w:noProof/>
        </w:rPr>
        <w:t xml:space="preserve"> </w:t>
      </w:r>
      <w:r w:rsidRPr="00C25964">
        <w:rPr>
          <w:noProof/>
        </w:rPr>
        <w:t xml:space="preserve">Delad förvaltning med medlemsstaterna </w:t>
      </w:r>
    </w:p>
    <w:p w14:paraId="75E2BE5C" w14:textId="77777777" w:rsidR="00252FB9" w:rsidRPr="00C25964" w:rsidRDefault="00252FB9" w:rsidP="00252FB9">
      <w:pPr>
        <w:pStyle w:val="Text1"/>
        <w:rPr>
          <w:noProof/>
        </w:rPr>
      </w:pPr>
      <w:r w:rsidRPr="00C25964">
        <w:rPr>
          <w:noProof/>
        </w:rPr>
        <w:sym w:font="Wingdings" w:char="F0A8"/>
      </w:r>
      <w:r w:rsidRPr="00C25964">
        <w:rPr>
          <w:i/>
          <w:noProof/>
        </w:rPr>
        <w:t xml:space="preserve"> </w:t>
      </w:r>
      <w:r w:rsidRPr="00C25964">
        <w:rPr>
          <w:b/>
          <w:noProof/>
        </w:rPr>
        <w:t>Indirekt förvaltning</w:t>
      </w:r>
      <w:r w:rsidRPr="00C25964">
        <w:rPr>
          <w:noProof/>
        </w:rPr>
        <w:t xml:space="preserve"> genom att uppgifter som ingår i budgetgenomförandet anförtros</w:t>
      </w:r>
    </w:p>
    <w:p w14:paraId="16ADCC08" w14:textId="77777777" w:rsidR="00252FB9" w:rsidRPr="00C25964" w:rsidRDefault="00252FB9" w:rsidP="00252FB9">
      <w:pPr>
        <w:pStyle w:val="ListDash2"/>
        <w:rPr>
          <w:noProof/>
        </w:rPr>
      </w:pPr>
      <w:r w:rsidRPr="00C25964">
        <w:rPr>
          <w:noProof/>
        </w:rPr>
        <w:sym w:font="Wingdings" w:char="F0A8"/>
      </w:r>
      <w:r w:rsidRPr="00C25964">
        <w:rPr>
          <w:noProof/>
        </w:rPr>
        <w:t xml:space="preserve"> tredjeländer eller organ som de har utsett</w:t>
      </w:r>
    </w:p>
    <w:p w14:paraId="24790515" w14:textId="77777777" w:rsidR="00252FB9" w:rsidRPr="00C25964" w:rsidRDefault="00252FB9" w:rsidP="00252FB9">
      <w:pPr>
        <w:pStyle w:val="ListDash2"/>
        <w:rPr>
          <w:noProof/>
        </w:rPr>
      </w:pPr>
      <w:r w:rsidRPr="00C25964">
        <w:rPr>
          <w:noProof/>
        </w:rPr>
        <w:sym w:font="Wingdings" w:char="F0A8"/>
      </w:r>
      <w:r w:rsidRPr="00C25964">
        <w:rPr>
          <w:noProof/>
        </w:rPr>
        <w:t xml:space="preserve"> internationella organisationer och organ kopplade till dem (ange vilka)</w:t>
      </w:r>
    </w:p>
    <w:p w14:paraId="51C4B69E" w14:textId="77777777" w:rsidR="00252FB9" w:rsidRPr="00C25964" w:rsidRDefault="00252FB9" w:rsidP="00252FB9">
      <w:pPr>
        <w:pStyle w:val="ListDash2"/>
        <w:rPr>
          <w:noProof/>
        </w:rPr>
      </w:pPr>
      <w:r w:rsidRPr="00C25964">
        <w:rPr>
          <w:noProof/>
        </w:rPr>
        <w:sym w:font="Wingdings" w:char="F0A8"/>
      </w:r>
      <w:r w:rsidRPr="00C25964">
        <w:rPr>
          <w:noProof/>
        </w:rPr>
        <w:t xml:space="preserve"> EIB och Europeiska investeringsfonden</w:t>
      </w:r>
    </w:p>
    <w:p w14:paraId="029EA9E3" w14:textId="77777777" w:rsidR="00252FB9" w:rsidRPr="00C25964" w:rsidRDefault="00252FB9" w:rsidP="00252FB9">
      <w:pPr>
        <w:pStyle w:val="ListDash2"/>
        <w:rPr>
          <w:noProof/>
        </w:rPr>
      </w:pPr>
      <w:r w:rsidRPr="00C25964">
        <w:rPr>
          <w:noProof/>
        </w:rPr>
        <w:sym w:font="Wingdings" w:char="F0A8"/>
      </w:r>
      <w:r w:rsidRPr="00C25964">
        <w:rPr>
          <w:noProof/>
        </w:rPr>
        <w:t xml:space="preserve"> organ som avses i artiklarna 70 och 71 i budgetförordningen</w:t>
      </w:r>
    </w:p>
    <w:p w14:paraId="1BE81ED1" w14:textId="77777777" w:rsidR="00252FB9" w:rsidRPr="00C25964" w:rsidRDefault="00252FB9" w:rsidP="00252FB9">
      <w:pPr>
        <w:pStyle w:val="ListDash2"/>
        <w:rPr>
          <w:noProof/>
        </w:rPr>
      </w:pPr>
      <w:r w:rsidRPr="00C25964">
        <w:rPr>
          <w:noProof/>
        </w:rPr>
        <w:sym w:font="Wingdings" w:char="F0A8"/>
      </w:r>
      <w:r w:rsidRPr="00C25964">
        <w:rPr>
          <w:noProof/>
        </w:rPr>
        <w:t xml:space="preserve"> offentligrättsliga organ</w:t>
      </w:r>
    </w:p>
    <w:p w14:paraId="32F2F7FE" w14:textId="77777777" w:rsidR="00252FB9" w:rsidRPr="00C25964" w:rsidRDefault="00252FB9" w:rsidP="00252FB9">
      <w:pPr>
        <w:pStyle w:val="ListDash2"/>
        <w:rPr>
          <w:noProof/>
        </w:rPr>
      </w:pPr>
      <w:r w:rsidRPr="00C25964">
        <w:rPr>
          <w:noProof/>
        </w:rPr>
        <w:sym w:font="Wingdings" w:char="F0A8"/>
      </w:r>
      <w:r w:rsidRPr="00C25964">
        <w:rPr>
          <w:noProof/>
        </w:rPr>
        <w:t xml:space="preserve"> privaträttsliga organ som har anförtrotts offentliga förvaltningsuppgifter i den utsträckning som de lämnar tillräckliga ekonomiska garantier</w:t>
      </w:r>
    </w:p>
    <w:p w14:paraId="2E20A15E" w14:textId="77777777" w:rsidR="00252FB9" w:rsidRPr="00C25964" w:rsidRDefault="00252FB9" w:rsidP="00252FB9">
      <w:pPr>
        <w:pStyle w:val="ListDash2"/>
        <w:rPr>
          <w:noProof/>
        </w:rPr>
      </w:pPr>
      <w:r w:rsidRPr="00C25964">
        <w:rPr>
          <w:noProof/>
        </w:rPr>
        <w:sym w:font="Wingdings" w:char="F0A8"/>
      </w:r>
      <w:r w:rsidRPr="00C25964">
        <w:rPr>
          <w:noProof/>
        </w:rPr>
        <w:t xml:space="preserve"> organ som omfattas av privaträtten i en medlemsstat, som anförtrotts genomförandeuppgifter inom ramen för ett offentlig-privat partnerskap och som lämnar tillräckliga ekonomiska garantier</w:t>
      </w:r>
    </w:p>
    <w:p w14:paraId="34DB61AD" w14:textId="77777777" w:rsidR="00252FB9" w:rsidRPr="00C25964" w:rsidRDefault="00252FB9" w:rsidP="00252FB9">
      <w:pPr>
        <w:pStyle w:val="ListDash2"/>
        <w:rPr>
          <w:noProof/>
        </w:rPr>
      </w:pPr>
      <w:r w:rsidRPr="00C25964">
        <w:rPr>
          <w:noProof/>
        </w:rPr>
        <w:sym w:font="Wingdings" w:char="F0A8"/>
      </w:r>
      <w:r w:rsidRPr="00C25964">
        <w:rPr>
          <w:noProof/>
        </w:rPr>
        <w:t xml:space="preserve"> personer som anförtrotts ansvaret för genomförandet av särskilda åtgärder inom Gusp som följer av avdelning V i fördraget om Europeiska unionen och som anges i den grundläggande rättsakten.</w:t>
      </w:r>
    </w:p>
    <w:p w14:paraId="5F3EEB1C" w14:textId="77777777" w:rsidR="00252FB9" w:rsidRPr="00C25964" w:rsidRDefault="00252FB9" w:rsidP="00252FB9">
      <w:pPr>
        <w:pStyle w:val="ListDash2"/>
        <w:rPr>
          <w:i/>
          <w:noProof/>
          <w:sz w:val="18"/>
          <w:u w:val="single"/>
        </w:rPr>
      </w:pPr>
      <w:r w:rsidRPr="00C25964">
        <w:rPr>
          <w:i/>
          <w:noProof/>
          <w:sz w:val="18"/>
        </w:rPr>
        <w:t>Vid fler än en metod, ange kompletterande uppgifter under ”Anmärkningar”.</w:t>
      </w:r>
    </w:p>
    <w:p w14:paraId="0BCE7308" w14:textId="77777777" w:rsidR="00252FB9" w:rsidRPr="00C25964" w:rsidRDefault="00252FB9" w:rsidP="00252FB9">
      <w:pPr>
        <w:rPr>
          <w:noProof/>
        </w:rPr>
      </w:pPr>
      <w:r w:rsidRPr="00C25964">
        <w:rPr>
          <w:noProof/>
        </w:rPr>
        <w:t xml:space="preserve">Anmärkningar </w:t>
      </w:r>
    </w:p>
    <w:p w14:paraId="0A1FB5ED" w14:textId="77777777" w:rsidR="00252FB9" w:rsidRPr="00C25964" w:rsidRDefault="00252FB9" w:rsidP="00D67179">
      <w:pPr>
        <w:pStyle w:val="Text1"/>
        <w:pBdr>
          <w:top w:val="single" w:sz="4" w:space="1" w:color="auto"/>
          <w:left w:val="single" w:sz="4" w:space="4" w:color="auto"/>
          <w:bottom w:val="single" w:sz="4" w:space="1" w:color="auto"/>
          <w:right w:val="single" w:sz="4" w:space="4" w:color="auto"/>
        </w:pBdr>
        <w:rPr>
          <w:noProof/>
        </w:rPr>
      </w:pPr>
      <w:r w:rsidRPr="00C25964">
        <w:rPr>
          <w:noProof/>
        </w:rPr>
        <w:t>[…]</w:t>
      </w:r>
    </w:p>
    <w:p w14:paraId="7D930B87" w14:textId="77777777" w:rsidR="00252FB9" w:rsidRPr="00C25964" w:rsidRDefault="00252FB9" w:rsidP="00D67179">
      <w:pPr>
        <w:pStyle w:val="Text1"/>
        <w:pBdr>
          <w:top w:val="single" w:sz="4" w:space="1" w:color="auto"/>
          <w:left w:val="single" w:sz="4" w:space="4" w:color="auto"/>
          <w:bottom w:val="single" w:sz="4" w:space="1" w:color="auto"/>
          <w:right w:val="single" w:sz="4" w:space="4" w:color="auto"/>
        </w:pBdr>
        <w:rPr>
          <w:noProof/>
        </w:rPr>
      </w:pPr>
      <w:r w:rsidRPr="00C25964">
        <w:rPr>
          <w:noProof/>
        </w:rPr>
        <w:t>[…]</w:t>
      </w:r>
    </w:p>
    <w:p w14:paraId="0D2E305C" w14:textId="77777777" w:rsidR="00252FB9" w:rsidRPr="00C25964" w:rsidRDefault="00252FB9" w:rsidP="00252FB9">
      <w:pPr>
        <w:rPr>
          <w:noProof/>
        </w:rPr>
        <w:sectPr w:rsidR="00252FB9" w:rsidRPr="00C25964" w:rsidSect="004A0B38">
          <w:pgSz w:w="11907" w:h="16840" w:code="9"/>
          <w:pgMar w:top="1134" w:right="1418" w:bottom="1134" w:left="1418" w:header="709" w:footer="709" w:gutter="0"/>
          <w:cols w:space="708"/>
          <w:docGrid w:linePitch="360"/>
        </w:sectPr>
      </w:pPr>
    </w:p>
    <w:p w14:paraId="4001E5B4" w14:textId="7AF1674A" w:rsidR="00252FB9" w:rsidRPr="00C25964" w:rsidRDefault="00AD1692" w:rsidP="00AD1692">
      <w:pPr>
        <w:pStyle w:val="ManualHeading1"/>
        <w:rPr>
          <w:bCs/>
          <w:noProof/>
          <w:szCs w:val="24"/>
        </w:rPr>
      </w:pPr>
      <w:bookmarkStart w:id="32" w:name="_Toc514938041"/>
      <w:bookmarkStart w:id="33" w:name="_Toc520485042"/>
      <w:r w:rsidRPr="00AD1692">
        <w:t>2.</w:t>
      </w:r>
      <w:r w:rsidRPr="00AD1692">
        <w:tab/>
      </w:r>
      <w:r w:rsidR="00252FB9" w:rsidRPr="00C25964">
        <w:rPr>
          <w:noProof/>
        </w:rPr>
        <w:t>FÖRVALTNING</w:t>
      </w:r>
      <w:bookmarkEnd w:id="32"/>
      <w:bookmarkEnd w:id="33"/>
      <w:r w:rsidR="00252FB9" w:rsidRPr="00C25964">
        <w:rPr>
          <w:noProof/>
        </w:rPr>
        <w:t xml:space="preserve"> </w:t>
      </w:r>
    </w:p>
    <w:p w14:paraId="23D611A5" w14:textId="25C7BEDA" w:rsidR="00252FB9" w:rsidRPr="00C25964" w:rsidRDefault="00AD1692" w:rsidP="00AD1692">
      <w:pPr>
        <w:pStyle w:val="ManualHeading2"/>
        <w:rPr>
          <w:noProof/>
        </w:rPr>
      </w:pPr>
      <w:bookmarkStart w:id="34" w:name="_Toc514938042"/>
      <w:bookmarkStart w:id="35" w:name="_Toc520485043"/>
      <w:r w:rsidRPr="00AD1692">
        <w:t>2.1.</w:t>
      </w:r>
      <w:r w:rsidRPr="00AD1692">
        <w:tab/>
      </w:r>
      <w:r w:rsidR="00252FB9" w:rsidRPr="00C25964">
        <w:rPr>
          <w:noProof/>
        </w:rPr>
        <w:t>Regler om uppföljning och rapportering</w:t>
      </w:r>
      <w:bookmarkEnd w:id="34"/>
      <w:bookmarkEnd w:id="35"/>
      <w:r w:rsidR="00252FB9" w:rsidRPr="00C25964">
        <w:rPr>
          <w:noProof/>
        </w:rPr>
        <w:t xml:space="preserve"> </w:t>
      </w:r>
    </w:p>
    <w:p w14:paraId="666FA5F4" w14:textId="77777777" w:rsidR="00252FB9" w:rsidRPr="00C25964" w:rsidRDefault="00252FB9" w:rsidP="00252FB9">
      <w:pPr>
        <w:pStyle w:val="Text1"/>
        <w:rPr>
          <w:i/>
          <w:noProof/>
          <w:sz w:val="20"/>
        </w:rPr>
      </w:pPr>
      <w:r w:rsidRPr="00C25964">
        <w:rPr>
          <w:i/>
          <w:noProof/>
          <w:sz w:val="20"/>
        </w:rPr>
        <w:t>Ange intervall och andra villkor för sådana åtgärder:</w:t>
      </w:r>
    </w:p>
    <w:p w14:paraId="643E78A0" w14:textId="77777777" w:rsidR="00252FB9" w:rsidRPr="00C25964" w:rsidRDefault="00252FB9" w:rsidP="00D67179">
      <w:pPr>
        <w:pStyle w:val="Text1"/>
        <w:pBdr>
          <w:top w:val="single" w:sz="4" w:space="1" w:color="auto"/>
          <w:left w:val="single" w:sz="4" w:space="4" w:color="auto"/>
          <w:bottom w:val="single" w:sz="4" w:space="1" w:color="auto"/>
          <w:right w:val="single" w:sz="4" w:space="4" w:color="auto"/>
        </w:pBdr>
        <w:rPr>
          <w:noProof/>
        </w:rPr>
      </w:pPr>
      <w:r w:rsidRPr="00C25964">
        <w:rPr>
          <w:noProof/>
        </w:rPr>
        <w:t>Arbetsprogram för Europaåret</w:t>
      </w:r>
    </w:p>
    <w:p w14:paraId="4BA67D0C" w14:textId="77777777" w:rsidR="00252FB9" w:rsidRPr="00C25964" w:rsidRDefault="00252FB9" w:rsidP="00D67179">
      <w:pPr>
        <w:pStyle w:val="Text1"/>
        <w:pBdr>
          <w:top w:val="single" w:sz="4" w:space="1" w:color="auto"/>
          <w:left w:val="single" w:sz="4" w:space="4" w:color="auto"/>
          <w:bottom w:val="single" w:sz="4" w:space="1" w:color="auto"/>
          <w:right w:val="single" w:sz="4" w:space="4" w:color="auto"/>
        </w:pBdr>
        <w:rPr>
          <w:noProof/>
        </w:rPr>
      </w:pPr>
      <w:r w:rsidRPr="00C25964">
        <w:rPr>
          <w:noProof/>
        </w:rPr>
        <w:t>Inrättande av en styrkommitté</w:t>
      </w:r>
    </w:p>
    <w:p w14:paraId="4D1816EA" w14:textId="50E96B57" w:rsidR="00252FB9" w:rsidRPr="00C25964" w:rsidRDefault="00AD1692" w:rsidP="00AD1692">
      <w:pPr>
        <w:pStyle w:val="ManualHeading2"/>
        <w:rPr>
          <w:bCs/>
          <w:noProof/>
          <w:szCs w:val="24"/>
        </w:rPr>
      </w:pPr>
      <w:bookmarkStart w:id="36" w:name="_Toc514938045"/>
      <w:bookmarkStart w:id="37" w:name="_Toc520485044"/>
      <w:r w:rsidRPr="00AD1692">
        <w:t>2.2.</w:t>
      </w:r>
      <w:r w:rsidRPr="00AD1692">
        <w:tab/>
      </w:r>
      <w:r w:rsidR="00252FB9" w:rsidRPr="00C25964">
        <w:rPr>
          <w:noProof/>
        </w:rPr>
        <w:t>Förvaltnings- och kontrollsystem</w:t>
      </w:r>
      <w:bookmarkEnd w:id="36"/>
      <w:bookmarkEnd w:id="37"/>
      <w:r w:rsidR="00252FB9" w:rsidRPr="00C25964">
        <w:rPr>
          <w:noProof/>
        </w:rPr>
        <w:t xml:space="preserve"> </w:t>
      </w:r>
    </w:p>
    <w:p w14:paraId="3033FBE1" w14:textId="38312872" w:rsidR="00252FB9" w:rsidRPr="00C25964" w:rsidRDefault="00AD1692" w:rsidP="00AD1692">
      <w:pPr>
        <w:pStyle w:val="ManualHeading3"/>
        <w:rPr>
          <w:noProof/>
        </w:rPr>
      </w:pPr>
      <w:bookmarkStart w:id="38" w:name="_Toc514938046"/>
      <w:bookmarkStart w:id="39" w:name="_Toc520485045"/>
      <w:r w:rsidRPr="00AD1692">
        <w:t>2.2.1.</w:t>
      </w:r>
      <w:r w:rsidRPr="00AD1692">
        <w:tab/>
      </w:r>
      <w:r w:rsidR="00252FB9" w:rsidRPr="00C25964">
        <w:rPr>
          <w:noProof/>
        </w:rPr>
        <w:t>Motivering av den genomförandemetod, de finansieringsmekanismer, de betalningsvillkor och den kontrollstrategi som föreslås</w:t>
      </w:r>
      <w:bookmarkEnd w:id="38"/>
      <w:bookmarkEnd w:id="39"/>
    </w:p>
    <w:p w14:paraId="5552BDA7" w14:textId="77777777" w:rsidR="00252FB9" w:rsidRPr="00C25964" w:rsidRDefault="00252FB9" w:rsidP="00252FB9">
      <w:pPr>
        <w:pStyle w:val="Text1"/>
        <w:pBdr>
          <w:top w:val="single" w:sz="4" w:space="1" w:color="auto"/>
          <w:left w:val="single" w:sz="4" w:space="4" w:color="auto"/>
          <w:bottom w:val="single" w:sz="4" w:space="1" w:color="auto"/>
          <w:right w:val="single" w:sz="4" w:space="4" w:color="auto"/>
        </w:pBdr>
        <w:rPr>
          <w:noProof/>
        </w:rPr>
      </w:pPr>
      <w:r w:rsidRPr="00C25964">
        <w:rPr>
          <w:noProof/>
          <w:shd w:val="clear" w:color="auto" w:fill="FFFFFF"/>
        </w:rPr>
        <w:t>Direkt förvaltning enligt artikel 62.1 a i budgetförordningen är den genomförandemetod som föredras eftersom åtgärderna kommer att genomföras av Europeiska kommissionen, särskilt GD Utbildning, ungdom, idrott och kultur, som kommer att säkerställa samordningen med medlemsstaterna och de olika berörda parterna.</w:t>
      </w:r>
    </w:p>
    <w:p w14:paraId="6242A47B" w14:textId="34A4FAAA" w:rsidR="00252FB9" w:rsidRPr="00C25964" w:rsidRDefault="00AD1692" w:rsidP="00AD1692">
      <w:pPr>
        <w:pStyle w:val="ManualHeading3"/>
        <w:rPr>
          <w:noProof/>
        </w:rPr>
      </w:pPr>
      <w:bookmarkStart w:id="40" w:name="_Toc514938048"/>
      <w:bookmarkStart w:id="41" w:name="_Toc520485047"/>
      <w:r w:rsidRPr="00AD1692">
        <w:t>2.2.2.</w:t>
      </w:r>
      <w:r w:rsidRPr="00AD1692">
        <w:tab/>
      </w:r>
      <w:r w:rsidR="00252FB9" w:rsidRPr="00C25964">
        <w:rPr>
          <w:noProof/>
        </w:rPr>
        <w:t>Beräkning och motivering av kontrollernas kostnadseffektivitet (dvs. förhållandet mellan kostnaden för kontrollerna och värdet av de medel som förvaltas) och en bedömning av den förväntade risken för fel (vid betalning och vid avslutande)</w:t>
      </w:r>
      <w:bookmarkEnd w:id="40"/>
      <w:bookmarkEnd w:id="41"/>
      <w:r w:rsidR="00252FB9" w:rsidRPr="00C25964">
        <w:rPr>
          <w:noProof/>
        </w:rPr>
        <w:t xml:space="preserve"> </w:t>
      </w:r>
    </w:p>
    <w:p w14:paraId="31ACE358" w14:textId="77777777" w:rsidR="00252FB9" w:rsidRPr="00C25964" w:rsidRDefault="00252FB9" w:rsidP="00D67179">
      <w:pPr>
        <w:pStyle w:val="Text1"/>
        <w:pBdr>
          <w:top w:val="single" w:sz="4" w:space="1" w:color="auto"/>
          <w:left w:val="single" w:sz="4" w:space="4" w:color="auto"/>
          <w:bottom w:val="single" w:sz="4" w:space="1" w:color="auto"/>
          <w:right w:val="single" w:sz="4" w:space="4" w:color="auto"/>
        </w:pBdr>
        <w:rPr>
          <w:noProof/>
        </w:rPr>
      </w:pPr>
      <w:r w:rsidRPr="00C25964">
        <w:rPr>
          <w:noProof/>
        </w:rPr>
        <w:t xml:space="preserve">Kontrollerna är en del av det interna kontrollsystemet inom GD Utbildning, ungdom, idrott och kultur. Denna nya verksamhet kommer att ge upphov till obetydliga ytterligare kostnader för kontroll på GD-nivå. </w:t>
      </w:r>
    </w:p>
    <w:p w14:paraId="509A6695" w14:textId="77777777" w:rsidR="00252FB9" w:rsidRPr="00C25964" w:rsidRDefault="00252FB9" w:rsidP="00252FB9">
      <w:pPr>
        <w:pStyle w:val="Text1"/>
        <w:pBdr>
          <w:top w:val="single" w:sz="4" w:space="1" w:color="auto"/>
          <w:left w:val="single" w:sz="4" w:space="4" w:color="auto"/>
          <w:bottom w:val="single" w:sz="4" w:space="1" w:color="auto"/>
          <w:right w:val="single" w:sz="4" w:space="4" w:color="auto"/>
        </w:pBdr>
        <w:rPr>
          <w:noProof/>
        </w:rPr>
      </w:pPr>
    </w:p>
    <w:p w14:paraId="4E5E4422" w14:textId="4675EA29" w:rsidR="00252FB9" w:rsidRPr="00C25964" w:rsidRDefault="00AD1692" w:rsidP="00AD1692">
      <w:pPr>
        <w:pStyle w:val="ManualHeading2"/>
        <w:rPr>
          <w:bCs/>
          <w:noProof/>
          <w:szCs w:val="24"/>
        </w:rPr>
      </w:pPr>
      <w:bookmarkStart w:id="42" w:name="_Toc514938049"/>
      <w:bookmarkStart w:id="43" w:name="_Toc520485048"/>
      <w:r w:rsidRPr="00AD1692">
        <w:t>2.3.</w:t>
      </w:r>
      <w:r w:rsidRPr="00AD1692">
        <w:tab/>
      </w:r>
      <w:r w:rsidR="00252FB9" w:rsidRPr="00C25964">
        <w:rPr>
          <w:noProof/>
        </w:rPr>
        <w:t>Åtgärder för att förebygga bedrägeri och oriktigheter</w:t>
      </w:r>
      <w:bookmarkEnd w:id="42"/>
      <w:bookmarkEnd w:id="43"/>
      <w:r w:rsidR="00252FB9" w:rsidRPr="00C25964">
        <w:rPr>
          <w:noProof/>
        </w:rPr>
        <w:t xml:space="preserve"> </w:t>
      </w:r>
    </w:p>
    <w:p w14:paraId="1168BCAC" w14:textId="77777777" w:rsidR="00252FB9" w:rsidRPr="00C25964" w:rsidRDefault="00252FB9" w:rsidP="00252FB9">
      <w:pPr>
        <w:pStyle w:val="Text1"/>
        <w:rPr>
          <w:i/>
          <w:noProof/>
          <w:sz w:val="20"/>
        </w:rPr>
      </w:pPr>
      <w:r w:rsidRPr="00C25964">
        <w:rPr>
          <w:i/>
          <w:noProof/>
          <w:sz w:val="20"/>
        </w:rPr>
        <w:t>Beskriv förebyggande åtgärder (befintliga eller planerade), t.ex. från strategin mot bedrägerier.</w:t>
      </w:r>
    </w:p>
    <w:p w14:paraId="7A1AD0AC" w14:textId="77777777" w:rsidR="00252FB9" w:rsidRPr="00C25964" w:rsidRDefault="00252FB9" w:rsidP="00D67179">
      <w:pPr>
        <w:pStyle w:val="Text1"/>
        <w:pBdr>
          <w:top w:val="single" w:sz="4" w:space="1" w:color="auto"/>
          <w:left w:val="single" w:sz="4" w:space="4" w:color="auto"/>
          <w:bottom w:val="single" w:sz="4" w:space="1" w:color="auto"/>
          <w:right w:val="single" w:sz="4" w:space="4" w:color="auto"/>
        </w:pBdr>
        <w:rPr>
          <w:noProof/>
        </w:rPr>
      </w:pPr>
      <w:r w:rsidRPr="00C25964">
        <w:rPr>
          <w:noProof/>
        </w:rPr>
        <w:t xml:space="preserve">Kommissionen ska säkerställa att unionens ekonomiska intressen skyddas i samband med genomförandet av åtgärder som finansieras enligt detta beslut genom att vidta förebyggande åtgärder mot bedrägeri, korruption och annan olaglig verksamhet, genom effektiva kontroller och genom att belopp som otillbörligt betalats ut återkrävs samt, om oriktigheter upptäcks, genom effektiva, proportionella och avskräckande påföljder. Kommissionen har befogenhet att utföra kontroller och undersökningar på plats i enlighet med detta beslut och i enlighet med rådets förordning (Euratom, EG) nr 2185/96 av den 11 november 1996 om de kontroller och inspektioner på platsen som kommissionen utför för att skydda Europeiska gemenskapernas finansiella intressen mot bedrägerier och andra oegentligheter. Vid behov får utredningar även utföras av Europeiska byrån för bedrägeribekämpning (OLAF) enligt Europaparlamentets och rådets förordning (EG) nr 1073/1999 av den 25 maj 1999 om utredningar som utförs av Europeiska byrån för bedrägeribekämpning (OLAF). </w:t>
      </w:r>
    </w:p>
    <w:p w14:paraId="71C44D8B" w14:textId="77777777" w:rsidR="00252FB9" w:rsidRPr="00C25964" w:rsidRDefault="00252FB9" w:rsidP="00252FB9">
      <w:pPr>
        <w:pStyle w:val="Text1"/>
        <w:pBdr>
          <w:top w:val="single" w:sz="4" w:space="1" w:color="auto"/>
          <w:left w:val="single" w:sz="4" w:space="4" w:color="auto"/>
          <w:bottom w:val="single" w:sz="4" w:space="1" w:color="auto"/>
          <w:right w:val="single" w:sz="4" w:space="4" w:color="auto"/>
        </w:pBdr>
        <w:rPr>
          <w:noProof/>
        </w:rPr>
        <w:sectPr w:rsidR="00252FB9" w:rsidRPr="00C25964" w:rsidSect="004A0B38">
          <w:pgSz w:w="11907" w:h="16840" w:code="9"/>
          <w:pgMar w:top="1134" w:right="1418" w:bottom="1134" w:left="1418" w:header="709" w:footer="709" w:gutter="0"/>
          <w:cols w:space="708"/>
          <w:docGrid w:linePitch="360"/>
        </w:sectPr>
      </w:pPr>
    </w:p>
    <w:p w14:paraId="12DFBF77" w14:textId="054BC29E" w:rsidR="00252FB9" w:rsidRPr="00C25964" w:rsidRDefault="00AD1692" w:rsidP="00AD1692">
      <w:pPr>
        <w:pStyle w:val="ManualHeading1"/>
        <w:rPr>
          <w:bCs/>
          <w:noProof/>
          <w:szCs w:val="24"/>
        </w:rPr>
      </w:pPr>
      <w:bookmarkStart w:id="44" w:name="_Toc514938050"/>
      <w:bookmarkStart w:id="45" w:name="_Toc520485049"/>
      <w:r w:rsidRPr="00AD1692">
        <w:t>3.</w:t>
      </w:r>
      <w:r w:rsidRPr="00AD1692">
        <w:tab/>
      </w:r>
      <w:r w:rsidR="00252FB9" w:rsidRPr="00C25964">
        <w:rPr>
          <w:noProof/>
        </w:rPr>
        <w:t>BERÄKNADE BUDGETKONSEKVENSER AV FÖRSLAGET ELLER INITIATIVET</w:t>
      </w:r>
      <w:bookmarkEnd w:id="44"/>
      <w:bookmarkEnd w:id="45"/>
      <w:r w:rsidR="00252FB9" w:rsidRPr="00C25964">
        <w:rPr>
          <w:noProof/>
        </w:rPr>
        <w:t xml:space="preserve"> </w:t>
      </w:r>
    </w:p>
    <w:p w14:paraId="2CC0F659" w14:textId="437547AE" w:rsidR="00252FB9" w:rsidRPr="00C25964" w:rsidRDefault="00AD1692" w:rsidP="00AD1692">
      <w:pPr>
        <w:pStyle w:val="ManualHeading2"/>
        <w:rPr>
          <w:noProof/>
        </w:rPr>
      </w:pPr>
      <w:bookmarkStart w:id="46" w:name="_Toc514938051"/>
      <w:bookmarkStart w:id="47" w:name="_Toc520485050"/>
      <w:r w:rsidRPr="00AD1692">
        <w:t>3.1.</w:t>
      </w:r>
      <w:r w:rsidRPr="00AD1692">
        <w:tab/>
      </w:r>
      <w:r w:rsidR="00252FB9" w:rsidRPr="00C25964">
        <w:rPr>
          <w:noProof/>
        </w:rPr>
        <w:t>Berörda rubriker i den fleråriga budgetramen och budgetrubriker i den årliga budgetens utgiftsdel</w:t>
      </w:r>
      <w:bookmarkEnd w:id="46"/>
      <w:bookmarkEnd w:id="47"/>
      <w:r w:rsidR="00252FB9" w:rsidRPr="00C25964">
        <w:rPr>
          <w:noProof/>
        </w:rPr>
        <w:t xml:space="preserve"> </w:t>
      </w:r>
    </w:p>
    <w:p w14:paraId="01B77E11" w14:textId="77777777" w:rsidR="00252FB9" w:rsidRPr="00C25964" w:rsidRDefault="00252FB9" w:rsidP="00252FB9">
      <w:pPr>
        <w:pStyle w:val="ListBullet1"/>
        <w:rPr>
          <w:noProof/>
        </w:rPr>
      </w:pPr>
      <w:r w:rsidRPr="00C25964">
        <w:rPr>
          <w:noProof/>
        </w:rPr>
        <w:t xml:space="preserve">Befintliga budgetrubriker (även kallade ”budgetposter”) </w:t>
      </w:r>
    </w:p>
    <w:p w14:paraId="776BFB75" w14:textId="77777777" w:rsidR="00252FB9" w:rsidRPr="00C25964" w:rsidRDefault="00252FB9" w:rsidP="00252FB9">
      <w:pPr>
        <w:pStyle w:val="Text1"/>
        <w:rPr>
          <w:i/>
          <w:noProof/>
        </w:rPr>
      </w:pPr>
      <w:r w:rsidRPr="00C25964">
        <w:rPr>
          <w:i/>
          <w:noProof/>
        </w:rPr>
        <w:t>Redovisa enligt de berörda rubrikerna i den fleråriga budgetramen i nummerföljd</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252FB9" w:rsidRPr="00C25964" w14:paraId="0082C7CA" w14:textId="77777777" w:rsidTr="00D05F26">
        <w:tc>
          <w:tcPr>
            <w:tcW w:w="1080" w:type="dxa"/>
            <w:vMerge w:val="restart"/>
            <w:vAlign w:val="center"/>
          </w:tcPr>
          <w:p w14:paraId="049ABAEF" w14:textId="77777777" w:rsidR="00252FB9" w:rsidRPr="00C25964" w:rsidRDefault="00252FB9" w:rsidP="00D05F26">
            <w:pPr>
              <w:spacing w:before="60" w:after="60"/>
              <w:jc w:val="center"/>
              <w:rPr>
                <w:noProof/>
              </w:rPr>
            </w:pPr>
            <w:r w:rsidRPr="00C25964">
              <w:rPr>
                <w:noProof/>
                <w:sz w:val="18"/>
                <w:szCs w:val="18"/>
              </w:rPr>
              <w:t>Rubrik i den fleråriga budgetramen</w:t>
            </w:r>
          </w:p>
        </w:tc>
        <w:tc>
          <w:tcPr>
            <w:tcW w:w="3960" w:type="dxa"/>
            <w:vAlign w:val="center"/>
          </w:tcPr>
          <w:p w14:paraId="3F021DF1" w14:textId="77777777" w:rsidR="00252FB9" w:rsidRPr="00C25964" w:rsidRDefault="00252FB9" w:rsidP="00D05F26">
            <w:pPr>
              <w:spacing w:before="60" w:after="60"/>
              <w:jc w:val="center"/>
              <w:rPr>
                <w:noProof/>
              </w:rPr>
            </w:pPr>
            <w:r w:rsidRPr="00C25964">
              <w:rPr>
                <w:noProof/>
                <w:sz w:val="20"/>
                <w:szCs w:val="20"/>
              </w:rPr>
              <w:t>Budgetrubrik</w:t>
            </w:r>
          </w:p>
        </w:tc>
        <w:tc>
          <w:tcPr>
            <w:tcW w:w="1080" w:type="dxa"/>
            <w:vAlign w:val="center"/>
          </w:tcPr>
          <w:p w14:paraId="4F438C74" w14:textId="77777777" w:rsidR="00252FB9" w:rsidRPr="00C25964" w:rsidRDefault="00252FB9" w:rsidP="00D05F26">
            <w:pPr>
              <w:spacing w:before="60" w:after="60"/>
              <w:jc w:val="center"/>
              <w:rPr>
                <w:noProof/>
              </w:rPr>
            </w:pPr>
            <w:r w:rsidRPr="00C25964">
              <w:rPr>
                <w:noProof/>
                <w:sz w:val="18"/>
                <w:szCs w:val="18"/>
              </w:rPr>
              <w:t>Typ av utgifter</w:t>
            </w:r>
          </w:p>
        </w:tc>
        <w:tc>
          <w:tcPr>
            <w:tcW w:w="4440" w:type="dxa"/>
            <w:gridSpan w:val="4"/>
            <w:vAlign w:val="center"/>
          </w:tcPr>
          <w:p w14:paraId="6D70192D" w14:textId="77777777" w:rsidR="00252FB9" w:rsidRPr="00C25964" w:rsidRDefault="00252FB9" w:rsidP="00D05F26">
            <w:pPr>
              <w:spacing w:before="60" w:after="60"/>
              <w:jc w:val="center"/>
              <w:rPr>
                <w:noProof/>
              </w:rPr>
            </w:pPr>
            <w:r w:rsidRPr="00C25964">
              <w:rPr>
                <w:noProof/>
                <w:sz w:val="20"/>
                <w:szCs w:val="20"/>
              </w:rPr>
              <w:t xml:space="preserve">Bidrag </w:t>
            </w:r>
          </w:p>
        </w:tc>
      </w:tr>
      <w:tr w:rsidR="00252FB9" w:rsidRPr="00C25964" w14:paraId="647D796D" w14:textId="77777777" w:rsidTr="00D05F26">
        <w:tc>
          <w:tcPr>
            <w:tcW w:w="1080" w:type="dxa"/>
            <w:vMerge/>
            <w:vAlign w:val="center"/>
          </w:tcPr>
          <w:p w14:paraId="34374E59" w14:textId="77777777" w:rsidR="00252FB9" w:rsidRPr="00C25964" w:rsidRDefault="00252FB9" w:rsidP="00D05F26">
            <w:pPr>
              <w:jc w:val="center"/>
              <w:rPr>
                <w:noProof/>
                <w:highlight w:val="yellow"/>
              </w:rPr>
            </w:pPr>
          </w:p>
        </w:tc>
        <w:tc>
          <w:tcPr>
            <w:tcW w:w="3960" w:type="dxa"/>
            <w:vAlign w:val="center"/>
          </w:tcPr>
          <w:p w14:paraId="48C58E7D" w14:textId="77777777" w:rsidR="00252FB9" w:rsidRPr="00C25964" w:rsidRDefault="00252FB9" w:rsidP="00D05F26">
            <w:pPr>
              <w:rPr>
                <w:noProof/>
              </w:rPr>
            </w:pPr>
            <w:r w:rsidRPr="00C25964">
              <w:rPr>
                <w:noProof/>
                <w:sz w:val="20"/>
                <w:szCs w:val="20"/>
              </w:rPr>
              <w:t xml:space="preserve">Nummer </w:t>
            </w:r>
            <w:r w:rsidRPr="00C25964">
              <w:rPr>
                <w:noProof/>
              </w:rPr>
              <w:t xml:space="preserve"> </w:t>
            </w:r>
            <w:r w:rsidRPr="00C25964">
              <w:rPr>
                <w:noProof/>
              </w:rPr>
              <w:br/>
            </w:r>
          </w:p>
        </w:tc>
        <w:tc>
          <w:tcPr>
            <w:tcW w:w="1080" w:type="dxa"/>
            <w:vAlign w:val="center"/>
          </w:tcPr>
          <w:p w14:paraId="5DF834CD" w14:textId="77777777" w:rsidR="00252FB9" w:rsidRPr="00C25964" w:rsidRDefault="00252FB9" w:rsidP="00D05F26">
            <w:pPr>
              <w:jc w:val="center"/>
              <w:rPr>
                <w:noProof/>
              </w:rPr>
            </w:pPr>
            <w:r w:rsidRPr="00C25964">
              <w:rPr>
                <w:noProof/>
                <w:sz w:val="18"/>
                <w:szCs w:val="18"/>
              </w:rPr>
              <w:t>Diff./Icke-diff.</w:t>
            </w:r>
            <w:r w:rsidRPr="00C25964">
              <w:rPr>
                <w:rStyle w:val="FootnoteReference0"/>
                <w:noProof/>
                <w:sz w:val="18"/>
                <w:szCs w:val="18"/>
              </w:rPr>
              <w:footnoteReference w:id="33"/>
            </w:r>
          </w:p>
        </w:tc>
        <w:tc>
          <w:tcPr>
            <w:tcW w:w="956" w:type="dxa"/>
            <w:vAlign w:val="center"/>
          </w:tcPr>
          <w:p w14:paraId="160E8779" w14:textId="77777777" w:rsidR="00252FB9" w:rsidRPr="00C25964" w:rsidRDefault="00252FB9" w:rsidP="00D05F26">
            <w:pPr>
              <w:jc w:val="center"/>
              <w:rPr>
                <w:noProof/>
              </w:rPr>
            </w:pPr>
            <w:r w:rsidRPr="00C25964">
              <w:rPr>
                <w:noProof/>
                <w:sz w:val="18"/>
                <w:szCs w:val="18"/>
              </w:rPr>
              <w:t>från Eftaländer</w:t>
            </w:r>
            <w:r w:rsidRPr="00C25964">
              <w:rPr>
                <w:rStyle w:val="FootnoteReference0"/>
                <w:noProof/>
                <w:sz w:val="18"/>
                <w:szCs w:val="18"/>
              </w:rPr>
              <w:footnoteReference w:id="34"/>
            </w:r>
          </w:p>
          <w:p w14:paraId="466FEF1E" w14:textId="77777777" w:rsidR="00252FB9" w:rsidRPr="00C25964" w:rsidRDefault="00252FB9" w:rsidP="00D05F26">
            <w:pPr>
              <w:spacing w:before="0" w:after="0"/>
              <w:jc w:val="center"/>
              <w:rPr>
                <w:b/>
                <w:noProof/>
                <w:sz w:val="18"/>
                <w:szCs w:val="18"/>
              </w:rPr>
            </w:pPr>
          </w:p>
        </w:tc>
        <w:tc>
          <w:tcPr>
            <w:tcW w:w="1080" w:type="dxa"/>
            <w:vAlign w:val="center"/>
          </w:tcPr>
          <w:p w14:paraId="4F353AA6" w14:textId="77777777" w:rsidR="00252FB9" w:rsidRPr="00C25964" w:rsidRDefault="00252FB9" w:rsidP="00D05F26">
            <w:pPr>
              <w:jc w:val="center"/>
              <w:rPr>
                <w:noProof/>
              </w:rPr>
            </w:pPr>
            <w:r w:rsidRPr="00C25964">
              <w:rPr>
                <w:noProof/>
                <w:sz w:val="18"/>
                <w:szCs w:val="18"/>
              </w:rPr>
              <w:t>från kandidatländer</w:t>
            </w:r>
            <w:r w:rsidRPr="00C25964">
              <w:rPr>
                <w:rStyle w:val="FootnoteReference0"/>
                <w:noProof/>
                <w:sz w:val="18"/>
                <w:szCs w:val="18"/>
              </w:rPr>
              <w:footnoteReference w:id="35"/>
            </w:r>
          </w:p>
          <w:p w14:paraId="4817C999" w14:textId="77777777" w:rsidR="00252FB9" w:rsidRPr="00C25964" w:rsidRDefault="00252FB9" w:rsidP="00D05F26">
            <w:pPr>
              <w:spacing w:before="0" w:after="0"/>
              <w:jc w:val="center"/>
              <w:rPr>
                <w:noProof/>
                <w:sz w:val="18"/>
                <w:szCs w:val="18"/>
              </w:rPr>
            </w:pPr>
          </w:p>
        </w:tc>
        <w:tc>
          <w:tcPr>
            <w:tcW w:w="956" w:type="dxa"/>
            <w:vAlign w:val="center"/>
          </w:tcPr>
          <w:p w14:paraId="539DBD82" w14:textId="77777777" w:rsidR="00252FB9" w:rsidRPr="00C25964" w:rsidRDefault="00252FB9" w:rsidP="00D05F26">
            <w:pPr>
              <w:jc w:val="center"/>
              <w:rPr>
                <w:noProof/>
                <w:sz w:val="18"/>
                <w:szCs w:val="18"/>
              </w:rPr>
            </w:pPr>
            <w:r w:rsidRPr="00C25964">
              <w:rPr>
                <w:noProof/>
                <w:sz w:val="18"/>
                <w:szCs w:val="18"/>
              </w:rPr>
              <w:t>från tredjeländer</w:t>
            </w:r>
          </w:p>
        </w:tc>
        <w:tc>
          <w:tcPr>
            <w:tcW w:w="1448" w:type="dxa"/>
            <w:vAlign w:val="center"/>
          </w:tcPr>
          <w:p w14:paraId="657C16A4" w14:textId="77777777" w:rsidR="00252FB9" w:rsidRPr="00C25964" w:rsidRDefault="00252FB9" w:rsidP="00D05F26">
            <w:pPr>
              <w:jc w:val="center"/>
              <w:rPr>
                <w:noProof/>
              </w:rPr>
            </w:pPr>
            <w:r w:rsidRPr="00C25964">
              <w:rPr>
                <w:noProof/>
                <w:sz w:val="16"/>
                <w:szCs w:val="16"/>
              </w:rPr>
              <w:t xml:space="preserve">enligt artikel 21.2 b i budgetförordningen </w:t>
            </w:r>
          </w:p>
        </w:tc>
      </w:tr>
      <w:tr w:rsidR="00252FB9" w:rsidRPr="00C25964" w14:paraId="0C9C76EA" w14:textId="77777777" w:rsidTr="00D05F26">
        <w:tc>
          <w:tcPr>
            <w:tcW w:w="1080" w:type="dxa"/>
            <w:vAlign w:val="center"/>
          </w:tcPr>
          <w:p w14:paraId="3CA8415C" w14:textId="77777777" w:rsidR="00252FB9" w:rsidRPr="00C25964" w:rsidRDefault="00252FB9" w:rsidP="00D05F26">
            <w:pPr>
              <w:jc w:val="center"/>
              <w:rPr>
                <w:noProof/>
                <w:color w:val="0000FF"/>
              </w:rPr>
            </w:pPr>
          </w:p>
        </w:tc>
        <w:tc>
          <w:tcPr>
            <w:tcW w:w="3960" w:type="dxa"/>
            <w:vAlign w:val="center"/>
          </w:tcPr>
          <w:p w14:paraId="1DE03C71" w14:textId="77777777" w:rsidR="00252FB9" w:rsidRPr="00C25964" w:rsidRDefault="00252FB9" w:rsidP="00D05F26">
            <w:pPr>
              <w:spacing w:after="60"/>
              <w:rPr>
                <w:noProof/>
              </w:rPr>
            </w:pPr>
          </w:p>
        </w:tc>
        <w:tc>
          <w:tcPr>
            <w:tcW w:w="1080" w:type="dxa"/>
            <w:vAlign w:val="center"/>
          </w:tcPr>
          <w:p w14:paraId="3E7B829C" w14:textId="77777777" w:rsidR="00252FB9" w:rsidRPr="00C25964" w:rsidRDefault="00252FB9" w:rsidP="00D05F26">
            <w:pPr>
              <w:jc w:val="center"/>
              <w:rPr>
                <w:noProof/>
                <w:color w:val="0000FF"/>
              </w:rPr>
            </w:pPr>
            <w:r w:rsidRPr="00C25964">
              <w:rPr>
                <w:noProof/>
                <w:sz w:val="22"/>
              </w:rPr>
              <w:t>Diff./Icke-diff.</w:t>
            </w:r>
          </w:p>
        </w:tc>
        <w:tc>
          <w:tcPr>
            <w:tcW w:w="956" w:type="dxa"/>
            <w:vAlign w:val="center"/>
          </w:tcPr>
          <w:p w14:paraId="234E600F" w14:textId="77777777" w:rsidR="00252FB9" w:rsidRPr="00C25964" w:rsidRDefault="00252FB9" w:rsidP="00D05F26">
            <w:pPr>
              <w:jc w:val="center"/>
              <w:rPr>
                <w:noProof/>
                <w:sz w:val="20"/>
                <w:szCs w:val="20"/>
              </w:rPr>
            </w:pPr>
            <w:r w:rsidRPr="00C25964">
              <w:rPr>
                <w:noProof/>
                <w:sz w:val="20"/>
                <w:szCs w:val="20"/>
              </w:rPr>
              <w:t>JA/NEJ</w:t>
            </w:r>
          </w:p>
        </w:tc>
        <w:tc>
          <w:tcPr>
            <w:tcW w:w="1080" w:type="dxa"/>
            <w:vAlign w:val="center"/>
          </w:tcPr>
          <w:p w14:paraId="10C7DA92" w14:textId="77777777" w:rsidR="00252FB9" w:rsidRPr="00C25964" w:rsidRDefault="00252FB9" w:rsidP="00D05F26">
            <w:pPr>
              <w:jc w:val="center"/>
              <w:rPr>
                <w:noProof/>
                <w:sz w:val="20"/>
                <w:szCs w:val="20"/>
              </w:rPr>
            </w:pPr>
            <w:r w:rsidRPr="00C25964">
              <w:rPr>
                <w:noProof/>
                <w:sz w:val="20"/>
                <w:szCs w:val="20"/>
              </w:rPr>
              <w:t>JA/NEJ</w:t>
            </w:r>
          </w:p>
        </w:tc>
        <w:tc>
          <w:tcPr>
            <w:tcW w:w="956" w:type="dxa"/>
            <w:vAlign w:val="center"/>
          </w:tcPr>
          <w:p w14:paraId="5E18D294" w14:textId="77777777" w:rsidR="00252FB9" w:rsidRPr="00C25964" w:rsidRDefault="00252FB9" w:rsidP="00D05F26">
            <w:pPr>
              <w:jc w:val="center"/>
              <w:rPr>
                <w:noProof/>
                <w:sz w:val="20"/>
                <w:szCs w:val="20"/>
              </w:rPr>
            </w:pPr>
            <w:r w:rsidRPr="00C25964">
              <w:rPr>
                <w:noProof/>
                <w:sz w:val="20"/>
                <w:szCs w:val="20"/>
              </w:rPr>
              <w:t>JA/NEJ</w:t>
            </w:r>
          </w:p>
        </w:tc>
        <w:tc>
          <w:tcPr>
            <w:tcW w:w="1448" w:type="dxa"/>
            <w:vAlign w:val="center"/>
          </w:tcPr>
          <w:p w14:paraId="795352CD" w14:textId="77777777" w:rsidR="00252FB9" w:rsidRPr="00C25964" w:rsidRDefault="00252FB9" w:rsidP="00D05F26">
            <w:pPr>
              <w:jc w:val="center"/>
              <w:rPr>
                <w:noProof/>
                <w:sz w:val="20"/>
                <w:szCs w:val="20"/>
              </w:rPr>
            </w:pPr>
            <w:r w:rsidRPr="00C25964">
              <w:rPr>
                <w:noProof/>
                <w:sz w:val="20"/>
                <w:szCs w:val="20"/>
              </w:rPr>
              <w:t>JA/NEJ</w:t>
            </w:r>
          </w:p>
        </w:tc>
      </w:tr>
      <w:tr w:rsidR="00252FB9" w:rsidRPr="00C25964" w14:paraId="2F77533F" w14:textId="77777777" w:rsidTr="00D05F26">
        <w:tc>
          <w:tcPr>
            <w:tcW w:w="1080" w:type="dxa"/>
            <w:vAlign w:val="center"/>
          </w:tcPr>
          <w:p w14:paraId="698AACF9" w14:textId="77777777" w:rsidR="00252FB9" w:rsidRPr="00C25964" w:rsidRDefault="00252FB9" w:rsidP="00D05F26">
            <w:pPr>
              <w:jc w:val="center"/>
              <w:rPr>
                <w:noProof/>
                <w:sz w:val="22"/>
              </w:rPr>
            </w:pPr>
            <w:r w:rsidRPr="00C25964">
              <w:rPr>
                <w:noProof/>
                <w:sz w:val="22"/>
              </w:rPr>
              <w:t>2.b</w:t>
            </w:r>
          </w:p>
        </w:tc>
        <w:tc>
          <w:tcPr>
            <w:tcW w:w="3960" w:type="dxa"/>
            <w:vAlign w:val="center"/>
          </w:tcPr>
          <w:p w14:paraId="081AAE9E" w14:textId="77777777" w:rsidR="00252FB9" w:rsidRPr="00C25964" w:rsidRDefault="00252FB9" w:rsidP="00D05F26">
            <w:pPr>
              <w:spacing w:before="60"/>
              <w:rPr>
                <w:noProof/>
                <w:sz w:val="22"/>
              </w:rPr>
            </w:pPr>
            <w:r w:rsidRPr="00C25964">
              <w:rPr>
                <w:noProof/>
                <w:sz w:val="22"/>
              </w:rPr>
              <w:t>07 01 02 01 – Stödutgifter för Erasmus</w:t>
            </w:r>
          </w:p>
        </w:tc>
        <w:tc>
          <w:tcPr>
            <w:tcW w:w="1080" w:type="dxa"/>
            <w:vAlign w:val="center"/>
          </w:tcPr>
          <w:p w14:paraId="02A994EE" w14:textId="77777777" w:rsidR="00252FB9" w:rsidRPr="00C25964" w:rsidRDefault="00252FB9" w:rsidP="00D05F26">
            <w:pPr>
              <w:jc w:val="center"/>
              <w:rPr>
                <w:noProof/>
                <w:sz w:val="22"/>
              </w:rPr>
            </w:pPr>
            <w:r w:rsidRPr="00C25964">
              <w:rPr>
                <w:noProof/>
                <w:sz w:val="22"/>
              </w:rPr>
              <w:t>Diff.</w:t>
            </w:r>
          </w:p>
        </w:tc>
        <w:tc>
          <w:tcPr>
            <w:tcW w:w="956" w:type="dxa"/>
            <w:vAlign w:val="center"/>
          </w:tcPr>
          <w:p w14:paraId="3EC32469" w14:textId="77777777" w:rsidR="00252FB9" w:rsidRPr="00C25964" w:rsidDel="00DC0C7E" w:rsidRDefault="00252FB9" w:rsidP="00D05F26">
            <w:pPr>
              <w:jc w:val="center"/>
              <w:rPr>
                <w:noProof/>
                <w:sz w:val="20"/>
                <w:szCs w:val="20"/>
              </w:rPr>
            </w:pPr>
            <w:r w:rsidRPr="00C25964">
              <w:rPr>
                <w:noProof/>
                <w:sz w:val="20"/>
                <w:szCs w:val="20"/>
              </w:rPr>
              <w:t>JA</w:t>
            </w:r>
          </w:p>
        </w:tc>
        <w:tc>
          <w:tcPr>
            <w:tcW w:w="1080" w:type="dxa"/>
            <w:vAlign w:val="center"/>
          </w:tcPr>
          <w:p w14:paraId="5F58A198" w14:textId="77777777" w:rsidR="00252FB9" w:rsidRPr="00C25964" w:rsidRDefault="00252FB9" w:rsidP="00D05F26">
            <w:pPr>
              <w:jc w:val="center"/>
              <w:rPr>
                <w:noProof/>
                <w:sz w:val="20"/>
                <w:szCs w:val="20"/>
              </w:rPr>
            </w:pPr>
            <w:r w:rsidRPr="00C25964">
              <w:rPr>
                <w:noProof/>
                <w:sz w:val="20"/>
                <w:szCs w:val="20"/>
              </w:rPr>
              <w:t>JA</w:t>
            </w:r>
          </w:p>
        </w:tc>
        <w:tc>
          <w:tcPr>
            <w:tcW w:w="956" w:type="dxa"/>
            <w:vAlign w:val="center"/>
          </w:tcPr>
          <w:p w14:paraId="663C1FB4" w14:textId="77777777" w:rsidR="00252FB9" w:rsidRPr="00C25964" w:rsidRDefault="00252FB9" w:rsidP="00D05F26">
            <w:pPr>
              <w:jc w:val="center"/>
              <w:rPr>
                <w:noProof/>
                <w:sz w:val="20"/>
                <w:szCs w:val="20"/>
              </w:rPr>
            </w:pPr>
            <w:r w:rsidRPr="00C25964">
              <w:rPr>
                <w:noProof/>
                <w:sz w:val="20"/>
                <w:szCs w:val="20"/>
              </w:rPr>
              <w:t>JA</w:t>
            </w:r>
          </w:p>
        </w:tc>
        <w:tc>
          <w:tcPr>
            <w:tcW w:w="1448" w:type="dxa"/>
            <w:vAlign w:val="center"/>
          </w:tcPr>
          <w:p w14:paraId="2B993447" w14:textId="77777777" w:rsidR="00252FB9" w:rsidRPr="00C25964" w:rsidRDefault="00252FB9" w:rsidP="00D05F26">
            <w:pPr>
              <w:jc w:val="center"/>
              <w:rPr>
                <w:noProof/>
                <w:sz w:val="20"/>
                <w:szCs w:val="20"/>
              </w:rPr>
            </w:pPr>
            <w:r w:rsidRPr="00C25964">
              <w:rPr>
                <w:noProof/>
                <w:sz w:val="20"/>
                <w:szCs w:val="20"/>
              </w:rPr>
              <w:t>NEJ</w:t>
            </w:r>
          </w:p>
        </w:tc>
      </w:tr>
      <w:tr w:rsidR="00252FB9" w:rsidRPr="00C25964" w14:paraId="4C258220" w14:textId="77777777" w:rsidTr="00D05F26">
        <w:tc>
          <w:tcPr>
            <w:tcW w:w="1080" w:type="dxa"/>
            <w:vAlign w:val="center"/>
          </w:tcPr>
          <w:p w14:paraId="0FC16E5B" w14:textId="77777777" w:rsidR="00252FB9" w:rsidRPr="00C25964" w:rsidDel="00DC0C7E" w:rsidRDefault="00252FB9" w:rsidP="00D05F26">
            <w:pPr>
              <w:jc w:val="center"/>
              <w:rPr>
                <w:noProof/>
                <w:sz w:val="22"/>
              </w:rPr>
            </w:pPr>
            <w:r w:rsidRPr="00C25964">
              <w:rPr>
                <w:noProof/>
                <w:sz w:val="22"/>
              </w:rPr>
              <w:t>2.b</w:t>
            </w:r>
          </w:p>
        </w:tc>
        <w:tc>
          <w:tcPr>
            <w:tcW w:w="3960" w:type="dxa"/>
            <w:vAlign w:val="center"/>
          </w:tcPr>
          <w:p w14:paraId="0AB36411" w14:textId="77777777" w:rsidR="00252FB9" w:rsidRPr="00C25964" w:rsidRDefault="00252FB9" w:rsidP="00D05F26">
            <w:pPr>
              <w:spacing w:before="60"/>
              <w:rPr>
                <w:noProof/>
                <w:sz w:val="22"/>
              </w:rPr>
            </w:pPr>
            <w:r w:rsidRPr="00C25964">
              <w:rPr>
                <w:noProof/>
                <w:sz w:val="22"/>
              </w:rPr>
              <w:t>07 01 03 01 Stödutgifter för europeiska solidaritetskåren</w:t>
            </w:r>
          </w:p>
        </w:tc>
        <w:tc>
          <w:tcPr>
            <w:tcW w:w="1080" w:type="dxa"/>
            <w:vAlign w:val="center"/>
          </w:tcPr>
          <w:p w14:paraId="1F128CD6" w14:textId="77777777" w:rsidR="00252FB9" w:rsidRPr="00C25964" w:rsidRDefault="00252FB9" w:rsidP="00D05F26">
            <w:pPr>
              <w:jc w:val="center"/>
              <w:rPr>
                <w:noProof/>
                <w:sz w:val="22"/>
              </w:rPr>
            </w:pPr>
            <w:r w:rsidRPr="00C25964">
              <w:rPr>
                <w:noProof/>
                <w:sz w:val="22"/>
              </w:rPr>
              <w:t>Diff.</w:t>
            </w:r>
          </w:p>
        </w:tc>
        <w:tc>
          <w:tcPr>
            <w:tcW w:w="956" w:type="dxa"/>
            <w:vAlign w:val="center"/>
          </w:tcPr>
          <w:p w14:paraId="25B1AB1C" w14:textId="77777777" w:rsidR="00252FB9" w:rsidRPr="00C25964" w:rsidDel="00DC0C7E" w:rsidRDefault="00252FB9" w:rsidP="00D05F26">
            <w:pPr>
              <w:jc w:val="center"/>
              <w:rPr>
                <w:noProof/>
                <w:sz w:val="20"/>
                <w:szCs w:val="20"/>
              </w:rPr>
            </w:pPr>
            <w:r w:rsidRPr="00C25964">
              <w:rPr>
                <w:noProof/>
                <w:sz w:val="20"/>
                <w:szCs w:val="20"/>
              </w:rPr>
              <w:t>JA</w:t>
            </w:r>
          </w:p>
        </w:tc>
        <w:tc>
          <w:tcPr>
            <w:tcW w:w="1080" w:type="dxa"/>
            <w:vAlign w:val="center"/>
          </w:tcPr>
          <w:p w14:paraId="2BFE21F2" w14:textId="77777777" w:rsidR="00252FB9" w:rsidRPr="00C25964" w:rsidRDefault="00252FB9" w:rsidP="00D05F26">
            <w:pPr>
              <w:jc w:val="center"/>
              <w:rPr>
                <w:noProof/>
                <w:sz w:val="20"/>
                <w:szCs w:val="20"/>
              </w:rPr>
            </w:pPr>
            <w:r w:rsidRPr="00C25964">
              <w:rPr>
                <w:noProof/>
                <w:sz w:val="20"/>
                <w:szCs w:val="20"/>
              </w:rPr>
              <w:t>JA</w:t>
            </w:r>
          </w:p>
        </w:tc>
        <w:tc>
          <w:tcPr>
            <w:tcW w:w="956" w:type="dxa"/>
            <w:vAlign w:val="center"/>
          </w:tcPr>
          <w:p w14:paraId="4F691369" w14:textId="77777777" w:rsidR="00252FB9" w:rsidRPr="00C25964" w:rsidRDefault="00252FB9" w:rsidP="00D05F26">
            <w:pPr>
              <w:jc w:val="center"/>
              <w:rPr>
                <w:noProof/>
                <w:sz w:val="20"/>
                <w:szCs w:val="20"/>
              </w:rPr>
            </w:pPr>
            <w:r w:rsidRPr="00C25964">
              <w:rPr>
                <w:noProof/>
                <w:sz w:val="20"/>
                <w:szCs w:val="20"/>
              </w:rPr>
              <w:t>JA</w:t>
            </w:r>
          </w:p>
        </w:tc>
        <w:tc>
          <w:tcPr>
            <w:tcW w:w="1448" w:type="dxa"/>
            <w:vAlign w:val="center"/>
          </w:tcPr>
          <w:p w14:paraId="0D1A7C76" w14:textId="77777777" w:rsidR="00252FB9" w:rsidRPr="00C25964" w:rsidRDefault="00252FB9" w:rsidP="00D05F26">
            <w:pPr>
              <w:jc w:val="center"/>
              <w:rPr>
                <w:noProof/>
                <w:sz w:val="20"/>
                <w:szCs w:val="20"/>
              </w:rPr>
            </w:pPr>
            <w:r w:rsidRPr="00C25964">
              <w:rPr>
                <w:noProof/>
                <w:sz w:val="20"/>
                <w:szCs w:val="20"/>
              </w:rPr>
              <w:t>NEJ</w:t>
            </w:r>
          </w:p>
        </w:tc>
      </w:tr>
      <w:tr w:rsidR="00252FB9" w:rsidRPr="00C25964" w14:paraId="0B146466" w14:textId="77777777" w:rsidTr="00D05F26">
        <w:tc>
          <w:tcPr>
            <w:tcW w:w="1080" w:type="dxa"/>
            <w:tcBorders>
              <w:top w:val="single" w:sz="4" w:space="0" w:color="auto"/>
              <w:left w:val="single" w:sz="4" w:space="0" w:color="auto"/>
              <w:bottom w:val="single" w:sz="4" w:space="0" w:color="auto"/>
              <w:right w:val="single" w:sz="4" w:space="0" w:color="auto"/>
            </w:tcBorders>
            <w:vAlign w:val="center"/>
          </w:tcPr>
          <w:p w14:paraId="55FDD57F" w14:textId="77777777" w:rsidR="00252FB9" w:rsidRPr="00C25964" w:rsidRDefault="00252FB9" w:rsidP="00D05F26">
            <w:pPr>
              <w:jc w:val="center"/>
              <w:rPr>
                <w:noProof/>
                <w:sz w:val="22"/>
              </w:rPr>
            </w:pPr>
            <w:r w:rsidRPr="00C25964">
              <w:rPr>
                <w:noProof/>
                <w:sz w:val="22"/>
              </w:rPr>
              <w:t>2.b</w:t>
            </w:r>
          </w:p>
        </w:tc>
        <w:tc>
          <w:tcPr>
            <w:tcW w:w="3960" w:type="dxa"/>
            <w:tcBorders>
              <w:top w:val="single" w:sz="4" w:space="0" w:color="auto"/>
              <w:left w:val="single" w:sz="4" w:space="0" w:color="auto"/>
              <w:bottom w:val="single" w:sz="4" w:space="0" w:color="auto"/>
              <w:right w:val="single" w:sz="4" w:space="0" w:color="auto"/>
            </w:tcBorders>
            <w:vAlign w:val="center"/>
          </w:tcPr>
          <w:p w14:paraId="05F45B1B" w14:textId="1045F25E" w:rsidR="00252FB9" w:rsidRPr="00C25964" w:rsidRDefault="00252FB9" w:rsidP="00D05F26">
            <w:pPr>
              <w:spacing w:before="60"/>
              <w:rPr>
                <w:noProof/>
                <w:sz w:val="22"/>
              </w:rPr>
            </w:pPr>
            <w:r w:rsidRPr="00C25964">
              <w:rPr>
                <w:noProof/>
                <w:sz w:val="22"/>
              </w:rPr>
              <w:t>07 03 01 02</w:t>
            </w:r>
            <w:r w:rsidR="00796134" w:rsidRPr="00C25964">
              <w:rPr>
                <w:noProof/>
                <w:sz w:val="22"/>
              </w:rPr>
              <w:t xml:space="preserve"> –</w:t>
            </w:r>
            <w:r w:rsidRPr="00C25964">
              <w:rPr>
                <w:noProof/>
                <w:sz w:val="22"/>
              </w:rPr>
              <w:t xml:space="preserve"> Främjande av enskilda personers rörlighet i utbildningssyfte samt samarbete, inkludering, spetskompetens, kreativitet och innovation inom organisationer och politik på utbildningsområdet – Direkt förvaltning</w:t>
            </w:r>
          </w:p>
        </w:tc>
        <w:tc>
          <w:tcPr>
            <w:tcW w:w="1080" w:type="dxa"/>
            <w:tcBorders>
              <w:top w:val="single" w:sz="4" w:space="0" w:color="auto"/>
              <w:left w:val="single" w:sz="4" w:space="0" w:color="auto"/>
              <w:bottom w:val="single" w:sz="4" w:space="0" w:color="auto"/>
              <w:right w:val="single" w:sz="4" w:space="0" w:color="auto"/>
            </w:tcBorders>
            <w:vAlign w:val="center"/>
          </w:tcPr>
          <w:p w14:paraId="0A57D8DA" w14:textId="77777777" w:rsidR="00252FB9" w:rsidRPr="00C25964" w:rsidRDefault="00252FB9" w:rsidP="00D05F26">
            <w:pPr>
              <w:jc w:val="center"/>
              <w:rPr>
                <w:noProof/>
                <w:sz w:val="22"/>
              </w:rPr>
            </w:pPr>
            <w:r w:rsidRPr="00C25964">
              <w:rPr>
                <w:noProof/>
                <w:sz w:val="22"/>
              </w:rPr>
              <w:t>Diff.</w:t>
            </w:r>
          </w:p>
        </w:tc>
        <w:tc>
          <w:tcPr>
            <w:tcW w:w="956" w:type="dxa"/>
            <w:tcBorders>
              <w:top w:val="single" w:sz="4" w:space="0" w:color="auto"/>
              <w:left w:val="single" w:sz="4" w:space="0" w:color="auto"/>
              <w:bottom w:val="single" w:sz="4" w:space="0" w:color="auto"/>
              <w:right w:val="single" w:sz="4" w:space="0" w:color="auto"/>
            </w:tcBorders>
            <w:vAlign w:val="center"/>
          </w:tcPr>
          <w:p w14:paraId="6726E5F4" w14:textId="77777777" w:rsidR="00252FB9" w:rsidRPr="00C25964" w:rsidRDefault="00252FB9" w:rsidP="00D05F26">
            <w:pPr>
              <w:jc w:val="center"/>
              <w:rPr>
                <w:noProof/>
                <w:sz w:val="20"/>
                <w:szCs w:val="20"/>
              </w:rPr>
            </w:pPr>
            <w:r w:rsidRPr="00C25964">
              <w:rPr>
                <w:noProof/>
                <w:sz w:val="20"/>
                <w:szCs w:val="20"/>
              </w:rPr>
              <w:t>JA</w:t>
            </w:r>
          </w:p>
        </w:tc>
        <w:tc>
          <w:tcPr>
            <w:tcW w:w="1080" w:type="dxa"/>
            <w:tcBorders>
              <w:top w:val="single" w:sz="4" w:space="0" w:color="auto"/>
              <w:left w:val="single" w:sz="4" w:space="0" w:color="auto"/>
              <w:bottom w:val="single" w:sz="4" w:space="0" w:color="auto"/>
              <w:right w:val="single" w:sz="4" w:space="0" w:color="auto"/>
            </w:tcBorders>
            <w:vAlign w:val="center"/>
          </w:tcPr>
          <w:p w14:paraId="5A50BBC6" w14:textId="77777777" w:rsidR="00252FB9" w:rsidRPr="00C25964" w:rsidRDefault="00252FB9" w:rsidP="00D05F26">
            <w:pPr>
              <w:jc w:val="center"/>
              <w:rPr>
                <w:noProof/>
                <w:sz w:val="20"/>
                <w:szCs w:val="20"/>
              </w:rPr>
            </w:pPr>
            <w:r w:rsidRPr="00C25964">
              <w:rPr>
                <w:noProof/>
                <w:sz w:val="20"/>
                <w:szCs w:val="20"/>
              </w:rPr>
              <w:t>JA</w:t>
            </w:r>
          </w:p>
        </w:tc>
        <w:tc>
          <w:tcPr>
            <w:tcW w:w="956" w:type="dxa"/>
            <w:tcBorders>
              <w:top w:val="single" w:sz="4" w:space="0" w:color="auto"/>
              <w:left w:val="single" w:sz="4" w:space="0" w:color="auto"/>
              <w:bottom w:val="single" w:sz="4" w:space="0" w:color="auto"/>
              <w:right w:val="single" w:sz="4" w:space="0" w:color="auto"/>
            </w:tcBorders>
            <w:vAlign w:val="center"/>
          </w:tcPr>
          <w:p w14:paraId="6640779D" w14:textId="77777777" w:rsidR="00252FB9" w:rsidRPr="00C25964" w:rsidRDefault="00252FB9" w:rsidP="00D05F26">
            <w:pPr>
              <w:jc w:val="center"/>
              <w:rPr>
                <w:noProof/>
                <w:sz w:val="20"/>
                <w:szCs w:val="20"/>
              </w:rPr>
            </w:pPr>
            <w:r w:rsidRPr="00C25964">
              <w:rPr>
                <w:noProof/>
                <w:sz w:val="20"/>
                <w:szCs w:val="20"/>
              </w:rPr>
              <w:t>JA</w:t>
            </w:r>
          </w:p>
        </w:tc>
        <w:tc>
          <w:tcPr>
            <w:tcW w:w="1448" w:type="dxa"/>
            <w:tcBorders>
              <w:top w:val="single" w:sz="4" w:space="0" w:color="auto"/>
              <w:left w:val="single" w:sz="4" w:space="0" w:color="auto"/>
              <w:bottom w:val="single" w:sz="4" w:space="0" w:color="auto"/>
              <w:right w:val="single" w:sz="4" w:space="0" w:color="auto"/>
            </w:tcBorders>
            <w:vAlign w:val="center"/>
          </w:tcPr>
          <w:p w14:paraId="5239B653" w14:textId="77777777" w:rsidR="00252FB9" w:rsidRPr="00C25964" w:rsidRDefault="00252FB9" w:rsidP="00D05F26">
            <w:pPr>
              <w:jc w:val="center"/>
              <w:rPr>
                <w:noProof/>
                <w:sz w:val="20"/>
                <w:szCs w:val="20"/>
              </w:rPr>
            </w:pPr>
            <w:r w:rsidRPr="00C25964">
              <w:rPr>
                <w:noProof/>
                <w:sz w:val="20"/>
                <w:szCs w:val="20"/>
              </w:rPr>
              <w:t>NEJ</w:t>
            </w:r>
          </w:p>
        </w:tc>
      </w:tr>
      <w:tr w:rsidR="00252FB9" w:rsidRPr="00C25964" w14:paraId="67141EF6" w14:textId="77777777" w:rsidTr="00D05F26">
        <w:tc>
          <w:tcPr>
            <w:tcW w:w="1080" w:type="dxa"/>
            <w:tcBorders>
              <w:top w:val="single" w:sz="4" w:space="0" w:color="auto"/>
              <w:left w:val="single" w:sz="4" w:space="0" w:color="auto"/>
              <w:bottom w:val="single" w:sz="4" w:space="0" w:color="auto"/>
              <w:right w:val="single" w:sz="4" w:space="0" w:color="auto"/>
            </w:tcBorders>
            <w:vAlign w:val="center"/>
          </w:tcPr>
          <w:p w14:paraId="285C5328" w14:textId="77777777" w:rsidR="00252FB9" w:rsidRPr="00C25964" w:rsidRDefault="00252FB9" w:rsidP="00D05F26">
            <w:pPr>
              <w:jc w:val="center"/>
              <w:rPr>
                <w:noProof/>
                <w:sz w:val="22"/>
              </w:rPr>
            </w:pPr>
            <w:r w:rsidRPr="00C25964">
              <w:rPr>
                <w:noProof/>
                <w:sz w:val="22"/>
              </w:rPr>
              <w:t>2.b</w:t>
            </w:r>
          </w:p>
        </w:tc>
        <w:tc>
          <w:tcPr>
            <w:tcW w:w="3960" w:type="dxa"/>
            <w:tcBorders>
              <w:top w:val="single" w:sz="4" w:space="0" w:color="auto"/>
              <w:left w:val="single" w:sz="4" w:space="0" w:color="auto"/>
              <w:bottom w:val="single" w:sz="4" w:space="0" w:color="auto"/>
              <w:right w:val="single" w:sz="4" w:space="0" w:color="auto"/>
            </w:tcBorders>
            <w:vAlign w:val="center"/>
          </w:tcPr>
          <w:p w14:paraId="78EEDE8C" w14:textId="747FF55C" w:rsidR="00252FB9" w:rsidRPr="00C25964" w:rsidRDefault="00796134" w:rsidP="00D05F26">
            <w:pPr>
              <w:spacing w:before="60"/>
              <w:rPr>
                <w:noProof/>
                <w:sz w:val="22"/>
              </w:rPr>
            </w:pPr>
            <w:r w:rsidRPr="00C25964">
              <w:rPr>
                <w:noProof/>
                <w:sz w:val="22"/>
              </w:rPr>
              <w:t>07 03 02 –</w:t>
            </w:r>
            <w:r w:rsidR="00252FB9" w:rsidRPr="00C25964">
              <w:rPr>
                <w:noProof/>
                <w:sz w:val="22"/>
              </w:rPr>
              <w:t xml:space="preserve"> Främjande av ungas rörlighet i utbildningssyfte inom icke-formell utbildning och ungas aktiva deltagande, liksom samarbete, inkludering, kreativitet och innovation på organisationsnivå och inom politiken på ungdomsområdet.</w:t>
            </w:r>
          </w:p>
        </w:tc>
        <w:tc>
          <w:tcPr>
            <w:tcW w:w="1080" w:type="dxa"/>
            <w:tcBorders>
              <w:top w:val="single" w:sz="4" w:space="0" w:color="auto"/>
              <w:left w:val="single" w:sz="4" w:space="0" w:color="auto"/>
              <w:bottom w:val="single" w:sz="4" w:space="0" w:color="auto"/>
              <w:right w:val="single" w:sz="4" w:space="0" w:color="auto"/>
            </w:tcBorders>
            <w:vAlign w:val="center"/>
          </w:tcPr>
          <w:p w14:paraId="7EDCA9D3" w14:textId="77777777" w:rsidR="00252FB9" w:rsidRPr="00C25964" w:rsidRDefault="00252FB9" w:rsidP="00D05F26">
            <w:pPr>
              <w:jc w:val="center"/>
              <w:rPr>
                <w:noProof/>
                <w:sz w:val="22"/>
              </w:rPr>
            </w:pPr>
            <w:r w:rsidRPr="00C25964">
              <w:rPr>
                <w:noProof/>
                <w:sz w:val="22"/>
              </w:rPr>
              <w:t>Diff.</w:t>
            </w:r>
          </w:p>
        </w:tc>
        <w:tc>
          <w:tcPr>
            <w:tcW w:w="956" w:type="dxa"/>
            <w:tcBorders>
              <w:top w:val="single" w:sz="4" w:space="0" w:color="auto"/>
              <w:left w:val="single" w:sz="4" w:space="0" w:color="auto"/>
              <w:bottom w:val="single" w:sz="4" w:space="0" w:color="auto"/>
              <w:right w:val="single" w:sz="4" w:space="0" w:color="auto"/>
            </w:tcBorders>
            <w:vAlign w:val="center"/>
          </w:tcPr>
          <w:p w14:paraId="726C055A" w14:textId="77777777" w:rsidR="00252FB9" w:rsidRPr="00C25964" w:rsidRDefault="00252FB9" w:rsidP="00D05F26">
            <w:pPr>
              <w:jc w:val="center"/>
              <w:rPr>
                <w:noProof/>
                <w:sz w:val="20"/>
                <w:szCs w:val="20"/>
              </w:rPr>
            </w:pPr>
            <w:r w:rsidRPr="00C25964">
              <w:rPr>
                <w:noProof/>
                <w:sz w:val="20"/>
                <w:szCs w:val="20"/>
              </w:rPr>
              <w:t>JA</w:t>
            </w:r>
          </w:p>
        </w:tc>
        <w:tc>
          <w:tcPr>
            <w:tcW w:w="1080" w:type="dxa"/>
            <w:tcBorders>
              <w:top w:val="single" w:sz="4" w:space="0" w:color="auto"/>
              <w:left w:val="single" w:sz="4" w:space="0" w:color="auto"/>
              <w:bottom w:val="single" w:sz="4" w:space="0" w:color="auto"/>
              <w:right w:val="single" w:sz="4" w:space="0" w:color="auto"/>
            </w:tcBorders>
            <w:vAlign w:val="center"/>
          </w:tcPr>
          <w:p w14:paraId="351637B8" w14:textId="77777777" w:rsidR="00252FB9" w:rsidRPr="00C25964" w:rsidRDefault="00252FB9" w:rsidP="00D05F26">
            <w:pPr>
              <w:jc w:val="center"/>
              <w:rPr>
                <w:noProof/>
                <w:sz w:val="20"/>
                <w:szCs w:val="20"/>
              </w:rPr>
            </w:pPr>
            <w:r w:rsidRPr="00C25964">
              <w:rPr>
                <w:noProof/>
                <w:sz w:val="20"/>
                <w:szCs w:val="20"/>
              </w:rPr>
              <w:t>JA</w:t>
            </w:r>
          </w:p>
        </w:tc>
        <w:tc>
          <w:tcPr>
            <w:tcW w:w="956" w:type="dxa"/>
            <w:tcBorders>
              <w:top w:val="single" w:sz="4" w:space="0" w:color="auto"/>
              <w:left w:val="single" w:sz="4" w:space="0" w:color="auto"/>
              <w:bottom w:val="single" w:sz="4" w:space="0" w:color="auto"/>
              <w:right w:val="single" w:sz="4" w:space="0" w:color="auto"/>
            </w:tcBorders>
            <w:vAlign w:val="center"/>
          </w:tcPr>
          <w:p w14:paraId="30646895" w14:textId="77777777" w:rsidR="00252FB9" w:rsidRPr="00C25964" w:rsidRDefault="00252FB9" w:rsidP="00D05F26">
            <w:pPr>
              <w:jc w:val="center"/>
              <w:rPr>
                <w:noProof/>
                <w:sz w:val="20"/>
                <w:szCs w:val="20"/>
              </w:rPr>
            </w:pPr>
            <w:r w:rsidRPr="00C25964">
              <w:rPr>
                <w:noProof/>
                <w:sz w:val="20"/>
                <w:szCs w:val="20"/>
              </w:rPr>
              <w:t>JA</w:t>
            </w:r>
          </w:p>
        </w:tc>
        <w:tc>
          <w:tcPr>
            <w:tcW w:w="1448" w:type="dxa"/>
            <w:tcBorders>
              <w:top w:val="single" w:sz="4" w:space="0" w:color="auto"/>
              <w:left w:val="single" w:sz="4" w:space="0" w:color="auto"/>
              <w:bottom w:val="single" w:sz="4" w:space="0" w:color="auto"/>
              <w:right w:val="single" w:sz="4" w:space="0" w:color="auto"/>
            </w:tcBorders>
            <w:vAlign w:val="center"/>
          </w:tcPr>
          <w:p w14:paraId="170CF4B2" w14:textId="77777777" w:rsidR="00252FB9" w:rsidRPr="00C25964" w:rsidRDefault="00252FB9" w:rsidP="00D05F26">
            <w:pPr>
              <w:jc w:val="center"/>
              <w:rPr>
                <w:noProof/>
                <w:sz w:val="20"/>
                <w:szCs w:val="20"/>
              </w:rPr>
            </w:pPr>
            <w:r w:rsidRPr="00C25964">
              <w:rPr>
                <w:noProof/>
                <w:sz w:val="20"/>
                <w:szCs w:val="20"/>
              </w:rPr>
              <w:t>NEJ</w:t>
            </w:r>
          </w:p>
        </w:tc>
      </w:tr>
      <w:tr w:rsidR="00252FB9" w:rsidRPr="00C25964" w14:paraId="038D1AD7" w14:textId="77777777" w:rsidTr="00D05F26">
        <w:tc>
          <w:tcPr>
            <w:tcW w:w="1080" w:type="dxa"/>
            <w:tcBorders>
              <w:top w:val="single" w:sz="4" w:space="0" w:color="auto"/>
              <w:left w:val="single" w:sz="4" w:space="0" w:color="auto"/>
              <w:bottom w:val="single" w:sz="4" w:space="0" w:color="auto"/>
              <w:right w:val="single" w:sz="4" w:space="0" w:color="auto"/>
            </w:tcBorders>
            <w:vAlign w:val="center"/>
          </w:tcPr>
          <w:p w14:paraId="09F4BC74" w14:textId="77777777" w:rsidR="00252FB9" w:rsidRPr="00C25964" w:rsidRDefault="00252FB9" w:rsidP="00D05F26">
            <w:pPr>
              <w:jc w:val="center"/>
              <w:rPr>
                <w:noProof/>
                <w:sz w:val="22"/>
              </w:rPr>
            </w:pPr>
            <w:r w:rsidRPr="00C25964">
              <w:rPr>
                <w:noProof/>
                <w:sz w:val="22"/>
              </w:rPr>
              <w:t>2.b</w:t>
            </w:r>
          </w:p>
        </w:tc>
        <w:tc>
          <w:tcPr>
            <w:tcW w:w="3960" w:type="dxa"/>
            <w:tcBorders>
              <w:top w:val="single" w:sz="4" w:space="0" w:color="auto"/>
              <w:left w:val="single" w:sz="4" w:space="0" w:color="auto"/>
              <w:bottom w:val="single" w:sz="4" w:space="0" w:color="auto"/>
              <w:right w:val="single" w:sz="4" w:space="0" w:color="auto"/>
            </w:tcBorders>
            <w:vAlign w:val="center"/>
          </w:tcPr>
          <w:p w14:paraId="0CEE7600" w14:textId="77777777" w:rsidR="00252FB9" w:rsidRPr="00C25964" w:rsidRDefault="00252FB9" w:rsidP="00D05F26">
            <w:pPr>
              <w:spacing w:before="60"/>
              <w:rPr>
                <w:noProof/>
                <w:sz w:val="22"/>
              </w:rPr>
            </w:pPr>
            <w:r w:rsidRPr="00C25964">
              <w:rPr>
                <w:noProof/>
                <w:sz w:val="22"/>
              </w:rPr>
              <w:t>07 04 01 – Europeiska solidaritetskåren</w:t>
            </w:r>
          </w:p>
        </w:tc>
        <w:tc>
          <w:tcPr>
            <w:tcW w:w="1080" w:type="dxa"/>
            <w:tcBorders>
              <w:top w:val="single" w:sz="4" w:space="0" w:color="auto"/>
              <w:left w:val="single" w:sz="4" w:space="0" w:color="auto"/>
              <w:bottom w:val="single" w:sz="4" w:space="0" w:color="auto"/>
              <w:right w:val="single" w:sz="4" w:space="0" w:color="auto"/>
            </w:tcBorders>
            <w:vAlign w:val="center"/>
          </w:tcPr>
          <w:p w14:paraId="333198E5" w14:textId="77777777" w:rsidR="00252FB9" w:rsidRPr="00C25964" w:rsidRDefault="00252FB9" w:rsidP="00D05F26">
            <w:pPr>
              <w:jc w:val="center"/>
              <w:rPr>
                <w:noProof/>
                <w:sz w:val="22"/>
              </w:rPr>
            </w:pPr>
            <w:r w:rsidRPr="00C25964">
              <w:rPr>
                <w:noProof/>
                <w:sz w:val="22"/>
              </w:rPr>
              <w:t>Diff.</w:t>
            </w:r>
          </w:p>
        </w:tc>
        <w:tc>
          <w:tcPr>
            <w:tcW w:w="956" w:type="dxa"/>
            <w:tcBorders>
              <w:top w:val="single" w:sz="4" w:space="0" w:color="auto"/>
              <w:left w:val="single" w:sz="4" w:space="0" w:color="auto"/>
              <w:bottom w:val="single" w:sz="4" w:space="0" w:color="auto"/>
              <w:right w:val="single" w:sz="4" w:space="0" w:color="auto"/>
            </w:tcBorders>
            <w:vAlign w:val="center"/>
          </w:tcPr>
          <w:p w14:paraId="10C35A31" w14:textId="77777777" w:rsidR="00252FB9" w:rsidRPr="00C25964" w:rsidRDefault="00252FB9" w:rsidP="00D05F26">
            <w:pPr>
              <w:jc w:val="center"/>
              <w:rPr>
                <w:noProof/>
                <w:sz w:val="20"/>
                <w:szCs w:val="20"/>
              </w:rPr>
            </w:pPr>
            <w:r w:rsidRPr="00C25964">
              <w:rPr>
                <w:noProof/>
                <w:sz w:val="20"/>
                <w:szCs w:val="20"/>
              </w:rPr>
              <w:t>JA</w:t>
            </w:r>
          </w:p>
        </w:tc>
        <w:tc>
          <w:tcPr>
            <w:tcW w:w="1080" w:type="dxa"/>
            <w:tcBorders>
              <w:top w:val="single" w:sz="4" w:space="0" w:color="auto"/>
              <w:left w:val="single" w:sz="4" w:space="0" w:color="auto"/>
              <w:bottom w:val="single" w:sz="4" w:space="0" w:color="auto"/>
              <w:right w:val="single" w:sz="4" w:space="0" w:color="auto"/>
            </w:tcBorders>
            <w:vAlign w:val="center"/>
          </w:tcPr>
          <w:p w14:paraId="3167CAD7" w14:textId="77777777" w:rsidR="00252FB9" w:rsidRPr="00C25964" w:rsidRDefault="00252FB9" w:rsidP="00D05F26">
            <w:pPr>
              <w:jc w:val="center"/>
              <w:rPr>
                <w:noProof/>
                <w:sz w:val="20"/>
                <w:szCs w:val="20"/>
              </w:rPr>
            </w:pPr>
            <w:r w:rsidRPr="00C25964">
              <w:rPr>
                <w:noProof/>
                <w:sz w:val="20"/>
                <w:szCs w:val="20"/>
              </w:rPr>
              <w:t>JA</w:t>
            </w:r>
          </w:p>
        </w:tc>
        <w:tc>
          <w:tcPr>
            <w:tcW w:w="956" w:type="dxa"/>
            <w:tcBorders>
              <w:top w:val="single" w:sz="4" w:space="0" w:color="auto"/>
              <w:left w:val="single" w:sz="4" w:space="0" w:color="auto"/>
              <w:bottom w:val="single" w:sz="4" w:space="0" w:color="auto"/>
              <w:right w:val="single" w:sz="4" w:space="0" w:color="auto"/>
            </w:tcBorders>
            <w:vAlign w:val="center"/>
          </w:tcPr>
          <w:p w14:paraId="75DD670E" w14:textId="77777777" w:rsidR="00252FB9" w:rsidRPr="00C25964" w:rsidRDefault="00252FB9" w:rsidP="00D05F26">
            <w:pPr>
              <w:jc w:val="center"/>
              <w:rPr>
                <w:noProof/>
                <w:sz w:val="20"/>
                <w:szCs w:val="20"/>
              </w:rPr>
            </w:pPr>
            <w:r w:rsidRPr="00C25964">
              <w:rPr>
                <w:noProof/>
                <w:sz w:val="20"/>
                <w:szCs w:val="20"/>
              </w:rPr>
              <w:t>JA</w:t>
            </w:r>
          </w:p>
        </w:tc>
        <w:tc>
          <w:tcPr>
            <w:tcW w:w="1448" w:type="dxa"/>
            <w:tcBorders>
              <w:top w:val="single" w:sz="4" w:space="0" w:color="auto"/>
              <w:left w:val="single" w:sz="4" w:space="0" w:color="auto"/>
              <w:bottom w:val="single" w:sz="4" w:space="0" w:color="auto"/>
              <w:right w:val="single" w:sz="4" w:space="0" w:color="auto"/>
            </w:tcBorders>
            <w:vAlign w:val="center"/>
          </w:tcPr>
          <w:p w14:paraId="49C772D4" w14:textId="77777777" w:rsidR="00252FB9" w:rsidRPr="00C25964" w:rsidRDefault="00252FB9" w:rsidP="00D05F26">
            <w:pPr>
              <w:jc w:val="center"/>
              <w:rPr>
                <w:noProof/>
                <w:sz w:val="20"/>
                <w:szCs w:val="20"/>
              </w:rPr>
            </w:pPr>
            <w:r w:rsidRPr="00C25964">
              <w:rPr>
                <w:noProof/>
                <w:sz w:val="20"/>
                <w:szCs w:val="20"/>
              </w:rPr>
              <w:t>NEJ</w:t>
            </w:r>
          </w:p>
        </w:tc>
      </w:tr>
    </w:tbl>
    <w:p w14:paraId="574B6C31" w14:textId="77777777" w:rsidR="00252FB9" w:rsidRPr="00C25964" w:rsidRDefault="00252FB9" w:rsidP="00252FB9">
      <w:pPr>
        <w:rPr>
          <w:noProof/>
        </w:rPr>
        <w:sectPr w:rsidR="00252FB9" w:rsidRPr="00C25964" w:rsidSect="004A0B38">
          <w:pgSz w:w="11907" w:h="16840" w:code="1"/>
          <w:pgMar w:top="1134" w:right="1418" w:bottom="1134" w:left="1418" w:header="709" w:footer="709" w:gutter="0"/>
          <w:cols w:space="708"/>
          <w:docGrid w:linePitch="360"/>
        </w:sectPr>
      </w:pPr>
    </w:p>
    <w:p w14:paraId="03827596" w14:textId="68B00323" w:rsidR="00252FB9" w:rsidRPr="00C25964" w:rsidRDefault="00AD1692" w:rsidP="00AD1692">
      <w:pPr>
        <w:pStyle w:val="ManualHeading2"/>
        <w:rPr>
          <w:noProof/>
          <w:szCs w:val="24"/>
        </w:rPr>
      </w:pPr>
      <w:bookmarkStart w:id="48" w:name="_Toc514938052"/>
      <w:bookmarkStart w:id="49" w:name="_Toc520485051"/>
      <w:r w:rsidRPr="00AD1692">
        <w:t>3.2.</w:t>
      </w:r>
      <w:r w:rsidRPr="00AD1692">
        <w:tab/>
      </w:r>
      <w:r w:rsidR="00252FB9" w:rsidRPr="00C25964">
        <w:rPr>
          <w:noProof/>
        </w:rPr>
        <w:t>Förslagets beräknade budgetkonsekvenser på anslagen</w:t>
      </w:r>
      <w:bookmarkEnd w:id="48"/>
      <w:bookmarkEnd w:id="49"/>
      <w:r w:rsidR="00252FB9" w:rsidRPr="00C25964">
        <w:rPr>
          <w:noProof/>
        </w:rPr>
        <w:t xml:space="preserve"> </w:t>
      </w:r>
    </w:p>
    <w:p w14:paraId="3EE5B08B" w14:textId="77777777" w:rsidR="00252FB9" w:rsidRPr="00C25964" w:rsidRDefault="00252FB9" w:rsidP="00252FB9">
      <w:pPr>
        <w:pStyle w:val="Text1"/>
        <w:rPr>
          <w:noProof/>
          <w:szCs w:val="24"/>
        </w:rPr>
      </w:pPr>
      <w:r w:rsidRPr="00C25964">
        <w:rPr>
          <w:noProof/>
          <w:color w:val="444444"/>
          <w:shd w:val="clear" w:color="auto" w:fill="FFFFFF"/>
        </w:rPr>
        <w:t>Program och budgetrubriker som nämns nedan är preliminära. Lämplig finansiering kommer att fastställas inom ramen för de bidragande programmen, i enlighet med tillämpliga finansiella bestämmelser.</w:t>
      </w:r>
    </w:p>
    <w:p w14:paraId="0CB28F0E" w14:textId="4B35C414" w:rsidR="00252FB9" w:rsidRPr="00C25964" w:rsidRDefault="00AD1692" w:rsidP="00AD1692">
      <w:pPr>
        <w:pStyle w:val="ManualHeading3"/>
        <w:rPr>
          <w:noProof/>
        </w:rPr>
      </w:pPr>
      <w:bookmarkStart w:id="50" w:name="_Toc514938053"/>
      <w:bookmarkStart w:id="51" w:name="_Toc520485052"/>
      <w:r w:rsidRPr="00AD1692">
        <w:t>3.2.1.</w:t>
      </w:r>
      <w:r w:rsidRPr="00AD1692">
        <w:tab/>
      </w:r>
      <w:r w:rsidR="00252FB9" w:rsidRPr="00C25964">
        <w:rPr>
          <w:noProof/>
        </w:rPr>
        <w:t>Sammanfattning av beräknad inverkan på driftsanslagen</w:t>
      </w:r>
      <w:bookmarkEnd w:id="50"/>
      <w:bookmarkEnd w:id="51"/>
      <w:r w:rsidR="00252FB9" w:rsidRPr="00C25964">
        <w:rPr>
          <w:noProof/>
        </w:rPr>
        <w:t xml:space="preserve"> </w:t>
      </w:r>
    </w:p>
    <w:p w14:paraId="3926B54C" w14:textId="77777777" w:rsidR="00252FB9" w:rsidRPr="00C25964" w:rsidRDefault="00252FB9" w:rsidP="00252FB9">
      <w:pPr>
        <w:pStyle w:val="ListDash1"/>
        <w:rPr>
          <w:noProof/>
        </w:rPr>
      </w:pPr>
      <w:r w:rsidRPr="00C25964">
        <w:rPr>
          <w:noProof/>
        </w:rPr>
        <w:sym w:font="Wingdings" w:char="F0A8"/>
      </w:r>
      <w:r w:rsidRPr="00C25964">
        <w:rPr>
          <w:noProof/>
        </w:rPr>
        <w:t xml:space="preserve">Förslaget/initiativet kräver inte att driftsanslag tas i anspråk </w:t>
      </w:r>
    </w:p>
    <w:p w14:paraId="1D05FAB4" w14:textId="77777777" w:rsidR="00252FB9" w:rsidRPr="00C25964" w:rsidRDefault="00252FB9" w:rsidP="00252FB9">
      <w:pPr>
        <w:pStyle w:val="ListDash1"/>
        <w:rPr>
          <w:noProof/>
        </w:rPr>
      </w:pPr>
      <w:r w:rsidRPr="00C25964">
        <w:rPr>
          <w:noProof/>
        </w:rPr>
        <w:t>x</w:t>
      </w:r>
      <w:r w:rsidRPr="00C25964">
        <w:rPr>
          <w:noProof/>
        </w:rPr>
        <w:tab/>
        <w:t>Förslaget/initiativet kräver att driftsanslag tas i anspråk enligt följande:</w:t>
      </w:r>
    </w:p>
    <w:p w14:paraId="096F99EB" w14:textId="77777777" w:rsidR="00252FB9" w:rsidRPr="00C25964" w:rsidRDefault="00252FB9" w:rsidP="00252FB9">
      <w:pPr>
        <w:jc w:val="right"/>
        <w:rPr>
          <w:noProof/>
          <w:sz w:val="18"/>
          <w:szCs w:val="18"/>
        </w:rPr>
      </w:pPr>
      <w:r w:rsidRPr="00C25964">
        <w:rPr>
          <w:noProof/>
          <w:sz w:val="18"/>
          <w:szCs w:val="18"/>
        </w:rPr>
        <w:t>Miljoner euro (avrundat till tre decimaler)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252FB9" w:rsidRPr="00C25964" w14:paraId="23F5E826" w14:textId="77777777" w:rsidTr="00D05F26">
        <w:trPr>
          <w:jc w:val="center"/>
        </w:trPr>
        <w:tc>
          <w:tcPr>
            <w:tcW w:w="4744" w:type="dxa"/>
            <w:shd w:val="clear" w:color="auto" w:fill="auto"/>
            <w:vAlign w:val="center"/>
          </w:tcPr>
          <w:p w14:paraId="19708DA3" w14:textId="77777777" w:rsidR="00252FB9" w:rsidRPr="00C25964" w:rsidRDefault="00252FB9" w:rsidP="00D05F26">
            <w:pPr>
              <w:spacing w:before="60" w:after="60"/>
              <w:jc w:val="center"/>
              <w:rPr>
                <w:b/>
                <w:noProof/>
              </w:rPr>
            </w:pPr>
            <w:r w:rsidRPr="00C25964">
              <w:rPr>
                <w:b/>
                <w:noProof/>
                <w:sz w:val="22"/>
              </w:rPr>
              <w:t xml:space="preserve">Rubrik i den fleråriga budgetramen </w:t>
            </w:r>
          </w:p>
        </w:tc>
        <w:tc>
          <w:tcPr>
            <w:tcW w:w="1080" w:type="dxa"/>
            <w:vAlign w:val="center"/>
          </w:tcPr>
          <w:p w14:paraId="0DF661B6" w14:textId="77777777" w:rsidR="00252FB9" w:rsidRPr="00C25964" w:rsidRDefault="00252FB9" w:rsidP="00D05F26">
            <w:pPr>
              <w:spacing w:before="60" w:after="60"/>
              <w:jc w:val="center"/>
              <w:rPr>
                <w:noProof/>
              </w:rPr>
            </w:pPr>
            <w:r w:rsidRPr="00C25964">
              <w:rPr>
                <w:noProof/>
                <w:sz w:val="22"/>
              </w:rPr>
              <w:t>Nummer</w:t>
            </w:r>
          </w:p>
        </w:tc>
        <w:tc>
          <w:tcPr>
            <w:tcW w:w="7817" w:type="dxa"/>
            <w:vAlign w:val="center"/>
          </w:tcPr>
          <w:p w14:paraId="400F3F23" w14:textId="77777777" w:rsidR="00252FB9" w:rsidRPr="00C25964" w:rsidRDefault="00252FB9" w:rsidP="00D05F26">
            <w:pPr>
              <w:spacing w:before="60" w:after="60"/>
              <w:rPr>
                <w:noProof/>
              </w:rPr>
            </w:pPr>
            <w:r w:rsidRPr="00C25964">
              <w:rPr>
                <w:noProof/>
              </w:rPr>
              <w:t xml:space="preserve">under rubrik 2: Sammanhållning, resiliens och värden </w:t>
            </w:r>
          </w:p>
        </w:tc>
      </w:tr>
    </w:tbl>
    <w:p w14:paraId="2BD7C9C1" w14:textId="77777777" w:rsidR="00252FB9" w:rsidRPr="00C25964" w:rsidRDefault="00252FB9" w:rsidP="00252FB9">
      <w:pPr>
        <w:rPr>
          <w:noProof/>
          <w:sz w:val="16"/>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685"/>
        <w:gridCol w:w="1134"/>
        <w:gridCol w:w="975"/>
        <w:gridCol w:w="17"/>
        <w:gridCol w:w="975"/>
        <w:gridCol w:w="18"/>
        <w:gridCol w:w="850"/>
        <w:gridCol w:w="6"/>
        <w:gridCol w:w="955"/>
        <w:gridCol w:w="31"/>
        <w:gridCol w:w="851"/>
        <w:gridCol w:w="61"/>
        <w:gridCol w:w="1295"/>
      </w:tblGrid>
      <w:tr w:rsidR="00252FB9" w:rsidRPr="00C25964" w14:paraId="1C8CD3B4" w14:textId="77777777" w:rsidTr="00D05F26">
        <w:tc>
          <w:tcPr>
            <w:tcW w:w="3960" w:type="dxa"/>
            <w:vAlign w:val="center"/>
          </w:tcPr>
          <w:p w14:paraId="1063C3B0" w14:textId="60165C8F" w:rsidR="00252FB9" w:rsidRPr="00C25964" w:rsidRDefault="00796134" w:rsidP="00D05F26">
            <w:pPr>
              <w:jc w:val="center"/>
              <w:rPr>
                <w:noProof/>
              </w:rPr>
            </w:pPr>
            <w:r w:rsidRPr="00C25964">
              <w:rPr>
                <w:noProof/>
                <w:sz w:val="22"/>
              </w:rPr>
              <w:t>GD Utbildning och kultur</w:t>
            </w:r>
          </w:p>
        </w:tc>
        <w:tc>
          <w:tcPr>
            <w:tcW w:w="1560" w:type="dxa"/>
            <w:gridSpan w:val="2"/>
          </w:tcPr>
          <w:p w14:paraId="5E56F0DB" w14:textId="77777777" w:rsidR="00252FB9" w:rsidRPr="00C25964" w:rsidRDefault="00252FB9" w:rsidP="00D05F26">
            <w:pPr>
              <w:rPr>
                <w:noProof/>
                <w:sz w:val="20"/>
              </w:rPr>
            </w:pPr>
          </w:p>
        </w:tc>
        <w:tc>
          <w:tcPr>
            <w:tcW w:w="534" w:type="dxa"/>
          </w:tcPr>
          <w:p w14:paraId="4862EB0F" w14:textId="77777777" w:rsidR="00252FB9" w:rsidRPr="00C25964" w:rsidRDefault="00252FB9" w:rsidP="00D05F26">
            <w:pPr>
              <w:jc w:val="center"/>
              <w:rPr>
                <w:noProof/>
                <w:sz w:val="20"/>
              </w:rPr>
            </w:pPr>
          </w:p>
        </w:tc>
        <w:tc>
          <w:tcPr>
            <w:tcW w:w="685" w:type="dxa"/>
            <w:vAlign w:val="center"/>
          </w:tcPr>
          <w:p w14:paraId="15E06EB3" w14:textId="77777777" w:rsidR="00252FB9" w:rsidRPr="00C25964" w:rsidRDefault="00252FB9" w:rsidP="00D05F26">
            <w:pPr>
              <w:jc w:val="center"/>
              <w:rPr>
                <w:noProof/>
                <w:sz w:val="20"/>
                <w:szCs w:val="20"/>
              </w:rPr>
            </w:pPr>
            <w:r w:rsidRPr="00C25964">
              <w:rPr>
                <w:noProof/>
                <w:sz w:val="20"/>
                <w:szCs w:val="20"/>
              </w:rPr>
              <w:t>2021</w:t>
            </w:r>
          </w:p>
        </w:tc>
        <w:tc>
          <w:tcPr>
            <w:tcW w:w="1134" w:type="dxa"/>
            <w:vAlign w:val="center"/>
          </w:tcPr>
          <w:p w14:paraId="5E03911B" w14:textId="77777777" w:rsidR="00252FB9" w:rsidRPr="00C25964" w:rsidRDefault="00252FB9" w:rsidP="00D05F26">
            <w:pPr>
              <w:jc w:val="center"/>
              <w:rPr>
                <w:noProof/>
                <w:sz w:val="20"/>
              </w:rPr>
            </w:pPr>
            <w:r w:rsidRPr="00C25964">
              <w:rPr>
                <w:noProof/>
                <w:sz w:val="20"/>
              </w:rPr>
              <w:t>2022</w:t>
            </w:r>
          </w:p>
        </w:tc>
        <w:tc>
          <w:tcPr>
            <w:tcW w:w="975" w:type="dxa"/>
            <w:vAlign w:val="center"/>
          </w:tcPr>
          <w:p w14:paraId="49E2AEF8" w14:textId="77777777" w:rsidR="00252FB9" w:rsidRPr="00C25964" w:rsidRDefault="00252FB9" w:rsidP="00D05F26">
            <w:pPr>
              <w:jc w:val="center"/>
              <w:rPr>
                <w:noProof/>
                <w:sz w:val="20"/>
              </w:rPr>
            </w:pPr>
            <w:r w:rsidRPr="00C25964">
              <w:rPr>
                <w:noProof/>
                <w:sz w:val="20"/>
              </w:rPr>
              <w:t>2023</w:t>
            </w:r>
          </w:p>
        </w:tc>
        <w:tc>
          <w:tcPr>
            <w:tcW w:w="992" w:type="dxa"/>
            <w:gridSpan w:val="2"/>
            <w:vAlign w:val="center"/>
          </w:tcPr>
          <w:p w14:paraId="185F4B18" w14:textId="77777777" w:rsidR="00252FB9" w:rsidRPr="00C25964" w:rsidRDefault="00252FB9" w:rsidP="00D05F26">
            <w:pPr>
              <w:jc w:val="center"/>
              <w:rPr>
                <w:noProof/>
                <w:sz w:val="20"/>
              </w:rPr>
            </w:pPr>
            <w:r w:rsidRPr="00C25964">
              <w:rPr>
                <w:noProof/>
                <w:sz w:val="20"/>
              </w:rPr>
              <w:t>2024</w:t>
            </w:r>
          </w:p>
        </w:tc>
        <w:tc>
          <w:tcPr>
            <w:tcW w:w="2772" w:type="dxa"/>
            <w:gridSpan w:val="7"/>
            <w:vAlign w:val="center"/>
          </w:tcPr>
          <w:p w14:paraId="1AD099E2" w14:textId="77777777" w:rsidR="00252FB9" w:rsidRPr="00C25964" w:rsidRDefault="00252FB9" w:rsidP="00D05F26">
            <w:pPr>
              <w:jc w:val="center"/>
              <w:rPr>
                <w:noProof/>
                <w:sz w:val="18"/>
                <w:szCs w:val="18"/>
              </w:rPr>
            </w:pPr>
            <w:r w:rsidRPr="00C25964">
              <w:rPr>
                <w:noProof/>
                <w:sz w:val="18"/>
                <w:szCs w:val="18"/>
              </w:rPr>
              <w:t>2025          2026       2027</w:t>
            </w:r>
          </w:p>
        </w:tc>
        <w:tc>
          <w:tcPr>
            <w:tcW w:w="1295" w:type="dxa"/>
            <w:vAlign w:val="center"/>
          </w:tcPr>
          <w:p w14:paraId="4FAC357D" w14:textId="77777777" w:rsidR="00252FB9" w:rsidRPr="00C25964" w:rsidRDefault="00252FB9" w:rsidP="00D05F26">
            <w:pPr>
              <w:jc w:val="center"/>
              <w:rPr>
                <w:b/>
                <w:noProof/>
                <w:sz w:val="20"/>
              </w:rPr>
            </w:pPr>
            <w:r w:rsidRPr="00C25964">
              <w:rPr>
                <w:b/>
                <w:noProof/>
                <w:sz w:val="20"/>
              </w:rPr>
              <w:t>TOTALT</w:t>
            </w:r>
          </w:p>
        </w:tc>
      </w:tr>
      <w:tr w:rsidR="00252FB9" w:rsidRPr="00C25964" w14:paraId="06406916" w14:textId="77777777" w:rsidTr="00D05F26">
        <w:trPr>
          <w:trHeight w:val="213"/>
        </w:trPr>
        <w:tc>
          <w:tcPr>
            <w:tcW w:w="6054" w:type="dxa"/>
            <w:gridSpan w:val="4"/>
            <w:vAlign w:val="center"/>
          </w:tcPr>
          <w:p w14:paraId="61A26B51" w14:textId="77777777" w:rsidR="00252FB9" w:rsidRPr="00C25964" w:rsidRDefault="00252FB9" w:rsidP="00D05F26">
            <w:pPr>
              <w:spacing w:before="20" w:after="20"/>
              <w:rPr>
                <w:noProof/>
                <w:sz w:val="21"/>
              </w:rPr>
            </w:pPr>
            <w:r w:rsidRPr="00C25964">
              <w:rPr>
                <w:noProof/>
                <w:sz w:val="21"/>
              </w:rPr>
              <w:sym w:font="Wingdings" w:char="F09F"/>
            </w:r>
            <w:r w:rsidRPr="00C25964">
              <w:rPr>
                <w:noProof/>
                <w:sz w:val="21"/>
              </w:rPr>
              <w:t xml:space="preserve"> Driftsanslag </w:t>
            </w:r>
          </w:p>
        </w:tc>
        <w:tc>
          <w:tcPr>
            <w:tcW w:w="685" w:type="dxa"/>
            <w:vAlign w:val="center"/>
          </w:tcPr>
          <w:p w14:paraId="2EFBF4D8" w14:textId="77777777" w:rsidR="00252FB9" w:rsidRPr="00C25964" w:rsidRDefault="00252FB9" w:rsidP="00D05F26">
            <w:pPr>
              <w:rPr>
                <w:noProof/>
                <w:sz w:val="20"/>
              </w:rPr>
            </w:pPr>
          </w:p>
        </w:tc>
        <w:tc>
          <w:tcPr>
            <w:tcW w:w="1134" w:type="dxa"/>
            <w:vAlign w:val="center"/>
          </w:tcPr>
          <w:p w14:paraId="12ECC3F6" w14:textId="77777777" w:rsidR="00252FB9" w:rsidRPr="00C25964" w:rsidRDefault="00252FB9" w:rsidP="00D05F26">
            <w:pPr>
              <w:rPr>
                <w:noProof/>
                <w:sz w:val="20"/>
              </w:rPr>
            </w:pPr>
          </w:p>
        </w:tc>
        <w:tc>
          <w:tcPr>
            <w:tcW w:w="975" w:type="dxa"/>
            <w:vAlign w:val="center"/>
          </w:tcPr>
          <w:p w14:paraId="20265E67" w14:textId="77777777" w:rsidR="00252FB9" w:rsidRPr="00C25964" w:rsidRDefault="00252FB9" w:rsidP="00D05F26">
            <w:pPr>
              <w:rPr>
                <w:noProof/>
                <w:sz w:val="20"/>
              </w:rPr>
            </w:pPr>
          </w:p>
        </w:tc>
        <w:tc>
          <w:tcPr>
            <w:tcW w:w="992" w:type="dxa"/>
            <w:gridSpan w:val="2"/>
            <w:vAlign w:val="center"/>
          </w:tcPr>
          <w:p w14:paraId="7B006B6F" w14:textId="77777777" w:rsidR="00252FB9" w:rsidRPr="00C25964" w:rsidRDefault="00252FB9" w:rsidP="00D05F26">
            <w:pPr>
              <w:rPr>
                <w:noProof/>
                <w:sz w:val="20"/>
              </w:rPr>
            </w:pPr>
          </w:p>
        </w:tc>
        <w:tc>
          <w:tcPr>
            <w:tcW w:w="874" w:type="dxa"/>
            <w:gridSpan w:val="3"/>
            <w:vAlign w:val="center"/>
          </w:tcPr>
          <w:p w14:paraId="5A266F3E" w14:textId="77777777" w:rsidR="00252FB9" w:rsidRPr="00C25964" w:rsidRDefault="00252FB9" w:rsidP="00D05F26">
            <w:pPr>
              <w:rPr>
                <w:noProof/>
                <w:sz w:val="20"/>
              </w:rPr>
            </w:pPr>
          </w:p>
        </w:tc>
        <w:tc>
          <w:tcPr>
            <w:tcW w:w="955" w:type="dxa"/>
            <w:vAlign w:val="center"/>
          </w:tcPr>
          <w:p w14:paraId="0F868959" w14:textId="77777777" w:rsidR="00252FB9" w:rsidRPr="00C25964" w:rsidRDefault="00252FB9" w:rsidP="00D05F26">
            <w:pPr>
              <w:rPr>
                <w:noProof/>
                <w:sz w:val="20"/>
              </w:rPr>
            </w:pPr>
          </w:p>
        </w:tc>
        <w:tc>
          <w:tcPr>
            <w:tcW w:w="943" w:type="dxa"/>
            <w:gridSpan w:val="3"/>
            <w:vAlign w:val="center"/>
          </w:tcPr>
          <w:p w14:paraId="374FDD6B" w14:textId="77777777" w:rsidR="00252FB9" w:rsidRPr="00C25964" w:rsidRDefault="00252FB9" w:rsidP="00D05F26">
            <w:pPr>
              <w:rPr>
                <w:b/>
                <w:noProof/>
                <w:sz w:val="20"/>
              </w:rPr>
            </w:pPr>
          </w:p>
        </w:tc>
        <w:tc>
          <w:tcPr>
            <w:tcW w:w="1295" w:type="dxa"/>
            <w:vAlign w:val="center"/>
          </w:tcPr>
          <w:p w14:paraId="0DEE33A8" w14:textId="77777777" w:rsidR="00252FB9" w:rsidRPr="00C25964" w:rsidRDefault="00252FB9" w:rsidP="00D05F26">
            <w:pPr>
              <w:rPr>
                <w:b/>
                <w:noProof/>
                <w:sz w:val="20"/>
              </w:rPr>
            </w:pPr>
          </w:p>
        </w:tc>
      </w:tr>
      <w:tr w:rsidR="00252FB9" w:rsidRPr="00C25964" w14:paraId="176D6ED4" w14:textId="77777777" w:rsidTr="00D05F26">
        <w:trPr>
          <w:trHeight w:val="277"/>
        </w:trPr>
        <w:tc>
          <w:tcPr>
            <w:tcW w:w="3960" w:type="dxa"/>
            <w:vMerge w:val="restart"/>
            <w:vAlign w:val="center"/>
          </w:tcPr>
          <w:p w14:paraId="700C152E" w14:textId="77777777" w:rsidR="00252FB9" w:rsidRPr="00C25964" w:rsidRDefault="00252FB9" w:rsidP="00D05F26">
            <w:pPr>
              <w:rPr>
                <w:noProof/>
              </w:rPr>
            </w:pPr>
            <w:r w:rsidRPr="00C25964">
              <w:rPr>
                <w:noProof/>
                <w:sz w:val="20"/>
                <w:szCs w:val="20"/>
              </w:rPr>
              <w:t xml:space="preserve">Budgetpost </w:t>
            </w:r>
            <w:r w:rsidRPr="00C25964">
              <w:rPr>
                <w:noProof/>
                <w:sz w:val="22"/>
              </w:rPr>
              <w:t>07 03 01 02</w:t>
            </w:r>
          </w:p>
        </w:tc>
        <w:tc>
          <w:tcPr>
            <w:tcW w:w="1440" w:type="dxa"/>
            <w:vAlign w:val="center"/>
          </w:tcPr>
          <w:p w14:paraId="1A957BA7" w14:textId="77777777" w:rsidR="00252FB9" w:rsidRPr="00C25964" w:rsidRDefault="00252FB9" w:rsidP="00D05F26">
            <w:pPr>
              <w:spacing w:before="20" w:after="20"/>
              <w:rPr>
                <w:noProof/>
                <w:sz w:val="18"/>
                <w:szCs w:val="18"/>
              </w:rPr>
            </w:pPr>
            <w:r w:rsidRPr="00C25964">
              <w:rPr>
                <w:noProof/>
                <w:sz w:val="18"/>
                <w:szCs w:val="18"/>
              </w:rPr>
              <w:t>Åtaganden</w:t>
            </w:r>
          </w:p>
        </w:tc>
        <w:tc>
          <w:tcPr>
            <w:tcW w:w="654" w:type="dxa"/>
            <w:gridSpan w:val="2"/>
            <w:vAlign w:val="center"/>
          </w:tcPr>
          <w:p w14:paraId="73B5658B" w14:textId="77777777" w:rsidR="00252FB9" w:rsidRPr="00C25964" w:rsidRDefault="00252FB9" w:rsidP="00D05F26">
            <w:pPr>
              <w:spacing w:before="20" w:after="20"/>
              <w:jc w:val="center"/>
              <w:rPr>
                <w:noProof/>
                <w:sz w:val="14"/>
                <w:szCs w:val="14"/>
              </w:rPr>
            </w:pPr>
            <w:r w:rsidRPr="00C25964">
              <w:rPr>
                <w:noProof/>
                <w:sz w:val="14"/>
                <w:szCs w:val="14"/>
              </w:rPr>
              <w:t>(1a)</w:t>
            </w:r>
          </w:p>
        </w:tc>
        <w:tc>
          <w:tcPr>
            <w:tcW w:w="685" w:type="dxa"/>
            <w:vAlign w:val="center"/>
          </w:tcPr>
          <w:p w14:paraId="11058853" w14:textId="77777777" w:rsidR="00252FB9" w:rsidRPr="00C25964" w:rsidRDefault="00252FB9" w:rsidP="00D05F26">
            <w:pPr>
              <w:spacing w:before="20" w:after="20"/>
              <w:jc w:val="right"/>
              <w:rPr>
                <w:noProof/>
                <w:sz w:val="20"/>
              </w:rPr>
            </w:pPr>
          </w:p>
        </w:tc>
        <w:tc>
          <w:tcPr>
            <w:tcW w:w="1134" w:type="dxa"/>
            <w:vAlign w:val="center"/>
          </w:tcPr>
          <w:p w14:paraId="1C4B9153" w14:textId="77777777" w:rsidR="00252FB9" w:rsidRPr="00C25964" w:rsidRDefault="00252FB9" w:rsidP="00D05F26">
            <w:pPr>
              <w:spacing w:before="20" w:after="20"/>
              <w:jc w:val="right"/>
              <w:rPr>
                <w:noProof/>
                <w:sz w:val="18"/>
                <w:szCs w:val="18"/>
              </w:rPr>
            </w:pPr>
            <w:r w:rsidRPr="00C25964">
              <w:rPr>
                <w:noProof/>
                <w:sz w:val="18"/>
                <w:szCs w:val="18"/>
              </w:rPr>
              <w:t>3,500</w:t>
            </w:r>
          </w:p>
        </w:tc>
        <w:tc>
          <w:tcPr>
            <w:tcW w:w="992" w:type="dxa"/>
            <w:gridSpan w:val="2"/>
            <w:vAlign w:val="center"/>
          </w:tcPr>
          <w:p w14:paraId="1A12E756" w14:textId="77777777" w:rsidR="00252FB9" w:rsidRPr="00C25964" w:rsidRDefault="00252FB9" w:rsidP="00D05F26">
            <w:pPr>
              <w:spacing w:before="20" w:after="20"/>
              <w:jc w:val="right"/>
              <w:rPr>
                <w:noProof/>
                <w:sz w:val="18"/>
                <w:szCs w:val="18"/>
              </w:rPr>
            </w:pPr>
          </w:p>
        </w:tc>
        <w:tc>
          <w:tcPr>
            <w:tcW w:w="993" w:type="dxa"/>
            <w:gridSpan w:val="2"/>
            <w:vAlign w:val="center"/>
          </w:tcPr>
          <w:p w14:paraId="62417AF9" w14:textId="77777777" w:rsidR="00252FB9" w:rsidRPr="00C25964" w:rsidRDefault="00252FB9" w:rsidP="00D05F26">
            <w:pPr>
              <w:spacing w:before="20" w:after="20"/>
              <w:jc w:val="right"/>
              <w:rPr>
                <w:noProof/>
                <w:sz w:val="18"/>
                <w:szCs w:val="18"/>
              </w:rPr>
            </w:pPr>
          </w:p>
          <w:p w14:paraId="05178D29" w14:textId="77777777" w:rsidR="00252FB9" w:rsidRPr="00C25964" w:rsidRDefault="00252FB9" w:rsidP="00D05F26">
            <w:pPr>
              <w:spacing w:before="20" w:after="20"/>
              <w:jc w:val="right"/>
              <w:rPr>
                <w:noProof/>
                <w:sz w:val="18"/>
                <w:szCs w:val="18"/>
              </w:rPr>
            </w:pPr>
          </w:p>
          <w:p w14:paraId="738F042E" w14:textId="77777777" w:rsidR="00252FB9" w:rsidRPr="00C25964" w:rsidRDefault="00252FB9" w:rsidP="00D05F26">
            <w:pPr>
              <w:spacing w:before="20" w:after="20"/>
              <w:jc w:val="right"/>
              <w:rPr>
                <w:noProof/>
                <w:sz w:val="18"/>
                <w:szCs w:val="18"/>
              </w:rPr>
            </w:pPr>
          </w:p>
        </w:tc>
        <w:tc>
          <w:tcPr>
            <w:tcW w:w="850" w:type="dxa"/>
            <w:vAlign w:val="center"/>
          </w:tcPr>
          <w:p w14:paraId="50A051F2" w14:textId="77777777" w:rsidR="00252FB9" w:rsidRPr="00C25964" w:rsidRDefault="00252FB9" w:rsidP="00D05F26">
            <w:pPr>
              <w:spacing w:before="20" w:after="20"/>
              <w:jc w:val="right"/>
              <w:rPr>
                <w:noProof/>
                <w:sz w:val="18"/>
                <w:szCs w:val="18"/>
              </w:rPr>
            </w:pPr>
          </w:p>
        </w:tc>
        <w:tc>
          <w:tcPr>
            <w:tcW w:w="992" w:type="dxa"/>
            <w:gridSpan w:val="3"/>
            <w:vAlign w:val="center"/>
          </w:tcPr>
          <w:p w14:paraId="317486DC" w14:textId="77777777" w:rsidR="00252FB9" w:rsidRPr="00C25964" w:rsidRDefault="00252FB9" w:rsidP="00D05F26">
            <w:pPr>
              <w:spacing w:before="20" w:after="20"/>
              <w:jc w:val="right"/>
              <w:rPr>
                <w:noProof/>
                <w:sz w:val="18"/>
                <w:szCs w:val="18"/>
              </w:rPr>
            </w:pPr>
          </w:p>
        </w:tc>
        <w:tc>
          <w:tcPr>
            <w:tcW w:w="851" w:type="dxa"/>
            <w:vAlign w:val="center"/>
          </w:tcPr>
          <w:p w14:paraId="5E666682" w14:textId="77777777" w:rsidR="00252FB9" w:rsidRPr="00C25964" w:rsidRDefault="00252FB9" w:rsidP="00D05F26">
            <w:pPr>
              <w:spacing w:before="20" w:after="20"/>
              <w:jc w:val="right"/>
              <w:rPr>
                <w:b/>
                <w:noProof/>
                <w:sz w:val="18"/>
                <w:szCs w:val="18"/>
              </w:rPr>
            </w:pPr>
          </w:p>
        </w:tc>
        <w:tc>
          <w:tcPr>
            <w:tcW w:w="1356" w:type="dxa"/>
            <w:gridSpan w:val="2"/>
            <w:vAlign w:val="center"/>
          </w:tcPr>
          <w:p w14:paraId="19777919" w14:textId="77777777" w:rsidR="00252FB9" w:rsidRPr="00C25964" w:rsidRDefault="00252FB9" w:rsidP="00D05F26">
            <w:pPr>
              <w:spacing w:before="20" w:after="20"/>
              <w:jc w:val="center"/>
              <w:rPr>
                <w:b/>
                <w:bCs/>
                <w:noProof/>
                <w:sz w:val="18"/>
                <w:szCs w:val="18"/>
              </w:rPr>
            </w:pPr>
            <w:r w:rsidRPr="00C25964">
              <w:rPr>
                <w:b/>
                <w:bCs/>
                <w:noProof/>
                <w:sz w:val="18"/>
                <w:szCs w:val="18"/>
              </w:rPr>
              <w:t>3,500</w:t>
            </w:r>
          </w:p>
        </w:tc>
      </w:tr>
      <w:tr w:rsidR="00252FB9" w:rsidRPr="00C25964" w14:paraId="14DD578E" w14:textId="77777777" w:rsidTr="00D05F26">
        <w:tc>
          <w:tcPr>
            <w:tcW w:w="3960" w:type="dxa"/>
            <w:vMerge/>
          </w:tcPr>
          <w:p w14:paraId="5C417E13" w14:textId="77777777" w:rsidR="00252FB9" w:rsidRPr="00C25964" w:rsidRDefault="00252FB9" w:rsidP="00D05F26">
            <w:pPr>
              <w:jc w:val="center"/>
              <w:rPr>
                <w:noProof/>
                <w:sz w:val="20"/>
              </w:rPr>
            </w:pPr>
          </w:p>
        </w:tc>
        <w:tc>
          <w:tcPr>
            <w:tcW w:w="1440" w:type="dxa"/>
            <w:vAlign w:val="center"/>
          </w:tcPr>
          <w:p w14:paraId="578E8E8B" w14:textId="77777777" w:rsidR="00252FB9" w:rsidRPr="00C25964" w:rsidRDefault="00252FB9" w:rsidP="00D05F26">
            <w:pPr>
              <w:spacing w:before="20" w:after="20"/>
              <w:rPr>
                <w:noProof/>
                <w:sz w:val="18"/>
                <w:szCs w:val="18"/>
              </w:rPr>
            </w:pPr>
            <w:r w:rsidRPr="00C25964">
              <w:rPr>
                <w:noProof/>
                <w:sz w:val="18"/>
                <w:szCs w:val="18"/>
              </w:rPr>
              <w:t>Betalningar</w:t>
            </w:r>
          </w:p>
        </w:tc>
        <w:tc>
          <w:tcPr>
            <w:tcW w:w="654" w:type="dxa"/>
            <w:gridSpan w:val="2"/>
            <w:vAlign w:val="center"/>
          </w:tcPr>
          <w:p w14:paraId="12FF5D11" w14:textId="77777777" w:rsidR="00252FB9" w:rsidRPr="00C25964" w:rsidRDefault="00252FB9" w:rsidP="00D05F26">
            <w:pPr>
              <w:spacing w:before="20" w:after="20"/>
              <w:jc w:val="center"/>
              <w:rPr>
                <w:noProof/>
                <w:sz w:val="14"/>
                <w:szCs w:val="14"/>
              </w:rPr>
            </w:pPr>
            <w:r w:rsidRPr="00C25964">
              <w:rPr>
                <w:noProof/>
                <w:sz w:val="14"/>
                <w:szCs w:val="14"/>
              </w:rPr>
              <w:t>(2a)</w:t>
            </w:r>
          </w:p>
        </w:tc>
        <w:tc>
          <w:tcPr>
            <w:tcW w:w="685" w:type="dxa"/>
            <w:vAlign w:val="center"/>
          </w:tcPr>
          <w:p w14:paraId="69A1FE3C" w14:textId="77777777" w:rsidR="00252FB9" w:rsidRPr="00C25964" w:rsidRDefault="00252FB9" w:rsidP="00D05F26">
            <w:pPr>
              <w:spacing w:before="20" w:after="20"/>
              <w:jc w:val="right"/>
              <w:rPr>
                <w:noProof/>
                <w:sz w:val="20"/>
              </w:rPr>
            </w:pPr>
          </w:p>
        </w:tc>
        <w:tc>
          <w:tcPr>
            <w:tcW w:w="1134" w:type="dxa"/>
            <w:vAlign w:val="center"/>
          </w:tcPr>
          <w:p w14:paraId="06A33252" w14:textId="77777777" w:rsidR="00252FB9" w:rsidRPr="00C25964" w:rsidRDefault="00252FB9" w:rsidP="00D05F26">
            <w:pPr>
              <w:spacing w:before="20" w:after="20"/>
              <w:jc w:val="right"/>
              <w:rPr>
                <w:noProof/>
                <w:sz w:val="18"/>
                <w:szCs w:val="18"/>
              </w:rPr>
            </w:pPr>
            <w:r w:rsidRPr="00C25964">
              <w:rPr>
                <w:noProof/>
                <w:sz w:val="18"/>
                <w:szCs w:val="18"/>
              </w:rPr>
              <w:t>1,437</w:t>
            </w:r>
          </w:p>
        </w:tc>
        <w:tc>
          <w:tcPr>
            <w:tcW w:w="992" w:type="dxa"/>
            <w:gridSpan w:val="2"/>
            <w:vAlign w:val="center"/>
          </w:tcPr>
          <w:p w14:paraId="3DCE2431" w14:textId="77777777" w:rsidR="00252FB9" w:rsidRPr="00C25964" w:rsidRDefault="00252FB9" w:rsidP="00D05F26">
            <w:pPr>
              <w:spacing w:before="20" w:after="20"/>
              <w:jc w:val="right"/>
              <w:rPr>
                <w:noProof/>
                <w:sz w:val="18"/>
                <w:szCs w:val="18"/>
              </w:rPr>
            </w:pPr>
            <w:r w:rsidRPr="00C25964">
              <w:rPr>
                <w:noProof/>
                <w:sz w:val="18"/>
                <w:szCs w:val="18"/>
              </w:rPr>
              <w:t>0,515</w:t>
            </w:r>
          </w:p>
        </w:tc>
        <w:tc>
          <w:tcPr>
            <w:tcW w:w="993" w:type="dxa"/>
            <w:gridSpan w:val="2"/>
            <w:vAlign w:val="center"/>
          </w:tcPr>
          <w:p w14:paraId="284F52AE" w14:textId="77777777" w:rsidR="00252FB9" w:rsidRPr="00C25964" w:rsidRDefault="00252FB9" w:rsidP="00D05F26">
            <w:pPr>
              <w:spacing w:before="20" w:after="20"/>
              <w:jc w:val="right"/>
              <w:rPr>
                <w:noProof/>
                <w:sz w:val="18"/>
                <w:szCs w:val="18"/>
              </w:rPr>
            </w:pPr>
            <w:r w:rsidRPr="00C25964">
              <w:rPr>
                <w:noProof/>
                <w:sz w:val="18"/>
                <w:szCs w:val="18"/>
              </w:rPr>
              <w:t>0,987</w:t>
            </w:r>
          </w:p>
        </w:tc>
        <w:tc>
          <w:tcPr>
            <w:tcW w:w="850" w:type="dxa"/>
            <w:vAlign w:val="center"/>
          </w:tcPr>
          <w:p w14:paraId="06239FC0" w14:textId="77777777" w:rsidR="00252FB9" w:rsidRPr="00C25964" w:rsidRDefault="00252FB9" w:rsidP="00D05F26">
            <w:pPr>
              <w:spacing w:before="20" w:after="20"/>
              <w:rPr>
                <w:noProof/>
                <w:sz w:val="18"/>
                <w:szCs w:val="18"/>
              </w:rPr>
            </w:pPr>
            <w:r w:rsidRPr="00C25964">
              <w:rPr>
                <w:noProof/>
                <w:sz w:val="18"/>
                <w:szCs w:val="18"/>
              </w:rPr>
              <w:t xml:space="preserve">     0,310</w:t>
            </w:r>
          </w:p>
        </w:tc>
        <w:tc>
          <w:tcPr>
            <w:tcW w:w="992" w:type="dxa"/>
            <w:gridSpan w:val="3"/>
            <w:vAlign w:val="center"/>
          </w:tcPr>
          <w:p w14:paraId="1FB4479E" w14:textId="77777777" w:rsidR="00252FB9" w:rsidRPr="00C25964" w:rsidRDefault="00252FB9" w:rsidP="00D05F26">
            <w:pPr>
              <w:spacing w:before="20" w:after="20"/>
              <w:rPr>
                <w:noProof/>
                <w:sz w:val="18"/>
                <w:szCs w:val="18"/>
              </w:rPr>
            </w:pPr>
            <w:r w:rsidRPr="00C25964">
              <w:rPr>
                <w:noProof/>
                <w:sz w:val="18"/>
                <w:szCs w:val="18"/>
              </w:rPr>
              <w:t xml:space="preserve">        0,251</w:t>
            </w:r>
          </w:p>
        </w:tc>
        <w:tc>
          <w:tcPr>
            <w:tcW w:w="851" w:type="dxa"/>
            <w:vAlign w:val="center"/>
          </w:tcPr>
          <w:p w14:paraId="622C3B15" w14:textId="77777777" w:rsidR="00252FB9" w:rsidRPr="00C25964" w:rsidRDefault="00252FB9" w:rsidP="00D05F26">
            <w:pPr>
              <w:spacing w:before="20" w:after="20"/>
              <w:rPr>
                <w:noProof/>
                <w:sz w:val="18"/>
                <w:szCs w:val="18"/>
              </w:rPr>
            </w:pPr>
          </w:p>
        </w:tc>
        <w:tc>
          <w:tcPr>
            <w:tcW w:w="1356" w:type="dxa"/>
            <w:gridSpan w:val="2"/>
            <w:vAlign w:val="center"/>
          </w:tcPr>
          <w:p w14:paraId="55E387CB" w14:textId="77777777" w:rsidR="00252FB9" w:rsidRPr="00C25964" w:rsidRDefault="00252FB9" w:rsidP="00D05F26">
            <w:pPr>
              <w:spacing w:before="20" w:after="20"/>
              <w:jc w:val="center"/>
              <w:rPr>
                <w:b/>
                <w:bCs/>
                <w:noProof/>
                <w:sz w:val="18"/>
                <w:szCs w:val="18"/>
              </w:rPr>
            </w:pPr>
            <w:r w:rsidRPr="00C25964">
              <w:rPr>
                <w:b/>
                <w:bCs/>
                <w:noProof/>
                <w:sz w:val="18"/>
                <w:szCs w:val="18"/>
              </w:rPr>
              <w:t>3,500</w:t>
            </w:r>
          </w:p>
        </w:tc>
      </w:tr>
      <w:tr w:rsidR="00252FB9" w:rsidRPr="00C25964" w14:paraId="54683E12" w14:textId="77777777" w:rsidTr="00D05F26">
        <w:tc>
          <w:tcPr>
            <w:tcW w:w="3960" w:type="dxa"/>
            <w:vMerge w:val="restart"/>
            <w:vAlign w:val="center"/>
          </w:tcPr>
          <w:p w14:paraId="0A74B024" w14:textId="77777777" w:rsidR="00252FB9" w:rsidRPr="00C25964" w:rsidRDefault="00252FB9" w:rsidP="00D05F26">
            <w:pPr>
              <w:rPr>
                <w:noProof/>
                <w:sz w:val="20"/>
                <w:szCs w:val="20"/>
              </w:rPr>
            </w:pPr>
            <w:r w:rsidRPr="00C25964">
              <w:rPr>
                <w:noProof/>
              </w:rPr>
              <w:t>Budgetpost 07 03 02</w:t>
            </w:r>
          </w:p>
        </w:tc>
        <w:tc>
          <w:tcPr>
            <w:tcW w:w="1440" w:type="dxa"/>
            <w:vAlign w:val="center"/>
          </w:tcPr>
          <w:p w14:paraId="3996087B" w14:textId="77777777" w:rsidR="00252FB9" w:rsidRPr="00C25964" w:rsidRDefault="00252FB9" w:rsidP="00D05F26">
            <w:pPr>
              <w:spacing w:before="20" w:after="20"/>
              <w:rPr>
                <w:noProof/>
                <w:sz w:val="18"/>
                <w:szCs w:val="18"/>
              </w:rPr>
            </w:pPr>
            <w:r w:rsidRPr="00C25964">
              <w:rPr>
                <w:noProof/>
                <w:sz w:val="18"/>
                <w:szCs w:val="18"/>
              </w:rPr>
              <w:t>Åtaganden</w:t>
            </w:r>
          </w:p>
        </w:tc>
        <w:tc>
          <w:tcPr>
            <w:tcW w:w="654" w:type="dxa"/>
            <w:gridSpan w:val="2"/>
            <w:vAlign w:val="center"/>
          </w:tcPr>
          <w:p w14:paraId="4BD02163" w14:textId="77777777" w:rsidR="00252FB9" w:rsidRPr="00C25964" w:rsidRDefault="00252FB9" w:rsidP="00D05F26">
            <w:pPr>
              <w:spacing w:before="20" w:after="20"/>
              <w:jc w:val="center"/>
              <w:rPr>
                <w:noProof/>
                <w:sz w:val="14"/>
                <w:szCs w:val="14"/>
              </w:rPr>
            </w:pPr>
            <w:r w:rsidRPr="00C25964">
              <w:rPr>
                <w:noProof/>
                <w:sz w:val="14"/>
                <w:szCs w:val="14"/>
              </w:rPr>
              <w:t>(1b)</w:t>
            </w:r>
          </w:p>
        </w:tc>
        <w:tc>
          <w:tcPr>
            <w:tcW w:w="685" w:type="dxa"/>
            <w:vAlign w:val="center"/>
          </w:tcPr>
          <w:p w14:paraId="0A9DB07B" w14:textId="77777777" w:rsidR="00252FB9" w:rsidRPr="00C25964" w:rsidRDefault="00252FB9" w:rsidP="00D05F26">
            <w:pPr>
              <w:spacing w:before="20" w:after="20"/>
              <w:jc w:val="right"/>
              <w:rPr>
                <w:noProof/>
                <w:sz w:val="20"/>
              </w:rPr>
            </w:pPr>
          </w:p>
        </w:tc>
        <w:tc>
          <w:tcPr>
            <w:tcW w:w="1134" w:type="dxa"/>
            <w:vAlign w:val="center"/>
          </w:tcPr>
          <w:p w14:paraId="5E88062B" w14:textId="77777777" w:rsidR="00252FB9" w:rsidRPr="00C25964" w:rsidRDefault="00252FB9" w:rsidP="00D05F26">
            <w:pPr>
              <w:spacing w:before="20" w:after="20"/>
              <w:jc w:val="right"/>
              <w:rPr>
                <w:noProof/>
                <w:sz w:val="18"/>
                <w:szCs w:val="18"/>
              </w:rPr>
            </w:pPr>
            <w:r w:rsidRPr="00C25964">
              <w:rPr>
                <w:noProof/>
                <w:sz w:val="18"/>
                <w:szCs w:val="18"/>
              </w:rPr>
              <w:t>4,000</w:t>
            </w:r>
          </w:p>
        </w:tc>
        <w:tc>
          <w:tcPr>
            <w:tcW w:w="992" w:type="dxa"/>
            <w:gridSpan w:val="2"/>
            <w:vAlign w:val="center"/>
          </w:tcPr>
          <w:p w14:paraId="23619543" w14:textId="77777777" w:rsidR="00252FB9" w:rsidRPr="00C25964" w:rsidRDefault="00252FB9" w:rsidP="00D05F26">
            <w:pPr>
              <w:spacing w:before="20" w:after="20"/>
              <w:jc w:val="right"/>
              <w:rPr>
                <w:noProof/>
                <w:sz w:val="18"/>
                <w:szCs w:val="18"/>
              </w:rPr>
            </w:pPr>
            <w:r w:rsidRPr="00C25964">
              <w:rPr>
                <w:noProof/>
                <w:sz w:val="18"/>
                <w:szCs w:val="18"/>
              </w:rPr>
              <w:t>0,500</w:t>
            </w:r>
          </w:p>
        </w:tc>
        <w:tc>
          <w:tcPr>
            <w:tcW w:w="993" w:type="dxa"/>
            <w:gridSpan w:val="2"/>
            <w:vAlign w:val="center"/>
          </w:tcPr>
          <w:p w14:paraId="71A7E58E" w14:textId="77777777" w:rsidR="00252FB9" w:rsidRPr="00C25964" w:rsidRDefault="00252FB9" w:rsidP="00D05F26">
            <w:pPr>
              <w:spacing w:before="20" w:after="20"/>
              <w:jc w:val="right"/>
              <w:rPr>
                <w:noProof/>
                <w:sz w:val="18"/>
                <w:szCs w:val="18"/>
              </w:rPr>
            </w:pPr>
          </w:p>
        </w:tc>
        <w:tc>
          <w:tcPr>
            <w:tcW w:w="850" w:type="dxa"/>
            <w:vAlign w:val="center"/>
          </w:tcPr>
          <w:p w14:paraId="511E7DF5" w14:textId="77777777" w:rsidR="00252FB9" w:rsidRPr="00C25964" w:rsidRDefault="00252FB9" w:rsidP="00D05F26">
            <w:pPr>
              <w:spacing w:before="20" w:after="20"/>
              <w:jc w:val="right"/>
              <w:rPr>
                <w:noProof/>
                <w:sz w:val="18"/>
                <w:szCs w:val="18"/>
              </w:rPr>
            </w:pPr>
          </w:p>
        </w:tc>
        <w:tc>
          <w:tcPr>
            <w:tcW w:w="992" w:type="dxa"/>
            <w:gridSpan w:val="3"/>
            <w:vAlign w:val="center"/>
          </w:tcPr>
          <w:p w14:paraId="19D30622" w14:textId="77777777" w:rsidR="00252FB9" w:rsidRPr="00C25964" w:rsidRDefault="00252FB9" w:rsidP="00D05F26">
            <w:pPr>
              <w:spacing w:before="20" w:after="20"/>
              <w:jc w:val="right"/>
              <w:rPr>
                <w:noProof/>
                <w:sz w:val="18"/>
                <w:szCs w:val="18"/>
              </w:rPr>
            </w:pPr>
          </w:p>
        </w:tc>
        <w:tc>
          <w:tcPr>
            <w:tcW w:w="851" w:type="dxa"/>
            <w:vAlign w:val="center"/>
          </w:tcPr>
          <w:p w14:paraId="4F9F0FEE" w14:textId="77777777" w:rsidR="00252FB9" w:rsidRPr="00C25964" w:rsidRDefault="00252FB9" w:rsidP="00D05F26">
            <w:pPr>
              <w:spacing w:before="20" w:after="20"/>
              <w:jc w:val="right"/>
              <w:rPr>
                <w:b/>
                <w:noProof/>
                <w:sz w:val="18"/>
                <w:szCs w:val="18"/>
              </w:rPr>
            </w:pPr>
          </w:p>
        </w:tc>
        <w:tc>
          <w:tcPr>
            <w:tcW w:w="1356" w:type="dxa"/>
            <w:gridSpan w:val="2"/>
            <w:vAlign w:val="center"/>
          </w:tcPr>
          <w:p w14:paraId="2433058A" w14:textId="77777777" w:rsidR="00252FB9" w:rsidRPr="00C25964" w:rsidRDefault="00252FB9" w:rsidP="00D05F26">
            <w:pPr>
              <w:spacing w:before="20" w:after="20"/>
              <w:jc w:val="center"/>
              <w:rPr>
                <w:b/>
                <w:bCs/>
                <w:noProof/>
                <w:sz w:val="18"/>
                <w:szCs w:val="18"/>
              </w:rPr>
            </w:pPr>
            <w:r w:rsidRPr="00C25964">
              <w:rPr>
                <w:b/>
                <w:bCs/>
                <w:noProof/>
                <w:sz w:val="18"/>
                <w:szCs w:val="18"/>
              </w:rPr>
              <w:t>4,500</w:t>
            </w:r>
          </w:p>
        </w:tc>
      </w:tr>
      <w:tr w:rsidR="00252FB9" w:rsidRPr="00C25964" w14:paraId="1C870E2D" w14:textId="77777777" w:rsidTr="00D05F26">
        <w:tc>
          <w:tcPr>
            <w:tcW w:w="3960" w:type="dxa"/>
            <w:vMerge/>
          </w:tcPr>
          <w:p w14:paraId="3E22288F" w14:textId="77777777" w:rsidR="00252FB9" w:rsidRPr="00C25964" w:rsidRDefault="00252FB9" w:rsidP="00D05F26">
            <w:pPr>
              <w:jc w:val="center"/>
              <w:rPr>
                <w:noProof/>
                <w:sz w:val="20"/>
              </w:rPr>
            </w:pPr>
          </w:p>
        </w:tc>
        <w:tc>
          <w:tcPr>
            <w:tcW w:w="1440" w:type="dxa"/>
            <w:vAlign w:val="center"/>
          </w:tcPr>
          <w:p w14:paraId="3F7ABEA1" w14:textId="77777777" w:rsidR="00252FB9" w:rsidRPr="00C25964" w:rsidRDefault="00252FB9" w:rsidP="00D05F26">
            <w:pPr>
              <w:spacing w:before="20" w:after="20"/>
              <w:rPr>
                <w:noProof/>
                <w:sz w:val="18"/>
                <w:szCs w:val="18"/>
              </w:rPr>
            </w:pPr>
            <w:r w:rsidRPr="00C25964">
              <w:rPr>
                <w:noProof/>
                <w:sz w:val="18"/>
                <w:szCs w:val="18"/>
              </w:rPr>
              <w:t>Betalningar</w:t>
            </w:r>
          </w:p>
        </w:tc>
        <w:tc>
          <w:tcPr>
            <w:tcW w:w="654" w:type="dxa"/>
            <w:gridSpan w:val="2"/>
            <w:vAlign w:val="center"/>
          </w:tcPr>
          <w:p w14:paraId="62F007AB" w14:textId="77777777" w:rsidR="00252FB9" w:rsidRPr="00C25964" w:rsidRDefault="00252FB9" w:rsidP="00D05F26">
            <w:pPr>
              <w:spacing w:before="20" w:after="20"/>
              <w:jc w:val="center"/>
              <w:rPr>
                <w:noProof/>
                <w:sz w:val="14"/>
                <w:szCs w:val="14"/>
              </w:rPr>
            </w:pPr>
            <w:r w:rsidRPr="00C25964">
              <w:rPr>
                <w:noProof/>
                <w:sz w:val="14"/>
                <w:szCs w:val="14"/>
              </w:rPr>
              <w:t>(2b)</w:t>
            </w:r>
          </w:p>
        </w:tc>
        <w:tc>
          <w:tcPr>
            <w:tcW w:w="685" w:type="dxa"/>
            <w:vAlign w:val="center"/>
          </w:tcPr>
          <w:p w14:paraId="2D631B84" w14:textId="77777777" w:rsidR="00252FB9" w:rsidRPr="00C25964" w:rsidRDefault="00252FB9" w:rsidP="00D05F26">
            <w:pPr>
              <w:spacing w:before="20" w:after="20"/>
              <w:jc w:val="right"/>
              <w:rPr>
                <w:noProof/>
                <w:sz w:val="20"/>
              </w:rPr>
            </w:pPr>
          </w:p>
        </w:tc>
        <w:tc>
          <w:tcPr>
            <w:tcW w:w="1134" w:type="dxa"/>
            <w:vAlign w:val="center"/>
          </w:tcPr>
          <w:p w14:paraId="4E235C1D" w14:textId="77777777" w:rsidR="00252FB9" w:rsidRPr="00C25964" w:rsidRDefault="00252FB9" w:rsidP="00D05F26">
            <w:pPr>
              <w:spacing w:before="20" w:after="20"/>
              <w:jc w:val="right"/>
              <w:rPr>
                <w:noProof/>
                <w:sz w:val="18"/>
                <w:szCs w:val="18"/>
              </w:rPr>
            </w:pPr>
            <w:r w:rsidRPr="00C25964">
              <w:rPr>
                <w:noProof/>
                <w:sz w:val="18"/>
                <w:szCs w:val="18"/>
              </w:rPr>
              <w:t>2,724</w:t>
            </w:r>
          </w:p>
        </w:tc>
        <w:tc>
          <w:tcPr>
            <w:tcW w:w="992" w:type="dxa"/>
            <w:gridSpan w:val="2"/>
            <w:vAlign w:val="center"/>
          </w:tcPr>
          <w:p w14:paraId="3D91911D" w14:textId="77777777" w:rsidR="00252FB9" w:rsidRPr="00C25964" w:rsidRDefault="00252FB9" w:rsidP="00D05F26">
            <w:pPr>
              <w:spacing w:before="20" w:after="20"/>
              <w:jc w:val="right"/>
              <w:rPr>
                <w:noProof/>
                <w:sz w:val="18"/>
                <w:szCs w:val="18"/>
              </w:rPr>
            </w:pPr>
            <w:r w:rsidRPr="00C25964">
              <w:rPr>
                <w:noProof/>
                <w:sz w:val="18"/>
                <w:szCs w:val="18"/>
              </w:rPr>
              <w:t>1,403</w:t>
            </w:r>
          </w:p>
        </w:tc>
        <w:tc>
          <w:tcPr>
            <w:tcW w:w="993" w:type="dxa"/>
            <w:gridSpan w:val="2"/>
            <w:vAlign w:val="center"/>
          </w:tcPr>
          <w:p w14:paraId="1478D171" w14:textId="77777777" w:rsidR="00252FB9" w:rsidRPr="00C25964" w:rsidRDefault="00252FB9" w:rsidP="00D05F26">
            <w:pPr>
              <w:spacing w:before="20" w:after="20"/>
              <w:jc w:val="right"/>
              <w:rPr>
                <w:noProof/>
                <w:sz w:val="18"/>
                <w:szCs w:val="18"/>
              </w:rPr>
            </w:pPr>
            <w:r w:rsidRPr="00C25964">
              <w:rPr>
                <w:noProof/>
                <w:sz w:val="18"/>
                <w:szCs w:val="18"/>
              </w:rPr>
              <w:t>0,346</w:t>
            </w:r>
          </w:p>
        </w:tc>
        <w:tc>
          <w:tcPr>
            <w:tcW w:w="850" w:type="dxa"/>
            <w:vAlign w:val="center"/>
          </w:tcPr>
          <w:p w14:paraId="7A078F99" w14:textId="77777777" w:rsidR="00252FB9" w:rsidRPr="00C25964" w:rsidRDefault="00252FB9" w:rsidP="00D05F26">
            <w:pPr>
              <w:spacing w:before="20" w:after="20"/>
              <w:jc w:val="right"/>
              <w:rPr>
                <w:noProof/>
                <w:sz w:val="18"/>
                <w:szCs w:val="18"/>
              </w:rPr>
            </w:pPr>
            <w:r w:rsidRPr="00C25964">
              <w:rPr>
                <w:noProof/>
                <w:sz w:val="18"/>
                <w:szCs w:val="18"/>
              </w:rPr>
              <w:t>0,027</w:t>
            </w:r>
          </w:p>
        </w:tc>
        <w:tc>
          <w:tcPr>
            <w:tcW w:w="992" w:type="dxa"/>
            <w:gridSpan w:val="3"/>
            <w:vAlign w:val="center"/>
          </w:tcPr>
          <w:p w14:paraId="0F1CDF97" w14:textId="77777777" w:rsidR="00252FB9" w:rsidRPr="00C25964" w:rsidRDefault="00252FB9" w:rsidP="00D05F26">
            <w:pPr>
              <w:spacing w:before="20" w:after="20"/>
              <w:jc w:val="right"/>
              <w:rPr>
                <w:noProof/>
                <w:sz w:val="18"/>
                <w:szCs w:val="18"/>
              </w:rPr>
            </w:pPr>
          </w:p>
        </w:tc>
        <w:tc>
          <w:tcPr>
            <w:tcW w:w="851" w:type="dxa"/>
            <w:vAlign w:val="center"/>
          </w:tcPr>
          <w:p w14:paraId="61BA52D5" w14:textId="77777777" w:rsidR="00252FB9" w:rsidRPr="00C25964" w:rsidRDefault="00252FB9" w:rsidP="00D05F26">
            <w:pPr>
              <w:spacing w:before="20" w:after="20"/>
              <w:jc w:val="right"/>
              <w:rPr>
                <w:b/>
                <w:noProof/>
                <w:sz w:val="18"/>
                <w:szCs w:val="18"/>
              </w:rPr>
            </w:pPr>
          </w:p>
        </w:tc>
        <w:tc>
          <w:tcPr>
            <w:tcW w:w="1356" w:type="dxa"/>
            <w:gridSpan w:val="2"/>
            <w:vAlign w:val="center"/>
          </w:tcPr>
          <w:p w14:paraId="4408B14F" w14:textId="77777777" w:rsidR="00252FB9" w:rsidRPr="00C25964" w:rsidRDefault="00252FB9" w:rsidP="00D05F26">
            <w:pPr>
              <w:spacing w:before="20" w:after="20"/>
              <w:jc w:val="center"/>
              <w:rPr>
                <w:b/>
                <w:bCs/>
                <w:noProof/>
                <w:sz w:val="18"/>
                <w:szCs w:val="18"/>
              </w:rPr>
            </w:pPr>
            <w:r w:rsidRPr="00C25964">
              <w:rPr>
                <w:b/>
                <w:bCs/>
                <w:noProof/>
                <w:sz w:val="18"/>
                <w:szCs w:val="18"/>
              </w:rPr>
              <w:t>4,500</w:t>
            </w:r>
          </w:p>
        </w:tc>
      </w:tr>
      <w:tr w:rsidR="00252FB9" w:rsidRPr="00C25964" w14:paraId="722448EE" w14:textId="77777777" w:rsidTr="00D05F26">
        <w:tc>
          <w:tcPr>
            <w:tcW w:w="3960" w:type="dxa"/>
            <w:vMerge w:val="restart"/>
            <w:vAlign w:val="center"/>
          </w:tcPr>
          <w:p w14:paraId="04378C19" w14:textId="77777777" w:rsidR="00252FB9" w:rsidRPr="00C25964" w:rsidRDefault="00252FB9" w:rsidP="00D05F26">
            <w:pPr>
              <w:rPr>
                <w:noProof/>
              </w:rPr>
            </w:pPr>
            <w:r w:rsidRPr="00C25964">
              <w:rPr>
                <w:noProof/>
              </w:rPr>
              <w:t>Budgetpost 07 04 01</w:t>
            </w:r>
          </w:p>
        </w:tc>
        <w:tc>
          <w:tcPr>
            <w:tcW w:w="1440" w:type="dxa"/>
            <w:vAlign w:val="center"/>
          </w:tcPr>
          <w:p w14:paraId="620653F3" w14:textId="77777777" w:rsidR="00252FB9" w:rsidRPr="00C25964" w:rsidRDefault="00252FB9" w:rsidP="00D05F26">
            <w:pPr>
              <w:spacing w:before="20" w:after="20"/>
              <w:rPr>
                <w:noProof/>
                <w:sz w:val="18"/>
                <w:szCs w:val="18"/>
              </w:rPr>
            </w:pPr>
            <w:r w:rsidRPr="00C25964">
              <w:rPr>
                <w:noProof/>
                <w:sz w:val="18"/>
                <w:szCs w:val="18"/>
              </w:rPr>
              <w:t>Åtaganden</w:t>
            </w:r>
          </w:p>
        </w:tc>
        <w:tc>
          <w:tcPr>
            <w:tcW w:w="654" w:type="dxa"/>
            <w:gridSpan w:val="2"/>
            <w:vAlign w:val="center"/>
          </w:tcPr>
          <w:p w14:paraId="27CF8C50" w14:textId="77777777" w:rsidR="00252FB9" w:rsidRPr="00C25964" w:rsidRDefault="00252FB9" w:rsidP="00D05F26">
            <w:pPr>
              <w:spacing w:before="20" w:after="20"/>
              <w:jc w:val="center"/>
              <w:rPr>
                <w:noProof/>
                <w:sz w:val="14"/>
                <w:szCs w:val="14"/>
              </w:rPr>
            </w:pPr>
            <w:r w:rsidRPr="00C25964">
              <w:rPr>
                <w:noProof/>
                <w:sz w:val="14"/>
                <w:szCs w:val="14"/>
              </w:rPr>
              <w:t>(1c)</w:t>
            </w:r>
          </w:p>
        </w:tc>
        <w:tc>
          <w:tcPr>
            <w:tcW w:w="685" w:type="dxa"/>
            <w:vAlign w:val="center"/>
          </w:tcPr>
          <w:p w14:paraId="60469647" w14:textId="77777777" w:rsidR="00252FB9" w:rsidRPr="00C25964" w:rsidRDefault="00252FB9" w:rsidP="00D05F26">
            <w:pPr>
              <w:spacing w:before="20" w:after="20"/>
              <w:jc w:val="right"/>
              <w:rPr>
                <w:noProof/>
                <w:sz w:val="20"/>
              </w:rPr>
            </w:pPr>
          </w:p>
        </w:tc>
        <w:tc>
          <w:tcPr>
            <w:tcW w:w="1134" w:type="dxa"/>
            <w:vAlign w:val="center"/>
          </w:tcPr>
          <w:p w14:paraId="0F000AFF" w14:textId="77777777" w:rsidR="00252FB9" w:rsidRPr="00C25964" w:rsidRDefault="00252FB9" w:rsidP="00D05F26">
            <w:pPr>
              <w:spacing w:before="20" w:after="20"/>
              <w:jc w:val="right"/>
              <w:rPr>
                <w:noProof/>
                <w:sz w:val="18"/>
                <w:szCs w:val="18"/>
              </w:rPr>
            </w:pPr>
            <w:r w:rsidRPr="00C25964">
              <w:rPr>
                <w:noProof/>
                <w:sz w:val="18"/>
                <w:szCs w:val="18"/>
              </w:rPr>
              <w:t>0,500</w:t>
            </w:r>
          </w:p>
        </w:tc>
        <w:tc>
          <w:tcPr>
            <w:tcW w:w="992" w:type="dxa"/>
            <w:gridSpan w:val="2"/>
            <w:vAlign w:val="center"/>
          </w:tcPr>
          <w:p w14:paraId="0FB28D04" w14:textId="77777777" w:rsidR="00252FB9" w:rsidRPr="00C25964" w:rsidRDefault="00252FB9" w:rsidP="00D05F26">
            <w:pPr>
              <w:spacing w:before="20" w:after="20"/>
              <w:jc w:val="right"/>
              <w:rPr>
                <w:noProof/>
                <w:sz w:val="18"/>
                <w:szCs w:val="18"/>
              </w:rPr>
            </w:pPr>
          </w:p>
        </w:tc>
        <w:tc>
          <w:tcPr>
            <w:tcW w:w="993" w:type="dxa"/>
            <w:gridSpan w:val="2"/>
            <w:vAlign w:val="center"/>
          </w:tcPr>
          <w:p w14:paraId="4FD884A8" w14:textId="77777777" w:rsidR="00252FB9" w:rsidRPr="00C25964" w:rsidRDefault="00252FB9" w:rsidP="00D05F26">
            <w:pPr>
              <w:spacing w:before="20" w:after="20"/>
              <w:jc w:val="right"/>
              <w:rPr>
                <w:noProof/>
                <w:sz w:val="18"/>
                <w:szCs w:val="18"/>
              </w:rPr>
            </w:pPr>
          </w:p>
        </w:tc>
        <w:tc>
          <w:tcPr>
            <w:tcW w:w="850" w:type="dxa"/>
            <w:vAlign w:val="center"/>
          </w:tcPr>
          <w:p w14:paraId="4065EF55" w14:textId="77777777" w:rsidR="00252FB9" w:rsidRPr="00C25964" w:rsidRDefault="00252FB9" w:rsidP="00D05F26">
            <w:pPr>
              <w:spacing w:before="20" w:after="20"/>
              <w:jc w:val="right"/>
              <w:rPr>
                <w:noProof/>
                <w:sz w:val="18"/>
                <w:szCs w:val="18"/>
              </w:rPr>
            </w:pPr>
          </w:p>
        </w:tc>
        <w:tc>
          <w:tcPr>
            <w:tcW w:w="992" w:type="dxa"/>
            <w:gridSpan w:val="3"/>
            <w:vAlign w:val="center"/>
          </w:tcPr>
          <w:p w14:paraId="219B629A" w14:textId="77777777" w:rsidR="00252FB9" w:rsidRPr="00C25964" w:rsidRDefault="00252FB9" w:rsidP="00D05F26">
            <w:pPr>
              <w:spacing w:before="20" w:after="20"/>
              <w:jc w:val="right"/>
              <w:rPr>
                <w:noProof/>
                <w:sz w:val="18"/>
                <w:szCs w:val="18"/>
              </w:rPr>
            </w:pPr>
          </w:p>
        </w:tc>
        <w:tc>
          <w:tcPr>
            <w:tcW w:w="851" w:type="dxa"/>
            <w:vAlign w:val="center"/>
          </w:tcPr>
          <w:p w14:paraId="612275CD" w14:textId="77777777" w:rsidR="00252FB9" w:rsidRPr="00C25964" w:rsidRDefault="00252FB9" w:rsidP="00D05F26">
            <w:pPr>
              <w:spacing w:before="20" w:after="20"/>
              <w:jc w:val="right"/>
              <w:rPr>
                <w:b/>
                <w:noProof/>
                <w:sz w:val="18"/>
                <w:szCs w:val="18"/>
              </w:rPr>
            </w:pPr>
          </w:p>
        </w:tc>
        <w:tc>
          <w:tcPr>
            <w:tcW w:w="1356" w:type="dxa"/>
            <w:gridSpan w:val="2"/>
            <w:vAlign w:val="center"/>
          </w:tcPr>
          <w:p w14:paraId="020E1ABC" w14:textId="77777777" w:rsidR="00252FB9" w:rsidRPr="00C25964" w:rsidRDefault="00252FB9" w:rsidP="00D05F26">
            <w:pPr>
              <w:spacing w:before="20" w:after="20"/>
              <w:jc w:val="center"/>
              <w:rPr>
                <w:b/>
                <w:bCs/>
                <w:noProof/>
                <w:sz w:val="18"/>
                <w:szCs w:val="18"/>
              </w:rPr>
            </w:pPr>
            <w:r w:rsidRPr="00C25964">
              <w:rPr>
                <w:b/>
                <w:bCs/>
                <w:noProof/>
                <w:sz w:val="18"/>
                <w:szCs w:val="18"/>
              </w:rPr>
              <w:t>0,500</w:t>
            </w:r>
          </w:p>
        </w:tc>
      </w:tr>
      <w:tr w:rsidR="00252FB9" w:rsidRPr="00C25964" w14:paraId="08734247" w14:textId="77777777" w:rsidTr="00D05F26">
        <w:tc>
          <w:tcPr>
            <w:tcW w:w="3960" w:type="dxa"/>
            <w:vMerge/>
          </w:tcPr>
          <w:p w14:paraId="750EB9DD" w14:textId="77777777" w:rsidR="00252FB9" w:rsidRPr="00C25964" w:rsidRDefault="00252FB9" w:rsidP="00D05F26">
            <w:pPr>
              <w:jc w:val="center"/>
              <w:rPr>
                <w:noProof/>
                <w:sz w:val="20"/>
              </w:rPr>
            </w:pPr>
          </w:p>
        </w:tc>
        <w:tc>
          <w:tcPr>
            <w:tcW w:w="1440" w:type="dxa"/>
            <w:vAlign w:val="center"/>
          </w:tcPr>
          <w:p w14:paraId="50FD3750" w14:textId="77777777" w:rsidR="00252FB9" w:rsidRPr="00C25964" w:rsidRDefault="00252FB9" w:rsidP="00D05F26">
            <w:pPr>
              <w:spacing w:before="20" w:after="20"/>
              <w:rPr>
                <w:noProof/>
                <w:sz w:val="18"/>
                <w:szCs w:val="18"/>
              </w:rPr>
            </w:pPr>
            <w:r w:rsidRPr="00C25964">
              <w:rPr>
                <w:noProof/>
                <w:sz w:val="18"/>
                <w:szCs w:val="18"/>
              </w:rPr>
              <w:t>Betalningar</w:t>
            </w:r>
          </w:p>
        </w:tc>
        <w:tc>
          <w:tcPr>
            <w:tcW w:w="654" w:type="dxa"/>
            <w:gridSpan w:val="2"/>
            <w:vAlign w:val="center"/>
          </w:tcPr>
          <w:p w14:paraId="1D3FE4C9" w14:textId="77777777" w:rsidR="00252FB9" w:rsidRPr="00C25964" w:rsidRDefault="00252FB9" w:rsidP="00D05F26">
            <w:pPr>
              <w:spacing w:before="20" w:after="20"/>
              <w:jc w:val="center"/>
              <w:rPr>
                <w:noProof/>
                <w:sz w:val="14"/>
                <w:szCs w:val="14"/>
              </w:rPr>
            </w:pPr>
            <w:r w:rsidRPr="00C25964">
              <w:rPr>
                <w:noProof/>
                <w:sz w:val="14"/>
                <w:szCs w:val="14"/>
              </w:rPr>
              <w:t>(2c)</w:t>
            </w:r>
          </w:p>
        </w:tc>
        <w:tc>
          <w:tcPr>
            <w:tcW w:w="685" w:type="dxa"/>
            <w:vAlign w:val="center"/>
          </w:tcPr>
          <w:p w14:paraId="3738BC00" w14:textId="77777777" w:rsidR="00252FB9" w:rsidRPr="00C25964" w:rsidRDefault="00252FB9" w:rsidP="00D05F26">
            <w:pPr>
              <w:spacing w:before="20" w:after="20"/>
              <w:jc w:val="right"/>
              <w:rPr>
                <w:noProof/>
                <w:sz w:val="20"/>
              </w:rPr>
            </w:pPr>
          </w:p>
        </w:tc>
        <w:tc>
          <w:tcPr>
            <w:tcW w:w="1134" w:type="dxa"/>
            <w:vAlign w:val="center"/>
          </w:tcPr>
          <w:p w14:paraId="169122B2" w14:textId="77777777" w:rsidR="00252FB9" w:rsidRPr="00C25964" w:rsidRDefault="00252FB9" w:rsidP="00D05F26">
            <w:pPr>
              <w:spacing w:before="20" w:after="20"/>
              <w:jc w:val="right"/>
              <w:rPr>
                <w:noProof/>
                <w:sz w:val="18"/>
                <w:szCs w:val="18"/>
              </w:rPr>
            </w:pPr>
            <w:r w:rsidRPr="00C25964">
              <w:rPr>
                <w:noProof/>
                <w:sz w:val="18"/>
                <w:szCs w:val="18"/>
              </w:rPr>
              <w:t>0,275</w:t>
            </w:r>
          </w:p>
        </w:tc>
        <w:tc>
          <w:tcPr>
            <w:tcW w:w="992" w:type="dxa"/>
            <w:gridSpan w:val="2"/>
            <w:vAlign w:val="center"/>
          </w:tcPr>
          <w:p w14:paraId="58ECC035" w14:textId="77777777" w:rsidR="00252FB9" w:rsidRPr="00C25964" w:rsidRDefault="00252FB9" w:rsidP="00D05F26">
            <w:pPr>
              <w:spacing w:before="20" w:after="20"/>
              <w:jc w:val="right"/>
              <w:rPr>
                <w:noProof/>
                <w:sz w:val="18"/>
                <w:szCs w:val="18"/>
              </w:rPr>
            </w:pPr>
            <w:r w:rsidRPr="00C25964">
              <w:rPr>
                <w:noProof/>
                <w:sz w:val="18"/>
                <w:szCs w:val="18"/>
              </w:rPr>
              <w:t>0,130</w:t>
            </w:r>
          </w:p>
        </w:tc>
        <w:tc>
          <w:tcPr>
            <w:tcW w:w="993" w:type="dxa"/>
            <w:gridSpan w:val="2"/>
            <w:vAlign w:val="center"/>
          </w:tcPr>
          <w:p w14:paraId="0D969E47" w14:textId="77777777" w:rsidR="00252FB9" w:rsidRPr="00C25964" w:rsidRDefault="00252FB9" w:rsidP="00D05F26">
            <w:pPr>
              <w:spacing w:before="20" w:after="20"/>
              <w:jc w:val="right"/>
              <w:rPr>
                <w:noProof/>
                <w:sz w:val="18"/>
                <w:szCs w:val="18"/>
              </w:rPr>
            </w:pPr>
            <w:r w:rsidRPr="00C25964">
              <w:rPr>
                <w:noProof/>
                <w:sz w:val="18"/>
                <w:szCs w:val="18"/>
              </w:rPr>
              <w:t>0,054</w:t>
            </w:r>
          </w:p>
        </w:tc>
        <w:tc>
          <w:tcPr>
            <w:tcW w:w="850" w:type="dxa"/>
            <w:vAlign w:val="center"/>
          </w:tcPr>
          <w:p w14:paraId="6642C848" w14:textId="77777777" w:rsidR="00252FB9" w:rsidRPr="00C25964" w:rsidRDefault="00252FB9" w:rsidP="00D05F26">
            <w:pPr>
              <w:spacing w:before="20" w:after="20"/>
              <w:jc w:val="right"/>
              <w:rPr>
                <w:noProof/>
                <w:sz w:val="18"/>
                <w:szCs w:val="18"/>
              </w:rPr>
            </w:pPr>
            <w:r w:rsidRPr="00C25964">
              <w:rPr>
                <w:noProof/>
                <w:sz w:val="18"/>
                <w:szCs w:val="18"/>
              </w:rPr>
              <w:t>0,041</w:t>
            </w:r>
          </w:p>
        </w:tc>
        <w:tc>
          <w:tcPr>
            <w:tcW w:w="992" w:type="dxa"/>
            <w:gridSpan w:val="3"/>
            <w:vAlign w:val="center"/>
          </w:tcPr>
          <w:p w14:paraId="2B0A5EBB" w14:textId="77777777" w:rsidR="00252FB9" w:rsidRPr="00C25964" w:rsidRDefault="00252FB9" w:rsidP="00D05F26">
            <w:pPr>
              <w:spacing w:before="20" w:after="20"/>
              <w:jc w:val="right"/>
              <w:rPr>
                <w:noProof/>
                <w:sz w:val="18"/>
                <w:szCs w:val="18"/>
              </w:rPr>
            </w:pPr>
          </w:p>
        </w:tc>
        <w:tc>
          <w:tcPr>
            <w:tcW w:w="851" w:type="dxa"/>
            <w:vAlign w:val="center"/>
          </w:tcPr>
          <w:p w14:paraId="47E0E6FA" w14:textId="77777777" w:rsidR="00252FB9" w:rsidRPr="00C25964" w:rsidRDefault="00252FB9" w:rsidP="00D05F26">
            <w:pPr>
              <w:spacing w:before="20" w:after="20"/>
              <w:jc w:val="right"/>
              <w:rPr>
                <w:b/>
                <w:noProof/>
                <w:sz w:val="18"/>
                <w:szCs w:val="18"/>
              </w:rPr>
            </w:pPr>
          </w:p>
        </w:tc>
        <w:tc>
          <w:tcPr>
            <w:tcW w:w="1356" w:type="dxa"/>
            <w:gridSpan w:val="2"/>
            <w:vAlign w:val="center"/>
          </w:tcPr>
          <w:p w14:paraId="1A09E3C2" w14:textId="77777777" w:rsidR="00252FB9" w:rsidRPr="00C25964" w:rsidRDefault="00252FB9" w:rsidP="00D05F26">
            <w:pPr>
              <w:spacing w:before="20" w:after="20"/>
              <w:jc w:val="center"/>
              <w:rPr>
                <w:b/>
                <w:bCs/>
                <w:noProof/>
                <w:sz w:val="18"/>
                <w:szCs w:val="18"/>
              </w:rPr>
            </w:pPr>
            <w:r w:rsidRPr="00C25964">
              <w:rPr>
                <w:b/>
                <w:bCs/>
                <w:noProof/>
                <w:sz w:val="18"/>
                <w:szCs w:val="18"/>
              </w:rPr>
              <w:t>0,500</w:t>
            </w:r>
          </w:p>
        </w:tc>
      </w:tr>
    </w:tbl>
    <w:p w14:paraId="48C24521" w14:textId="007860B2" w:rsidR="00252FB9" w:rsidRPr="00C25964" w:rsidRDefault="00252FB9" w:rsidP="00252FB9">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543"/>
        <w:gridCol w:w="1193"/>
        <w:gridCol w:w="868"/>
        <w:gridCol w:w="868"/>
        <w:gridCol w:w="868"/>
        <w:gridCol w:w="868"/>
        <w:gridCol w:w="868"/>
        <w:gridCol w:w="1777"/>
      </w:tblGrid>
      <w:tr w:rsidR="00252FB9" w:rsidRPr="00C25964" w14:paraId="33EF3CA1" w14:textId="77777777" w:rsidTr="00D05F26">
        <w:trPr>
          <w:trHeight w:val="277"/>
        </w:trPr>
        <w:tc>
          <w:tcPr>
            <w:tcW w:w="3960" w:type="dxa"/>
            <w:vMerge w:val="restart"/>
            <w:vAlign w:val="center"/>
          </w:tcPr>
          <w:p w14:paraId="5FE2EAB0" w14:textId="77777777" w:rsidR="00252FB9" w:rsidRPr="00C25964" w:rsidRDefault="00252FB9" w:rsidP="00D05F26">
            <w:pPr>
              <w:spacing w:before="20" w:after="20"/>
              <w:rPr>
                <w:noProof/>
              </w:rPr>
            </w:pPr>
            <w:r w:rsidRPr="00C25964">
              <w:rPr>
                <w:noProof/>
              </w:rPr>
              <w:br w:type="page"/>
            </w:r>
            <w:r w:rsidRPr="00C25964">
              <w:rPr>
                <w:noProof/>
                <w:sz w:val="21"/>
              </w:rPr>
              <w:sym w:font="Wingdings" w:char="F09F"/>
            </w:r>
            <w:r w:rsidRPr="00C25964">
              <w:rPr>
                <w:noProof/>
                <w:sz w:val="21"/>
              </w:rPr>
              <w:t xml:space="preserve"> TOTALA driftsanslag </w:t>
            </w:r>
          </w:p>
        </w:tc>
        <w:tc>
          <w:tcPr>
            <w:tcW w:w="1440" w:type="dxa"/>
            <w:vAlign w:val="center"/>
          </w:tcPr>
          <w:p w14:paraId="1F524AC4" w14:textId="77777777" w:rsidR="00252FB9" w:rsidRPr="00C25964" w:rsidRDefault="00252FB9" w:rsidP="00D05F26">
            <w:pPr>
              <w:spacing w:beforeLines="20" w:before="48" w:afterLines="20" w:after="48"/>
              <w:rPr>
                <w:noProof/>
                <w:sz w:val="18"/>
              </w:rPr>
            </w:pPr>
            <w:r w:rsidRPr="00C25964">
              <w:rPr>
                <w:noProof/>
                <w:sz w:val="18"/>
              </w:rPr>
              <w:t>Åtaganden</w:t>
            </w:r>
          </w:p>
        </w:tc>
        <w:tc>
          <w:tcPr>
            <w:tcW w:w="654" w:type="dxa"/>
            <w:vAlign w:val="center"/>
          </w:tcPr>
          <w:p w14:paraId="330AF91A" w14:textId="77777777" w:rsidR="00252FB9" w:rsidRPr="00C25964" w:rsidRDefault="00252FB9" w:rsidP="00D05F26">
            <w:pPr>
              <w:spacing w:beforeLines="20" w:before="48" w:afterLines="20" w:after="48"/>
              <w:jc w:val="center"/>
              <w:rPr>
                <w:noProof/>
                <w:sz w:val="14"/>
              </w:rPr>
            </w:pPr>
            <w:r w:rsidRPr="00C25964">
              <w:rPr>
                <w:noProof/>
                <w:sz w:val="14"/>
              </w:rPr>
              <w:t>1a+1b+1c</w:t>
            </w:r>
          </w:p>
        </w:tc>
        <w:tc>
          <w:tcPr>
            <w:tcW w:w="543" w:type="dxa"/>
            <w:vAlign w:val="center"/>
          </w:tcPr>
          <w:p w14:paraId="47032141" w14:textId="77777777" w:rsidR="00252FB9" w:rsidRPr="00C25964" w:rsidRDefault="00252FB9" w:rsidP="00D05F26">
            <w:pPr>
              <w:spacing w:before="20" w:after="20"/>
              <w:jc w:val="right"/>
              <w:rPr>
                <w:noProof/>
                <w:sz w:val="20"/>
              </w:rPr>
            </w:pPr>
          </w:p>
        </w:tc>
        <w:tc>
          <w:tcPr>
            <w:tcW w:w="1193" w:type="dxa"/>
            <w:vAlign w:val="center"/>
          </w:tcPr>
          <w:p w14:paraId="5E1F870A" w14:textId="77777777" w:rsidR="00252FB9" w:rsidRPr="00C25964" w:rsidRDefault="00252FB9" w:rsidP="00D05F26">
            <w:pPr>
              <w:spacing w:before="20" w:after="20"/>
              <w:jc w:val="right"/>
              <w:rPr>
                <w:b/>
                <w:bCs/>
                <w:noProof/>
                <w:sz w:val="18"/>
                <w:szCs w:val="18"/>
              </w:rPr>
            </w:pPr>
            <w:r w:rsidRPr="00C25964">
              <w:rPr>
                <w:b/>
                <w:bCs/>
                <w:noProof/>
                <w:sz w:val="18"/>
                <w:szCs w:val="18"/>
              </w:rPr>
              <w:t>8,000</w:t>
            </w:r>
          </w:p>
        </w:tc>
        <w:tc>
          <w:tcPr>
            <w:tcW w:w="868" w:type="dxa"/>
            <w:vAlign w:val="center"/>
          </w:tcPr>
          <w:p w14:paraId="7A8C6EF5" w14:textId="77777777" w:rsidR="00252FB9" w:rsidRPr="00C25964" w:rsidRDefault="00252FB9" w:rsidP="00D05F26">
            <w:pPr>
              <w:spacing w:before="20" w:after="20"/>
              <w:jc w:val="right"/>
              <w:rPr>
                <w:b/>
                <w:bCs/>
                <w:noProof/>
                <w:sz w:val="18"/>
                <w:szCs w:val="18"/>
              </w:rPr>
            </w:pPr>
            <w:r w:rsidRPr="00C25964">
              <w:rPr>
                <w:b/>
                <w:bCs/>
                <w:noProof/>
                <w:sz w:val="18"/>
                <w:szCs w:val="18"/>
              </w:rPr>
              <w:t>0,500</w:t>
            </w:r>
          </w:p>
        </w:tc>
        <w:tc>
          <w:tcPr>
            <w:tcW w:w="868" w:type="dxa"/>
            <w:vAlign w:val="center"/>
          </w:tcPr>
          <w:p w14:paraId="7889B585" w14:textId="77777777" w:rsidR="00252FB9" w:rsidRPr="00C25964" w:rsidRDefault="00252FB9" w:rsidP="00D05F26">
            <w:pPr>
              <w:spacing w:before="20" w:after="20"/>
              <w:jc w:val="right"/>
              <w:rPr>
                <w:b/>
                <w:noProof/>
                <w:sz w:val="18"/>
                <w:szCs w:val="18"/>
              </w:rPr>
            </w:pPr>
          </w:p>
        </w:tc>
        <w:tc>
          <w:tcPr>
            <w:tcW w:w="868" w:type="dxa"/>
            <w:vAlign w:val="center"/>
          </w:tcPr>
          <w:p w14:paraId="5605ADB8" w14:textId="77777777" w:rsidR="00252FB9" w:rsidRPr="00C25964" w:rsidRDefault="00252FB9" w:rsidP="00D05F26">
            <w:pPr>
              <w:spacing w:before="20" w:after="20"/>
              <w:jc w:val="right"/>
              <w:rPr>
                <w:b/>
                <w:noProof/>
                <w:sz w:val="18"/>
                <w:szCs w:val="18"/>
              </w:rPr>
            </w:pPr>
          </w:p>
        </w:tc>
        <w:tc>
          <w:tcPr>
            <w:tcW w:w="868" w:type="dxa"/>
            <w:vAlign w:val="center"/>
          </w:tcPr>
          <w:p w14:paraId="32E6562B" w14:textId="77777777" w:rsidR="00252FB9" w:rsidRPr="00C25964" w:rsidRDefault="00252FB9" w:rsidP="00D05F26">
            <w:pPr>
              <w:spacing w:before="20" w:after="20"/>
              <w:jc w:val="right"/>
              <w:rPr>
                <w:b/>
                <w:noProof/>
                <w:sz w:val="18"/>
                <w:szCs w:val="18"/>
              </w:rPr>
            </w:pPr>
          </w:p>
        </w:tc>
        <w:tc>
          <w:tcPr>
            <w:tcW w:w="868" w:type="dxa"/>
            <w:vAlign w:val="center"/>
          </w:tcPr>
          <w:p w14:paraId="49847FCB" w14:textId="77777777" w:rsidR="00252FB9" w:rsidRPr="00C25964" w:rsidRDefault="00252FB9" w:rsidP="00D05F26">
            <w:pPr>
              <w:spacing w:before="20" w:after="20"/>
              <w:jc w:val="right"/>
              <w:rPr>
                <w:b/>
                <w:noProof/>
                <w:sz w:val="18"/>
                <w:szCs w:val="18"/>
              </w:rPr>
            </w:pPr>
          </w:p>
        </w:tc>
        <w:tc>
          <w:tcPr>
            <w:tcW w:w="1777" w:type="dxa"/>
            <w:vAlign w:val="center"/>
          </w:tcPr>
          <w:p w14:paraId="7B277638" w14:textId="77777777" w:rsidR="00252FB9" w:rsidRPr="00C25964" w:rsidRDefault="00252FB9" w:rsidP="00D05F26">
            <w:pPr>
              <w:spacing w:before="20" w:after="20"/>
              <w:jc w:val="right"/>
              <w:rPr>
                <w:b/>
                <w:noProof/>
                <w:sz w:val="18"/>
                <w:szCs w:val="18"/>
              </w:rPr>
            </w:pPr>
            <w:r w:rsidRPr="00C25964">
              <w:rPr>
                <w:b/>
                <w:noProof/>
                <w:sz w:val="18"/>
                <w:szCs w:val="18"/>
              </w:rPr>
              <w:t>8,500</w:t>
            </w:r>
          </w:p>
        </w:tc>
      </w:tr>
      <w:tr w:rsidR="00252FB9" w:rsidRPr="00C25964" w14:paraId="1AE7C5EC" w14:textId="77777777" w:rsidTr="00D05F26">
        <w:tc>
          <w:tcPr>
            <w:tcW w:w="3960" w:type="dxa"/>
            <w:vMerge/>
          </w:tcPr>
          <w:p w14:paraId="7BF5B0BF" w14:textId="77777777" w:rsidR="00252FB9" w:rsidRPr="00C25964" w:rsidRDefault="00252FB9" w:rsidP="00D05F26">
            <w:pPr>
              <w:jc w:val="center"/>
              <w:rPr>
                <w:noProof/>
                <w:sz w:val="20"/>
              </w:rPr>
            </w:pPr>
          </w:p>
        </w:tc>
        <w:tc>
          <w:tcPr>
            <w:tcW w:w="1440" w:type="dxa"/>
            <w:vAlign w:val="center"/>
          </w:tcPr>
          <w:p w14:paraId="1B8A7B70" w14:textId="77777777" w:rsidR="00252FB9" w:rsidRPr="00C25964" w:rsidRDefault="00252FB9" w:rsidP="00D05F26">
            <w:pPr>
              <w:spacing w:beforeLines="20" w:before="48" w:afterLines="20" w:after="48"/>
              <w:rPr>
                <w:noProof/>
                <w:sz w:val="18"/>
              </w:rPr>
            </w:pPr>
            <w:r w:rsidRPr="00C25964">
              <w:rPr>
                <w:noProof/>
                <w:sz w:val="18"/>
              </w:rPr>
              <w:t>Betalningar</w:t>
            </w:r>
          </w:p>
        </w:tc>
        <w:tc>
          <w:tcPr>
            <w:tcW w:w="654" w:type="dxa"/>
            <w:vAlign w:val="center"/>
          </w:tcPr>
          <w:p w14:paraId="2AAE2878" w14:textId="77777777" w:rsidR="00252FB9" w:rsidRPr="00C25964" w:rsidRDefault="00252FB9" w:rsidP="00D05F26">
            <w:pPr>
              <w:spacing w:beforeLines="20" w:before="48" w:afterLines="20" w:after="48"/>
              <w:rPr>
                <w:noProof/>
                <w:sz w:val="14"/>
              </w:rPr>
            </w:pPr>
            <w:r w:rsidRPr="00C25964">
              <w:rPr>
                <w:noProof/>
                <w:sz w:val="14"/>
              </w:rPr>
              <w:t>2a+2b</w:t>
            </w:r>
          </w:p>
          <w:p w14:paraId="76534095" w14:textId="77777777" w:rsidR="00252FB9" w:rsidRPr="00C25964" w:rsidRDefault="00252FB9" w:rsidP="00D05F26">
            <w:pPr>
              <w:spacing w:beforeLines="20" w:before="48" w:afterLines="20" w:after="48"/>
              <w:jc w:val="center"/>
              <w:rPr>
                <w:noProof/>
                <w:sz w:val="14"/>
              </w:rPr>
            </w:pPr>
            <w:r w:rsidRPr="00C25964">
              <w:rPr>
                <w:noProof/>
                <w:sz w:val="14"/>
              </w:rPr>
              <w:t>+2</w:t>
            </w:r>
          </w:p>
        </w:tc>
        <w:tc>
          <w:tcPr>
            <w:tcW w:w="543" w:type="dxa"/>
            <w:vAlign w:val="center"/>
          </w:tcPr>
          <w:p w14:paraId="72E18EC9" w14:textId="77777777" w:rsidR="00252FB9" w:rsidRPr="00C25964" w:rsidRDefault="00252FB9" w:rsidP="00D05F26">
            <w:pPr>
              <w:spacing w:before="20" w:after="20"/>
              <w:jc w:val="right"/>
              <w:rPr>
                <w:noProof/>
                <w:sz w:val="20"/>
              </w:rPr>
            </w:pPr>
          </w:p>
        </w:tc>
        <w:tc>
          <w:tcPr>
            <w:tcW w:w="1193" w:type="dxa"/>
            <w:vAlign w:val="center"/>
          </w:tcPr>
          <w:p w14:paraId="522F9C32" w14:textId="77777777" w:rsidR="00252FB9" w:rsidRPr="00C25964" w:rsidRDefault="00252FB9" w:rsidP="00D05F26">
            <w:pPr>
              <w:spacing w:before="20" w:after="20"/>
              <w:jc w:val="right"/>
              <w:rPr>
                <w:b/>
                <w:noProof/>
                <w:sz w:val="18"/>
                <w:szCs w:val="18"/>
              </w:rPr>
            </w:pPr>
            <w:r w:rsidRPr="00C25964">
              <w:rPr>
                <w:b/>
                <w:noProof/>
                <w:sz w:val="18"/>
                <w:szCs w:val="18"/>
              </w:rPr>
              <w:t>4,436</w:t>
            </w:r>
          </w:p>
        </w:tc>
        <w:tc>
          <w:tcPr>
            <w:tcW w:w="868" w:type="dxa"/>
            <w:vAlign w:val="center"/>
          </w:tcPr>
          <w:p w14:paraId="078808A7" w14:textId="77777777" w:rsidR="00252FB9" w:rsidRPr="00C25964" w:rsidRDefault="00252FB9" w:rsidP="00D05F26">
            <w:pPr>
              <w:spacing w:before="20" w:after="20"/>
              <w:jc w:val="right"/>
              <w:rPr>
                <w:b/>
                <w:noProof/>
                <w:sz w:val="16"/>
                <w:szCs w:val="16"/>
              </w:rPr>
            </w:pPr>
            <w:r w:rsidRPr="00C25964">
              <w:rPr>
                <w:b/>
                <w:noProof/>
                <w:sz w:val="16"/>
                <w:szCs w:val="16"/>
              </w:rPr>
              <w:t>2,048</w:t>
            </w:r>
          </w:p>
        </w:tc>
        <w:tc>
          <w:tcPr>
            <w:tcW w:w="868" w:type="dxa"/>
            <w:vAlign w:val="center"/>
          </w:tcPr>
          <w:p w14:paraId="08C0A405" w14:textId="77777777" w:rsidR="00252FB9" w:rsidRPr="00C25964" w:rsidRDefault="00252FB9" w:rsidP="00D05F26">
            <w:pPr>
              <w:spacing w:before="20" w:after="20"/>
              <w:jc w:val="right"/>
              <w:rPr>
                <w:b/>
                <w:noProof/>
                <w:sz w:val="16"/>
                <w:szCs w:val="16"/>
              </w:rPr>
            </w:pPr>
            <w:r w:rsidRPr="00C25964">
              <w:rPr>
                <w:b/>
                <w:noProof/>
                <w:sz w:val="16"/>
                <w:szCs w:val="16"/>
              </w:rPr>
              <w:t>1,387</w:t>
            </w:r>
          </w:p>
        </w:tc>
        <w:tc>
          <w:tcPr>
            <w:tcW w:w="868" w:type="dxa"/>
            <w:vAlign w:val="center"/>
          </w:tcPr>
          <w:p w14:paraId="616113E1" w14:textId="77777777" w:rsidR="00252FB9" w:rsidRPr="00C25964" w:rsidRDefault="00252FB9" w:rsidP="00D05F26">
            <w:pPr>
              <w:spacing w:before="20" w:after="20"/>
              <w:jc w:val="right"/>
              <w:rPr>
                <w:b/>
                <w:bCs/>
                <w:noProof/>
                <w:sz w:val="16"/>
                <w:szCs w:val="16"/>
              </w:rPr>
            </w:pPr>
            <w:r w:rsidRPr="00C25964">
              <w:rPr>
                <w:b/>
                <w:bCs/>
                <w:noProof/>
                <w:sz w:val="16"/>
                <w:szCs w:val="16"/>
              </w:rPr>
              <w:t>0,378</w:t>
            </w:r>
          </w:p>
        </w:tc>
        <w:tc>
          <w:tcPr>
            <w:tcW w:w="868" w:type="dxa"/>
            <w:vAlign w:val="center"/>
          </w:tcPr>
          <w:p w14:paraId="64448430" w14:textId="77777777" w:rsidR="00252FB9" w:rsidRPr="00C25964" w:rsidRDefault="00252FB9" w:rsidP="00D05F26">
            <w:pPr>
              <w:spacing w:before="20" w:after="20"/>
              <w:jc w:val="right"/>
              <w:rPr>
                <w:b/>
                <w:bCs/>
                <w:noProof/>
                <w:sz w:val="16"/>
                <w:szCs w:val="16"/>
              </w:rPr>
            </w:pPr>
            <w:r w:rsidRPr="00C25964">
              <w:rPr>
                <w:b/>
                <w:bCs/>
                <w:noProof/>
                <w:sz w:val="16"/>
                <w:szCs w:val="16"/>
              </w:rPr>
              <w:t>0,251</w:t>
            </w:r>
          </w:p>
        </w:tc>
        <w:tc>
          <w:tcPr>
            <w:tcW w:w="868" w:type="dxa"/>
            <w:vAlign w:val="center"/>
          </w:tcPr>
          <w:p w14:paraId="33902365" w14:textId="77777777" w:rsidR="00252FB9" w:rsidRPr="00C25964" w:rsidRDefault="00252FB9" w:rsidP="00D05F26">
            <w:pPr>
              <w:spacing w:before="20" w:after="20"/>
              <w:jc w:val="right"/>
              <w:rPr>
                <w:b/>
                <w:noProof/>
                <w:sz w:val="18"/>
                <w:szCs w:val="18"/>
              </w:rPr>
            </w:pPr>
          </w:p>
        </w:tc>
        <w:tc>
          <w:tcPr>
            <w:tcW w:w="1777" w:type="dxa"/>
            <w:vAlign w:val="center"/>
          </w:tcPr>
          <w:p w14:paraId="3BAA9A21" w14:textId="77777777" w:rsidR="00252FB9" w:rsidRPr="00C25964" w:rsidRDefault="00252FB9" w:rsidP="00D05F26">
            <w:pPr>
              <w:spacing w:before="20" w:after="20"/>
              <w:jc w:val="right"/>
              <w:rPr>
                <w:b/>
                <w:noProof/>
                <w:sz w:val="18"/>
                <w:szCs w:val="18"/>
              </w:rPr>
            </w:pPr>
            <w:r w:rsidRPr="00C25964">
              <w:rPr>
                <w:b/>
                <w:noProof/>
                <w:sz w:val="18"/>
                <w:szCs w:val="18"/>
              </w:rPr>
              <w:t>8,500</w:t>
            </w:r>
          </w:p>
        </w:tc>
      </w:tr>
    </w:tbl>
    <w:p w14:paraId="48A0B1B8" w14:textId="77777777" w:rsidR="00252FB9" w:rsidRPr="00C25964" w:rsidRDefault="00252FB9" w:rsidP="00252FB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685"/>
        <w:gridCol w:w="1134"/>
        <w:gridCol w:w="981"/>
        <w:gridCol w:w="11"/>
        <w:gridCol w:w="979"/>
        <w:gridCol w:w="14"/>
        <w:gridCol w:w="850"/>
        <w:gridCol w:w="6"/>
        <w:gridCol w:w="955"/>
        <w:gridCol w:w="31"/>
        <w:gridCol w:w="851"/>
        <w:gridCol w:w="61"/>
        <w:gridCol w:w="1295"/>
      </w:tblGrid>
      <w:tr w:rsidR="00252FB9" w:rsidRPr="00C25964" w14:paraId="454D67D4" w14:textId="77777777" w:rsidTr="00D05F26">
        <w:trPr>
          <w:trHeight w:val="231"/>
        </w:trPr>
        <w:tc>
          <w:tcPr>
            <w:tcW w:w="6054" w:type="dxa"/>
            <w:gridSpan w:val="3"/>
            <w:vAlign w:val="center"/>
          </w:tcPr>
          <w:p w14:paraId="57CEC884" w14:textId="77777777" w:rsidR="00252FB9" w:rsidRPr="00C25964" w:rsidRDefault="00252FB9" w:rsidP="00766970">
            <w:pPr>
              <w:pStyle w:val="ListParagraph"/>
              <w:numPr>
                <w:ilvl w:val="0"/>
                <w:numId w:val="15"/>
              </w:numPr>
              <w:spacing w:before="20" w:after="20"/>
              <w:rPr>
                <w:noProof/>
              </w:rPr>
            </w:pPr>
            <w:r w:rsidRPr="00C25964">
              <w:rPr>
                <w:noProof/>
                <w:sz w:val="21"/>
                <w:szCs w:val="21"/>
              </w:rPr>
              <w:t xml:space="preserve">Anslag av administrativ karaktär som finansieras genom ramanslagen för särskilda operativa program </w:t>
            </w:r>
          </w:p>
          <w:p w14:paraId="32EF66A4" w14:textId="77777777" w:rsidR="00252FB9" w:rsidRPr="00C25964" w:rsidRDefault="00252FB9" w:rsidP="00D05F26">
            <w:pPr>
              <w:spacing w:before="0" w:after="0"/>
              <w:rPr>
                <w:noProof/>
              </w:rPr>
            </w:pPr>
          </w:p>
        </w:tc>
        <w:tc>
          <w:tcPr>
            <w:tcW w:w="685" w:type="dxa"/>
            <w:vAlign w:val="center"/>
          </w:tcPr>
          <w:p w14:paraId="254170A1" w14:textId="77777777" w:rsidR="00252FB9" w:rsidRPr="00C25964" w:rsidRDefault="00252FB9" w:rsidP="00D05F26">
            <w:pPr>
              <w:rPr>
                <w:b/>
                <w:noProof/>
                <w:sz w:val="20"/>
              </w:rPr>
            </w:pPr>
          </w:p>
        </w:tc>
        <w:tc>
          <w:tcPr>
            <w:tcW w:w="1134" w:type="dxa"/>
            <w:vAlign w:val="center"/>
          </w:tcPr>
          <w:p w14:paraId="5A8A9C2A" w14:textId="77777777" w:rsidR="00252FB9" w:rsidRPr="00C25964" w:rsidRDefault="00252FB9" w:rsidP="00D05F26">
            <w:pPr>
              <w:rPr>
                <w:b/>
                <w:noProof/>
                <w:sz w:val="20"/>
              </w:rPr>
            </w:pPr>
          </w:p>
        </w:tc>
        <w:tc>
          <w:tcPr>
            <w:tcW w:w="981" w:type="dxa"/>
            <w:vAlign w:val="center"/>
          </w:tcPr>
          <w:p w14:paraId="1295E2A2" w14:textId="77777777" w:rsidR="00252FB9" w:rsidRPr="00C25964" w:rsidRDefault="00252FB9" w:rsidP="00D05F26">
            <w:pPr>
              <w:rPr>
                <w:b/>
                <w:noProof/>
                <w:sz w:val="20"/>
              </w:rPr>
            </w:pPr>
          </w:p>
        </w:tc>
        <w:tc>
          <w:tcPr>
            <w:tcW w:w="990" w:type="dxa"/>
            <w:gridSpan w:val="2"/>
            <w:vAlign w:val="center"/>
          </w:tcPr>
          <w:p w14:paraId="1B241F7F" w14:textId="77777777" w:rsidR="00252FB9" w:rsidRPr="00C25964" w:rsidRDefault="00252FB9" w:rsidP="00D05F26">
            <w:pPr>
              <w:rPr>
                <w:b/>
                <w:noProof/>
                <w:sz w:val="20"/>
              </w:rPr>
            </w:pPr>
          </w:p>
        </w:tc>
        <w:tc>
          <w:tcPr>
            <w:tcW w:w="870" w:type="dxa"/>
            <w:gridSpan w:val="3"/>
            <w:vAlign w:val="center"/>
          </w:tcPr>
          <w:p w14:paraId="53D8F8EB" w14:textId="77777777" w:rsidR="00252FB9" w:rsidRPr="00C25964" w:rsidRDefault="00252FB9" w:rsidP="00D05F26">
            <w:pPr>
              <w:rPr>
                <w:b/>
                <w:noProof/>
                <w:sz w:val="20"/>
              </w:rPr>
            </w:pPr>
          </w:p>
        </w:tc>
        <w:tc>
          <w:tcPr>
            <w:tcW w:w="955" w:type="dxa"/>
            <w:vAlign w:val="center"/>
          </w:tcPr>
          <w:p w14:paraId="45D22889" w14:textId="77777777" w:rsidR="00252FB9" w:rsidRPr="00C25964" w:rsidRDefault="00252FB9" w:rsidP="00D05F26">
            <w:pPr>
              <w:rPr>
                <w:b/>
                <w:noProof/>
                <w:sz w:val="20"/>
              </w:rPr>
            </w:pPr>
          </w:p>
        </w:tc>
        <w:tc>
          <w:tcPr>
            <w:tcW w:w="943" w:type="dxa"/>
            <w:gridSpan w:val="3"/>
            <w:vAlign w:val="center"/>
          </w:tcPr>
          <w:p w14:paraId="2A69EF74" w14:textId="77777777" w:rsidR="00252FB9" w:rsidRPr="00C25964" w:rsidRDefault="00252FB9" w:rsidP="00D05F26">
            <w:pPr>
              <w:rPr>
                <w:b/>
                <w:noProof/>
                <w:sz w:val="20"/>
              </w:rPr>
            </w:pPr>
          </w:p>
        </w:tc>
        <w:tc>
          <w:tcPr>
            <w:tcW w:w="1295" w:type="dxa"/>
            <w:vAlign w:val="center"/>
          </w:tcPr>
          <w:p w14:paraId="3D140D42" w14:textId="77777777" w:rsidR="00252FB9" w:rsidRPr="00C25964" w:rsidRDefault="00252FB9" w:rsidP="00D05F26">
            <w:pPr>
              <w:rPr>
                <w:b/>
                <w:noProof/>
                <w:sz w:val="20"/>
              </w:rPr>
            </w:pPr>
          </w:p>
        </w:tc>
      </w:tr>
      <w:tr w:rsidR="00252FB9" w:rsidRPr="00C25964" w14:paraId="055A0A59" w14:textId="77777777" w:rsidTr="00D05F26">
        <w:trPr>
          <w:trHeight w:val="319"/>
        </w:trPr>
        <w:tc>
          <w:tcPr>
            <w:tcW w:w="3960" w:type="dxa"/>
            <w:vAlign w:val="center"/>
          </w:tcPr>
          <w:p w14:paraId="45951B76" w14:textId="77777777" w:rsidR="00252FB9" w:rsidRPr="00C25964" w:rsidRDefault="00252FB9" w:rsidP="00D05F26">
            <w:pPr>
              <w:spacing w:before="60" w:after="60"/>
              <w:rPr>
                <w:noProof/>
              </w:rPr>
            </w:pPr>
            <w:r w:rsidRPr="00C25964">
              <w:rPr>
                <w:noProof/>
                <w:sz w:val="20"/>
              </w:rPr>
              <w:t xml:space="preserve">Budgetpost 07 01 02 01 </w:t>
            </w:r>
          </w:p>
        </w:tc>
        <w:tc>
          <w:tcPr>
            <w:tcW w:w="1440" w:type="dxa"/>
            <w:vAlign w:val="center"/>
          </w:tcPr>
          <w:p w14:paraId="044B69D8" w14:textId="77777777" w:rsidR="00252FB9" w:rsidRPr="00C25964" w:rsidRDefault="00252FB9" w:rsidP="00D05F26">
            <w:pPr>
              <w:spacing w:before="40" w:after="40"/>
              <w:jc w:val="right"/>
              <w:rPr>
                <w:noProof/>
                <w:sz w:val="18"/>
              </w:rPr>
            </w:pPr>
            <w:r w:rsidRPr="00C25964">
              <w:rPr>
                <w:noProof/>
                <w:sz w:val="18"/>
              </w:rPr>
              <w:t>Åtaganden / Betalningar</w:t>
            </w:r>
          </w:p>
        </w:tc>
        <w:tc>
          <w:tcPr>
            <w:tcW w:w="654" w:type="dxa"/>
            <w:vAlign w:val="center"/>
          </w:tcPr>
          <w:p w14:paraId="5C282D21" w14:textId="77777777" w:rsidR="00252FB9" w:rsidRPr="00C25964" w:rsidRDefault="00252FB9" w:rsidP="00D05F26">
            <w:pPr>
              <w:spacing w:before="40" w:after="40"/>
              <w:jc w:val="center"/>
              <w:rPr>
                <w:noProof/>
                <w:sz w:val="14"/>
              </w:rPr>
            </w:pPr>
            <w:r w:rsidRPr="00C25964">
              <w:rPr>
                <w:noProof/>
                <w:sz w:val="14"/>
              </w:rPr>
              <w:t>(3)</w:t>
            </w:r>
          </w:p>
        </w:tc>
        <w:tc>
          <w:tcPr>
            <w:tcW w:w="685" w:type="dxa"/>
            <w:vAlign w:val="center"/>
          </w:tcPr>
          <w:p w14:paraId="0C582488" w14:textId="77777777" w:rsidR="00252FB9" w:rsidRPr="00C25964" w:rsidRDefault="00252FB9" w:rsidP="00D05F26">
            <w:pPr>
              <w:spacing w:before="40" w:after="40"/>
              <w:jc w:val="right"/>
              <w:rPr>
                <w:b/>
                <w:noProof/>
                <w:sz w:val="20"/>
              </w:rPr>
            </w:pPr>
          </w:p>
        </w:tc>
        <w:tc>
          <w:tcPr>
            <w:tcW w:w="1134" w:type="dxa"/>
            <w:vAlign w:val="center"/>
          </w:tcPr>
          <w:p w14:paraId="2C7E2B35" w14:textId="77777777" w:rsidR="00252FB9" w:rsidRPr="00C25964" w:rsidRDefault="00252FB9" w:rsidP="00D05F26">
            <w:pPr>
              <w:spacing w:before="40" w:after="40"/>
              <w:jc w:val="right"/>
              <w:rPr>
                <w:noProof/>
                <w:sz w:val="18"/>
                <w:szCs w:val="18"/>
              </w:rPr>
            </w:pPr>
            <w:r w:rsidRPr="00C25964">
              <w:rPr>
                <w:noProof/>
                <w:sz w:val="18"/>
                <w:szCs w:val="18"/>
              </w:rPr>
              <w:t>0,200</w:t>
            </w:r>
          </w:p>
        </w:tc>
        <w:tc>
          <w:tcPr>
            <w:tcW w:w="981" w:type="dxa"/>
            <w:vAlign w:val="center"/>
          </w:tcPr>
          <w:p w14:paraId="7F4C53C3" w14:textId="77777777" w:rsidR="00252FB9" w:rsidRPr="00C25964" w:rsidRDefault="00252FB9" w:rsidP="00D05F26">
            <w:pPr>
              <w:spacing w:before="40" w:after="40"/>
              <w:jc w:val="right"/>
              <w:rPr>
                <w:noProof/>
                <w:sz w:val="18"/>
                <w:szCs w:val="18"/>
              </w:rPr>
            </w:pPr>
            <w:r w:rsidRPr="00C25964">
              <w:rPr>
                <w:noProof/>
                <w:sz w:val="18"/>
                <w:szCs w:val="18"/>
              </w:rPr>
              <w:t>0,200</w:t>
            </w:r>
          </w:p>
        </w:tc>
        <w:tc>
          <w:tcPr>
            <w:tcW w:w="990" w:type="dxa"/>
            <w:gridSpan w:val="2"/>
            <w:vAlign w:val="center"/>
          </w:tcPr>
          <w:p w14:paraId="2E3652EE" w14:textId="77777777" w:rsidR="00252FB9" w:rsidRPr="00C25964" w:rsidRDefault="00252FB9" w:rsidP="00D05F26">
            <w:pPr>
              <w:spacing w:before="40" w:after="40"/>
              <w:jc w:val="right"/>
              <w:rPr>
                <w:noProof/>
                <w:sz w:val="18"/>
                <w:szCs w:val="18"/>
              </w:rPr>
            </w:pPr>
            <w:r w:rsidRPr="00C25964">
              <w:rPr>
                <w:noProof/>
                <w:sz w:val="18"/>
                <w:szCs w:val="18"/>
              </w:rPr>
              <w:t>0,200</w:t>
            </w:r>
          </w:p>
        </w:tc>
        <w:tc>
          <w:tcPr>
            <w:tcW w:w="870" w:type="dxa"/>
            <w:gridSpan w:val="3"/>
            <w:vAlign w:val="center"/>
          </w:tcPr>
          <w:p w14:paraId="75184E4C" w14:textId="77777777" w:rsidR="00252FB9" w:rsidRPr="00C25964" w:rsidRDefault="00252FB9" w:rsidP="00D05F26">
            <w:pPr>
              <w:spacing w:before="40" w:after="40"/>
              <w:jc w:val="right"/>
              <w:rPr>
                <w:b/>
                <w:noProof/>
                <w:sz w:val="20"/>
              </w:rPr>
            </w:pPr>
          </w:p>
        </w:tc>
        <w:tc>
          <w:tcPr>
            <w:tcW w:w="955" w:type="dxa"/>
            <w:vAlign w:val="center"/>
          </w:tcPr>
          <w:p w14:paraId="4080B1A5" w14:textId="77777777" w:rsidR="00252FB9" w:rsidRPr="00C25964" w:rsidRDefault="00252FB9" w:rsidP="00D05F26">
            <w:pPr>
              <w:spacing w:before="40" w:after="40"/>
              <w:jc w:val="right"/>
              <w:rPr>
                <w:b/>
                <w:noProof/>
                <w:sz w:val="20"/>
              </w:rPr>
            </w:pPr>
          </w:p>
        </w:tc>
        <w:tc>
          <w:tcPr>
            <w:tcW w:w="943" w:type="dxa"/>
            <w:gridSpan w:val="3"/>
            <w:vAlign w:val="center"/>
          </w:tcPr>
          <w:p w14:paraId="242BE07C" w14:textId="77777777" w:rsidR="00252FB9" w:rsidRPr="00C25964" w:rsidRDefault="00252FB9" w:rsidP="00D05F26">
            <w:pPr>
              <w:spacing w:before="40" w:after="40"/>
              <w:jc w:val="right"/>
              <w:rPr>
                <w:b/>
                <w:noProof/>
                <w:sz w:val="20"/>
              </w:rPr>
            </w:pPr>
          </w:p>
        </w:tc>
        <w:tc>
          <w:tcPr>
            <w:tcW w:w="1295" w:type="dxa"/>
            <w:vAlign w:val="center"/>
          </w:tcPr>
          <w:p w14:paraId="424FAAD8" w14:textId="77777777" w:rsidR="00252FB9" w:rsidRPr="00C25964" w:rsidRDefault="00252FB9" w:rsidP="00D05F26">
            <w:pPr>
              <w:spacing w:before="40" w:after="40"/>
              <w:jc w:val="right"/>
              <w:rPr>
                <w:b/>
                <w:bCs/>
                <w:noProof/>
                <w:sz w:val="18"/>
                <w:szCs w:val="18"/>
              </w:rPr>
            </w:pPr>
            <w:r w:rsidRPr="00C25964">
              <w:rPr>
                <w:b/>
                <w:bCs/>
                <w:noProof/>
                <w:sz w:val="18"/>
                <w:szCs w:val="18"/>
              </w:rPr>
              <w:t>0,600</w:t>
            </w:r>
          </w:p>
        </w:tc>
      </w:tr>
      <w:tr w:rsidR="00252FB9" w:rsidRPr="00C25964" w14:paraId="7A6D8D1A" w14:textId="77777777" w:rsidTr="00D05F26">
        <w:trPr>
          <w:trHeight w:val="319"/>
        </w:trPr>
        <w:tc>
          <w:tcPr>
            <w:tcW w:w="3960" w:type="dxa"/>
            <w:vAlign w:val="center"/>
          </w:tcPr>
          <w:p w14:paraId="6A4B9EB1" w14:textId="77777777" w:rsidR="00252FB9" w:rsidRPr="00C25964" w:rsidRDefault="00252FB9" w:rsidP="00D05F26">
            <w:pPr>
              <w:spacing w:before="60" w:after="60"/>
              <w:rPr>
                <w:noProof/>
                <w:sz w:val="20"/>
              </w:rPr>
            </w:pPr>
            <w:r w:rsidRPr="00C25964">
              <w:rPr>
                <w:noProof/>
                <w:sz w:val="20"/>
              </w:rPr>
              <w:t>Budgetpost 07 01 03 01</w:t>
            </w:r>
          </w:p>
        </w:tc>
        <w:tc>
          <w:tcPr>
            <w:tcW w:w="1440" w:type="dxa"/>
            <w:vAlign w:val="center"/>
          </w:tcPr>
          <w:p w14:paraId="7213EC80" w14:textId="77777777" w:rsidR="00252FB9" w:rsidRPr="00C25964" w:rsidRDefault="00252FB9" w:rsidP="00D05F26">
            <w:pPr>
              <w:spacing w:before="40" w:after="40"/>
              <w:jc w:val="right"/>
              <w:rPr>
                <w:noProof/>
                <w:sz w:val="18"/>
              </w:rPr>
            </w:pPr>
            <w:r w:rsidRPr="00C25964">
              <w:rPr>
                <w:noProof/>
                <w:sz w:val="18"/>
              </w:rPr>
              <w:t>Åtaganden / Betalningar</w:t>
            </w:r>
          </w:p>
        </w:tc>
        <w:tc>
          <w:tcPr>
            <w:tcW w:w="654" w:type="dxa"/>
            <w:vAlign w:val="center"/>
          </w:tcPr>
          <w:p w14:paraId="0164E28A" w14:textId="77777777" w:rsidR="00252FB9" w:rsidRPr="00C25964" w:rsidRDefault="00252FB9" w:rsidP="00D05F26">
            <w:pPr>
              <w:spacing w:before="40" w:after="40"/>
              <w:jc w:val="center"/>
              <w:rPr>
                <w:noProof/>
                <w:sz w:val="14"/>
              </w:rPr>
            </w:pPr>
            <w:r w:rsidRPr="00C25964">
              <w:rPr>
                <w:noProof/>
                <w:sz w:val="14"/>
              </w:rPr>
              <w:t>(3)</w:t>
            </w:r>
          </w:p>
        </w:tc>
        <w:tc>
          <w:tcPr>
            <w:tcW w:w="685" w:type="dxa"/>
            <w:vAlign w:val="center"/>
          </w:tcPr>
          <w:p w14:paraId="16537B50" w14:textId="77777777" w:rsidR="00252FB9" w:rsidRPr="00C25964" w:rsidRDefault="00252FB9" w:rsidP="00D05F26">
            <w:pPr>
              <w:spacing w:before="40" w:after="40"/>
              <w:jc w:val="right"/>
              <w:rPr>
                <w:b/>
                <w:noProof/>
                <w:sz w:val="20"/>
              </w:rPr>
            </w:pPr>
          </w:p>
        </w:tc>
        <w:tc>
          <w:tcPr>
            <w:tcW w:w="1134" w:type="dxa"/>
            <w:vAlign w:val="center"/>
          </w:tcPr>
          <w:p w14:paraId="1BAE61DD" w14:textId="77777777" w:rsidR="00252FB9" w:rsidRPr="00C25964" w:rsidRDefault="00252FB9" w:rsidP="00D05F26">
            <w:pPr>
              <w:spacing w:before="40" w:after="40"/>
              <w:jc w:val="right"/>
              <w:rPr>
                <w:noProof/>
                <w:sz w:val="18"/>
                <w:szCs w:val="18"/>
              </w:rPr>
            </w:pPr>
            <w:r w:rsidRPr="00C25964">
              <w:rPr>
                <w:noProof/>
                <w:sz w:val="18"/>
                <w:szCs w:val="18"/>
              </w:rPr>
              <w:t>0,050</w:t>
            </w:r>
          </w:p>
        </w:tc>
        <w:tc>
          <w:tcPr>
            <w:tcW w:w="981" w:type="dxa"/>
            <w:vAlign w:val="center"/>
          </w:tcPr>
          <w:p w14:paraId="0BED2A4D" w14:textId="77777777" w:rsidR="00252FB9" w:rsidRPr="00C25964" w:rsidRDefault="00252FB9" w:rsidP="00D05F26">
            <w:pPr>
              <w:spacing w:before="40" w:after="40"/>
              <w:jc w:val="right"/>
              <w:rPr>
                <w:noProof/>
                <w:sz w:val="18"/>
                <w:szCs w:val="18"/>
              </w:rPr>
            </w:pPr>
            <w:r w:rsidRPr="00C25964">
              <w:rPr>
                <w:noProof/>
                <w:sz w:val="18"/>
                <w:szCs w:val="18"/>
              </w:rPr>
              <w:t>0,050</w:t>
            </w:r>
          </w:p>
        </w:tc>
        <w:tc>
          <w:tcPr>
            <w:tcW w:w="990" w:type="dxa"/>
            <w:gridSpan w:val="2"/>
            <w:vAlign w:val="center"/>
          </w:tcPr>
          <w:p w14:paraId="247C80FD" w14:textId="77777777" w:rsidR="00252FB9" w:rsidRPr="00C25964" w:rsidRDefault="00252FB9" w:rsidP="00D05F26">
            <w:pPr>
              <w:spacing w:before="40" w:after="40"/>
              <w:jc w:val="right"/>
              <w:rPr>
                <w:noProof/>
                <w:sz w:val="18"/>
                <w:szCs w:val="18"/>
              </w:rPr>
            </w:pPr>
            <w:r w:rsidRPr="00C25964">
              <w:rPr>
                <w:noProof/>
                <w:sz w:val="18"/>
                <w:szCs w:val="18"/>
              </w:rPr>
              <w:t>0,050</w:t>
            </w:r>
          </w:p>
        </w:tc>
        <w:tc>
          <w:tcPr>
            <w:tcW w:w="870" w:type="dxa"/>
            <w:gridSpan w:val="3"/>
            <w:vAlign w:val="center"/>
          </w:tcPr>
          <w:p w14:paraId="576D1DCC" w14:textId="77777777" w:rsidR="00252FB9" w:rsidRPr="00C25964" w:rsidRDefault="00252FB9" w:rsidP="00D05F26">
            <w:pPr>
              <w:spacing w:before="40" w:after="40"/>
              <w:jc w:val="right"/>
              <w:rPr>
                <w:b/>
                <w:noProof/>
                <w:sz w:val="20"/>
              </w:rPr>
            </w:pPr>
          </w:p>
        </w:tc>
        <w:tc>
          <w:tcPr>
            <w:tcW w:w="955" w:type="dxa"/>
            <w:vAlign w:val="center"/>
          </w:tcPr>
          <w:p w14:paraId="101CFFEE" w14:textId="77777777" w:rsidR="00252FB9" w:rsidRPr="00C25964" w:rsidRDefault="00252FB9" w:rsidP="00D05F26">
            <w:pPr>
              <w:spacing w:before="40" w:after="40"/>
              <w:jc w:val="right"/>
              <w:rPr>
                <w:b/>
                <w:noProof/>
                <w:sz w:val="20"/>
              </w:rPr>
            </w:pPr>
          </w:p>
        </w:tc>
        <w:tc>
          <w:tcPr>
            <w:tcW w:w="943" w:type="dxa"/>
            <w:gridSpan w:val="3"/>
            <w:vAlign w:val="center"/>
          </w:tcPr>
          <w:p w14:paraId="4392FCF7" w14:textId="77777777" w:rsidR="00252FB9" w:rsidRPr="00C25964" w:rsidRDefault="00252FB9" w:rsidP="00D05F26">
            <w:pPr>
              <w:spacing w:before="40" w:after="40"/>
              <w:jc w:val="right"/>
              <w:rPr>
                <w:b/>
                <w:noProof/>
                <w:sz w:val="20"/>
              </w:rPr>
            </w:pPr>
          </w:p>
        </w:tc>
        <w:tc>
          <w:tcPr>
            <w:tcW w:w="1295" w:type="dxa"/>
            <w:vAlign w:val="center"/>
          </w:tcPr>
          <w:p w14:paraId="78FF6FB6" w14:textId="77777777" w:rsidR="00252FB9" w:rsidRPr="00C25964" w:rsidRDefault="00252FB9" w:rsidP="00D05F26">
            <w:pPr>
              <w:spacing w:before="40" w:after="40"/>
              <w:jc w:val="right"/>
              <w:rPr>
                <w:b/>
                <w:bCs/>
                <w:noProof/>
                <w:sz w:val="18"/>
                <w:szCs w:val="18"/>
              </w:rPr>
            </w:pPr>
            <w:r w:rsidRPr="00C25964">
              <w:rPr>
                <w:b/>
                <w:bCs/>
                <w:noProof/>
                <w:sz w:val="18"/>
                <w:szCs w:val="18"/>
              </w:rPr>
              <w:t>0,150</w:t>
            </w:r>
          </w:p>
        </w:tc>
      </w:tr>
      <w:tr w:rsidR="00252FB9" w:rsidRPr="00C25964" w14:paraId="5D1A12DD" w14:textId="77777777" w:rsidTr="00D05F26">
        <w:tc>
          <w:tcPr>
            <w:tcW w:w="3960" w:type="dxa"/>
            <w:vMerge w:val="restart"/>
            <w:vAlign w:val="center"/>
          </w:tcPr>
          <w:p w14:paraId="57CB258A" w14:textId="77777777" w:rsidR="00252FB9" w:rsidRPr="00C25964" w:rsidRDefault="00252FB9" w:rsidP="00D05F26">
            <w:pPr>
              <w:jc w:val="center"/>
              <w:rPr>
                <w:b/>
                <w:bCs/>
                <w:noProof/>
              </w:rPr>
            </w:pPr>
            <w:r w:rsidRPr="00C25964">
              <w:rPr>
                <w:b/>
                <w:bCs/>
                <w:noProof/>
                <w:sz w:val="22"/>
              </w:rPr>
              <w:t>TOTALA anslag</w:t>
            </w:r>
            <w:r w:rsidRPr="00C25964">
              <w:rPr>
                <w:noProof/>
              </w:rPr>
              <w:t xml:space="preserve"> </w:t>
            </w:r>
            <w:r w:rsidRPr="00C25964">
              <w:rPr>
                <w:noProof/>
              </w:rPr>
              <w:br/>
            </w:r>
            <w:r w:rsidRPr="00C25964">
              <w:rPr>
                <w:b/>
                <w:bCs/>
                <w:noProof/>
                <w:sz w:val="22"/>
              </w:rPr>
              <w:t>för GD</w:t>
            </w:r>
            <w:r w:rsidRPr="00C25964">
              <w:rPr>
                <w:noProof/>
                <w:sz w:val="22"/>
              </w:rPr>
              <w:t> Utbildning och kultur</w:t>
            </w:r>
          </w:p>
        </w:tc>
        <w:tc>
          <w:tcPr>
            <w:tcW w:w="1440" w:type="dxa"/>
            <w:vAlign w:val="center"/>
          </w:tcPr>
          <w:p w14:paraId="276C0C28" w14:textId="77777777" w:rsidR="00252FB9" w:rsidRPr="00C25964" w:rsidRDefault="00252FB9" w:rsidP="00D05F26">
            <w:pPr>
              <w:rPr>
                <w:b/>
                <w:noProof/>
                <w:sz w:val="18"/>
              </w:rPr>
            </w:pPr>
            <w:r w:rsidRPr="00C25964">
              <w:rPr>
                <w:b/>
                <w:noProof/>
                <w:sz w:val="18"/>
              </w:rPr>
              <w:t>Åtaganden</w:t>
            </w:r>
          </w:p>
        </w:tc>
        <w:tc>
          <w:tcPr>
            <w:tcW w:w="654" w:type="dxa"/>
            <w:vAlign w:val="center"/>
          </w:tcPr>
          <w:p w14:paraId="771B1905" w14:textId="77777777" w:rsidR="00252FB9" w:rsidRPr="00C25964" w:rsidRDefault="00252FB9" w:rsidP="00D05F26">
            <w:pPr>
              <w:jc w:val="center"/>
              <w:rPr>
                <w:b/>
                <w:bCs/>
                <w:noProof/>
                <w:sz w:val="14"/>
                <w:szCs w:val="14"/>
              </w:rPr>
            </w:pPr>
            <w:r w:rsidRPr="00C25964">
              <w:rPr>
                <w:b/>
                <w:bCs/>
                <w:noProof/>
                <w:sz w:val="14"/>
                <w:szCs w:val="14"/>
              </w:rPr>
              <w:t>=1a+1b+1c+3</w:t>
            </w:r>
          </w:p>
        </w:tc>
        <w:tc>
          <w:tcPr>
            <w:tcW w:w="685" w:type="dxa"/>
            <w:vAlign w:val="center"/>
          </w:tcPr>
          <w:p w14:paraId="659BC163" w14:textId="77777777" w:rsidR="00252FB9" w:rsidRPr="00C25964" w:rsidRDefault="00252FB9" w:rsidP="00D05F26">
            <w:pPr>
              <w:spacing w:before="20" w:after="20"/>
              <w:jc w:val="right"/>
              <w:rPr>
                <w:b/>
                <w:noProof/>
                <w:sz w:val="20"/>
              </w:rPr>
            </w:pPr>
          </w:p>
        </w:tc>
        <w:tc>
          <w:tcPr>
            <w:tcW w:w="1134" w:type="dxa"/>
            <w:vAlign w:val="center"/>
          </w:tcPr>
          <w:p w14:paraId="2356D473" w14:textId="77777777" w:rsidR="00252FB9" w:rsidRPr="00C25964" w:rsidRDefault="00252FB9" w:rsidP="00D05F26">
            <w:pPr>
              <w:spacing w:before="20" w:after="20"/>
              <w:jc w:val="right"/>
              <w:rPr>
                <w:b/>
                <w:bCs/>
                <w:noProof/>
                <w:sz w:val="18"/>
                <w:szCs w:val="18"/>
              </w:rPr>
            </w:pPr>
            <w:r w:rsidRPr="00C25964">
              <w:rPr>
                <w:b/>
                <w:bCs/>
                <w:noProof/>
                <w:sz w:val="18"/>
                <w:szCs w:val="18"/>
              </w:rPr>
              <w:t>8,250</w:t>
            </w:r>
          </w:p>
        </w:tc>
        <w:tc>
          <w:tcPr>
            <w:tcW w:w="992" w:type="dxa"/>
            <w:gridSpan w:val="2"/>
            <w:vAlign w:val="center"/>
          </w:tcPr>
          <w:p w14:paraId="5520FF51" w14:textId="77777777" w:rsidR="00252FB9" w:rsidRPr="00C25964" w:rsidRDefault="00252FB9" w:rsidP="00D05F26">
            <w:pPr>
              <w:spacing w:before="20" w:after="20"/>
              <w:jc w:val="right"/>
              <w:rPr>
                <w:b/>
                <w:bCs/>
                <w:noProof/>
                <w:sz w:val="18"/>
                <w:szCs w:val="18"/>
              </w:rPr>
            </w:pPr>
            <w:r w:rsidRPr="00C25964">
              <w:rPr>
                <w:b/>
                <w:bCs/>
                <w:noProof/>
                <w:sz w:val="18"/>
                <w:szCs w:val="18"/>
              </w:rPr>
              <w:t>0,750</w:t>
            </w:r>
          </w:p>
        </w:tc>
        <w:tc>
          <w:tcPr>
            <w:tcW w:w="993" w:type="dxa"/>
            <w:gridSpan w:val="2"/>
            <w:vAlign w:val="center"/>
          </w:tcPr>
          <w:p w14:paraId="6DEFA176" w14:textId="77777777" w:rsidR="00252FB9" w:rsidRPr="00C25964" w:rsidRDefault="00252FB9" w:rsidP="00D05F26">
            <w:pPr>
              <w:spacing w:before="20" w:after="20"/>
              <w:jc w:val="right"/>
              <w:rPr>
                <w:b/>
                <w:bCs/>
                <w:noProof/>
                <w:sz w:val="18"/>
                <w:szCs w:val="18"/>
              </w:rPr>
            </w:pPr>
            <w:r w:rsidRPr="00C25964">
              <w:rPr>
                <w:b/>
                <w:bCs/>
                <w:noProof/>
                <w:sz w:val="18"/>
                <w:szCs w:val="18"/>
              </w:rPr>
              <w:t>0,250</w:t>
            </w:r>
          </w:p>
        </w:tc>
        <w:tc>
          <w:tcPr>
            <w:tcW w:w="850" w:type="dxa"/>
            <w:vAlign w:val="center"/>
          </w:tcPr>
          <w:p w14:paraId="1D12204F" w14:textId="77777777" w:rsidR="00252FB9" w:rsidRPr="00C25964" w:rsidRDefault="00252FB9" w:rsidP="00D05F26">
            <w:pPr>
              <w:spacing w:before="20" w:after="20"/>
              <w:jc w:val="right"/>
              <w:rPr>
                <w:b/>
                <w:noProof/>
                <w:sz w:val="20"/>
              </w:rPr>
            </w:pPr>
          </w:p>
        </w:tc>
        <w:tc>
          <w:tcPr>
            <w:tcW w:w="992" w:type="dxa"/>
            <w:gridSpan w:val="3"/>
            <w:vAlign w:val="center"/>
          </w:tcPr>
          <w:p w14:paraId="5B6E34AA" w14:textId="77777777" w:rsidR="00252FB9" w:rsidRPr="00C25964" w:rsidRDefault="00252FB9" w:rsidP="00D05F26">
            <w:pPr>
              <w:spacing w:before="20" w:after="20"/>
              <w:jc w:val="right"/>
              <w:rPr>
                <w:b/>
                <w:noProof/>
                <w:sz w:val="20"/>
              </w:rPr>
            </w:pPr>
          </w:p>
        </w:tc>
        <w:tc>
          <w:tcPr>
            <w:tcW w:w="851" w:type="dxa"/>
            <w:vAlign w:val="center"/>
          </w:tcPr>
          <w:p w14:paraId="2DE73FEA" w14:textId="77777777" w:rsidR="00252FB9" w:rsidRPr="00C25964" w:rsidRDefault="00252FB9" w:rsidP="00D05F26">
            <w:pPr>
              <w:spacing w:before="20" w:after="20"/>
              <w:jc w:val="right"/>
              <w:rPr>
                <w:b/>
                <w:noProof/>
                <w:sz w:val="20"/>
              </w:rPr>
            </w:pPr>
          </w:p>
        </w:tc>
        <w:tc>
          <w:tcPr>
            <w:tcW w:w="1356" w:type="dxa"/>
            <w:gridSpan w:val="2"/>
            <w:vAlign w:val="center"/>
          </w:tcPr>
          <w:p w14:paraId="1B8BCBE7" w14:textId="77777777" w:rsidR="00252FB9" w:rsidRPr="00C25964" w:rsidRDefault="00252FB9" w:rsidP="00D05F26">
            <w:pPr>
              <w:spacing w:before="20" w:after="20"/>
              <w:jc w:val="right"/>
              <w:rPr>
                <w:b/>
                <w:bCs/>
                <w:noProof/>
                <w:sz w:val="18"/>
                <w:szCs w:val="18"/>
              </w:rPr>
            </w:pPr>
            <w:r w:rsidRPr="00C25964">
              <w:rPr>
                <w:b/>
                <w:bCs/>
                <w:noProof/>
                <w:sz w:val="18"/>
                <w:szCs w:val="18"/>
              </w:rPr>
              <w:t>9,250</w:t>
            </w:r>
          </w:p>
        </w:tc>
      </w:tr>
      <w:tr w:rsidR="00252FB9" w:rsidRPr="00C25964" w14:paraId="4DD18A0A" w14:textId="77777777" w:rsidTr="00D05F26">
        <w:tc>
          <w:tcPr>
            <w:tcW w:w="3960" w:type="dxa"/>
            <w:vMerge/>
          </w:tcPr>
          <w:p w14:paraId="4C52A018" w14:textId="77777777" w:rsidR="00252FB9" w:rsidRPr="00C25964" w:rsidRDefault="00252FB9" w:rsidP="00D05F26">
            <w:pPr>
              <w:rPr>
                <w:noProof/>
                <w:sz w:val="20"/>
              </w:rPr>
            </w:pPr>
          </w:p>
        </w:tc>
        <w:tc>
          <w:tcPr>
            <w:tcW w:w="1440" w:type="dxa"/>
            <w:vAlign w:val="center"/>
          </w:tcPr>
          <w:p w14:paraId="18D4A392" w14:textId="77777777" w:rsidR="00252FB9" w:rsidRPr="00C25964" w:rsidRDefault="00252FB9" w:rsidP="00D05F26">
            <w:pPr>
              <w:rPr>
                <w:b/>
                <w:noProof/>
                <w:sz w:val="18"/>
              </w:rPr>
            </w:pPr>
            <w:r w:rsidRPr="00C25964">
              <w:rPr>
                <w:b/>
                <w:noProof/>
                <w:sz w:val="18"/>
              </w:rPr>
              <w:t>Betalningar</w:t>
            </w:r>
          </w:p>
        </w:tc>
        <w:tc>
          <w:tcPr>
            <w:tcW w:w="654" w:type="dxa"/>
            <w:vAlign w:val="center"/>
          </w:tcPr>
          <w:p w14:paraId="3093CC44" w14:textId="77777777" w:rsidR="00252FB9" w:rsidRPr="00C25964" w:rsidRDefault="00252FB9" w:rsidP="00D05F26">
            <w:pPr>
              <w:jc w:val="center"/>
              <w:rPr>
                <w:b/>
                <w:noProof/>
                <w:sz w:val="14"/>
              </w:rPr>
            </w:pPr>
            <w:r w:rsidRPr="00C25964">
              <w:rPr>
                <w:b/>
                <w:noProof/>
                <w:sz w:val="14"/>
              </w:rPr>
              <w:t>=2a+2b</w:t>
            </w:r>
          </w:p>
          <w:p w14:paraId="31101755" w14:textId="77777777" w:rsidR="00252FB9" w:rsidRPr="00C25964" w:rsidRDefault="00252FB9" w:rsidP="00D05F26">
            <w:pPr>
              <w:jc w:val="center"/>
              <w:rPr>
                <w:b/>
                <w:bCs/>
                <w:noProof/>
                <w:sz w:val="14"/>
                <w:szCs w:val="14"/>
              </w:rPr>
            </w:pPr>
            <w:r w:rsidRPr="00C25964">
              <w:rPr>
                <w:b/>
                <w:bCs/>
                <w:noProof/>
                <w:sz w:val="14"/>
                <w:szCs w:val="14"/>
              </w:rPr>
              <w:t>+2c+3</w:t>
            </w:r>
          </w:p>
        </w:tc>
        <w:tc>
          <w:tcPr>
            <w:tcW w:w="685" w:type="dxa"/>
            <w:vAlign w:val="center"/>
          </w:tcPr>
          <w:p w14:paraId="515BEE6C" w14:textId="77777777" w:rsidR="00252FB9" w:rsidRPr="00C25964" w:rsidRDefault="00252FB9" w:rsidP="00D05F26">
            <w:pPr>
              <w:spacing w:before="20" w:after="20"/>
              <w:jc w:val="right"/>
              <w:rPr>
                <w:b/>
                <w:noProof/>
                <w:sz w:val="20"/>
              </w:rPr>
            </w:pPr>
          </w:p>
        </w:tc>
        <w:tc>
          <w:tcPr>
            <w:tcW w:w="1134" w:type="dxa"/>
            <w:vAlign w:val="center"/>
          </w:tcPr>
          <w:p w14:paraId="4ED67735" w14:textId="77777777" w:rsidR="00252FB9" w:rsidRPr="00C25964" w:rsidRDefault="00252FB9" w:rsidP="00D05F26">
            <w:pPr>
              <w:spacing w:before="20" w:after="20"/>
              <w:jc w:val="center"/>
              <w:rPr>
                <w:b/>
                <w:bCs/>
                <w:noProof/>
                <w:sz w:val="18"/>
                <w:szCs w:val="18"/>
              </w:rPr>
            </w:pPr>
            <w:r w:rsidRPr="00C25964">
              <w:rPr>
                <w:b/>
                <w:bCs/>
                <w:noProof/>
                <w:sz w:val="18"/>
                <w:szCs w:val="18"/>
              </w:rPr>
              <w:t>4,686</w:t>
            </w:r>
          </w:p>
        </w:tc>
        <w:tc>
          <w:tcPr>
            <w:tcW w:w="992" w:type="dxa"/>
            <w:gridSpan w:val="2"/>
            <w:vAlign w:val="center"/>
          </w:tcPr>
          <w:p w14:paraId="14A7FB28" w14:textId="77777777" w:rsidR="00252FB9" w:rsidRPr="00C25964" w:rsidRDefault="00252FB9" w:rsidP="00D05F26">
            <w:pPr>
              <w:spacing w:before="20" w:after="20"/>
              <w:jc w:val="center"/>
              <w:rPr>
                <w:b/>
                <w:bCs/>
                <w:noProof/>
                <w:sz w:val="18"/>
                <w:szCs w:val="18"/>
              </w:rPr>
            </w:pPr>
            <w:r w:rsidRPr="00C25964">
              <w:rPr>
                <w:b/>
                <w:bCs/>
                <w:noProof/>
                <w:sz w:val="18"/>
                <w:szCs w:val="18"/>
              </w:rPr>
              <w:t>2,298</w:t>
            </w:r>
          </w:p>
        </w:tc>
        <w:tc>
          <w:tcPr>
            <w:tcW w:w="993" w:type="dxa"/>
            <w:gridSpan w:val="2"/>
            <w:vAlign w:val="center"/>
          </w:tcPr>
          <w:p w14:paraId="0B5AEB47" w14:textId="77777777" w:rsidR="00252FB9" w:rsidRPr="00C25964" w:rsidRDefault="00252FB9" w:rsidP="00D05F26">
            <w:pPr>
              <w:spacing w:before="20" w:after="20"/>
              <w:jc w:val="center"/>
              <w:rPr>
                <w:b/>
                <w:bCs/>
                <w:noProof/>
                <w:sz w:val="18"/>
                <w:szCs w:val="18"/>
              </w:rPr>
            </w:pPr>
            <w:r w:rsidRPr="00C25964">
              <w:rPr>
                <w:b/>
                <w:bCs/>
                <w:noProof/>
                <w:sz w:val="18"/>
                <w:szCs w:val="18"/>
              </w:rPr>
              <w:t>1,637</w:t>
            </w:r>
          </w:p>
        </w:tc>
        <w:tc>
          <w:tcPr>
            <w:tcW w:w="850" w:type="dxa"/>
            <w:vAlign w:val="center"/>
          </w:tcPr>
          <w:p w14:paraId="3A00A9AE" w14:textId="77777777" w:rsidR="00252FB9" w:rsidRPr="00C25964" w:rsidRDefault="00252FB9" w:rsidP="00D05F26">
            <w:pPr>
              <w:spacing w:before="20" w:after="20"/>
              <w:jc w:val="center"/>
              <w:rPr>
                <w:b/>
                <w:bCs/>
                <w:noProof/>
                <w:sz w:val="18"/>
                <w:szCs w:val="18"/>
              </w:rPr>
            </w:pPr>
            <w:r w:rsidRPr="00C25964">
              <w:rPr>
                <w:b/>
                <w:bCs/>
                <w:noProof/>
                <w:sz w:val="18"/>
                <w:szCs w:val="18"/>
              </w:rPr>
              <w:t>0,378</w:t>
            </w:r>
          </w:p>
        </w:tc>
        <w:tc>
          <w:tcPr>
            <w:tcW w:w="992" w:type="dxa"/>
            <w:gridSpan w:val="3"/>
            <w:vAlign w:val="center"/>
          </w:tcPr>
          <w:p w14:paraId="467A5C77" w14:textId="77777777" w:rsidR="00252FB9" w:rsidRPr="00C25964" w:rsidRDefault="00252FB9" w:rsidP="00D05F26">
            <w:pPr>
              <w:spacing w:before="20" w:after="20"/>
              <w:jc w:val="center"/>
              <w:rPr>
                <w:b/>
                <w:bCs/>
                <w:noProof/>
                <w:sz w:val="18"/>
                <w:szCs w:val="18"/>
              </w:rPr>
            </w:pPr>
            <w:r w:rsidRPr="00C25964">
              <w:rPr>
                <w:b/>
                <w:bCs/>
                <w:noProof/>
                <w:sz w:val="18"/>
                <w:szCs w:val="18"/>
              </w:rPr>
              <w:t>0,251</w:t>
            </w:r>
          </w:p>
        </w:tc>
        <w:tc>
          <w:tcPr>
            <w:tcW w:w="851" w:type="dxa"/>
            <w:vAlign w:val="center"/>
          </w:tcPr>
          <w:p w14:paraId="5F3A1C6B" w14:textId="77777777" w:rsidR="00252FB9" w:rsidRPr="00C25964" w:rsidRDefault="00252FB9" w:rsidP="00D05F26">
            <w:pPr>
              <w:spacing w:before="40" w:after="40"/>
              <w:jc w:val="right"/>
              <w:rPr>
                <w:noProof/>
                <w:sz w:val="18"/>
                <w:szCs w:val="18"/>
              </w:rPr>
            </w:pPr>
          </w:p>
        </w:tc>
        <w:tc>
          <w:tcPr>
            <w:tcW w:w="1356" w:type="dxa"/>
            <w:gridSpan w:val="2"/>
            <w:vAlign w:val="center"/>
          </w:tcPr>
          <w:p w14:paraId="536110E2" w14:textId="77777777" w:rsidR="00252FB9" w:rsidRPr="00C25964" w:rsidRDefault="00252FB9" w:rsidP="00D05F26">
            <w:pPr>
              <w:spacing w:before="20" w:after="20"/>
              <w:jc w:val="right"/>
              <w:rPr>
                <w:b/>
                <w:bCs/>
                <w:noProof/>
                <w:sz w:val="20"/>
                <w:szCs w:val="20"/>
              </w:rPr>
            </w:pPr>
            <w:r w:rsidRPr="00C25964">
              <w:rPr>
                <w:b/>
                <w:bCs/>
                <w:noProof/>
                <w:sz w:val="18"/>
                <w:szCs w:val="18"/>
              </w:rPr>
              <w:t>9,250</w:t>
            </w:r>
          </w:p>
        </w:tc>
      </w:tr>
    </w:tbl>
    <w:p w14:paraId="7AA97699" w14:textId="77777777" w:rsidR="00252FB9" w:rsidRPr="00C25964" w:rsidRDefault="00252FB9" w:rsidP="00252FB9">
      <w:pPr>
        <w:rPr>
          <w:b/>
          <w:noProof/>
          <w:sz w:val="22"/>
          <w:highlight w:val="cyan"/>
          <w:u w:val="single"/>
        </w:rPr>
      </w:pPr>
      <w:r w:rsidRPr="00C25964">
        <w:rPr>
          <w:noProof/>
        </w:rPr>
        <w:t xml:space="preserve"> </w:t>
      </w:r>
      <w:r w:rsidRPr="00C25964">
        <w:rPr>
          <w:noProof/>
        </w:rPr>
        <w:br/>
      </w:r>
      <w:r w:rsidRPr="00C25964">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252FB9" w:rsidRPr="00C25964" w14:paraId="386F8664" w14:textId="77777777" w:rsidTr="00D05F26">
        <w:trPr>
          <w:jc w:val="center"/>
        </w:trPr>
        <w:tc>
          <w:tcPr>
            <w:tcW w:w="4744" w:type="dxa"/>
            <w:shd w:val="thinDiagStripe" w:color="C0C0C0" w:fill="auto"/>
            <w:vAlign w:val="center"/>
          </w:tcPr>
          <w:p w14:paraId="5237CB09" w14:textId="77777777" w:rsidR="00252FB9" w:rsidRPr="00C25964" w:rsidRDefault="00252FB9" w:rsidP="00D05F26">
            <w:pPr>
              <w:spacing w:before="60" w:after="60"/>
              <w:jc w:val="center"/>
              <w:rPr>
                <w:b/>
                <w:noProof/>
              </w:rPr>
            </w:pPr>
            <w:r w:rsidRPr="00C25964">
              <w:rPr>
                <w:noProof/>
              </w:rPr>
              <w:br w:type="page"/>
            </w:r>
            <w:r w:rsidRPr="00C25964">
              <w:rPr>
                <w:b/>
                <w:noProof/>
                <w:sz w:val="22"/>
              </w:rPr>
              <w:t xml:space="preserve">Rubrik i den fleråriga budgetramen </w:t>
            </w:r>
          </w:p>
        </w:tc>
        <w:tc>
          <w:tcPr>
            <w:tcW w:w="1080" w:type="dxa"/>
            <w:shd w:val="thinDiagStripe" w:color="C0C0C0" w:fill="auto"/>
            <w:vAlign w:val="center"/>
          </w:tcPr>
          <w:p w14:paraId="4174F10F" w14:textId="77777777" w:rsidR="00252FB9" w:rsidRPr="00C25964" w:rsidRDefault="00252FB9" w:rsidP="00D05F26">
            <w:pPr>
              <w:spacing w:before="60" w:after="60"/>
              <w:jc w:val="center"/>
              <w:rPr>
                <w:noProof/>
              </w:rPr>
            </w:pPr>
            <w:r w:rsidRPr="00C25964">
              <w:rPr>
                <w:b/>
                <w:noProof/>
                <w:sz w:val="22"/>
              </w:rPr>
              <w:t>7</w:t>
            </w:r>
          </w:p>
        </w:tc>
        <w:tc>
          <w:tcPr>
            <w:tcW w:w="7817" w:type="dxa"/>
            <w:vAlign w:val="center"/>
          </w:tcPr>
          <w:p w14:paraId="3E50AFA8" w14:textId="77777777" w:rsidR="00252FB9" w:rsidRPr="00C25964" w:rsidRDefault="00252FB9" w:rsidP="00D05F26">
            <w:pPr>
              <w:spacing w:before="60" w:after="60"/>
              <w:rPr>
                <w:noProof/>
              </w:rPr>
            </w:pPr>
            <w:r w:rsidRPr="00C25964">
              <w:rPr>
                <w:noProof/>
                <w:sz w:val="22"/>
              </w:rPr>
              <w:t>”Administrativa utgifter”</w:t>
            </w:r>
          </w:p>
        </w:tc>
      </w:tr>
    </w:tbl>
    <w:p w14:paraId="32EB7464" w14:textId="77777777" w:rsidR="00252FB9" w:rsidRPr="00C25964" w:rsidRDefault="00252FB9" w:rsidP="00252FB9">
      <w:pPr>
        <w:jc w:val="right"/>
        <w:rPr>
          <w:noProof/>
          <w:sz w:val="20"/>
        </w:rPr>
      </w:pPr>
      <w:r w:rsidRPr="00C25964">
        <w:rPr>
          <w:noProof/>
          <w:sz w:val="20"/>
        </w:rPr>
        <w:t>Miljoner euro (avrundat till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252FB9" w:rsidRPr="00C25964" w14:paraId="769DE539" w14:textId="77777777" w:rsidTr="00D05F26">
        <w:tc>
          <w:tcPr>
            <w:tcW w:w="3960" w:type="dxa"/>
            <w:tcBorders>
              <w:top w:val="nil"/>
              <w:left w:val="nil"/>
              <w:right w:val="nil"/>
            </w:tcBorders>
            <w:vAlign w:val="center"/>
          </w:tcPr>
          <w:p w14:paraId="0DDD003D" w14:textId="77777777" w:rsidR="00252FB9" w:rsidRPr="00C25964" w:rsidRDefault="00252FB9" w:rsidP="00D05F26">
            <w:pPr>
              <w:jc w:val="center"/>
              <w:rPr>
                <w:noProof/>
              </w:rPr>
            </w:pPr>
          </w:p>
        </w:tc>
        <w:tc>
          <w:tcPr>
            <w:tcW w:w="1560" w:type="dxa"/>
            <w:tcBorders>
              <w:top w:val="nil"/>
              <w:left w:val="nil"/>
              <w:right w:val="nil"/>
            </w:tcBorders>
          </w:tcPr>
          <w:p w14:paraId="725EEAD1" w14:textId="77777777" w:rsidR="00252FB9" w:rsidRPr="00C25964" w:rsidRDefault="00252FB9" w:rsidP="00D05F26">
            <w:pPr>
              <w:rPr>
                <w:noProof/>
                <w:sz w:val="20"/>
              </w:rPr>
            </w:pPr>
          </w:p>
        </w:tc>
        <w:tc>
          <w:tcPr>
            <w:tcW w:w="534" w:type="dxa"/>
            <w:tcBorders>
              <w:top w:val="nil"/>
              <w:left w:val="nil"/>
            </w:tcBorders>
          </w:tcPr>
          <w:p w14:paraId="3E6338C8" w14:textId="77777777" w:rsidR="00252FB9" w:rsidRPr="00C25964" w:rsidRDefault="00252FB9" w:rsidP="00D05F26">
            <w:pPr>
              <w:jc w:val="center"/>
              <w:rPr>
                <w:noProof/>
                <w:sz w:val="20"/>
              </w:rPr>
            </w:pPr>
          </w:p>
        </w:tc>
        <w:tc>
          <w:tcPr>
            <w:tcW w:w="868" w:type="dxa"/>
            <w:vAlign w:val="center"/>
          </w:tcPr>
          <w:p w14:paraId="7F861703" w14:textId="77777777" w:rsidR="00252FB9" w:rsidRPr="00C25964" w:rsidRDefault="00252FB9" w:rsidP="00D05F26">
            <w:pPr>
              <w:jc w:val="center"/>
              <w:rPr>
                <w:noProof/>
                <w:sz w:val="20"/>
              </w:rPr>
            </w:pPr>
            <w:r w:rsidRPr="00C25964">
              <w:rPr>
                <w:noProof/>
                <w:sz w:val="20"/>
              </w:rPr>
              <w:t>Året</w:t>
            </w:r>
            <w:r w:rsidRPr="00C25964">
              <w:rPr>
                <w:noProof/>
              </w:rPr>
              <w:t xml:space="preserve"> </w:t>
            </w:r>
            <w:r w:rsidRPr="00C25964">
              <w:rPr>
                <w:noProof/>
              </w:rPr>
              <w:br/>
            </w:r>
            <w:r w:rsidRPr="00C25964">
              <w:rPr>
                <w:b/>
                <w:noProof/>
                <w:sz w:val="20"/>
              </w:rPr>
              <w:t>2021</w:t>
            </w:r>
          </w:p>
        </w:tc>
        <w:tc>
          <w:tcPr>
            <w:tcW w:w="868" w:type="dxa"/>
            <w:vAlign w:val="center"/>
          </w:tcPr>
          <w:p w14:paraId="562DBD6F" w14:textId="77777777" w:rsidR="00252FB9" w:rsidRPr="00C25964" w:rsidRDefault="00252FB9" w:rsidP="00D05F26">
            <w:pPr>
              <w:jc w:val="center"/>
              <w:rPr>
                <w:noProof/>
                <w:sz w:val="20"/>
              </w:rPr>
            </w:pPr>
            <w:r w:rsidRPr="00C25964">
              <w:rPr>
                <w:noProof/>
                <w:sz w:val="20"/>
              </w:rPr>
              <w:t>Året</w:t>
            </w:r>
            <w:r w:rsidRPr="00C25964">
              <w:rPr>
                <w:noProof/>
              </w:rPr>
              <w:t xml:space="preserve"> </w:t>
            </w:r>
            <w:r w:rsidRPr="00C25964">
              <w:rPr>
                <w:noProof/>
              </w:rPr>
              <w:br/>
            </w:r>
            <w:r w:rsidRPr="00C25964">
              <w:rPr>
                <w:b/>
                <w:noProof/>
                <w:sz w:val="20"/>
              </w:rPr>
              <w:t>2022</w:t>
            </w:r>
          </w:p>
        </w:tc>
        <w:tc>
          <w:tcPr>
            <w:tcW w:w="868" w:type="dxa"/>
            <w:vAlign w:val="center"/>
          </w:tcPr>
          <w:p w14:paraId="33C9222B" w14:textId="77777777" w:rsidR="00252FB9" w:rsidRPr="00C25964" w:rsidRDefault="00252FB9" w:rsidP="00D05F26">
            <w:pPr>
              <w:jc w:val="center"/>
              <w:rPr>
                <w:noProof/>
                <w:sz w:val="20"/>
              </w:rPr>
            </w:pPr>
            <w:r w:rsidRPr="00C25964">
              <w:rPr>
                <w:noProof/>
                <w:sz w:val="20"/>
              </w:rPr>
              <w:t>Året</w:t>
            </w:r>
            <w:r w:rsidRPr="00C25964">
              <w:rPr>
                <w:noProof/>
              </w:rPr>
              <w:t xml:space="preserve"> </w:t>
            </w:r>
            <w:r w:rsidRPr="00C25964">
              <w:rPr>
                <w:noProof/>
              </w:rPr>
              <w:br/>
            </w:r>
            <w:r w:rsidRPr="00C25964">
              <w:rPr>
                <w:b/>
                <w:noProof/>
                <w:sz w:val="20"/>
              </w:rPr>
              <w:t>2023</w:t>
            </w:r>
          </w:p>
        </w:tc>
        <w:tc>
          <w:tcPr>
            <w:tcW w:w="868" w:type="dxa"/>
            <w:vAlign w:val="center"/>
          </w:tcPr>
          <w:p w14:paraId="4630931A" w14:textId="77777777" w:rsidR="00252FB9" w:rsidRPr="00C25964" w:rsidRDefault="00252FB9" w:rsidP="00D05F26">
            <w:pPr>
              <w:jc w:val="center"/>
              <w:rPr>
                <w:noProof/>
                <w:sz w:val="20"/>
              </w:rPr>
            </w:pPr>
            <w:r w:rsidRPr="00C25964">
              <w:rPr>
                <w:noProof/>
                <w:sz w:val="20"/>
              </w:rPr>
              <w:t>Året</w:t>
            </w:r>
            <w:r w:rsidRPr="00C25964">
              <w:rPr>
                <w:noProof/>
              </w:rPr>
              <w:t xml:space="preserve"> </w:t>
            </w:r>
            <w:r w:rsidRPr="00C25964">
              <w:rPr>
                <w:noProof/>
              </w:rPr>
              <w:br/>
            </w:r>
            <w:r w:rsidRPr="00C25964">
              <w:rPr>
                <w:b/>
                <w:noProof/>
                <w:sz w:val="20"/>
              </w:rPr>
              <w:t>2024</w:t>
            </w:r>
          </w:p>
        </w:tc>
        <w:tc>
          <w:tcPr>
            <w:tcW w:w="2604" w:type="dxa"/>
            <w:gridSpan w:val="3"/>
            <w:vAlign w:val="center"/>
          </w:tcPr>
          <w:p w14:paraId="50883139" w14:textId="77777777" w:rsidR="00252FB9" w:rsidRPr="00C25964" w:rsidRDefault="00252FB9" w:rsidP="00D05F26">
            <w:pPr>
              <w:jc w:val="center"/>
              <w:rPr>
                <w:b/>
                <w:noProof/>
                <w:sz w:val="18"/>
              </w:rPr>
            </w:pPr>
            <w:r w:rsidRPr="00C25964">
              <w:rPr>
                <w:noProof/>
                <w:sz w:val="18"/>
              </w:rPr>
              <w:t xml:space="preserve">Ange så många år som behövs för att redovisa varaktigheten för inverkan på resursanvändningen (jfr punkt 1.6) </w:t>
            </w:r>
          </w:p>
        </w:tc>
        <w:tc>
          <w:tcPr>
            <w:tcW w:w="1777" w:type="dxa"/>
            <w:vAlign w:val="center"/>
          </w:tcPr>
          <w:p w14:paraId="13D53D50" w14:textId="77777777" w:rsidR="00252FB9" w:rsidRPr="00C25964" w:rsidRDefault="00252FB9" w:rsidP="00D05F26">
            <w:pPr>
              <w:jc w:val="center"/>
              <w:rPr>
                <w:b/>
                <w:noProof/>
                <w:sz w:val="20"/>
              </w:rPr>
            </w:pPr>
            <w:r w:rsidRPr="00C25964">
              <w:rPr>
                <w:b/>
                <w:noProof/>
                <w:sz w:val="20"/>
              </w:rPr>
              <w:t>TOTALT</w:t>
            </w:r>
          </w:p>
        </w:tc>
      </w:tr>
      <w:tr w:rsidR="00252FB9" w:rsidRPr="00C25964" w14:paraId="343DC352" w14:textId="77777777" w:rsidTr="00D05F26">
        <w:trPr>
          <w:gridAfter w:val="10"/>
          <w:wAfter w:w="9947" w:type="dxa"/>
        </w:trPr>
        <w:tc>
          <w:tcPr>
            <w:tcW w:w="3960" w:type="dxa"/>
            <w:vAlign w:val="center"/>
          </w:tcPr>
          <w:p w14:paraId="226FC0A2" w14:textId="77777777" w:rsidR="00252FB9" w:rsidRPr="00C25964" w:rsidRDefault="00252FB9" w:rsidP="00D05F26">
            <w:pPr>
              <w:spacing w:before="60" w:after="60"/>
              <w:jc w:val="center"/>
              <w:rPr>
                <w:noProof/>
              </w:rPr>
            </w:pPr>
            <w:r w:rsidRPr="00C25964">
              <w:rPr>
                <w:noProof/>
                <w:sz w:val="22"/>
              </w:rPr>
              <w:t>GD Utbildning och kultur</w:t>
            </w:r>
          </w:p>
        </w:tc>
      </w:tr>
      <w:tr w:rsidR="00252FB9" w:rsidRPr="00C25964" w14:paraId="73107C3A" w14:textId="77777777" w:rsidTr="00D05F26">
        <w:trPr>
          <w:trHeight w:val="313"/>
        </w:trPr>
        <w:tc>
          <w:tcPr>
            <w:tcW w:w="6054" w:type="dxa"/>
            <w:gridSpan w:val="3"/>
            <w:vAlign w:val="center"/>
          </w:tcPr>
          <w:p w14:paraId="407AEAAB" w14:textId="77777777" w:rsidR="00252FB9" w:rsidRPr="00C25964" w:rsidRDefault="00252FB9" w:rsidP="00D05F26">
            <w:pPr>
              <w:spacing w:before="20" w:after="20"/>
              <w:rPr>
                <w:noProof/>
              </w:rPr>
            </w:pPr>
            <w:r w:rsidRPr="00C25964">
              <w:rPr>
                <w:noProof/>
                <w:sz w:val="22"/>
              </w:rPr>
              <w:sym w:font="Wingdings" w:char="F09F"/>
            </w:r>
            <w:r w:rsidRPr="00C25964">
              <w:rPr>
                <w:noProof/>
                <w:sz w:val="22"/>
              </w:rPr>
              <w:t xml:space="preserve"> Personalresurser </w:t>
            </w:r>
          </w:p>
        </w:tc>
        <w:tc>
          <w:tcPr>
            <w:tcW w:w="868" w:type="dxa"/>
            <w:vAlign w:val="center"/>
          </w:tcPr>
          <w:p w14:paraId="46897FB5" w14:textId="77777777" w:rsidR="00252FB9" w:rsidRPr="00C25964" w:rsidRDefault="00252FB9" w:rsidP="00D05F26">
            <w:pPr>
              <w:spacing w:before="20" w:after="20"/>
              <w:jc w:val="right"/>
              <w:rPr>
                <w:noProof/>
                <w:sz w:val="20"/>
                <w:szCs w:val="20"/>
              </w:rPr>
            </w:pPr>
            <w:r w:rsidRPr="00C25964">
              <w:rPr>
                <w:noProof/>
                <w:sz w:val="20"/>
                <w:szCs w:val="20"/>
              </w:rPr>
              <w:t>0,948</w:t>
            </w:r>
          </w:p>
        </w:tc>
        <w:tc>
          <w:tcPr>
            <w:tcW w:w="868" w:type="dxa"/>
            <w:vAlign w:val="center"/>
          </w:tcPr>
          <w:p w14:paraId="23F51793" w14:textId="77777777" w:rsidR="00252FB9" w:rsidRPr="00C25964" w:rsidRDefault="00252FB9" w:rsidP="00D05F26">
            <w:pPr>
              <w:spacing w:before="20" w:after="20"/>
              <w:jc w:val="right"/>
              <w:rPr>
                <w:noProof/>
                <w:sz w:val="20"/>
                <w:szCs w:val="20"/>
              </w:rPr>
            </w:pPr>
            <w:r w:rsidRPr="00C25964">
              <w:rPr>
                <w:noProof/>
                <w:sz w:val="20"/>
                <w:szCs w:val="20"/>
              </w:rPr>
              <w:t>1,358</w:t>
            </w:r>
          </w:p>
        </w:tc>
        <w:tc>
          <w:tcPr>
            <w:tcW w:w="868" w:type="dxa"/>
            <w:vAlign w:val="center"/>
          </w:tcPr>
          <w:p w14:paraId="0C962D8F" w14:textId="77777777" w:rsidR="00252FB9" w:rsidRPr="00C25964" w:rsidRDefault="00252FB9" w:rsidP="00D05F26">
            <w:pPr>
              <w:spacing w:before="20" w:after="20"/>
              <w:jc w:val="right"/>
              <w:rPr>
                <w:noProof/>
                <w:sz w:val="20"/>
                <w:szCs w:val="20"/>
              </w:rPr>
            </w:pPr>
            <w:r w:rsidRPr="00C25964">
              <w:rPr>
                <w:noProof/>
                <w:sz w:val="20"/>
                <w:szCs w:val="20"/>
              </w:rPr>
              <w:t>0,240</w:t>
            </w:r>
          </w:p>
        </w:tc>
        <w:tc>
          <w:tcPr>
            <w:tcW w:w="868" w:type="dxa"/>
            <w:vAlign w:val="center"/>
          </w:tcPr>
          <w:p w14:paraId="785E818A" w14:textId="77777777" w:rsidR="00252FB9" w:rsidRPr="00C25964" w:rsidRDefault="00252FB9" w:rsidP="00D05F26">
            <w:pPr>
              <w:spacing w:before="20" w:after="20"/>
              <w:jc w:val="right"/>
              <w:rPr>
                <w:noProof/>
                <w:sz w:val="20"/>
              </w:rPr>
            </w:pPr>
          </w:p>
        </w:tc>
        <w:tc>
          <w:tcPr>
            <w:tcW w:w="868" w:type="dxa"/>
            <w:vAlign w:val="center"/>
          </w:tcPr>
          <w:p w14:paraId="5C9C8CFB" w14:textId="77777777" w:rsidR="00252FB9" w:rsidRPr="00C25964" w:rsidRDefault="00252FB9" w:rsidP="00D05F26">
            <w:pPr>
              <w:spacing w:before="20" w:after="20"/>
              <w:jc w:val="right"/>
              <w:rPr>
                <w:noProof/>
                <w:sz w:val="20"/>
              </w:rPr>
            </w:pPr>
          </w:p>
        </w:tc>
        <w:tc>
          <w:tcPr>
            <w:tcW w:w="868" w:type="dxa"/>
            <w:vAlign w:val="center"/>
          </w:tcPr>
          <w:p w14:paraId="7CD97124" w14:textId="77777777" w:rsidR="00252FB9" w:rsidRPr="00C25964" w:rsidRDefault="00252FB9" w:rsidP="00D05F26">
            <w:pPr>
              <w:spacing w:before="20" w:after="20"/>
              <w:jc w:val="right"/>
              <w:rPr>
                <w:noProof/>
                <w:sz w:val="20"/>
              </w:rPr>
            </w:pPr>
          </w:p>
        </w:tc>
        <w:tc>
          <w:tcPr>
            <w:tcW w:w="868" w:type="dxa"/>
            <w:vAlign w:val="center"/>
          </w:tcPr>
          <w:p w14:paraId="3CD66ADD" w14:textId="77777777" w:rsidR="00252FB9" w:rsidRPr="00C25964" w:rsidRDefault="00252FB9" w:rsidP="00D05F26">
            <w:pPr>
              <w:spacing w:before="20" w:after="20"/>
              <w:jc w:val="right"/>
              <w:rPr>
                <w:b/>
                <w:noProof/>
                <w:sz w:val="20"/>
              </w:rPr>
            </w:pPr>
          </w:p>
        </w:tc>
        <w:tc>
          <w:tcPr>
            <w:tcW w:w="1777" w:type="dxa"/>
            <w:vAlign w:val="center"/>
          </w:tcPr>
          <w:p w14:paraId="08CE72A3" w14:textId="77777777" w:rsidR="00252FB9" w:rsidRPr="00C25964" w:rsidRDefault="00252FB9" w:rsidP="00D05F26">
            <w:pPr>
              <w:spacing w:before="20" w:after="20"/>
              <w:jc w:val="right"/>
              <w:rPr>
                <w:b/>
                <w:bCs/>
                <w:noProof/>
                <w:sz w:val="20"/>
                <w:szCs w:val="20"/>
              </w:rPr>
            </w:pPr>
            <w:r w:rsidRPr="00C25964">
              <w:rPr>
                <w:b/>
                <w:bCs/>
                <w:noProof/>
                <w:sz w:val="20"/>
                <w:szCs w:val="20"/>
              </w:rPr>
              <w:t>2,546</w:t>
            </w:r>
          </w:p>
        </w:tc>
      </w:tr>
      <w:tr w:rsidR="00252FB9" w:rsidRPr="00C25964" w14:paraId="792EB5FC" w14:textId="77777777" w:rsidTr="00D05F26">
        <w:trPr>
          <w:trHeight w:val="351"/>
        </w:trPr>
        <w:tc>
          <w:tcPr>
            <w:tcW w:w="6054" w:type="dxa"/>
            <w:gridSpan w:val="3"/>
            <w:vAlign w:val="center"/>
          </w:tcPr>
          <w:p w14:paraId="5A7AB2EE" w14:textId="77777777" w:rsidR="00252FB9" w:rsidRPr="00C25964" w:rsidRDefault="00252FB9" w:rsidP="00D05F26">
            <w:pPr>
              <w:spacing w:before="20" w:after="20"/>
              <w:rPr>
                <w:noProof/>
              </w:rPr>
            </w:pPr>
            <w:r w:rsidRPr="00C25964">
              <w:rPr>
                <w:noProof/>
                <w:sz w:val="22"/>
              </w:rPr>
              <w:sym w:font="Wingdings" w:char="F09F"/>
            </w:r>
            <w:r w:rsidRPr="00C25964">
              <w:rPr>
                <w:noProof/>
                <w:sz w:val="22"/>
              </w:rPr>
              <w:t xml:space="preserve"> Övriga administrativa utgifter </w:t>
            </w:r>
          </w:p>
          <w:p w14:paraId="302F4A06" w14:textId="77777777" w:rsidR="00252FB9" w:rsidRPr="00C25964" w:rsidRDefault="00252FB9" w:rsidP="00D05F26">
            <w:pPr>
              <w:spacing w:before="20" w:after="20"/>
              <w:rPr>
                <w:noProof/>
                <w:sz w:val="22"/>
              </w:rPr>
            </w:pPr>
          </w:p>
        </w:tc>
        <w:tc>
          <w:tcPr>
            <w:tcW w:w="868" w:type="dxa"/>
            <w:vAlign w:val="center"/>
          </w:tcPr>
          <w:p w14:paraId="2137A1CC" w14:textId="77777777" w:rsidR="00252FB9" w:rsidRPr="00C25964" w:rsidRDefault="00252FB9" w:rsidP="00D05F26">
            <w:pPr>
              <w:spacing w:before="20" w:after="20"/>
              <w:jc w:val="right"/>
              <w:rPr>
                <w:b/>
                <w:noProof/>
                <w:sz w:val="20"/>
                <w:szCs w:val="20"/>
              </w:rPr>
            </w:pPr>
          </w:p>
        </w:tc>
        <w:tc>
          <w:tcPr>
            <w:tcW w:w="868" w:type="dxa"/>
            <w:vAlign w:val="center"/>
          </w:tcPr>
          <w:p w14:paraId="6E46CBE0" w14:textId="77777777" w:rsidR="00252FB9" w:rsidRPr="00C25964" w:rsidRDefault="00252FB9" w:rsidP="00D05F26">
            <w:pPr>
              <w:spacing w:before="20" w:after="20"/>
              <w:jc w:val="right"/>
              <w:rPr>
                <w:noProof/>
                <w:sz w:val="20"/>
                <w:szCs w:val="20"/>
              </w:rPr>
            </w:pPr>
            <w:r w:rsidRPr="00C25964">
              <w:rPr>
                <w:bCs/>
                <w:noProof/>
                <w:sz w:val="20"/>
                <w:szCs w:val="20"/>
              </w:rPr>
              <w:t>0,012</w:t>
            </w:r>
          </w:p>
        </w:tc>
        <w:tc>
          <w:tcPr>
            <w:tcW w:w="868" w:type="dxa"/>
            <w:vAlign w:val="center"/>
          </w:tcPr>
          <w:p w14:paraId="2D083621" w14:textId="77777777" w:rsidR="00252FB9" w:rsidRPr="00C25964" w:rsidRDefault="00252FB9" w:rsidP="00D05F26">
            <w:pPr>
              <w:spacing w:before="20" w:after="20"/>
              <w:jc w:val="right"/>
              <w:rPr>
                <w:b/>
                <w:noProof/>
                <w:sz w:val="20"/>
                <w:szCs w:val="20"/>
              </w:rPr>
            </w:pPr>
          </w:p>
        </w:tc>
        <w:tc>
          <w:tcPr>
            <w:tcW w:w="868" w:type="dxa"/>
            <w:vAlign w:val="center"/>
          </w:tcPr>
          <w:p w14:paraId="2F115D3E" w14:textId="77777777" w:rsidR="00252FB9" w:rsidRPr="00C25964" w:rsidRDefault="00252FB9" w:rsidP="00D05F26">
            <w:pPr>
              <w:spacing w:before="20" w:after="20"/>
              <w:jc w:val="right"/>
              <w:rPr>
                <w:b/>
                <w:noProof/>
                <w:sz w:val="20"/>
              </w:rPr>
            </w:pPr>
          </w:p>
        </w:tc>
        <w:tc>
          <w:tcPr>
            <w:tcW w:w="868" w:type="dxa"/>
            <w:vAlign w:val="center"/>
          </w:tcPr>
          <w:p w14:paraId="4832D16A" w14:textId="77777777" w:rsidR="00252FB9" w:rsidRPr="00C25964" w:rsidRDefault="00252FB9" w:rsidP="00D05F26">
            <w:pPr>
              <w:spacing w:before="20" w:after="20"/>
              <w:jc w:val="right"/>
              <w:rPr>
                <w:b/>
                <w:noProof/>
                <w:sz w:val="20"/>
              </w:rPr>
            </w:pPr>
          </w:p>
        </w:tc>
        <w:tc>
          <w:tcPr>
            <w:tcW w:w="868" w:type="dxa"/>
            <w:vAlign w:val="center"/>
          </w:tcPr>
          <w:p w14:paraId="6098AAB2" w14:textId="77777777" w:rsidR="00252FB9" w:rsidRPr="00C25964" w:rsidRDefault="00252FB9" w:rsidP="00D05F26">
            <w:pPr>
              <w:spacing w:before="20" w:after="20"/>
              <w:jc w:val="right"/>
              <w:rPr>
                <w:b/>
                <w:noProof/>
                <w:sz w:val="20"/>
              </w:rPr>
            </w:pPr>
          </w:p>
        </w:tc>
        <w:tc>
          <w:tcPr>
            <w:tcW w:w="868" w:type="dxa"/>
            <w:vAlign w:val="center"/>
          </w:tcPr>
          <w:p w14:paraId="5BD94AAD" w14:textId="77777777" w:rsidR="00252FB9" w:rsidRPr="00C25964" w:rsidRDefault="00252FB9" w:rsidP="00D05F26">
            <w:pPr>
              <w:spacing w:before="20" w:after="20"/>
              <w:jc w:val="right"/>
              <w:rPr>
                <w:b/>
                <w:noProof/>
                <w:sz w:val="20"/>
              </w:rPr>
            </w:pPr>
          </w:p>
        </w:tc>
        <w:tc>
          <w:tcPr>
            <w:tcW w:w="1777" w:type="dxa"/>
            <w:vAlign w:val="center"/>
          </w:tcPr>
          <w:p w14:paraId="3A12AAC9" w14:textId="77777777" w:rsidR="00252FB9" w:rsidRPr="00C25964" w:rsidRDefault="00252FB9" w:rsidP="00D05F26">
            <w:pPr>
              <w:spacing w:before="20" w:after="20"/>
              <w:jc w:val="right"/>
              <w:rPr>
                <w:b/>
                <w:bCs/>
                <w:noProof/>
                <w:sz w:val="20"/>
                <w:szCs w:val="20"/>
              </w:rPr>
            </w:pPr>
            <w:r w:rsidRPr="00C25964">
              <w:rPr>
                <w:b/>
                <w:bCs/>
                <w:noProof/>
                <w:sz w:val="20"/>
                <w:szCs w:val="20"/>
              </w:rPr>
              <w:t>0,012</w:t>
            </w:r>
          </w:p>
        </w:tc>
      </w:tr>
      <w:tr w:rsidR="00252FB9" w:rsidRPr="00C25964" w14:paraId="34040FD1" w14:textId="77777777" w:rsidTr="00D05F26">
        <w:tc>
          <w:tcPr>
            <w:tcW w:w="3960" w:type="dxa"/>
            <w:vAlign w:val="center"/>
          </w:tcPr>
          <w:p w14:paraId="10088401" w14:textId="77777777" w:rsidR="00252FB9" w:rsidRPr="00C25964" w:rsidRDefault="00252FB9" w:rsidP="00D05F26">
            <w:pPr>
              <w:jc w:val="center"/>
              <w:rPr>
                <w:b/>
                <w:noProof/>
              </w:rPr>
            </w:pPr>
            <w:r w:rsidRPr="00C25964">
              <w:rPr>
                <w:b/>
                <w:noProof/>
                <w:sz w:val="22"/>
              </w:rPr>
              <w:t>TOTALT GD</w:t>
            </w:r>
            <w:r w:rsidRPr="00C25964">
              <w:rPr>
                <w:noProof/>
                <w:sz w:val="22"/>
              </w:rPr>
              <w:t xml:space="preserve"> Utbildning och kultur</w:t>
            </w:r>
          </w:p>
        </w:tc>
        <w:tc>
          <w:tcPr>
            <w:tcW w:w="2094" w:type="dxa"/>
            <w:gridSpan w:val="2"/>
            <w:vAlign w:val="center"/>
          </w:tcPr>
          <w:p w14:paraId="31BCCCCB" w14:textId="77777777" w:rsidR="00252FB9" w:rsidRPr="00C25964" w:rsidRDefault="00252FB9" w:rsidP="00D05F26">
            <w:pPr>
              <w:rPr>
                <w:noProof/>
                <w:sz w:val="14"/>
              </w:rPr>
            </w:pPr>
            <w:r w:rsidRPr="00C25964">
              <w:rPr>
                <w:noProof/>
                <w:sz w:val="18"/>
              </w:rPr>
              <w:t xml:space="preserve">Anslag </w:t>
            </w:r>
          </w:p>
        </w:tc>
        <w:tc>
          <w:tcPr>
            <w:tcW w:w="868" w:type="dxa"/>
            <w:vAlign w:val="center"/>
          </w:tcPr>
          <w:p w14:paraId="33094497" w14:textId="77777777" w:rsidR="00252FB9" w:rsidRPr="00C25964" w:rsidRDefault="00252FB9" w:rsidP="00D05F26">
            <w:pPr>
              <w:spacing w:before="20" w:after="20"/>
              <w:jc w:val="right"/>
              <w:rPr>
                <w:noProof/>
                <w:sz w:val="20"/>
                <w:szCs w:val="20"/>
              </w:rPr>
            </w:pPr>
            <w:r w:rsidRPr="00C25964">
              <w:rPr>
                <w:noProof/>
                <w:sz w:val="20"/>
                <w:szCs w:val="20"/>
              </w:rPr>
              <w:t>0,948</w:t>
            </w:r>
          </w:p>
        </w:tc>
        <w:tc>
          <w:tcPr>
            <w:tcW w:w="868" w:type="dxa"/>
            <w:vAlign w:val="center"/>
          </w:tcPr>
          <w:p w14:paraId="05991B38" w14:textId="77777777" w:rsidR="00252FB9" w:rsidRPr="00C25964" w:rsidRDefault="00252FB9" w:rsidP="00D05F26">
            <w:pPr>
              <w:spacing w:before="20" w:after="20"/>
              <w:jc w:val="right"/>
              <w:rPr>
                <w:noProof/>
                <w:sz w:val="20"/>
                <w:szCs w:val="20"/>
              </w:rPr>
            </w:pPr>
            <w:r w:rsidRPr="00C25964">
              <w:rPr>
                <w:noProof/>
                <w:sz w:val="20"/>
                <w:szCs w:val="20"/>
              </w:rPr>
              <w:t>1,370</w:t>
            </w:r>
          </w:p>
        </w:tc>
        <w:tc>
          <w:tcPr>
            <w:tcW w:w="868" w:type="dxa"/>
            <w:vAlign w:val="center"/>
          </w:tcPr>
          <w:p w14:paraId="5DB5D5F6" w14:textId="77777777" w:rsidR="00252FB9" w:rsidRPr="00C25964" w:rsidRDefault="00252FB9" w:rsidP="00D05F26">
            <w:pPr>
              <w:spacing w:before="20" w:after="20"/>
              <w:jc w:val="right"/>
              <w:rPr>
                <w:noProof/>
                <w:sz w:val="20"/>
                <w:szCs w:val="20"/>
              </w:rPr>
            </w:pPr>
            <w:r w:rsidRPr="00C25964">
              <w:rPr>
                <w:noProof/>
                <w:sz w:val="20"/>
                <w:szCs w:val="20"/>
              </w:rPr>
              <w:t>0,240</w:t>
            </w:r>
          </w:p>
        </w:tc>
        <w:tc>
          <w:tcPr>
            <w:tcW w:w="868" w:type="dxa"/>
            <w:vAlign w:val="center"/>
          </w:tcPr>
          <w:p w14:paraId="23DE1510" w14:textId="77777777" w:rsidR="00252FB9" w:rsidRPr="00C25964" w:rsidRDefault="00252FB9" w:rsidP="00D05F26">
            <w:pPr>
              <w:spacing w:before="20" w:after="20"/>
              <w:jc w:val="right"/>
              <w:rPr>
                <w:noProof/>
                <w:sz w:val="20"/>
              </w:rPr>
            </w:pPr>
          </w:p>
        </w:tc>
        <w:tc>
          <w:tcPr>
            <w:tcW w:w="868" w:type="dxa"/>
            <w:vAlign w:val="center"/>
          </w:tcPr>
          <w:p w14:paraId="19DAC05C" w14:textId="77777777" w:rsidR="00252FB9" w:rsidRPr="00C25964" w:rsidRDefault="00252FB9" w:rsidP="00D05F26">
            <w:pPr>
              <w:spacing w:before="20" w:after="20"/>
              <w:jc w:val="right"/>
              <w:rPr>
                <w:noProof/>
                <w:sz w:val="20"/>
              </w:rPr>
            </w:pPr>
          </w:p>
        </w:tc>
        <w:tc>
          <w:tcPr>
            <w:tcW w:w="868" w:type="dxa"/>
            <w:vAlign w:val="center"/>
          </w:tcPr>
          <w:p w14:paraId="78125013" w14:textId="77777777" w:rsidR="00252FB9" w:rsidRPr="00C25964" w:rsidRDefault="00252FB9" w:rsidP="00D05F26">
            <w:pPr>
              <w:spacing w:before="20" w:after="20"/>
              <w:jc w:val="right"/>
              <w:rPr>
                <w:noProof/>
                <w:sz w:val="20"/>
              </w:rPr>
            </w:pPr>
          </w:p>
        </w:tc>
        <w:tc>
          <w:tcPr>
            <w:tcW w:w="868" w:type="dxa"/>
            <w:vAlign w:val="center"/>
          </w:tcPr>
          <w:p w14:paraId="7196F41E" w14:textId="77777777" w:rsidR="00252FB9" w:rsidRPr="00C25964" w:rsidRDefault="00252FB9" w:rsidP="00D05F26">
            <w:pPr>
              <w:spacing w:before="20" w:after="20"/>
              <w:jc w:val="right"/>
              <w:rPr>
                <w:b/>
                <w:noProof/>
                <w:sz w:val="20"/>
              </w:rPr>
            </w:pPr>
          </w:p>
        </w:tc>
        <w:tc>
          <w:tcPr>
            <w:tcW w:w="1777" w:type="dxa"/>
            <w:vAlign w:val="center"/>
          </w:tcPr>
          <w:p w14:paraId="47200F9F" w14:textId="77777777" w:rsidR="00252FB9" w:rsidRPr="00C25964" w:rsidRDefault="00252FB9" w:rsidP="00D05F26">
            <w:pPr>
              <w:spacing w:before="20" w:after="20"/>
              <w:jc w:val="right"/>
              <w:rPr>
                <w:b/>
                <w:bCs/>
                <w:noProof/>
                <w:sz w:val="20"/>
                <w:szCs w:val="20"/>
              </w:rPr>
            </w:pPr>
            <w:r w:rsidRPr="00C25964">
              <w:rPr>
                <w:b/>
                <w:bCs/>
                <w:noProof/>
                <w:sz w:val="20"/>
                <w:szCs w:val="20"/>
              </w:rPr>
              <w:t>2,558</w:t>
            </w:r>
          </w:p>
        </w:tc>
      </w:tr>
    </w:tbl>
    <w:p w14:paraId="1ADFA297" w14:textId="77777777" w:rsidR="00252FB9" w:rsidRPr="00C25964" w:rsidRDefault="00252FB9" w:rsidP="00252FB9">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252FB9" w:rsidRPr="00C25964" w14:paraId="457B47C4" w14:textId="77777777" w:rsidTr="00D05F26">
        <w:tc>
          <w:tcPr>
            <w:tcW w:w="3960" w:type="dxa"/>
            <w:shd w:val="clear" w:color="auto" w:fill="auto"/>
            <w:vAlign w:val="center"/>
          </w:tcPr>
          <w:p w14:paraId="106D3048" w14:textId="77777777" w:rsidR="00252FB9" w:rsidRPr="00C25964" w:rsidRDefault="00252FB9" w:rsidP="00D05F26">
            <w:pPr>
              <w:jc w:val="center"/>
              <w:rPr>
                <w:b/>
                <w:noProof/>
              </w:rPr>
            </w:pPr>
            <w:r w:rsidRPr="00C25964">
              <w:rPr>
                <w:b/>
                <w:noProof/>
                <w:sz w:val="22"/>
              </w:rPr>
              <w:t>TOTALA anslag</w:t>
            </w:r>
            <w:r w:rsidRPr="00C25964">
              <w:rPr>
                <w:noProof/>
              </w:rPr>
              <w:t xml:space="preserve"> </w:t>
            </w:r>
            <w:r w:rsidRPr="00C25964">
              <w:rPr>
                <w:noProof/>
              </w:rPr>
              <w:br/>
            </w:r>
            <w:r w:rsidRPr="00C25964">
              <w:rPr>
                <w:b/>
                <w:noProof/>
                <w:sz w:val="22"/>
              </w:rPr>
              <w:t>för RUBRIK 7</w:t>
            </w:r>
            <w:r w:rsidRPr="00C25964">
              <w:rPr>
                <w:noProof/>
              </w:rPr>
              <w:t xml:space="preserve"> </w:t>
            </w:r>
            <w:r w:rsidRPr="00C25964">
              <w:rPr>
                <w:noProof/>
              </w:rPr>
              <w:br/>
            </w:r>
            <w:r w:rsidRPr="00C25964">
              <w:rPr>
                <w:noProof/>
                <w:sz w:val="22"/>
              </w:rPr>
              <w:t>i den fleråriga budgetramen</w:t>
            </w:r>
            <w:r w:rsidRPr="00C25964">
              <w:rPr>
                <w:b/>
                <w:noProof/>
                <w:sz w:val="22"/>
              </w:rPr>
              <w:t xml:space="preserve"> </w:t>
            </w:r>
          </w:p>
        </w:tc>
        <w:tc>
          <w:tcPr>
            <w:tcW w:w="2094" w:type="dxa"/>
            <w:vAlign w:val="center"/>
          </w:tcPr>
          <w:p w14:paraId="47E20130" w14:textId="77777777" w:rsidR="00252FB9" w:rsidRPr="00C25964" w:rsidRDefault="00252FB9" w:rsidP="00D05F26">
            <w:pPr>
              <w:spacing w:before="40" w:after="40"/>
              <w:rPr>
                <w:noProof/>
              </w:rPr>
            </w:pPr>
            <w:r w:rsidRPr="00C25964">
              <w:rPr>
                <w:noProof/>
                <w:sz w:val="18"/>
              </w:rPr>
              <w:t>(summa åtaganden = summa betalningar)</w:t>
            </w:r>
          </w:p>
        </w:tc>
        <w:tc>
          <w:tcPr>
            <w:tcW w:w="868" w:type="dxa"/>
            <w:vAlign w:val="center"/>
          </w:tcPr>
          <w:p w14:paraId="44546FC5" w14:textId="77777777" w:rsidR="00252FB9" w:rsidRPr="00C25964" w:rsidRDefault="00252FB9" w:rsidP="00D05F26">
            <w:pPr>
              <w:spacing w:before="20" w:after="20"/>
              <w:jc w:val="right"/>
              <w:rPr>
                <w:noProof/>
                <w:sz w:val="20"/>
                <w:szCs w:val="20"/>
              </w:rPr>
            </w:pPr>
            <w:r w:rsidRPr="00C25964">
              <w:rPr>
                <w:noProof/>
                <w:sz w:val="20"/>
                <w:szCs w:val="20"/>
              </w:rPr>
              <w:t>0,948</w:t>
            </w:r>
          </w:p>
        </w:tc>
        <w:tc>
          <w:tcPr>
            <w:tcW w:w="868" w:type="dxa"/>
            <w:vAlign w:val="center"/>
          </w:tcPr>
          <w:p w14:paraId="7650B087" w14:textId="77777777" w:rsidR="00252FB9" w:rsidRPr="00C25964" w:rsidRDefault="00252FB9" w:rsidP="00D05F26">
            <w:pPr>
              <w:spacing w:before="20" w:after="20"/>
              <w:jc w:val="right"/>
              <w:rPr>
                <w:noProof/>
                <w:sz w:val="20"/>
                <w:szCs w:val="20"/>
              </w:rPr>
            </w:pPr>
            <w:r w:rsidRPr="00C25964">
              <w:rPr>
                <w:noProof/>
                <w:sz w:val="20"/>
                <w:szCs w:val="20"/>
              </w:rPr>
              <w:t>1,370</w:t>
            </w:r>
          </w:p>
        </w:tc>
        <w:tc>
          <w:tcPr>
            <w:tcW w:w="868" w:type="dxa"/>
            <w:vAlign w:val="center"/>
          </w:tcPr>
          <w:p w14:paraId="109134B1" w14:textId="77777777" w:rsidR="00252FB9" w:rsidRPr="00C25964" w:rsidRDefault="00252FB9" w:rsidP="00D05F26">
            <w:pPr>
              <w:spacing w:before="20" w:after="20"/>
              <w:jc w:val="right"/>
              <w:rPr>
                <w:noProof/>
                <w:sz w:val="20"/>
                <w:szCs w:val="20"/>
              </w:rPr>
            </w:pPr>
            <w:r w:rsidRPr="00C25964">
              <w:rPr>
                <w:noProof/>
                <w:sz w:val="20"/>
                <w:szCs w:val="20"/>
              </w:rPr>
              <w:t>0,240</w:t>
            </w:r>
          </w:p>
        </w:tc>
        <w:tc>
          <w:tcPr>
            <w:tcW w:w="868" w:type="dxa"/>
            <w:vAlign w:val="center"/>
          </w:tcPr>
          <w:p w14:paraId="2D9F1157" w14:textId="77777777" w:rsidR="00252FB9" w:rsidRPr="00C25964" w:rsidRDefault="00252FB9" w:rsidP="00D05F26">
            <w:pPr>
              <w:spacing w:before="20" w:after="20"/>
              <w:jc w:val="right"/>
              <w:rPr>
                <w:noProof/>
                <w:sz w:val="20"/>
              </w:rPr>
            </w:pPr>
          </w:p>
        </w:tc>
        <w:tc>
          <w:tcPr>
            <w:tcW w:w="868" w:type="dxa"/>
            <w:vAlign w:val="center"/>
          </w:tcPr>
          <w:p w14:paraId="4A69026F" w14:textId="77777777" w:rsidR="00252FB9" w:rsidRPr="00C25964" w:rsidRDefault="00252FB9" w:rsidP="00D05F26">
            <w:pPr>
              <w:spacing w:before="20" w:after="20"/>
              <w:jc w:val="right"/>
              <w:rPr>
                <w:noProof/>
                <w:sz w:val="20"/>
              </w:rPr>
            </w:pPr>
          </w:p>
        </w:tc>
        <w:tc>
          <w:tcPr>
            <w:tcW w:w="868" w:type="dxa"/>
            <w:vAlign w:val="center"/>
          </w:tcPr>
          <w:p w14:paraId="398F2F45" w14:textId="77777777" w:rsidR="00252FB9" w:rsidRPr="00C25964" w:rsidRDefault="00252FB9" w:rsidP="00D05F26">
            <w:pPr>
              <w:spacing w:before="20" w:after="20"/>
              <w:jc w:val="right"/>
              <w:rPr>
                <w:noProof/>
                <w:sz w:val="20"/>
              </w:rPr>
            </w:pPr>
          </w:p>
        </w:tc>
        <w:tc>
          <w:tcPr>
            <w:tcW w:w="868" w:type="dxa"/>
            <w:vAlign w:val="center"/>
          </w:tcPr>
          <w:p w14:paraId="451546D4" w14:textId="77777777" w:rsidR="00252FB9" w:rsidRPr="00C25964" w:rsidRDefault="00252FB9" w:rsidP="00D05F26">
            <w:pPr>
              <w:spacing w:before="20" w:after="20"/>
              <w:jc w:val="right"/>
              <w:rPr>
                <w:b/>
                <w:noProof/>
                <w:sz w:val="20"/>
              </w:rPr>
            </w:pPr>
          </w:p>
        </w:tc>
        <w:tc>
          <w:tcPr>
            <w:tcW w:w="1777" w:type="dxa"/>
            <w:vAlign w:val="center"/>
          </w:tcPr>
          <w:p w14:paraId="5C4B07E8" w14:textId="77777777" w:rsidR="00252FB9" w:rsidRPr="00C25964" w:rsidRDefault="00252FB9" w:rsidP="00D05F26">
            <w:pPr>
              <w:jc w:val="right"/>
              <w:rPr>
                <w:b/>
                <w:bCs/>
                <w:noProof/>
                <w:sz w:val="20"/>
                <w:szCs w:val="20"/>
              </w:rPr>
            </w:pPr>
            <w:r w:rsidRPr="00C25964">
              <w:rPr>
                <w:b/>
                <w:bCs/>
                <w:noProof/>
                <w:sz w:val="20"/>
                <w:szCs w:val="20"/>
              </w:rPr>
              <w:t>2,558</w:t>
            </w:r>
          </w:p>
        </w:tc>
      </w:tr>
    </w:tbl>
    <w:p w14:paraId="257D070B" w14:textId="77777777" w:rsidR="00252FB9" w:rsidRPr="00C25964" w:rsidRDefault="00252FB9" w:rsidP="00252FB9">
      <w:pPr>
        <w:jc w:val="right"/>
        <w:rPr>
          <w:noProof/>
          <w:sz w:val="20"/>
        </w:rPr>
      </w:pPr>
      <w:r w:rsidRPr="00C25964">
        <w:rPr>
          <w:noProof/>
          <w:sz w:val="20"/>
        </w:rPr>
        <w:t>Miljoner euro (avrundat till tre decimaler)</w:t>
      </w:r>
    </w:p>
    <w:tbl>
      <w:tblPr>
        <w:tblStyle w:val="TableGrid"/>
        <w:tblW w:w="0" w:type="auto"/>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252FB9" w:rsidRPr="00C25964" w14:paraId="4D075AC1" w14:textId="77777777" w:rsidTr="00D05F26">
        <w:tc>
          <w:tcPr>
            <w:tcW w:w="3960" w:type="dxa"/>
          </w:tcPr>
          <w:p w14:paraId="4883E67F" w14:textId="77777777" w:rsidR="00252FB9" w:rsidRPr="00C25964" w:rsidRDefault="00252FB9" w:rsidP="00D05F26">
            <w:pPr>
              <w:jc w:val="center"/>
              <w:rPr>
                <w:noProof/>
              </w:rPr>
            </w:pPr>
          </w:p>
        </w:tc>
        <w:tc>
          <w:tcPr>
            <w:tcW w:w="1560" w:type="dxa"/>
          </w:tcPr>
          <w:p w14:paraId="072E6424" w14:textId="77777777" w:rsidR="00252FB9" w:rsidRPr="00C25964" w:rsidRDefault="00252FB9" w:rsidP="00D05F26">
            <w:pPr>
              <w:rPr>
                <w:noProof/>
                <w:sz w:val="20"/>
              </w:rPr>
            </w:pPr>
          </w:p>
        </w:tc>
        <w:tc>
          <w:tcPr>
            <w:tcW w:w="534" w:type="dxa"/>
          </w:tcPr>
          <w:p w14:paraId="19C46FEE" w14:textId="77777777" w:rsidR="00252FB9" w:rsidRPr="00C25964" w:rsidRDefault="00252FB9" w:rsidP="00D05F26">
            <w:pPr>
              <w:jc w:val="center"/>
              <w:rPr>
                <w:noProof/>
                <w:sz w:val="20"/>
              </w:rPr>
            </w:pPr>
          </w:p>
        </w:tc>
        <w:tc>
          <w:tcPr>
            <w:tcW w:w="868" w:type="dxa"/>
          </w:tcPr>
          <w:p w14:paraId="2006AF71" w14:textId="77777777" w:rsidR="00252FB9" w:rsidRPr="00C25964" w:rsidRDefault="00252FB9" w:rsidP="00D05F26">
            <w:pPr>
              <w:jc w:val="center"/>
              <w:rPr>
                <w:noProof/>
                <w:sz w:val="20"/>
                <w:szCs w:val="20"/>
              </w:rPr>
            </w:pPr>
            <w:r w:rsidRPr="00C25964">
              <w:rPr>
                <w:noProof/>
                <w:sz w:val="20"/>
                <w:szCs w:val="20"/>
              </w:rPr>
              <w:t>2021</w:t>
            </w:r>
            <w:r w:rsidRPr="00C25964">
              <w:rPr>
                <w:rStyle w:val="FootnoteReference0"/>
                <w:bCs/>
                <w:noProof/>
                <w:sz w:val="20"/>
                <w:szCs w:val="20"/>
              </w:rPr>
              <w:footnoteReference w:id="36"/>
            </w:r>
          </w:p>
        </w:tc>
        <w:tc>
          <w:tcPr>
            <w:tcW w:w="868" w:type="dxa"/>
          </w:tcPr>
          <w:p w14:paraId="3B853B72" w14:textId="77777777" w:rsidR="00252FB9" w:rsidRPr="00C25964" w:rsidRDefault="00252FB9" w:rsidP="00D05F26">
            <w:pPr>
              <w:jc w:val="center"/>
              <w:rPr>
                <w:noProof/>
                <w:sz w:val="20"/>
                <w:szCs w:val="20"/>
              </w:rPr>
            </w:pPr>
            <w:r w:rsidRPr="00C25964">
              <w:rPr>
                <w:noProof/>
                <w:sz w:val="20"/>
                <w:szCs w:val="20"/>
              </w:rPr>
              <w:t>2022</w:t>
            </w:r>
          </w:p>
        </w:tc>
        <w:tc>
          <w:tcPr>
            <w:tcW w:w="868" w:type="dxa"/>
          </w:tcPr>
          <w:p w14:paraId="01466381" w14:textId="77777777" w:rsidR="00252FB9" w:rsidRPr="00C25964" w:rsidRDefault="00252FB9" w:rsidP="00D05F26">
            <w:pPr>
              <w:jc w:val="center"/>
              <w:rPr>
                <w:noProof/>
                <w:sz w:val="20"/>
                <w:szCs w:val="20"/>
              </w:rPr>
            </w:pPr>
            <w:r w:rsidRPr="00C25964">
              <w:rPr>
                <w:noProof/>
                <w:sz w:val="20"/>
                <w:szCs w:val="20"/>
              </w:rPr>
              <w:t>2023</w:t>
            </w:r>
          </w:p>
        </w:tc>
        <w:tc>
          <w:tcPr>
            <w:tcW w:w="868" w:type="dxa"/>
          </w:tcPr>
          <w:p w14:paraId="0463EC3C" w14:textId="77777777" w:rsidR="00252FB9" w:rsidRPr="00C25964" w:rsidRDefault="00252FB9" w:rsidP="00D05F26">
            <w:pPr>
              <w:jc w:val="center"/>
              <w:rPr>
                <w:noProof/>
                <w:sz w:val="20"/>
                <w:szCs w:val="20"/>
              </w:rPr>
            </w:pPr>
            <w:r w:rsidRPr="00C25964">
              <w:rPr>
                <w:noProof/>
                <w:sz w:val="20"/>
                <w:szCs w:val="20"/>
              </w:rPr>
              <w:t>2024</w:t>
            </w:r>
          </w:p>
        </w:tc>
        <w:tc>
          <w:tcPr>
            <w:tcW w:w="2604" w:type="dxa"/>
            <w:gridSpan w:val="3"/>
          </w:tcPr>
          <w:p w14:paraId="086A7F43" w14:textId="77777777" w:rsidR="00252FB9" w:rsidRPr="00C25964" w:rsidRDefault="00252FB9" w:rsidP="00D05F26">
            <w:pPr>
              <w:jc w:val="center"/>
              <w:rPr>
                <w:b/>
                <w:noProof/>
                <w:sz w:val="18"/>
              </w:rPr>
            </w:pPr>
            <w:r w:rsidRPr="00C25964">
              <w:rPr>
                <w:noProof/>
                <w:sz w:val="18"/>
              </w:rPr>
              <w:t>Ange så många år som behövs för att redovisa varaktigheten för inverkan på resursanvändningen (jfr punkt 1.6)</w:t>
            </w:r>
          </w:p>
        </w:tc>
        <w:tc>
          <w:tcPr>
            <w:tcW w:w="1777" w:type="dxa"/>
          </w:tcPr>
          <w:p w14:paraId="78A0D48F" w14:textId="77777777" w:rsidR="00252FB9" w:rsidRPr="00C25964" w:rsidRDefault="00252FB9" w:rsidP="00D05F26">
            <w:pPr>
              <w:jc w:val="center"/>
              <w:rPr>
                <w:b/>
                <w:noProof/>
                <w:sz w:val="20"/>
              </w:rPr>
            </w:pPr>
            <w:r w:rsidRPr="00C25964">
              <w:rPr>
                <w:b/>
                <w:noProof/>
                <w:sz w:val="20"/>
              </w:rPr>
              <w:t>TOTALT</w:t>
            </w:r>
          </w:p>
        </w:tc>
      </w:tr>
      <w:tr w:rsidR="00252FB9" w:rsidRPr="00C25964" w14:paraId="058F1EED" w14:textId="77777777" w:rsidTr="00D05F26">
        <w:tc>
          <w:tcPr>
            <w:tcW w:w="3960" w:type="dxa"/>
            <w:vMerge w:val="restart"/>
          </w:tcPr>
          <w:p w14:paraId="2E31843E" w14:textId="77777777" w:rsidR="00252FB9" w:rsidRPr="00C25964" w:rsidRDefault="00252FB9" w:rsidP="00D05F26">
            <w:pPr>
              <w:jc w:val="center"/>
              <w:rPr>
                <w:b/>
                <w:noProof/>
              </w:rPr>
            </w:pPr>
            <w:r w:rsidRPr="00C25964">
              <w:rPr>
                <w:b/>
                <w:noProof/>
                <w:sz w:val="22"/>
              </w:rPr>
              <w:t xml:space="preserve">TOTALA anslag  </w:t>
            </w:r>
            <w:r w:rsidRPr="00C25964">
              <w:rPr>
                <w:noProof/>
              </w:rPr>
              <w:t xml:space="preserve"> </w:t>
            </w:r>
            <w:r w:rsidRPr="00C25964">
              <w:rPr>
                <w:noProof/>
              </w:rPr>
              <w:br/>
            </w:r>
            <w:r w:rsidRPr="00C25964">
              <w:rPr>
                <w:b/>
                <w:noProof/>
                <w:sz w:val="22"/>
              </w:rPr>
              <w:t>för RUBRIKERNA 1–7</w:t>
            </w:r>
            <w:r w:rsidRPr="00C25964">
              <w:rPr>
                <w:noProof/>
              </w:rPr>
              <w:t xml:space="preserve"> </w:t>
            </w:r>
            <w:r w:rsidRPr="00C25964">
              <w:rPr>
                <w:noProof/>
              </w:rPr>
              <w:br/>
            </w:r>
            <w:r w:rsidRPr="00C25964">
              <w:rPr>
                <w:noProof/>
                <w:sz w:val="22"/>
              </w:rPr>
              <w:t>i den fleråriga budgetramen</w:t>
            </w:r>
            <w:r w:rsidRPr="00C25964">
              <w:rPr>
                <w:b/>
                <w:noProof/>
                <w:sz w:val="22"/>
              </w:rPr>
              <w:t xml:space="preserve"> </w:t>
            </w:r>
          </w:p>
        </w:tc>
        <w:tc>
          <w:tcPr>
            <w:tcW w:w="2094" w:type="dxa"/>
            <w:gridSpan w:val="2"/>
          </w:tcPr>
          <w:p w14:paraId="3CAB081B" w14:textId="77777777" w:rsidR="00252FB9" w:rsidRPr="00C25964" w:rsidRDefault="00252FB9" w:rsidP="00D05F26">
            <w:pPr>
              <w:rPr>
                <w:noProof/>
                <w:sz w:val="14"/>
              </w:rPr>
            </w:pPr>
            <w:r w:rsidRPr="00C25964">
              <w:rPr>
                <w:noProof/>
                <w:sz w:val="18"/>
              </w:rPr>
              <w:t>Åtaganden</w:t>
            </w:r>
          </w:p>
        </w:tc>
        <w:tc>
          <w:tcPr>
            <w:tcW w:w="868" w:type="dxa"/>
          </w:tcPr>
          <w:p w14:paraId="0862B586" w14:textId="77777777" w:rsidR="00252FB9" w:rsidRPr="00C25964" w:rsidRDefault="00252FB9" w:rsidP="00D05F26">
            <w:pPr>
              <w:spacing w:before="20" w:after="20"/>
              <w:jc w:val="right"/>
              <w:rPr>
                <w:noProof/>
                <w:sz w:val="20"/>
                <w:szCs w:val="20"/>
              </w:rPr>
            </w:pPr>
            <w:r w:rsidRPr="00C25964">
              <w:rPr>
                <w:noProof/>
                <w:sz w:val="20"/>
                <w:szCs w:val="20"/>
              </w:rPr>
              <w:t>0,948</w:t>
            </w:r>
          </w:p>
        </w:tc>
        <w:tc>
          <w:tcPr>
            <w:tcW w:w="868" w:type="dxa"/>
          </w:tcPr>
          <w:p w14:paraId="4DDA949E" w14:textId="77777777" w:rsidR="00252FB9" w:rsidRPr="00C25964" w:rsidRDefault="00252FB9" w:rsidP="00D05F26">
            <w:pPr>
              <w:spacing w:before="20" w:after="20"/>
              <w:jc w:val="right"/>
              <w:rPr>
                <w:noProof/>
                <w:sz w:val="20"/>
                <w:szCs w:val="20"/>
              </w:rPr>
            </w:pPr>
            <w:r w:rsidRPr="00C25964">
              <w:rPr>
                <w:noProof/>
                <w:sz w:val="20"/>
                <w:szCs w:val="20"/>
              </w:rPr>
              <w:t>9,620</w:t>
            </w:r>
          </w:p>
        </w:tc>
        <w:tc>
          <w:tcPr>
            <w:tcW w:w="868" w:type="dxa"/>
          </w:tcPr>
          <w:p w14:paraId="5584616A" w14:textId="77777777" w:rsidR="00252FB9" w:rsidRPr="00C25964" w:rsidRDefault="00252FB9" w:rsidP="00D05F26">
            <w:pPr>
              <w:spacing w:before="20" w:after="20"/>
              <w:jc w:val="right"/>
              <w:rPr>
                <w:noProof/>
                <w:sz w:val="20"/>
                <w:szCs w:val="20"/>
              </w:rPr>
            </w:pPr>
            <w:r w:rsidRPr="00C25964">
              <w:rPr>
                <w:noProof/>
                <w:sz w:val="20"/>
                <w:szCs w:val="20"/>
              </w:rPr>
              <w:t>0,990</w:t>
            </w:r>
          </w:p>
        </w:tc>
        <w:tc>
          <w:tcPr>
            <w:tcW w:w="868" w:type="dxa"/>
          </w:tcPr>
          <w:p w14:paraId="529A0E8D" w14:textId="77777777" w:rsidR="00252FB9" w:rsidRPr="00C25964" w:rsidRDefault="00252FB9" w:rsidP="00D05F26">
            <w:pPr>
              <w:spacing w:before="60" w:after="60"/>
              <w:jc w:val="right"/>
              <w:rPr>
                <w:noProof/>
                <w:sz w:val="20"/>
                <w:szCs w:val="20"/>
              </w:rPr>
            </w:pPr>
            <w:r w:rsidRPr="00C25964">
              <w:rPr>
                <w:noProof/>
                <w:sz w:val="20"/>
                <w:szCs w:val="20"/>
              </w:rPr>
              <w:t>0,250</w:t>
            </w:r>
          </w:p>
        </w:tc>
        <w:tc>
          <w:tcPr>
            <w:tcW w:w="868" w:type="dxa"/>
          </w:tcPr>
          <w:p w14:paraId="7B2D1867" w14:textId="77777777" w:rsidR="00252FB9" w:rsidRPr="00C25964" w:rsidRDefault="00252FB9" w:rsidP="00D05F26">
            <w:pPr>
              <w:spacing w:before="60" w:after="60"/>
              <w:jc w:val="right"/>
              <w:rPr>
                <w:noProof/>
                <w:sz w:val="20"/>
              </w:rPr>
            </w:pPr>
          </w:p>
        </w:tc>
        <w:tc>
          <w:tcPr>
            <w:tcW w:w="868" w:type="dxa"/>
          </w:tcPr>
          <w:p w14:paraId="0C0E17D0" w14:textId="77777777" w:rsidR="00252FB9" w:rsidRPr="00C25964" w:rsidRDefault="00252FB9" w:rsidP="00D05F26">
            <w:pPr>
              <w:spacing w:before="60" w:after="60"/>
              <w:jc w:val="right"/>
              <w:rPr>
                <w:noProof/>
                <w:sz w:val="20"/>
              </w:rPr>
            </w:pPr>
          </w:p>
        </w:tc>
        <w:tc>
          <w:tcPr>
            <w:tcW w:w="868" w:type="dxa"/>
          </w:tcPr>
          <w:p w14:paraId="13B44BB9" w14:textId="77777777" w:rsidR="00252FB9" w:rsidRPr="00C25964" w:rsidRDefault="00252FB9" w:rsidP="00D05F26">
            <w:pPr>
              <w:spacing w:before="60" w:after="60"/>
              <w:jc w:val="right"/>
              <w:rPr>
                <w:b/>
                <w:noProof/>
                <w:sz w:val="20"/>
              </w:rPr>
            </w:pPr>
          </w:p>
        </w:tc>
        <w:tc>
          <w:tcPr>
            <w:tcW w:w="1777" w:type="dxa"/>
          </w:tcPr>
          <w:p w14:paraId="06C9C4CA" w14:textId="77777777" w:rsidR="00252FB9" w:rsidRPr="00C25964" w:rsidRDefault="00252FB9" w:rsidP="00D05F26">
            <w:pPr>
              <w:spacing w:before="60" w:after="60"/>
              <w:jc w:val="right"/>
              <w:rPr>
                <w:b/>
                <w:bCs/>
                <w:noProof/>
                <w:sz w:val="20"/>
                <w:szCs w:val="20"/>
              </w:rPr>
            </w:pPr>
            <w:r w:rsidRPr="00C25964">
              <w:rPr>
                <w:b/>
                <w:bCs/>
                <w:noProof/>
                <w:sz w:val="20"/>
                <w:szCs w:val="20"/>
              </w:rPr>
              <w:t>11,808</w:t>
            </w:r>
          </w:p>
        </w:tc>
      </w:tr>
      <w:tr w:rsidR="00252FB9" w:rsidRPr="00C25964" w14:paraId="5AAF4E22" w14:textId="77777777" w:rsidTr="00D05F26">
        <w:tc>
          <w:tcPr>
            <w:tcW w:w="3960" w:type="dxa"/>
            <w:vMerge/>
          </w:tcPr>
          <w:p w14:paraId="5EA21DA6" w14:textId="77777777" w:rsidR="00252FB9" w:rsidRPr="00C25964" w:rsidRDefault="00252FB9" w:rsidP="00D05F26">
            <w:pPr>
              <w:rPr>
                <w:noProof/>
                <w:sz w:val="20"/>
              </w:rPr>
            </w:pPr>
          </w:p>
        </w:tc>
        <w:tc>
          <w:tcPr>
            <w:tcW w:w="2094" w:type="dxa"/>
            <w:gridSpan w:val="2"/>
          </w:tcPr>
          <w:p w14:paraId="0C5841F3" w14:textId="77777777" w:rsidR="00252FB9" w:rsidRPr="00C25964" w:rsidRDefault="00252FB9" w:rsidP="00D05F26">
            <w:pPr>
              <w:rPr>
                <w:noProof/>
                <w:sz w:val="14"/>
              </w:rPr>
            </w:pPr>
            <w:r w:rsidRPr="00C25964">
              <w:rPr>
                <w:noProof/>
                <w:sz w:val="18"/>
              </w:rPr>
              <w:t>Betalningar</w:t>
            </w:r>
          </w:p>
        </w:tc>
        <w:tc>
          <w:tcPr>
            <w:tcW w:w="868" w:type="dxa"/>
          </w:tcPr>
          <w:p w14:paraId="30E6B62F" w14:textId="77777777" w:rsidR="00252FB9" w:rsidRPr="00C25964" w:rsidRDefault="00252FB9" w:rsidP="00D05F26">
            <w:pPr>
              <w:spacing w:before="60" w:after="60"/>
              <w:jc w:val="right"/>
              <w:rPr>
                <w:noProof/>
                <w:sz w:val="20"/>
                <w:szCs w:val="20"/>
              </w:rPr>
            </w:pPr>
            <w:r w:rsidRPr="00C25964">
              <w:rPr>
                <w:noProof/>
                <w:sz w:val="20"/>
                <w:szCs w:val="20"/>
              </w:rPr>
              <w:t>0,948</w:t>
            </w:r>
          </w:p>
        </w:tc>
        <w:tc>
          <w:tcPr>
            <w:tcW w:w="868" w:type="dxa"/>
          </w:tcPr>
          <w:p w14:paraId="1DE7F7AD" w14:textId="77777777" w:rsidR="00252FB9" w:rsidRPr="00C25964" w:rsidRDefault="00252FB9" w:rsidP="00D05F26">
            <w:pPr>
              <w:spacing w:before="60" w:after="60"/>
              <w:jc w:val="right"/>
              <w:rPr>
                <w:noProof/>
                <w:sz w:val="20"/>
                <w:szCs w:val="20"/>
              </w:rPr>
            </w:pPr>
            <w:r w:rsidRPr="00C25964">
              <w:rPr>
                <w:noProof/>
                <w:sz w:val="20"/>
                <w:szCs w:val="20"/>
              </w:rPr>
              <w:t>6,056</w:t>
            </w:r>
          </w:p>
        </w:tc>
        <w:tc>
          <w:tcPr>
            <w:tcW w:w="868" w:type="dxa"/>
          </w:tcPr>
          <w:p w14:paraId="67157014" w14:textId="77777777" w:rsidR="00252FB9" w:rsidRPr="00C25964" w:rsidRDefault="00252FB9" w:rsidP="00D05F26">
            <w:pPr>
              <w:spacing w:before="60" w:after="60"/>
              <w:jc w:val="right"/>
              <w:rPr>
                <w:noProof/>
                <w:sz w:val="20"/>
                <w:szCs w:val="20"/>
              </w:rPr>
            </w:pPr>
            <w:r w:rsidRPr="00C25964">
              <w:rPr>
                <w:noProof/>
                <w:sz w:val="20"/>
                <w:szCs w:val="20"/>
              </w:rPr>
              <w:t>2,538</w:t>
            </w:r>
          </w:p>
        </w:tc>
        <w:tc>
          <w:tcPr>
            <w:tcW w:w="868" w:type="dxa"/>
          </w:tcPr>
          <w:p w14:paraId="3C798D00" w14:textId="77777777" w:rsidR="00252FB9" w:rsidRPr="00C25964" w:rsidRDefault="00252FB9" w:rsidP="00D05F26">
            <w:pPr>
              <w:spacing w:before="60" w:after="60"/>
              <w:jc w:val="right"/>
              <w:rPr>
                <w:noProof/>
                <w:sz w:val="20"/>
                <w:szCs w:val="20"/>
              </w:rPr>
            </w:pPr>
            <w:r w:rsidRPr="00C25964">
              <w:rPr>
                <w:b/>
                <w:bCs/>
                <w:noProof/>
                <w:sz w:val="18"/>
                <w:szCs w:val="18"/>
              </w:rPr>
              <w:t>1,637</w:t>
            </w:r>
          </w:p>
        </w:tc>
        <w:tc>
          <w:tcPr>
            <w:tcW w:w="868" w:type="dxa"/>
          </w:tcPr>
          <w:p w14:paraId="1E231BC2" w14:textId="77777777" w:rsidR="00252FB9" w:rsidRPr="00C25964" w:rsidRDefault="00252FB9" w:rsidP="00D05F26">
            <w:pPr>
              <w:spacing w:before="60" w:after="60"/>
              <w:jc w:val="right"/>
              <w:rPr>
                <w:noProof/>
                <w:sz w:val="20"/>
                <w:szCs w:val="20"/>
              </w:rPr>
            </w:pPr>
            <w:r w:rsidRPr="00C25964">
              <w:rPr>
                <w:b/>
                <w:bCs/>
                <w:noProof/>
                <w:sz w:val="18"/>
                <w:szCs w:val="18"/>
              </w:rPr>
              <w:t>0,378</w:t>
            </w:r>
          </w:p>
        </w:tc>
        <w:tc>
          <w:tcPr>
            <w:tcW w:w="868" w:type="dxa"/>
          </w:tcPr>
          <w:p w14:paraId="43ECA463" w14:textId="77777777" w:rsidR="00252FB9" w:rsidRPr="00C25964" w:rsidRDefault="00252FB9" w:rsidP="00D05F26">
            <w:pPr>
              <w:spacing w:before="60" w:after="60"/>
              <w:jc w:val="right"/>
              <w:rPr>
                <w:noProof/>
                <w:sz w:val="20"/>
                <w:szCs w:val="20"/>
              </w:rPr>
            </w:pPr>
            <w:r w:rsidRPr="00C25964">
              <w:rPr>
                <w:b/>
                <w:bCs/>
                <w:noProof/>
                <w:sz w:val="18"/>
                <w:szCs w:val="18"/>
              </w:rPr>
              <w:t>0,251</w:t>
            </w:r>
          </w:p>
        </w:tc>
        <w:tc>
          <w:tcPr>
            <w:tcW w:w="868" w:type="dxa"/>
          </w:tcPr>
          <w:p w14:paraId="686B4BAB" w14:textId="77777777" w:rsidR="00252FB9" w:rsidRPr="00C25964" w:rsidRDefault="00252FB9" w:rsidP="00D05F26">
            <w:pPr>
              <w:spacing w:before="60" w:after="60"/>
              <w:jc w:val="right"/>
              <w:rPr>
                <w:b/>
                <w:noProof/>
                <w:sz w:val="20"/>
              </w:rPr>
            </w:pPr>
          </w:p>
        </w:tc>
        <w:tc>
          <w:tcPr>
            <w:tcW w:w="1777" w:type="dxa"/>
          </w:tcPr>
          <w:p w14:paraId="7742D9ED" w14:textId="77777777" w:rsidR="00252FB9" w:rsidRPr="00C25964" w:rsidRDefault="00252FB9" w:rsidP="00D05F26">
            <w:pPr>
              <w:spacing w:before="60" w:after="60"/>
              <w:jc w:val="right"/>
              <w:rPr>
                <w:b/>
                <w:bCs/>
                <w:noProof/>
                <w:sz w:val="20"/>
                <w:szCs w:val="20"/>
              </w:rPr>
            </w:pPr>
            <w:r w:rsidRPr="00C25964">
              <w:rPr>
                <w:b/>
                <w:bCs/>
                <w:noProof/>
                <w:sz w:val="20"/>
                <w:szCs w:val="20"/>
              </w:rPr>
              <w:t>11,808</w:t>
            </w:r>
          </w:p>
        </w:tc>
      </w:tr>
    </w:tbl>
    <w:p w14:paraId="12556411" w14:textId="77777777" w:rsidR="00252FB9" w:rsidRPr="00C25964" w:rsidRDefault="00252FB9" w:rsidP="00252FB9">
      <w:pPr>
        <w:rPr>
          <w:noProof/>
        </w:rPr>
      </w:pPr>
    </w:p>
    <w:p w14:paraId="70ECA15C" w14:textId="440D3EFA" w:rsidR="00252FB9" w:rsidRPr="00C25964" w:rsidRDefault="00AD1692" w:rsidP="00AD1692">
      <w:pPr>
        <w:pStyle w:val="ManualHeading3"/>
        <w:rPr>
          <w:bCs/>
          <w:noProof/>
          <w:szCs w:val="24"/>
        </w:rPr>
      </w:pPr>
      <w:bookmarkStart w:id="52" w:name="_Toc514938054"/>
      <w:bookmarkStart w:id="53" w:name="_Toc520485053"/>
      <w:r w:rsidRPr="00AD1692">
        <w:t>3.2.2.</w:t>
      </w:r>
      <w:r w:rsidRPr="00AD1692">
        <w:tab/>
      </w:r>
      <w:r w:rsidR="00252FB9" w:rsidRPr="00C25964">
        <w:rPr>
          <w:noProof/>
        </w:rPr>
        <w:t>Beräknad output som finansieras med driftsanslag</w:t>
      </w:r>
      <w:bookmarkEnd w:id="52"/>
      <w:bookmarkEnd w:id="53"/>
      <w:r w:rsidR="00252FB9" w:rsidRPr="00C25964">
        <w:rPr>
          <w:noProof/>
        </w:rPr>
        <w:t xml:space="preserve"> </w:t>
      </w:r>
    </w:p>
    <w:p w14:paraId="40F747AC" w14:textId="77777777" w:rsidR="00252FB9" w:rsidRPr="00C25964" w:rsidRDefault="00252FB9" w:rsidP="00252FB9">
      <w:pPr>
        <w:jc w:val="right"/>
        <w:rPr>
          <w:noProof/>
          <w:sz w:val="20"/>
        </w:rPr>
      </w:pPr>
      <w:r w:rsidRPr="00C25964">
        <w:rPr>
          <w:noProof/>
          <w:sz w:val="20"/>
        </w:rPr>
        <w:t>Åtagandebemyndiganden i miljoner euro (avrundat till tre decimaler):</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252FB9" w:rsidRPr="00C25964" w14:paraId="6B4ECBB7" w14:textId="77777777" w:rsidTr="00D05F26">
        <w:trPr>
          <w:jc w:val="center"/>
        </w:trPr>
        <w:tc>
          <w:tcPr>
            <w:tcW w:w="1423" w:type="dxa"/>
            <w:vMerge w:val="restart"/>
            <w:vAlign w:val="center"/>
          </w:tcPr>
          <w:p w14:paraId="6985780F" w14:textId="77777777" w:rsidR="00252FB9" w:rsidRPr="00C25964" w:rsidRDefault="00252FB9" w:rsidP="00D05F26">
            <w:pPr>
              <w:ind w:right="-29"/>
              <w:jc w:val="center"/>
              <w:rPr>
                <w:b/>
                <w:noProof/>
                <w:sz w:val="18"/>
                <w:szCs w:val="18"/>
              </w:rPr>
            </w:pPr>
            <w:r w:rsidRPr="00C25964">
              <w:rPr>
                <w:b/>
                <w:noProof/>
                <w:sz w:val="18"/>
              </w:rPr>
              <w:t xml:space="preserve">Ange mål och resultat </w:t>
            </w:r>
          </w:p>
          <w:p w14:paraId="405BCAD7" w14:textId="77777777" w:rsidR="00252FB9" w:rsidRPr="00C25964" w:rsidRDefault="00252FB9" w:rsidP="00D05F26">
            <w:pPr>
              <w:ind w:right="-29"/>
              <w:jc w:val="center"/>
              <w:rPr>
                <w:b/>
                <w:noProof/>
                <w:sz w:val="18"/>
                <w:szCs w:val="18"/>
              </w:rPr>
            </w:pPr>
          </w:p>
          <w:p w14:paraId="1C816975" w14:textId="77777777" w:rsidR="00252FB9" w:rsidRPr="00C25964" w:rsidRDefault="00252FB9" w:rsidP="00D05F26">
            <w:pPr>
              <w:ind w:right="-29"/>
              <w:jc w:val="center"/>
              <w:rPr>
                <w:noProof/>
                <w:sz w:val="18"/>
                <w:szCs w:val="18"/>
              </w:rPr>
            </w:pPr>
            <w:r w:rsidRPr="00C25964">
              <w:rPr>
                <w:noProof/>
                <w:sz w:val="18"/>
              </w:rPr>
              <w:sym w:font="Wingdings" w:char="F0F2"/>
            </w:r>
          </w:p>
        </w:tc>
        <w:tc>
          <w:tcPr>
            <w:tcW w:w="720" w:type="dxa"/>
            <w:vAlign w:val="center"/>
          </w:tcPr>
          <w:p w14:paraId="2BB76EB1" w14:textId="77777777" w:rsidR="00252FB9" w:rsidRPr="00C25964" w:rsidRDefault="00252FB9" w:rsidP="00D05F26">
            <w:pPr>
              <w:ind w:right="-29"/>
              <w:jc w:val="center"/>
              <w:rPr>
                <w:noProof/>
                <w:sz w:val="18"/>
                <w:szCs w:val="18"/>
              </w:rPr>
            </w:pPr>
          </w:p>
        </w:tc>
        <w:tc>
          <w:tcPr>
            <w:tcW w:w="701" w:type="dxa"/>
            <w:vAlign w:val="center"/>
          </w:tcPr>
          <w:p w14:paraId="371E5731" w14:textId="77777777" w:rsidR="00252FB9" w:rsidRPr="00C25964" w:rsidRDefault="00252FB9" w:rsidP="00D05F26">
            <w:pPr>
              <w:ind w:right="-29"/>
              <w:jc w:val="center"/>
              <w:rPr>
                <w:noProof/>
                <w:sz w:val="18"/>
                <w:szCs w:val="18"/>
              </w:rPr>
            </w:pPr>
          </w:p>
        </w:tc>
        <w:tc>
          <w:tcPr>
            <w:tcW w:w="1224" w:type="dxa"/>
            <w:gridSpan w:val="2"/>
            <w:tcBorders>
              <w:left w:val="nil"/>
            </w:tcBorders>
            <w:vAlign w:val="center"/>
          </w:tcPr>
          <w:p w14:paraId="2203B2F1" w14:textId="77777777" w:rsidR="00252FB9" w:rsidRPr="00C25964" w:rsidRDefault="00252FB9" w:rsidP="00D05F26">
            <w:pPr>
              <w:ind w:right="-29"/>
              <w:jc w:val="center"/>
              <w:rPr>
                <w:noProof/>
                <w:sz w:val="18"/>
                <w:szCs w:val="18"/>
              </w:rPr>
            </w:pPr>
            <w:r w:rsidRPr="00C25964">
              <w:rPr>
                <w:noProof/>
                <w:sz w:val="18"/>
              </w:rPr>
              <w:t>Året</w:t>
            </w:r>
            <w:r w:rsidRPr="00C25964">
              <w:rPr>
                <w:noProof/>
              </w:rPr>
              <w:t xml:space="preserve"> </w:t>
            </w:r>
            <w:r w:rsidRPr="00C25964">
              <w:rPr>
                <w:noProof/>
              </w:rPr>
              <w:br/>
            </w:r>
            <w:r w:rsidRPr="00C25964">
              <w:rPr>
                <w:b/>
                <w:noProof/>
                <w:sz w:val="18"/>
              </w:rPr>
              <w:t>2021</w:t>
            </w:r>
          </w:p>
        </w:tc>
        <w:tc>
          <w:tcPr>
            <w:tcW w:w="1260" w:type="dxa"/>
            <w:gridSpan w:val="2"/>
            <w:vAlign w:val="center"/>
          </w:tcPr>
          <w:p w14:paraId="02F48D9D" w14:textId="77777777" w:rsidR="00252FB9" w:rsidRPr="00C25964" w:rsidRDefault="00252FB9" w:rsidP="00D05F26">
            <w:pPr>
              <w:ind w:right="-29"/>
              <w:jc w:val="center"/>
              <w:rPr>
                <w:noProof/>
                <w:sz w:val="18"/>
                <w:szCs w:val="18"/>
              </w:rPr>
            </w:pPr>
            <w:r w:rsidRPr="00C25964">
              <w:rPr>
                <w:noProof/>
                <w:sz w:val="18"/>
              </w:rPr>
              <w:t>Året</w:t>
            </w:r>
            <w:r w:rsidRPr="00C25964">
              <w:rPr>
                <w:noProof/>
              </w:rPr>
              <w:t xml:space="preserve"> </w:t>
            </w:r>
            <w:r w:rsidRPr="00C25964">
              <w:rPr>
                <w:noProof/>
              </w:rPr>
              <w:br/>
            </w:r>
            <w:r w:rsidRPr="00C25964">
              <w:rPr>
                <w:b/>
                <w:noProof/>
                <w:sz w:val="18"/>
              </w:rPr>
              <w:t>2022</w:t>
            </w:r>
          </w:p>
        </w:tc>
        <w:tc>
          <w:tcPr>
            <w:tcW w:w="1440" w:type="dxa"/>
            <w:gridSpan w:val="2"/>
            <w:vAlign w:val="center"/>
          </w:tcPr>
          <w:p w14:paraId="7AE96D24" w14:textId="77777777" w:rsidR="00252FB9" w:rsidRPr="00C25964" w:rsidRDefault="00252FB9" w:rsidP="00D05F26">
            <w:pPr>
              <w:ind w:right="-29"/>
              <w:jc w:val="center"/>
              <w:rPr>
                <w:noProof/>
                <w:sz w:val="18"/>
                <w:szCs w:val="18"/>
              </w:rPr>
            </w:pPr>
            <w:r w:rsidRPr="00C25964">
              <w:rPr>
                <w:noProof/>
                <w:sz w:val="18"/>
              </w:rPr>
              <w:t>Året</w:t>
            </w:r>
            <w:r w:rsidRPr="00C25964">
              <w:rPr>
                <w:noProof/>
              </w:rPr>
              <w:t xml:space="preserve"> </w:t>
            </w:r>
            <w:r w:rsidRPr="00C25964">
              <w:rPr>
                <w:noProof/>
              </w:rPr>
              <w:br/>
            </w:r>
            <w:r w:rsidRPr="00C25964">
              <w:rPr>
                <w:b/>
                <w:noProof/>
                <w:sz w:val="18"/>
              </w:rPr>
              <w:t>2023</w:t>
            </w:r>
          </w:p>
        </w:tc>
        <w:tc>
          <w:tcPr>
            <w:tcW w:w="1620" w:type="dxa"/>
            <w:gridSpan w:val="3"/>
            <w:vAlign w:val="center"/>
          </w:tcPr>
          <w:p w14:paraId="680CE541" w14:textId="77777777" w:rsidR="00252FB9" w:rsidRPr="00C25964" w:rsidRDefault="00252FB9" w:rsidP="00D05F26">
            <w:pPr>
              <w:ind w:right="-29"/>
              <w:jc w:val="center"/>
              <w:rPr>
                <w:noProof/>
                <w:sz w:val="18"/>
                <w:szCs w:val="18"/>
              </w:rPr>
            </w:pPr>
            <w:r w:rsidRPr="00C25964">
              <w:rPr>
                <w:noProof/>
                <w:sz w:val="18"/>
              </w:rPr>
              <w:t>Året</w:t>
            </w:r>
            <w:r w:rsidRPr="00C25964">
              <w:rPr>
                <w:noProof/>
              </w:rPr>
              <w:t xml:space="preserve"> </w:t>
            </w:r>
            <w:r w:rsidRPr="00C25964">
              <w:rPr>
                <w:noProof/>
              </w:rPr>
              <w:br/>
            </w:r>
            <w:r w:rsidRPr="00C25964">
              <w:rPr>
                <w:b/>
                <w:noProof/>
                <w:sz w:val="18"/>
              </w:rPr>
              <w:t>2024</w:t>
            </w:r>
          </w:p>
        </w:tc>
        <w:tc>
          <w:tcPr>
            <w:tcW w:w="3600" w:type="dxa"/>
            <w:gridSpan w:val="6"/>
            <w:vAlign w:val="center"/>
          </w:tcPr>
          <w:p w14:paraId="51C3E406" w14:textId="77777777" w:rsidR="00252FB9" w:rsidRPr="00C25964" w:rsidRDefault="00252FB9" w:rsidP="00D05F26">
            <w:pPr>
              <w:jc w:val="center"/>
              <w:rPr>
                <w:noProof/>
                <w:sz w:val="18"/>
                <w:szCs w:val="18"/>
              </w:rPr>
            </w:pPr>
            <w:r w:rsidRPr="00C25964">
              <w:rPr>
                <w:noProof/>
                <w:sz w:val="18"/>
              </w:rPr>
              <w:t>Ange så många år som behövs för att redovisa varaktigheten för inverkan på resursanvändningen (jfr punkt 1.6)</w:t>
            </w:r>
          </w:p>
        </w:tc>
        <w:tc>
          <w:tcPr>
            <w:tcW w:w="1620" w:type="dxa"/>
            <w:gridSpan w:val="2"/>
            <w:tcBorders>
              <w:left w:val="nil"/>
              <w:bottom w:val="nil"/>
            </w:tcBorders>
            <w:vAlign w:val="center"/>
          </w:tcPr>
          <w:p w14:paraId="630FAC38" w14:textId="77777777" w:rsidR="00252FB9" w:rsidRPr="00C25964" w:rsidRDefault="00252FB9" w:rsidP="00D05F26">
            <w:pPr>
              <w:ind w:right="-29"/>
              <w:jc w:val="center"/>
              <w:rPr>
                <w:noProof/>
                <w:sz w:val="18"/>
                <w:szCs w:val="18"/>
              </w:rPr>
            </w:pPr>
            <w:r w:rsidRPr="00C25964">
              <w:rPr>
                <w:b/>
                <w:noProof/>
                <w:sz w:val="18"/>
              </w:rPr>
              <w:t>TOTALT</w:t>
            </w:r>
          </w:p>
        </w:tc>
      </w:tr>
      <w:tr w:rsidR="00252FB9" w:rsidRPr="00C25964" w14:paraId="1CA9E5F8" w14:textId="77777777" w:rsidTr="00D05F26">
        <w:trPr>
          <w:jc w:val="center"/>
        </w:trPr>
        <w:tc>
          <w:tcPr>
            <w:tcW w:w="1423" w:type="dxa"/>
            <w:vMerge/>
            <w:vAlign w:val="center"/>
          </w:tcPr>
          <w:p w14:paraId="48EA107C" w14:textId="77777777" w:rsidR="00252FB9" w:rsidRPr="00C25964" w:rsidRDefault="00252FB9" w:rsidP="00D05F26">
            <w:pPr>
              <w:ind w:right="-29"/>
              <w:jc w:val="center"/>
              <w:rPr>
                <w:noProof/>
                <w:sz w:val="18"/>
                <w:szCs w:val="18"/>
              </w:rPr>
            </w:pPr>
          </w:p>
        </w:tc>
        <w:tc>
          <w:tcPr>
            <w:tcW w:w="12185" w:type="dxa"/>
            <w:gridSpan w:val="19"/>
            <w:vAlign w:val="center"/>
          </w:tcPr>
          <w:p w14:paraId="56873931" w14:textId="77777777" w:rsidR="00252FB9" w:rsidRPr="00C25964" w:rsidRDefault="00252FB9" w:rsidP="00D05F26">
            <w:pPr>
              <w:spacing w:before="60" w:after="60"/>
              <w:ind w:right="-29"/>
              <w:jc w:val="center"/>
              <w:rPr>
                <w:noProof/>
                <w:sz w:val="18"/>
                <w:szCs w:val="18"/>
              </w:rPr>
            </w:pPr>
            <w:r w:rsidRPr="00C25964">
              <w:rPr>
                <w:b/>
                <w:noProof/>
                <w:sz w:val="18"/>
              </w:rPr>
              <w:t>OUTPUT</w:t>
            </w:r>
          </w:p>
        </w:tc>
      </w:tr>
      <w:tr w:rsidR="00252FB9" w:rsidRPr="00C25964" w14:paraId="0623855F" w14:textId="77777777" w:rsidTr="00D05F26">
        <w:trPr>
          <w:cantSplit/>
          <w:trHeight w:val="1134"/>
          <w:jc w:val="center"/>
        </w:trPr>
        <w:tc>
          <w:tcPr>
            <w:tcW w:w="1423" w:type="dxa"/>
            <w:vMerge/>
            <w:vAlign w:val="center"/>
          </w:tcPr>
          <w:p w14:paraId="3CE8146A" w14:textId="77777777" w:rsidR="00252FB9" w:rsidRPr="00C25964" w:rsidRDefault="00252FB9" w:rsidP="00D05F26">
            <w:pPr>
              <w:rPr>
                <w:noProof/>
                <w:sz w:val="18"/>
                <w:szCs w:val="18"/>
              </w:rPr>
            </w:pPr>
          </w:p>
        </w:tc>
        <w:tc>
          <w:tcPr>
            <w:tcW w:w="720" w:type="dxa"/>
            <w:vAlign w:val="center"/>
          </w:tcPr>
          <w:p w14:paraId="2E63FEA0" w14:textId="77777777" w:rsidR="00252FB9" w:rsidRPr="00C25964" w:rsidRDefault="00252FB9" w:rsidP="00D05F26">
            <w:pPr>
              <w:jc w:val="center"/>
              <w:rPr>
                <w:noProof/>
                <w:sz w:val="18"/>
                <w:szCs w:val="18"/>
              </w:rPr>
            </w:pPr>
            <w:r w:rsidRPr="00C25964">
              <w:rPr>
                <w:noProof/>
                <w:sz w:val="18"/>
                <w:szCs w:val="18"/>
              </w:rPr>
              <w:t>Typ</w:t>
            </w:r>
            <w:r w:rsidRPr="00C25964">
              <w:rPr>
                <w:rStyle w:val="FootnoteReference0"/>
                <w:noProof/>
                <w:sz w:val="18"/>
                <w:szCs w:val="18"/>
              </w:rPr>
              <w:footnoteReference w:id="37"/>
            </w:r>
          </w:p>
          <w:p w14:paraId="4D2C0AFA" w14:textId="77777777" w:rsidR="00252FB9" w:rsidRPr="00C25964" w:rsidRDefault="00252FB9" w:rsidP="00D05F26">
            <w:pPr>
              <w:spacing w:before="0" w:after="0"/>
              <w:jc w:val="center"/>
              <w:rPr>
                <w:noProof/>
                <w:sz w:val="18"/>
                <w:szCs w:val="18"/>
              </w:rPr>
            </w:pPr>
          </w:p>
        </w:tc>
        <w:tc>
          <w:tcPr>
            <w:tcW w:w="701" w:type="dxa"/>
            <w:vAlign w:val="center"/>
          </w:tcPr>
          <w:p w14:paraId="2DAE0445" w14:textId="77777777" w:rsidR="00252FB9" w:rsidRPr="00C25964" w:rsidRDefault="00252FB9" w:rsidP="00D05F26">
            <w:pPr>
              <w:jc w:val="center"/>
              <w:rPr>
                <w:noProof/>
                <w:sz w:val="18"/>
                <w:szCs w:val="18"/>
              </w:rPr>
            </w:pPr>
            <w:r w:rsidRPr="00C25964">
              <w:rPr>
                <w:noProof/>
                <w:sz w:val="18"/>
              </w:rPr>
              <w:t>Genomsnittliga kostnader</w:t>
            </w:r>
          </w:p>
        </w:tc>
        <w:tc>
          <w:tcPr>
            <w:tcW w:w="504" w:type="dxa"/>
            <w:tcBorders>
              <w:left w:val="nil"/>
              <w:right w:val="dashSmallGap" w:sz="4" w:space="0" w:color="auto"/>
            </w:tcBorders>
            <w:shd w:val="clear" w:color="auto" w:fill="auto"/>
            <w:textDirection w:val="btLr"/>
            <w:vAlign w:val="center"/>
          </w:tcPr>
          <w:p w14:paraId="07E690AE" w14:textId="77777777" w:rsidR="00252FB9" w:rsidRPr="00C25964" w:rsidRDefault="00252FB9" w:rsidP="00D05F26">
            <w:pPr>
              <w:ind w:left="113" w:right="113"/>
              <w:jc w:val="center"/>
              <w:rPr>
                <w:noProof/>
                <w:sz w:val="18"/>
                <w:szCs w:val="18"/>
              </w:rPr>
            </w:pPr>
            <w:r w:rsidRPr="00C25964">
              <w:rPr>
                <w:noProof/>
                <w:sz w:val="18"/>
              </w:rPr>
              <w:t>Antal</w:t>
            </w:r>
          </w:p>
        </w:tc>
        <w:tc>
          <w:tcPr>
            <w:tcW w:w="720" w:type="dxa"/>
            <w:tcBorders>
              <w:left w:val="dashSmallGap" w:sz="4" w:space="0" w:color="auto"/>
            </w:tcBorders>
            <w:shd w:val="clear" w:color="auto" w:fill="auto"/>
            <w:vAlign w:val="center"/>
          </w:tcPr>
          <w:p w14:paraId="33490CDF" w14:textId="77777777" w:rsidR="00252FB9" w:rsidRPr="00C25964" w:rsidRDefault="00252FB9" w:rsidP="00D05F26">
            <w:pPr>
              <w:jc w:val="center"/>
              <w:rPr>
                <w:noProof/>
                <w:sz w:val="18"/>
                <w:szCs w:val="18"/>
              </w:rPr>
            </w:pPr>
            <w:r w:rsidRPr="00C25964">
              <w:rPr>
                <w:noProof/>
                <w:sz w:val="18"/>
              </w:rPr>
              <w:t>Kostn.</w:t>
            </w:r>
          </w:p>
        </w:tc>
        <w:tc>
          <w:tcPr>
            <w:tcW w:w="540" w:type="dxa"/>
            <w:tcBorders>
              <w:right w:val="dashSmallGap" w:sz="4" w:space="0" w:color="auto"/>
            </w:tcBorders>
            <w:shd w:val="clear" w:color="auto" w:fill="auto"/>
            <w:textDirection w:val="btLr"/>
            <w:vAlign w:val="center"/>
          </w:tcPr>
          <w:p w14:paraId="147FA08E" w14:textId="77777777" w:rsidR="00252FB9" w:rsidRPr="00C25964" w:rsidRDefault="00252FB9" w:rsidP="00D05F26">
            <w:pPr>
              <w:ind w:left="113" w:right="113"/>
              <w:jc w:val="center"/>
              <w:rPr>
                <w:noProof/>
                <w:sz w:val="18"/>
                <w:szCs w:val="18"/>
              </w:rPr>
            </w:pPr>
            <w:r w:rsidRPr="00C25964">
              <w:rPr>
                <w:noProof/>
                <w:sz w:val="18"/>
              </w:rPr>
              <w:t>Antal</w:t>
            </w:r>
          </w:p>
        </w:tc>
        <w:tc>
          <w:tcPr>
            <w:tcW w:w="720" w:type="dxa"/>
            <w:tcBorders>
              <w:left w:val="dashSmallGap" w:sz="4" w:space="0" w:color="auto"/>
            </w:tcBorders>
            <w:shd w:val="clear" w:color="auto" w:fill="auto"/>
            <w:vAlign w:val="center"/>
          </w:tcPr>
          <w:p w14:paraId="7F3F1D62" w14:textId="77777777" w:rsidR="00252FB9" w:rsidRPr="00C25964" w:rsidRDefault="00252FB9" w:rsidP="00D05F26">
            <w:pPr>
              <w:jc w:val="center"/>
              <w:rPr>
                <w:noProof/>
                <w:sz w:val="18"/>
                <w:szCs w:val="18"/>
              </w:rPr>
            </w:pPr>
            <w:r w:rsidRPr="00C25964">
              <w:rPr>
                <w:noProof/>
                <w:sz w:val="18"/>
              </w:rPr>
              <w:t>Kostn.</w:t>
            </w:r>
          </w:p>
        </w:tc>
        <w:tc>
          <w:tcPr>
            <w:tcW w:w="720" w:type="dxa"/>
            <w:tcBorders>
              <w:right w:val="dashSmallGap" w:sz="4" w:space="0" w:color="auto"/>
            </w:tcBorders>
            <w:shd w:val="clear" w:color="auto" w:fill="auto"/>
            <w:textDirection w:val="btLr"/>
            <w:vAlign w:val="center"/>
          </w:tcPr>
          <w:p w14:paraId="3357227A" w14:textId="77777777" w:rsidR="00252FB9" w:rsidRPr="00C25964" w:rsidRDefault="00252FB9" w:rsidP="00D05F26">
            <w:pPr>
              <w:ind w:left="113" w:right="113"/>
              <w:jc w:val="center"/>
              <w:rPr>
                <w:noProof/>
                <w:sz w:val="18"/>
                <w:szCs w:val="18"/>
              </w:rPr>
            </w:pPr>
            <w:r w:rsidRPr="00C25964">
              <w:rPr>
                <w:noProof/>
                <w:sz w:val="18"/>
              </w:rPr>
              <w:t>Antal</w:t>
            </w:r>
          </w:p>
        </w:tc>
        <w:tc>
          <w:tcPr>
            <w:tcW w:w="720" w:type="dxa"/>
            <w:tcBorders>
              <w:left w:val="dashSmallGap" w:sz="4" w:space="0" w:color="auto"/>
            </w:tcBorders>
            <w:shd w:val="clear" w:color="auto" w:fill="auto"/>
            <w:vAlign w:val="center"/>
          </w:tcPr>
          <w:p w14:paraId="30D26F20" w14:textId="77777777" w:rsidR="00252FB9" w:rsidRPr="00C25964" w:rsidRDefault="00252FB9" w:rsidP="00D05F26">
            <w:pPr>
              <w:jc w:val="center"/>
              <w:rPr>
                <w:noProof/>
                <w:sz w:val="18"/>
                <w:szCs w:val="18"/>
              </w:rPr>
            </w:pPr>
            <w:r w:rsidRPr="00C25964">
              <w:rPr>
                <w:noProof/>
                <w:sz w:val="18"/>
              </w:rPr>
              <w:t>Kostn.</w:t>
            </w:r>
          </w:p>
        </w:tc>
        <w:tc>
          <w:tcPr>
            <w:tcW w:w="900" w:type="dxa"/>
            <w:tcBorders>
              <w:right w:val="dashSmallGap" w:sz="4" w:space="0" w:color="auto"/>
            </w:tcBorders>
            <w:shd w:val="clear" w:color="auto" w:fill="auto"/>
            <w:textDirection w:val="btLr"/>
            <w:vAlign w:val="center"/>
          </w:tcPr>
          <w:p w14:paraId="13FDD912" w14:textId="77777777" w:rsidR="00252FB9" w:rsidRPr="00C25964" w:rsidRDefault="00252FB9" w:rsidP="00D05F26">
            <w:pPr>
              <w:ind w:left="113" w:right="113"/>
              <w:jc w:val="center"/>
              <w:rPr>
                <w:noProof/>
                <w:sz w:val="18"/>
                <w:szCs w:val="18"/>
              </w:rPr>
            </w:pPr>
            <w:r w:rsidRPr="00C25964">
              <w:rPr>
                <w:noProof/>
                <w:sz w:val="18"/>
              </w:rPr>
              <w:t>Antal</w:t>
            </w:r>
          </w:p>
        </w:tc>
        <w:tc>
          <w:tcPr>
            <w:tcW w:w="720" w:type="dxa"/>
            <w:gridSpan w:val="2"/>
            <w:tcBorders>
              <w:left w:val="dashSmallGap" w:sz="4" w:space="0" w:color="auto"/>
            </w:tcBorders>
            <w:shd w:val="clear" w:color="auto" w:fill="auto"/>
            <w:vAlign w:val="center"/>
          </w:tcPr>
          <w:p w14:paraId="0C7D5518" w14:textId="77777777" w:rsidR="00252FB9" w:rsidRPr="00C25964" w:rsidRDefault="00252FB9" w:rsidP="00D05F26">
            <w:pPr>
              <w:jc w:val="center"/>
              <w:rPr>
                <w:noProof/>
                <w:sz w:val="18"/>
                <w:szCs w:val="18"/>
              </w:rPr>
            </w:pPr>
            <w:r w:rsidRPr="00C25964">
              <w:rPr>
                <w:noProof/>
                <w:sz w:val="18"/>
              </w:rPr>
              <w:t>Kostn.</w:t>
            </w:r>
          </w:p>
        </w:tc>
        <w:tc>
          <w:tcPr>
            <w:tcW w:w="540" w:type="dxa"/>
            <w:tcBorders>
              <w:right w:val="dashSmallGap" w:sz="4" w:space="0" w:color="auto"/>
            </w:tcBorders>
            <w:shd w:val="clear" w:color="auto" w:fill="auto"/>
            <w:textDirection w:val="btLr"/>
            <w:vAlign w:val="center"/>
          </w:tcPr>
          <w:p w14:paraId="3F362D1F" w14:textId="77777777" w:rsidR="00252FB9" w:rsidRPr="00C25964" w:rsidRDefault="00252FB9" w:rsidP="00D05F26">
            <w:pPr>
              <w:ind w:left="113" w:right="113"/>
              <w:jc w:val="center"/>
              <w:rPr>
                <w:noProof/>
                <w:sz w:val="18"/>
                <w:szCs w:val="18"/>
              </w:rPr>
            </w:pPr>
            <w:r w:rsidRPr="00C25964">
              <w:rPr>
                <w:noProof/>
                <w:sz w:val="18"/>
              </w:rPr>
              <w:t>Antal</w:t>
            </w:r>
          </w:p>
        </w:tc>
        <w:tc>
          <w:tcPr>
            <w:tcW w:w="648" w:type="dxa"/>
            <w:tcBorders>
              <w:left w:val="dashSmallGap" w:sz="4" w:space="0" w:color="auto"/>
            </w:tcBorders>
            <w:shd w:val="clear" w:color="auto" w:fill="auto"/>
            <w:vAlign w:val="center"/>
          </w:tcPr>
          <w:p w14:paraId="1C6DC8F8" w14:textId="77777777" w:rsidR="00252FB9" w:rsidRPr="00C25964" w:rsidRDefault="00252FB9" w:rsidP="00D05F26">
            <w:pPr>
              <w:jc w:val="center"/>
              <w:rPr>
                <w:noProof/>
                <w:sz w:val="18"/>
                <w:szCs w:val="18"/>
              </w:rPr>
            </w:pPr>
            <w:r w:rsidRPr="00C25964">
              <w:rPr>
                <w:noProof/>
                <w:sz w:val="18"/>
              </w:rPr>
              <w:t>Kostn.</w:t>
            </w:r>
          </w:p>
        </w:tc>
        <w:tc>
          <w:tcPr>
            <w:tcW w:w="432" w:type="dxa"/>
            <w:tcBorders>
              <w:right w:val="dashSmallGap" w:sz="4" w:space="0" w:color="auto"/>
            </w:tcBorders>
            <w:shd w:val="clear" w:color="auto" w:fill="auto"/>
            <w:textDirection w:val="btLr"/>
            <w:vAlign w:val="center"/>
          </w:tcPr>
          <w:p w14:paraId="3AC3893E" w14:textId="77777777" w:rsidR="00252FB9" w:rsidRPr="00C25964" w:rsidRDefault="00252FB9" w:rsidP="00D05F26">
            <w:pPr>
              <w:ind w:left="113" w:right="113"/>
              <w:jc w:val="center"/>
              <w:rPr>
                <w:noProof/>
                <w:sz w:val="18"/>
                <w:szCs w:val="18"/>
              </w:rPr>
            </w:pPr>
            <w:r w:rsidRPr="00C25964">
              <w:rPr>
                <w:noProof/>
                <w:sz w:val="18"/>
              </w:rPr>
              <w:t>Antal</w:t>
            </w:r>
          </w:p>
        </w:tc>
        <w:tc>
          <w:tcPr>
            <w:tcW w:w="720" w:type="dxa"/>
            <w:tcBorders>
              <w:left w:val="dashSmallGap" w:sz="4" w:space="0" w:color="auto"/>
            </w:tcBorders>
            <w:shd w:val="clear" w:color="auto" w:fill="auto"/>
            <w:vAlign w:val="center"/>
          </w:tcPr>
          <w:p w14:paraId="7A74DD5F" w14:textId="77777777" w:rsidR="00252FB9" w:rsidRPr="00C25964" w:rsidRDefault="00252FB9" w:rsidP="00D05F26">
            <w:pPr>
              <w:jc w:val="center"/>
              <w:rPr>
                <w:noProof/>
                <w:sz w:val="18"/>
                <w:szCs w:val="18"/>
              </w:rPr>
            </w:pPr>
            <w:r w:rsidRPr="00C25964">
              <w:rPr>
                <w:noProof/>
                <w:sz w:val="18"/>
              </w:rPr>
              <w:t>Kostn.</w:t>
            </w:r>
          </w:p>
        </w:tc>
        <w:tc>
          <w:tcPr>
            <w:tcW w:w="540" w:type="dxa"/>
            <w:tcBorders>
              <w:right w:val="dashSmallGap" w:sz="4" w:space="0" w:color="auto"/>
            </w:tcBorders>
            <w:shd w:val="clear" w:color="auto" w:fill="auto"/>
            <w:textDirection w:val="btLr"/>
            <w:vAlign w:val="center"/>
          </w:tcPr>
          <w:p w14:paraId="705D7B26" w14:textId="77777777" w:rsidR="00252FB9" w:rsidRPr="00C25964" w:rsidRDefault="00252FB9" w:rsidP="00D05F26">
            <w:pPr>
              <w:ind w:left="113" w:right="113"/>
              <w:jc w:val="center"/>
              <w:rPr>
                <w:noProof/>
                <w:sz w:val="18"/>
                <w:szCs w:val="18"/>
              </w:rPr>
            </w:pPr>
            <w:r w:rsidRPr="00C25964">
              <w:rPr>
                <w:noProof/>
                <w:sz w:val="18"/>
              </w:rPr>
              <w:t>Antal</w:t>
            </w:r>
          </w:p>
        </w:tc>
        <w:tc>
          <w:tcPr>
            <w:tcW w:w="720" w:type="dxa"/>
            <w:tcBorders>
              <w:left w:val="dashSmallGap" w:sz="4" w:space="0" w:color="auto"/>
            </w:tcBorders>
            <w:shd w:val="clear" w:color="auto" w:fill="auto"/>
            <w:vAlign w:val="center"/>
          </w:tcPr>
          <w:p w14:paraId="4D4A4189" w14:textId="77777777" w:rsidR="00252FB9" w:rsidRPr="00C25964" w:rsidRDefault="00252FB9" w:rsidP="00D05F26">
            <w:pPr>
              <w:jc w:val="center"/>
              <w:rPr>
                <w:noProof/>
                <w:sz w:val="18"/>
                <w:szCs w:val="18"/>
              </w:rPr>
            </w:pPr>
            <w:r w:rsidRPr="00C25964">
              <w:rPr>
                <w:noProof/>
                <w:sz w:val="18"/>
              </w:rPr>
              <w:t>Kostn.</w:t>
            </w:r>
          </w:p>
        </w:tc>
        <w:tc>
          <w:tcPr>
            <w:tcW w:w="720" w:type="dxa"/>
            <w:tcBorders>
              <w:right w:val="dashSmallGap" w:sz="4" w:space="0" w:color="auto"/>
            </w:tcBorders>
            <w:shd w:val="clear" w:color="auto" w:fill="auto"/>
            <w:vAlign w:val="center"/>
          </w:tcPr>
          <w:p w14:paraId="34C111CB" w14:textId="77777777" w:rsidR="00252FB9" w:rsidRPr="00C25964" w:rsidRDefault="00252FB9" w:rsidP="00D05F26">
            <w:pPr>
              <w:jc w:val="center"/>
              <w:rPr>
                <w:noProof/>
                <w:sz w:val="18"/>
                <w:szCs w:val="18"/>
              </w:rPr>
            </w:pPr>
            <w:r w:rsidRPr="00C25964">
              <w:rPr>
                <w:noProof/>
                <w:sz w:val="18"/>
              </w:rPr>
              <w:t>Totalt antal</w:t>
            </w:r>
          </w:p>
        </w:tc>
        <w:tc>
          <w:tcPr>
            <w:tcW w:w="900" w:type="dxa"/>
            <w:tcBorders>
              <w:left w:val="dashSmallGap" w:sz="4" w:space="0" w:color="auto"/>
            </w:tcBorders>
            <w:shd w:val="clear" w:color="auto" w:fill="auto"/>
            <w:vAlign w:val="center"/>
          </w:tcPr>
          <w:p w14:paraId="6DD4573C" w14:textId="77777777" w:rsidR="00252FB9" w:rsidRPr="00C25964" w:rsidRDefault="00252FB9" w:rsidP="00D05F26">
            <w:pPr>
              <w:jc w:val="center"/>
              <w:rPr>
                <w:noProof/>
                <w:sz w:val="18"/>
                <w:szCs w:val="18"/>
              </w:rPr>
            </w:pPr>
            <w:r w:rsidRPr="00C25964">
              <w:rPr>
                <w:noProof/>
                <w:sz w:val="18"/>
              </w:rPr>
              <w:t>Total kostnad</w:t>
            </w:r>
          </w:p>
        </w:tc>
      </w:tr>
      <w:tr w:rsidR="00252FB9" w:rsidRPr="00C25964" w14:paraId="528A384B" w14:textId="77777777" w:rsidTr="00D05F26">
        <w:trPr>
          <w:jc w:val="center"/>
        </w:trPr>
        <w:tc>
          <w:tcPr>
            <w:tcW w:w="2844" w:type="dxa"/>
            <w:gridSpan w:val="3"/>
            <w:vAlign w:val="center"/>
          </w:tcPr>
          <w:p w14:paraId="1BC048A2" w14:textId="77777777" w:rsidR="00252FB9" w:rsidRPr="00C25964" w:rsidRDefault="00252FB9" w:rsidP="00D05F26">
            <w:pPr>
              <w:spacing w:before="60" w:after="60"/>
              <w:ind w:right="-29"/>
              <w:jc w:val="center"/>
              <w:rPr>
                <w:noProof/>
                <w:sz w:val="18"/>
                <w:szCs w:val="18"/>
              </w:rPr>
            </w:pPr>
            <w:r w:rsidRPr="00C25964">
              <w:rPr>
                <w:noProof/>
                <w:sz w:val="18"/>
                <w:szCs w:val="18"/>
              </w:rPr>
              <w:t>SPECIFIKT MÅL nr 1</w:t>
            </w:r>
            <w:r w:rsidRPr="00C25964">
              <w:rPr>
                <w:rStyle w:val="FootnoteReference0"/>
                <w:noProof/>
                <w:sz w:val="18"/>
                <w:szCs w:val="18"/>
              </w:rPr>
              <w:footnoteReference w:id="38"/>
            </w:r>
            <w:r w:rsidRPr="00C25964">
              <w:rPr>
                <w:noProof/>
                <w:sz w:val="18"/>
                <w:szCs w:val="18"/>
              </w:rPr>
              <w:t>…</w:t>
            </w:r>
          </w:p>
        </w:tc>
        <w:tc>
          <w:tcPr>
            <w:tcW w:w="504" w:type="dxa"/>
            <w:tcBorders>
              <w:top w:val="nil"/>
              <w:left w:val="nil"/>
              <w:bottom w:val="nil"/>
              <w:right w:val="nil"/>
            </w:tcBorders>
          </w:tcPr>
          <w:p w14:paraId="3AAF2E64"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6D938D5D" w14:textId="77777777" w:rsidR="00252FB9" w:rsidRPr="00C25964" w:rsidRDefault="00252FB9" w:rsidP="00D05F26">
            <w:pPr>
              <w:spacing w:before="60" w:after="60"/>
              <w:ind w:right="-29"/>
              <w:jc w:val="center"/>
              <w:rPr>
                <w:noProof/>
                <w:sz w:val="18"/>
                <w:szCs w:val="18"/>
              </w:rPr>
            </w:pPr>
          </w:p>
        </w:tc>
        <w:tc>
          <w:tcPr>
            <w:tcW w:w="540" w:type="dxa"/>
            <w:tcBorders>
              <w:top w:val="nil"/>
              <w:left w:val="nil"/>
              <w:bottom w:val="nil"/>
              <w:right w:val="nil"/>
            </w:tcBorders>
          </w:tcPr>
          <w:p w14:paraId="50A31D39"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1CA4F80A"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7FCC536C"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5CA9547D" w14:textId="77777777" w:rsidR="00252FB9" w:rsidRPr="00C25964" w:rsidRDefault="00252FB9" w:rsidP="00D05F26">
            <w:pPr>
              <w:spacing w:before="60" w:after="60"/>
              <w:ind w:right="-29"/>
              <w:jc w:val="center"/>
              <w:rPr>
                <w:noProof/>
                <w:sz w:val="18"/>
                <w:szCs w:val="18"/>
              </w:rPr>
            </w:pPr>
          </w:p>
        </w:tc>
        <w:tc>
          <w:tcPr>
            <w:tcW w:w="900" w:type="dxa"/>
            <w:tcBorders>
              <w:top w:val="nil"/>
              <w:left w:val="nil"/>
              <w:bottom w:val="nil"/>
              <w:right w:val="nil"/>
            </w:tcBorders>
          </w:tcPr>
          <w:p w14:paraId="671B1BCB" w14:textId="77777777" w:rsidR="00252FB9" w:rsidRPr="00C25964" w:rsidRDefault="00252FB9" w:rsidP="00D05F26">
            <w:pPr>
              <w:spacing w:before="60" w:after="60"/>
              <w:ind w:right="-29"/>
              <w:jc w:val="center"/>
              <w:rPr>
                <w:noProof/>
                <w:sz w:val="18"/>
                <w:szCs w:val="18"/>
              </w:rPr>
            </w:pPr>
          </w:p>
        </w:tc>
        <w:tc>
          <w:tcPr>
            <w:tcW w:w="720" w:type="dxa"/>
            <w:gridSpan w:val="2"/>
            <w:tcBorders>
              <w:top w:val="nil"/>
              <w:left w:val="nil"/>
              <w:bottom w:val="nil"/>
              <w:right w:val="nil"/>
            </w:tcBorders>
          </w:tcPr>
          <w:p w14:paraId="16063987" w14:textId="77777777" w:rsidR="00252FB9" w:rsidRPr="00C25964" w:rsidRDefault="00252FB9" w:rsidP="00D05F26">
            <w:pPr>
              <w:spacing w:before="60" w:after="60"/>
              <w:ind w:right="-29"/>
              <w:jc w:val="center"/>
              <w:rPr>
                <w:noProof/>
                <w:sz w:val="18"/>
                <w:szCs w:val="18"/>
              </w:rPr>
            </w:pPr>
          </w:p>
        </w:tc>
        <w:tc>
          <w:tcPr>
            <w:tcW w:w="540" w:type="dxa"/>
            <w:tcBorders>
              <w:top w:val="nil"/>
              <w:left w:val="nil"/>
              <w:bottom w:val="nil"/>
              <w:right w:val="nil"/>
            </w:tcBorders>
          </w:tcPr>
          <w:p w14:paraId="07D9B069" w14:textId="77777777" w:rsidR="00252FB9" w:rsidRPr="00C25964" w:rsidRDefault="00252FB9" w:rsidP="00D05F26">
            <w:pPr>
              <w:spacing w:before="60" w:after="60"/>
              <w:ind w:right="-29"/>
              <w:jc w:val="center"/>
              <w:rPr>
                <w:noProof/>
                <w:sz w:val="18"/>
                <w:szCs w:val="18"/>
              </w:rPr>
            </w:pPr>
          </w:p>
        </w:tc>
        <w:tc>
          <w:tcPr>
            <w:tcW w:w="648" w:type="dxa"/>
            <w:tcBorders>
              <w:top w:val="nil"/>
              <w:left w:val="nil"/>
              <w:bottom w:val="nil"/>
              <w:right w:val="nil"/>
            </w:tcBorders>
          </w:tcPr>
          <w:p w14:paraId="455160BF" w14:textId="77777777" w:rsidR="00252FB9" w:rsidRPr="00C25964" w:rsidRDefault="00252FB9" w:rsidP="00D05F26">
            <w:pPr>
              <w:spacing w:before="60" w:after="60"/>
              <w:ind w:right="-29"/>
              <w:jc w:val="center"/>
              <w:rPr>
                <w:noProof/>
                <w:sz w:val="18"/>
                <w:szCs w:val="18"/>
              </w:rPr>
            </w:pPr>
          </w:p>
        </w:tc>
        <w:tc>
          <w:tcPr>
            <w:tcW w:w="432" w:type="dxa"/>
            <w:tcBorders>
              <w:top w:val="nil"/>
              <w:left w:val="nil"/>
              <w:bottom w:val="nil"/>
              <w:right w:val="nil"/>
            </w:tcBorders>
          </w:tcPr>
          <w:p w14:paraId="5DF9467E"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3F123813" w14:textId="77777777" w:rsidR="00252FB9" w:rsidRPr="00C25964" w:rsidRDefault="00252FB9" w:rsidP="00D05F26">
            <w:pPr>
              <w:spacing w:before="60" w:after="60"/>
              <w:ind w:right="-29"/>
              <w:jc w:val="center"/>
              <w:rPr>
                <w:noProof/>
                <w:sz w:val="18"/>
                <w:szCs w:val="18"/>
              </w:rPr>
            </w:pPr>
          </w:p>
        </w:tc>
        <w:tc>
          <w:tcPr>
            <w:tcW w:w="540" w:type="dxa"/>
            <w:tcBorders>
              <w:top w:val="nil"/>
              <w:left w:val="nil"/>
              <w:bottom w:val="nil"/>
              <w:right w:val="nil"/>
            </w:tcBorders>
          </w:tcPr>
          <w:p w14:paraId="38FE04BF"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0408F70C"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66FA2ACC" w14:textId="77777777" w:rsidR="00252FB9" w:rsidRPr="00C25964" w:rsidRDefault="00252FB9" w:rsidP="00D05F26">
            <w:pPr>
              <w:spacing w:before="60" w:after="60"/>
              <w:ind w:right="-29"/>
              <w:jc w:val="center"/>
              <w:rPr>
                <w:noProof/>
                <w:sz w:val="18"/>
                <w:szCs w:val="18"/>
              </w:rPr>
            </w:pPr>
          </w:p>
        </w:tc>
        <w:tc>
          <w:tcPr>
            <w:tcW w:w="900" w:type="dxa"/>
            <w:tcBorders>
              <w:top w:val="nil"/>
              <w:left w:val="nil"/>
              <w:bottom w:val="nil"/>
              <w:right w:val="nil"/>
            </w:tcBorders>
          </w:tcPr>
          <w:p w14:paraId="2648D117" w14:textId="77777777" w:rsidR="00252FB9" w:rsidRPr="00C25964" w:rsidRDefault="00252FB9" w:rsidP="00D05F26">
            <w:pPr>
              <w:spacing w:before="60" w:after="60"/>
              <w:ind w:right="-29"/>
              <w:jc w:val="center"/>
              <w:rPr>
                <w:noProof/>
                <w:sz w:val="18"/>
                <w:szCs w:val="18"/>
              </w:rPr>
            </w:pPr>
          </w:p>
        </w:tc>
      </w:tr>
      <w:tr w:rsidR="00252FB9" w:rsidRPr="00C25964" w14:paraId="0D3B5809" w14:textId="77777777" w:rsidTr="00D05F26">
        <w:trPr>
          <w:trHeight w:hRule="exact" w:val="369"/>
          <w:jc w:val="center"/>
        </w:trPr>
        <w:tc>
          <w:tcPr>
            <w:tcW w:w="1423" w:type="dxa"/>
          </w:tcPr>
          <w:p w14:paraId="1B9E8664" w14:textId="77777777" w:rsidR="00252FB9" w:rsidRPr="00C25964" w:rsidRDefault="00252FB9" w:rsidP="00D05F26">
            <w:pPr>
              <w:ind w:right="-29"/>
              <w:jc w:val="center"/>
              <w:rPr>
                <w:noProof/>
                <w:sz w:val="18"/>
                <w:szCs w:val="18"/>
              </w:rPr>
            </w:pPr>
            <w:r w:rsidRPr="00C25964">
              <w:rPr>
                <w:noProof/>
                <w:sz w:val="18"/>
              </w:rPr>
              <w:t>- Output</w:t>
            </w:r>
          </w:p>
        </w:tc>
        <w:tc>
          <w:tcPr>
            <w:tcW w:w="720" w:type="dxa"/>
          </w:tcPr>
          <w:p w14:paraId="2B966872" w14:textId="77777777" w:rsidR="00252FB9" w:rsidRPr="00C25964" w:rsidRDefault="00252FB9" w:rsidP="00D05F26">
            <w:pPr>
              <w:ind w:right="-29"/>
              <w:jc w:val="center"/>
              <w:rPr>
                <w:noProof/>
                <w:sz w:val="18"/>
                <w:szCs w:val="18"/>
              </w:rPr>
            </w:pPr>
          </w:p>
        </w:tc>
        <w:tc>
          <w:tcPr>
            <w:tcW w:w="701" w:type="dxa"/>
          </w:tcPr>
          <w:p w14:paraId="4431A725" w14:textId="77777777" w:rsidR="00252FB9" w:rsidRPr="00C25964" w:rsidRDefault="00252FB9" w:rsidP="00D05F26">
            <w:pPr>
              <w:ind w:right="-29"/>
              <w:jc w:val="center"/>
              <w:rPr>
                <w:noProof/>
                <w:sz w:val="18"/>
                <w:szCs w:val="18"/>
              </w:rPr>
            </w:pPr>
          </w:p>
        </w:tc>
        <w:tc>
          <w:tcPr>
            <w:tcW w:w="504" w:type="dxa"/>
            <w:tcBorders>
              <w:right w:val="dashSmallGap" w:sz="4" w:space="0" w:color="auto"/>
            </w:tcBorders>
          </w:tcPr>
          <w:p w14:paraId="3FE60617" w14:textId="77777777" w:rsidR="00252FB9" w:rsidRPr="00C25964" w:rsidRDefault="00252FB9" w:rsidP="00D05F26">
            <w:pPr>
              <w:ind w:right="-29"/>
              <w:jc w:val="center"/>
              <w:rPr>
                <w:noProof/>
                <w:sz w:val="18"/>
                <w:szCs w:val="18"/>
              </w:rPr>
            </w:pPr>
          </w:p>
        </w:tc>
        <w:tc>
          <w:tcPr>
            <w:tcW w:w="720" w:type="dxa"/>
            <w:tcBorders>
              <w:left w:val="dashSmallGap" w:sz="4" w:space="0" w:color="auto"/>
            </w:tcBorders>
          </w:tcPr>
          <w:p w14:paraId="76847D6A" w14:textId="77777777" w:rsidR="00252FB9" w:rsidRPr="00C25964" w:rsidRDefault="00252FB9" w:rsidP="00D05F26">
            <w:pPr>
              <w:ind w:right="-29"/>
              <w:jc w:val="center"/>
              <w:rPr>
                <w:noProof/>
                <w:sz w:val="18"/>
                <w:szCs w:val="18"/>
              </w:rPr>
            </w:pPr>
          </w:p>
        </w:tc>
        <w:tc>
          <w:tcPr>
            <w:tcW w:w="540" w:type="dxa"/>
            <w:tcBorders>
              <w:right w:val="dashSmallGap" w:sz="4" w:space="0" w:color="auto"/>
            </w:tcBorders>
          </w:tcPr>
          <w:p w14:paraId="53CC3C46" w14:textId="77777777" w:rsidR="00252FB9" w:rsidRPr="00C25964" w:rsidRDefault="00252FB9" w:rsidP="00D05F26">
            <w:pPr>
              <w:ind w:right="-29"/>
              <w:jc w:val="center"/>
              <w:rPr>
                <w:noProof/>
                <w:sz w:val="18"/>
                <w:szCs w:val="18"/>
              </w:rPr>
            </w:pPr>
          </w:p>
        </w:tc>
        <w:tc>
          <w:tcPr>
            <w:tcW w:w="720" w:type="dxa"/>
            <w:tcBorders>
              <w:left w:val="dashSmallGap" w:sz="4" w:space="0" w:color="auto"/>
            </w:tcBorders>
          </w:tcPr>
          <w:p w14:paraId="5D313181" w14:textId="77777777" w:rsidR="00252FB9" w:rsidRPr="00C25964" w:rsidRDefault="00252FB9" w:rsidP="00D05F26">
            <w:pPr>
              <w:ind w:right="-29"/>
              <w:jc w:val="center"/>
              <w:rPr>
                <w:noProof/>
                <w:sz w:val="18"/>
                <w:szCs w:val="18"/>
              </w:rPr>
            </w:pPr>
          </w:p>
        </w:tc>
        <w:tc>
          <w:tcPr>
            <w:tcW w:w="720" w:type="dxa"/>
            <w:tcBorders>
              <w:right w:val="dashSmallGap" w:sz="4" w:space="0" w:color="auto"/>
            </w:tcBorders>
          </w:tcPr>
          <w:p w14:paraId="4345072B" w14:textId="77777777" w:rsidR="00252FB9" w:rsidRPr="00C25964" w:rsidRDefault="00252FB9" w:rsidP="00D05F26">
            <w:pPr>
              <w:ind w:right="-29"/>
              <w:jc w:val="center"/>
              <w:rPr>
                <w:noProof/>
                <w:sz w:val="18"/>
                <w:szCs w:val="18"/>
              </w:rPr>
            </w:pPr>
          </w:p>
        </w:tc>
        <w:tc>
          <w:tcPr>
            <w:tcW w:w="720" w:type="dxa"/>
            <w:tcBorders>
              <w:left w:val="dashSmallGap" w:sz="4" w:space="0" w:color="auto"/>
            </w:tcBorders>
          </w:tcPr>
          <w:p w14:paraId="4A30C646" w14:textId="77777777" w:rsidR="00252FB9" w:rsidRPr="00C25964" w:rsidRDefault="00252FB9" w:rsidP="00D05F26">
            <w:pPr>
              <w:ind w:right="-29"/>
              <w:jc w:val="center"/>
              <w:rPr>
                <w:noProof/>
                <w:sz w:val="18"/>
                <w:szCs w:val="18"/>
              </w:rPr>
            </w:pPr>
          </w:p>
        </w:tc>
        <w:tc>
          <w:tcPr>
            <w:tcW w:w="900" w:type="dxa"/>
            <w:tcBorders>
              <w:right w:val="dashSmallGap" w:sz="4" w:space="0" w:color="auto"/>
            </w:tcBorders>
          </w:tcPr>
          <w:p w14:paraId="4C335A79" w14:textId="77777777" w:rsidR="00252FB9" w:rsidRPr="00C25964" w:rsidRDefault="00252FB9" w:rsidP="00D05F26">
            <w:pPr>
              <w:ind w:right="-29"/>
              <w:jc w:val="center"/>
              <w:rPr>
                <w:noProof/>
                <w:sz w:val="18"/>
                <w:szCs w:val="18"/>
              </w:rPr>
            </w:pPr>
          </w:p>
        </w:tc>
        <w:tc>
          <w:tcPr>
            <w:tcW w:w="720" w:type="dxa"/>
            <w:gridSpan w:val="2"/>
            <w:tcBorders>
              <w:left w:val="dashSmallGap" w:sz="4" w:space="0" w:color="auto"/>
            </w:tcBorders>
          </w:tcPr>
          <w:p w14:paraId="6922B523" w14:textId="77777777" w:rsidR="00252FB9" w:rsidRPr="00C25964" w:rsidRDefault="00252FB9" w:rsidP="00D05F26">
            <w:pPr>
              <w:ind w:right="-29"/>
              <w:jc w:val="center"/>
              <w:rPr>
                <w:noProof/>
                <w:sz w:val="18"/>
                <w:szCs w:val="18"/>
              </w:rPr>
            </w:pPr>
          </w:p>
        </w:tc>
        <w:tc>
          <w:tcPr>
            <w:tcW w:w="540" w:type="dxa"/>
            <w:tcBorders>
              <w:right w:val="dashSmallGap" w:sz="4" w:space="0" w:color="auto"/>
            </w:tcBorders>
          </w:tcPr>
          <w:p w14:paraId="738BF01B" w14:textId="77777777" w:rsidR="00252FB9" w:rsidRPr="00C25964" w:rsidRDefault="00252FB9" w:rsidP="00D05F26">
            <w:pPr>
              <w:ind w:right="-29"/>
              <w:jc w:val="center"/>
              <w:rPr>
                <w:noProof/>
                <w:sz w:val="18"/>
                <w:szCs w:val="18"/>
              </w:rPr>
            </w:pPr>
          </w:p>
        </w:tc>
        <w:tc>
          <w:tcPr>
            <w:tcW w:w="648" w:type="dxa"/>
            <w:tcBorders>
              <w:left w:val="dashSmallGap" w:sz="4" w:space="0" w:color="auto"/>
            </w:tcBorders>
          </w:tcPr>
          <w:p w14:paraId="5A872754" w14:textId="77777777" w:rsidR="00252FB9" w:rsidRPr="00C25964" w:rsidRDefault="00252FB9" w:rsidP="00D05F26">
            <w:pPr>
              <w:ind w:right="-29"/>
              <w:jc w:val="center"/>
              <w:rPr>
                <w:noProof/>
                <w:sz w:val="18"/>
                <w:szCs w:val="18"/>
              </w:rPr>
            </w:pPr>
          </w:p>
        </w:tc>
        <w:tc>
          <w:tcPr>
            <w:tcW w:w="432" w:type="dxa"/>
            <w:tcBorders>
              <w:right w:val="dashSmallGap" w:sz="4" w:space="0" w:color="auto"/>
            </w:tcBorders>
          </w:tcPr>
          <w:p w14:paraId="0DFCB489" w14:textId="77777777" w:rsidR="00252FB9" w:rsidRPr="00C25964" w:rsidRDefault="00252FB9" w:rsidP="00D05F26">
            <w:pPr>
              <w:ind w:right="-29"/>
              <w:jc w:val="center"/>
              <w:rPr>
                <w:noProof/>
                <w:sz w:val="18"/>
                <w:szCs w:val="18"/>
              </w:rPr>
            </w:pPr>
          </w:p>
        </w:tc>
        <w:tc>
          <w:tcPr>
            <w:tcW w:w="720" w:type="dxa"/>
            <w:tcBorders>
              <w:left w:val="dashSmallGap" w:sz="4" w:space="0" w:color="auto"/>
            </w:tcBorders>
          </w:tcPr>
          <w:p w14:paraId="32A69847" w14:textId="77777777" w:rsidR="00252FB9" w:rsidRPr="00C25964" w:rsidRDefault="00252FB9" w:rsidP="00D05F26">
            <w:pPr>
              <w:ind w:right="-29"/>
              <w:jc w:val="center"/>
              <w:rPr>
                <w:noProof/>
                <w:sz w:val="18"/>
                <w:szCs w:val="18"/>
              </w:rPr>
            </w:pPr>
          </w:p>
        </w:tc>
        <w:tc>
          <w:tcPr>
            <w:tcW w:w="540" w:type="dxa"/>
            <w:tcBorders>
              <w:right w:val="dashSmallGap" w:sz="4" w:space="0" w:color="auto"/>
            </w:tcBorders>
          </w:tcPr>
          <w:p w14:paraId="3C2CB196" w14:textId="77777777" w:rsidR="00252FB9" w:rsidRPr="00C25964" w:rsidRDefault="00252FB9" w:rsidP="00D05F26">
            <w:pPr>
              <w:ind w:right="-29"/>
              <w:jc w:val="center"/>
              <w:rPr>
                <w:noProof/>
                <w:sz w:val="18"/>
                <w:szCs w:val="18"/>
              </w:rPr>
            </w:pPr>
          </w:p>
        </w:tc>
        <w:tc>
          <w:tcPr>
            <w:tcW w:w="720" w:type="dxa"/>
            <w:tcBorders>
              <w:left w:val="dashSmallGap" w:sz="4" w:space="0" w:color="auto"/>
            </w:tcBorders>
          </w:tcPr>
          <w:p w14:paraId="19A5A082" w14:textId="77777777" w:rsidR="00252FB9" w:rsidRPr="00C25964" w:rsidRDefault="00252FB9" w:rsidP="00D05F26">
            <w:pPr>
              <w:ind w:right="-29"/>
              <w:jc w:val="center"/>
              <w:rPr>
                <w:noProof/>
                <w:sz w:val="18"/>
                <w:szCs w:val="18"/>
              </w:rPr>
            </w:pPr>
          </w:p>
        </w:tc>
        <w:tc>
          <w:tcPr>
            <w:tcW w:w="720" w:type="dxa"/>
          </w:tcPr>
          <w:p w14:paraId="020B6CFA" w14:textId="77777777" w:rsidR="00252FB9" w:rsidRPr="00C25964" w:rsidRDefault="00252FB9" w:rsidP="00D05F26">
            <w:pPr>
              <w:ind w:right="-29"/>
              <w:jc w:val="center"/>
              <w:rPr>
                <w:noProof/>
                <w:sz w:val="18"/>
                <w:szCs w:val="18"/>
              </w:rPr>
            </w:pPr>
          </w:p>
        </w:tc>
        <w:tc>
          <w:tcPr>
            <w:tcW w:w="900" w:type="dxa"/>
          </w:tcPr>
          <w:p w14:paraId="0B606CD1" w14:textId="77777777" w:rsidR="00252FB9" w:rsidRPr="00C25964" w:rsidRDefault="00252FB9" w:rsidP="00D05F26">
            <w:pPr>
              <w:ind w:right="-29"/>
              <w:jc w:val="center"/>
              <w:rPr>
                <w:noProof/>
                <w:sz w:val="18"/>
                <w:szCs w:val="18"/>
              </w:rPr>
            </w:pPr>
          </w:p>
        </w:tc>
      </w:tr>
      <w:tr w:rsidR="00252FB9" w:rsidRPr="00C25964" w14:paraId="531B69BF" w14:textId="77777777" w:rsidTr="00D05F26">
        <w:trPr>
          <w:trHeight w:hRule="exact" w:val="369"/>
          <w:jc w:val="center"/>
        </w:trPr>
        <w:tc>
          <w:tcPr>
            <w:tcW w:w="1423" w:type="dxa"/>
          </w:tcPr>
          <w:p w14:paraId="38AD0E07" w14:textId="77777777" w:rsidR="00252FB9" w:rsidRPr="00C25964" w:rsidRDefault="00252FB9" w:rsidP="00D05F26">
            <w:pPr>
              <w:ind w:right="-29"/>
              <w:jc w:val="center"/>
              <w:rPr>
                <w:noProof/>
                <w:sz w:val="18"/>
                <w:szCs w:val="18"/>
              </w:rPr>
            </w:pPr>
            <w:r w:rsidRPr="00C25964">
              <w:rPr>
                <w:noProof/>
                <w:sz w:val="18"/>
              </w:rPr>
              <w:t>- Output</w:t>
            </w:r>
          </w:p>
        </w:tc>
        <w:tc>
          <w:tcPr>
            <w:tcW w:w="720" w:type="dxa"/>
          </w:tcPr>
          <w:p w14:paraId="61FFF909" w14:textId="77777777" w:rsidR="00252FB9" w:rsidRPr="00C25964" w:rsidRDefault="00252FB9" w:rsidP="00D05F26">
            <w:pPr>
              <w:ind w:right="-29"/>
              <w:jc w:val="center"/>
              <w:rPr>
                <w:noProof/>
                <w:sz w:val="18"/>
                <w:szCs w:val="18"/>
              </w:rPr>
            </w:pPr>
          </w:p>
        </w:tc>
        <w:tc>
          <w:tcPr>
            <w:tcW w:w="701" w:type="dxa"/>
          </w:tcPr>
          <w:p w14:paraId="3401C70E" w14:textId="77777777" w:rsidR="00252FB9" w:rsidRPr="00C25964" w:rsidRDefault="00252FB9" w:rsidP="00D05F26">
            <w:pPr>
              <w:ind w:right="-29"/>
              <w:jc w:val="center"/>
              <w:rPr>
                <w:noProof/>
                <w:sz w:val="18"/>
                <w:szCs w:val="18"/>
              </w:rPr>
            </w:pPr>
          </w:p>
        </w:tc>
        <w:tc>
          <w:tcPr>
            <w:tcW w:w="504" w:type="dxa"/>
            <w:tcBorders>
              <w:right w:val="dashSmallGap" w:sz="4" w:space="0" w:color="auto"/>
            </w:tcBorders>
          </w:tcPr>
          <w:p w14:paraId="433E366F" w14:textId="77777777" w:rsidR="00252FB9" w:rsidRPr="00C25964" w:rsidRDefault="00252FB9" w:rsidP="00D05F26">
            <w:pPr>
              <w:ind w:right="-29"/>
              <w:jc w:val="center"/>
              <w:rPr>
                <w:noProof/>
                <w:sz w:val="18"/>
                <w:szCs w:val="18"/>
              </w:rPr>
            </w:pPr>
          </w:p>
        </w:tc>
        <w:tc>
          <w:tcPr>
            <w:tcW w:w="720" w:type="dxa"/>
            <w:tcBorders>
              <w:left w:val="dashSmallGap" w:sz="4" w:space="0" w:color="auto"/>
            </w:tcBorders>
          </w:tcPr>
          <w:p w14:paraId="44BB0BB4" w14:textId="77777777" w:rsidR="00252FB9" w:rsidRPr="00C25964" w:rsidRDefault="00252FB9" w:rsidP="00D05F26">
            <w:pPr>
              <w:ind w:right="-29"/>
              <w:jc w:val="center"/>
              <w:rPr>
                <w:noProof/>
                <w:sz w:val="18"/>
                <w:szCs w:val="18"/>
              </w:rPr>
            </w:pPr>
          </w:p>
        </w:tc>
        <w:tc>
          <w:tcPr>
            <w:tcW w:w="540" w:type="dxa"/>
            <w:tcBorders>
              <w:right w:val="dashSmallGap" w:sz="4" w:space="0" w:color="auto"/>
            </w:tcBorders>
          </w:tcPr>
          <w:p w14:paraId="56BCC7E3" w14:textId="77777777" w:rsidR="00252FB9" w:rsidRPr="00C25964" w:rsidRDefault="00252FB9" w:rsidP="00D05F26">
            <w:pPr>
              <w:ind w:right="-29"/>
              <w:jc w:val="center"/>
              <w:rPr>
                <w:noProof/>
                <w:sz w:val="18"/>
                <w:szCs w:val="18"/>
              </w:rPr>
            </w:pPr>
          </w:p>
        </w:tc>
        <w:tc>
          <w:tcPr>
            <w:tcW w:w="720" w:type="dxa"/>
            <w:tcBorders>
              <w:left w:val="dashSmallGap" w:sz="4" w:space="0" w:color="auto"/>
            </w:tcBorders>
          </w:tcPr>
          <w:p w14:paraId="234D44F4" w14:textId="77777777" w:rsidR="00252FB9" w:rsidRPr="00C25964" w:rsidRDefault="00252FB9" w:rsidP="00D05F26">
            <w:pPr>
              <w:ind w:right="-29"/>
              <w:jc w:val="center"/>
              <w:rPr>
                <w:noProof/>
                <w:sz w:val="18"/>
                <w:szCs w:val="18"/>
              </w:rPr>
            </w:pPr>
          </w:p>
        </w:tc>
        <w:tc>
          <w:tcPr>
            <w:tcW w:w="720" w:type="dxa"/>
            <w:tcBorders>
              <w:right w:val="dashSmallGap" w:sz="4" w:space="0" w:color="auto"/>
            </w:tcBorders>
          </w:tcPr>
          <w:p w14:paraId="665B1749" w14:textId="77777777" w:rsidR="00252FB9" w:rsidRPr="00C25964" w:rsidRDefault="00252FB9" w:rsidP="00D05F26">
            <w:pPr>
              <w:ind w:right="-29"/>
              <w:jc w:val="center"/>
              <w:rPr>
                <w:noProof/>
                <w:sz w:val="18"/>
                <w:szCs w:val="18"/>
              </w:rPr>
            </w:pPr>
          </w:p>
        </w:tc>
        <w:tc>
          <w:tcPr>
            <w:tcW w:w="720" w:type="dxa"/>
            <w:tcBorders>
              <w:left w:val="dashSmallGap" w:sz="4" w:space="0" w:color="auto"/>
            </w:tcBorders>
          </w:tcPr>
          <w:p w14:paraId="4F9932C5" w14:textId="77777777" w:rsidR="00252FB9" w:rsidRPr="00C25964" w:rsidRDefault="00252FB9" w:rsidP="00D05F26">
            <w:pPr>
              <w:ind w:right="-29"/>
              <w:jc w:val="center"/>
              <w:rPr>
                <w:noProof/>
                <w:sz w:val="18"/>
                <w:szCs w:val="18"/>
              </w:rPr>
            </w:pPr>
          </w:p>
        </w:tc>
        <w:tc>
          <w:tcPr>
            <w:tcW w:w="900" w:type="dxa"/>
            <w:tcBorders>
              <w:right w:val="dashSmallGap" w:sz="4" w:space="0" w:color="auto"/>
            </w:tcBorders>
          </w:tcPr>
          <w:p w14:paraId="433D94F2" w14:textId="77777777" w:rsidR="00252FB9" w:rsidRPr="00C25964" w:rsidRDefault="00252FB9" w:rsidP="00D05F26">
            <w:pPr>
              <w:ind w:right="-29"/>
              <w:jc w:val="center"/>
              <w:rPr>
                <w:noProof/>
                <w:sz w:val="18"/>
                <w:szCs w:val="18"/>
              </w:rPr>
            </w:pPr>
          </w:p>
        </w:tc>
        <w:tc>
          <w:tcPr>
            <w:tcW w:w="720" w:type="dxa"/>
            <w:gridSpan w:val="2"/>
            <w:tcBorders>
              <w:left w:val="dashSmallGap" w:sz="4" w:space="0" w:color="auto"/>
            </w:tcBorders>
          </w:tcPr>
          <w:p w14:paraId="2C87D88A" w14:textId="77777777" w:rsidR="00252FB9" w:rsidRPr="00C25964" w:rsidRDefault="00252FB9" w:rsidP="00D05F26">
            <w:pPr>
              <w:ind w:right="-29"/>
              <w:jc w:val="center"/>
              <w:rPr>
                <w:noProof/>
                <w:sz w:val="18"/>
                <w:szCs w:val="18"/>
              </w:rPr>
            </w:pPr>
          </w:p>
        </w:tc>
        <w:tc>
          <w:tcPr>
            <w:tcW w:w="540" w:type="dxa"/>
            <w:tcBorders>
              <w:right w:val="dashSmallGap" w:sz="4" w:space="0" w:color="auto"/>
            </w:tcBorders>
          </w:tcPr>
          <w:p w14:paraId="728AEAB0" w14:textId="77777777" w:rsidR="00252FB9" w:rsidRPr="00C25964" w:rsidRDefault="00252FB9" w:rsidP="00D05F26">
            <w:pPr>
              <w:ind w:right="-29"/>
              <w:jc w:val="center"/>
              <w:rPr>
                <w:noProof/>
                <w:sz w:val="18"/>
                <w:szCs w:val="18"/>
              </w:rPr>
            </w:pPr>
          </w:p>
        </w:tc>
        <w:tc>
          <w:tcPr>
            <w:tcW w:w="648" w:type="dxa"/>
            <w:tcBorders>
              <w:left w:val="dashSmallGap" w:sz="4" w:space="0" w:color="auto"/>
            </w:tcBorders>
          </w:tcPr>
          <w:p w14:paraId="565A69DB" w14:textId="77777777" w:rsidR="00252FB9" w:rsidRPr="00C25964" w:rsidRDefault="00252FB9" w:rsidP="00D05F26">
            <w:pPr>
              <w:ind w:right="-29"/>
              <w:jc w:val="center"/>
              <w:rPr>
                <w:noProof/>
                <w:sz w:val="18"/>
                <w:szCs w:val="18"/>
              </w:rPr>
            </w:pPr>
          </w:p>
        </w:tc>
        <w:tc>
          <w:tcPr>
            <w:tcW w:w="432" w:type="dxa"/>
            <w:tcBorders>
              <w:right w:val="dashSmallGap" w:sz="4" w:space="0" w:color="auto"/>
            </w:tcBorders>
          </w:tcPr>
          <w:p w14:paraId="659BE394" w14:textId="77777777" w:rsidR="00252FB9" w:rsidRPr="00C25964" w:rsidRDefault="00252FB9" w:rsidP="00D05F26">
            <w:pPr>
              <w:ind w:right="-29"/>
              <w:jc w:val="center"/>
              <w:rPr>
                <w:noProof/>
                <w:sz w:val="18"/>
                <w:szCs w:val="18"/>
              </w:rPr>
            </w:pPr>
          </w:p>
        </w:tc>
        <w:tc>
          <w:tcPr>
            <w:tcW w:w="720" w:type="dxa"/>
            <w:tcBorders>
              <w:left w:val="dashSmallGap" w:sz="4" w:space="0" w:color="auto"/>
            </w:tcBorders>
          </w:tcPr>
          <w:p w14:paraId="2876899F" w14:textId="77777777" w:rsidR="00252FB9" w:rsidRPr="00C25964" w:rsidRDefault="00252FB9" w:rsidP="00D05F26">
            <w:pPr>
              <w:ind w:right="-29"/>
              <w:jc w:val="center"/>
              <w:rPr>
                <w:noProof/>
                <w:sz w:val="18"/>
                <w:szCs w:val="18"/>
              </w:rPr>
            </w:pPr>
          </w:p>
        </w:tc>
        <w:tc>
          <w:tcPr>
            <w:tcW w:w="540" w:type="dxa"/>
            <w:tcBorders>
              <w:right w:val="dashSmallGap" w:sz="4" w:space="0" w:color="auto"/>
            </w:tcBorders>
          </w:tcPr>
          <w:p w14:paraId="668A5EF8" w14:textId="77777777" w:rsidR="00252FB9" w:rsidRPr="00C25964" w:rsidRDefault="00252FB9" w:rsidP="00D05F26">
            <w:pPr>
              <w:ind w:right="-29"/>
              <w:jc w:val="center"/>
              <w:rPr>
                <w:noProof/>
                <w:sz w:val="18"/>
                <w:szCs w:val="18"/>
              </w:rPr>
            </w:pPr>
          </w:p>
        </w:tc>
        <w:tc>
          <w:tcPr>
            <w:tcW w:w="720" w:type="dxa"/>
            <w:tcBorders>
              <w:left w:val="dashSmallGap" w:sz="4" w:space="0" w:color="auto"/>
            </w:tcBorders>
          </w:tcPr>
          <w:p w14:paraId="656A3180" w14:textId="77777777" w:rsidR="00252FB9" w:rsidRPr="00C25964" w:rsidRDefault="00252FB9" w:rsidP="00D05F26">
            <w:pPr>
              <w:ind w:right="-29"/>
              <w:jc w:val="center"/>
              <w:rPr>
                <w:noProof/>
                <w:sz w:val="18"/>
                <w:szCs w:val="18"/>
              </w:rPr>
            </w:pPr>
          </w:p>
        </w:tc>
        <w:tc>
          <w:tcPr>
            <w:tcW w:w="720" w:type="dxa"/>
          </w:tcPr>
          <w:p w14:paraId="35F9DA6F" w14:textId="77777777" w:rsidR="00252FB9" w:rsidRPr="00C25964" w:rsidRDefault="00252FB9" w:rsidP="00D05F26">
            <w:pPr>
              <w:ind w:right="-29"/>
              <w:jc w:val="center"/>
              <w:rPr>
                <w:noProof/>
                <w:sz w:val="18"/>
                <w:szCs w:val="18"/>
              </w:rPr>
            </w:pPr>
          </w:p>
        </w:tc>
        <w:tc>
          <w:tcPr>
            <w:tcW w:w="900" w:type="dxa"/>
          </w:tcPr>
          <w:p w14:paraId="4D3DB37C" w14:textId="77777777" w:rsidR="00252FB9" w:rsidRPr="00C25964" w:rsidRDefault="00252FB9" w:rsidP="00D05F26">
            <w:pPr>
              <w:ind w:right="-29"/>
              <w:jc w:val="center"/>
              <w:rPr>
                <w:noProof/>
                <w:sz w:val="18"/>
                <w:szCs w:val="18"/>
              </w:rPr>
            </w:pPr>
          </w:p>
        </w:tc>
      </w:tr>
      <w:tr w:rsidR="00252FB9" w:rsidRPr="00C25964" w14:paraId="78C1F310" w14:textId="77777777" w:rsidTr="00D05F26">
        <w:trPr>
          <w:trHeight w:hRule="exact" w:val="369"/>
          <w:jc w:val="center"/>
        </w:trPr>
        <w:tc>
          <w:tcPr>
            <w:tcW w:w="1423" w:type="dxa"/>
          </w:tcPr>
          <w:p w14:paraId="5DB4AC16" w14:textId="77777777" w:rsidR="00252FB9" w:rsidRPr="00C25964" w:rsidRDefault="00252FB9" w:rsidP="00D05F26">
            <w:pPr>
              <w:ind w:right="-29"/>
              <w:jc w:val="center"/>
              <w:rPr>
                <w:noProof/>
                <w:sz w:val="18"/>
                <w:szCs w:val="18"/>
              </w:rPr>
            </w:pPr>
            <w:r w:rsidRPr="00C25964">
              <w:rPr>
                <w:noProof/>
                <w:sz w:val="18"/>
              </w:rPr>
              <w:t>- Output</w:t>
            </w:r>
          </w:p>
        </w:tc>
        <w:tc>
          <w:tcPr>
            <w:tcW w:w="720" w:type="dxa"/>
          </w:tcPr>
          <w:p w14:paraId="773AB0D0" w14:textId="77777777" w:rsidR="00252FB9" w:rsidRPr="00C25964" w:rsidRDefault="00252FB9" w:rsidP="00D05F26">
            <w:pPr>
              <w:ind w:right="-29"/>
              <w:jc w:val="center"/>
              <w:rPr>
                <w:noProof/>
                <w:sz w:val="18"/>
                <w:szCs w:val="18"/>
              </w:rPr>
            </w:pPr>
          </w:p>
        </w:tc>
        <w:tc>
          <w:tcPr>
            <w:tcW w:w="701" w:type="dxa"/>
          </w:tcPr>
          <w:p w14:paraId="219E2030" w14:textId="77777777" w:rsidR="00252FB9" w:rsidRPr="00C25964" w:rsidRDefault="00252FB9" w:rsidP="00D05F26">
            <w:pPr>
              <w:ind w:right="-29"/>
              <w:jc w:val="center"/>
              <w:rPr>
                <w:noProof/>
                <w:sz w:val="18"/>
                <w:szCs w:val="18"/>
              </w:rPr>
            </w:pPr>
          </w:p>
        </w:tc>
        <w:tc>
          <w:tcPr>
            <w:tcW w:w="504" w:type="dxa"/>
          </w:tcPr>
          <w:p w14:paraId="4A459865" w14:textId="77777777" w:rsidR="00252FB9" w:rsidRPr="00C25964" w:rsidRDefault="00252FB9" w:rsidP="00D05F26">
            <w:pPr>
              <w:ind w:right="-29"/>
              <w:jc w:val="center"/>
              <w:rPr>
                <w:noProof/>
                <w:sz w:val="18"/>
                <w:szCs w:val="18"/>
              </w:rPr>
            </w:pPr>
          </w:p>
        </w:tc>
        <w:tc>
          <w:tcPr>
            <w:tcW w:w="720" w:type="dxa"/>
          </w:tcPr>
          <w:p w14:paraId="6AF4350D" w14:textId="77777777" w:rsidR="00252FB9" w:rsidRPr="00C25964" w:rsidRDefault="00252FB9" w:rsidP="00D05F26">
            <w:pPr>
              <w:ind w:right="-29"/>
              <w:jc w:val="center"/>
              <w:rPr>
                <w:noProof/>
                <w:sz w:val="18"/>
                <w:szCs w:val="18"/>
              </w:rPr>
            </w:pPr>
          </w:p>
        </w:tc>
        <w:tc>
          <w:tcPr>
            <w:tcW w:w="540" w:type="dxa"/>
          </w:tcPr>
          <w:p w14:paraId="35A4362C" w14:textId="77777777" w:rsidR="00252FB9" w:rsidRPr="00C25964" w:rsidRDefault="00252FB9" w:rsidP="00D05F26">
            <w:pPr>
              <w:ind w:right="-29"/>
              <w:jc w:val="center"/>
              <w:rPr>
                <w:noProof/>
                <w:sz w:val="18"/>
                <w:szCs w:val="18"/>
              </w:rPr>
            </w:pPr>
          </w:p>
        </w:tc>
        <w:tc>
          <w:tcPr>
            <w:tcW w:w="720" w:type="dxa"/>
          </w:tcPr>
          <w:p w14:paraId="77BF18F6" w14:textId="77777777" w:rsidR="00252FB9" w:rsidRPr="00C25964" w:rsidRDefault="00252FB9" w:rsidP="00D05F26">
            <w:pPr>
              <w:ind w:right="-29"/>
              <w:jc w:val="center"/>
              <w:rPr>
                <w:noProof/>
                <w:sz w:val="18"/>
                <w:szCs w:val="18"/>
              </w:rPr>
            </w:pPr>
          </w:p>
        </w:tc>
        <w:tc>
          <w:tcPr>
            <w:tcW w:w="720" w:type="dxa"/>
          </w:tcPr>
          <w:p w14:paraId="792D938B" w14:textId="77777777" w:rsidR="00252FB9" w:rsidRPr="00C25964" w:rsidRDefault="00252FB9" w:rsidP="00D05F26">
            <w:pPr>
              <w:ind w:right="-29"/>
              <w:jc w:val="center"/>
              <w:rPr>
                <w:noProof/>
                <w:sz w:val="18"/>
                <w:szCs w:val="18"/>
              </w:rPr>
            </w:pPr>
          </w:p>
        </w:tc>
        <w:tc>
          <w:tcPr>
            <w:tcW w:w="720" w:type="dxa"/>
          </w:tcPr>
          <w:p w14:paraId="64823733" w14:textId="77777777" w:rsidR="00252FB9" w:rsidRPr="00C25964" w:rsidRDefault="00252FB9" w:rsidP="00D05F26">
            <w:pPr>
              <w:ind w:right="-29"/>
              <w:jc w:val="center"/>
              <w:rPr>
                <w:noProof/>
                <w:sz w:val="18"/>
                <w:szCs w:val="18"/>
              </w:rPr>
            </w:pPr>
          </w:p>
        </w:tc>
        <w:tc>
          <w:tcPr>
            <w:tcW w:w="900" w:type="dxa"/>
          </w:tcPr>
          <w:p w14:paraId="728C9B88" w14:textId="77777777" w:rsidR="00252FB9" w:rsidRPr="00C25964" w:rsidRDefault="00252FB9" w:rsidP="00D05F26">
            <w:pPr>
              <w:ind w:right="-29"/>
              <w:jc w:val="center"/>
              <w:rPr>
                <w:noProof/>
                <w:sz w:val="18"/>
                <w:szCs w:val="18"/>
              </w:rPr>
            </w:pPr>
          </w:p>
        </w:tc>
        <w:tc>
          <w:tcPr>
            <w:tcW w:w="720" w:type="dxa"/>
            <w:gridSpan w:val="2"/>
          </w:tcPr>
          <w:p w14:paraId="1737A1DA" w14:textId="77777777" w:rsidR="00252FB9" w:rsidRPr="00C25964" w:rsidRDefault="00252FB9" w:rsidP="00D05F26">
            <w:pPr>
              <w:ind w:right="-29"/>
              <w:jc w:val="center"/>
              <w:rPr>
                <w:noProof/>
                <w:sz w:val="18"/>
                <w:szCs w:val="18"/>
              </w:rPr>
            </w:pPr>
          </w:p>
        </w:tc>
        <w:tc>
          <w:tcPr>
            <w:tcW w:w="540" w:type="dxa"/>
          </w:tcPr>
          <w:p w14:paraId="4C48DBF8" w14:textId="77777777" w:rsidR="00252FB9" w:rsidRPr="00C25964" w:rsidRDefault="00252FB9" w:rsidP="00D05F26">
            <w:pPr>
              <w:ind w:right="-29"/>
              <w:jc w:val="center"/>
              <w:rPr>
                <w:noProof/>
                <w:sz w:val="18"/>
                <w:szCs w:val="18"/>
              </w:rPr>
            </w:pPr>
          </w:p>
        </w:tc>
        <w:tc>
          <w:tcPr>
            <w:tcW w:w="648" w:type="dxa"/>
          </w:tcPr>
          <w:p w14:paraId="222BA6A4" w14:textId="77777777" w:rsidR="00252FB9" w:rsidRPr="00C25964" w:rsidRDefault="00252FB9" w:rsidP="00D05F26">
            <w:pPr>
              <w:ind w:right="-29"/>
              <w:jc w:val="center"/>
              <w:rPr>
                <w:noProof/>
                <w:sz w:val="18"/>
                <w:szCs w:val="18"/>
              </w:rPr>
            </w:pPr>
          </w:p>
        </w:tc>
        <w:tc>
          <w:tcPr>
            <w:tcW w:w="432" w:type="dxa"/>
          </w:tcPr>
          <w:p w14:paraId="7FA4AA7B" w14:textId="77777777" w:rsidR="00252FB9" w:rsidRPr="00C25964" w:rsidRDefault="00252FB9" w:rsidP="00D05F26">
            <w:pPr>
              <w:ind w:right="-29"/>
              <w:jc w:val="center"/>
              <w:rPr>
                <w:noProof/>
                <w:sz w:val="18"/>
                <w:szCs w:val="18"/>
              </w:rPr>
            </w:pPr>
          </w:p>
        </w:tc>
        <w:tc>
          <w:tcPr>
            <w:tcW w:w="720" w:type="dxa"/>
          </w:tcPr>
          <w:p w14:paraId="6B2D26C5" w14:textId="77777777" w:rsidR="00252FB9" w:rsidRPr="00C25964" w:rsidRDefault="00252FB9" w:rsidP="00D05F26">
            <w:pPr>
              <w:ind w:right="-29"/>
              <w:jc w:val="center"/>
              <w:rPr>
                <w:noProof/>
                <w:sz w:val="18"/>
                <w:szCs w:val="18"/>
              </w:rPr>
            </w:pPr>
          </w:p>
        </w:tc>
        <w:tc>
          <w:tcPr>
            <w:tcW w:w="540" w:type="dxa"/>
          </w:tcPr>
          <w:p w14:paraId="3E353799" w14:textId="77777777" w:rsidR="00252FB9" w:rsidRPr="00C25964" w:rsidRDefault="00252FB9" w:rsidP="00D05F26">
            <w:pPr>
              <w:ind w:right="-29"/>
              <w:jc w:val="center"/>
              <w:rPr>
                <w:noProof/>
                <w:sz w:val="18"/>
                <w:szCs w:val="18"/>
              </w:rPr>
            </w:pPr>
          </w:p>
        </w:tc>
        <w:tc>
          <w:tcPr>
            <w:tcW w:w="720" w:type="dxa"/>
          </w:tcPr>
          <w:p w14:paraId="1AA2AEF1" w14:textId="77777777" w:rsidR="00252FB9" w:rsidRPr="00C25964" w:rsidRDefault="00252FB9" w:rsidP="00D05F26">
            <w:pPr>
              <w:ind w:right="-29"/>
              <w:jc w:val="center"/>
              <w:rPr>
                <w:noProof/>
                <w:sz w:val="18"/>
                <w:szCs w:val="18"/>
              </w:rPr>
            </w:pPr>
          </w:p>
        </w:tc>
        <w:tc>
          <w:tcPr>
            <w:tcW w:w="720" w:type="dxa"/>
          </w:tcPr>
          <w:p w14:paraId="6E1E1C87" w14:textId="77777777" w:rsidR="00252FB9" w:rsidRPr="00C25964" w:rsidRDefault="00252FB9" w:rsidP="00D05F26">
            <w:pPr>
              <w:ind w:right="-29"/>
              <w:jc w:val="center"/>
              <w:rPr>
                <w:noProof/>
                <w:sz w:val="18"/>
                <w:szCs w:val="18"/>
              </w:rPr>
            </w:pPr>
          </w:p>
        </w:tc>
        <w:tc>
          <w:tcPr>
            <w:tcW w:w="900" w:type="dxa"/>
          </w:tcPr>
          <w:p w14:paraId="1439641A" w14:textId="77777777" w:rsidR="00252FB9" w:rsidRPr="00C25964" w:rsidRDefault="00252FB9" w:rsidP="00D05F26">
            <w:pPr>
              <w:ind w:right="-29"/>
              <w:jc w:val="center"/>
              <w:rPr>
                <w:noProof/>
                <w:sz w:val="18"/>
                <w:szCs w:val="18"/>
              </w:rPr>
            </w:pPr>
          </w:p>
        </w:tc>
      </w:tr>
      <w:tr w:rsidR="00252FB9" w:rsidRPr="00C25964" w14:paraId="3262ECD6" w14:textId="77777777" w:rsidTr="00D05F26">
        <w:trPr>
          <w:trHeight w:val="77"/>
          <w:jc w:val="center"/>
        </w:trPr>
        <w:tc>
          <w:tcPr>
            <w:tcW w:w="2844" w:type="dxa"/>
            <w:gridSpan w:val="3"/>
            <w:tcBorders>
              <w:bottom w:val="single" w:sz="12" w:space="0" w:color="auto"/>
            </w:tcBorders>
            <w:vAlign w:val="center"/>
          </w:tcPr>
          <w:p w14:paraId="4396A0CD" w14:textId="77777777" w:rsidR="00252FB9" w:rsidRPr="00C25964" w:rsidRDefault="00252FB9" w:rsidP="00D05F26">
            <w:pPr>
              <w:ind w:right="-29"/>
              <w:jc w:val="center"/>
              <w:rPr>
                <w:noProof/>
                <w:sz w:val="18"/>
                <w:szCs w:val="18"/>
              </w:rPr>
            </w:pPr>
            <w:r w:rsidRPr="00C25964">
              <w:rPr>
                <w:noProof/>
                <w:sz w:val="18"/>
              </w:rPr>
              <w:t>Delsumma för specifikt mål nr 1</w:t>
            </w:r>
          </w:p>
        </w:tc>
        <w:tc>
          <w:tcPr>
            <w:tcW w:w="504" w:type="dxa"/>
            <w:tcBorders>
              <w:bottom w:val="single" w:sz="12" w:space="0" w:color="auto"/>
            </w:tcBorders>
          </w:tcPr>
          <w:p w14:paraId="04A3B936"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1804ECD7" w14:textId="77777777" w:rsidR="00252FB9" w:rsidRPr="00C25964" w:rsidRDefault="00252FB9" w:rsidP="00D05F26">
            <w:pPr>
              <w:ind w:right="-29"/>
              <w:jc w:val="center"/>
              <w:rPr>
                <w:noProof/>
                <w:sz w:val="18"/>
                <w:szCs w:val="18"/>
              </w:rPr>
            </w:pPr>
          </w:p>
        </w:tc>
        <w:tc>
          <w:tcPr>
            <w:tcW w:w="540" w:type="dxa"/>
            <w:tcBorders>
              <w:bottom w:val="single" w:sz="12" w:space="0" w:color="auto"/>
            </w:tcBorders>
          </w:tcPr>
          <w:p w14:paraId="0FFEABA1"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380B09D1"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1A8477F6"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66FAD475" w14:textId="77777777" w:rsidR="00252FB9" w:rsidRPr="00C25964" w:rsidRDefault="00252FB9" w:rsidP="00D05F26">
            <w:pPr>
              <w:ind w:right="-29"/>
              <w:jc w:val="center"/>
              <w:rPr>
                <w:noProof/>
                <w:sz w:val="18"/>
                <w:szCs w:val="18"/>
              </w:rPr>
            </w:pPr>
          </w:p>
        </w:tc>
        <w:tc>
          <w:tcPr>
            <w:tcW w:w="900" w:type="dxa"/>
            <w:tcBorders>
              <w:bottom w:val="single" w:sz="12" w:space="0" w:color="auto"/>
            </w:tcBorders>
          </w:tcPr>
          <w:p w14:paraId="3FB58045" w14:textId="77777777" w:rsidR="00252FB9" w:rsidRPr="00C25964" w:rsidRDefault="00252FB9" w:rsidP="00D05F26">
            <w:pPr>
              <w:ind w:right="-29"/>
              <w:jc w:val="center"/>
              <w:rPr>
                <w:noProof/>
                <w:sz w:val="18"/>
                <w:szCs w:val="18"/>
              </w:rPr>
            </w:pPr>
          </w:p>
        </w:tc>
        <w:tc>
          <w:tcPr>
            <w:tcW w:w="720" w:type="dxa"/>
            <w:gridSpan w:val="2"/>
            <w:tcBorders>
              <w:bottom w:val="single" w:sz="12" w:space="0" w:color="auto"/>
            </w:tcBorders>
          </w:tcPr>
          <w:p w14:paraId="3106A2E5" w14:textId="77777777" w:rsidR="00252FB9" w:rsidRPr="00C25964" w:rsidRDefault="00252FB9" w:rsidP="00D05F26">
            <w:pPr>
              <w:ind w:right="-29"/>
              <w:jc w:val="center"/>
              <w:rPr>
                <w:noProof/>
                <w:sz w:val="18"/>
                <w:szCs w:val="18"/>
              </w:rPr>
            </w:pPr>
          </w:p>
        </w:tc>
        <w:tc>
          <w:tcPr>
            <w:tcW w:w="540" w:type="dxa"/>
            <w:tcBorders>
              <w:bottom w:val="single" w:sz="12" w:space="0" w:color="auto"/>
            </w:tcBorders>
          </w:tcPr>
          <w:p w14:paraId="66A3FE23" w14:textId="77777777" w:rsidR="00252FB9" w:rsidRPr="00C25964" w:rsidRDefault="00252FB9" w:rsidP="00D05F26">
            <w:pPr>
              <w:ind w:right="-29"/>
              <w:jc w:val="center"/>
              <w:rPr>
                <w:noProof/>
                <w:sz w:val="18"/>
                <w:szCs w:val="18"/>
              </w:rPr>
            </w:pPr>
          </w:p>
        </w:tc>
        <w:tc>
          <w:tcPr>
            <w:tcW w:w="648" w:type="dxa"/>
            <w:tcBorders>
              <w:bottom w:val="single" w:sz="12" w:space="0" w:color="auto"/>
            </w:tcBorders>
          </w:tcPr>
          <w:p w14:paraId="3C59617A" w14:textId="77777777" w:rsidR="00252FB9" w:rsidRPr="00C25964" w:rsidRDefault="00252FB9" w:rsidP="00D05F26">
            <w:pPr>
              <w:ind w:right="-29"/>
              <w:jc w:val="center"/>
              <w:rPr>
                <w:noProof/>
                <w:sz w:val="18"/>
                <w:szCs w:val="18"/>
              </w:rPr>
            </w:pPr>
          </w:p>
        </w:tc>
        <w:tc>
          <w:tcPr>
            <w:tcW w:w="432" w:type="dxa"/>
            <w:tcBorders>
              <w:bottom w:val="single" w:sz="12" w:space="0" w:color="auto"/>
            </w:tcBorders>
          </w:tcPr>
          <w:p w14:paraId="4BFD5A37"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517AC21A" w14:textId="77777777" w:rsidR="00252FB9" w:rsidRPr="00C25964" w:rsidRDefault="00252FB9" w:rsidP="00D05F26">
            <w:pPr>
              <w:ind w:right="-29"/>
              <w:jc w:val="center"/>
              <w:rPr>
                <w:noProof/>
                <w:sz w:val="18"/>
                <w:szCs w:val="18"/>
              </w:rPr>
            </w:pPr>
          </w:p>
        </w:tc>
        <w:tc>
          <w:tcPr>
            <w:tcW w:w="540" w:type="dxa"/>
            <w:tcBorders>
              <w:bottom w:val="single" w:sz="12" w:space="0" w:color="auto"/>
            </w:tcBorders>
          </w:tcPr>
          <w:p w14:paraId="6D753C47"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45967205"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37A0F7F8" w14:textId="77777777" w:rsidR="00252FB9" w:rsidRPr="00C25964" w:rsidRDefault="00252FB9" w:rsidP="00D05F26">
            <w:pPr>
              <w:ind w:right="-29"/>
              <w:jc w:val="center"/>
              <w:rPr>
                <w:noProof/>
                <w:sz w:val="18"/>
                <w:szCs w:val="18"/>
              </w:rPr>
            </w:pPr>
          </w:p>
        </w:tc>
        <w:tc>
          <w:tcPr>
            <w:tcW w:w="900" w:type="dxa"/>
            <w:tcBorders>
              <w:bottom w:val="single" w:sz="12" w:space="0" w:color="auto"/>
            </w:tcBorders>
          </w:tcPr>
          <w:p w14:paraId="3555A9E1" w14:textId="77777777" w:rsidR="00252FB9" w:rsidRPr="00C25964" w:rsidRDefault="00252FB9" w:rsidP="00D05F26">
            <w:pPr>
              <w:ind w:right="-29"/>
              <w:jc w:val="center"/>
              <w:rPr>
                <w:noProof/>
                <w:sz w:val="18"/>
                <w:szCs w:val="18"/>
              </w:rPr>
            </w:pPr>
          </w:p>
        </w:tc>
      </w:tr>
      <w:tr w:rsidR="00252FB9" w:rsidRPr="00C25964" w14:paraId="2685E6CD" w14:textId="77777777" w:rsidTr="00D05F26">
        <w:trPr>
          <w:jc w:val="center"/>
        </w:trPr>
        <w:tc>
          <w:tcPr>
            <w:tcW w:w="2844" w:type="dxa"/>
            <w:gridSpan w:val="3"/>
            <w:vAlign w:val="center"/>
          </w:tcPr>
          <w:p w14:paraId="1824AE41" w14:textId="77777777" w:rsidR="00252FB9" w:rsidRPr="00C25964" w:rsidRDefault="00252FB9" w:rsidP="00D05F26">
            <w:pPr>
              <w:spacing w:before="60" w:after="60"/>
              <w:ind w:right="-29"/>
              <w:jc w:val="center"/>
              <w:rPr>
                <w:noProof/>
                <w:sz w:val="18"/>
                <w:szCs w:val="18"/>
              </w:rPr>
            </w:pPr>
            <w:r w:rsidRPr="00C25964">
              <w:rPr>
                <w:noProof/>
                <w:sz w:val="18"/>
              </w:rPr>
              <w:t>SPECIFIKT MÅL nr 2…</w:t>
            </w:r>
          </w:p>
        </w:tc>
        <w:tc>
          <w:tcPr>
            <w:tcW w:w="504" w:type="dxa"/>
            <w:tcBorders>
              <w:top w:val="nil"/>
              <w:left w:val="nil"/>
              <w:bottom w:val="nil"/>
              <w:right w:val="nil"/>
            </w:tcBorders>
          </w:tcPr>
          <w:p w14:paraId="523DA54A"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21FAF222" w14:textId="77777777" w:rsidR="00252FB9" w:rsidRPr="00C25964" w:rsidRDefault="00252FB9" w:rsidP="00D05F26">
            <w:pPr>
              <w:spacing w:before="60" w:after="60"/>
              <w:ind w:right="-29"/>
              <w:jc w:val="center"/>
              <w:rPr>
                <w:noProof/>
                <w:sz w:val="18"/>
                <w:szCs w:val="18"/>
              </w:rPr>
            </w:pPr>
          </w:p>
        </w:tc>
        <w:tc>
          <w:tcPr>
            <w:tcW w:w="540" w:type="dxa"/>
            <w:tcBorders>
              <w:top w:val="nil"/>
              <w:left w:val="nil"/>
              <w:bottom w:val="nil"/>
              <w:right w:val="nil"/>
            </w:tcBorders>
          </w:tcPr>
          <w:p w14:paraId="3327CB8F"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18B8F230"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0A2FC89F"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6630438B" w14:textId="77777777" w:rsidR="00252FB9" w:rsidRPr="00C25964" w:rsidRDefault="00252FB9" w:rsidP="00D05F26">
            <w:pPr>
              <w:spacing w:before="60" w:after="60"/>
              <w:ind w:right="-29"/>
              <w:jc w:val="center"/>
              <w:rPr>
                <w:noProof/>
                <w:sz w:val="18"/>
                <w:szCs w:val="18"/>
              </w:rPr>
            </w:pPr>
          </w:p>
        </w:tc>
        <w:tc>
          <w:tcPr>
            <w:tcW w:w="900" w:type="dxa"/>
            <w:tcBorders>
              <w:top w:val="nil"/>
              <w:left w:val="nil"/>
              <w:bottom w:val="nil"/>
              <w:right w:val="nil"/>
            </w:tcBorders>
          </w:tcPr>
          <w:p w14:paraId="649C05C8" w14:textId="77777777" w:rsidR="00252FB9" w:rsidRPr="00C25964" w:rsidRDefault="00252FB9" w:rsidP="00D05F26">
            <w:pPr>
              <w:spacing w:before="60" w:after="60"/>
              <w:ind w:right="-29"/>
              <w:jc w:val="center"/>
              <w:rPr>
                <w:noProof/>
                <w:sz w:val="18"/>
                <w:szCs w:val="18"/>
              </w:rPr>
            </w:pPr>
          </w:p>
        </w:tc>
        <w:tc>
          <w:tcPr>
            <w:tcW w:w="720" w:type="dxa"/>
            <w:gridSpan w:val="2"/>
            <w:tcBorders>
              <w:top w:val="nil"/>
              <w:left w:val="nil"/>
              <w:bottom w:val="nil"/>
              <w:right w:val="nil"/>
            </w:tcBorders>
          </w:tcPr>
          <w:p w14:paraId="5096C523" w14:textId="77777777" w:rsidR="00252FB9" w:rsidRPr="00C25964" w:rsidRDefault="00252FB9" w:rsidP="00D05F26">
            <w:pPr>
              <w:spacing w:before="60" w:after="60"/>
              <w:ind w:right="-29"/>
              <w:jc w:val="center"/>
              <w:rPr>
                <w:noProof/>
                <w:sz w:val="18"/>
                <w:szCs w:val="18"/>
              </w:rPr>
            </w:pPr>
          </w:p>
        </w:tc>
        <w:tc>
          <w:tcPr>
            <w:tcW w:w="540" w:type="dxa"/>
            <w:tcBorders>
              <w:top w:val="nil"/>
              <w:left w:val="nil"/>
              <w:bottom w:val="nil"/>
              <w:right w:val="nil"/>
            </w:tcBorders>
          </w:tcPr>
          <w:p w14:paraId="4315B6BE" w14:textId="77777777" w:rsidR="00252FB9" w:rsidRPr="00C25964" w:rsidRDefault="00252FB9" w:rsidP="00D05F26">
            <w:pPr>
              <w:spacing w:before="60" w:after="60"/>
              <w:ind w:right="-29"/>
              <w:jc w:val="center"/>
              <w:rPr>
                <w:noProof/>
                <w:sz w:val="18"/>
                <w:szCs w:val="18"/>
              </w:rPr>
            </w:pPr>
          </w:p>
        </w:tc>
        <w:tc>
          <w:tcPr>
            <w:tcW w:w="648" w:type="dxa"/>
            <w:tcBorders>
              <w:top w:val="nil"/>
              <w:left w:val="nil"/>
              <w:bottom w:val="nil"/>
              <w:right w:val="nil"/>
            </w:tcBorders>
          </w:tcPr>
          <w:p w14:paraId="3310677F" w14:textId="77777777" w:rsidR="00252FB9" w:rsidRPr="00C25964" w:rsidRDefault="00252FB9" w:rsidP="00D05F26">
            <w:pPr>
              <w:spacing w:before="60" w:after="60"/>
              <w:ind w:right="-29"/>
              <w:jc w:val="center"/>
              <w:rPr>
                <w:noProof/>
                <w:sz w:val="18"/>
                <w:szCs w:val="18"/>
              </w:rPr>
            </w:pPr>
          </w:p>
        </w:tc>
        <w:tc>
          <w:tcPr>
            <w:tcW w:w="432" w:type="dxa"/>
            <w:tcBorders>
              <w:top w:val="nil"/>
              <w:left w:val="nil"/>
              <w:bottom w:val="nil"/>
              <w:right w:val="nil"/>
            </w:tcBorders>
          </w:tcPr>
          <w:p w14:paraId="175F5020"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3E919F10" w14:textId="77777777" w:rsidR="00252FB9" w:rsidRPr="00C25964" w:rsidRDefault="00252FB9" w:rsidP="00D05F26">
            <w:pPr>
              <w:spacing w:before="60" w:after="60"/>
              <w:ind w:right="-29"/>
              <w:jc w:val="center"/>
              <w:rPr>
                <w:noProof/>
                <w:sz w:val="18"/>
                <w:szCs w:val="18"/>
              </w:rPr>
            </w:pPr>
          </w:p>
        </w:tc>
        <w:tc>
          <w:tcPr>
            <w:tcW w:w="540" w:type="dxa"/>
            <w:tcBorders>
              <w:top w:val="nil"/>
              <w:left w:val="nil"/>
              <w:bottom w:val="nil"/>
              <w:right w:val="nil"/>
            </w:tcBorders>
          </w:tcPr>
          <w:p w14:paraId="738FEE91"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73C034FF" w14:textId="77777777" w:rsidR="00252FB9" w:rsidRPr="00C25964" w:rsidRDefault="00252FB9" w:rsidP="00D05F26">
            <w:pPr>
              <w:spacing w:before="60" w:after="60"/>
              <w:ind w:right="-29"/>
              <w:jc w:val="center"/>
              <w:rPr>
                <w:noProof/>
                <w:sz w:val="18"/>
                <w:szCs w:val="18"/>
              </w:rPr>
            </w:pPr>
          </w:p>
        </w:tc>
        <w:tc>
          <w:tcPr>
            <w:tcW w:w="720" w:type="dxa"/>
            <w:tcBorders>
              <w:top w:val="nil"/>
              <w:left w:val="nil"/>
              <w:bottom w:val="nil"/>
              <w:right w:val="nil"/>
            </w:tcBorders>
          </w:tcPr>
          <w:p w14:paraId="2FBE1273" w14:textId="77777777" w:rsidR="00252FB9" w:rsidRPr="00C25964" w:rsidRDefault="00252FB9" w:rsidP="00D05F26">
            <w:pPr>
              <w:spacing w:before="60" w:after="60"/>
              <w:ind w:right="-29"/>
              <w:jc w:val="center"/>
              <w:rPr>
                <w:noProof/>
                <w:sz w:val="18"/>
                <w:szCs w:val="18"/>
              </w:rPr>
            </w:pPr>
          </w:p>
        </w:tc>
        <w:tc>
          <w:tcPr>
            <w:tcW w:w="900" w:type="dxa"/>
            <w:tcBorders>
              <w:top w:val="nil"/>
              <w:left w:val="nil"/>
              <w:bottom w:val="nil"/>
              <w:right w:val="nil"/>
            </w:tcBorders>
          </w:tcPr>
          <w:p w14:paraId="29D68A57" w14:textId="77777777" w:rsidR="00252FB9" w:rsidRPr="00C25964" w:rsidRDefault="00252FB9" w:rsidP="00D05F26">
            <w:pPr>
              <w:spacing w:before="60" w:after="60"/>
              <w:ind w:right="-29"/>
              <w:jc w:val="center"/>
              <w:rPr>
                <w:noProof/>
                <w:sz w:val="18"/>
                <w:szCs w:val="18"/>
              </w:rPr>
            </w:pPr>
          </w:p>
        </w:tc>
      </w:tr>
      <w:tr w:rsidR="00252FB9" w:rsidRPr="00C25964" w14:paraId="51D51F6B" w14:textId="77777777" w:rsidTr="00D05F26">
        <w:trPr>
          <w:trHeight w:hRule="exact" w:val="369"/>
          <w:jc w:val="center"/>
        </w:trPr>
        <w:tc>
          <w:tcPr>
            <w:tcW w:w="1423" w:type="dxa"/>
          </w:tcPr>
          <w:p w14:paraId="79F40CFA" w14:textId="77777777" w:rsidR="00252FB9" w:rsidRPr="00C25964" w:rsidRDefault="00252FB9" w:rsidP="00D05F26">
            <w:pPr>
              <w:ind w:right="-29"/>
              <w:jc w:val="center"/>
              <w:rPr>
                <w:noProof/>
                <w:sz w:val="18"/>
                <w:szCs w:val="18"/>
              </w:rPr>
            </w:pPr>
            <w:r w:rsidRPr="00C25964">
              <w:rPr>
                <w:noProof/>
                <w:sz w:val="18"/>
              </w:rPr>
              <w:t>- Output</w:t>
            </w:r>
          </w:p>
        </w:tc>
        <w:tc>
          <w:tcPr>
            <w:tcW w:w="720" w:type="dxa"/>
          </w:tcPr>
          <w:p w14:paraId="22A2D01A" w14:textId="77777777" w:rsidR="00252FB9" w:rsidRPr="00C25964" w:rsidRDefault="00252FB9" w:rsidP="00D05F26">
            <w:pPr>
              <w:ind w:right="-29"/>
              <w:jc w:val="center"/>
              <w:rPr>
                <w:noProof/>
                <w:sz w:val="18"/>
                <w:szCs w:val="18"/>
              </w:rPr>
            </w:pPr>
          </w:p>
        </w:tc>
        <w:tc>
          <w:tcPr>
            <w:tcW w:w="701" w:type="dxa"/>
          </w:tcPr>
          <w:p w14:paraId="5B1643E5" w14:textId="77777777" w:rsidR="00252FB9" w:rsidRPr="00C25964" w:rsidRDefault="00252FB9" w:rsidP="00D05F26">
            <w:pPr>
              <w:ind w:right="-29"/>
              <w:jc w:val="center"/>
              <w:rPr>
                <w:noProof/>
                <w:sz w:val="18"/>
                <w:szCs w:val="18"/>
              </w:rPr>
            </w:pPr>
          </w:p>
        </w:tc>
        <w:tc>
          <w:tcPr>
            <w:tcW w:w="504" w:type="dxa"/>
          </w:tcPr>
          <w:p w14:paraId="003788DA" w14:textId="77777777" w:rsidR="00252FB9" w:rsidRPr="00C25964" w:rsidRDefault="00252FB9" w:rsidP="00D05F26">
            <w:pPr>
              <w:ind w:right="-29"/>
              <w:jc w:val="center"/>
              <w:rPr>
                <w:noProof/>
                <w:sz w:val="18"/>
                <w:szCs w:val="18"/>
              </w:rPr>
            </w:pPr>
          </w:p>
        </w:tc>
        <w:tc>
          <w:tcPr>
            <w:tcW w:w="720" w:type="dxa"/>
          </w:tcPr>
          <w:p w14:paraId="6D89D2CF" w14:textId="77777777" w:rsidR="00252FB9" w:rsidRPr="00C25964" w:rsidRDefault="00252FB9" w:rsidP="00D05F26">
            <w:pPr>
              <w:ind w:right="-29"/>
              <w:jc w:val="center"/>
              <w:rPr>
                <w:noProof/>
                <w:sz w:val="18"/>
                <w:szCs w:val="18"/>
              </w:rPr>
            </w:pPr>
          </w:p>
        </w:tc>
        <w:tc>
          <w:tcPr>
            <w:tcW w:w="540" w:type="dxa"/>
          </w:tcPr>
          <w:p w14:paraId="5B693135" w14:textId="77777777" w:rsidR="00252FB9" w:rsidRPr="00C25964" w:rsidRDefault="00252FB9" w:rsidP="00D05F26">
            <w:pPr>
              <w:ind w:right="-29"/>
              <w:jc w:val="center"/>
              <w:rPr>
                <w:noProof/>
                <w:sz w:val="18"/>
                <w:szCs w:val="18"/>
              </w:rPr>
            </w:pPr>
          </w:p>
        </w:tc>
        <w:tc>
          <w:tcPr>
            <w:tcW w:w="720" w:type="dxa"/>
          </w:tcPr>
          <w:p w14:paraId="6D919698" w14:textId="77777777" w:rsidR="00252FB9" w:rsidRPr="00C25964" w:rsidRDefault="00252FB9" w:rsidP="00D05F26">
            <w:pPr>
              <w:ind w:right="-29"/>
              <w:jc w:val="center"/>
              <w:rPr>
                <w:noProof/>
                <w:sz w:val="18"/>
                <w:szCs w:val="18"/>
              </w:rPr>
            </w:pPr>
          </w:p>
        </w:tc>
        <w:tc>
          <w:tcPr>
            <w:tcW w:w="720" w:type="dxa"/>
          </w:tcPr>
          <w:p w14:paraId="054B24FB" w14:textId="77777777" w:rsidR="00252FB9" w:rsidRPr="00C25964" w:rsidRDefault="00252FB9" w:rsidP="00D05F26">
            <w:pPr>
              <w:ind w:right="-29"/>
              <w:jc w:val="center"/>
              <w:rPr>
                <w:noProof/>
                <w:sz w:val="18"/>
                <w:szCs w:val="18"/>
              </w:rPr>
            </w:pPr>
          </w:p>
        </w:tc>
        <w:tc>
          <w:tcPr>
            <w:tcW w:w="720" w:type="dxa"/>
          </w:tcPr>
          <w:p w14:paraId="2ED66A0E" w14:textId="77777777" w:rsidR="00252FB9" w:rsidRPr="00C25964" w:rsidRDefault="00252FB9" w:rsidP="00D05F26">
            <w:pPr>
              <w:ind w:right="-29"/>
              <w:jc w:val="center"/>
              <w:rPr>
                <w:noProof/>
                <w:sz w:val="18"/>
                <w:szCs w:val="18"/>
              </w:rPr>
            </w:pPr>
          </w:p>
        </w:tc>
        <w:tc>
          <w:tcPr>
            <w:tcW w:w="900" w:type="dxa"/>
          </w:tcPr>
          <w:p w14:paraId="72AF6FC1" w14:textId="77777777" w:rsidR="00252FB9" w:rsidRPr="00C25964" w:rsidRDefault="00252FB9" w:rsidP="00D05F26">
            <w:pPr>
              <w:ind w:right="-29"/>
              <w:jc w:val="center"/>
              <w:rPr>
                <w:noProof/>
                <w:sz w:val="18"/>
                <w:szCs w:val="18"/>
              </w:rPr>
            </w:pPr>
          </w:p>
        </w:tc>
        <w:tc>
          <w:tcPr>
            <w:tcW w:w="720" w:type="dxa"/>
            <w:gridSpan w:val="2"/>
          </w:tcPr>
          <w:p w14:paraId="4F5F22B1" w14:textId="77777777" w:rsidR="00252FB9" w:rsidRPr="00C25964" w:rsidRDefault="00252FB9" w:rsidP="00D05F26">
            <w:pPr>
              <w:ind w:right="-29"/>
              <w:jc w:val="center"/>
              <w:rPr>
                <w:noProof/>
                <w:sz w:val="18"/>
                <w:szCs w:val="18"/>
              </w:rPr>
            </w:pPr>
          </w:p>
        </w:tc>
        <w:tc>
          <w:tcPr>
            <w:tcW w:w="540" w:type="dxa"/>
          </w:tcPr>
          <w:p w14:paraId="0FC2C994" w14:textId="77777777" w:rsidR="00252FB9" w:rsidRPr="00C25964" w:rsidRDefault="00252FB9" w:rsidP="00D05F26">
            <w:pPr>
              <w:ind w:right="-29"/>
              <w:jc w:val="center"/>
              <w:rPr>
                <w:noProof/>
                <w:sz w:val="18"/>
                <w:szCs w:val="18"/>
              </w:rPr>
            </w:pPr>
          </w:p>
        </w:tc>
        <w:tc>
          <w:tcPr>
            <w:tcW w:w="648" w:type="dxa"/>
          </w:tcPr>
          <w:p w14:paraId="3EBBEE1C" w14:textId="77777777" w:rsidR="00252FB9" w:rsidRPr="00C25964" w:rsidRDefault="00252FB9" w:rsidP="00D05F26">
            <w:pPr>
              <w:ind w:right="-29"/>
              <w:jc w:val="center"/>
              <w:rPr>
                <w:noProof/>
                <w:sz w:val="18"/>
                <w:szCs w:val="18"/>
              </w:rPr>
            </w:pPr>
          </w:p>
        </w:tc>
        <w:tc>
          <w:tcPr>
            <w:tcW w:w="432" w:type="dxa"/>
          </w:tcPr>
          <w:p w14:paraId="4AAA7C9E" w14:textId="77777777" w:rsidR="00252FB9" w:rsidRPr="00C25964" w:rsidRDefault="00252FB9" w:rsidP="00D05F26">
            <w:pPr>
              <w:ind w:right="-29"/>
              <w:jc w:val="center"/>
              <w:rPr>
                <w:noProof/>
                <w:sz w:val="18"/>
                <w:szCs w:val="18"/>
              </w:rPr>
            </w:pPr>
          </w:p>
        </w:tc>
        <w:tc>
          <w:tcPr>
            <w:tcW w:w="720" w:type="dxa"/>
          </w:tcPr>
          <w:p w14:paraId="097B8814" w14:textId="77777777" w:rsidR="00252FB9" w:rsidRPr="00C25964" w:rsidRDefault="00252FB9" w:rsidP="00D05F26">
            <w:pPr>
              <w:ind w:right="-29"/>
              <w:jc w:val="center"/>
              <w:rPr>
                <w:noProof/>
                <w:sz w:val="18"/>
                <w:szCs w:val="18"/>
              </w:rPr>
            </w:pPr>
          </w:p>
        </w:tc>
        <w:tc>
          <w:tcPr>
            <w:tcW w:w="540" w:type="dxa"/>
          </w:tcPr>
          <w:p w14:paraId="6320101A" w14:textId="77777777" w:rsidR="00252FB9" w:rsidRPr="00C25964" w:rsidRDefault="00252FB9" w:rsidP="00D05F26">
            <w:pPr>
              <w:ind w:right="-29"/>
              <w:jc w:val="center"/>
              <w:rPr>
                <w:noProof/>
                <w:sz w:val="18"/>
                <w:szCs w:val="18"/>
              </w:rPr>
            </w:pPr>
          </w:p>
        </w:tc>
        <w:tc>
          <w:tcPr>
            <w:tcW w:w="720" w:type="dxa"/>
          </w:tcPr>
          <w:p w14:paraId="60168F0F" w14:textId="77777777" w:rsidR="00252FB9" w:rsidRPr="00C25964" w:rsidRDefault="00252FB9" w:rsidP="00D05F26">
            <w:pPr>
              <w:ind w:right="-29"/>
              <w:jc w:val="center"/>
              <w:rPr>
                <w:noProof/>
                <w:sz w:val="18"/>
                <w:szCs w:val="18"/>
              </w:rPr>
            </w:pPr>
          </w:p>
        </w:tc>
        <w:tc>
          <w:tcPr>
            <w:tcW w:w="720" w:type="dxa"/>
          </w:tcPr>
          <w:p w14:paraId="5C7B1594" w14:textId="77777777" w:rsidR="00252FB9" w:rsidRPr="00C25964" w:rsidRDefault="00252FB9" w:rsidP="00D05F26">
            <w:pPr>
              <w:ind w:right="-29"/>
              <w:jc w:val="center"/>
              <w:rPr>
                <w:noProof/>
                <w:sz w:val="18"/>
                <w:szCs w:val="18"/>
              </w:rPr>
            </w:pPr>
          </w:p>
        </w:tc>
        <w:tc>
          <w:tcPr>
            <w:tcW w:w="900" w:type="dxa"/>
          </w:tcPr>
          <w:p w14:paraId="78F7B484" w14:textId="77777777" w:rsidR="00252FB9" w:rsidRPr="00C25964" w:rsidRDefault="00252FB9" w:rsidP="00D05F26">
            <w:pPr>
              <w:ind w:right="-29"/>
              <w:jc w:val="center"/>
              <w:rPr>
                <w:noProof/>
                <w:sz w:val="18"/>
                <w:szCs w:val="18"/>
              </w:rPr>
            </w:pPr>
          </w:p>
        </w:tc>
      </w:tr>
      <w:tr w:rsidR="00252FB9" w:rsidRPr="00C25964" w14:paraId="1C1A9221" w14:textId="77777777" w:rsidTr="00D05F26">
        <w:trPr>
          <w:jc w:val="center"/>
        </w:trPr>
        <w:tc>
          <w:tcPr>
            <w:tcW w:w="2844" w:type="dxa"/>
            <w:gridSpan w:val="3"/>
            <w:tcBorders>
              <w:bottom w:val="single" w:sz="12" w:space="0" w:color="auto"/>
            </w:tcBorders>
            <w:vAlign w:val="center"/>
          </w:tcPr>
          <w:p w14:paraId="78232243" w14:textId="77777777" w:rsidR="00252FB9" w:rsidRPr="00C25964" w:rsidRDefault="00252FB9" w:rsidP="00D05F26">
            <w:pPr>
              <w:jc w:val="center"/>
              <w:rPr>
                <w:noProof/>
                <w:sz w:val="18"/>
                <w:szCs w:val="18"/>
              </w:rPr>
            </w:pPr>
            <w:r w:rsidRPr="00C25964">
              <w:rPr>
                <w:noProof/>
                <w:sz w:val="18"/>
              </w:rPr>
              <w:t>Delsumma specifikt mål nr 2</w:t>
            </w:r>
          </w:p>
        </w:tc>
        <w:tc>
          <w:tcPr>
            <w:tcW w:w="504" w:type="dxa"/>
            <w:tcBorders>
              <w:bottom w:val="single" w:sz="12" w:space="0" w:color="auto"/>
            </w:tcBorders>
          </w:tcPr>
          <w:p w14:paraId="76E64EBC"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7C677FCC" w14:textId="77777777" w:rsidR="00252FB9" w:rsidRPr="00C25964" w:rsidRDefault="00252FB9" w:rsidP="00D05F26">
            <w:pPr>
              <w:ind w:right="-29"/>
              <w:jc w:val="center"/>
              <w:rPr>
                <w:noProof/>
                <w:sz w:val="18"/>
                <w:szCs w:val="18"/>
              </w:rPr>
            </w:pPr>
          </w:p>
        </w:tc>
        <w:tc>
          <w:tcPr>
            <w:tcW w:w="540" w:type="dxa"/>
            <w:tcBorders>
              <w:bottom w:val="single" w:sz="12" w:space="0" w:color="auto"/>
            </w:tcBorders>
          </w:tcPr>
          <w:p w14:paraId="299EBEE7"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4A0E7F41"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2934CA90"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694BCA01" w14:textId="77777777" w:rsidR="00252FB9" w:rsidRPr="00C25964" w:rsidRDefault="00252FB9" w:rsidP="00D05F26">
            <w:pPr>
              <w:ind w:right="-29"/>
              <w:jc w:val="center"/>
              <w:rPr>
                <w:noProof/>
                <w:sz w:val="18"/>
                <w:szCs w:val="18"/>
              </w:rPr>
            </w:pPr>
          </w:p>
        </w:tc>
        <w:tc>
          <w:tcPr>
            <w:tcW w:w="951" w:type="dxa"/>
            <w:gridSpan w:val="2"/>
            <w:tcBorders>
              <w:bottom w:val="single" w:sz="12" w:space="0" w:color="auto"/>
            </w:tcBorders>
          </w:tcPr>
          <w:p w14:paraId="1B918472" w14:textId="77777777" w:rsidR="00252FB9" w:rsidRPr="00C25964" w:rsidRDefault="00252FB9" w:rsidP="00D05F26">
            <w:pPr>
              <w:ind w:right="-29"/>
              <w:jc w:val="center"/>
              <w:rPr>
                <w:noProof/>
                <w:sz w:val="18"/>
                <w:szCs w:val="18"/>
              </w:rPr>
            </w:pPr>
          </w:p>
        </w:tc>
        <w:tc>
          <w:tcPr>
            <w:tcW w:w="669" w:type="dxa"/>
            <w:tcBorders>
              <w:bottom w:val="single" w:sz="12" w:space="0" w:color="auto"/>
            </w:tcBorders>
          </w:tcPr>
          <w:p w14:paraId="3892DB76" w14:textId="77777777" w:rsidR="00252FB9" w:rsidRPr="00C25964" w:rsidRDefault="00252FB9" w:rsidP="00D05F26">
            <w:pPr>
              <w:ind w:right="-29"/>
              <w:jc w:val="center"/>
              <w:rPr>
                <w:noProof/>
                <w:sz w:val="18"/>
                <w:szCs w:val="18"/>
              </w:rPr>
            </w:pPr>
          </w:p>
        </w:tc>
        <w:tc>
          <w:tcPr>
            <w:tcW w:w="540" w:type="dxa"/>
            <w:tcBorders>
              <w:bottom w:val="single" w:sz="12" w:space="0" w:color="auto"/>
            </w:tcBorders>
          </w:tcPr>
          <w:p w14:paraId="74FA13BB" w14:textId="77777777" w:rsidR="00252FB9" w:rsidRPr="00C25964" w:rsidRDefault="00252FB9" w:rsidP="00D05F26">
            <w:pPr>
              <w:ind w:right="-29"/>
              <w:jc w:val="center"/>
              <w:rPr>
                <w:noProof/>
                <w:sz w:val="18"/>
                <w:szCs w:val="18"/>
              </w:rPr>
            </w:pPr>
          </w:p>
        </w:tc>
        <w:tc>
          <w:tcPr>
            <w:tcW w:w="648" w:type="dxa"/>
            <w:tcBorders>
              <w:bottom w:val="single" w:sz="12" w:space="0" w:color="auto"/>
            </w:tcBorders>
          </w:tcPr>
          <w:p w14:paraId="38D3F348" w14:textId="77777777" w:rsidR="00252FB9" w:rsidRPr="00C25964" w:rsidRDefault="00252FB9" w:rsidP="00D05F26">
            <w:pPr>
              <w:ind w:right="-29"/>
              <w:jc w:val="center"/>
              <w:rPr>
                <w:noProof/>
                <w:sz w:val="18"/>
                <w:szCs w:val="18"/>
              </w:rPr>
            </w:pPr>
          </w:p>
        </w:tc>
        <w:tc>
          <w:tcPr>
            <w:tcW w:w="432" w:type="dxa"/>
            <w:tcBorders>
              <w:bottom w:val="single" w:sz="12" w:space="0" w:color="auto"/>
            </w:tcBorders>
          </w:tcPr>
          <w:p w14:paraId="3628DEDC"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58FA5F42" w14:textId="77777777" w:rsidR="00252FB9" w:rsidRPr="00C25964" w:rsidRDefault="00252FB9" w:rsidP="00D05F26">
            <w:pPr>
              <w:ind w:right="-29"/>
              <w:jc w:val="center"/>
              <w:rPr>
                <w:noProof/>
                <w:sz w:val="18"/>
                <w:szCs w:val="18"/>
              </w:rPr>
            </w:pPr>
          </w:p>
        </w:tc>
        <w:tc>
          <w:tcPr>
            <w:tcW w:w="540" w:type="dxa"/>
            <w:tcBorders>
              <w:bottom w:val="single" w:sz="12" w:space="0" w:color="auto"/>
            </w:tcBorders>
          </w:tcPr>
          <w:p w14:paraId="18254FCE"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6A7349BB" w14:textId="77777777" w:rsidR="00252FB9" w:rsidRPr="00C25964" w:rsidRDefault="00252FB9" w:rsidP="00D05F26">
            <w:pPr>
              <w:ind w:right="-29"/>
              <w:jc w:val="center"/>
              <w:rPr>
                <w:noProof/>
                <w:sz w:val="18"/>
                <w:szCs w:val="18"/>
              </w:rPr>
            </w:pPr>
          </w:p>
        </w:tc>
        <w:tc>
          <w:tcPr>
            <w:tcW w:w="720" w:type="dxa"/>
            <w:tcBorders>
              <w:bottom w:val="single" w:sz="12" w:space="0" w:color="auto"/>
            </w:tcBorders>
          </w:tcPr>
          <w:p w14:paraId="63E0781A" w14:textId="77777777" w:rsidR="00252FB9" w:rsidRPr="00C25964" w:rsidRDefault="00252FB9" w:rsidP="00D05F26">
            <w:pPr>
              <w:ind w:right="-29"/>
              <w:jc w:val="center"/>
              <w:rPr>
                <w:noProof/>
                <w:sz w:val="18"/>
                <w:szCs w:val="18"/>
              </w:rPr>
            </w:pPr>
          </w:p>
        </w:tc>
        <w:tc>
          <w:tcPr>
            <w:tcW w:w="900" w:type="dxa"/>
            <w:tcBorders>
              <w:bottom w:val="single" w:sz="12" w:space="0" w:color="auto"/>
            </w:tcBorders>
          </w:tcPr>
          <w:p w14:paraId="356C703D" w14:textId="77777777" w:rsidR="00252FB9" w:rsidRPr="00C25964" w:rsidRDefault="00252FB9" w:rsidP="00D05F26">
            <w:pPr>
              <w:ind w:right="-29"/>
              <w:jc w:val="center"/>
              <w:rPr>
                <w:noProof/>
                <w:sz w:val="18"/>
                <w:szCs w:val="18"/>
              </w:rPr>
            </w:pPr>
          </w:p>
        </w:tc>
      </w:tr>
      <w:tr w:rsidR="00252FB9" w:rsidRPr="00C25964" w14:paraId="26E29E3F" w14:textId="77777777" w:rsidTr="00D05F26">
        <w:trPr>
          <w:jc w:val="center"/>
        </w:trPr>
        <w:tc>
          <w:tcPr>
            <w:tcW w:w="2844" w:type="dxa"/>
            <w:gridSpan w:val="3"/>
            <w:tcBorders>
              <w:top w:val="single" w:sz="12" w:space="0" w:color="auto"/>
              <w:left w:val="single" w:sz="12" w:space="0" w:color="auto"/>
              <w:bottom w:val="single" w:sz="12" w:space="0" w:color="auto"/>
            </w:tcBorders>
            <w:vAlign w:val="center"/>
          </w:tcPr>
          <w:p w14:paraId="4264B7C8" w14:textId="77777777" w:rsidR="00252FB9" w:rsidRPr="00C25964" w:rsidRDefault="00252FB9" w:rsidP="00D05F26">
            <w:pPr>
              <w:ind w:right="-29"/>
              <w:jc w:val="center"/>
              <w:rPr>
                <w:noProof/>
                <w:sz w:val="18"/>
                <w:szCs w:val="18"/>
              </w:rPr>
            </w:pPr>
            <w:r w:rsidRPr="00C25964">
              <w:rPr>
                <w:b/>
                <w:noProof/>
                <w:sz w:val="18"/>
              </w:rPr>
              <w:t>TOTALT</w:t>
            </w:r>
          </w:p>
        </w:tc>
        <w:tc>
          <w:tcPr>
            <w:tcW w:w="504" w:type="dxa"/>
            <w:tcBorders>
              <w:top w:val="single" w:sz="12" w:space="0" w:color="auto"/>
              <w:bottom w:val="single" w:sz="12" w:space="0" w:color="auto"/>
            </w:tcBorders>
          </w:tcPr>
          <w:p w14:paraId="2CEB4B8C" w14:textId="77777777" w:rsidR="00252FB9" w:rsidRPr="00C25964" w:rsidRDefault="00252FB9" w:rsidP="00D05F26">
            <w:pPr>
              <w:spacing w:before="180" w:after="180"/>
              <w:ind w:right="-29"/>
              <w:jc w:val="center"/>
              <w:rPr>
                <w:noProof/>
                <w:sz w:val="18"/>
                <w:szCs w:val="18"/>
              </w:rPr>
            </w:pPr>
          </w:p>
        </w:tc>
        <w:tc>
          <w:tcPr>
            <w:tcW w:w="720" w:type="dxa"/>
            <w:tcBorders>
              <w:top w:val="single" w:sz="12" w:space="0" w:color="auto"/>
              <w:bottom w:val="single" w:sz="12" w:space="0" w:color="auto"/>
            </w:tcBorders>
          </w:tcPr>
          <w:p w14:paraId="59BE162B" w14:textId="77777777" w:rsidR="00252FB9" w:rsidRPr="00C25964" w:rsidRDefault="00252FB9" w:rsidP="00D05F26">
            <w:pPr>
              <w:spacing w:before="180" w:after="180"/>
              <w:ind w:right="-29"/>
              <w:jc w:val="center"/>
              <w:rPr>
                <w:noProof/>
                <w:sz w:val="18"/>
                <w:szCs w:val="18"/>
              </w:rPr>
            </w:pPr>
          </w:p>
        </w:tc>
        <w:tc>
          <w:tcPr>
            <w:tcW w:w="540" w:type="dxa"/>
            <w:tcBorders>
              <w:top w:val="single" w:sz="12" w:space="0" w:color="auto"/>
              <w:bottom w:val="single" w:sz="12" w:space="0" w:color="auto"/>
            </w:tcBorders>
          </w:tcPr>
          <w:p w14:paraId="6C65676E" w14:textId="77777777" w:rsidR="00252FB9" w:rsidRPr="00C25964" w:rsidRDefault="00252FB9" w:rsidP="00D05F26">
            <w:pPr>
              <w:spacing w:before="180" w:after="180"/>
              <w:ind w:right="-29"/>
              <w:jc w:val="center"/>
              <w:rPr>
                <w:noProof/>
                <w:sz w:val="18"/>
                <w:szCs w:val="18"/>
              </w:rPr>
            </w:pPr>
          </w:p>
        </w:tc>
        <w:tc>
          <w:tcPr>
            <w:tcW w:w="720" w:type="dxa"/>
            <w:tcBorders>
              <w:top w:val="single" w:sz="12" w:space="0" w:color="auto"/>
              <w:bottom w:val="single" w:sz="12" w:space="0" w:color="auto"/>
            </w:tcBorders>
          </w:tcPr>
          <w:p w14:paraId="093DD1D0" w14:textId="77777777" w:rsidR="00252FB9" w:rsidRPr="00C25964" w:rsidRDefault="00252FB9" w:rsidP="00D05F26">
            <w:pPr>
              <w:spacing w:before="180" w:after="180"/>
              <w:ind w:right="-29"/>
              <w:jc w:val="center"/>
              <w:rPr>
                <w:noProof/>
                <w:sz w:val="18"/>
                <w:szCs w:val="18"/>
              </w:rPr>
            </w:pPr>
          </w:p>
        </w:tc>
        <w:tc>
          <w:tcPr>
            <w:tcW w:w="720" w:type="dxa"/>
            <w:tcBorders>
              <w:top w:val="single" w:sz="12" w:space="0" w:color="auto"/>
              <w:bottom w:val="single" w:sz="12" w:space="0" w:color="auto"/>
            </w:tcBorders>
          </w:tcPr>
          <w:p w14:paraId="23A6CCF0" w14:textId="77777777" w:rsidR="00252FB9" w:rsidRPr="00C25964" w:rsidRDefault="00252FB9" w:rsidP="00D05F26">
            <w:pPr>
              <w:spacing w:before="180" w:after="180"/>
              <w:ind w:right="-29"/>
              <w:jc w:val="center"/>
              <w:rPr>
                <w:noProof/>
                <w:sz w:val="18"/>
                <w:szCs w:val="18"/>
              </w:rPr>
            </w:pPr>
          </w:p>
        </w:tc>
        <w:tc>
          <w:tcPr>
            <w:tcW w:w="720" w:type="dxa"/>
            <w:tcBorders>
              <w:top w:val="single" w:sz="12" w:space="0" w:color="auto"/>
              <w:bottom w:val="single" w:sz="12" w:space="0" w:color="auto"/>
            </w:tcBorders>
          </w:tcPr>
          <w:p w14:paraId="5110EBC1" w14:textId="77777777" w:rsidR="00252FB9" w:rsidRPr="00C25964" w:rsidRDefault="00252FB9" w:rsidP="00D05F26">
            <w:pPr>
              <w:spacing w:before="180" w:after="180"/>
              <w:ind w:right="-29"/>
              <w:jc w:val="center"/>
              <w:rPr>
                <w:noProof/>
                <w:sz w:val="18"/>
                <w:szCs w:val="18"/>
              </w:rPr>
            </w:pPr>
          </w:p>
        </w:tc>
        <w:tc>
          <w:tcPr>
            <w:tcW w:w="900" w:type="dxa"/>
            <w:tcBorders>
              <w:top w:val="single" w:sz="12" w:space="0" w:color="auto"/>
              <w:bottom w:val="single" w:sz="12" w:space="0" w:color="auto"/>
            </w:tcBorders>
          </w:tcPr>
          <w:p w14:paraId="1131196B" w14:textId="77777777" w:rsidR="00252FB9" w:rsidRPr="00C25964" w:rsidRDefault="00252FB9" w:rsidP="00D05F26">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23A8CA3B" w14:textId="77777777" w:rsidR="00252FB9" w:rsidRPr="00C25964" w:rsidRDefault="00252FB9" w:rsidP="00D05F26">
            <w:pPr>
              <w:spacing w:before="180" w:after="180"/>
              <w:ind w:right="-29"/>
              <w:jc w:val="center"/>
              <w:rPr>
                <w:noProof/>
                <w:sz w:val="18"/>
                <w:szCs w:val="18"/>
              </w:rPr>
            </w:pPr>
          </w:p>
        </w:tc>
        <w:tc>
          <w:tcPr>
            <w:tcW w:w="540" w:type="dxa"/>
            <w:tcBorders>
              <w:top w:val="single" w:sz="12" w:space="0" w:color="auto"/>
              <w:bottom w:val="single" w:sz="12" w:space="0" w:color="auto"/>
            </w:tcBorders>
          </w:tcPr>
          <w:p w14:paraId="1D63014B" w14:textId="77777777" w:rsidR="00252FB9" w:rsidRPr="00C25964" w:rsidRDefault="00252FB9" w:rsidP="00D05F26">
            <w:pPr>
              <w:spacing w:before="180" w:after="180"/>
              <w:ind w:right="-29"/>
              <w:jc w:val="center"/>
              <w:rPr>
                <w:noProof/>
                <w:sz w:val="18"/>
                <w:szCs w:val="18"/>
              </w:rPr>
            </w:pPr>
          </w:p>
        </w:tc>
        <w:tc>
          <w:tcPr>
            <w:tcW w:w="648" w:type="dxa"/>
            <w:tcBorders>
              <w:top w:val="single" w:sz="12" w:space="0" w:color="auto"/>
              <w:bottom w:val="single" w:sz="12" w:space="0" w:color="auto"/>
            </w:tcBorders>
          </w:tcPr>
          <w:p w14:paraId="7A355523" w14:textId="77777777" w:rsidR="00252FB9" w:rsidRPr="00C25964" w:rsidRDefault="00252FB9" w:rsidP="00D05F26">
            <w:pPr>
              <w:spacing w:before="180" w:after="180"/>
              <w:ind w:right="-29"/>
              <w:jc w:val="center"/>
              <w:rPr>
                <w:noProof/>
                <w:sz w:val="18"/>
                <w:szCs w:val="18"/>
              </w:rPr>
            </w:pPr>
          </w:p>
        </w:tc>
        <w:tc>
          <w:tcPr>
            <w:tcW w:w="432" w:type="dxa"/>
            <w:tcBorders>
              <w:top w:val="single" w:sz="12" w:space="0" w:color="auto"/>
              <w:bottom w:val="single" w:sz="12" w:space="0" w:color="auto"/>
            </w:tcBorders>
          </w:tcPr>
          <w:p w14:paraId="6B101713" w14:textId="77777777" w:rsidR="00252FB9" w:rsidRPr="00C25964" w:rsidRDefault="00252FB9" w:rsidP="00D05F26">
            <w:pPr>
              <w:spacing w:before="180" w:after="180"/>
              <w:ind w:right="-29"/>
              <w:jc w:val="center"/>
              <w:rPr>
                <w:noProof/>
                <w:sz w:val="18"/>
                <w:szCs w:val="18"/>
              </w:rPr>
            </w:pPr>
          </w:p>
        </w:tc>
        <w:tc>
          <w:tcPr>
            <w:tcW w:w="720" w:type="dxa"/>
            <w:tcBorders>
              <w:top w:val="single" w:sz="12" w:space="0" w:color="auto"/>
              <w:bottom w:val="single" w:sz="12" w:space="0" w:color="auto"/>
            </w:tcBorders>
          </w:tcPr>
          <w:p w14:paraId="63521B60" w14:textId="77777777" w:rsidR="00252FB9" w:rsidRPr="00C25964" w:rsidRDefault="00252FB9" w:rsidP="00D05F26">
            <w:pPr>
              <w:spacing w:before="180" w:after="180"/>
              <w:ind w:right="-29"/>
              <w:jc w:val="center"/>
              <w:rPr>
                <w:noProof/>
                <w:sz w:val="18"/>
                <w:szCs w:val="18"/>
              </w:rPr>
            </w:pPr>
          </w:p>
        </w:tc>
        <w:tc>
          <w:tcPr>
            <w:tcW w:w="540" w:type="dxa"/>
            <w:tcBorders>
              <w:top w:val="single" w:sz="12" w:space="0" w:color="auto"/>
              <w:bottom w:val="single" w:sz="12" w:space="0" w:color="auto"/>
            </w:tcBorders>
          </w:tcPr>
          <w:p w14:paraId="5FF12C3B" w14:textId="77777777" w:rsidR="00252FB9" w:rsidRPr="00C25964" w:rsidRDefault="00252FB9" w:rsidP="00D05F26">
            <w:pPr>
              <w:spacing w:before="180" w:after="180"/>
              <w:ind w:right="-29"/>
              <w:jc w:val="center"/>
              <w:rPr>
                <w:noProof/>
                <w:sz w:val="18"/>
                <w:szCs w:val="18"/>
              </w:rPr>
            </w:pPr>
          </w:p>
        </w:tc>
        <w:tc>
          <w:tcPr>
            <w:tcW w:w="720" w:type="dxa"/>
            <w:tcBorders>
              <w:top w:val="single" w:sz="12" w:space="0" w:color="auto"/>
              <w:bottom w:val="single" w:sz="12" w:space="0" w:color="auto"/>
            </w:tcBorders>
          </w:tcPr>
          <w:p w14:paraId="423AC506" w14:textId="77777777" w:rsidR="00252FB9" w:rsidRPr="00C25964" w:rsidRDefault="00252FB9" w:rsidP="00D05F26">
            <w:pPr>
              <w:spacing w:before="180" w:after="180"/>
              <w:ind w:right="-29"/>
              <w:jc w:val="center"/>
              <w:rPr>
                <w:noProof/>
                <w:sz w:val="18"/>
                <w:szCs w:val="18"/>
              </w:rPr>
            </w:pPr>
          </w:p>
        </w:tc>
        <w:tc>
          <w:tcPr>
            <w:tcW w:w="720" w:type="dxa"/>
            <w:tcBorders>
              <w:top w:val="single" w:sz="12" w:space="0" w:color="auto"/>
              <w:bottom w:val="single" w:sz="12" w:space="0" w:color="auto"/>
            </w:tcBorders>
          </w:tcPr>
          <w:p w14:paraId="63A55F1A" w14:textId="77777777" w:rsidR="00252FB9" w:rsidRPr="00C25964" w:rsidRDefault="00252FB9" w:rsidP="00D05F26">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5A3E662C" w14:textId="77777777" w:rsidR="00252FB9" w:rsidRPr="00C25964" w:rsidRDefault="00252FB9" w:rsidP="00D05F26">
            <w:pPr>
              <w:spacing w:before="180" w:after="180"/>
              <w:ind w:right="-29"/>
              <w:jc w:val="center"/>
              <w:rPr>
                <w:noProof/>
                <w:sz w:val="18"/>
                <w:szCs w:val="18"/>
              </w:rPr>
            </w:pPr>
          </w:p>
        </w:tc>
      </w:tr>
    </w:tbl>
    <w:p w14:paraId="5EDD9ED1" w14:textId="77777777" w:rsidR="00252FB9" w:rsidRPr="00C25964" w:rsidRDefault="00252FB9" w:rsidP="00252FB9">
      <w:pPr>
        <w:rPr>
          <w:noProof/>
        </w:rPr>
        <w:sectPr w:rsidR="00252FB9" w:rsidRPr="00C25964" w:rsidSect="004A0B38">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14:paraId="7722A026" w14:textId="39AD2FBD" w:rsidR="00252FB9" w:rsidRPr="00C25964" w:rsidRDefault="00AD1692" w:rsidP="00AD1692">
      <w:pPr>
        <w:pStyle w:val="ManualHeading3"/>
        <w:rPr>
          <w:bCs/>
          <w:noProof/>
          <w:szCs w:val="24"/>
        </w:rPr>
      </w:pPr>
      <w:bookmarkStart w:id="54" w:name="_Toc514938055"/>
      <w:bookmarkStart w:id="55" w:name="_Toc520485054"/>
      <w:r w:rsidRPr="00AD1692">
        <w:t>3.2.3.</w:t>
      </w:r>
      <w:r w:rsidRPr="00AD1692">
        <w:tab/>
      </w:r>
      <w:r w:rsidR="00252FB9" w:rsidRPr="00C25964">
        <w:rPr>
          <w:noProof/>
        </w:rPr>
        <w:t>Sammanfattning av beräknad inverkan på de administrativa anslagen</w:t>
      </w:r>
      <w:bookmarkEnd w:id="54"/>
      <w:bookmarkEnd w:id="55"/>
      <w:r w:rsidR="00252FB9" w:rsidRPr="00C25964">
        <w:rPr>
          <w:noProof/>
        </w:rPr>
        <w:t xml:space="preserve"> </w:t>
      </w:r>
    </w:p>
    <w:p w14:paraId="0666C50C" w14:textId="77777777" w:rsidR="00252FB9" w:rsidRPr="00C25964" w:rsidRDefault="00252FB9" w:rsidP="00252FB9">
      <w:pPr>
        <w:pStyle w:val="ListDash1"/>
        <w:rPr>
          <w:noProof/>
        </w:rPr>
      </w:pPr>
      <w:r w:rsidRPr="00C25964">
        <w:rPr>
          <w:noProof/>
        </w:rPr>
        <w:sym w:font="Wingdings" w:char="F0A8"/>
      </w:r>
      <w:r w:rsidRPr="00C25964">
        <w:rPr>
          <w:noProof/>
        </w:rPr>
        <w:tab/>
        <w:t xml:space="preserve">Förslaget/initiativet kräver inte att anslag av administrativ natur tas i anspråk </w:t>
      </w:r>
    </w:p>
    <w:p w14:paraId="2FA21EEC" w14:textId="77777777" w:rsidR="00252FB9" w:rsidRPr="00C25964" w:rsidRDefault="00252FB9" w:rsidP="00252FB9">
      <w:pPr>
        <w:pStyle w:val="ListDash1"/>
        <w:rPr>
          <w:noProof/>
        </w:rPr>
      </w:pPr>
      <w:r w:rsidRPr="00C25964">
        <w:rPr>
          <w:noProof/>
        </w:rPr>
        <w:t>X Förslaget/initiativet kräver att anslag av administrativ natur tas i anspråk enligt följande:</w:t>
      </w:r>
    </w:p>
    <w:p w14:paraId="79891B19" w14:textId="77777777" w:rsidR="00252FB9" w:rsidRPr="00C25964" w:rsidRDefault="00252FB9" w:rsidP="00252FB9">
      <w:pPr>
        <w:jc w:val="right"/>
        <w:rPr>
          <w:noProof/>
          <w:sz w:val="20"/>
        </w:rPr>
      </w:pPr>
      <w:r w:rsidRPr="00C25964">
        <w:rPr>
          <w:noProof/>
          <w:sz w:val="20"/>
        </w:rPr>
        <w:t>Miljoner euro (avrundat till tre decimaler)</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252FB9" w:rsidRPr="00C25964" w14:paraId="7A7086B2" w14:textId="77777777" w:rsidTr="00D05F26">
        <w:trPr>
          <w:trHeight w:val="585"/>
        </w:trPr>
        <w:tc>
          <w:tcPr>
            <w:tcW w:w="1980" w:type="dxa"/>
          </w:tcPr>
          <w:p w14:paraId="1BE18658" w14:textId="77777777" w:rsidR="00252FB9" w:rsidRPr="00C25964" w:rsidRDefault="00252FB9" w:rsidP="00D05F26">
            <w:pPr>
              <w:spacing w:before="60" w:after="60" w:line="200" w:lineRule="exact"/>
              <w:rPr>
                <w:noProof/>
                <w:sz w:val="16"/>
                <w:szCs w:val="16"/>
              </w:rPr>
            </w:pPr>
          </w:p>
        </w:tc>
        <w:tc>
          <w:tcPr>
            <w:tcW w:w="1080" w:type="dxa"/>
            <w:vAlign w:val="center"/>
          </w:tcPr>
          <w:p w14:paraId="35EBA5FA" w14:textId="77777777" w:rsidR="00252FB9" w:rsidRPr="00C25964" w:rsidRDefault="00252FB9" w:rsidP="00D05F26">
            <w:pPr>
              <w:spacing w:before="60" w:after="60" w:line="200" w:lineRule="exact"/>
              <w:jc w:val="center"/>
              <w:rPr>
                <w:noProof/>
                <w:sz w:val="16"/>
                <w:szCs w:val="16"/>
              </w:rPr>
            </w:pPr>
            <w:r w:rsidRPr="00C25964">
              <w:rPr>
                <w:noProof/>
                <w:sz w:val="16"/>
                <w:szCs w:val="16"/>
              </w:rPr>
              <w:t>Året</w:t>
            </w:r>
            <w:r w:rsidRPr="00C25964">
              <w:rPr>
                <w:noProof/>
              </w:rPr>
              <w:t xml:space="preserve"> </w:t>
            </w:r>
            <w:r w:rsidRPr="00C25964">
              <w:rPr>
                <w:noProof/>
              </w:rPr>
              <w:br/>
            </w:r>
            <w:r w:rsidRPr="00C25964">
              <w:rPr>
                <w:b/>
                <w:bCs/>
                <w:noProof/>
                <w:sz w:val="16"/>
                <w:szCs w:val="16"/>
              </w:rPr>
              <w:t>2021</w:t>
            </w:r>
            <w:r w:rsidRPr="00C25964">
              <w:rPr>
                <w:rStyle w:val="FootnoteReference0"/>
                <w:b/>
                <w:bCs/>
                <w:noProof/>
                <w:sz w:val="16"/>
                <w:szCs w:val="16"/>
              </w:rPr>
              <w:footnoteReference w:id="39"/>
            </w:r>
          </w:p>
        </w:tc>
        <w:tc>
          <w:tcPr>
            <w:tcW w:w="1080" w:type="dxa"/>
            <w:vAlign w:val="center"/>
          </w:tcPr>
          <w:p w14:paraId="2C4B30A7" w14:textId="77777777" w:rsidR="00252FB9" w:rsidRPr="00C25964" w:rsidRDefault="00252FB9" w:rsidP="00D05F26">
            <w:pPr>
              <w:spacing w:before="60" w:after="60" w:line="200" w:lineRule="exact"/>
              <w:jc w:val="center"/>
              <w:rPr>
                <w:noProof/>
                <w:sz w:val="16"/>
                <w:szCs w:val="16"/>
              </w:rPr>
            </w:pPr>
            <w:r w:rsidRPr="00C25964">
              <w:rPr>
                <w:noProof/>
                <w:sz w:val="16"/>
              </w:rPr>
              <w:t>Året</w:t>
            </w:r>
            <w:r w:rsidRPr="00C25964">
              <w:rPr>
                <w:noProof/>
              </w:rPr>
              <w:t xml:space="preserve"> </w:t>
            </w:r>
            <w:r w:rsidRPr="00C25964">
              <w:rPr>
                <w:noProof/>
              </w:rPr>
              <w:br/>
            </w:r>
            <w:r w:rsidRPr="00C25964">
              <w:rPr>
                <w:b/>
                <w:noProof/>
                <w:sz w:val="16"/>
              </w:rPr>
              <w:t>2022</w:t>
            </w:r>
          </w:p>
        </w:tc>
        <w:tc>
          <w:tcPr>
            <w:tcW w:w="1080" w:type="dxa"/>
            <w:vAlign w:val="center"/>
          </w:tcPr>
          <w:p w14:paraId="5B963F6C" w14:textId="77777777" w:rsidR="00252FB9" w:rsidRPr="00C25964" w:rsidRDefault="00252FB9" w:rsidP="00D05F26">
            <w:pPr>
              <w:spacing w:before="60" w:after="60" w:line="200" w:lineRule="exact"/>
              <w:jc w:val="center"/>
              <w:rPr>
                <w:noProof/>
                <w:sz w:val="16"/>
                <w:szCs w:val="16"/>
              </w:rPr>
            </w:pPr>
            <w:r w:rsidRPr="00C25964">
              <w:rPr>
                <w:noProof/>
                <w:sz w:val="16"/>
              </w:rPr>
              <w:t>Året</w:t>
            </w:r>
            <w:r w:rsidRPr="00C25964">
              <w:rPr>
                <w:noProof/>
              </w:rPr>
              <w:t xml:space="preserve"> </w:t>
            </w:r>
            <w:r w:rsidRPr="00C25964">
              <w:rPr>
                <w:noProof/>
              </w:rPr>
              <w:br/>
            </w:r>
            <w:r w:rsidRPr="00C25964">
              <w:rPr>
                <w:b/>
                <w:noProof/>
                <w:sz w:val="16"/>
              </w:rPr>
              <w:t>2023</w:t>
            </w:r>
          </w:p>
        </w:tc>
        <w:tc>
          <w:tcPr>
            <w:tcW w:w="1080" w:type="dxa"/>
            <w:vAlign w:val="center"/>
          </w:tcPr>
          <w:p w14:paraId="2E0BFA63" w14:textId="77777777" w:rsidR="00252FB9" w:rsidRPr="00C25964" w:rsidRDefault="00252FB9" w:rsidP="00D05F26">
            <w:pPr>
              <w:spacing w:before="60" w:after="60" w:line="200" w:lineRule="exact"/>
              <w:jc w:val="center"/>
              <w:rPr>
                <w:noProof/>
                <w:sz w:val="16"/>
                <w:szCs w:val="16"/>
              </w:rPr>
            </w:pPr>
            <w:r w:rsidRPr="00C25964">
              <w:rPr>
                <w:noProof/>
                <w:sz w:val="16"/>
              </w:rPr>
              <w:t>Året</w:t>
            </w:r>
            <w:r w:rsidRPr="00C25964">
              <w:rPr>
                <w:noProof/>
              </w:rPr>
              <w:t xml:space="preserve"> </w:t>
            </w:r>
            <w:r w:rsidRPr="00C25964">
              <w:rPr>
                <w:noProof/>
              </w:rPr>
              <w:br/>
            </w:r>
            <w:r w:rsidRPr="00C25964">
              <w:rPr>
                <w:b/>
                <w:noProof/>
                <w:sz w:val="16"/>
              </w:rPr>
              <w:t>2024</w:t>
            </w:r>
          </w:p>
        </w:tc>
        <w:tc>
          <w:tcPr>
            <w:tcW w:w="3240" w:type="dxa"/>
            <w:vAlign w:val="center"/>
          </w:tcPr>
          <w:p w14:paraId="1C916DE0" w14:textId="77777777" w:rsidR="00252FB9" w:rsidRPr="00C25964" w:rsidRDefault="00252FB9" w:rsidP="00D05F26">
            <w:pPr>
              <w:spacing w:line="200" w:lineRule="exact"/>
              <w:jc w:val="center"/>
              <w:rPr>
                <w:b/>
                <w:noProof/>
                <w:sz w:val="16"/>
                <w:szCs w:val="16"/>
              </w:rPr>
            </w:pPr>
            <w:r w:rsidRPr="00C25964">
              <w:rPr>
                <w:noProof/>
                <w:sz w:val="16"/>
              </w:rPr>
              <w:t>Ange så många år som behövs för att redovisa varaktigheten för inverkan på resursanvändningen (jfr punkt 1.6)</w:t>
            </w:r>
          </w:p>
        </w:tc>
        <w:tc>
          <w:tcPr>
            <w:tcW w:w="1080" w:type="dxa"/>
            <w:vAlign w:val="center"/>
          </w:tcPr>
          <w:p w14:paraId="1230EFE9" w14:textId="77777777" w:rsidR="00252FB9" w:rsidRPr="00C25964" w:rsidRDefault="00252FB9" w:rsidP="00D05F26">
            <w:pPr>
              <w:spacing w:before="60" w:after="60" w:line="200" w:lineRule="exact"/>
              <w:jc w:val="center"/>
              <w:rPr>
                <w:b/>
                <w:noProof/>
                <w:sz w:val="16"/>
                <w:szCs w:val="16"/>
              </w:rPr>
            </w:pPr>
            <w:r w:rsidRPr="00C25964">
              <w:rPr>
                <w:b/>
                <w:noProof/>
                <w:sz w:val="16"/>
              </w:rPr>
              <w:t>TOTALT</w:t>
            </w:r>
          </w:p>
        </w:tc>
      </w:tr>
    </w:tbl>
    <w:p w14:paraId="49EC5EB0" w14:textId="77777777" w:rsidR="00252FB9" w:rsidRPr="00C25964" w:rsidRDefault="00252FB9" w:rsidP="00252FB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252FB9" w:rsidRPr="00C25964" w14:paraId="43F8AE83" w14:textId="77777777" w:rsidTr="00D05F26">
        <w:trPr>
          <w:trHeight w:val="585"/>
        </w:trPr>
        <w:tc>
          <w:tcPr>
            <w:tcW w:w="1980" w:type="dxa"/>
            <w:shd w:val="clear" w:color="auto" w:fill="CCCCCC"/>
            <w:vAlign w:val="center"/>
          </w:tcPr>
          <w:p w14:paraId="0BF961E1" w14:textId="77777777" w:rsidR="00252FB9" w:rsidRPr="00C25964" w:rsidRDefault="00252FB9" w:rsidP="00D05F26">
            <w:pPr>
              <w:spacing w:before="60" w:after="60" w:line="200" w:lineRule="exact"/>
              <w:jc w:val="center"/>
              <w:rPr>
                <w:b/>
                <w:noProof/>
                <w:sz w:val="16"/>
                <w:szCs w:val="16"/>
              </w:rPr>
            </w:pPr>
            <w:r w:rsidRPr="00C25964">
              <w:rPr>
                <w:b/>
                <w:noProof/>
                <w:sz w:val="16"/>
              </w:rPr>
              <w:t>RUBRIK 7</w:t>
            </w:r>
            <w:r w:rsidRPr="00C25964">
              <w:rPr>
                <w:noProof/>
              </w:rPr>
              <w:t xml:space="preserve"> </w:t>
            </w:r>
            <w:r w:rsidRPr="00C25964">
              <w:rPr>
                <w:noProof/>
              </w:rPr>
              <w:br/>
            </w:r>
            <w:r w:rsidRPr="00C25964">
              <w:rPr>
                <w:b/>
                <w:noProof/>
                <w:sz w:val="16"/>
              </w:rPr>
              <w:t>i den fleråriga budgetramen</w:t>
            </w:r>
          </w:p>
        </w:tc>
        <w:tc>
          <w:tcPr>
            <w:tcW w:w="1080" w:type="dxa"/>
            <w:vAlign w:val="center"/>
          </w:tcPr>
          <w:p w14:paraId="792CA357"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4083400F"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063D583E"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7A6EFF5D"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0F477F82"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44F36748"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48CE12D1" w14:textId="77777777" w:rsidR="00252FB9" w:rsidRPr="00C25964" w:rsidRDefault="00252FB9" w:rsidP="00D05F26">
            <w:pPr>
              <w:spacing w:before="60" w:after="60" w:line="200" w:lineRule="exact"/>
              <w:jc w:val="right"/>
              <w:rPr>
                <w:b/>
                <w:noProof/>
                <w:sz w:val="16"/>
                <w:szCs w:val="16"/>
              </w:rPr>
            </w:pPr>
          </w:p>
        </w:tc>
        <w:tc>
          <w:tcPr>
            <w:tcW w:w="1080" w:type="dxa"/>
            <w:vAlign w:val="center"/>
          </w:tcPr>
          <w:p w14:paraId="24B4B7B7" w14:textId="77777777" w:rsidR="00252FB9" w:rsidRPr="00C25964" w:rsidRDefault="00252FB9" w:rsidP="00D05F26">
            <w:pPr>
              <w:spacing w:before="60" w:after="60" w:line="200" w:lineRule="exact"/>
              <w:jc w:val="right"/>
              <w:rPr>
                <w:b/>
                <w:noProof/>
                <w:sz w:val="16"/>
                <w:szCs w:val="16"/>
              </w:rPr>
            </w:pPr>
          </w:p>
        </w:tc>
      </w:tr>
      <w:tr w:rsidR="00252FB9" w:rsidRPr="00C25964" w14:paraId="548326ED" w14:textId="77777777" w:rsidTr="00D05F26">
        <w:trPr>
          <w:trHeight w:val="585"/>
        </w:trPr>
        <w:tc>
          <w:tcPr>
            <w:tcW w:w="1980" w:type="dxa"/>
            <w:vAlign w:val="center"/>
          </w:tcPr>
          <w:p w14:paraId="364BB8EC" w14:textId="77777777" w:rsidR="00252FB9" w:rsidRPr="00C25964" w:rsidRDefault="00252FB9" w:rsidP="00D05F26">
            <w:pPr>
              <w:spacing w:before="60" w:after="60" w:line="200" w:lineRule="exact"/>
              <w:ind w:left="72"/>
              <w:jc w:val="left"/>
              <w:rPr>
                <w:noProof/>
                <w:sz w:val="16"/>
                <w:szCs w:val="16"/>
              </w:rPr>
            </w:pPr>
            <w:r w:rsidRPr="00C25964">
              <w:rPr>
                <w:noProof/>
                <w:sz w:val="16"/>
              </w:rPr>
              <w:t xml:space="preserve">Personalresurser </w:t>
            </w:r>
          </w:p>
        </w:tc>
        <w:tc>
          <w:tcPr>
            <w:tcW w:w="1080" w:type="dxa"/>
            <w:vAlign w:val="center"/>
          </w:tcPr>
          <w:p w14:paraId="12020DB4" w14:textId="77777777" w:rsidR="00252FB9" w:rsidRPr="00C25964" w:rsidRDefault="00252FB9" w:rsidP="00D05F26">
            <w:pPr>
              <w:spacing w:before="60" w:after="60" w:line="200" w:lineRule="exact"/>
              <w:jc w:val="right"/>
              <w:rPr>
                <w:noProof/>
                <w:sz w:val="20"/>
                <w:szCs w:val="20"/>
              </w:rPr>
            </w:pPr>
            <w:r w:rsidRPr="00C25964">
              <w:rPr>
                <w:noProof/>
                <w:sz w:val="20"/>
                <w:szCs w:val="20"/>
              </w:rPr>
              <w:t>0,948</w:t>
            </w:r>
          </w:p>
        </w:tc>
        <w:tc>
          <w:tcPr>
            <w:tcW w:w="1080" w:type="dxa"/>
            <w:vAlign w:val="center"/>
          </w:tcPr>
          <w:p w14:paraId="73D46F4E" w14:textId="77777777" w:rsidR="00252FB9" w:rsidRPr="00C25964" w:rsidRDefault="00252FB9" w:rsidP="00D05F26">
            <w:pPr>
              <w:spacing w:before="60" w:after="60" w:line="200" w:lineRule="exact"/>
              <w:jc w:val="right"/>
              <w:rPr>
                <w:noProof/>
                <w:sz w:val="20"/>
                <w:szCs w:val="20"/>
              </w:rPr>
            </w:pPr>
            <w:r w:rsidRPr="00C25964">
              <w:rPr>
                <w:noProof/>
                <w:sz w:val="20"/>
                <w:szCs w:val="20"/>
              </w:rPr>
              <w:t>1,358</w:t>
            </w:r>
          </w:p>
        </w:tc>
        <w:tc>
          <w:tcPr>
            <w:tcW w:w="1080" w:type="dxa"/>
            <w:vAlign w:val="center"/>
          </w:tcPr>
          <w:p w14:paraId="37BEF707" w14:textId="77777777" w:rsidR="00252FB9" w:rsidRPr="00C25964" w:rsidRDefault="00252FB9" w:rsidP="00D05F26">
            <w:pPr>
              <w:spacing w:before="60" w:after="60" w:line="200" w:lineRule="exact"/>
              <w:jc w:val="right"/>
              <w:rPr>
                <w:noProof/>
                <w:sz w:val="16"/>
                <w:szCs w:val="16"/>
              </w:rPr>
            </w:pPr>
            <w:r w:rsidRPr="00C25964">
              <w:rPr>
                <w:noProof/>
                <w:sz w:val="20"/>
                <w:szCs w:val="20"/>
              </w:rPr>
              <w:t>0,240</w:t>
            </w:r>
          </w:p>
        </w:tc>
        <w:tc>
          <w:tcPr>
            <w:tcW w:w="1080" w:type="dxa"/>
            <w:vAlign w:val="center"/>
          </w:tcPr>
          <w:p w14:paraId="34178C67"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0672227D"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63A1CB6E"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510639BD" w14:textId="77777777" w:rsidR="00252FB9" w:rsidRPr="00C25964" w:rsidRDefault="00252FB9" w:rsidP="00D05F26">
            <w:pPr>
              <w:spacing w:before="60" w:after="60" w:line="200" w:lineRule="exact"/>
              <w:jc w:val="right"/>
              <w:rPr>
                <w:b/>
                <w:noProof/>
                <w:sz w:val="16"/>
                <w:szCs w:val="16"/>
              </w:rPr>
            </w:pPr>
          </w:p>
        </w:tc>
        <w:tc>
          <w:tcPr>
            <w:tcW w:w="1080" w:type="dxa"/>
            <w:vAlign w:val="center"/>
          </w:tcPr>
          <w:p w14:paraId="76E1EE62" w14:textId="77777777" w:rsidR="00252FB9" w:rsidRPr="00C25964" w:rsidRDefault="00252FB9" w:rsidP="00D05F26">
            <w:pPr>
              <w:spacing w:before="60" w:after="60" w:line="200" w:lineRule="exact"/>
              <w:jc w:val="right"/>
              <w:rPr>
                <w:b/>
                <w:bCs/>
                <w:noProof/>
                <w:sz w:val="20"/>
                <w:szCs w:val="20"/>
              </w:rPr>
            </w:pPr>
            <w:r w:rsidRPr="00C25964">
              <w:rPr>
                <w:b/>
                <w:bCs/>
                <w:noProof/>
                <w:sz w:val="20"/>
                <w:szCs w:val="20"/>
              </w:rPr>
              <w:t>2,546</w:t>
            </w:r>
          </w:p>
        </w:tc>
      </w:tr>
      <w:tr w:rsidR="00252FB9" w:rsidRPr="00C25964" w14:paraId="4B5A3D60" w14:textId="77777777" w:rsidTr="00D05F26">
        <w:trPr>
          <w:trHeight w:val="585"/>
        </w:trPr>
        <w:tc>
          <w:tcPr>
            <w:tcW w:w="1980" w:type="dxa"/>
            <w:vAlign w:val="center"/>
          </w:tcPr>
          <w:p w14:paraId="46793FB8" w14:textId="77777777" w:rsidR="00252FB9" w:rsidRPr="00C25964" w:rsidRDefault="00252FB9" w:rsidP="00D05F26">
            <w:pPr>
              <w:spacing w:before="60" w:after="60" w:line="200" w:lineRule="exact"/>
              <w:ind w:left="72"/>
              <w:jc w:val="left"/>
              <w:rPr>
                <w:noProof/>
                <w:sz w:val="16"/>
                <w:szCs w:val="16"/>
              </w:rPr>
            </w:pPr>
            <w:r w:rsidRPr="00C25964">
              <w:rPr>
                <w:noProof/>
                <w:sz w:val="16"/>
              </w:rPr>
              <w:t xml:space="preserve">Övriga administrativa utgifter </w:t>
            </w:r>
          </w:p>
        </w:tc>
        <w:tc>
          <w:tcPr>
            <w:tcW w:w="1080" w:type="dxa"/>
            <w:vAlign w:val="center"/>
          </w:tcPr>
          <w:p w14:paraId="348E45B8"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51156F72" w14:textId="77777777" w:rsidR="00252FB9" w:rsidRPr="00C25964" w:rsidRDefault="00252FB9" w:rsidP="00D05F26">
            <w:pPr>
              <w:spacing w:before="60" w:after="60" w:line="200" w:lineRule="exact"/>
              <w:jc w:val="right"/>
              <w:rPr>
                <w:noProof/>
                <w:sz w:val="16"/>
                <w:szCs w:val="16"/>
              </w:rPr>
            </w:pPr>
            <w:r w:rsidRPr="00C25964">
              <w:rPr>
                <w:noProof/>
                <w:sz w:val="16"/>
                <w:szCs w:val="16"/>
              </w:rPr>
              <w:t>0,012</w:t>
            </w:r>
          </w:p>
        </w:tc>
        <w:tc>
          <w:tcPr>
            <w:tcW w:w="1080" w:type="dxa"/>
            <w:vAlign w:val="center"/>
          </w:tcPr>
          <w:p w14:paraId="3E614CD2"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35CCD70D"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0E62E17F"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02717B77"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569A2BCB" w14:textId="77777777" w:rsidR="00252FB9" w:rsidRPr="00C25964" w:rsidRDefault="00252FB9" w:rsidP="00D05F26">
            <w:pPr>
              <w:spacing w:before="60" w:after="60" w:line="200" w:lineRule="exact"/>
              <w:jc w:val="right"/>
              <w:rPr>
                <w:b/>
                <w:noProof/>
                <w:sz w:val="16"/>
                <w:szCs w:val="16"/>
              </w:rPr>
            </w:pPr>
          </w:p>
        </w:tc>
        <w:tc>
          <w:tcPr>
            <w:tcW w:w="1080" w:type="dxa"/>
            <w:vAlign w:val="center"/>
          </w:tcPr>
          <w:p w14:paraId="738EE0FD" w14:textId="77777777" w:rsidR="00252FB9" w:rsidRPr="00C25964" w:rsidRDefault="00252FB9" w:rsidP="00D05F26">
            <w:pPr>
              <w:spacing w:before="60" w:after="60" w:line="200" w:lineRule="exact"/>
              <w:jc w:val="right"/>
              <w:rPr>
                <w:b/>
                <w:bCs/>
                <w:noProof/>
                <w:sz w:val="16"/>
                <w:szCs w:val="16"/>
              </w:rPr>
            </w:pPr>
            <w:r w:rsidRPr="00C25964">
              <w:rPr>
                <w:b/>
                <w:bCs/>
                <w:noProof/>
                <w:sz w:val="16"/>
                <w:szCs w:val="16"/>
              </w:rPr>
              <w:t>0,012</w:t>
            </w:r>
          </w:p>
        </w:tc>
      </w:tr>
      <w:tr w:rsidR="00252FB9" w:rsidRPr="00C25964" w14:paraId="50FFE929" w14:textId="77777777" w:rsidTr="00D05F26">
        <w:trPr>
          <w:trHeight w:val="585"/>
        </w:trPr>
        <w:tc>
          <w:tcPr>
            <w:tcW w:w="1980" w:type="dxa"/>
            <w:shd w:val="clear" w:color="auto" w:fill="CCCCCC"/>
            <w:vAlign w:val="center"/>
          </w:tcPr>
          <w:p w14:paraId="5FF16244" w14:textId="77777777" w:rsidR="00252FB9" w:rsidRPr="00C25964" w:rsidRDefault="00252FB9" w:rsidP="00D05F26">
            <w:pPr>
              <w:spacing w:before="60" w:after="60" w:line="200" w:lineRule="exact"/>
              <w:jc w:val="center"/>
              <w:rPr>
                <w:b/>
                <w:noProof/>
                <w:sz w:val="16"/>
                <w:szCs w:val="16"/>
              </w:rPr>
            </w:pPr>
            <w:r w:rsidRPr="00C25964">
              <w:rPr>
                <w:b/>
                <w:noProof/>
                <w:sz w:val="16"/>
              </w:rPr>
              <w:t>Delsumma för RUBRIK 7</w:t>
            </w:r>
            <w:r w:rsidRPr="00C25964">
              <w:rPr>
                <w:noProof/>
              </w:rPr>
              <w:t xml:space="preserve"> </w:t>
            </w:r>
            <w:r w:rsidRPr="00C25964">
              <w:rPr>
                <w:noProof/>
              </w:rPr>
              <w:br/>
            </w:r>
            <w:r w:rsidRPr="00C25964">
              <w:rPr>
                <w:b/>
                <w:noProof/>
                <w:sz w:val="16"/>
              </w:rPr>
              <w:t xml:space="preserve">i den fleråriga budgetramen </w:t>
            </w:r>
          </w:p>
        </w:tc>
        <w:tc>
          <w:tcPr>
            <w:tcW w:w="1080" w:type="dxa"/>
            <w:vAlign w:val="center"/>
          </w:tcPr>
          <w:p w14:paraId="4A53B51A" w14:textId="77777777" w:rsidR="00252FB9" w:rsidRPr="00C25964" w:rsidRDefault="00252FB9" w:rsidP="00D05F26">
            <w:pPr>
              <w:spacing w:before="60" w:after="60" w:line="200" w:lineRule="exact"/>
              <w:jc w:val="right"/>
              <w:rPr>
                <w:noProof/>
                <w:sz w:val="16"/>
                <w:szCs w:val="16"/>
              </w:rPr>
            </w:pPr>
            <w:r w:rsidRPr="00C25964">
              <w:rPr>
                <w:noProof/>
                <w:sz w:val="16"/>
                <w:szCs w:val="16"/>
              </w:rPr>
              <w:t>0,948</w:t>
            </w:r>
          </w:p>
        </w:tc>
        <w:tc>
          <w:tcPr>
            <w:tcW w:w="1080" w:type="dxa"/>
            <w:vAlign w:val="center"/>
          </w:tcPr>
          <w:p w14:paraId="08577D97" w14:textId="77777777" w:rsidR="00252FB9" w:rsidRPr="00C25964" w:rsidRDefault="00252FB9" w:rsidP="00D05F26">
            <w:pPr>
              <w:spacing w:before="60" w:after="60" w:line="200" w:lineRule="exact"/>
              <w:jc w:val="right"/>
              <w:rPr>
                <w:noProof/>
                <w:sz w:val="16"/>
                <w:szCs w:val="16"/>
              </w:rPr>
            </w:pPr>
            <w:r w:rsidRPr="00C25964">
              <w:rPr>
                <w:noProof/>
                <w:sz w:val="16"/>
                <w:szCs w:val="16"/>
              </w:rPr>
              <w:t>1,370</w:t>
            </w:r>
          </w:p>
        </w:tc>
        <w:tc>
          <w:tcPr>
            <w:tcW w:w="1080" w:type="dxa"/>
            <w:vAlign w:val="center"/>
          </w:tcPr>
          <w:p w14:paraId="1F79C6D9" w14:textId="77777777" w:rsidR="00252FB9" w:rsidRPr="00C25964" w:rsidRDefault="00252FB9" w:rsidP="00D05F26">
            <w:pPr>
              <w:spacing w:before="60" w:after="60" w:line="200" w:lineRule="exact"/>
              <w:jc w:val="right"/>
              <w:rPr>
                <w:noProof/>
                <w:sz w:val="16"/>
                <w:szCs w:val="16"/>
              </w:rPr>
            </w:pPr>
            <w:r w:rsidRPr="00C25964">
              <w:rPr>
                <w:noProof/>
                <w:sz w:val="16"/>
                <w:szCs w:val="16"/>
              </w:rPr>
              <w:t>0,240</w:t>
            </w:r>
          </w:p>
        </w:tc>
        <w:tc>
          <w:tcPr>
            <w:tcW w:w="1080" w:type="dxa"/>
            <w:vAlign w:val="center"/>
          </w:tcPr>
          <w:p w14:paraId="1DCE4721"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0D8B7DBB"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3B632003"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64CFEBF4" w14:textId="77777777" w:rsidR="00252FB9" w:rsidRPr="00C25964" w:rsidRDefault="00252FB9" w:rsidP="00D05F26">
            <w:pPr>
              <w:spacing w:before="60" w:after="60" w:line="200" w:lineRule="exact"/>
              <w:jc w:val="right"/>
              <w:rPr>
                <w:b/>
                <w:noProof/>
                <w:sz w:val="16"/>
                <w:szCs w:val="16"/>
              </w:rPr>
            </w:pPr>
          </w:p>
        </w:tc>
        <w:tc>
          <w:tcPr>
            <w:tcW w:w="1080" w:type="dxa"/>
            <w:vAlign w:val="center"/>
          </w:tcPr>
          <w:p w14:paraId="179BD9D1" w14:textId="77777777" w:rsidR="00252FB9" w:rsidRPr="00C25964" w:rsidRDefault="00252FB9" w:rsidP="00D05F26">
            <w:pPr>
              <w:spacing w:before="60" w:after="60" w:line="200" w:lineRule="exact"/>
              <w:jc w:val="right"/>
              <w:rPr>
                <w:b/>
                <w:bCs/>
                <w:noProof/>
                <w:sz w:val="20"/>
                <w:szCs w:val="20"/>
              </w:rPr>
            </w:pPr>
            <w:r w:rsidRPr="00C25964">
              <w:rPr>
                <w:b/>
                <w:bCs/>
                <w:noProof/>
                <w:sz w:val="20"/>
                <w:szCs w:val="20"/>
              </w:rPr>
              <w:t>2,558</w:t>
            </w:r>
          </w:p>
        </w:tc>
      </w:tr>
    </w:tbl>
    <w:p w14:paraId="04A0B99E" w14:textId="77777777" w:rsidR="00252FB9" w:rsidRPr="00C25964" w:rsidRDefault="00252FB9" w:rsidP="00252FB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252FB9" w:rsidRPr="00C25964" w14:paraId="35243278" w14:textId="77777777" w:rsidTr="00D05F26">
        <w:trPr>
          <w:trHeight w:val="585"/>
        </w:trPr>
        <w:tc>
          <w:tcPr>
            <w:tcW w:w="1980" w:type="dxa"/>
            <w:shd w:val="clear" w:color="auto" w:fill="CCCCCC"/>
            <w:vAlign w:val="center"/>
          </w:tcPr>
          <w:p w14:paraId="24FD8F35" w14:textId="6C89A935" w:rsidR="00252FB9" w:rsidRPr="00C25964" w:rsidRDefault="00252FB9" w:rsidP="00D05F26">
            <w:pPr>
              <w:spacing w:before="60" w:after="60" w:line="200" w:lineRule="exact"/>
              <w:jc w:val="center"/>
              <w:rPr>
                <w:noProof/>
                <w:sz w:val="16"/>
                <w:szCs w:val="16"/>
              </w:rPr>
            </w:pPr>
            <w:r w:rsidRPr="00C25964">
              <w:rPr>
                <w:b/>
                <w:bCs/>
                <w:noProof/>
                <w:sz w:val="16"/>
                <w:szCs w:val="16"/>
              </w:rPr>
              <w:t>Utanför RUBRIK 7</w:t>
            </w:r>
            <w:r w:rsidRPr="00C25964">
              <w:rPr>
                <w:rStyle w:val="FootnoteReference0"/>
                <w:b/>
                <w:bCs/>
                <w:noProof/>
                <w:sz w:val="16"/>
                <w:szCs w:val="16"/>
              </w:rPr>
              <w:footnoteReference w:id="40"/>
            </w:r>
            <w:r w:rsidRPr="00C25964">
              <w:rPr>
                <w:noProof/>
              </w:rPr>
              <w:t xml:space="preserve"> </w:t>
            </w:r>
            <w:r w:rsidRPr="00C25964">
              <w:rPr>
                <w:noProof/>
              </w:rPr>
              <w:br/>
            </w:r>
            <w:r w:rsidR="0044687B" w:rsidRPr="00C25964">
              <w:rPr>
                <w:b/>
                <w:noProof/>
                <w:sz w:val="16"/>
              </w:rPr>
              <w:t>i den fleråriga budgetramen</w:t>
            </w:r>
          </w:p>
          <w:p w14:paraId="2E6BAF8F" w14:textId="77777777" w:rsidR="00252FB9" w:rsidRPr="00C25964" w:rsidRDefault="00252FB9" w:rsidP="00D05F26">
            <w:pPr>
              <w:spacing w:before="0" w:after="0" w:line="200" w:lineRule="exact"/>
              <w:jc w:val="center"/>
              <w:rPr>
                <w:b/>
                <w:noProof/>
                <w:sz w:val="16"/>
                <w:szCs w:val="16"/>
              </w:rPr>
            </w:pPr>
          </w:p>
        </w:tc>
        <w:tc>
          <w:tcPr>
            <w:tcW w:w="1080" w:type="dxa"/>
            <w:vAlign w:val="center"/>
          </w:tcPr>
          <w:p w14:paraId="743AC97A"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0E5046EF"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38BDEACF"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68E5D293"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53CC4743"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5ED6CAD3"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712FF9A9" w14:textId="77777777" w:rsidR="00252FB9" w:rsidRPr="00C25964" w:rsidRDefault="00252FB9" w:rsidP="00D05F26">
            <w:pPr>
              <w:spacing w:before="60" w:after="60" w:line="200" w:lineRule="exact"/>
              <w:jc w:val="right"/>
              <w:rPr>
                <w:b/>
                <w:noProof/>
                <w:sz w:val="16"/>
                <w:szCs w:val="16"/>
              </w:rPr>
            </w:pPr>
          </w:p>
        </w:tc>
        <w:tc>
          <w:tcPr>
            <w:tcW w:w="1080" w:type="dxa"/>
            <w:vAlign w:val="center"/>
          </w:tcPr>
          <w:p w14:paraId="5889AFA5" w14:textId="77777777" w:rsidR="00252FB9" w:rsidRPr="00C25964" w:rsidRDefault="00252FB9" w:rsidP="00D05F26">
            <w:pPr>
              <w:spacing w:before="60" w:after="60" w:line="200" w:lineRule="exact"/>
              <w:jc w:val="right"/>
              <w:rPr>
                <w:b/>
                <w:noProof/>
                <w:sz w:val="16"/>
                <w:szCs w:val="16"/>
              </w:rPr>
            </w:pPr>
          </w:p>
        </w:tc>
      </w:tr>
      <w:tr w:rsidR="00252FB9" w:rsidRPr="00C25964" w14:paraId="23B78ABC" w14:textId="77777777" w:rsidTr="00D05F26">
        <w:trPr>
          <w:trHeight w:val="585"/>
        </w:trPr>
        <w:tc>
          <w:tcPr>
            <w:tcW w:w="1980" w:type="dxa"/>
            <w:vAlign w:val="center"/>
          </w:tcPr>
          <w:p w14:paraId="48B10427" w14:textId="77777777" w:rsidR="00252FB9" w:rsidRPr="00C25964" w:rsidRDefault="00252FB9" w:rsidP="00D05F26">
            <w:pPr>
              <w:spacing w:before="60" w:after="60" w:line="200" w:lineRule="exact"/>
              <w:ind w:left="72"/>
              <w:jc w:val="left"/>
              <w:rPr>
                <w:noProof/>
                <w:sz w:val="16"/>
                <w:szCs w:val="16"/>
              </w:rPr>
            </w:pPr>
            <w:r w:rsidRPr="00C25964">
              <w:rPr>
                <w:noProof/>
                <w:sz w:val="16"/>
              </w:rPr>
              <w:t xml:space="preserve">Personalresurser </w:t>
            </w:r>
          </w:p>
        </w:tc>
        <w:tc>
          <w:tcPr>
            <w:tcW w:w="1080" w:type="dxa"/>
            <w:vAlign w:val="center"/>
          </w:tcPr>
          <w:p w14:paraId="49F92ED9"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77871D23"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1575AD8C"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5E8F81A4"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426D49BE"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75B2DDB4"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69F040DE" w14:textId="77777777" w:rsidR="00252FB9" w:rsidRPr="00C25964" w:rsidRDefault="00252FB9" w:rsidP="00D05F26">
            <w:pPr>
              <w:spacing w:before="60" w:after="60" w:line="200" w:lineRule="exact"/>
              <w:jc w:val="right"/>
              <w:rPr>
                <w:b/>
                <w:noProof/>
                <w:sz w:val="16"/>
                <w:szCs w:val="16"/>
              </w:rPr>
            </w:pPr>
          </w:p>
        </w:tc>
        <w:tc>
          <w:tcPr>
            <w:tcW w:w="1080" w:type="dxa"/>
            <w:vAlign w:val="center"/>
          </w:tcPr>
          <w:p w14:paraId="40F575DE" w14:textId="77777777" w:rsidR="00252FB9" w:rsidRPr="00C25964" w:rsidRDefault="00252FB9" w:rsidP="00D05F26">
            <w:pPr>
              <w:spacing w:before="60" w:after="60" w:line="200" w:lineRule="exact"/>
              <w:jc w:val="right"/>
              <w:rPr>
                <w:b/>
                <w:noProof/>
                <w:sz w:val="16"/>
                <w:szCs w:val="16"/>
              </w:rPr>
            </w:pPr>
          </w:p>
        </w:tc>
      </w:tr>
      <w:tr w:rsidR="00252FB9" w:rsidRPr="00C25964" w14:paraId="7205CD25" w14:textId="77777777" w:rsidTr="00D05F26">
        <w:trPr>
          <w:trHeight w:val="585"/>
        </w:trPr>
        <w:tc>
          <w:tcPr>
            <w:tcW w:w="1980" w:type="dxa"/>
            <w:vAlign w:val="center"/>
          </w:tcPr>
          <w:p w14:paraId="535213E8" w14:textId="77777777" w:rsidR="00252FB9" w:rsidRPr="00C25964" w:rsidRDefault="00252FB9" w:rsidP="00D05F26">
            <w:pPr>
              <w:spacing w:before="60" w:after="60" w:line="200" w:lineRule="exact"/>
              <w:ind w:left="72"/>
              <w:jc w:val="left"/>
              <w:rPr>
                <w:noProof/>
                <w:sz w:val="16"/>
                <w:szCs w:val="16"/>
              </w:rPr>
            </w:pPr>
            <w:r w:rsidRPr="00C25964">
              <w:rPr>
                <w:noProof/>
                <w:sz w:val="16"/>
              </w:rPr>
              <w:t xml:space="preserve">Övriga utgifter av </w:t>
            </w:r>
            <w:r w:rsidRPr="00C25964">
              <w:rPr>
                <w:noProof/>
              </w:rPr>
              <w:t xml:space="preserve"> </w:t>
            </w:r>
            <w:r w:rsidRPr="00C25964">
              <w:rPr>
                <w:noProof/>
              </w:rPr>
              <w:br/>
            </w:r>
            <w:r w:rsidRPr="00C25964">
              <w:rPr>
                <w:noProof/>
                <w:sz w:val="16"/>
              </w:rPr>
              <w:t>administrativ natur</w:t>
            </w:r>
          </w:p>
        </w:tc>
        <w:tc>
          <w:tcPr>
            <w:tcW w:w="1080" w:type="dxa"/>
            <w:vAlign w:val="center"/>
          </w:tcPr>
          <w:p w14:paraId="0ED27B4F"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3BD138E0" w14:textId="77777777" w:rsidR="00252FB9" w:rsidRPr="00C25964" w:rsidRDefault="00252FB9" w:rsidP="00D05F26">
            <w:pPr>
              <w:spacing w:before="60" w:after="60" w:line="200" w:lineRule="exact"/>
              <w:jc w:val="right"/>
              <w:rPr>
                <w:noProof/>
                <w:sz w:val="16"/>
                <w:szCs w:val="16"/>
              </w:rPr>
            </w:pPr>
            <w:r w:rsidRPr="00C25964">
              <w:rPr>
                <w:noProof/>
                <w:sz w:val="16"/>
                <w:szCs w:val="16"/>
              </w:rPr>
              <w:t>0,250</w:t>
            </w:r>
          </w:p>
        </w:tc>
        <w:tc>
          <w:tcPr>
            <w:tcW w:w="1080" w:type="dxa"/>
            <w:vAlign w:val="center"/>
          </w:tcPr>
          <w:p w14:paraId="647FC589" w14:textId="77777777" w:rsidR="00252FB9" w:rsidRPr="00C25964" w:rsidRDefault="00252FB9" w:rsidP="00D05F26">
            <w:pPr>
              <w:spacing w:before="60" w:after="60" w:line="200" w:lineRule="exact"/>
              <w:jc w:val="right"/>
              <w:rPr>
                <w:noProof/>
                <w:sz w:val="16"/>
                <w:szCs w:val="16"/>
              </w:rPr>
            </w:pPr>
            <w:r w:rsidRPr="00C25964">
              <w:rPr>
                <w:noProof/>
                <w:sz w:val="16"/>
                <w:szCs w:val="16"/>
              </w:rPr>
              <w:t>0,250</w:t>
            </w:r>
          </w:p>
        </w:tc>
        <w:tc>
          <w:tcPr>
            <w:tcW w:w="1080" w:type="dxa"/>
            <w:vAlign w:val="center"/>
          </w:tcPr>
          <w:p w14:paraId="14CA02A5" w14:textId="77777777" w:rsidR="00252FB9" w:rsidRPr="00C25964" w:rsidRDefault="00252FB9" w:rsidP="00D05F26">
            <w:pPr>
              <w:spacing w:before="60" w:after="60" w:line="200" w:lineRule="exact"/>
              <w:jc w:val="right"/>
              <w:rPr>
                <w:b/>
                <w:bCs/>
                <w:noProof/>
                <w:sz w:val="16"/>
                <w:szCs w:val="16"/>
              </w:rPr>
            </w:pPr>
            <w:r w:rsidRPr="00C25964">
              <w:rPr>
                <w:noProof/>
                <w:sz w:val="16"/>
                <w:szCs w:val="16"/>
              </w:rPr>
              <w:t>0,250</w:t>
            </w:r>
          </w:p>
        </w:tc>
        <w:tc>
          <w:tcPr>
            <w:tcW w:w="1080" w:type="dxa"/>
            <w:vAlign w:val="center"/>
          </w:tcPr>
          <w:p w14:paraId="24D440AC"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7DC1B9F5"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0C07E40B" w14:textId="77777777" w:rsidR="00252FB9" w:rsidRPr="00C25964" w:rsidRDefault="00252FB9" w:rsidP="00D05F26">
            <w:pPr>
              <w:spacing w:before="60" w:after="60" w:line="200" w:lineRule="exact"/>
              <w:jc w:val="right"/>
              <w:rPr>
                <w:b/>
                <w:noProof/>
                <w:sz w:val="16"/>
                <w:szCs w:val="16"/>
              </w:rPr>
            </w:pPr>
          </w:p>
        </w:tc>
        <w:tc>
          <w:tcPr>
            <w:tcW w:w="1080" w:type="dxa"/>
            <w:vAlign w:val="center"/>
          </w:tcPr>
          <w:p w14:paraId="25C42D2D" w14:textId="77777777" w:rsidR="00252FB9" w:rsidRPr="00C25964" w:rsidRDefault="00252FB9" w:rsidP="00D05F26">
            <w:pPr>
              <w:spacing w:before="60" w:after="60" w:line="200" w:lineRule="exact"/>
              <w:jc w:val="right"/>
              <w:rPr>
                <w:b/>
                <w:bCs/>
                <w:noProof/>
                <w:sz w:val="16"/>
                <w:szCs w:val="16"/>
              </w:rPr>
            </w:pPr>
            <w:r w:rsidRPr="00C25964">
              <w:rPr>
                <w:b/>
                <w:bCs/>
                <w:noProof/>
                <w:sz w:val="16"/>
                <w:szCs w:val="16"/>
              </w:rPr>
              <w:t>0,750</w:t>
            </w:r>
          </w:p>
        </w:tc>
      </w:tr>
      <w:tr w:rsidR="00252FB9" w:rsidRPr="00C25964" w14:paraId="3A66715E" w14:textId="77777777" w:rsidTr="00D05F26">
        <w:trPr>
          <w:trHeight w:val="585"/>
        </w:trPr>
        <w:tc>
          <w:tcPr>
            <w:tcW w:w="1980" w:type="dxa"/>
            <w:shd w:val="clear" w:color="auto" w:fill="CCCCCC"/>
            <w:vAlign w:val="center"/>
          </w:tcPr>
          <w:p w14:paraId="639BEE50" w14:textId="77777777" w:rsidR="00252FB9" w:rsidRPr="00C25964" w:rsidRDefault="00252FB9" w:rsidP="00D05F26">
            <w:pPr>
              <w:spacing w:before="60" w:after="60" w:line="200" w:lineRule="exact"/>
              <w:jc w:val="center"/>
              <w:rPr>
                <w:b/>
                <w:noProof/>
                <w:sz w:val="16"/>
                <w:szCs w:val="16"/>
              </w:rPr>
            </w:pPr>
            <w:r w:rsidRPr="00C25964">
              <w:rPr>
                <w:b/>
                <w:noProof/>
                <w:sz w:val="16"/>
              </w:rPr>
              <w:t xml:space="preserve">Delsumma för </w:t>
            </w:r>
            <w:r w:rsidRPr="00C25964">
              <w:rPr>
                <w:noProof/>
              </w:rPr>
              <w:t xml:space="preserve"> </w:t>
            </w:r>
            <w:r w:rsidRPr="00C25964">
              <w:rPr>
                <w:noProof/>
              </w:rPr>
              <w:br/>
            </w:r>
            <w:r w:rsidRPr="00C25964">
              <w:rPr>
                <w:b/>
                <w:noProof/>
                <w:sz w:val="16"/>
              </w:rPr>
              <w:t>belopp utanför RUBRIK 7</w:t>
            </w:r>
            <w:r w:rsidRPr="00C25964">
              <w:rPr>
                <w:noProof/>
              </w:rPr>
              <w:t xml:space="preserve"> </w:t>
            </w:r>
            <w:r w:rsidRPr="00C25964">
              <w:rPr>
                <w:noProof/>
              </w:rPr>
              <w:br/>
            </w:r>
            <w:r w:rsidRPr="00C25964">
              <w:rPr>
                <w:b/>
                <w:noProof/>
                <w:sz w:val="16"/>
              </w:rPr>
              <w:t xml:space="preserve">i den fleråriga budgetramen </w:t>
            </w:r>
          </w:p>
        </w:tc>
        <w:tc>
          <w:tcPr>
            <w:tcW w:w="1080" w:type="dxa"/>
            <w:vAlign w:val="center"/>
          </w:tcPr>
          <w:p w14:paraId="7012663A"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0CE89FE2" w14:textId="77777777" w:rsidR="00252FB9" w:rsidRPr="00C25964" w:rsidRDefault="00252FB9" w:rsidP="00D05F26">
            <w:pPr>
              <w:spacing w:before="60" w:after="60" w:line="200" w:lineRule="exact"/>
              <w:jc w:val="right"/>
              <w:rPr>
                <w:noProof/>
                <w:sz w:val="16"/>
                <w:szCs w:val="16"/>
              </w:rPr>
            </w:pPr>
            <w:r w:rsidRPr="00C25964">
              <w:rPr>
                <w:noProof/>
                <w:sz w:val="16"/>
                <w:szCs w:val="16"/>
              </w:rPr>
              <w:t>0,250</w:t>
            </w:r>
          </w:p>
        </w:tc>
        <w:tc>
          <w:tcPr>
            <w:tcW w:w="1080" w:type="dxa"/>
            <w:vAlign w:val="center"/>
          </w:tcPr>
          <w:p w14:paraId="534A484A" w14:textId="77777777" w:rsidR="00252FB9" w:rsidRPr="00C25964" w:rsidRDefault="00252FB9" w:rsidP="00D05F26">
            <w:pPr>
              <w:spacing w:before="60" w:after="60" w:line="200" w:lineRule="exact"/>
              <w:jc w:val="right"/>
              <w:rPr>
                <w:noProof/>
                <w:sz w:val="16"/>
                <w:szCs w:val="16"/>
              </w:rPr>
            </w:pPr>
            <w:r w:rsidRPr="00C25964">
              <w:rPr>
                <w:noProof/>
                <w:sz w:val="16"/>
                <w:szCs w:val="16"/>
              </w:rPr>
              <w:t>0,250</w:t>
            </w:r>
          </w:p>
        </w:tc>
        <w:tc>
          <w:tcPr>
            <w:tcW w:w="1080" w:type="dxa"/>
            <w:vAlign w:val="center"/>
          </w:tcPr>
          <w:p w14:paraId="63C418A5" w14:textId="77777777" w:rsidR="00252FB9" w:rsidRPr="00C25964" w:rsidRDefault="00252FB9" w:rsidP="00D05F26">
            <w:pPr>
              <w:spacing w:before="60" w:after="60" w:line="200" w:lineRule="exact"/>
              <w:jc w:val="right"/>
              <w:rPr>
                <w:noProof/>
                <w:sz w:val="16"/>
                <w:szCs w:val="16"/>
              </w:rPr>
            </w:pPr>
            <w:r w:rsidRPr="00C25964">
              <w:rPr>
                <w:noProof/>
                <w:sz w:val="16"/>
                <w:szCs w:val="16"/>
              </w:rPr>
              <w:t>0,250</w:t>
            </w:r>
          </w:p>
        </w:tc>
        <w:tc>
          <w:tcPr>
            <w:tcW w:w="1080" w:type="dxa"/>
            <w:vAlign w:val="center"/>
          </w:tcPr>
          <w:p w14:paraId="74F26301"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11CD213D" w14:textId="77777777" w:rsidR="00252FB9" w:rsidRPr="00C25964" w:rsidRDefault="00252FB9" w:rsidP="00D05F26">
            <w:pPr>
              <w:spacing w:before="60" w:after="60" w:line="200" w:lineRule="exact"/>
              <w:jc w:val="right"/>
              <w:rPr>
                <w:noProof/>
                <w:sz w:val="16"/>
                <w:szCs w:val="16"/>
              </w:rPr>
            </w:pPr>
          </w:p>
        </w:tc>
        <w:tc>
          <w:tcPr>
            <w:tcW w:w="1080" w:type="dxa"/>
            <w:vAlign w:val="center"/>
          </w:tcPr>
          <w:p w14:paraId="0580EF04" w14:textId="77777777" w:rsidR="00252FB9" w:rsidRPr="00C25964" w:rsidRDefault="00252FB9" w:rsidP="00D05F26">
            <w:pPr>
              <w:spacing w:before="60" w:after="60" w:line="200" w:lineRule="exact"/>
              <w:jc w:val="right"/>
              <w:rPr>
                <w:b/>
                <w:noProof/>
                <w:sz w:val="16"/>
                <w:szCs w:val="16"/>
              </w:rPr>
            </w:pPr>
          </w:p>
        </w:tc>
        <w:tc>
          <w:tcPr>
            <w:tcW w:w="1080" w:type="dxa"/>
            <w:vAlign w:val="center"/>
          </w:tcPr>
          <w:p w14:paraId="3E5E155D" w14:textId="77777777" w:rsidR="00252FB9" w:rsidRPr="00C25964" w:rsidRDefault="00252FB9" w:rsidP="00D05F26">
            <w:pPr>
              <w:spacing w:before="60" w:after="60" w:line="200" w:lineRule="exact"/>
              <w:jc w:val="right"/>
              <w:rPr>
                <w:b/>
                <w:bCs/>
                <w:noProof/>
                <w:sz w:val="16"/>
                <w:szCs w:val="16"/>
              </w:rPr>
            </w:pPr>
            <w:r w:rsidRPr="00C25964">
              <w:rPr>
                <w:b/>
                <w:bCs/>
                <w:noProof/>
                <w:sz w:val="16"/>
                <w:szCs w:val="16"/>
              </w:rPr>
              <w:t>0,750</w:t>
            </w:r>
          </w:p>
        </w:tc>
      </w:tr>
    </w:tbl>
    <w:p w14:paraId="07180229" w14:textId="77777777" w:rsidR="00252FB9" w:rsidRPr="00C25964" w:rsidRDefault="00252FB9" w:rsidP="00252FB9">
      <w:pPr>
        <w:spacing w:line="200" w:lineRule="exact"/>
        <w:rPr>
          <w:noProof/>
          <w:sz w:val="16"/>
          <w:szCs w:val="16"/>
        </w:rPr>
      </w:pPr>
    </w:p>
    <w:tbl>
      <w:tblPr>
        <w:tblStyle w:val="TableGrid"/>
        <w:tblW w:w="10743" w:type="dxa"/>
        <w:tblInd w:w="-675" w:type="dxa"/>
        <w:tblLayout w:type="fixed"/>
        <w:tblLook w:val="01E0" w:firstRow="1" w:lastRow="1" w:firstColumn="1" w:lastColumn="1" w:noHBand="0" w:noVBand="0"/>
      </w:tblPr>
      <w:tblGrid>
        <w:gridCol w:w="1980"/>
        <w:gridCol w:w="1080"/>
        <w:gridCol w:w="1080"/>
        <w:gridCol w:w="1080"/>
        <w:gridCol w:w="1080"/>
        <w:gridCol w:w="1080"/>
        <w:gridCol w:w="1080"/>
        <w:gridCol w:w="1080"/>
        <w:gridCol w:w="1203"/>
      </w:tblGrid>
      <w:tr w:rsidR="00252FB9" w:rsidRPr="00C25964" w14:paraId="2CAD3308" w14:textId="77777777" w:rsidTr="00D05F26">
        <w:trPr>
          <w:trHeight w:val="585"/>
        </w:trPr>
        <w:tc>
          <w:tcPr>
            <w:tcW w:w="1980" w:type="dxa"/>
          </w:tcPr>
          <w:p w14:paraId="3F179EA9" w14:textId="77777777" w:rsidR="00252FB9" w:rsidRPr="00C25964" w:rsidRDefault="00252FB9" w:rsidP="00D05F26">
            <w:pPr>
              <w:spacing w:before="60" w:after="60" w:line="200" w:lineRule="exact"/>
              <w:jc w:val="center"/>
              <w:rPr>
                <w:noProof/>
                <w:sz w:val="16"/>
                <w:szCs w:val="16"/>
              </w:rPr>
            </w:pPr>
            <w:r w:rsidRPr="00C25964">
              <w:rPr>
                <w:b/>
                <w:noProof/>
                <w:sz w:val="16"/>
              </w:rPr>
              <w:t>TOTALT</w:t>
            </w:r>
          </w:p>
        </w:tc>
        <w:tc>
          <w:tcPr>
            <w:tcW w:w="1080" w:type="dxa"/>
          </w:tcPr>
          <w:p w14:paraId="082E82FA" w14:textId="77777777" w:rsidR="00252FB9" w:rsidRPr="00C25964" w:rsidRDefault="00252FB9" w:rsidP="00D05F26">
            <w:pPr>
              <w:spacing w:before="60" w:after="60" w:line="200" w:lineRule="exact"/>
              <w:jc w:val="right"/>
              <w:rPr>
                <w:b/>
                <w:bCs/>
                <w:noProof/>
                <w:sz w:val="16"/>
                <w:szCs w:val="16"/>
              </w:rPr>
            </w:pPr>
            <w:r w:rsidRPr="00C25964">
              <w:rPr>
                <w:noProof/>
                <w:sz w:val="16"/>
                <w:szCs w:val="16"/>
              </w:rPr>
              <w:t>0,948</w:t>
            </w:r>
          </w:p>
        </w:tc>
        <w:tc>
          <w:tcPr>
            <w:tcW w:w="1080" w:type="dxa"/>
          </w:tcPr>
          <w:p w14:paraId="7B637287" w14:textId="77777777" w:rsidR="00252FB9" w:rsidRPr="00C25964" w:rsidRDefault="00252FB9" w:rsidP="00D05F26">
            <w:pPr>
              <w:spacing w:before="60" w:after="60" w:line="200" w:lineRule="exact"/>
              <w:jc w:val="right"/>
              <w:rPr>
                <w:b/>
                <w:bCs/>
                <w:noProof/>
                <w:sz w:val="16"/>
                <w:szCs w:val="16"/>
              </w:rPr>
            </w:pPr>
            <w:r w:rsidRPr="00C25964">
              <w:rPr>
                <w:noProof/>
                <w:sz w:val="16"/>
                <w:szCs w:val="16"/>
              </w:rPr>
              <w:t>1,620</w:t>
            </w:r>
          </w:p>
        </w:tc>
        <w:tc>
          <w:tcPr>
            <w:tcW w:w="1080" w:type="dxa"/>
          </w:tcPr>
          <w:p w14:paraId="312DB0B6" w14:textId="77777777" w:rsidR="00252FB9" w:rsidRPr="00C25964" w:rsidRDefault="00252FB9" w:rsidP="00D05F26">
            <w:pPr>
              <w:spacing w:before="60" w:after="60" w:line="200" w:lineRule="exact"/>
              <w:jc w:val="right"/>
              <w:rPr>
                <w:b/>
                <w:bCs/>
                <w:noProof/>
                <w:sz w:val="16"/>
                <w:szCs w:val="16"/>
              </w:rPr>
            </w:pPr>
            <w:r w:rsidRPr="00C25964">
              <w:rPr>
                <w:noProof/>
                <w:sz w:val="16"/>
                <w:szCs w:val="16"/>
              </w:rPr>
              <w:t>0,490</w:t>
            </w:r>
          </w:p>
        </w:tc>
        <w:tc>
          <w:tcPr>
            <w:tcW w:w="1080" w:type="dxa"/>
          </w:tcPr>
          <w:p w14:paraId="40E0FFC6" w14:textId="77777777" w:rsidR="00252FB9" w:rsidRPr="00C25964" w:rsidRDefault="00252FB9" w:rsidP="00D05F26">
            <w:pPr>
              <w:spacing w:before="60" w:after="60" w:line="200" w:lineRule="exact"/>
              <w:jc w:val="right"/>
              <w:rPr>
                <w:b/>
                <w:bCs/>
                <w:noProof/>
                <w:sz w:val="16"/>
                <w:szCs w:val="16"/>
              </w:rPr>
            </w:pPr>
            <w:r w:rsidRPr="00C25964">
              <w:rPr>
                <w:noProof/>
                <w:sz w:val="16"/>
                <w:szCs w:val="16"/>
              </w:rPr>
              <w:t>0,250</w:t>
            </w:r>
          </w:p>
        </w:tc>
        <w:tc>
          <w:tcPr>
            <w:tcW w:w="1080" w:type="dxa"/>
          </w:tcPr>
          <w:p w14:paraId="12C1179D" w14:textId="77777777" w:rsidR="00252FB9" w:rsidRPr="00C25964" w:rsidRDefault="00252FB9" w:rsidP="00D05F26">
            <w:pPr>
              <w:spacing w:before="60" w:after="60" w:line="200" w:lineRule="exact"/>
              <w:jc w:val="right"/>
              <w:rPr>
                <w:b/>
                <w:noProof/>
                <w:sz w:val="16"/>
                <w:szCs w:val="16"/>
              </w:rPr>
            </w:pPr>
          </w:p>
        </w:tc>
        <w:tc>
          <w:tcPr>
            <w:tcW w:w="1080" w:type="dxa"/>
          </w:tcPr>
          <w:p w14:paraId="14B39CDB" w14:textId="77777777" w:rsidR="00252FB9" w:rsidRPr="00C25964" w:rsidRDefault="00252FB9" w:rsidP="00D05F26">
            <w:pPr>
              <w:spacing w:before="60" w:after="60" w:line="200" w:lineRule="exact"/>
              <w:jc w:val="right"/>
              <w:rPr>
                <w:b/>
                <w:noProof/>
                <w:sz w:val="16"/>
                <w:szCs w:val="16"/>
              </w:rPr>
            </w:pPr>
          </w:p>
        </w:tc>
        <w:tc>
          <w:tcPr>
            <w:tcW w:w="1080" w:type="dxa"/>
          </w:tcPr>
          <w:p w14:paraId="49954796" w14:textId="77777777" w:rsidR="00252FB9" w:rsidRPr="00C25964" w:rsidRDefault="00252FB9" w:rsidP="00D05F26">
            <w:pPr>
              <w:spacing w:before="60" w:after="60" w:line="200" w:lineRule="exact"/>
              <w:jc w:val="right"/>
              <w:rPr>
                <w:b/>
                <w:noProof/>
                <w:sz w:val="16"/>
                <w:szCs w:val="16"/>
              </w:rPr>
            </w:pPr>
          </w:p>
        </w:tc>
        <w:tc>
          <w:tcPr>
            <w:tcW w:w="1203" w:type="dxa"/>
          </w:tcPr>
          <w:p w14:paraId="7EE83103" w14:textId="77777777" w:rsidR="00252FB9" w:rsidRPr="00C25964" w:rsidRDefault="00252FB9" w:rsidP="00D05F26">
            <w:pPr>
              <w:spacing w:before="60" w:after="60" w:line="200" w:lineRule="exact"/>
              <w:jc w:val="right"/>
              <w:rPr>
                <w:b/>
                <w:bCs/>
                <w:noProof/>
                <w:sz w:val="16"/>
                <w:szCs w:val="16"/>
              </w:rPr>
            </w:pPr>
            <w:r w:rsidRPr="00C25964">
              <w:rPr>
                <w:b/>
                <w:bCs/>
                <w:noProof/>
                <w:sz w:val="20"/>
                <w:szCs w:val="20"/>
              </w:rPr>
              <w:t>3,308</w:t>
            </w:r>
          </w:p>
        </w:tc>
      </w:tr>
    </w:tbl>
    <w:p w14:paraId="0B8B85F6" w14:textId="77777777" w:rsidR="00252FB9" w:rsidRPr="00C25964" w:rsidRDefault="00252FB9" w:rsidP="00252FB9">
      <w:pPr>
        <w:rPr>
          <w:noProof/>
          <w:sz w:val="18"/>
        </w:rPr>
      </w:pPr>
      <w:r w:rsidRPr="00C25964">
        <w:rPr>
          <w:noProof/>
          <w:sz w:val="18"/>
        </w:rPr>
        <w:t>Personalbehov och andra administrativa kostnader ska täckas genom anslag inom generaldirektoratet vilka redan har avdelats för förvaltningen av åtgärden i fråga, eller genom en omfördelning av anslag inom generaldirektoratet, om så krävs genom komplettering med ytterligare resurser som kan tilldelas det förvaltande generaldirektoratet som ett led i det årliga förfarandet för tilldelning av anslag och med hänsyn tagen till begränsningar i fråga om budgetmedel.</w:t>
      </w:r>
    </w:p>
    <w:p w14:paraId="029EEFDC" w14:textId="77777777" w:rsidR="00252FB9" w:rsidRPr="00C25964" w:rsidRDefault="00252FB9" w:rsidP="00252FB9">
      <w:pPr>
        <w:rPr>
          <w:noProof/>
          <w:sz w:val="18"/>
        </w:rPr>
        <w:sectPr w:rsidR="00252FB9" w:rsidRPr="00C25964" w:rsidSect="004A0B38">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14:paraId="266474F5" w14:textId="4D75C256" w:rsidR="00252FB9" w:rsidRPr="00C25964" w:rsidRDefault="00AD1692" w:rsidP="00AD1692">
      <w:pPr>
        <w:pStyle w:val="ManualHeading4"/>
        <w:rPr>
          <w:bCs/>
          <w:noProof/>
          <w:szCs w:val="24"/>
        </w:rPr>
      </w:pPr>
      <w:r w:rsidRPr="00AD1692">
        <w:t>3.2.3.1.</w:t>
      </w:r>
      <w:r w:rsidRPr="00AD1692">
        <w:tab/>
      </w:r>
      <w:r w:rsidR="00252FB9" w:rsidRPr="00C25964">
        <w:rPr>
          <w:noProof/>
        </w:rPr>
        <w:t xml:space="preserve">Beräknat personalbehov </w:t>
      </w:r>
    </w:p>
    <w:p w14:paraId="76E7B105" w14:textId="77777777" w:rsidR="00252FB9" w:rsidRPr="00C25964" w:rsidRDefault="00252FB9" w:rsidP="00252FB9">
      <w:pPr>
        <w:pStyle w:val="ListDash1"/>
        <w:rPr>
          <w:noProof/>
        </w:rPr>
      </w:pPr>
      <w:r w:rsidRPr="00C25964">
        <w:rPr>
          <w:noProof/>
        </w:rPr>
        <w:sym w:font="Wingdings" w:char="F0A8"/>
      </w:r>
      <w:r w:rsidRPr="00C25964">
        <w:rPr>
          <w:noProof/>
        </w:rPr>
        <w:tab/>
        <w:t xml:space="preserve">Förslaget/initiativet kräver inte att personalresurser tas i anspråk. </w:t>
      </w:r>
    </w:p>
    <w:p w14:paraId="317F11BE" w14:textId="77777777" w:rsidR="00252FB9" w:rsidRPr="00C25964" w:rsidRDefault="00252FB9" w:rsidP="00252FB9">
      <w:pPr>
        <w:pStyle w:val="ListDash1"/>
        <w:rPr>
          <w:noProof/>
        </w:rPr>
      </w:pPr>
      <w:r w:rsidRPr="00C25964">
        <w:rPr>
          <w:noProof/>
        </w:rPr>
        <w:t>X Förslaget/initiativet kräver att personalresurser tas i anspråk enligt följande:</w:t>
      </w:r>
    </w:p>
    <w:p w14:paraId="72D8627D" w14:textId="77777777" w:rsidR="00252FB9" w:rsidRPr="00C25964" w:rsidRDefault="00252FB9" w:rsidP="00252FB9">
      <w:pPr>
        <w:spacing w:after="60"/>
        <w:jc w:val="right"/>
        <w:rPr>
          <w:i/>
          <w:noProof/>
          <w:sz w:val="20"/>
        </w:rPr>
      </w:pPr>
      <w:r w:rsidRPr="00C25964">
        <w:rPr>
          <w:i/>
          <w:noProof/>
          <w:sz w:val="20"/>
        </w:rPr>
        <w:t>Beräkningarna ska anges i heltidsekvivalenter</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981"/>
        <w:gridCol w:w="481"/>
        <w:gridCol w:w="731"/>
        <w:gridCol w:w="731"/>
        <w:gridCol w:w="731"/>
      </w:tblGrid>
      <w:tr w:rsidR="00252FB9" w:rsidRPr="00C25964" w14:paraId="101470DD" w14:textId="77777777" w:rsidTr="00D05F26">
        <w:trPr>
          <w:gridBefore w:val="1"/>
          <w:wBefore w:w="15" w:type="dxa"/>
          <w:trHeight w:val="289"/>
          <w:jc w:val="center"/>
        </w:trPr>
        <w:tc>
          <w:tcPr>
            <w:tcW w:w="4754" w:type="dxa"/>
            <w:gridSpan w:val="2"/>
            <w:shd w:val="clear" w:color="auto" w:fill="auto"/>
          </w:tcPr>
          <w:p w14:paraId="724745A6" w14:textId="77777777" w:rsidR="00252FB9" w:rsidRPr="00C25964" w:rsidRDefault="00252FB9" w:rsidP="00D05F26">
            <w:pPr>
              <w:pStyle w:val="Text1"/>
              <w:spacing w:before="40" w:after="40"/>
              <w:ind w:left="0"/>
              <w:jc w:val="center"/>
              <w:rPr>
                <w:i/>
                <w:noProof/>
                <w:sz w:val="16"/>
                <w:szCs w:val="16"/>
              </w:rPr>
            </w:pPr>
          </w:p>
        </w:tc>
        <w:tc>
          <w:tcPr>
            <w:tcW w:w="731" w:type="dxa"/>
            <w:shd w:val="clear" w:color="auto" w:fill="auto"/>
            <w:vAlign w:val="center"/>
          </w:tcPr>
          <w:p w14:paraId="3347F568" w14:textId="77777777" w:rsidR="00252FB9" w:rsidRPr="00C25964" w:rsidRDefault="00252FB9" w:rsidP="00D05F26">
            <w:pPr>
              <w:spacing w:before="20" w:after="20"/>
              <w:jc w:val="center"/>
              <w:rPr>
                <w:noProof/>
                <w:sz w:val="16"/>
                <w:szCs w:val="16"/>
              </w:rPr>
            </w:pPr>
            <w:r w:rsidRPr="00C25964">
              <w:rPr>
                <w:noProof/>
                <w:sz w:val="16"/>
              </w:rPr>
              <w:t>Året</w:t>
            </w:r>
            <w:r w:rsidRPr="00C25964">
              <w:rPr>
                <w:noProof/>
              </w:rPr>
              <w:t xml:space="preserve"> </w:t>
            </w:r>
            <w:r w:rsidRPr="00C25964">
              <w:rPr>
                <w:noProof/>
              </w:rPr>
              <w:br/>
            </w:r>
            <w:r w:rsidRPr="00C25964">
              <w:rPr>
                <w:b/>
                <w:noProof/>
                <w:sz w:val="16"/>
              </w:rPr>
              <w:t>2021</w:t>
            </w:r>
          </w:p>
        </w:tc>
        <w:tc>
          <w:tcPr>
            <w:tcW w:w="731" w:type="dxa"/>
            <w:shd w:val="clear" w:color="auto" w:fill="auto"/>
            <w:vAlign w:val="center"/>
          </w:tcPr>
          <w:p w14:paraId="6A9E533F" w14:textId="77777777" w:rsidR="00252FB9" w:rsidRPr="00C25964" w:rsidRDefault="00252FB9" w:rsidP="00D05F26">
            <w:pPr>
              <w:spacing w:before="20" w:after="20"/>
              <w:jc w:val="center"/>
              <w:rPr>
                <w:noProof/>
                <w:sz w:val="16"/>
                <w:szCs w:val="16"/>
              </w:rPr>
            </w:pPr>
            <w:r w:rsidRPr="00C25964">
              <w:rPr>
                <w:noProof/>
                <w:sz w:val="16"/>
              </w:rPr>
              <w:t>Året</w:t>
            </w:r>
            <w:r w:rsidRPr="00C25964">
              <w:rPr>
                <w:noProof/>
              </w:rPr>
              <w:t xml:space="preserve"> </w:t>
            </w:r>
            <w:r w:rsidRPr="00C25964">
              <w:rPr>
                <w:noProof/>
              </w:rPr>
              <w:br/>
            </w:r>
            <w:r w:rsidRPr="00C25964">
              <w:rPr>
                <w:b/>
                <w:noProof/>
                <w:sz w:val="16"/>
              </w:rPr>
              <w:t>2022</w:t>
            </w:r>
          </w:p>
        </w:tc>
        <w:tc>
          <w:tcPr>
            <w:tcW w:w="981" w:type="dxa"/>
            <w:shd w:val="clear" w:color="auto" w:fill="auto"/>
            <w:vAlign w:val="center"/>
          </w:tcPr>
          <w:p w14:paraId="56EC8821" w14:textId="77777777" w:rsidR="00252FB9" w:rsidRPr="00C25964" w:rsidRDefault="00252FB9" w:rsidP="00D05F26">
            <w:pPr>
              <w:spacing w:before="20" w:after="20"/>
              <w:jc w:val="center"/>
              <w:rPr>
                <w:noProof/>
                <w:sz w:val="16"/>
                <w:szCs w:val="16"/>
              </w:rPr>
            </w:pPr>
            <w:r w:rsidRPr="00C25964">
              <w:rPr>
                <w:noProof/>
                <w:sz w:val="16"/>
                <w:szCs w:val="16"/>
              </w:rPr>
              <w:t xml:space="preserve">År </w:t>
            </w:r>
            <w:r w:rsidRPr="00C25964">
              <w:rPr>
                <w:b/>
                <w:noProof/>
                <w:sz w:val="16"/>
                <w:szCs w:val="16"/>
              </w:rPr>
              <w:t>2023</w:t>
            </w:r>
          </w:p>
        </w:tc>
        <w:tc>
          <w:tcPr>
            <w:tcW w:w="481" w:type="dxa"/>
            <w:shd w:val="clear" w:color="auto" w:fill="auto"/>
            <w:vAlign w:val="center"/>
          </w:tcPr>
          <w:p w14:paraId="4B2F3793" w14:textId="77777777" w:rsidR="00252FB9" w:rsidRPr="00C25964" w:rsidRDefault="00252FB9" w:rsidP="00D05F26">
            <w:pPr>
              <w:spacing w:before="20" w:after="20"/>
              <w:jc w:val="center"/>
              <w:rPr>
                <w:noProof/>
                <w:sz w:val="16"/>
                <w:szCs w:val="16"/>
              </w:rPr>
            </w:pPr>
            <w:r w:rsidRPr="00C25964">
              <w:rPr>
                <w:noProof/>
                <w:sz w:val="16"/>
                <w:szCs w:val="16"/>
              </w:rPr>
              <w:t xml:space="preserve">År </w:t>
            </w:r>
            <w:r w:rsidRPr="00C25964">
              <w:rPr>
                <w:b/>
                <w:noProof/>
                <w:sz w:val="16"/>
                <w:szCs w:val="16"/>
              </w:rPr>
              <w:t>n+3</w:t>
            </w:r>
          </w:p>
        </w:tc>
        <w:tc>
          <w:tcPr>
            <w:tcW w:w="2193" w:type="dxa"/>
            <w:gridSpan w:val="3"/>
            <w:shd w:val="clear" w:color="auto" w:fill="auto"/>
            <w:vAlign w:val="center"/>
          </w:tcPr>
          <w:p w14:paraId="6D73D738" w14:textId="77777777" w:rsidR="00252FB9" w:rsidRPr="00C25964" w:rsidRDefault="00252FB9" w:rsidP="00D05F26">
            <w:pPr>
              <w:jc w:val="center"/>
              <w:rPr>
                <w:b/>
                <w:noProof/>
                <w:sz w:val="16"/>
                <w:szCs w:val="16"/>
              </w:rPr>
            </w:pPr>
            <w:r w:rsidRPr="00C25964">
              <w:rPr>
                <w:noProof/>
                <w:sz w:val="16"/>
              </w:rPr>
              <w:t>Ange så många år som behövs för att redovisa varaktigheten för inverkan på resursanvändningen (jfr punkt 1.6)</w:t>
            </w:r>
          </w:p>
        </w:tc>
      </w:tr>
      <w:tr w:rsidR="00252FB9" w:rsidRPr="00C25964" w14:paraId="0FA4DB1A" w14:textId="77777777" w:rsidTr="00D05F26">
        <w:trPr>
          <w:gridBefore w:val="1"/>
          <w:wBefore w:w="15" w:type="dxa"/>
          <w:trHeight w:val="289"/>
          <w:jc w:val="center"/>
        </w:trPr>
        <w:tc>
          <w:tcPr>
            <w:tcW w:w="9871" w:type="dxa"/>
            <w:gridSpan w:val="9"/>
            <w:shd w:val="clear" w:color="auto" w:fill="auto"/>
          </w:tcPr>
          <w:p w14:paraId="7B3A88F3" w14:textId="77777777" w:rsidR="00252FB9" w:rsidRPr="00C25964" w:rsidRDefault="00252FB9" w:rsidP="00D05F26">
            <w:pPr>
              <w:jc w:val="left"/>
              <w:rPr>
                <w:noProof/>
                <w:sz w:val="16"/>
                <w:szCs w:val="16"/>
              </w:rPr>
            </w:pPr>
            <w:r w:rsidRPr="00C25964">
              <w:rPr>
                <w:b/>
                <w:noProof/>
                <w:sz w:val="16"/>
              </w:rPr>
              <w:sym w:font="Wingdings" w:char="F09F"/>
            </w:r>
            <w:r w:rsidRPr="00C25964">
              <w:rPr>
                <w:b/>
                <w:noProof/>
                <w:sz w:val="16"/>
              </w:rPr>
              <w:t xml:space="preserve"> Tjänster som tas upp i tjänsteförteckningen (tjänstemän och tillfälligt anställda)</w:t>
            </w:r>
          </w:p>
        </w:tc>
      </w:tr>
      <w:tr w:rsidR="00252FB9" w:rsidRPr="00C25964" w14:paraId="1DD2CDE8" w14:textId="77777777" w:rsidTr="00D05F26">
        <w:trPr>
          <w:gridBefore w:val="1"/>
          <w:wBefore w:w="15" w:type="dxa"/>
          <w:trHeight w:val="289"/>
          <w:jc w:val="center"/>
        </w:trPr>
        <w:tc>
          <w:tcPr>
            <w:tcW w:w="4754" w:type="dxa"/>
            <w:gridSpan w:val="2"/>
            <w:shd w:val="clear" w:color="auto" w:fill="auto"/>
            <w:vAlign w:val="center"/>
          </w:tcPr>
          <w:p w14:paraId="42761BA2" w14:textId="77777777" w:rsidR="00252FB9" w:rsidRPr="00C25964" w:rsidRDefault="00252FB9" w:rsidP="00D05F26">
            <w:pPr>
              <w:pStyle w:val="Text1"/>
              <w:spacing w:beforeLines="20" w:before="48" w:afterLines="20" w:after="48"/>
              <w:ind w:left="134"/>
              <w:jc w:val="left"/>
              <w:rPr>
                <w:b/>
                <w:noProof/>
                <w:sz w:val="16"/>
                <w:szCs w:val="16"/>
              </w:rPr>
            </w:pPr>
            <w:r w:rsidRPr="00C25964">
              <w:rPr>
                <w:noProof/>
                <w:sz w:val="16"/>
              </w:rPr>
              <w:t>20 01 02 01</w:t>
            </w:r>
            <w:r w:rsidRPr="00C25964">
              <w:rPr>
                <w:rFonts w:ascii="Arial Narrow" w:hAnsi="Arial Narrow"/>
                <w:noProof/>
                <w:color w:val="000000"/>
                <w:sz w:val="20"/>
                <w:szCs w:val="20"/>
              </w:rPr>
              <w:t xml:space="preserve"> </w:t>
            </w:r>
            <w:r w:rsidRPr="00C25964">
              <w:rPr>
                <w:noProof/>
                <w:sz w:val="16"/>
              </w:rPr>
              <w:t>(vid huvudkontoret eller vid kommissionens kontor i medlemsstaterna)</w:t>
            </w:r>
          </w:p>
        </w:tc>
        <w:tc>
          <w:tcPr>
            <w:tcW w:w="731" w:type="dxa"/>
            <w:shd w:val="clear" w:color="auto" w:fill="auto"/>
            <w:vAlign w:val="center"/>
          </w:tcPr>
          <w:p w14:paraId="480EEF9E" w14:textId="77777777" w:rsidR="00252FB9" w:rsidRPr="00C25964" w:rsidRDefault="00252FB9" w:rsidP="00D05F26">
            <w:pPr>
              <w:spacing w:beforeLines="20" w:before="48" w:afterLines="20" w:after="48"/>
              <w:jc w:val="center"/>
              <w:rPr>
                <w:noProof/>
                <w:sz w:val="16"/>
                <w:szCs w:val="16"/>
              </w:rPr>
            </w:pPr>
            <w:r w:rsidRPr="00C25964">
              <w:rPr>
                <w:noProof/>
                <w:sz w:val="16"/>
                <w:szCs w:val="16"/>
              </w:rPr>
              <w:t>3</w:t>
            </w:r>
          </w:p>
        </w:tc>
        <w:tc>
          <w:tcPr>
            <w:tcW w:w="731" w:type="dxa"/>
            <w:shd w:val="clear" w:color="auto" w:fill="auto"/>
            <w:vAlign w:val="center"/>
          </w:tcPr>
          <w:p w14:paraId="000B4B1B" w14:textId="77777777" w:rsidR="00252FB9" w:rsidRPr="00C25964" w:rsidRDefault="00252FB9" w:rsidP="00D05F26">
            <w:pPr>
              <w:spacing w:beforeLines="20" w:before="48" w:afterLines="20" w:after="48"/>
              <w:jc w:val="center"/>
              <w:rPr>
                <w:noProof/>
                <w:sz w:val="16"/>
                <w:szCs w:val="16"/>
              </w:rPr>
            </w:pPr>
            <w:r w:rsidRPr="00C25964">
              <w:rPr>
                <w:noProof/>
                <w:sz w:val="16"/>
                <w:szCs w:val="16"/>
              </w:rPr>
              <w:t>3</w:t>
            </w:r>
          </w:p>
        </w:tc>
        <w:tc>
          <w:tcPr>
            <w:tcW w:w="981" w:type="dxa"/>
            <w:shd w:val="clear" w:color="auto" w:fill="auto"/>
            <w:vAlign w:val="center"/>
          </w:tcPr>
          <w:p w14:paraId="4C4D01F5" w14:textId="77777777" w:rsidR="00252FB9" w:rsidRPr="00C25964" w:rsidRDefault="00252FB9" w:rsidP="00D05F26">
            <w:pPr>
              <w:spacing w:beforeLines="20" w:before="48" w:afterLines="20" w:after="48"/>
              <w:jc w:val="center"/>
              <w:rPr>
                <w:noProof/>
                <w:sz w:val="16"/>
                <w:szCs w:val="16"/>
              </w:rPr>
            </w:pPr>
            <w:r w:rsidRPr="00C25964">
              <w:rPr>
                <w:noProof/>
                <w:sz w:val="16"/>
                <w:szCs w:val="16"/>
              </w:rPr>
              <w:t>0,50</w:t>
            </w:r>
          </w:p>
        </w:tc>
        <w:tc>
          <w:tcPr>
            <w:tcW w:w="481" w:type="dxa"/>
            <w:shd w:val="clear" w:color="auto" w:fill="auto"/>
            <w:vAlign w:val="center"/>
          </w:tcPr>
          <w:p w14:paraId="4150E1DB"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56F56B78"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2028BD6D"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55F7C87A" w14:textId="77777777" w:rsidR="00252FB9" w:rsidRPr="00C25964" w:rsidRDefault="00252FB9" w:rsidP="00D05F26">
            <w:pPr>
              <w:spacing w:beforeLines="20" w:before="48" w:afterLines="20" w:after="48"/>
              <w:jc w:val="center"/>
              <w:rPr>
                <w:noProof/>
                <w:sz w:val="16"/>
                <w:szCs w:val="16"/>
              </w:rPr>
            </w:pPr>
          </w:p>
        </w:tc>
      </w:tr>
      <w:tr w:rsidR="00252FB9" w:rsidRPr="00C25964" w14:paraId="56845277" w14:textId="77777777" w:rsidTr="00D05F26">
        <w:trPr>
          <w:gridBefore w:val="1"/>
          <w:wBefore w:w="15" w:type="dxa"/>
          <w:trHeight w:val="289"/>
          <w:jc w:val="center"/>
        </w:trPr>
        <w:tc>
          <w:tcPr>
            <w:tcW w:w="4754" w:type="dxa"/>
            <w:gridSpan w:val="2"/>
            <w:shd w:val="clear" w:color="auto" w:fill="auto"/>
            <w:vAlign w:val="center"/>
          </w:tcPr>
          <w:p w14:paraId="3B32121A" w14:textId="77777777" w:rsidR="00252FB9" w:rsidRPr="00C25964" w:rsidRDefault="00252FB9" w:rsidP="00D05F26">
            <w:pPr>
              <w:pStyle w:val="Text1"/>
              <w:spacing w:beforeLines="20" w:before="48" w:afterLines="20" w:after="48"/>
              <w:ind w:left="134"/>
              <w:jc w:val="left"/>
              <w:rPr>
                <w:noProof/>
                <w:sz w:val="16"/>
              </w:rPr>
            </w:pPr>
            <w:r w:rsidRPr="00C25964">
              <w:rPr>
                <w:noProof/>
                <w:sz w:val="16"/>
              </w:rPr>
              <w:t>20 01 02 03 (vid delegationer)</w:t>
            </w:r>
          </w:p>
        </w:tc>
        <w:tc>
          <w:tcPr>
            <w:tcW w:w="731" w:type="dxa"/>
            <w:shd w:val="clear" w:color="auto" w:fill="auto"/>
            <w:vAlign w:val="center"/>
          </w:tcPr>
          <w:p w14:paraId="0AED3A9A"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49EDE08A" w14:textId="77777777" w:rsidR="00252FB9" w:rsidRPr="00C25964" w:rsidRDefault="00252FB9" w:rsidP="00D05F26">
            <w:pPr>
              <w:spacing w:beforeLines="20" w:before="48" w:afterLines="20" w:after="48"/>
              <w:jc w:val="center"/>
              <w:rPr>
                <w:noProof/>
                <w:sz w:val="16"/>
                <w:szCs w:val="16"/>
              </w:rPr>
            </w:pPr>
          </w:p>
        </w:tc>
        <w:tc>
          <w:tcPr>
            <w:tcW w:w="981" w:type="dxa"/>
            <w:shd w:val="clear" w:color="auto" w:fill="auto"/>
            <w:vAlign w:val="center"/>
          </w:tcPr>
          <w:p w14:paraId="45CBE99F" w14:textId="77777777" w:rsidR="00252FB9" w:rsidRPr="00C25964" w:rsidRDefault="00252FB9" w:rsidP="00D05F26">
            <w:pPr>
              <w:spacing w:beforeLines="20" w:before="48" w:afterLines="20" w:after="48"/>
              <w:jc w:val="center"/>
              <w:rPr>
                <w:noProof/>
                <w:sz w:val="16"/>
                <w:szCs w:val="16"/>
              </w:rPr>
            </w:pPr>
          </w:p>
        </w:tc>
        <w:tc>
          <w:tcPr>
            <w:tcW w:w="481" w:type="dxa"/>
            <w:shd w:val="clear" w:color="auto" w:fill="auto"/>
            <w:vAlign w:val="center"/>
          </w:tcPr>
          <w:p w14:paraId="3ACE4A49"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17049DFA"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272D2FED"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0B94621B" w14:textId="77777777" w:rsidR="00252FB9" w:rsidRPr="00C25964" w:rsidRDefault="00252FB9" w:rsidP="00D05F26">
            <w:pPr>
              <w:spacing w:beforeLines="20" w:before="48" w:afterLines="20" w:after="48"/>
              <w:jc w:val="center"/>
              <w:rPr>
                <w:noProof/>
                <w:sz w:val="16"/>
                <w:szCs w:val="16"/>
              </w:rPr>
            </w:pPr>
          </w:p>
        </w:tc>
      </w:tr>
      <w:tr w:rsidR="00252FB9" w:rsidRPr="00C25964" w14:paraId="50857601" w14:textId="77777777" w:rsidTr="00D05F26">
        <w:trPr>
          <w:gridBefore w:val="1"/>
          <w:wBefore w:w="15" w:type="dxa"/>
          <w:trHeight w:val="289"/>
          <w:jc w:val="center"/>
        </w:trPr>
        <w:tc>
          <w:tcPr>
            <w:tcW w:w="4754" w:type="dxa"/>
            <w:gridSpan w:val="2"/>
            <w:shd w:val="clear" w:color="auto" w:fill="auto"/>
            <w:vAlign w:val="center"/>
          </w:tcPr>
          <w:p w14:paraId="2D5C82F6" w14:textId="77777777" w:rsidR="00252FB9" w:rsidRPr="00C25964" w:rsidRDefault="00252FB9" w:rsidP="00D05F26">
            <w:pPr>
              <w:pStyle w:val="Text1"/>
              <w:spacing w:beforeLines="20" w:before="48" w:afterLines="20" w:after="48"/>
              <w:ind w:left="134"/>
              <w:jc w:val="left"/>
              <w:rPr>
                <w:noProof/>
                <w:sz w:val="16"/>
                <w:szCs w:val="16"/>
              </w:rPr>
            </w:pPr>
            <w:r w:rsidRPr="00C25964">
              <w:rPr>
                <w:noProof/>
                <w:sz w:val="16"/>
              </w:rPr>
              <w:t>01 01 01 01</w:t>
            </w:r>
            <w:r w:rsidRPr="00C25964">
              <w:rPr>
                <w:rFonts w:ascii="Arial Narrow" w:hAnsi="Arial Narrow"/>
                <w:noProof/>
                <w:color w:val="000000"/>
                <w:sz w:val="20"/>
                <w:szCs w:val="20"/>
              </w:rPr>
              <w:t xml:space="preserve"> </w:t>
            </w:r>
            <w:r w:rsidRPr="00C25964">
              <w:rPr>
                <w:noProof/>
                <w:sz w:val="16"/>
              </w:rPr>
              <w:t xml:space="preserve"> (indirekta forskningsåtgärder)</w:t>
            </w:r>
          </w:p>
        </w:tc>
        <w:tc>
          <w:tcPr>
            <w:tcW w:w="731" w:type="dxa"/>
            <w:shd w:val="clear" w:color="auto" w:fill="auto"/>
            <w:vAlign w:val="center"/>
          </w:tcPr>
          <w:p w14:paraId="5118E824"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438E7F93" w14:textId="77777777" w:rsidR="00252FB9" w:rsidRPr="00C25964" w:rsidRDefault="00252FB9" w:rsidP="00D05F26">
            <w:pPr>
              <w:spacing w:beforeLines="20" w:before="48" w:afterLines="20" w:after="48"/>
              <w:jc w:val="center"/>
              <w:rPr>
                <w:noProof/>
                <w:sz w:val="16"/>
                <w:szCs w:val="16"/>
              </w:rPr>
            </w:pPr>
          </w:p>
        </w:tc>
        <w:tc>
          <w:tcPr>
            <w:tcW w:w="981" w:type="dxa"/>
            <w:shd w:val="clear" w:color="auto" w:fill="auto"/>
            <w:vAlign w:val="center"/>
          </w:tcPr>
          <w:p w14:paraId="4CC103B7" w14:textId="77777777" w:rsidR="00252FB9" w:rsidRPr="00C25964" w:rsidRDefault="00252FB9" w:rsidP="00D05F26">
            <w:pPr>
              <w:spacing w:beforeLines="20" w:before="48" w:afterLines="20" w:after="48"/>
              <w:jc w:val="center"/>
              <w:rPr>
                <w:noProof/>
                <w:sz w:val="16"/>
                <w:szCs w:val="16"/>
              </w:rPr>
            </w:pPr>
          </w:p>
        </w:tc>
        <w:tc>
          <w:tcPr>
            <w:tcW w:w="481" w:type="dxa"/>
            <w:shd w:val="clear" w:color="auto" w:fill="auto"/>
            <w:vAlign w:val="center"/>
          </w:tcPr>
          <w:p w14:paraId="23B8711A"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75D7C251"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71468F64"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3AF7D3CF" w14:textId="77777777" w:rsidR="00252FB9" w:rsidRPr="00C25964" w:rsidRDefault="00252FB9" w:rsidP="00D05F26">
            <w:pPr>
              <w:spacing w:beforeLines="20" w:before="48" w:afterLines="20" w:after="48"/>
              <w:jc w:val="center"/>
              <w:rPr>
                <w:noProof/>
                <w:sz w:val="16"/>
                <w:szCs w:val="16"/>
              </w:rPr>
            </w:pPr>
          </w:p>
        </w:tc>
      </w:tr>
      <w:tr w:rsidR="00252FB9" w:rsidRPr="00C25964" w14:paraId="5117C9D2" w14:textId="77777777" w:rsidTr="00D05F26">
        <w:trPr>
          <w:gridBefore w:val="1"/>
          <w:wBefore w:w="15" w:type="dxa"/>
          <w:trHeight w:val="289"/>
          <w:jc w:val="center"/>
        </w:trPr>
        <w:tc>
          <w:tcPr>
            <w:tcW w:w="4754" w:type="dxa"/>
            <w:gridSpan w:val="2"/>
            <w:shd w:val="clear" w:color="auto" w:fill="auto"/>
            <w:vAlign w:val="center"/>
          </w:tcPr>
          <w:p w14:paraId="2B0CDAFB" w14:textId="77777777" w:rsidR="00252FB9" w:rsidRPr="00C25964" w:rsidRDefault="00252FB9" w:rsidP="00D05F26">
            <w:pPr>
              <w:pStyle w:val="Text1"/>
              <w:spacing w:beforeLines="20" w:before="48" w:afterLines="20" w:after="48"/>
              <w:ind w:left="134"/>
              <w:jc w:val="left"/>
              <w:rPr>
                <w:noProof/>
                <w:sz w:val="16"/>
                <w:szCs w:val="16"/>
              </w:rPr>
            </w:pPr>
            <w:r w:rsidRPr="00C25964">
              <w:rPr>
                <w:noProof/>
                <w:sz w:val="16"/>
              </w:rPr>
              <w:t xml:space="preserve"> 01 01 01 11 Direkta forskningsåtgärder</w:t>
            </w:r>
          </w:p>
        </w:tc>
        <w:tc>
          <w:tcPr>
            <w:tcW w:w="731" w:type="dxa"/>
            <w:shd w:val="clear" w:color="auto" w:fill="auto"/>
            <w:vAlign w:val="center"/>
          </w:tcPr>
          <w:p w14:paraId="2739A820"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69F39E67" w14:textId="77777777" w:rsidR="00252FB9" w:rsidRPr="00C25964" w:rsidRDefault="00252FB9" w:rsidP="00D05F26">
            <w:pPr>
              <w:spacing w:beforeLines="20" w:before="48" w:afterLines="20" w:after="48"/>
              <w:jc w:val="center"/>
              <w:rPr>
                <w:noProof/>
                <w:sz w:val="16"/>
                <w:szCs w:val="16"/>
              </w:rPr>
            </w:pPr>
          </w:p>
        </w:tc>
        <w:tc>
          <w:tcPr>
            <w:tcW w:w="981" w:type="dxa"/>
            <w:shd w:val="clear" w:color="auto" w:fill="auto"/>
            <w:vAlign w:val="center"/>
          </w:tcPr>
          <w:p w14:paraId="4210B9E6" w14:textId="77777777" w:rsidR="00252FB9" w:rsidRPr="00C25964" w:rsidRDefault="00252FB9" w:rsidP="00D05F26">
            <w:pPr>
              <w:spacing w:beforeLines="20" w:before="48" w:afterLines="20" w:after="48"/>
              <w:jc w:val="center"/>
              <w:rPr>
                <w:noProof/>
                <w:sz w:val="16"/>
                <w:szCs w:val="16"/>
              </w:rPr>
            </w:pPr>
          </w:p>
        </w:tc>
        <w:tc>
          <w:tcPr>
            <w:tcW w:w="481" w:type="dxa"/>
            <w:shd w:val="clear" w:color="auto" w:fill="auto"/>
            <w:vAlign w:val="center"/>
          </w:tcPr>
          <w:p w14:paraId="16B87649"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3D9E9E2B"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0926B4B0"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2CEE67FB" w14:textId="77777777" w:rsidR="00252FB9" w:rsidRPr="00C25964" w:rsidRDefault="00252FB9" w:rsidP="00D05F26">
            <w:pPr>
              <w:spacing w:beforeLines="20" w:before="48" w:afterLines="20" w:after="48"/>
              <w:jc w:val="center"/>
              <w:rPr>
                <w:noProof/>
                <w:sz w:val="16"/>
                <w:szCs w:val="16"/>
              </w:rPr>
            </w:pPr>
          </w:p>
        </w:tc>
      </w:tr>
      <w:tr w:rsidR="00252FB9" w:rsidRPr="00C25964" w14:paraId="476A440C" w14:textId="77777777" w:rsidTr="00D05F26">
        <w:trPr>
          <w:gridBefore w:val="1"/>
          <w:wBefore w:w="15" w:type="dxa"/>
          <w:trHeight w:val="289"/>
          <w:jc w:val="center"/>
        </w:trPr>
        <w:tc>
          <w:tcPr>
            <w:tcW w:w="4754" w:type="dxa"/>
            <w:gridSpan w:val="2"/>
            <w:shd w:val="clear" w:color="auto" w:fill="auto"/>
            <w:vAlign w:val="center"/>
          </w:tcPr>
          <w:p w14:paraId="18A65BA0" w14:textId="77777777" w:rsidR="00252FB9" w:rsidRPr="00C25964" w:rsidRDefault="00252FB9" w:rsidP="00D05F26">
            <w:pPr>
              <w:pStyle w:val="Text1"/>
              <w:spacing w:beforeLines="20" w:before="48" w:afterLines="20" w:after="48"/>
              <w:ind w:left="134"/>
              <w:jc w:val="left"/>
              <w:rPr>
                <w:noProof/>
                <w:sz w:val="16"/>
              </w:rPr>
            </w:pPr>
            <w:r w:rsidRPr="00C25964">
              <w:rPr>
                <w:noProof/>
                <w:sz w:val="16"/>
              </w:rPr>
              <w:t>Annan budgetpost (ange vilken)</w:t>
            </w:r>
          </w:p>
        </w:tc>
        <w:tc>
          <w:tcPr>
            <w:tcW w:w="731" w:type="dxa"/>
            <w:shd w:val="clear" w:color="auto" w:fill="auto"/>
            <w:vAlign w:val="center"/>
          </w:tcPr>
          <w:p w14:paraId="4115D6E7"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7DE22438" w14:textId="77777777" w:rsidR="00252FB9" w:rsidRPr="00C25964" w:rsidRDefault="00252FB9" w:rsidP="00D05F26">
            <w:pPr>
              <w:spacing w:beforeLines="20" w:before="48" w:afterLines="20" w:after="48"/>
              <w:jc w:val="center"/>
              <w:rPr>
                <w:noProof/>
                <w:sz w:val="16"/>
                <w:szCs w:val="16"/>
              </w:rPr>
            </w:pPr>
          </w:p>
        </w:tc>
        <w:tc>
          <w:tcPr>
            <w:tcW w:w="981" w:type="dxa"/>
            <w:shd w:val="clear" w:color="auto" w:fill="auto"/>
            <w:vAlign w:val="center"/>
          </w:tcPr>
          <w:p w14:paraId="67948369" w14:textId="77777777" w:rsidR="00252FB9" w:rsidRPr="00C25964" w:rsidRDefault="00252FB9" w:rsidP="00D05F26">
            <w:pPr>
              <w:spacing w:beforeLines="20" w:before="48" w:afterLines="20" w:after="48"/>
              <w:jc w:val="center"/>
              <w:rPr>
                <w:noProof/>
                <w:sz w:val="16"/>
                <w:szCs w:val="16"/>
              </w:rPr>
            </w:pPr>
          </w:p>
        </w:tc>
        <w:tc>
          <w:tcPr>
            <w:tcW w:w="481" w:type="dxa"/>
            <w:shd w:val="clear" w:color="auto" w:fill="auto"/>
            <w:vAlign w:val="center"/>
          </w:tcPr>
          <w:p w14:paraId="478231C7"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68BC88F1"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23DE63BD"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25A50980" w14:textId="77777777" w:rsidR="00252FB9" w:rsidRPr="00C25964" w:rsidRDefault="00252FB9" w:rsidP="00D05F26">
            <w:pPr>
              <w:spacing w:beforeLines="20" w:before="48" w:afterLines="20" w:after="48"/>
              <w:jc w:val="center"/>
              <w:rPr>
                <w:noProof/>
                <w:sz w:val="16"/>
                <w:szCs w:val="16"/>
              </w:rPr>
            </w:pPr>
          </w:p>
        </w:tc>
      </w:tr>
      <w:tr w:rsidR="00252FB9" w:rsidRPr="00C25964" w14:paraId="016ADD29" w14:textId="77777777" w:rsidTr="00D05F26">
        <w:trPr>
          <w:trHeight w:val="248"/>
          <w:jc w:val="center"/>
        </w:trPr>
        <w:tc>
          <w:tcPr>
            <w:tcW w:w="9886" w:type="dxa"/>
            <w:gridSpan w:val="10"/>
            <w:shd w:val="clear" w:color="auto" w:fill="auto"/>
            <w:vAlign w:val="center"/>
          </w:tcPr>
          <w:p w14:paraId="52C16450" w14:textId="77777777" w:rsidR="00252FB9" w:rsidRPr="00C25964" w:rsidRDefault="00252FB9" w:rsidP="00D05F26">
            <w:pPr>
              <w:pStyle w:val="Text1"/>
              <w:spacing w:before="60" w:after="60"/>
              <w:ind w:left="0"/>
              <w:jc w:val="left"/>
              <w:rPr>
                <w:b/>
                <w:noProof/>
                <w:sz w:val="16"/>
                <w:szCs w:val="16"/>
              </w:rPr>
            </w:pPr>
            <w:r w:rsidRPr="00C25964">
              <w:rPr>
                <w:b/>
                <w:noProof/>
                <w:sz w:val="16"/>
              </w:rPr>
              <w:sym w:font="Wingdings" w:char="F09F"/>
            </w:r>
            <w:r w:rsidRPr="00C25964">
              <w:rPr>
                <w:b/>
                <w:bCs/>
                <w:noProof/>
                <w:sz w:val="16"/>
                <w:szCs w:val="16"/>
              </w:rPr>
              <w:t xml:space="preserve"> Extern personal (i heltidsekvivalenter): heltidsekvivalenter)</w:t>
            </w:r>
            <w:r w:rsidRPr="00C25964">
              <w:rPr>
                <w:rStyle w:val="FootnoteReference0"/>
                <w:b/>
                <w:bCs/>
                <w:noProof/>
                <w:sz w:val="16"/>
                <w:szCs w:val="16"/>
              </w:rPr>
              <w:footnoteReference w:id="41"/>
            </w:r>
          </w:p>
          <w:p w14:paraId="603236BD" w14:textId="77777777" w:rsidR="00252FB9" w:rsidRPr="00C25964" w:rsidRDefault="00252FB9" w:rsidP="00D05F26">
            <w:pPr>
              <w:pStyle w:val="Text1"/>
              <w:spacing w:before="0" w:after="0"/>
              <w:ind w:left="0"/>
              <w:jc w:val="left"/>
              <w:rPr>
                <w:noProof/>
                <w:sz w:val="16"/>
                <w:szCs w:val="16"/>
              </w:rPr>
            </w:pPr>
          </w:p>
        </w:tc>
      </w:tr>
      <w:tr w:rsidR="00252FB9" w:rsidRPr="00C25964" w14:paraId="46478F36" w14:textId="77777777" w:rsidTr="00D05F26">
        <w:trPr>
          <w:gridBefore w:val="1"/>
          <w:wBefore w:w="15" w:type="dxa"/>
          <w:trHeight w:val="289"/>
          <w:jc w:val="center"/>
        </w:trPr>
        <w:tc>
          <w:tcPr>
            <w:tcW w:w="4754" w:type="dxa"/>
            <w:gridSpan w:val="2"/>
            <w:shd w:val="clear" w:color="auto" w:fill="auto"/>
            <w:vAlign w:val="center"/>
          </w:tcPr>
          <w:p w14:paraId="7BB321F7" w14:textId="77777777" w:rsidR="00252FB9" w:rsidRPr="00C25964" w:rsidRDefault="00252FB9" w:rsidP="00D05F26">
            <w:pPr>
              <w:pStyle w:val="Text1"/>
              <w:spacing w:beforeLines="20" w:before="48" w:afterLines="20" w:after="48"/>
              <w:ind w:left="136"/>
              <w:jc w:val="left"/>
              <w:rPr>
                <w:b/>
                <w:noProof/>
                <w:sz w:val="16"/>
                <w:szCs w:val="16"/>
              </w:rPr>
            </w:pPr>
            <w:r w:rsidRPr="00C25964">
              <w:rPr>
                <w:noProof/>
                <w:sz w:val="16"/>
              </w:rPr>
              <w:t>20 02 01</w:t>
            </w:r>
            <w:r w:rsidRPr="00C25964">
              <w:rPr>
                <w:rFonts w:ascii="Arial Narrow" w:hAnsi="Arial Narrow"/>
                <w:noProof/>
                <w:color w:val="000000"/>
                <w:sz w:val="20"/>
                <w:szCs w:val="20"/>
              </w:rPr>
              <w:t xml:space="preserve"> </w:t>
            </w:r>
            <w:r w:rsidRPr="00C25964">
              <w:rPr>
                <w:noProof/>
                <w:sz w:val="16"/>
              </w:rPr>
              <w:t>(kontraktsanställda, nationella experter och vikarier finansierade genom ramanslaget)</w:t>
            </w:r>
          </w:p>
        </w:tc>
        <w:tc>
          <w:tcPr>
            <w:tcW w:w="731" w:type="dxa"/>
            <w:shd w:val="clear" w:color="auto" w:fill="auto"/>
            <w:vAlign w:val="center"/>
          </w:tcPr>
          <w:p w14:paraId="222B0A27" w14:textId="77777777" w:rsidR="00252FB9" w:rsidRPr="00C25964" w:rsidRDefault="00252FB9" w:rsidP="00D05F26">
            <w:pPr>
              <w:spacing w:beforeLines="20" w:before="48" w:afterLines="20" w:after="48"/>
              <w:jc w:val="center"/>
              <w:rPr>
                <w:noProof/>
                <w:sz w:val="16"/>
                <w:szCs w:val="16"/>
              </w:rPr>
            </w:pPr>
            <w:r w:rsidRPr="00C25964">
              <w:rPr>
                <w:noProof/>
                <w:sz w:val="16"/>
                <w:szCs w:val="16"/>
              </w:rPr>
              <w:t>6</w:t>
            </w:r>
          </w:p>
        </w:tc>
        <w:tc>
          <w:tcPr>
            <w:tcW w:w="731" w:type="dxa"/>
            <w:shd w:val="clear" w:color="auto" w:fill="auto"/>
            <w:vAlign w:val="center"/>
          </w:tcPr>
          <w:p w14:paraId="68313E20" w14:textId="77777777" w:rsidR="00252FB9" w:rsidRPr="00C25964" w:rsidRDefault="00252FB9" w:rsidP="00D05F26">
            <w:pPr>
              <w:spacing w:beforeLines="20" w:before="48" w:afterLines="20" w:after="48"/>
              <w:jc w:val="center"/>
              <w:rPr>
                <w:noProof/>
                <w:sz w:val="16"/>
                <w:szCs w:val="16"/>
              </w:rPr>
            </w:pPr>
            <w:r w:rsidRPr="00C25964">
              <w:rPr>
                <w:noProof/>
                <w:sz w:val="16"/>
                <w:szCs w:val="16"/>
              </w:rPr>
              <w:t>11</w:t>
            </w:r>
          </w:p>
        </w:tc>
        <w:tc>
          <w:tcPr>
            <w:tcW w:w="981" w:type="dxa"/>
            <w:shd w:val="clear" w:color="auto" w:fill="auto"/>
            <w:vAlign w:val="center"/>
          </w:tcPr>
          <w:p w14:paraId="44294829" w14:textId="77777777" w:rsidR="00252FB9" w:rsidRPr="00C25964" w:rsidRDefault="00252FB9" w:rsidP="00D05F26">
            <w:pPr>
              <w:spacing w:beforeLines="20" w:before="48" w:afterLines="20" w:after="48"/>
              <w:jc w:val="center"/>
              <w:rPr>
                <w:noProof/>
                <w:sz w:val="16"/>
                <w:szCs w:val="16"/>
              </w:rPr>
            </w:pPr>
            <w:r w:rsidRPr="00C25964">
              <w:rPr>
                <w:noProof/>
                <w:sz w:val="16"/>
                <w:szCs w:val="16"/>
              </w:rPr>
              <w:t>2</w:t>
            </w:r>
          </w:p>
        </w:tc>
        <w:tc>
          <w:tcPr>
            <w:tcW w:w="481" w:type="dxa"/>
            <w:shd w:val="clear" w:color="auto" w:fill="auto"/>
            <w:vAlign w:val="center"/>
          </w:tcPr>
          <w:p w14:paraId="7EC2345E"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7B5FF46E"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2B310A96"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136FE241" w14:textId="77777777" w:rsidR="00252FB9" w:rsidRPr="00C25964" w:rsidRDefault="00252FB9" w:rsidP="00D05F26">
            <w:pPr>
              <w:spacing w:beforeLines="20" w:before="48" w:afterLines="20" w:after="48"/>
              <w:jc w:val="center"/>
              <w:rPr>
                <w:noProof/>
                <w:sz w:val="16"/>
                <w:szCs w:val="16"/>
              </w:rPr>
            </w:pPr>
          </w:p>
        </w:tc>
      </w:tr>
      <w:tr w:rsidR="00252FB9" w:rsidRPr="00C25964" w14:paraId="1818D50E" w14:textId="77777777" w:rsidTr="00D05F26">
        <w:trPr>
          <w:gridBefore w:val="1"/>
          <w:wBefore w:w="15" w:type="dxa"/>
          <w:trHeight w:val="289"/>
          <w:jc w:val="center"/>
        </w:trPr>
        <w:tc>
          <w:tcPr>
            <w:tcW w:w="4754" w:type="dxa"/>
            <w:gridSpan w:val="2"/>
            <w:shd w:val="clear" w:color="auto" w:fill="auto"/>
            <w:vAlign w:val="center"/>
          </w:tcPr>
          <w:p w14:paraId="424DDBEA" w14:textId="77777777" w:rsidR="00252FB9" w:rsidRPr="00C25964" w:rsidRDefault="00252FB9" w:rsidP="00D05F26">
            <w:pPr>
              <w:pStyle w:val="Text1"/>
              <w:spacing w:beforeLines="20" w:before="48" w:afterLines="20" w:after="48"/>
              <w:ind w:left="136"/>
              <w:jc w:val="left"/>
              <w:rPr>
                <w:noProof/>
                <w:sz w:val="16"/>
              </w:rPr>
            </w:pPr>
            <w:r w:rsidRPr="00C25964">
              <w:rPr>
                <w:noProof/>
                <w:sz w:val="16"/>
              </w:rPr>
              <w:t>20 02 03 (kontraktsanställda, lokalanställda, nationella experter, vikarier och unga experter som tjänstgör vid delegationerna)</w:t>
            </w:r>
          </w:p>
        </w:tc>
        <w:tc>
          <w:tcPr>
            <w:tcW w:w="731" w:type="dxa"/>
            <w:shd w:val="clear" w:color="auto" w:fill="auto"/>
            <w:vAlign w:val="center"/>
          </w:tcPr>
          <w:p w14:paraId="3FFA7CEB"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07972635" w14:textId="77777777" w:rsidR="00252FB9" w:rsidRPr="00C25964" w:rsidRDefault="00252FB9" w:rsidP="00D05F26">
            <w:pPr>
              <w:spacing w:beforeLines="20" w:before="48" w:afterLines="20" w:after="48"/>
              <w:jc w:val="center"/>
              <w:rPr>
                <w:noProof/>
                <w:sz w:val="16"/>
                <w:szCs w:val="16"/>
              </w:rPr>
            </w:pPr>
          </w:p>
        </w:tc>
        <w:tc>
          <w:tcPr>
            <w:tcW w:w="981" w:type="dxa"/>
            <w:shd w:val="clear" w:color="auto" w:fill="auto"/>
            <w:vAlign w:val="center"/>
          </w:tcPr>
          <w:p w14:paraId="4CA162C5" w14:textId="77777777" w:rsidR="00252FB9" w:rsidRPr="00C25964" w:rsidRDefault="00252FB9" w:rsidP="00D05F26">
            <w:pPr>
              <w:spacing w:beforeLines="20" w:before="48" w:afterLines="20" w:after="48"/>
              <w:jc w:val="center"/>
              <w:rPr>
                <w:noProof/>
                <w:sz w:val="16"/>
                <w:szCs w:val="16"/>
              </w:rPr>
            </w:pPr>
          </w:p>
        </w:tc>
        <w:tc>
          <w:tcPr>
            <w:tcW w:w="481" w:type="dxa"/>
            <w:shd w:val="clear" w:color="auto" w:fill="auto"/>
            <w:vAlign w:val="center"/>
          </w:tcPr>
          <w:p w14:paraId="6656FD26"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323A95FD"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0C98D611"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5E5904C5" w14:textId="77777777" w:rsidR="00252FB9" w:rsidRPr="00C25964" w:rsidRDefault="00252FB9" w:rsidP="00D05F26">
            <w:pPr>
              <w:spacing w:beforeLines="20" w:before="48" w:afterLines="20" w:after="48"/>
              <w:jc w:val="center"/>
              <w:rPr>
                <w:noProof/>
                <w:sz w:val="16"/>
                <w:szCs w:val="16"/>
              </w:rPr>
            </w:pPr>
          </w:p>
        </w:tc>
      </w:tr>
      <w:tr w:rsidR="00252FB9" w:rsidRPr="00C25964" w14:paraId="59366820" w14:textId="77777777" w:rsidTr="00D05F26">
        <w:trPr>
          <w:gridBefore w:val="1"/>
          <w:wBefore w:w="15" w:type="dxa"/>
          <w:trHeight w:val="289"/>
          <w:jc w:val="center"/>
        </w:trPr>
        <w:tc>
          <w:tcPr>
            <w:tcW w:w="2376" w:type="dxa"/>
            <w:vMerge w:val="restart"/>
            <w:shd w:val="clear" w:color="auto" w:fill="auto"/>
            <w:vAlign w:val="center"/>
          </w:tcPr>
          <w:p w14:paraId="0BB24B9D" w14:textId="77777777" w:rsidR="00252FB9" w:rsidRPr="00C25964" w:rsidRDefault="00252FB9" w:rsidP="00D05F26">
            <w:pPr>
              <w:pStyle w:val="Text1"/>
              <w:spacing w:beforeLines="20" w:before="48" w:afterLines="20" w:after="48"/>
              <w:ind w:left="136"/>
              <w:jc w:val="left"/>
              <w:rPr>
                <w:b/>
                <w:noProof/>
                <w:sz w:val="16"/>
                <w:szCs w:val="16"/>
              </w:rPr>
            </w:pPr>
            <w:r w:rsidRPr="00C25964">
              <w:rPr>
                <w:b/>
                <w:bCs/>
                <w:noProof/>
                <w:sz w:val="16"/>
                <w:szCs w:val="16"/>
              </w:rPr>
              <w:t>XX</w:t>
            </w:r>
            <w:r w:rsidRPr="00C25964">
              <w:rPr>
                <w:noProof/>
                <w:sz w:val="16"/>
                <w:szCs w:val="16"/>
              </w:rPr>
              <w:t xml:space="preserve"> 01  xx </w:t>
            </w:r>
            <w:r w:rsidRPr="00C25964">
              <w:rPr>
                <w:b/>
                <w:bCs/>
                <w:noProof/>
                <w:sz w:val="16"/>
                <w:szCs w:val="16"/>
              </w:rPr>
              <w:t xml:space="preserve">yy zz </w:t>
            </w:r>
            <w:r w:rsidRPr="00C25964">
              <w:rPr>
                <w:b/>
                <w:bCs/>
                <w:i/>
                <w:iCs/>
                <w:noProof/>
                <w:sz w:val="16"/>
                <w:szCs w:val="16"/>
              </w:rPr>
              <w:t xml:space="preserve"> </w:t>
            </w:r>
            <w:r w:rsidRPr="00C25964">
              <w:rPr>
                <w:rStyle w:val="FootnoteReference0"/>
                <w:b/>
                <w:bCs/>
                <w:i/>
                <w:iCs/>
                <w:noProof/>
                <w:sz w:val="16"/>
                <w:szCs w:val="16"/>
              </w:rPr>
              <w:footnoteReference w:id="42"/>
            </w:r>
          </w:p>
          <w:p w14:paraId="520B6B20" w14:textId="77777777" w:rsidR="00252FB9" w:rsidRPr="00C25964" w:rsidRDefault="00252FB9" w:rsidP="00D05F26">
            <w:pPr>
              <w:pStyle w:val="Text1"/>
              <w:spacing w:beforeLines="20" w:before="48" w:afterLines="20" w:after="48"/>
              <w:ind w:left="136"/>
              <w:jc w:val="left"/>
              <w:rPr>
                <w:b/>
                <w:noProof/>
                <w:sz w:val="16"/>
                <w:szCs w:val="16"/>
              </w:rPr>
            </w:pPr>
          </w:p>
        </w:tc>
        <w:tc>
          <w:tcPr>
            <w:tcW w:w="2378" w:type="dxa"/>
            <w:shd w:val="clear" w:color="auto" w:fill="auto"/>
            <w:vAlign w:val="center"/>
          </w:tcPr>
          <w:p w14:paraId="1B198118" w14:textId="77777777" w:rsidR="00252FB9" w:rsidRPr="00C25964" w:rsidRDefault="00252FB9" w:rsidP="00D05F26">
            <w:pPr>
              <w:pStyle w:val="Text1"/>
              <w:spacing w:beforeLines="20" w:before="48" w:afterLines="20" w:after="48"/>
              <w:ind w:left="136"/>
              <w:jc w:val="left"/>
              <w:rPr>
                <w:b/>
                <w:noProof/>
                <w:sz w:val="16"/>
                <w:szCs w:val="16"/>
              </w:rPr>
            </w:pPr>
            <w:r w:rsidRPr="00C25964">
              <w:rPr>
                <w:noProof/>
                <w:sz w:val="16"/>
              </w:rPr>
              <w:t>- vid huvudkontoret</w:t>
            </w:r>
          </w:p>
          <w:p w14:paraId="3C7A40B9" w14:textId="77777777" w:rsidR="00252FB9" w:rsidRPr="00C25964" w:rsidRDefault="00252FB9" w:rsidP="00D05F26">
            <w:pPr>
              <w:pStyle w:val="Text1"/>
              <w:spacing w:beforeLines="20" w:before="48" w:afterLines="20" w:after="48"/>
              <w:ind w:left="136"/>
              <w:jc w:val="left"/>
              <w:rPr>
                <w:b/>
                <w:noProof/>
                <w:sz w:val="16"/>
                <w:szCs w:val="16"/>
              </w:rPr>
            </w:pPr>
          </w:p>
        </w:tc>
        <w:tc>
          <w:tcPr>
            <w:tcW w:w="731" w:type="dxa"/>
            <w:shd w:val="clear" w:color="auto" w:fill="auto"/>
            <w:vAlign w:val="center"/>
          </w:tcPr>
          <w:p w14:paraId="3911CC3A" w14:textId="77777777" w:rsidR="00252FB9" w:rsidRPr="00C25964" w:rsidRDefault="00252FB9" w:rsidP="00D05F26">
            <w:pPr>
              <w:pStyle w:val="Text1"/>
              <w:spacing w:beforeLines="20" w:before="48" w:afterLines="20" w:after="48"/>
              <w:ind w:left="0"/>
              <w:rPr>
                <w:noProof/>
                <w:sz w:val="16"/>
                <w:szCs w:val="16"/>
              </w:rPr>
            </w:pPr>
          </w:p>
        </w:tc>
        <w:tc>
          <w:tcPr>
            <w:tcW w:w="731" w:type="dxa"/>
            <w:shd w:val="clear" w:color="auto" w:fill="auto"/>
            <w:vAlign w:val="center"/>
          </w:tcPr>
          <w:p w14:paraId="7AD4B0CC" w14:textId="77777777" w:rsidR="00252FB9" w:rsidRPr="00C25964" w:rsidRDefault="00252FB9" w:rsidP="00D05F26">
            <w:pPr>
              <w:spacing w:beforeLines="20" w:before="48" w:afterLines="20" w:after="48"/>
              <w:jc w:val="center"/>
              <w:rPr>
                <w:noProof/>
                <w:sz w:val="16"/>
                <w:szCs w:val="16"/>
              </w:rPr>
            </w:pPr>
          </w:p>
        </w:tc>
        <w:tc>
          <w:tcPr>
            <w:tcW w:w="981" w:type="dxa"/>
            <w:shd w:val="clear" w:color="auto" w:fill="auto"/>
            <w:vAlign w:val="center"/>
          </w:tcPr>
          <w:p w14:paraId="4C8F793F" w14:textId="77777777" w:rsidR="00252FB9" w:rsidRPr="00C25964" w:rsidRDefault="00252FB9" w:rsidP="00D05F26">
            <w:pPr>
              <w:spacing w:beforeLines="20" w:before="48" w:afterLines="20" w:after="48"/>
              <w:jc w:val="center"/>
              <w:rPr>
                <w:noProof/>
                <w:sz w:val="16"/>
                <w:szCs w:val="16"/>
              </w:rPr>
            </w:pPr>
          </w:p>
        </w:tc>
        <w:tc>
          <w:tcPr>
            <w:tcW w:w="481" w:type="dxa"/>
            <w:shd w:val="clear" w:color="auto" w:fill="auto"/>
            <w:vAlign w:val="center"/>
          </w:tcPr>
          <w:p w14:paraId="372B3889"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1024A0A9"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68343268"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357EB6C5" w14:textId="77777777" w:rsidR="00252FB9" w:rsidRPr="00C25964" w:rsidRDefault="00252FB9" w:rsidP="00D05F26">
            <w:pPr>
              <w:spacing w:beforeLines="20" w:before="48" w:afterLines="20" w:after="48"/>
              <w:jc w:val="center"/>
              <w:rPr>
                <w:noProof/>
                <w:sz w:val="16"/>
                <w:szCs w:val="16"/>
              </w:rPr>
            </w:pPr>
          </w:p>
        </w:tc>
      </w:tr>
      <w:tr w:rsidR="00252FB9" w:rsidRPr="00C25964" w14:paraId="7DCFB4BF" w14:textId="77777777" w:rsidTr="00D05F26">
        <w:trPr>
          <w:gridBefore w:val="1"/>
          <w:wBefore w:w="15" w:type="dxa"/>
          <w:trHeight w:val="289"/>
          <w:jc w:val="center"/>
        </w:trPr>
        <w:tc>
          <w:tcPr>
            <w:tcW w:w="2376" w:type="dxa"/>
            <w:vMerge/>
            <w:shd w:val="clear" w:color="auto" w:fill="auto"/>
            <w:vAlign w:val="center"/>
          </w:tcPr>
          <w:p w14:paraId="1745752F" w14:textId="77777777" w:rsidR="00252FB9" w:rsidRPr="00C25964" w:rsidRDefault="00252FB9" w:rsidP="00D05F26">
            <w:pPr>
              <w:pStyle w:val="Text1"/>
              <w:spacing w:beforeLines="20" w:before="48" w:afterLines="20" w:after="48"/>
              <w:ind w:left="136"/>
              <w:jc w:val="left"/>
              <w:rPr>
                <w:b/>
                <w:noProof/>
                <w:sz w:val="16"/>
                <w:szCs w:val="16"/>
              </w:rPr>
            </w:pPr>
          </w:p>
        </w:tc>
        <w:tc>
          <w:tcPr>
            <w:tcW w:w="2378" w:type="dxa"/>
            <w:shd w:val="clear" w:color="auto" w:fill="auto"/>
            <w:vAlign w:val="center"/>
          </w:tcPr>
          <w:p w14:paraId="5EAD5295" w14:textId="77777777" w:rsidR="00252FB9" w:rsidRPr="00C25964" w:rsidRDefault="00252FB9" w:rsidP="00D05F26">
            <w:pPr>
              <w:pStyle w:val="Text1"/>
              <w:spacing w:beforeLines="20" w:before="48" w:afterLines="20" w:after="48"/>
              <w:ind w:left="136"/>
              <w:jc w:val="left"/>
              <w:rPr>
                <w:b/>
                <w:noProof/>
                <w:sz w:val="16"/>
                <w:szCs w:val="16"/>
              </w:rPr>
            </w:pPr>
            <w:r w:rsidRPr="00C25964">
              <w:rPr>
                <w:noProof/>
                <w:sz w:val="16"/>
              </w:rPr>
              <w:t xml:space="preserve">- vid delegationer </w:t>
            </w:r>
          </w:p>
        </w:tc>
        <w:tc>
          <w:tcPr>
            <w:tcW w:w="731" w:type="dxa"/>
            <w:shd w:val="clear" w:color="auto" w:fill="auto"/>
            <w:vAlign w:val="center"/>
          </w:tcPr>
          <w:p w14:paraId="3A45F50C" w14:textId="77777777" w:rsidR="00252FB9" w:rsidRPr="00C25964" w:rsidRDefault="00252FB9" w:rsidP="00D05F26">
            <w:pPr>
              <w:pStyle w:val="Text1"/>
              <w:spacing w:beforeLines="20" w:before="48" w:afterLines="20" w:after="48"/>
              <w:ind w:left="0"/>
              <w:rPr>
                <w:noProof/>
                <w:sz w:val="16"/>
                <w:szCs w:val="16"/>
              </w:rPr>
            </w:pPr>
          </w:p>
        </w:tc>
        <w:tc>
          <w:tcPr>
            <w:tcW w:w="731" w:type="dxa"/>
            <w:shd w:val="clear" w:color="auto" w:fill="auto"/>
            <w:vAlign w:val="center"/>
          </w:tcPr>
          <w:p w14:paraId="28D69BD0" w14:textId="77777777" w:rsidR="00252FB9" w:rsidRPr="00C25964" w:rsidRDefault="00252FB9" w:rsidP="00D05F26">
            <w:pPr>
              <w:spacing w:beforeLines="20" w:before="48" w:afterLines="20" w:after="48"/>
              <w:jc w:val="center"/>
              <w:rPr>
                <w:noProof/>
                <w:sz w:val="16"/>
                <w:szCs w:val="16"/>
              </w:rPr>
            </w:pPr>
          </w:p>
        </w:tc>
        <w:tc>
          <w:tcPr>
            <w:tcW w:w="981" w:type="dxa"/>
            <w:shd w:val="clear" w:color="auto" w:fill="auto"/>
            <w:vAlign w:val="center"/>
          </w:tcPr>
          <w:p w14:paraId="4C2434DB" w14:textId="77777777" w:rsidR="00252FB9" w:rsidRPr="00C25964" w:rsidRDefault="00252FB9" w:rsidP="00D05F26">
            <w:pPr>
              <w:spacing w:beforeLines="20" w:before="48" w:afterLines="20" w:after="48"/>
              <w:jc w:val="center"/>
              <w:rPr>
                <w:noProof/>
                <w:sz w:val="16"/>
                <w:szCs w:val="16"/>
              </w:rPr>
            </w:pPr>
          </w:p>
        </w:tc>
        <w:tc>
          <w:tcPr>
            <w:tcW w:w="481" w:type="dxa"/>
            <w:shd w:val="clear" w:color="auto" w:fill="auto"/>
            <w:vAlign w:val="center"/>
          </w:tcPr>
          <w:p w14:paraId="240C9B8A"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12B7B8C7"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2D387440"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69D07970" w14:textId="77777777" w:rsidR="00252FB9" w:rsidRPr="00C25964" w:rsidRDefault="00252FB9" w:rsidP="00D05F26">
            <w:pPr>
              <w:spacing w:beforeLines="20" w:before="48" w:afterLines="20" w:after="48"/>
              <w:jc w:val="center"/>
              <w:rPr>
                <w:noProof/>
                <w:sz w:val="16"/>
                <w:szCs w:val="16"/>
              </w:rPr>
            </w:pPr>
          </w:p>
        </w:tc>
      </w:tr>
      <w:tr w:rsidR="00252FB9" w:rsidRPr="00C25964" w14:paraId="365FBAD2" w14:textId="77777777" w:rsidTr="00D05F26">
        <w:trPr>
          <w:gridBefore w:val="1"/>
          <w:wBefore w:w="15" w:type="dxa"/>
          <w:trHeight w:val="289"/>
          <w:jc w:val="center"/>
        </w:trPr>
        <w:tc>
          <w:tcPr>
            <w:tcW w:w="4754" w:type="dxa"/>
            <w:gridSpan w:val="2"/>
            <w:shd w:val="clear" w:color="auto" w:fill="auto"/>
            <w:vAlign w:val="center"/>
          </w:tcPr>
          <w:p w14:paraId="2455F548" w14:textId="77777777" w:rsidR="00252FB9" w:rsidRPr="00C25964" w:rsidRDefault="00252FB9" w:rsidP="00D05F26">
            <w:pPr>
              <w:pStyle w:val="Text1"/>
              <w:spacing w:beforeLines="20" w:before="48" w:afterLines="20" w:after="48"/>
              <w:ind w:left="136"/>
              <w:jc w:val="left"/>
              <w:rPr>
                <w:noProof/>
                <w:sz w:val="16"/>
                <w:szCs w:val="16"/>
              </w:rPr>
            </w:pPr>
            <w:r w:rsidRPr="00C25964">
              <w:rPr>
                <w:noProof/>
                <w:sz w:val="16"/>
              </w:rPr>
              <w:t>01 01 01 02</w:t>
            </w:r>
            <w:r w:rsidRPr="00C25964">
              <w:rPr>
                <w:rFonts w:ascii="Arial Narrow" w:hAnsi="Arial Narrow"/>
                <w:noProof/>
                <w:color w:val="000000"/>
                <w:sz w:val="20"/>
                <w:szCs w:val="20"/>
              </w:rPr>
              <w:t xml:space="preserve"> </w:t>
            </w:r>
            <w:r w:rsidRPr="00C25964">
              <w:rPr>
                <w:noProof/>
                <w:sz w:val="16"/>
                <w:szCs w:val="16"/>
              </w:rPr>
              <w:t>(kontraktsanställda, nationella experter och vikarier som arbetar med indirekta forskningsåtgärder)</w:t>
            </w:r>
          </w:p>
        </w:tc>
        <w:tc>
          <w:tcPr>
            <w:tcW w:w="731" w:type="dxa"/>
            <w:shd w:val="clear" w:color="auto" w:fill="auto"/>
            <w:vAlign w:val="center"/>
          </w:tcPr>
          <w:p w14:paraId="10AF823B"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3823D851" w14:textId="77777777" w:rsidR="00252FB9" w:rsidRPr="00C25964" w:rsidRDefault="00252FB9" w:rsidP="00D05F26">
            <w:pPr>
              <w:spacing w:beforeLines="20" w:before="48" w:afterLines="20" w:after="48"/>
              <w:jc w:val="center"/>
              <w:rPr>
                <w:noProof/>
                <w:sz w:val="16"/>
                <w:szCs w:val="16"/>
              </w:rPr>
            </w:pPr>
          </w:p>
        </w:tc>
        <w:tc>
          <w:tcPr>
            <w:tcW w:w="981" w:type="dxa"/>
            <w:shd w:val="clear" w:color="auto" w:fill="auto"/>
            <w:vAlign w:val="center"/>
          </w:tcPr>
          <w:p w14:paraId="522E6ED2" w14:textId="77777777" w:rsidR="00252FB9" w:rsidRPr="00C25964" w:rsidRDefault="00252FB9" w:rsidP="00D05F26">
            <w:pPr>
              <w:spacing w:beforeLines="20" w:before="48" w:afterLines="20" w:after="48"/>
              <w:jc w:val="center"/>
              <w:rPr>
                <w:noProof/>
                <w:sz w:val="16"/>
                <w:szCs w:val="16"/>
              </w:rPr>
            </w:pPr>
          </w:p>
        </w:tc>
        <w:tc>
          <w:tcPr>
            <w:tcW w:w="481" w:type="dxa"/>
            <w:shd w:val="clear" w:color="auto" w:fill="auto"/>
            <w:vAlign w:val="center"/>
          </w:tcPr>
          <w:p w14:paraId="5A5E4E7F"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6EF640AA"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781BB47D"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59E80DA1" w14:textId="77777777" w:rsidR="00252FB9" w:rsidRPr="00C25964" w:rsidRDefault="00252FB9" w:rsidP="00D05F26">
            <w:pPr>
              <w:spacing w:beforeLines="20" w:before="48" w:afterLines="20" w:after="48"/>
              <w:jc w:val="center"/>
              <w:rPr>
                <w:noProof/>
                <w:sz w:val="16"/>
                <w:szCs w:val="16"/>
              </w:rPr>
            </w:pPr>
          </w:p>
        </w:tc>
      </w:tr>
      <w:tr w:rsidR="00252FB9" w:rsidRPr="00C25964" w14:paraId="6513EDFE" w14:textId="77777777" w:rsidTr="00D05F26">
        <w:trPr>
          <w:gridBefore w:val="1"/>
          <w:wBefore w:w="15" w:type="dxa"/>
          <w:trHeight w:val="289"/>
          <w:jc w:val="center"/>
        </w:trPr>
        <w:tc>
          <w:tcPr>
            <w:tcW w:w="4754" w:type="dxa"/>
            <w:gridSpan w:val="2"/>
            <w:shd w:val="clear" w:color="auto" w:fill="auto"/>
            <w:vAlign w:val="center"/>
          </w:tcPr>
          <w:p w14:paraId="118EE242" w14:textId="77777777" w:rsidR="00252FB9" w:rsidRPr="00C25964" w:rsidRDefault="00252FB9" w:rsidP="00D05F26">
            <w:pPr>
              <w:pStyle w:val="Text1"/>
              <w:spacing w:beforeLines="20" w:before="48" w:afterLines="20" w:after="48"/>
              <w:ind w:left="136"/>
              <w:jc w:val="left"/>
              <w:rPr>
                <w:noProof/>
                <w:color w:val="FF0000"/>
                <w:sz w:val="16"/>
                <w:szCs w:val="16"/>
              </w:rPr>
            </w:pPr>
            <w:r w:rsidRPr="00C25964">
              <w:rPr>
                <w:noProof/>
                <w:sz w:val="16"/>
              </w:rPr>
              <w:t xml:space="preserve"> 01 01 01 12 (kontraktsanställda, vikarier och nationella experter som arbetar med direkta forskningsåtgärder)</w:t>
            </w:r>
          </w:p>
        </w:tc>
        <w:tc>
          <w:tcPr>
            <w:tcW w:w="731" w:type="dxa"/>
            <w:shd w:val="clear" w:color="auto" w:fill="auto"/>
            <w:vAlign w:val="center"/>
          </w:tcPr>
          <w:p w14:paraId="318ABAE5"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3230B085" w14:textId="77777777" w:rsidR="00252FB9" w:rsidRPr="00C25964" w:rsidRDefault="00252FB9" w:rsidP="00D05F26">
            <w:pPr>
              <w:spacing w:beforeLines="20" w:before="48" w:afterLines="20" w:after="48"/>
              <w:jc w:val="center"/>
              <w:rPr>
                <w:noProof/>
                <w:sz w:val="16"/>
                <w:szCs w:val="16"/>
              </w:rPr>
            </w:pPr>
          </w:p>
        </w:tc>
        <w:tc>
          <w:tcPr>
            <w:tcW w:w="981" w:type="dxa"/>
            <w:shd w:val="clear" w:color="auto" w:fill="auto"/>
            <w:vAlign w:val="center"/>
          </w:tcPr>
          <w:p w14:paraId="10F0A32E" w14:textId="77777777" w:rsidR="00252FB9" w:rsidRPr="00C25964" w:rsidRDefault="00252FB9" w:rsidP="00D05F26">
            <w:pPr>
              <w:spacing w:beforeLines="20" w:before="48" w:afterLines="20" w:after="48"/>
              <w:jc w:val="center"/>
              <w:rPr>
                <w:noProof/>
                <w:sz w:val="16"/>
                <w:szCs w:val="16"/>
              </w:rPr>
            </w:pPr>
          </w:p>
        </w:tc>
        <w:tc>
          <w:tcPr>
            <w:tcW w:w="481" w:type="dxa"/>
            <w:shd w:val="clear" w:color="auto" w:fill="auto"/>
            <w:vAlign w:val="center"/>
          </w:tcPr>
          <w:p w14:paraId="7AB0CC69"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6B9EDAE4"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48405BAE"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680A0FFB" w14:textId="77777777" w:rsidR="00252FB9" w:rsidRPr="00C25964" w:rsidRDefault="00252FB9" w:rsidP="00D05F26">
            <w:pPr>
              <w:spacing w:beforeLines="20" w:before="48" w:afterLines="20" w:after="48"/>
              <w:jc w:val="center"/>
              <w:rPr>
                <w:noProof/>
                <w:sz w:val="16"/>
                <w:szCs w:val="16"/>
              </w:rPr>
            </w:pPr>
          </w:p>
        </w:tc>
      </w:tr>
      <w:tr w:rsidR="00252FB9" w:rsidRPr="00C25964" w14:paraId="797A8172" w14:textId="77777777" w:rsidTr="00D05F26">
        <w:trPr>
          <w:gridBefore w:val="1"/>
          <w:wBefore w:w="15" w:type="dxa"/>
          <w:trHeight w:val="289"/>
          <w:jc w:val="center"/>
        </w:trPr>
        <w:tc>
          <w:tcPr>
            <w:tcW w:w="4754" w:type="dxa"/>
            <w:gridSpan w:val="2"/>
            <w:shd w:val="clear" w:color="auto" w:fill="auto"/>
            <w:vAlign w:val="center"/>
          </w:tcPr>
          <w:p w14:paraId="489E12FF" w14:textId="77777777" w:rsidR="00252FB9" w:rsidRPr="00C25964" w:rsidRDefault="00252FB9" w:rsidP="00D05F26">
            <w:pPr>
              <w:pStyle w:val="Text1"/>
              <w:spacing w:beforeLines="20" w:before="48" w:afterLines="20" w:after="48"/>
              <w:ind w:left="136"/>
              <w:jc w:val="left"/>
              <w:rPr>
                <w:noProof/>
                <w:sz w:val="16"/>
              </w:rPr>
            </w:pPr>
            <w:r w:rsidRPr="00C25964">
              <w:rPr>
                <w:noProof/>
                <w:sz w:val="16"/>
              </w:rPr>
              <w:t>Annan budgetrubrik (ange vilken)</w:t>
            </w:r>
          </w:p>
        </w:tc>
        <w:tc>
          <w:tcPr>
            <w:tcW w:w="731" w:type="dxa"/>
            <w:shd w:val="clear" w:color="auto" w:fill="auto"/>
            <w:vAlign w:val="center"/>
          </w:tcPr>
          <w:p w14:paraId="734BA5C9"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38241877" w14:textId="77777777" w:rsidR="00252FB9" w:rsidRPr="00C25964" w:rsidRDefault="00252FB9" w:rsidP="00D05F26">
            <w:pPr>
              <w:spacing w:beforeLines="20" w:before="48" w:afterLines="20" w:after="48"/>
              <w:jc w:val="center"/>
              <w:rPr>
                <w:noProof/>
                <w:sz w:val="16"/>
                <w:szCs w:val="16"/>
              </w:rPr>
            </w:pPr>
          </w:p>
        </w:tc>
        <w:tc>
          <w:tcPr>
            <w:tcW w:w="981" w:type="dxa"/>
            <w:shd w:val="clear" w:color="auto" w:fill="auto"/>
            <w:vAlign w:val="center"/>
          </w:tcPr>
          <w:p w14:paraId="5BCB5E3A" w14:textId="77777777" w:rsidR="00252FB9" w:rsidRPr="00C25964" w:rsidRDefault="00252FB9" w:rsidP="00D05F26">
            <w:pPr>
              <w:spacing w:beforeLines="20" w:before="48" w:afterLines="20" w:after="48"/>
              <w:jc w:val="center"/>
              <w:rPr>
                <w:noProof/>
                <w:sz w:val="16"/>
                <w:szCs w:val="16"/>
              </w:rPr>
            </w:pPr>
          </w:p>
        </w:tc>
        <w:tc>
          <w:tcPr>
            <w:tcW w:w="481" w:type="dxa"/>
            <w:shd w:val="clear" w:color="auto" w:fill="auto"/>
            <w:vAlign w:val="center"/>
          </w:tcPr>
          <w:p w14:paraId="23EABE79"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7F99F4E8"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50555706" w14:textId="77777777" w:rsidR="00252FB9" w:rsidRPr="00C25964" w:rsidRDefault="00252FB9" w:rsidP="00D05F26">
            <w:pPr>
              <w:spacing w:beforeLines="20" w:before="48" w:afterLines="20" w:after="48"/>
              <w:jc w:val="center"/>
              <w:rPr>
                <w:noProof/>
                <w:sz w:val="16"/>
                <w:szCs w:val="16"/>
              </w:rPr>
            </w:pPr>
          </w:p>
        </w:tc>
        <w:tc>
          <w:tcPr>
            <w:tcW w:w="731" w:type="dxa"/>
            <w:shd w:val="clear" w:color="auto" w:fill="auto"/>
            <w:vAlign w:val="center"/>
          </w:tcPr>
          <w:p w14:paraId="74F86D00" w14:textId="77777777" w:rsidR="00252FB9" w:rsidRPr="00C25964" w:rsidRDefault="00252FB9" w:rsidP="00D05F26">
            <w:pPr>
              <w:spacing w:beforeLines="20" w:before="48" w:afterLines="20" w:after="48"/>
              <w:jc w:val="center"/>
              <w:rPr>
                <w:noProof/>
                <w:sz w:val="16"/>
                <w:szCs w:val="16"/>
              </w:rPr>
            </w:pPr>
          </w:p>
        </w:tc>
      </w:tr>
      <w:tr w:rsidR="00252FB9" w:rsidRPr="00C25964" w14:paraId="58211176" w14:textId="77777777" w:rsidTr="00D05F26">
        <w:trPr>
          <w:gridBefore w:val="1"/>
          <w:wBefore w:w="15" w:type="dxa"/>
          <w:trHeight w:val="289"/>
          <w:jc w:val="center"/>
        </w:trPr>
        <w:tc>
          <w:tcPr>
            <w:tcW w:w="4754" w:type="dxa"/>
            <w:gridSpan w:val="2"/>
            <w:tcBorders>
              <w:top w:val="double" w:sz="4" w:space="0" w:color="auto"/>
            </w:tcBorders>
            <w:shd w:val="clear" w:color="auto" w:fill="auto"/>
            <w:vAlign w:val="center"/>
          </w:tcPr>
          <w:p w14:paraId="6BC4FAB5" w14:textId="77777777" w:rsidR="00252FB9" w:rsidRPr="00C25964" w:rsidRDefault="00252FB9" w:rsidP="00D05F26">
            <w:pPr>
              <w:pStyle w:val="Text1"/>
              <w:spacing w:beforeLines="20" w:before="48" w:afterLines="20" w:after="48"/>
              <w:ind w:left="136"/>
              <w:jc w:val="left"/>
              <w:rPr>
                <w:noProof/>
                <w:sz w:val="16"/>
                <w:szCs w:val="16"/>
              </w:rPr>
            </w:pPr>
            <w:r w:rsidRPr="00C25964">
              <w:rPr>
                <w:b/>
                <w:noProof/>
                <w:sz w:val="16"/>
              </w:rPr>
              <w:t>TOTALT</w:t>
            </w:r>
          </w:p>
        </w:tc>
        <w:tc>
          <w:tcPr>
            <w:tcW w:w="731" w:type="dxa"/>
            <w:tcBorders>
              <w:top w:val="double" w:sz="4" w:space="0" w:color="auto"/>
            </w:tcBorders>
            <w:shd w:val="clear" w:color="auto" w:fill="auto"/>
            <w:vAlign w:val="center"/>
          </w:tcPr>
          <w:p w14:paraId="7ED2DB2D" w14:textId="77777777" w:rsidR="00252FB9" w:rsidRPr="00C25964" w:rsidRDefault="00252FB9" w:rsidP="00D05F26">
            <w:pPr>
              <w:spacing w:beforeLines="20" w:before="48" w:afterLines="20" w:after="48"/>
              <w:jc w:val="center"/>
              <w:rPr>
                <w:b/>
                <w:noProof/>
                <w:sz w:val="16"/>
                <w:szCs w:val="16"/>
              </w:rPr>
            </w:pPr>
            <w:r w:rsidRPr="00C25964">
              <w:rPr>
                <w:b/>
                <w:noProof/>
                <w:sz w:val="16"/>
                <w:szCs w:val="16"/>
              </w:rPr>
              <w:t>9</w:t>
            </w:r>
          </w:p>
        </w:tc>
        <w:tc>
          <w:tcPr>
            <w:tcW w:w="731" w:type="dxa"/>
            <w:tcBorders>
              <w:top w:val="double" w:sz="4" w:space="0" w:color="auto"/>
            </w:tcBorders>
            <w:shd w:val="clear" w:color="auto" w:fill="auto"/>
            <w:vAlign w:val="center"/>
          </w:tcPr>
          <w:p w14:paraId="7A2F3D10" w14:textId="77777777" w:rsidR="00252FB9" w:rsidRPr="00C25964" w:rsidRDefault="00252FB9" w:rsidP="00D05F26">
            <w:pPr>
              <w:spacing w:beforeLines="20" w:before="48" w:afterLines="20" w:after="48"/>
              <w:jc w:val="center"/>
              <w:rPr>
                <w:b/>
                <w:noProof/>
                <w:sz w:val="16"/>
                <w:szCs w:val="16"/>
              </w:rPr>
            </w:pPr>
            <w:r w:rsidRPr="00C25964">
              <w:rPr>
                <w:b/>
                <w:noProof/>
                <w:sz w:val="16"/>
                <w:szCs w:val="16"/>
              </w:rPr>
              <w:t>14</w:t>
            </w:r>
          </w:p>
        </w:tc>
        <w:tc>
          <w:tcPr>
            <w:tcW w:w="981" w:type="dxa"/>
            <w:tcBorders>
              <w:top w:val="double" w:sz="4" w:space="0" w:color="auto"/>
            </w:tcBorders>
            <w:shd w:val="clear" w:color="auto" w:fill="auto"/>
            <w:vAlign w:val="center"/>
          </w:tcPr>
          <w:p w14:paraId="0146886D" w14:textId="77777777" w:rsidR="00252FB9" w:rsidRPr="00C25964" w:rsidRDefault="00252FB9" w:rsidP="00D05F26">
            <w:pPr>
              <w:spacing w:beforeLines="20" w:before="48" w:afterLines="20" w:after="48"/>
              <w:jc w:val="center"/>
              <w:rPr>
                <w:b/>
                <w:noProof/>
                <w:sz w:val="16"/>
                <w:szCs w:val="16"/>
              </w:rPr>
            </w:pPr>
            <w:r w:rsidRPr="00C25964">
              <w:rPr>
                <w:b/>
                <w:noProof/>
                <w:sz w:val="16"/>
                <w:szCs w:val="16"/>
              </w:rPr>
              <w:t>2.50</w:t>
            </w:r>
          </w:p>
        </w:tc>
        <w:tc>
          <w:tcPr>
            <w:tcW w:w="481" w:type="dxa"/>
            <w:tcBorders>
              <w:top w:val="double" w:sz="4" w:space="0" w:color="auto"/>
            </w:tcBorders>
            <w:shd w:val="clear" w:color="auto" w:fill="auto"/>
            <w:vAlign w:val="center"/>
          </w:tcPr>
          <w:p w14:paraId="09EC6996" w14:textId="77777777" w:rsidR="00252FB9" w:rsidRPr="00C25964" w:rsidRDefault="00252FB9" w:rsidP="00D05F26">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4D9B4482" w14:textId="77777777" w:rsidR="00252FB9" w:rsidRPr="00C25964" w:rsidRDefault="00252FB9" w:rsidP="00D05F26">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8A00A3A" w14:textId="77777777" w:rsidR="00252FB9" w:rsidRPr="00C25964" w:rsidRDefault="00252FB9" w:rsidP="00D05F26">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EB530E2" w14:textId="77777777" w:rsidR="00252FB9" w:rsidRPr="00C25964" w:rsidRDefault="00252FB9" w:rsidP="00D05F26">
            <w:pPr>
              <w:spacing w:beforeLines="20" w:before="48" w:afterLines="20" w:after="48"/>
              <w:jc w:val="center"/>
              <w:rPr>
                <w:b/>
                <w:noProof/>
                <w:sz w:val="16"/>
                <w:szCs w:val="16"/>
              </w:rPr>
            </w:pPr>
          </w:p>
        </w:tc>
      </w:tr>
    </w:tbl>
    <w:p w14:paraId="07A7C106" w14:textId="77777777" w:rsidR="00252FB9" w:rsidRPr="00C25964" w:rsidRDefault="00252FB9" w:rsidP="00252FB9">
      <w:pPr>
        <w:pStyle w:val="Text1"/>
        <w:spacing w:before="60" w:after="60"/>
        <w:ind w:left="851"/>
        <w:rPr>
          <w:noProof/>
          <w:sz w:val="18"/>
          <w:szCs w:val="18"/>
        </w:rPr>
      </w:pPr>
      <w:r w:rsidRPr="00C25964">
        <w:rPr>
          <w:b/>
          <w:noProof/>
          <w:sz w:val="18"/>
          <w:szCs w:val="18"/>
        </w:rPr>
        <w:t>XX</w:t>
      </w:r>
      <w:r w:rsidRPr="00C25964">
        <w:rPr>
          <w:noProof/>
          <w:sz w:val="18"/>
          <w:szCs w:val="18"/>
        </w:rPr>
        <w:t xml:space="preserve"> motsvarar det politikområde eller den avdelning i budgeten som avses.</w:t>
      </w:r>
    </w:p>
    <w:p w14:paraId="49A4BEE6" w14:textId="77777777" w:rsidR="00252FB9" w:rsidRPr="00C25964" w:rsidRDefault="00252FB9" w:rsidP="00252FB9">
      <w:pPr>
        <w:pStyle w:val="Text1"/>
        <w:rPr>
          <w:noProof/>
          <w:sz w:val="18"/>
          <w:szCs w:val="18"/>
        </w:rPr>
      </w:pPr>
      <w:r w:rsidRPr="00C25964">
        <w:rPr>
          <w:noProof/>
          <w:sz w:val="18"/>
        </w:rPr>
        <w:t>Personalbehoven ska täckas med personal inom generaldirektoratet vilka redan har avdelats för förvaltningen av åtgärden i fråga, och/eller genom en omfördelning av personal inom generaldirektoratet, om så krävs efter komplettering med ytterligare resurser som kan tilldelas det förvaltande generaldirektoratet som ett led i det årliga förfarandet för tilldelning av anslag och med hänsyn tagen till begränsningar i fråga om budgetmedel.</w:t>
      </w:r>
    </w:p>
    <w:p w14:paraId="503C4E7A" w14:textId="77777777" w:rsidR="00252FB9" w:rsidRPr="00C25964" w:rsidRDefault="00252FB9" w:rsidP="00252FB9">
      <w:pPr>
        <w:rPr>
          <w:noProof/>
          <w:sz w:val="20"/>
        </w:rPr>
      </w:pPr>
      <w:r w:rsidRPr="00C25964">
        <w:rPr>
          <w:noProof/>
          <w:sz w:val="20"/>
        </w:rPr>
        <w:t>Beskrivning av arbetsuppgifter: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252FB9" w:rsidRPr="00C25964" w14:paraId="47679072" w14:textId="77777777" w:rsidTr="00D05F26">
        <w:tc>
          <w:tcPr>
            <w:tcW w:w="3240" w:type="dxa"/>
          </w:tcPr>
          <w:p w14:paraId="349B7EC1" w14:textId="77777777" w:rsidR="00252FB9" w:rsidRPr="00C25964" w:rsidRDefault="00252FB9" w:rsidP="00D05F26">
            <w:pPr>
              <w:rPr>
                <w:noProof/>
                <w:sz w:val="20"/>
              </w:rPr>
            </w:pPr>
            <w:r w:rsidRPr="00C25964">
              <w:rPr>
                <w:noProof/>
                <w:sz w:val="20"/>
              </w:rPr>
              <w:t>Tjänstemän och tillfälligt anställda</w:t>
            </w:r>
          </w:p>
        </w:tc>
        <w:tc>
          <w:tcPr>
            <w:tcW w:w="7200" w:type="dxa"/>
          </w:tcPr>
          <w:p w14:paraId="4C5A832F" w14:textId="77777777" w:rsidR="00252FB9" w:rsidRPr="00C25964" w:rsidRDefault="00252FB9" w:rsidP="00D05F26">
            <w:pPr>
              <w:rPr>
                <w:noProof/>
                <w:sz w:val="20"/>
                <w:szCs w:val="20"/>
              </w:rPr>
            </w:pPr>
            <w:r w:rsidRPr="00C25964">
              <w:rPr>
                <w:noProof/>
                <w:shd w:val="clear" w:color="auto" w:fill="FFFFFF"/>
              </w:rPr>
              <w:t>Tillsammans med andra tjänster utforma och samordna Europaårets arbetsplan; fastställa riktlinjer för tjänste- och köpeavtal, och följa med i urvalsprocessen; säkerställa den interinstitutionella samordningen; förbereda genomgångar och tal för kommissionärer och generaldirektorat; se till att det finns pressmaterial; följa utvärderingen i efterhand</w:t>
            </w:r>
          </w:p>
        </w:tc>
      </w:tr>
      <w:tr w:rsidR="00252FB9" w:rsidRPr="00C25964" w14:paraId="358D4ECE" w14:textId="77777777" w:rsidTr="00D05F26">
        <w:tc>
          <w:tcPr>
            <w:tcW w:w="3240" w:type="dxa"/>
          </w:tcPr>
          <w:p w14:paraId="6B1D2E3E" w14:textId="77777777" w:rsidR="00252FB9" w:rsidRPr="00C25964" w:rsidRDefault="00252FB9" w:rsidP="00D05F26">
            <w:pPr>
              <w:spacing w:before="60" w:after="60"/>
              <w:rPr>
                <w:noProof/>
                <w:sz w:val="20"/>
                <w:highlight w:val="yellow"/>
              </w:rPr>
            </w:pPr>
            <w:r w:rsidRPr="00C25964">
              <w:rPr>
                <w:noProof/>
                <w:sz w:val="20"/>
              </w:rPr>
              <w:t>Extern personal</w:t>
            </w:r>
          </w:p>
        </w:tc>
        <w:tc>
          <w:tcPr>
            <w:tcW w:w="7200" w:type="dxa"/>
          </w:tcPr>
          <w:p w14:paraId="5983EFA4" w14:textId="77777777" w:rsidR="00252FB9" w:rsidRPr="00C25964" w:rsidRDefault="00252FB9" w:rsidP="00D05F26">
            <w:pPr>
              <w:rPr>
                <w:noProof/>
                <w:sz w:val="20"/>
                <w:highlight w:val="yellow"/>
              </w:rPr>
            </w:pPr>
          </w:p>
        </w:tc>
      </w:tr>
    </w:tbl>
    <w:p w14:paraId="091501B7" w14:textId="77777777" w:rsidR="00252FB9" w:rsidRPr="00C25964" w:rsidRDefault="00252FB9" w:rsidP="00252FB9">
      <w:pPr>
        <w:rPr>
          <w:noProof/>
        </w:rPr>
        <w:sectPr w:rsidR="00252FB9" w:rsidRPr="00C25964" w:rsidSect="004A0B38">
          <w:pgSz w:w="11907" w:h="16840"/>
          <w:pgMar w:top="1134" w:right="1418" w:bottom="1134" w:left="1418" w:header="709" w:footer="709" w:gutter="0"/>
          <w:cols w:space="708"/>
          <w:docGrid w:linePitch="360"/>
        </w:sectPr>
      </w:pPr>
    </w:p>
    <w:p w14:paraId="05EF8AE6" w14:textId="56887ECF" w:rsidR="00252FB9" w:rsidRPr="00C25964" w:rsidRDefault="00AD1692" w:rsidP="00AD1692">
      <w:pPr>
        <w:pStyle w:val="ManualHeading3"/>
        <w:rPr>
          <w:noProof/>
        </w:rPr>
      </w:pPr>
      <w:bookmarkStart w:id="56" w:name="_Toc514938056"/>
      <w:bookmarkStart w:id="57" w:name="_Toc520485055"/>
      <w:r w:rsidRPr="00AD1692">
        <w:t>3.2.4.</w:t>
      </w:r>
      <w:r w:rsidRPr="00AD1692">
        <w:tab/>
      </w:r>
      <w:r w:rsidR="00252FB9" w:rsidRPr="00C25964">
        <w:rPr>
          <w:noProof/>
        </w:rPr>
        <w:t>Förenlighet med den gällande fleråriga budgetramen</w:t>
      </w:r>
      <w:bookmarkEnd w:id="56"/>
      <w:bookmarkEnd w:id="57"/>
      <w:r w:rsidR="00252FB9" w:rsidRPr="00C25964">
        <w:rPr>
          <w:noProof/>
        </w:rPr>
        <w:t xml:space="preserve"> </w:t>
      </w:r>
    </w:p>
    <w:p w14:paraId="51B03C9F" w14:textId="77777777" w:rsidR="00252FB9" w:rsidRPr="00C25964" w:rsidRDefault="00252FB9" w:rsidP="00252FB9">
      <w:pPr>
        <w:pStyle w:val="Text1"/>
        <w:rPr>
          <w:noProof/>
        </w:rPr>
      </w:pPr>
      <w:r w:rsidRPr="00C25964">
        <w:rPr>
          <w:noProof/>
        </w:rPr>
        <w:t>För förslaget/initiativet gäller följande:</w:t>
      </w:r>
    </w:p>
    <w:p w14:paraId="711279E6" w14:textId="77777777" w:rsidR="00252FB9" w:rsidRPr="00C25964" w:rsidRDefault="00252FB9" w:rsidP="00252FB9">
      <w:pPr>
        <w:pStyle w:val="ListDash1"/>
        <w:rPr>
          <w:noProof/>
        </w:rPr>
      </w:pPr>
      <w:r w:rsidRPr="00C25964">
        <w:rPr>
          <w:noProof/>
        </w:rPr>
        <w:t xml:space="preserve">Förslaget X är förenligt med den gällande fleråriga budgetramen </w:t>
      </w:r>
    </w:p>
    <w:p w14:paraId="6CDB5A19" w14:textId="77777777" w:rsidR="00252FB9" w:rsidRPr="00C25964" w:rsidRDefault="00252FB9" w:rsidP="00252FB9">
      <w:pPr>
        <w:pStyle w:val="ListDash1"/>
        <w:rPr>
          <w:noProof/>
        </w:rPr>
      </w:pPr>
      <w:r w:rsidRPr="00C25964">
        <w:rPr>
          <w:noProof/>
        </w:rPr>
        <w:sym w:font="Wingdings" w:char="F0A8"/>
      </w:r>
      <w:r w:rsidRPr="00C25964">
        <w:rPr>
          <w:noProof/>
        </w:rPr>
        <w:tab/>
        <w:t>Det kan finansieras till fullo genom omfördelningar inom den berörda rubriken i den fleråriga budgetramen.</w:t>
      </w:r>
    </w:p>
    <w:p w14:paraId="361C6080" w14:textId="77777777" w:rsidR="00252FB9" w:rsidRPr="00C25964" w:rsidRDefault="00252FB9" w:rsidP="00252FB9">
      <w:pPr>
        <w:pStyle w:val="ListDash1"/>
        <w:rPr>
          <w:noProof/>
        </w:rPr>
      </w:pPr>
      <w:r w:rsidRPr="00C25964">
        <w:rPr>
          <w:noProof/>
        </w:rPr>
        <w:sym w:font="Wingdings" w:char="F0A8"/>
      </w:r>
      <w:r w:rsidRPr="00C25964">
        <w:rPr>
          <w:noProof/>
        </w:rPr>
        <w:tab/>
        <w:t>Det kräver användning av den outnyttjade marginalen under den relevanta rubriken i den fleråriga budgetramen och/eller användning av särskilda instrument enligt definitionen i förordningen om den fleråriga budgetramen.</w:t>
      </w:r>
    </w:p>
    <w:p w14:paraId="79AEEC3B" w14:textId="77777777" w:rsidR="00252FB9" w:rsidRPr="00C25964" w:rsidRDefault="00252FB9" w:rsidP="00252FB9">
      <w:pPr>
        <w:pStyle w:val="ListDash1"/>
        <w:rPr>
          <w:noProof/>
        </w:rPr>
      </w:pPr>
      <w:r w:rsidRPr="00C25964">
        <w:rPr>
          <w:noProof/>
        </w:rPr>
        <w:sym w:font="Wingdings" w:char="F0A8"/>
      </w:r>
      <w:r w:rsidRPr="00C25964">
        <w:rPr>
          <w:noProof/>
        </w:rPr>
        <w:tab/>
        <w:t>Det kräver en översyn av den fleråriga budgetramen.</w:t>
      </w:r>
    </w:p>
    <w:p w14:paraId="46A99C8D" w14:textId="3EA18C19" w:rsidR="00252FB9" w:rsidRPr="00C25964" w:rsidRDefault="00AD1692" w:rsidP="00AD1692">
      <w:pPr>
        <w:pStyle w:val="ManualHeading3"/>
        <w:rPr>
          <w:bCs/>
          <w:noProof/>
          <w:szCs w:val="24"/>
        </w:rPr>
      </w:pPr>
      <w:bookmarkStart w:id="58" w:name="_Toc514938058"/>
      <w:bookmarkStart w:id="59" w:name="_Toc520485056"/>
      <w:r w:rsidRPr="00AD1692">
        <w:t>3.2.5.</w:t>
      </w:r>
      <w:r w:rsidRPr="00AD1692">
        <w:tab/>
      </w:r>
      <w:r w:rsidR="00252FB9" w:rsidRPr="00C25964">
        <w:rPr>
          <w:noProof/>
        </w:rPr>
        <w:t>Bidrag från tredje part</w:t>
      </w:r>
      <w:bookmarkEnd w:id="58"/>
      <w:bookmarkEnd w:id="59"/>
      <w:r w:rsidR="00252FB9" w:rsidRPr="00C25964">
        <w:rPr>
          <w:noProof/>
        </w:rPr>
        <w:t xml:space="preserve"> </w:t>
      </w:r>
    </w:p>
    <w:p w14:paraId="73E7B6A5" w14:textId="77777777" w:rsidR="00252FB9" w:rsidRPr="00C25964" w:rsidRDefault="00252FB9" w:rsidP="00252FB9">
      <w:pPr>
        <w:pStyle w:val="Text1"/>
        <w:rPr>
          <w:noProof/>
        </w:rPr>
      </w:pPr>
      <w:r w:rsidRPr="00C25964">
        <w:rPr>
          <w:noProof/>
        </w:rPr>
        <w:t>För förslaget/initiativet gäller följande:</w:t>
      </w:r>
    </w:p>
    <w:p w14:paraId="1B56C796" w14:textId="77777777" w:rsidR="00252FB9" w:rsidRPr="00C25964" w:rsidRDefault="00252FB9" w:rsidP="00252FB9">
      <w:pPr>
        <w:pStyle w:val="ListDash1"/>
        <w:rPr>
          <w:noProof/>
        </w:rPr>
      </w:pPr>
      <w:r w:rsidRPr="00C25964">
        <w:rPr>
          <w:noProof/>
        </w:rPr>
        <w:t>x</w:t>
      </w:r>
      <w:r w:rsidRPr="00C25964">
        <w:rPr>
          <w:noProof/>
        </w:rPr>
        <w:tab/>
        <w:t>innehåller inga bestämmelser om samfinansiering från tredje parter.</w:t>
      </w:r>
    </w:p>
    <w:p w14:paraId="6B3391D8" w14:textId="77777777" w:rsidR="00252FB9" w:rsidRPr="00C25964" w:rsidRDefault="00252FB9" w:rsidP="00252FB9">
      <w:pPr>
        <w:pStyle w:val="ListDash1"/>
        <w:rPr>
          <w:noProof/>
        </w:rPr>
      </w:pPr>
      <w:r w:rsidRPr="00C25964">
        <w:rPr>
          <w:noProof/>
        </w:rPr>
        <w:sym w:font="Wingdings" w:char="F0A8"/>
      </w:r>
      <w:r w:rsidRPr="00C25964">
        <w:rPr>
          <w:noProof/>
        </w:rPr>
        <w:tab/>
        <w:t>innehåller bestämmelser om samfinansiering från tredje parter enligt följande uppskattning:</w:t>
      </w:r>
    </w:p>
    <w:p w14:paraId="346EE8D5" w14:textId="77777777" w:rsidR="00252FB9" w:rsidRPr="00C25964" w:rsidRDefault="00252FB9" w:rsidP="00252FB9">
      <w:pPr>
        <w:jc w:val="right"/>
        <w:rPr>
          <w:noProof/>
          <w:sz w:val="20"/>
        </w:rPr>
      </w:pPr>
      <w:r w:rsidRPr="00C25964">
        <w:rPr>
          <w:noProof/>
          <w:sz w:val="20"/>
        </w:rPr>
        <w:t>Anslag i miljoner euro (avrundat till tre decimaler)</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252FB9" w:rsidRPr="00C25964" w14:paraId="51E82D74" w14:textId="77777777" w:rsidTr="00D05F26">
        <w:trPr>
          <w:cantSplit/>
        </w:trPr>
        <w:tc>
          <w:tcPr>
            <w:tcW w:w="2340" w:type="dxa"/>
          </w:tcPr>
          <w:p w14:paraId="1DE6F372" w14:textId="77777777" w:rsidR="00252FB9" w:rsidRPr="00C25964" w:rsidRDefault="00252FB9" w:rsidP="00D05F26">
            <w:pPr>
              <w:spacing w:before="60" w:after="60"/>
              <w:rPr>
                <w:noProof/>
                <w:sz w:val="20"/>
              </w:rPr>
            </w:pPr>
          </w:p>
        </w:tc>
        <w:tc>
          <w:tcPr>
            <w:tcW w:w="964" w:type="dxa"/>
            <w:vAlign w:val="center"/>
          </w:tcPr>
          <w:p w14:paraId="40161B81" w14:textId="77777777" w:rsidR="00252FB9" w:rsidRPr="00C25964" w:rsidRDefault="00252FB9" w:rsidP="00D05F26">
            <w:pPr>
              <w:jc w:val="center"/>
              <w:rPr>
                <w:noProof/>
                <w:sz w:val="20"/>
              </w:rPr>
            </w:pPr>
            <w:r w:rsidRPr="00C25964">
              <w:rPr>
                <w:noProof/>
                <w:sz w:val="20"/>
                <w:szCs w:val="20"/>
              </w:rPr>
              <w:t>Året</w:t>
            </w:r>
            <w:r w:rsidRPr="00C25964">
              <w:rPr>
                <w:noProof/>
              </w:rPr>
              <w:t xml:space="preserve"> </w:t>
            </w:r>
            <w:r w:rsidRPr="00C25964">
              <w:rPr>
                <w:noProof/>
              </w:rPr>
              <w:br/>
            </w:r>
            <w:r w:rsidRPr="00C25964">
              <w:rPr>
                <w:b/>
                <w:bCs/>
                <w:noProof/>
                <w:sz w:val="20"/>
                <w:szCs w:val="20"/>
              </w:rPr>
              <w:t>n</w:t>
            </w:r>
            <w:r w:rsidRPr="00C25964">
              <w:rPr>
                <w:rStyle w:val="FootnoteReference0"/>
                <w:b/>
                <w:bCs/>
                <w:noProof/>
                <w:sz w:val="20"/>
                <w:szCs w:val="20"/>
              </w:rPr>
              <w:footnoteReference w:id="43"/>
            </w:r>
          </w:p>
        </w:tc>
        <w:tc>
          <w:tcPr>
            <w:tcW w:w="964" w:type="dxa"/>
            <w:vAlign w:val="center"/>
          </w:tcPr>
          <w:p w14:paraId="2B29FB75" w14:textId="77777777" w:rsidR="00252FB9" w:rsidRPr="00C25964" w:rsidRDefault="00252FB9" w:rsidP="00D05F26">
            <w:pPr>
              <w:jc w:val="center"/>
              <w:rPr>
                <w:noProof/>
                <w:sz w:val="20"/>
              </w:rPr>
            </w:pPr>
            <w:r w:rsidRPr="00C25964">
              <w:rPr>
                <w:noProof/>
                <w:sz w:val="20"/>
              </w:rPr>
              <w:t>Året</w:t>
            </w:r>
            <w:r w:rsidRPr="00C25964">
              <w:rPr>
                <w:noProof/>
              </w:rPr>
              <w:t xml:space="preserve"> </w:t>
            </w:r>
            <w:r w:rsidRPr="00C25964">
              <w:rPr>
                <w:noProof/>
              </w:rPr>
              <w:br/>
            </w:r>
            <w:r w:rsidRPr="00C25964">
              <w:rPr>
                <w:b/>
                <w:noProof/>
                <w:sz w:val="20"/>
              </w:rPr>
              <w:t>n+1</w:t>
            </w:r>
          </w:p>
        </w:tc>
        <w:tc>
          <w:tcPr>
            <w:tcW w:w="964" w:type="dxa"/>
            <w:vAlign w:val="center"/>
          </w:tcPr>
          <w:p w14:paraId="04A077F2" w14:textId="77777777" w:rsidR="00252FB9" w:rsidRPr="00C25964" w:rsidRDefault="00252FB9" w:rsidP="00D05F26">
            <w:pPr>
              <w:jc w:val="center"/>
              <w:rPr>
                <w:noProof/>
                <w:sz w:val="20"/>
              </w:rPr>
            </w:pPr>
            <w:r w:rsidRPr="00C25964">
              <w:rPr>
                <w:noProof/>
                <w:sz w:val="20"/>
              </w:rPr>
              <w:t>Året</w:t>
            </w:r>
            <w:r w:rsidRPr="00C25964">
              <w:rPr>
                <w:noProof/>
              </w:rPr>
              <w:t xml:space="preserve"> </w:t>
            </w:r>
            <w:r w:rsidRPr="00C25964">
              <w:rPr>
                <w:noProof/>
              </w:rPr>
              <w:br/>
            </w:r>
            <w:r w:rsidRPr="00C25964">
              <w:rPr>
                <w:b/>
                <w:noProof/>
                <w:sz w:val="20"/>
              </w:rPr>
              <w:t>n+2</w:t>
            </w:r>
          </w:p>
        </w:tc>
        <w:tc>
          <w:tcPr>
            <w:tcW w:w="964" w:type="dxa"/>
            <w:vAlign w:val="center"/>
          </w:tcPr>
          <w:p w14:paraId="1B263A7C" w14:textId="77777777" w:rsidR="00252FB9" w:rsidRPr="00C25964" w:rsidRDefault="00252FB9" w:rsidP="00D05F26">
            <w:pPr>
              <w:jc w:val="center"/>
              <w:rPr>
                <w:noProof/>
                <w:sz w:val="20"/>
              </w:rPr>
            </w:pPr>
            <w:r w:rsidRPr="00C25964">
              <w:rPr>
                <w:noProof/>
                <w:sz w:val="20"/>
              </w:rPr>
              <w:t>Året</w:t>
            </w:r>
            <w:r w:rsidRPr="00C25964">
              <w:rPr>
                <w:noProof/>
              </w:rPr>
              <w:t xml:space="preserve"> </w:t>
            </w:r>
            <w:r w:rsidRPr="00C25964">
              <w:rPr>
                <w:noProof/>
              </w:rPr>
              <w:br/>
            </w:r>
            <w:r w:rsidRPr="00C25964">
              <w:rPr>
                <w:b/>
                <w:noProof/>
                <w:sz w:val="20"/>
              </w:rPr>
              <w:t>n+3</w:t>
            </w:r>
          </w:p>
        </w:tc>
        <w:tc>
          <w:tcPr>
            <w:tcW w:w="2892" w:type="dxa"/>
            <w:gridSpan w:val="3"/>
            <w:vAlign w:val="center"/>
          </w:tcPr>
          <w:p w14:paraId="249E6A09" w14:textId="77777777" w:rsidR="00252FB9" w:rsidRPr="00C25964" w:rsidRDefault="00252FB9" w:rsidP="00D05F26">
            <w:pPr>
              <w:jc w:val="center"/>
              <w:rPr>
                <w:b/>
                <w:noProof/>
                <w:sz w:val="20"/>
              </w:rPr>
            </w:pPr>
            <w:r w:rsidRPr="00C25964">
              <w:rPr>
                <w:noProof/>
                <w:sz w:val="20"/>
              </w:rPr>
              <w:t>Ange så många år som behövs för att redovisa varaktigheten för inverkan på resursanvändningen (jfr punkt 1.6)</w:t>
            </w:r>
          </w:p>
        </w:tc>
        <w:tc>
          <w:tcPr>
            <w:tcW w:w="1158" w:type="dxa"/>
            <w:vAlign w:val="center"/>
          </w:tcPr>
          <w:p w14:paraId="6C569D94" w14:textId="77777777" w:rsidR="00252FB9" w:rsidRPr="00C25964" w:rsidRDefault="00252FB9" w:rsidP="00D05F26">
            <w:pPr>
              <w:spacing w:before="60" w:after="60"/>
              <w:jc w:val="center"/>
              <w:rPr>
                <w:noProof/>
                <w:sz w:val="20"/>
              </w:rPr>
            </w:pPr>
            <w:r w:rsidRPr="00C25964">
              <w:rPr>
                <w:noProof/>
                <w:sz w:val="20"/>
              </w:rPr>
              <w:t>Totalt</w:t>
            </w:r>
          </w:p>
        </w:tc>
      </w:tr>
      <w:tr w:rsidR="00252FB9" w:rsidRPr="00C25964" w14:paraId="481C80AA" w14:textId="77777777" w:rsidTr="00D05F26">
        <w:trPr>
          <w:cantSplit/>
        </w:trPr>
        <w:tc>
          <w:tcPr>
            <w:tcW w:w="2340" w:type="dxa"/>
          </w:tcPr>
          <w:p w14:paraId="53248A30" w14:textId="77777777" w:rsidR="00252FB9" w:rsidRPr="00C25964" w:rsidRDefault="00252FB9" w:rsidP="00D05F26">
            <w:pPr>
              <w:rPr>
                <w:noProof/>
              </w:rPr>
            </w:pPr>
            <w:r w:rsidRPr="00C25964">
              <w:rPr>
                <w:noProof/>
                <w:sz w:val="20"/>
              </w:rPr>
              <w:t>Ange vilket organ som deltar i samfinansieringen</w:t>
            </w:r>
            <w:r w:rsidRPr="00C25964">
              <w:rPr>
                <w:i/>
                <w:noProof/>
                <w:sz w:val="20"/>
              </w:rPr>
              <w:t xml:space="preserve"> </w:t>
            </w:r>
          </w:p>
        </w:tc>
        <w:tc>
          <w:tcPr>
            <w:tcW w:w="964" w:type="dxa"/>
            <w:vAlign w:val="center"/>
          </w:tcPr>
          <w:p w14:paraId="3BD6457B" w14:textId="77777777" w:rsidR="00252FB9" w:rsidRPr="00C25964" w:rsidRDefault="00252FB9" w:rsidP="00D05F26">
            <w:pPr>
              <w:spacing w:before="60" w:after="60"/>
              <w:jc w:val="center"/>
              <w:rPr>
                <w:noProof/>
                <w:sz w:val="20"/>
              </w:rPr>
            </w:pPr>
          </w:p>
        </w:tc>
        <w:tc>
          <w:tcPr>
            <w:tcW w:w="964" w:type="dxa"/>
            <w:vAlign w:val="center"/>
          </w:tcPr>
          <w:p w14:paraId="263444B2" w14:textId="77777777" w:rsidR="00252FB9" w:rsidRPr="00C25964" w:rsidRDefault="00252FB9" w:rsidP="00D05F26">
            <w:pPr>
              <w:spacing w:before="60" w:after="60"/>
              <w:jc w:val="center"/>
              <w:rPr>
                <w:noProof/>
                <w:sz w:val="20"/>
              </w:rPr>
            </w:pPr>
          </w:p>
        </w:tc>
        <w:tc>
          <w:tcPr>
            <w:tcW w:w="964" w:type="dxa"/>
            <w:vAlign w:val="center"/>
          </w:tcPr>
          <w:p w14:paraId="3E3C1F4E" w14:textId="77777777" w:rsidR="00252FB9" w:rsidRPr="00C25964" w:rsidRDefault="00252FB9" w:rsidP="00D05F26">
            <w:pPr>
              <w:spacing w:before="60" w:after="60"/>
              <w:jc w:val="center"/>
              <w:rPr>
                <w:noProof/>
                <w:sz w:val="20"/>
              </w:rPr>
            </w:pPr>
          </w:p>
        </w:tc>
        <w:tc>
          <w:tcPr>
            <w:tcW w:w="964" w:type="dxa"/>
            <w:vAlign w:val="center"/>
          </w:tcPr>
          <w:p w14:paraId="2389C77C" w14:textId="77777777" w:rsidR="00252FB9" w:rsidRPr="00C25964" w:rsidRDefault="00252FB9" w:rsidP="00D05F26">
            <w:pPr>
              <w:spacing w:before="60" w:after="60"/>
              <w:jc w:val="center"/>
              <w:rPr>
                <w:noProof/>
                <w:sz w:val="20"/>
              </w:rPr>
            </w:pPr>
          </w:p>
        </w:tc>
        <w:tc>
          <w:tcPr>
            <w:tcW w:w="964" w:type="dxa"/>
            <w:vAlign w:val="center"/>
          </w:tcPr>
          <w:p w14:paraId="77B692D8" w14:textId="77777777" w:rsidR="00252FB9" w:rsidRPr="00C25964" w:rsidRDefault="00252FB9" w:rsidP="00D05F26">
            <w:pPr>
              <w:spacing w:before="60" w:after="60"/>
              <w:jc w:val="center"/>
              <w:rPr>
                <w:noProof/>
                <w:sz w:val="20"/>
              </w:rPr>
            </w:pPr>
          </w:p>
        </w:tc>
        <w:tc>
          <w:tcPr>
            <w:tcW w:w="964" w:type="dxa"/>
            <w:vAlign w:val="center"/>
          </w:tcPr>
          <w:p w14:paraId="322C6E84" w14:textId="77777777" w:rsidR="00252FB9" w:rsidRPr="00C25964" w:rsidRDefault="00252FB9" w:rsidP="00D05F26">
            <w:pPr>
              <w:spacing w:before="60" w:after="60"/>
              <w:jc w:val="center"/>
              <w:rPr>
                <w:noProof/>
                <w:sz w:val="20"/>
              </w:rPr>
            </w:pPr>
          </w:p>
        </w:tc>
        <w:tc>
          <w:tcPr>
            <w:tcW w:w="964" w:type="dxa"/>
            <w:vAlign w:val="center"/>
          </w:tcPr>
          <w:p w14:paraId="6D989624" w14:textId="77777777" w:rsidR="00252FB9" w:rsidRPr="00C25964" w:rsidRDefault="00252FB9" w:rsidP="00D05F26">
            <w:pPr>
              <w:spacing w:before="60" w:after="60"/>
              <w:jc w:val="center"/>
              <w:rPr>
                <w:noProof/>
                <w:sz w:val="20"/>
              </w:rPr>
            </w:pPr>
          </w:p>
        </w:tc>
        <w:tc>
          <w:tcPr>
            <w:tcW w:w="1158" w:type="dxa"/>
            <w:vAlign w:val="center"/>
          </w:tcPr>
          <w:p w14:paraId="11C4DB44" w14:textId="77777777" w:rsidR="00252FB9" w:rsidRPr="00C25964" w:rsidRDefault="00252FB9" w:rsidP="00D05F26">
            <w:pPr>
              <w:spacing w:before="60" w:after="60"/>
              <w:jc w:val="center"/>
              <w:rPr>
                <w:noProof/>
                <w:sz w:val="20"/>
              </w:rPr>
            </w:pPr>
          </w:p>
        </w:tc>
      </w:tr>
      <w:tr w:rsidR="00252FB9" w:rsidRPr="00C25964" w14:paraId="470DC7CF" w14:textId="77777777" w:rsidTr="00D05F26">
        <w:trPr>
          <w:cantSplit/>
        </w:trPr>
        <w:tc>
          <w:tcPr>
            <w:tcW w:w="2340" w:type="dxa"/>
          </w:tcPr>
          <w:p w14:paraId="0880E61C" w14:textId="77777777" w:rsidR="00252FB9" w:rsidRPr="00C25964" w:rsidRDefault="00252FB9" w:rsidP="00D05F26">
            <w:pPr>
              <w:spacing w:before="60" w:after="60"/>
              <w:jc w:val="left"/>
              <w:rPr>
                <w:noProof/>
                <w:sz w:val="20"/>
              </w:rPr>
            </w:pPr>
            <w:r w:rsidRPr="00C25964">
              <w:rPr>
                <w:noProof/>
                <w:sz w:val="20"/>
              </w:rPr>
              <w:t xml:space="preserve">TOTALA anslag som tillförs genom samfinansiering </w:t>
            </w:r>
          </w:p>
        </w:tc>
        <w:tc>
          <w:tcPr>
            <w:tcW w:w="964" w:type="dxa"/>
            <w:vAlign w:val="center"/>
          </w:tcPr>
          <w:p w14:paraId="5408664F" w14:textId="77777777" w:rsidR="00252FB9" w:rsidRPr="00C25964" w:rsidRDefault="00252FB9" w:rsidP="00D05F26">
            <w:pPr>
              <w:spacing w:before="60" w:after="60"/>
              <w:jc w:val="center"/>
              <w:rPr>
                <w:noProof/>
                <w:sz w:val="20"/>
              </w:rPr>
            </w:pPr>
          </w:p>
        </w:tc>
        <w:tc>
          <w:tcPr>
            <w:tcW w:w="964" w:type="dxa"/>
            <w:vAlign w:val="center"/>
          </w:tcPr>
          <w:p w14:paraId="6149CFFF" w14:textId="77777777" w:rsidR="00252FB9" w:rsidRPr="00C25964" w:rsidRDefault="00252FB9" w:rsidP="00D05F26">
            <w:pPr>
              <w:spacing w:before="60" w:after="60"/>
              <w:jc w:val="center"/>
              <w:rPr>
                <w:noProof/>
                <w:sz w:val="20"/>
              </w:rPr>
            </w:pPr>
          </w:p>
        </w:tc>
        <w:tc>
          <w:tcPr>
            <w:tcW w:w="964" w:type="dxa"/>
            <w:vAlign w:val="center"/>
          </w:tcPr>
          <w:p w14:paraId="67BD47AB" w14:textId="77777777" w:rsidR="00252FB9" w:rsidRPr="00C25964" w:rsidRDefault="00252FB9" w:rsidP="00D05F26">
            <w:pPr>
              <w:spacing w:before="60" w:after="60"/>
              <w:jc w:val="center"/>
              <w:rPr>
                <w:noProof/>
                <w:sz w:val="20"/>
              </w:rPr>
            </w:pPr>
          </w:p>
        </w:tc>
        <w:tc>
          <w:tcPr>
            <w:tcW w:w="964" w:type="dxa"/>
            <w:vAlign w:val="center"/>
          </w:tcPr>
          <w:p w14:paraId="637369C0" w14:textId="77777777" w:rsidR="00252FB9" w:rsidRPr="00C25964" w:rsidRDefault="00252FB9" w:rsidP="00D05F26">
            <w:pPr>
              <w:spacing w:before="60" w:after="60"/>
              <w:jc w:val="center"/>
              <w:rPr>
                <w:noProof/>
                <w:sz w:val="20"/>
              </w:rPr>
            </w:pPr>
          </w:p>
        </w:tc>
        <w:tc>
          <w:tcPr>
            <w:tcW w:w="964" w:type="dxa"/>
            <w:vAlign w:val="center"/>
          </w:tcPr>
          <w:p w14:paraId="5DACC38A" w14:textId="77777777" w:rsidR="00252FB9" w:rsidRPr="00C25964" w:rsidRDefault="00252FB9" w:rsidP="00D05F26">
            <w:pPr>
              <w:spacing w:before="60" w:after="60"/>
              <w:jc w:val="center"/>
              <w:rPr>
                <w:noProof/>
                <w:sz w:val="20"/>
              </w:rPr>
            </w:pPr>
          </w:p>
        </w:tc>
        <w:tc>
          <w:tcPr>
            <w:tcW w:w="964" w:type="dxa"/>
            <w:vAlign w:val="center"/>
          </w:tcPr>
          <w:p w14:paraId="47D66856" w14:textId="77777777" w:rsidR="00252FB9" w:rsidRPr="00C25964" w:rsidRDefault="00252FB9" w:rsidP="00D05F26">
            <w:pPr>
              <w:spacing w:before="60" w:after="60"/>
              <w:jc w:val="center"/>
              <w:rPr>
                <w:noProof/>
                <w:sz w:val="20"/>
              </w:rPr>
            </w:pPr>
          </w:p>
        </w:tc>
        <w:tc>
          <w:tcPr>
            <w:tcW w:w="964" w:type="dxa"/>
            <w:vAlign w:val="center"/>
          </w:tcPr>
          <w:p w14:paraId="076D97F8" w14:textId="77777777" w:rsidR="00252FB9" w:rsidRPr="00C25964" w:rsidRDefault="00252FB9" w:rsidP="00D05F26">
            <w:pPr>
              <w:spacing w:before="60" w:after="60"/>
              <w:jc w:val="center"/>
              <w:rPr>
                <w:noProof/>
                <w:sz w:val="20"/>
              </w:rPr>
            </w:pPr>
          </w:p>
        </w:tc>
        <w:tc>
          <w:tcPr>
            <w:tcW w:w="1158" w:type="dxa"/>
            <w:vAlign w:val="center"/>
          </w:tcPr>
          <w:p w14:paraId="126BA7B7" w14:textId="77777777" w:rsidR="00252FB9" w:rsidRPr="00C25964" w:rsidRDefault="00252FB9" w:rsidP="00D05F26">
            <w:pPr>
              <w:spacing w:before="60" w:after="60"/>
              <w:jc w:val="center"/>
              <w:rPr>
                <w:noProof/>
                <w:sz w:val="20"/>
              </w:rPr>
            </w:pPr>
          </w:p>
        </w:tc>
      </w:tr>
    </w:tbl>
    <w:p w14:paraId="76B7301B" w14:textId="77777777" w:rsidR="00252FB9" w:rsidRPr="00C25964" w:rsidRDefault="00252FB9" w:rsidP="00252FB9">
      <w:pPr>
        <w:rPr>
          <w:noProof/>
        </w:rPr>
      </w:pPr>
      <w:r w:rsidRPr="00C25964">
        <w:rPr>
          <w:noProof/>
        </w:rPr>
        <w:t xml:space="preserve"> </w:t>
      </w:r>
      <w:r w:rsidRPr="00C25964">
        <w:rPr>
          <w:noProof/>
        </w:rPr>
        <w:br/>
      </w:r>
    </w:p>
    <w:p w14:paraId="6CBD68D4" w14:textId="17AF6425" w:rsidR="00252FB9" w:rsidRPr="00C25964" w:rsidRDefault="00252FB9" w:rsidP="00AD1692">
      <w:pPr>
        <w:pStyle w:val="ManualHeading2"/>
        <w:rPr>
          <w:bCs/>
          <w:noProof/>
          <w:szCs w:val="24"/>
        </w:rPr>
      </w:pPr>
      <w:r w:rsidRPr="00C25964">
        <w:rPr>
          <w:noProof/>
        </w:rPr>
        <w:br w:type="page"/>
      </w:r>
      <w:bookmarkStart w:id="60" w:name="_Toc514938059"/>
      <w:bookmarkStart w:id="61" w:name="_Toc520485057"/>
      <w:r w:rsidR="00AD1692" w:rsidRPr="00AD1692">
        <w:t>3.3.</w:t>
      </w:r>
      <w:r w:rsidR="00AD1692" w:rsidRPr="00AD1692">
        <w:tab/>
      </w:r>
      <w:r w:rsidRPr="00C25964">
        <w:rPr>
          <w:noProof/>
        </w:rPr>
        <w:t>Beräknad inverkan på inkomsterna</w:t>
      </w:r>
      <w:bookmarkEnd w:id="60"/>
      <w:bookmarkEnd w:id="61"/>
      <w:r w:rsidRPr="00C25964">
        <w:rPr>
          <w:noProof/>
        </w:rPr>
        <w:t xml:space="preserve"> </w:t>
      </w:r>
    </w:p>
    <w:p w14:paraId="396B71F2" w14:textId="77777777" w:rsidR="00252FB9" w:rsidRPr="00C25964" w:rsidRDefault="00252FB9" w:rsidP="00252FB9">
      <w:pPr>
        <w:pStyle w:val="ListDash1"/>
        <w:rPr>
          <w:noProof/>
        </w:rPr>
      </w:pPr>
      <w:r w:rsidRPr="00C25964">
        <w:rPr>
          <w:noProof/>
        </w:rPr>
        <w:t>Förslaget/initiativet X påverkar inte budgetens inkomstsida.</w:t>
      </w:r>
    </w:p>
    <w:p w14:paraId="69FF1E2A" w14:textId="77777777" w:rsidR="00252FB9" w:rsidRPr="00C25964" w:rsidRDefault="00252FB9" w:rsidP="00252FB9">
      <w:pPr>
        <w:pStyle w:val="ListDash1"/>
        <w:rPr>
          <w:noProof/>
        </w:rPr>
      </w:pPr>
      <w:r w:rsidRPr="00C25964">
        <w:rPr>
          <w:noProof/>
        </w:rPr>
        <w:sym w:font="Wingdings" w:char="F0A8"/>
      </w:r>
      <w:r w:rsidRPr="00C25964">
        <w:rPr>
          <w:noProof/>
        </w:rPr>
        <w:tab/>
        <w:t>Förslaget/initiativet påverkar inkomsterna på följande sätt:</w:t>
      </w:r>
    </w:p>
    <w:p w14:paraId="3E871DC7" w14:textId="2D2FC091" w:rsidR="00252FB9" w:rsidRPr="00C25964" w:rsidRDefault="00252FB9" w:rsidP="0049162E">
      <w:pPr>
        <w:pStyle w:val="ListDash2"/>
        <w:tabs>
          <w:tab w:val="clear" w:pos="1134"/>
        </w:tabs>
        <w:ind w:left="1440" w:hanging="360"/>
        <w:rPr>
          <w:noProof/>
        </w:rPr>
      </w:pPr>
      <w:r w:rsidRPr="00C25964">
        <w:rPr>
          <w:noProof/>
        </w:rPr>
        <w:sym w:font="Wingdings" w:char="F0A8"/>
      </w:r>
      <w:r w:rsidRPr="00C25964">
        <w:rPr>
          <w:noProof/>
        </w:rPr>
        <w:tab/>
        <w:t>Påverkan på andra inkomster</w:t>
      </w:r>
    </w:p>
    <w:p w14:paraId="608E3761" w14:textId="44B67F0B" w:rsidR="00252FB9" w:rsidRPr="00C25964" w:rsidRDefault="00252FB9" w:rsidP="00796BD0">
      <w:pPr>
        <w:pStyle w:val="ListDash1"/>
        <w:rPr>
          <w:noProof/>
        </w:rPr>
      </w:pPr>
      <w:r w:rsidRPr="00C25964">
        <w:rPr>
          <w:noProof/>
        </w:rPr>
        <w:t xml:space="preserve">Ange om inkomsterna har avsatts för utgiftsposter </w:t>
      </w:r>
      <w:r w:rsidRPr="00C25964">
        <w:rPr>
          <w:noProof/>
        </w:rPr>
        <w:sym w:font="Wingdings" w:char="F0A8"/>
      </w:r>
      <w:r w:rsidRPr="00C25964">
        <w:rPr>
          <w:noProof/>
        </w:rPr>
        <w:tab/>
      </w:r>
    </w:p>
    <w:p w14:paraId="4AEF6725" w14:textId="77777777" w:rsidR="00252FB9" w:rsidRPr="00C25964" w:rsidRDefault="00252FB9" w:rsidP="00252FB9">
      <w:pPr>
        <w:ind w:left="4320"/>
        <w:rPr>
          <w:i/>
          <w:noProof/>
          <w:sz w:val="20"/>
        </w:rPr>
      </w:pPr>
      <w:r w:rsidRPr="00C25964">
        <w:rPr>
          <w:noProof/>
        </w:rPr>
        <w:t xml:space="preserve">     Miljoner euro (avrundat till tre decimaler)</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252FB9" w:rsidRPr="00C25964" w14:paraId="6B1FF4AC" w14:textId="77777777" w:rsidTr="00D05F26">
        <w:trPr>
          <w:trHeight w:val="388"/>
        </w:trPr>
        <w:tc>
          <w:tcPr>
            <w:tcW w:w="2144" w:type="dxa"/>
            <w:vMerge w:val="restart"/>
            <w:vAlign w:val="center"/>
          </w:tcPr>
          <w:p w14:paraId="5D54C74A" w14:textId="77777777" w:rsidR="00252FB9" w:rsidRPr="00C25964" w:rsidRDefault="00252FB9" w:rsidP="00D05F26">
            <w:pPr>
              <w:spacing w:before="40" w:after="40"/>
              <w:rPr>
                <w:noProof/>
                <w:sz w:val="18"/>
              </w:rPr>
            </w:pPr>
            <w:r w:rsidRPr="00C25964">
              <w:rPr>
                <w:noProof/>
                <w:sz w:val="18"/>
              </w:rPr>
              <w:t>Budgetrubrik i den årliga budgetens inkomstdel:</w:t>
            </w:r>
          </w:p>
        </w:tc>
        <w:tc>
          <w:tcPr>
            <w:tcW w:w="1325" w:type="dxa"/>
            <w:vMerge w:val="restart"/>
            <w:vAlign w:val="center"/>
          </w:tcPr>
          <w:p w14:paraId="186E3B5A" w14:textId="77777777" w:rsidR="00252FB9" w:rsidRPr="00C25964" w:rsidRDefault="00252FB9" w:rsidP="00D05F26">
            <w:pPr>
              <w:jc w:val="center"/>
              <w:rPr>
                <w:noProof/>
                <w:sz w:val="18"/>
              </w:rPr>
            </w:pPr>
            <w:r w:rsidRPr="00C25964">
              <w:rPr>
                <w:noProof/>
                <w:sz w:val="18"/>
              </w:rPr>
              <w:t>Belopp som förts in för det innevarande budgetåret</w:t>
            </w:r>
          </w:p>
        </w:tc>
        <w:tc>
          <w:tcPr>
            <w:tcW w:w="7151" w:type="dxa"/>
            <w:gridSpan w:val="7"/>
            <w:vAlign w:val="center"/>
          </w:tcPr>
          <w:p w14:paraId="57E79A86" w14:textId="77777777" w:rsidR="00252FB9" w:rsidRPr="00C25964" w:rsidRDefault="00252FB9" w:rsidP="00D05F26">
            <w:pPr>
              <w:jc w:val="center"/>
              <w:rPr>
                <w:noProof/>
                <w:sz w:val="18"/>
              </w:rPr>
            </w:pPr>
            <w:r w:rsidRPr="00C25964">
              <w:rPr>
                <w:noProof/>
                <w:sz w:val="18"/>
                <w:szCs w:val="18"/>
              </w:rPr>
              <w:t>Förslagets/initiativets inverkan på inkomsterna</w:t>
            </w:r>
            <w:r w:rsidRPr="00C25964">
              <w:rPr>
                <w:rStyle w:val="FootnoteReference0"/>
                <w:noProof/>
                <w:sz w:val="18"/>
                <w:szCs w:val="18"/>
              </w:rPr>
              <w:footnoteReference w:id="44"/>
            </w:r>
          </w:p>
        </w:tc>
      </w:tr>
      <w:tr w:rsidR="00252FB9" w:rsidRPr="00C25964" w14:paraId="7DB81693" w14:textId="77777777" w:rsidTr="00D05F26">
        <w:trPr>
          <w:trHeight w:val="388"/>
        </w:trPr>
        <w:tc>
          <w:tcPr>
            <w:tcW w:w="2144" w:type="dxa"/>
            <w:vMerge/>
          </w:tcPr>
          <w:p w14:paraId="43FA5D33" w14:textId="77777777" w:rsidR="00252FB9" w:rsidRPr="00C25964" w:rsidRDefault="00252FB9" w:rsidP="00D05F26">
            <w:pPr>
              <w:spacing w:before="40" w:after="40"/>
              <w:rPr>
                <w:noProof/>
                <w:sz w:val="18"/>
              </w:rPr>
            </w:pPr>
          </w:p>
        </w:tc>
        <w:tc>
          <w:tcPr>
            <w:tcW w:w="1325" w:type="dxa"/>
            <w:vMerge/>
          </w:tcPr>
          <w:p w14:paraId="76D64AF6" w14:textId="77777777" w:rsidR="00252FB9" w:rsidRPr="00C25964" w:rsidRDefault="00252FB9" w:rsidP="00D05F26">
            <w:pPr>
              <w:spacing w:beforeLines="40" w:before="96" w:afterLines="40" w:after="96"/>
              <w:rPr>
                <w:i/>
                <w:noProof/>
                <w:sz w:val="18"/>
              </w:rPr>
            </w:pPr>
          </w:p>
        </w:tc>
        <w:tc>
          <w:tcPr>
            <w:tcW w:w="1031" w:type="dxa"/>
            <w:vAlign w:val="center"/>
          </w:tcPr>
          <w:p w14:paraId="1606AC9E" w14:textId="77777777" w:rsidR="00252FB9" w:rsidRPr="00C25964" w:rsidRDefault="00252FB9" w:rsidP="00D05F26">
            <w:pPr>
              <w:jc w:val="center"/>
              <w:rPr>
                <w:noProof/>
                <w:sz w:val="18"/>
              </w:rPr>
            </w:pPr>
            <w:r w:rsidRPr="00C25964">
              <w:rPr>
                <w:noProof/>
                <w:sz w:val="18"/>
              </w:rPr>
              <w:t>Året</w:t>
            </w:r>
            <w:r w:rsidRPr="00C25964">
              <w:rPr>
                <w:noProof/>
              </w:rPr>
              <w:t xml:space="preserve"> </w:t>
            </w:r>
            <w:r w:rsidRPr="00C25964">
              <w:rPr>
                <w:noProof/>
              </w:rPr>
              <w:br/>
            </w:r>
            <w:r w:rsidRPr="00C25964">
              <w:rPr>
                <w:b/>
                <w:noProof/>
                <w:sz w:val="18"/>
              </w:rPr>
              <w:t>n</w:t>
            </w:r>
          </w:p>
        </w:tc>
        <w:tc>
          <w:tcPr>
            <w:tcW w:w="900" w:type="dxa"/>
            <w:vAlign w:val="center"/>
          </w:tcPr>
          <w:p w14:paraId="1918D695" w14:textId="77777777" w:rsidR="00252FB9" w:rsidRPr="00C25964" w:rsidRDefault="00252FB9" w:rsidP="00D05F26">
            <w:pPr>
              <w:jc w:val="center"/>
              <w:rPr>
                <w:noProof/>
                <w:sz w:val="18"/>
              </w:rPr>
            </w:pPr>
            <w:r w:rsidRPr="00C25964">
              <w:rPr>
                <w:noProof/>
                <w:sz w:val="18"/>
              </w:rPr>
              <w:t>Året</w:t>
            </w:r>
            <w:r w:rsidRPr="00C25964">
              <w:rPr>
                <w:noProof/>
              </w:rPr>
              <w:t xml:space="preserve"> </w:t>
            </w:r>
            <w:r w:rsidRPr="00C25964">
              <w:rPr>
                <w:noProof/>
              </w:rPr>
              <w:br/>
            </w:r>
            <w:r w:rsidRPr="00C25964">
              <w:rPr>
                <w:b/>
                <w:noProof/>
                <w:sz w:val="18"/>
              </w:rPr>
              <w:t>n+1</w:t>
            </w:r>
          </w:p>
        </w:tc>
        <w:tc>
          <w:tcPr>
            <w:tcW w:w="900" w:type="dxa"/>
            <w:vAlign w:val="center"/>
          </w:tcPr>
          <w:p w14:paraId="68ECD9E8" w14:textId="77777777" w:rsidR="00252FB9" w:rsidRPr="00C25964" w:rsidRDefault="00252FB9" w:rsidP="00D05F26">
            <w:pPr>
              <w:jc w:val="center"/>
              <w:rPr>
                <w:noProof/>
                <w:sz w:val="18"/>
              </w:rPr>
            </w:pPr>
            <w:r w:rsidRPr="00C25964">
              <w:rPr>
                <w:noProof/>
                <w:sz w:val="18"/>
              </w:rPr>
              <w:t>Året</w:t>
            </w:r>
            <w:r w:rsidRPr="00C25964">
              <w:rPr>
                <w:noProof/>
              </w:rPr>
              <w:t xml:space="preserve"> </w:t>
            </w:r>
            <w:r w:rsidRPr="00C25964">
              <w:rPr>
                <w:noProof/>
              </w:rPr>
              <w:br/>
            </w:r>
            <w:r w:rsidRPr="00C25964">
              <w:rPr>
                <w:b/>
                <w:noProof/>
                <w:sz w:val="18"/>
              </w:rPr>
              <w:t>n+2</w:t>
            </w:r>
          </w:p>
        </w:tc>
        <w:tc>
          <w:tcPr>
            <w:tcW w:w="1080" w:type="dxa"/>
            <w:vAlign w:val="center"/>
          </w:tcPr>
          <w:p w14:paraId="617099EE" w14:textId="77777777" w:rsidR="00252FB9" w:rsidRPr="00C25964" w:rsidRDefault="00252FB9" w:rsidP="00D05F26">
            <w:pPr>
              <w:jc w:val="center"/>
              <w:rPr>
                <w:noProof/>
                <w:sz w:val="18"/>
              </w:rPr>
            </w:pPr>
            <w:r w:rsidRPr="00C25964">
              <w:rPr>
                <w:noProof/>
                <w:sz w:val="18"/>
              </w:rPr>
              <w:t>Året</w:t>
            </w:r>
            <w:r w:rsidRPr="00C25964">
              <w:rPr>
                <w:noProof/>
              </w:rPr>
              <w:t xml:space="preserve"> </w:t>
            </w:r>
            <w:r w:rsidRPr="00C25964">
              <w:rPr>
                <w:noProof/>
              </w:rPr>
              <w:br/>
            </w:r>
            <w:r w:rsidRPr="00C25964">
              <w:rPr>
                <w:b/>
                <w:noProof/>
                <w:sz w:val="18"/>
              </w:rPr>
              <w:t>n+3</w:t>
            </w:r>
          </w:p>
        </w:tc>
        <w:tc>
          <w:tcPr>
            <w:tcW w:w="3240" w:type="dxa"/>
            <w:gridSpan w:val="3"/>
            <w:vAlign w:val="center"/>
          </w:tcPr>
          <w:p w14:paraId="37CE3AF2" w14:textId="77777777" w:rsidR="00252FB9" w:rsidRPr="00C25964" w:rsidRDefault="00252FB9" w:rsidP="00D05F26">
            <w:pPr>
              <w:jc w:val="center"/>
              <w:rPr>
                <w:b/>
                <w:noProof/>
                <w:sz w:val="18"/>
              </w:rPr>
            </w:pPr>
            <w:r w:rsidRPr="00C25964">
              <w:rPr>
                <w:noProof/>
                <w:sz w:val="18"/>
              </w:rPr>
              <w:t>Ange så många år som behövs för att redovisa varaktigheten för inverkan på resursanvändningen (jfr punkt 1.6)</w:t>
            </w:r>
          </w:p>
        </w:tc>
      </w:tr>
      <w:tr w:rsidR="00252FB9" w:rsidRPr="00C25964" w14:paraId="54BC5DBB" w14:textId="77777777" w:rsidTr="00D05F26">
        <w:trPr>
          <w:trHeight w:val="388"/>
        </w:trPr>
        <w:tc>
          <w:tcPr>
            <w:tcW w:w="2144" w:type="dxa"/>
            <w:vAlign w:val="center"/>
          </w:tcPr>
          <w:p w14:paraId="1A46FC3E" w14:textId="77777777" w:rsidR="00252FB9" w:rsidRPr="00C25964" w:rsidRDefault="00252FB9" w:rsidP="00D05F26">
            <w:pPr>
              <w:spacing w:before="40" w:after="40"/>
              <w:rPr>
                <w:noProof/>
                <w:sz w:val="18"/>
              </w:rPr>
            </w:pPr>
            <w:r w:rsidRPr="00C25964">
              <w:rPr>
                <w:noProof/>
                <w:sz w:val="18"/>
              </w:rPr>
              <w:t>Artikel ………….</w:t>
            </w:r>
          </w:p>
        </w:tc>
        <w:tc>
          <w:tcPr>
            <w:tcW w:w="1325" w:type="dxa"/>
          </w:tcPr>
          <w:p w14:paraId="30478D4C" w14:textId="77777777" w:rsidR="00252FB9" w:rsidRPr="00C25964" w:rsidRDefault="00252FB9" w:rsidP="00D05F26">
            <w:pPr>
              <w:spacing w:beforeLines="40" w:before="96" w:afterLines="40" w:after="96"/>
              <w:jc w:val="center"/>
              <w:rPr>
                <w:i/>
                <w:noProof/>
                <w:sz w:val="18"/>
              </w:rPr>
            </w:pPr>
          </w:p>
        </w:tc>
        <w:tc>
          <w:tcPr>
            <w:tcW w:w="1031" w:type="dxa"/>
          </w:tcPr>
          <w:p w14:paraId="44046DFB" w14:textId="77777777" w:rsidR="00252FB9" w:rsidRPr="00C25964" w:rsidRDefault="00252FB9" w:rsidP="00D05F26">
            <w:pPr>
              <w:spacing w:beforeLines="40" w:before="96" w:afterLines="40" w:after="96"/>
              <w:jc w:val="center"/>
              <w:rPr>
                <w:noProof/>
                <w:sz w:val="18"/>
              </w:rPr>
            </w:pPr>
          </w:p>
        </w:tc>
        <w:tc>
          <w:tcPr>
            <w:tcW w:w="900" w:type="dxa"/>
          </w:tcPr>
          <w:p w14:paraId="78FC1A0F" w14:textId="77777777" w:rsidR="00252FB9" w:rsidRPr="00C25964" w:rsidRDefault="00252FB9" w:rsidP="00D05F26">
            <w:pPr>
              <w:spacing w:beforeLines="40" w:before="96" w:afterLines="40" w:after="96"/>
              <w:jc w:val="center"/>
              <w:rPr>
                <w:noProof/>
                <w:sz w:val="18"/>
              </w:rPr>
            </w:pPr>
          </w:p>
        </w:tc>
        <w:tc>
          <w:tcPr>
            <w:tcW w:w="900" w:type="dxa"/>
          </w:tcPr>
          <w:p w14:paraId="7A80B685" w14:textId="77777777" w:rsidR="00252FB9" w:rsidRPr="00C25964" w:rsidRDefault="00252FB9" w:rsidP="00D05F26">
            <w:pPr>
              <w:spacing w:beforeLines="40" w:before="96" w:afterLines="40" w:after="96"/>
              <w:jc w:val="center"/>
              <w:rPr>
                <w:noProof/>
                <w:sz w:val="18"/>
              </w:rPr>
            </w:pPr>
          </w:p>
        </w:tc>
        <w:tc>
          <w:tcPr>
            <w:tcW w:w="1080" w:type="dxa"/>
          </w:tcPr>
          <w:p w14:paraId="36E6FCEF" w14:textId="77777777" w:rsidR="00252FB9" w:rsidRPr="00C25964" w:rsidRDefault="00252FB9" w:rsidP="00D05F26">
            <w:pPr>
              <w:spacing w:beforeLines="40" w:before="96" w:afterLines="40" w:after="96"/>
              <w:jc w:val="center"/>
              <w:rPr>
                <w:noProof/>
                <w:sz w:val="18"/>
              </w:rPr>
            </w:pPr>
          </w:p>
        </w:tc>
        <w:tc>
          <w:tcPr>
            <w:tcW w:w="1080" w:type="dxa"/>
          </w:tcPr>
          <w:p w14:paraId="568236F6" w14:textId="77777777" w:rsidR="00252FB9" w:rsidRPr="00C25964" w:rsidRDefault="00252FB9" w:rsidP="00D05F26">
            <w:pPr>
              <w:spacing w:beforeLines="40" w:before="96" w:afterLines="40" w:after="96"/>
              <w:jc w:val="center"/>
              <w:rPr>
                <w:noProof/>
                <w:sz w:val="18"/>
              </w:rPr>
            </w:pPr>
          </w:p>
        </w:tc>
        <w:tc>
          <w:tcPr>
            <w:tcW w:w="1080" w:type="dxa"/>
          </w:tcPr>
          <w:p w14:paraId="5C8368E9" w14:textId="77777777" w:rsidR="00252FB9" w:rsidRPr="00C25964" w:rsidRDefault="00252FB9" w:rsidP="00D05F26">
            <w:pPr>
              <w:spacing w:beforeLines="40" w:before="96" w:afterLines="40" w:after="96"/>
              <w:jc w:val="center"/>
              <w:rPr>
                <w:noProof/>
                <w:sz w:val="18"/>
              </w:rPr>
            </w:pPr>
          </w:p>
        </w:tc>
        <w:tc>
          <w:tcPr>
            <w:tcW w:w="1080" w:type="dxa"/>
          </w:tcPr>
          <w:p w14:paraId="385CA1EA" w14:textId="77777777" w:rsidR="00252FB9" w:rsidRPr="00C25964" w:rsidRDefault="00252FB9" w:rsidP="00D05F26">
            <w:pPr>
              <w:spacing w:beforeLines="40" w:before="96" w:afterLines="40" w:after="96"/>
              <w:jc w:val="center"/>
              <w:rPr>
                <w:noProof/>
                <w:sz w:val="18"/>
              </w:rPr>
            </w:pPr>
          </w:p>
        </w:tc>
      </w:tr>
    </w:tbl>
    <w:p w14:paraId="5964B2F6" w14:textId="77777777" w:rsidR="00252FB9" w:rsidRPr="00C25964" w:rsidRDefault="00252FB9" w:rsidP="00252FB9">
      <w:pPr>
        <w:pStyle w:val="Text1"/>
        <w:rPr>
          <w:noProof/>
          <w:sz w:val="20"/>
        </w:rPr>
      </w:pPr>
      <w:r w:rsidRPr="00C25964">
        <w:rPr>
          <w:noProof/>
          <w:sz w:val="20"/>
        </w:rPr>
        <w:t>För inkomster avsatta för särskilda ändamål, ange vilka budgetrubriker i utgiftsdelen som berörs.</w:t>
      </w:r>
    </w:p>
    <w:p w14:paraId="07327404" w14:textId="1797E0CB" w:rsidR="00252FB9" w:rsidRPr="00C25964" w:rsidRDefault="00252FB9" w:rsidP="00252FB9">
      <w:pPr>
        <w:pStyle w:val="Text1"/>
        <w:pBdr>
          <w:top w:val="single" w:sz="4" w:space="1" w:color="auto"/>
          <w:left w:val="single" w:sz="4" w:space="4" w:color="auto"/>
          <w:bottom w:val="single" w:sz="4" w:space="1" w:color="auto"/>
          <w:right w:val="single" w:sz="4" w:space="4" w:color="auto"/>
        </w:pBdr>
        <w:rPr>
          <w:noProof/>
        </w:rPr>
      </w:pPr>
    </w:p>
    <w:p w14:paraId="35997F77" w14:textId="77777777" w:rsidR="00252FB9" w:rsidRPr="00C25964" w:rsidRDefault="00252FB9" w:rsidP="00252FB9">
      <w:pPr>
        <w:pStyle w:val="Text1"/>
        <w:rPr>
          <w:noProof/>
          <w:sz w:val="20"/>
        </w:rPr>
      </w:pPr>
      <w:r w:rsidRPr="00C25964">
        <w:rPr>
          <w:noProof/>
          <w:sz w:val="20"/>
        </w:rPr>
        <w:t>Övriga anmärkningar (t.ex. vilken metod/formel som har använts för att beräkna inverkan på inkomsterna eller andra relevanta uppgifter).</w:t>
      </w:r>
    </w:p>
    <w:p w14:paraId="5CBBD30B" w14:textId="3897806C" w:rsidR="00252FB9" w:rsidRPr="00C25964" w:rsidRDefault="00252FB9" w:rsidP="00252FB9">
      <w:pPr>
        <w:pStyle w:val="Text1"/>
        <w:pBdr>
          <w:top w:val="single" w:sz="4" w:space="1" w:color="auto"/>
          <w:left w:val="single" w:sz="4" w:space="4" w:color="auto"/>
          <w:bottom w:val="single" w:sz="4" w:space="1" w:color="auto"/>
          <w:right w:val="single" w:sz="4" w:space="4" w:color="auto"/>
        </w:pBdr>
        <w:rPr>
          <w:noProof/>
        </w:rPr>
      </w:pPr>
    </w:p>
    <w:p w14:paraId="2C9C2C88" w14:textId="77777777" w:rsidR="00252FB9" w:rsidRPr="00C25964" w:rsidRDefault="00252FB9" w:rsidP="00252FB9">
      <w:pPr>
        <w:pStyle w:val="Text1"/>
        <w:rPr>
          <w:noProof/>
        </w:rPr>
      </w:pPr>
    </w:p>
    <w:p w14:paraId="7E652795" w14:textId="77777777" w:rsidR="00252FB9" w:rsidRPr="00C25964" w:rsidRDefault="00252FB9" w:rsidP="00252FB9">
      <w:pPr>
        <w:rPr>
          <w:noProof/>
        </w:rPr>
      </w:pPr>
    </w:p>
    <w:p w14:paraId="4CB6076D" w14:textId="77777777" w:rsidR="00252FB9" w:rsidRPr="00C25964" w:rsidRDefault="00252FB9" w:rsidP="0039387E">
      <w:pPr>
        <w:pStyle w:val="Personnequisigne"/>
        <w:rPr>
          <w:noProof/>
        </w:rPr>
        <w:sectPr w:rsidR="00252FB9" w:rsidRPr="00C25964" w:rsidSect="004A0B38">
          <w:pgSz w:w="11907" w:h="16839"/>
          <w:pgMar w:top="1134" w:right="1417" w:bottom="1134" w:left="1417" w:header="709" w:footer="709" w:gutter="0"/>
          <w:cols w:space="708"/>
          <w:docGrid w:linePitch="360"/>
        </w:sectPr>
      </w:pPr>
    </w:p>
    <w:p w14:paraId="5E2D6F09" w14:textId="77777777" w:rsidR="00252FB9" w:rsidRPr="00C25964" w:rsidRDefault="00252FB9" w:rsidP="00252FB9">
      <w:pPr>
        <w:jc w:val="center"/>
        <w:rPr>
          <w:b/>
          <w:bCs/>
          <w:noProof/>
          <w:sz w:val="36"/>
          <w:szCs w:val="36"/>
          <w:u w:val="single"/>
        </w:rPr>
      </w:pPr>
      <w:r w:rsidRPr="00C25964">
        <w:rPr>
          <w:b/>
          <w:bCs/>
          <w:noProof/>
          <w:sz w:val="36"/>
          <w:szCs w:val="36"/>
          <w:u w:val="single"/>
        </w:rPr>
        <w:t>BILAGA</w:t>
      </w:r>
      <w:r w:rsidRPr="00C25964">
        <w:rPr>
          <w:noProof/>
        </w:rPr>
        <w:t xml:space="preserve"> </w:t>
      </w:r>
      <w:r w:rsidRPr="00C25964">
        <w:rPr>
          <w:noProof/>
        </w:rPr>
        <w:br/>
      </w:r>
      <w:r w:rsidRPr="00C25964">
        <w:rPr>
          <w:b/>
          <w:bCs/>
          <w:noProof/>
          <w:sz w:val="36"/>
          <w:szCs w:val="36"/>
          <w:u w:val="single"/>
        </w:rPr>
        <w:t>till FINANSIERINGSÖVERSIKTEN FÖR RÄTTSAKTEN</w:t>
      </w:r>
    </w:p>
    <w:p w14:paraId="10099865" w14:textId="77777777" w:rsidR="00252FB9" w:rsidRPr="00C25964" w:rsidRDefault="00252FB9" w:rsidP="00252FB9">
      <w:pPr>
        <w:jc w:val="center"/>
        <w:rPr>
          <w:noProof/>
        </w:rPr>
      </w:pPr>
    </w:p>
    <w:p w14:paraId="5B281249" w14:textId="77777777" w:rsidR="00252FB9" w:rsidRPr="00C25964" w:rsidRDefault="00252FB9" w:rsidP="00252FB9">
      <w:pPr>
        <w:outlineLvl w:val="0"/>
        <w:rPr>
          <w:b/>
          <w:bCs/>
          <w:noProof/>
        </w:rPr>
      </w:pPr>
    </w:p>
    <w:p w14:paraId="2B52722E" w14:textId="77777777" w:rsidR="00252FB9" w:rsidRPr="00C25964" w:rsidRDefault="00252FB9" w:rsidP="00252FB9">
      <w:pPr>
        <w:outlineLvl w:val="0"/>
        <w:rPr>
          <w:b/>
          <w:bCs/>
          <w:noProof/>
        </w:rPr>
      </w:pPr>
    </w:p>
    <w:p w14:paraId="14F32BA0" w14:textId="77777777" w:rsidR="00252FB9" w:rsidRPr="00C25964" w:rsidRDefault="00252FB9" w:rsidP="00252FB9">
      <w:pPr>
        <w:outlineLvl w:val="0"/>
        <w:rPr>
          <w:b/>
          <w:bCs/>
          <w:noProof/>
        </w:rPr>
      </w:pPr>
    </w:p>
    <w:p w14:paraId="4FDD5597" w14:textId="77777777" w:rsidR="00252FB9" w:rsidRPr="00C25964" w:rsidRDefault="00252FB9" w:rsidP="00252FB9">
      <w:pPr>
        <w:spacing w:before="240"/>
        <w:ind w:left="360"/>
        <w:jc w:val="center"/>
        <w:rPr>
          <w:noProof/>
        </w:rPr>
      </w:pPr>
      <w:r w:rsidRPr="00C25964">
        <w:rPr>
          <w:noProof/>
        </w:rPr>
        <w:t>Benämning på förslaget/initiativet:</w:t>
      </w:r>
    </w:p>
    <w:p w14:paraId="79297218" w14:textId="23C74C1C" w:rsidR="00252FB9" w:rsidRPr="00C25964" w:rsidRDefault="00252FB9" w:rsidP="00252FB9">
      <w:pPr>
        <w:pBdr>
          <w:top w:val="dotted" w:sz="4" w:space="1" w:color="auto"/>
          <w:left w:val="dotted" w:sz="4" w:space="4" w:color="auto"/>
          <w:bottom w:val="dotted" w:sz="4" w:space="1" w:color="auto"/>
          <w:right w:val="dotted" w:sz="4" w:space="4" w:color="auto"/>
        </w:pBdr>
        <w:shd w:val="clear" w:color="auto" w:fill="FFFF99"/>
        <w:spacing w:after="60"/>
        <w:rPr>
          <w:b/>
          <w:noProof/>
          <w:color w:val="808080"/>
        </w:rPr>
      </w:pPr>
      <w:r w:rsidRPr="00C25964">
        <w:rPr>
          <w:noProof/>
          <w:color w:val="808080"/>
        </w:rPr>
        <w:t xml:space="preserve"> </w:t>
      </w:r>
      <w:r w:rsidRPr="00C25964">
        <w:rPr>
          <w:b/>
          <w:noProof/>
          <w:color w:val="808080"/>
        </w:rPr>
        <w:t xml:space="preserve"> Europaåret för ungdomar 2022</w:t>
      </w:r>
    </w:p>
    <w:p w14:paraId="460B06AB" w14:textId="77777777" w:rsidR="00252FB9" w:rsidRPr="00C25964" w:rsidRDefault="00252FB9" w:rsidP="00252FB9">
      <w:pPr>
        <w:pBdr>
          <w:top w:val="dotted" w:sz="4" w:space="1" w:color="auto"/>
          <w:left w:val="dotted" w:sz="4" w:space="4" w:color="auto"/>
          <w:bottom w:val="dotted" w:sz="4" w:space="1" w:color="auto"/>
          <w:right w:val="dotted" w:sz="4" w:space="4" w:color="auto"/>
        </w:pBdr>
        <w:shd w:val="clear" w:color="auto" w:fill="FFFF99"/>
        <w:spacing w:after="60"/>
        <w:rPr>
          <w:noProof/>
          <w:color w:val="808080"/>
        </w:rPr>
      </w:pPr>
    </w:p>
    <w:p w14:paraId="300BA304" w14:textId="77777777" w:rsidR="00252FB9" w:rsidRPr="00C25964" w:rsidRDefault="00252FB9" w:rsidP="00252FB9">
      <w:pPr>
        <w:outlineLvl w:val="0"/>
        <w:rPr>
          <w:b/>
          <w:bCs/>
          <w:noProof/>
        </w:rPr>
      </w:pPr>
    </w:p>
    <w:p w14:paraId="4979A293" w14:textId="77777777" w:rsidR="00252FB9" w:rsidRPr="00C25964" w:rsidRDefault="00252FB9" w:rsidP="00252FB9">
      <w:pPr>
        <w:outlineLvl w:val="0"/>
        <w:rPr>
          <w:b/>
          <w:bCs/>
          <w:noProof/>
        </w:rPr>
      </w:pPr>
    </w:p>
    <w:p w14:paraId="5A5EBE3D" w14:textId="77777777" w:rsidR="00252FB9" w:rsidRPr="00C25964" w:rsidRDefault="00252FB9" w:rsidP="00252FB9">
      <w:pPr>
        <w:outlineLvl w:val="0"/>
        <w:rPr>
          <w:b/>
          <w:bCs/>
          <w:noProof/>
        </w:rPr>
      </w:pPr>
    </w:p>
    <w:p w14:paraId="7FB50605" w14:textId="569E93D7" w:rsidR="00252FB9" w:rsidRPr="00C25964" w:rsidRDefault="00796BD0" w:rsidP="00796BD0">
      <w:pPr>
        <w:pStyle w:val="ManualHeading1"/>
        <w:rPr>
          <w:noProof/>
        </w:rPr>
      </w:pPr>
      <w:r w:rsidRPr="00C25964">
        <w:rPr>
          <w:noProof/>
        </w:rPr>
        <w:t>1. STORLEK PÅ OCH KOSTNAD FÖR PERSONALBEHOVET</w:t>
      </w:r>
    </w:p>
    <w:p w14:paraId="5EB4E22E" w14:textId="0CAA1792" w:rsidR="00252FB9" w:rsidRPr="00C25964" w:rsidRDefault="00796BD0" w:rsidP="00796BD0">
      <w:pPr>
        <w:pStyle w:val="ManualHeading1"/>
        <w:rPr>
          <w:noProof/>
        </w:rPr>
      </w:pPr>
      <w:r w:rsidRPr="00C25964">
        <w:rPr>
          <w:noProof/>
        </w:rPr>
        <w:t>2. KOSTNAD FÖR ÖVRIGA ADMINISTRATIVA UTGIFTER</w:t>
      </w:r>
    </w:p>
    <w:p w14:paraId="5C55DBFF" w14:textId="4786829E" w:rsidR="00252FB9" w:rsidRPr="00C25964" w:rsidRDefault="00796BD0" w:rsidP="00796BD0">
      <w:pPr>
        <w:pStyle w:val="ManualHeading1"/>
        <w:rPr>
          <w:noProof/>
        </w:rPr>
      </w:pPr>
      <w:r w:rsidRPr="00C25964">
        <w:rPr>
          <w:noProof/>
        </w:rPr>
        <w:t>3. TOTALA ADMINISTRATIVA KOSTNADER</w:t>
      </w:r>
    </w:p>
    <w:p w14:paraId="64E5A4F2" w14:textId="0835A8C1" w:rsidR="00252FB9" w:rsidRPr="00C25964" w:rsidRDefault="00796BD0" w:rsidP="00796BD0">
      <w:pPr>
        <w:pStyle w:val="ManualHeading1"/>
        <w:rPr>
          <w:noProof/>
        </w:rPr>
      </w:pPr>
      <w:r w:rsidRPr="00C25964">
        <w:rPr>
          <w:noProof/>
        </w:rPr>
        <w:t>4. METOD FÖR BERÄKNING AV KOSTNADERNA</w:t>
      </w:r>
    </w:p>
    <w:p w14:paraId="58F5B38D" w14:textId="7E6D4ED4" w:rsidR="00252FB9" w:rsidRPr="00C25964" w:rsidRDefault="00796BD0" w:rsidP="00796BD0">
      <w:pPr>
        <w:pStyle w:val="ManualHeading2"/>
        <w:rPr>
          <w:bCs/>
          <w:noProof/>
          <w:szCs w:val="32"/>
        </w:rPr>
      </w:pPr>
      <w:r w:rsidRPr="00C25964">
        <w:rPr>
          <w:noProof/>
        </w:rPr>
        <w:tab/>
      </w:r>
      <w:r w:rsidRPr="00C25964">
        <w:rPr>
          <w:noProof/>
        </w:rPr>
        <w:tab/>
      </w:r>
      <w:r w:rsidRPr="00C25964">
        <w:rPr>
          <w:noProof/>
        </w:rPr>
        <w:tab/>
      </w:r>
      <w:r w:rsidRPr="00C25964">
        <w:rPr>
          <w:noProof/>
        </w:rPr>
        <w:tab/>
        <w:t>4.1.</w:t>
      </w:r>
      <w:r w:rsidRPr="00C25964">
        <w:rPr>
          <w:noProof/>
        </w:rPr>
        <w:tab/>
        <w:t>Personalresurser</w:t>
      </w:r>
    </w:p>
    <w:p w14:paraId="64F607AE" w14:textId="71650C32" w:rsidR="00252FB9" w:rsidRPr="00C25964" w:rsidRDefault="00796BD0" w:rsidP="00796BD0">
      <w:pPr>
        <w:pStyle w:val="ManualHeading2"/>
        <w:rPr>
          <w:bCs/>
          <w:noProof/>
          <w:szCs w:val="32"/>
        </w:rPr>
      </w:pPr>
      <w:r w:rsidRPr="00C25964">
        <w:rPr>
          <w:noProof/>
        </w:rPr>
        <w:tab/>
      </w:r>
      <w:r w:rsidRPr="00C25964">
        <w:rPr>
          <w:noProof/>
        </w:rPr>
        <w:tab/>
      </w:r>
      <w:r w:rsidRPr="00C25964">
        <w:rPr>
          <w:noProof/>
        </w:rPr>
        <w:tab/>
      </w:r>
      <w:r w:rsidRPr="00C25964">
        <w:rPr>
          <w:noProof/>
        </w:rPr>
        <w:tab/>
        <w:t>4.2.</w:t>
      </w:r>
      <w:r w:rsidRPr="00C25964">
        <w:rPr>
          <w:noProof/>
        </w:rPr>
        <w:tab/>
        <w:t xml:space="preserve"> Övriga administrativa utgifter</w:t>
      </w:r>
    </w:p>
    <w:p w14:paraId="6B23451E" w14:textId="77777777" w:rsidR="00252FB9" w:rsidRPr="00C25964" w:rsidRDefault="00252FB9" w:rsidP="00252FB9">
      <w:pPr>
        <w:pBdr>
          <w:top w:val="single" w:sz="4" w:space="0" w:color="auto"/>
          <w:left w:val="single" w:sz="4" w:space="4" w:color="auto"/>
          <w:bottom w:val="single" w:sz="4" w:space="1" w:color="auto"/>
          <w:right w:val="single" w:sz="4" w:space="4" w:color="auto"/>
        </w:pBdr>
        <w:shd w:val="pct30" w:color="CCFFFF" w:fill="auto"/>
        <w:rPr>
          <w:noProof/>
          <w:sz w:val="16"/>
          <w:szCs w:val="16"/>
        </w:rPr>
      </w:pPr>
    </w:p>
    <w:p w14:paraId="431F866F" w14:textId="77777777" w:rsidR="00252FB9" w:rsidRPr="00C25964" w:rsidRDefault="00252FB9" w:rsidP="00252FB9">
      <w:pPr>
        <w:pBdr>
          <w:top w:val="single" w:sz="4" w:space="0" w:color="auto"/>
          <w:left w:val="single" w:sz="4" w:space="4" w:color="auto"/>
          <w:bottom w:val="single" w:sz="4" w:space="1" w:color="auto"/>
          <w:right w:val="single" w:sz="4" w:space="4" w:color="auto"/>
        </w:pBdr>
        <w:shd w:val="pct30" w:color="CCFFFF" w:fill="auto"/>
        <w:rPr>
          <w:i/>
          <w:noProof/>
          <w:sz w:val="22"/>
        </w:rPr>
      </w:pPr>
      <w:r w:rsidRPr="00C25964">
        <w:rPr>
          <w:i/>
          <w:noProof/>
          <w:sz w:val="22"/>
        </w:rPr>
        <w:t>Bilagan ska fogas till finansieringsöversikten under internremissen.</w:t>
      </w:r>
    </w:p>
    <w:p w14:paraId="2B7537F4" w14:textId="77777777" w:rsidR="00252FB9" w:rsidRPr="00C25964" w:rsidRDefault="00252FB9" w:rsidP="00252FB9">
      <w:pPr>
        <w:pBdr>
          <w:top w:val="single" w:sz="4" w:space="0" w:color="auto"/>
          <w:left w:val="single" w:sz="4" w:space="4" w:color="auto"/>
          <w:bottom w:val="single" w:sz="4" w:space="1" w:color="auto"/>
          <w:right w:val="single" w:sz="4" w:space="4" w:color="auto"/>
        </w:pBdr>
        <w:shd w:val="pct30" w:color="CCFFFF" w:fill="auto"/>
        <w:rPr>
          <w:i/>
          <w:noProof/>
          <w:sz w:val="22"/>
        </w:rPr>
      </w:pPr>
      <w:r w:rsidRPr="00C25964">
        <w:rPr>
          <w:i/>
          <w:noProof/>
          <w:sz w:val="22"/>
        </w:rPr>
        <w:t>Tabellerna används som källa för tabellerna i finansieringsöversikten för rättsakten. De är uteslutande avsedda för internt bruk inom kommissionen.</w:t>
      </w:r>
    </w:p>
    <w:p w14:paraId="4AF04722" w14:textId="77777777" w:rsidR="00252FB9" w:rsidRPr="00C25964" w:rsidRDefault="00252FB9" w:rsidP="00252FB9">
      <w:pPr>
        <w:pBdr>
          <w:top w:val="single" w:sz="4" w:space="0" w:color="auto"/>
          <w:left w:val="single" w:sz="4" w:space="4" w:color="auto"/>
          <w:bottom w:val="single" w:sz="4" w:space="1" w:color="auto"/>
          <w:right w:val="single" w:sz="4" w:space="4" w:color="auto"/>
        </w:pBdr>
        <w:shd w:val="pct30" w:color="CCFFFF" w:fill="auto"/>
        <w:rPr>
          <w:bCs/>
          <w:noProof/>
          <w:sz w:val="16"/>
          <w:szCs w:val="16"/>
        </w:rPr>
      </w:pPr>
    </w:p>
    <w:p w14:paraId="7EE5C5BB" w14:textId="77777777" w:rsidR="00252FB9" w:rsidRPr="00C25964" w:rsidRDefault="00252FB9" w:rsidP="00252FB9">
      <w:pPr>
        <w:spacing w:after="80"/>
        <w:rPr>
          <w:b/>
          <w:bCs/>
          <w:noProof/>
        </w:rPr>
      </w:pPr>
    </w:p>
    <w:p w14:paraId="4FDF83BB" w14:textId="77777777" w:rsidR="00252FB9" w:rsidRPr="00C25964" w:rsidRDefault="00252FB9" w:rsidP="00252FB9">
      <w:pPr>
        <w:rPr>
          <w:noProof/>
        </w:rPr>
        <w:sectPr w:rsidR="00252FB9" w:rsidRPr="00C25964" w:rsidSect="004A0B38">
          <w:headerReference w:type="default" r:id="rId25"/>
          <w:footerReference w:type="default" r:id="rId26"/>
          <w:headerReference w:type="first" r:id="rId27"/>
          <w:footerReference w:type="first" r:id="rId28"/>
          <w:pgSz w:w="12240" w:h="15840" w:code="1"/>
          <w:pgMar w:top="902" w:right="1134" w:bottom="1247" w:left="902" w:header="709" w:footer="709" w:gutter="0"/>
          <w:cols w:space="720"/>
          <w:docGrid w:linePitch="360"/>
        </w:sectPr>
      </w:pPr>
    </w:p>
    <w:p w14:paraId="4CCD6CE2" w14:textId="77777777" w:rsidR="00252FB9" w:rsidRPr="00C25964" w:rsidRDefault="00252FB9" w:rsidP="00252FB9">
      <w:pPr>
        <w:rPr>
          <w:noProof/>
          <w:sz w:val="16"/>
          <w:szCs w:val="16"/>
        </w:rPr>
      </w:pPr>
    </w:p>
    <w:p w14:paraId="7FD6ECAB" w14:textId="3E09516A" w:rsidR="00252FB9" w:rsidRPr="00C25964" w:rsidRDefault="00796BD0" w:rsidP="00796BD0">
      <w:pPr>
        <w:pStyle w:val="ManualHeading1"/>
        <w:rPr>
          <w:noProof/>
        </w:rPr>
      </w:pPr>
      <w:r w:rsidRPr="00C25964">
        <w:rPr>
          <w:b w:val="0"/>
          <w:smallCaps w:val="0"/>
          <w:noProof/>
        </w:rPr>
        <w:t>1.</w:t>
      </w:r>
      <w:r w:rsidRPr="00C25964">
        <w:rPr>
          <w:noProof/>
        </w:rPr>
        <w:t xml:space="preserve"> Kostnad för personalbehovet</w:t>
      </w:r>
      <w:r w:rsidRPr="00C25964">
        <w:rPr>
          <w:noProof/>
        </w:rPr>
        <w:tab/>
      </w:r>
    </w:p>
    <w:p w14:paraId="734262C4" w14:textId="77777777" w:rsidR="00252FB9" w:rsidRPr="00C25964" w:rsidRDefault="00252FB9" w:rsidP="00252FB9">
      <w:pPr>
        <w:pStyle w:val="Point1"/>
        <w:spacing w:after="0"/>
        <w:ind w:left="2263" w:hanging="284"/>
        <w:rPr>
          <w:noProof/>
        </w:rPr>
      </w:pPr>
      <w:r w:rsidRPr="00C25964">
        <w:rPr>
          <w:noProof/>
        </w:rPr>
        <w:sym w:font="Wingdings" w:char="F0A8"/>
      </w:r>
      <w:r w:rsidRPr="00C25964">
        <w:rPr>
          <w:noProof/>
        </w:rPr>
        <w:tab/>
        <w:t>Förslaget/initiativet kräver inte att personalresurser tas i anspråk.</w:t>
      </w:r>
    </w:p>
    <w:p w14:paraId="54D3E2C7" w14:textId="77777777" w:rsidR="00252FB9" w:rsidRPr="00C25964" w:rsidRDefault="00252FB9" w:rsidP="00252FB9">
      <w:pPr>
        <w:pStyle w:val="Text1"/>
        <w:spacing w:before="60" w:after="0"/>
        <w:ind w:left="2263" w:hanging="284"/>
        <w:rPr>
          <w:noProof/>
        </w:rPr>
      </w:pPr>
      <w:r w:rsidRPr="00C25964">
        <w:rPr>
          <w:noProof/>
        </w:rPr>
        <w:t>x</w:t>
      </w:r>
      <w:r w:rsidRPr="00C25964">
        <w:rPr>
          <w:noProof/>
        </w:rPr>
        <w:tab/>
      </w:r>
      <w:r w:rsidRPr="00C25964">
        <w:rPr>
          <w:noProof/>
          <w:sz w:val="22"/>
        </w:rPr>
        <w:t>Förslaget/initiativet kräver att personalresurser tas i anspråk enligt följande:</w:t>
      </w:r>
    </w:p>
    <w:p w14:paraId="5FAFC395" w14:textId="77777777" w:rsidR="00252FB9" w:rsidRPr="00C25964" w:rsidRDefault="00252FB9" w:rsidP="00796BD0">
      <w:pPr>
        <w:ind w:left="6480" w:firstLine="720"/>
        <w:rPr>
          <w:iCs/>
          <w:noProof/>
        </w:rPr>
      </w:pPr>
      <w:r w:rsidRPr="00C25964">
        <w:rPr>
          <w:noProof/>
        </w:rPr>
        <w:t>Miljoner euro (avrundat till tre decimaler)</w:t>
      </w:r>
    </w:p>
    <w:tbl>
      <w:tblPr>
        <w:tblW w:w="5000" w:type="pct"/>
        <w:jc w:val="center"/>
        <w:tblLook w:val="04A0" w:firstRow="1" w:lastRow="0" w:firstColumn="1" w:lastColumn="0" w:noHBand="0" w:noVBand="1"/>
      </w:tblPr>
      <w:tblGrid>
        <w:gridCol w:w="1402"/>
        <w:gridCol w:w="871"/>
        <w:gridCol w:w="954"/>
        <w:gridCol w:w="522"/>
        <w:gridCol w:w="954"/>
        <w:gridCol w:w="552"/>
        <w:gridCol w:w="954"/>
        <w:gridCol w:w="522"/>
        <w:gridCol w:w="954"/>
        <w:gridCol w:w="485"/>
        <w:gridCol w:w="954"/>
        <w:gridCol w:w="485"/>
        <w:gridCol w:w="954"/>
        <w:gridCol w:w="485"/>
        <w:gridCol w:w="954"/>
        <w:gridCol w:w="485"/>
        <w:gridCol w:w="954"/>
        <w:gridCol w:w="522"/>
      </w:tblGrid>
      <w:tr w:rsidR="00252FB9" w:rsidRPr="00C25964" w14:paraId="6BF4D574" w14:textId="77777777" w:rsidTr="0012551C">
        <w:trPr>
          <w:trHeight w:val="330"/>
          <w:jc w:val="center"/>
        </w:trPr>
        <w:tc>
          <w:tcPr>
            <w:tcW w:w="839" w:type="pct"/>
            <w:gridSpan w:val="2"/>
            <w:vMerge w:val="restart"/>
            <w:tcBorders>
              <w:top w:val="single" w:sz="4" w:space="0" w:color="auto"/>
              <w:left w:val="single" w:sz="4" w:space="0" w:color="auto"/>
              <w:right w:val="single" w:sz="4" w:space="0" w:color="auto"/>
            </w:tcBorders>
            <w:shd w:val="clear" w:color="auto" w:fill="E2E2E2"/>
            <w:vAlign w:val="center"/>
            <w:hideMark/>
          </w:tcPr>
          <w:p w14:paraId="74EF1C6B"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b/>
                <w:bCs/>
                <w:noProof/>
                <w:color w:val="000000"/>
                <w:sz w:val="22"/>
              </w:rPr>
              <w:t>RUBRIK 7</w:t>
            </w:r>
          </w:p>
          <w:p w14:paraId="1422274A"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noProof/>
                <w:color w:val="000000"/>
                <w:sz w:val="22"/>
              </w:rPr>
              <w:t>i den fleråriga budgetramen</w:t>
            </w:r>
          </w:p>
        </w:tc>
        <w:tc>
          <w:tcPr>
            <w:tcW w:w="526" w:type="pct"/>
            <w:gridSpan w:val="2"/>
            <w:tcBorders>
              <w:top w:val="single" w:sz="4" w:space="0" w:color="auto"/>
              <w:left w:val="nil"/>
              <w:bottom w:val="single" w:sz="4" w:space="0" w:color="auto"/>
              <w:right w:val="single" w:sz="4" w:space="0" w:color="auto"/>
            </w:tcBorders>
            <w:shd w:val="clear" w:color="auto" w:fill="FCFFFF"/>
            <w:vAlign w:val="center"/>
            <w:hideMark/>
          </w:tcPr>
          <w:p w14:paraId="7D4A0371"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2021</w:t>
            </w:r>
          </w:p>
        </w:tc>
        <w:tc>
          <w:tcPr>
            <w:tcW w:w="538" w:type="pct"/>
            <w:gridSpan w:val="2"/>
            <w:tcBorders>
              <w:top w:val="single" w:sz="4" w:space="0" w:color="auto"/>
              <w:left w:val="nil"/>
              <w:bottom w:val="single" w:sz="4" w:space="0" w:color="auto"/>
              <w:right w:val="single" w:sz="4" w:space="0" w:color="auto"/>
            </w:tcBorders>
            <w:shd w:val="clear" w:color="auto" w:fill="FCFFFF"/>
            <w:vAlign w:val="center"/>
            <w:hideMark/>
          </w:tcPr>
          <w:p w14:paraId="1B7303C8"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2022</w:t>
            </w:r>
          </w:p>
        </w:tc>
        <w:tc>
          <w:tcPr>
            <w:tcW w:w="526" w:type="pct"/>
            <w:gridSpan w:val="2"/>
            <w:tcBorders>
              <w:top w:val="single" w:sz="4" w:space="0" w:color="auto"/>
              <w:left w:val="nil"/>
              <w:bottom w:val="single" w:sz="4" w:space="0" w:color="auto"/>
              <w:right w:val="single" w:sz="4" w:space="0" w:color="auto"/>
            </w:tcBorders>
            <w:shd w:val="clear" w:color="auto" w:fill="FCFFFF"/>
            <w:vAlign w:val="center"/>
            <w:hideMark/>
          </w:tcPr>
          <w:p w14:paraId="2664E1B4"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2023</w:t>
            </w:r>
          </w:p>
        </w:tc>
        <w:tc>
          <w:tcPr>
            <w:tcW w:w="511" w:type="pct"/>
            <w:gridSpan w:val="2"/>
            <w:tcBorders>
              <w:top w:val="single" w:sz="4" w:space="0" w:color="auto"/>
              <w:left w:val="nil"/>
              <w:bottom w:val="single" w:sz="4" w:space="0" w:color="auto"/>
              <w:right w:val="single" w:sz="4" w:space="0" w:color="auto"/>
            </w:tcBorders>
            <w:shd w:val="clear" w:color="auto" w:fill="FCFFFF"/>
            <w:vAlign w:val="center"/>
            <w:hideMark/>
          </w:tcPr>
          <w:p w14:paraId="07338C43"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n+3</w:t>
            </w:r>
          </w:p>
        </w:tc>
        <w:tc>
          <w:tcPr>
            <w:tcW w:w="511" w:type="pct"/>
            <w:gridSpan w:val="2"/>
            <w:tcBorders>
              <w:top w:val="single" w:sz="4" w:space="0" w:color="auto"/>
              <w:left w:val="nil"/>
              <w:bottom w:val="single" w:sz="4" w:space="0" w:color="auto"/>
              <w:right w:val="single" w:sz="4" w:space="0" w:color="auto"/>
            </w:tcBorders>
            <w:shd w:val="clear" w:color="auto" w:fill="FCFFFF"/>
            <w:vAlign w:val="center"/>
            <w:hideMark/>
          </w:tcPr>
          <w:p w14:paraId="5F989FF5"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n+4</w:t>
            </w:r>
          </w:p>
        </w:tc>
        <w:tc>
          <w:tcPr>
            <w:tcW w:w="511" w:type="pct"/>
            <w:gridSpan w:val="2"/>
            <w:tcBorders>
              <w:top w:val="single" w:sz="4" w:space="0" w:color="auto"/>
              <w:left w:val="nil"/>
              <w:bottom w:val="single" w:sz="4" w:space="0" w:color="auto"/>
              <w:right w:val="single" w:sz="4" w:space="0" w:color="auto"/>
            </w:tcBorders>
            <w:shd w:val="clear" w:color="auto" w:fill="FCFFFF"/>
            <w:vAlign w:val="center"/>
            <w:hideMark/>
          </w:tcPr>
          <w:p w14:paraId="7D3D6DFD"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n+5</w:t>
            </w:r>
          </w:p>
        </w:tc>
        <w:tc>
          <w:tcPr>
            <w:tcW w:w="511" w:type="pct"/>
            <w:gridSpan w:val="2"/>
            <w:tcBorders>
              <w:top w:val="single" w:sz="4" w:space="0" w:color="auto"/>
              <w:left w:val="nil"/>
              <w:bottom w:val="single" w:sz="4" w:space="0" w:color="auto"/>
              <w:right w:val="single" w:sz="4" w:space="0" w:color="auto"/>
            </w:tcBorders>
            <w:shd w:val="clear" w:color="auto" w:fill="FCFFFF"/>
            <w:vAlign w:val="center"/>
            <w:hideMark/>
          </w:tcPr>
          <w:p w14:paraId="38B18A02"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n+7</w:t>
            </w:r>
          </w:p>
        </w:tc>
        <w:tc>
          <w:tcPr>
            <w:tcW w:w="526" w:type="pct"/>
            <w:gridSpan w:val="2"/>
            <w:tcBorders>
              <w:top w:val="single" w:sz="4" w:space="0" w:color="auto"/>
              <w:left w:val="nil"/>
              <w:bottom w:val="single" w:sz="4" w:space="0" w:color="auto"/>
              <w:right w:val="single" w:sz="4" w:space="0" w:color="auto"/>
            </w:tcBorders>
            <w:shd w:val="clear" w:color="auto" w:fill="FCFFFF"/>
            <w:vAlign w:val="center"/>
            <w:hideMark/>
          </w:tcPr>
          <w:p w14:paraId="0E083563"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TOTALT</w:t>
            </w:r>
          </w:p>
        </w:tc>
      </w:tr>
      <w:tr w:rsidR="00252FB9" w:rsidRPr="00C25964" w14:paraId="522C037C" w14:textId="77777777" w:rsidTr="0012551C">
        <w:trPr>
          <w:trHeight w:val="660"/>
          <w:jc w:val="center"/>
        </w:trPr>
        <w:tc>
          <w:tcPr>
            <w:tcW w:w="839" w:type="pct"/>
            <w:gridSpan w:val="2"/>
            <w:vMerge/>
            <w:tcBorders>
              <w:left w:val="single" w:sz="4" w:space="0" w:color="auto"/>
              <w:bottom w:val="single" w:sz="4" w:space="0" w:color="auto"/>
              <w:right w:val="single" w:sz="4" w:space="0" w:color="auto"/>
            </w:tcBorders>
            <w:shd w:val="pct50" w:color="C0C0C0" w:fill="E2E2E2"/>
            <w:vAlign w:val="center"/>
            <w:hideMark/>
          </w:tcPr>
          <w:p w14:paraId="2AADAFB7" w14:textId="77777777" w:rsidR="00252FB9" w:rsidRPr="00C25964" w:rsidRDefault="00252FB9" w:rsidP="00D05F26">
            <w:pPr>
              <w:jc w:val="center"/>
              <w:rPr>
                <w:rFonts w:ascii="Arial Narrow" w:hAnsi="Arial Narrow"/>
                <w:noProof/>
                <w:color w:val="000000"/>
                <w:sz w:val="22"/>
              </w:rPr>
            </w:pPr>
          </w:p>
        </w:tc>
        <w:tc>
          <w:tcPr>
            <w:tcW w:w="348" w:type="pct"/>
            <w:tcBorders>
              <w:top w:val="nil"/>
              <w:left w:val="nil"/>
              <w:bottom w:val="single" w:sz="4" w:space="0" w:color="auto"/>
              <w:right w:val="single" w:sz="4" w:space="0" w:color="auto"/>
            </w:tcBorders>
            <w:shd w:val="clear" w:color="auto" w:fill="FCFFFF"/>
            <w:vAlign w:val="center"/>
            <w:hideMark/>
          </w:tcPr>
          <w:p w14:paraId="643ABA99"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78" w:type="pct"/>
            <w:tcBorders>
              <w:top w:val="nil"/>
              <w:left w:val="nil"/>
              <w:bottom w:val="single" w:sz="4" w:space="0" w:color="auto"/>
              <w:right w:val="single" w:sz="4" w:space="0" w:color="auto"/>
            </w:tcBorders>
            <w:shd w:val="clear" w:color="auto" w:fill="FCFFFF"/>
            <w:vAlign w:val="center"/>
            <w:hideMark/>
          </w:tcPr>
          <w:p w14:paraId="3C15657C"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8" w:type="pct"/>
            <w:tcBorders>
              <w:top w:val="nil"/>
              <w:left w:val="nil"/>
              <w:bottom w:val="single" w:sz="4" w:space="0" w:color="auto"/>
              <w:right w:val="single" w:sz="4" w:space="0" w:color="auto"/>
            </w:tcBorders>
            <w:shd w:val="clear" w:color="auto" w:fill="FCFFFF"/>
            <w:vAlign w:val="center"/>
            <w:hideMark/>
          </w:tcPr>
          <w:p w14:paraId="1BE32116"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90" w:type="pct"/>
            <w:tcBorders>
              <w:top w:val="nil"/>
              <w:left w:val="nil"/>
              <w:bottom w:val="single" w:sz="4" w:space="0" w:color="auto"/>
              <w:right w:val="single" w:sz="4" w:space="0" w:color="auto"/>
            </w:tcBorders>
            <w:shd w:val="clear" w:color="auto" w:fill="FCFFFF"/>
            <w:vAlign w:val="center"/>
            <w:hideMark/>
          </w:tcPr>
          <w:p w14:paraId="73791711"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8" w:type="pct"/>
            <w:tcBorders>
              <w:top w:val="nil"/>
              <w:left w:val="nil"/>
              <w:bottom w:val="single" w:sz="4" w:space="0" w:color="auto"/>
              <w:right w:val="single" w:sz="4" w:space="0" w:color="auto"/>
            </w:tcBorders>
            <w:shd w:val="clear" w:color="auto" w:fill="FCFFFF"/>
            <w:vAlign w:val="center"/>
            <w:hideMark/>
          </w:tcPr>
          <w:p w14:paraId="0776CB5C"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78" w:type="pct"/>
            <w:tcBorders>
              <w:top w:val="nil"/>
              <w:left w:val="nil"/>
              <w:bottom w:val="single" w:sz="4" w:space="0" w:color="auto"/>
              <w:right w:val="single" w:sz="4" w:space="0" w:color="auto"/>
            </w:tcBorders>
            <w:shd w:val="clear" w:color="auto" w:fill="FCFFFF"/>
            <w:vAlign w:val="center"/>
            <w:hideMark/>
          </w:tcPr>
          <w:p w14:paraId="7364365A"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8" w:type="pct"/>
            <w:tcBorders>
              <w:top w:val="nil"/>
              <w:left w:val="nil"/>
              <w:bottom w:val="single" w:sz="4" w:space="0" w:color="auto"/>
              <w:right w:val="single" w:sz="4" w:space="0" w:color="auto"/>
            </w:tcBorders>
            <w:shd w:val="clear" w:color="auto" w:fill="FCFFFF"/>
            <w:vAlign w:val="center"/>
            <w:hideMark/>
          </w:tcPr>
          <w:p w14:paraId="668601CB"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63" w:type="pct"/>
            <w:tcBorders>
              <w:top w:val="nil"/>
              <w:left w:val="nil"/>
              <w:bottom w:val="single" w:sz="4" w:space="0" w:color="auto"/>
              <w:right w:val="single" w:sz="4" w:space="0" w:color="auto"/>
            </w:tcBorders>
            <w:shd w:val="clear" w:color="auto" w:fill="FCFFFF"/>
            <w:vAlign w:val="center"/>
            <w:hideMark/>
          </w:tcPr>
          <w:p w14:paraId="3DFFC68D"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8" w:type="pct"/>
            <w:tcBorders>
              <w:top w:val="nil"/>
              <w:left w:val="nil"/>
              <w:bottom w:val="single" w:sz="4" w:space="0" w:color="auto"/>
              <w:right w:val="single" w:sz="4" w:space="0" w:color="auto"/>
            </w:tcBorders>
            <w:shd w:val="clear" w:color="auto" w:fill="FCFFFF"/>
            <w:vAlign w:val="center"/>
            <w:hideMark/>
          </w:tcPr>
          <w:p w14:paraId="1870E817"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63" w:type="pct"/>
            <w:tcBorders>
              <w:top w:val="nil"/>
              <w:left w:val="nil"/>
              <w:bottom w:val="single" w:sz="4" w:space="0" w:color="auto"/>
              <w:right w:val="single" w:sz="4" w:space="0" w:color="auto"/>
            </w:tcBorders>
            <w:shd w:val="clear" w:color="auto" w:fill="FCFFFF"/>
            <w:vAlign w:val="center"/>
            <w:hideMark/>
          </w:tcPr>
          <w:p w14:paraId="3E847E2A"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8" w:type="pct"/>
            <w:tcBorders>
              <w:top w:val="nil"/>
              <w:left w:val="nil"/>
              <w:bottom w:val="single" w:sz="4" w:space="0" w:color="auto"/>
              <w:right w:val="single" w:sz="4" w:space="0" w:color="auto"/>
            </w:tcBorders>
            <w:shd w:val="clear" w:color="auto" w:fill="FCFFFF"/>
            <w:vAlign w:val="center"/>
            <w:hideMark/>
          </w:tcPr>
          <w:p w14:paraId="7BE8F9DB"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63" w:type="pct"/>
            <w:tcBorders>
              <w:top w:val="nil"/>
              <w:left w:val="nil"/>
              <w:bottom w:val="single" w:sz="4" w:space="0" w:color="auto"/>
              <w:right w:val="single" w:sz="4" w:space="0" w:color="auto"/>
            </w:tcBorders>
            <w:shd w:val="clear" w:color="auto" w:fill="FCFFFF"/>
            <w:vAlign w:val="center"/>
            <w:hideMark/>
          </w:tcPr>
          <w:p w14:paraId="33C63647"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8" w:type="pct"/>
            <w:tcBorders>
              <w:top w:val="nil"/>
              <w:left w:val="nil"/>
              <w:bottom w:val="single" w:sz="4" w:space="0" w:color="auto"/>
              <w:right w:val="single" w:sz="4" w:space="0" w:color="auto"/>
            </w:tcBorders>
            <w:shd w:val="clear" w:color="auto" w:fill="FCFFFF"/>
            <w:vAlign w:val="center"/>
            <w:hideMark/>
          </w:tcPr>
          <w:p w14:paraId="561D150A"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63" w:type="pct"/>
            <w:tcBorders>
              <w:top w:val="nil"/>
              <w:left w:val="nil"/>
              <w:bottom w:val="single" w:sz="4" w:space="0" w:color="auto"/>
              <w:right w:val="single" w:sz="4" w:space="0" w:color="auto"/>
            </w:tcBorders>
            <w:shd w:val="clear" w:color="auto" w:fill="FCFFFF"/>
            <w:vAlign w:val="center"/>
            <w:hideMark/>
          </w:tcPr>
          <w:p w14:paraId="34BCF2E8"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8" w:type="pct"/>
            <w:tcBorders>
              <w:top w:val="nil"/>
              <w:left w:val="nil"/>
              <w:bottom w:val="single" w:sz="4" w:space="0" w:color="auto"/>
              <w:right w:val="single" w:sz="4" w:space="0" w:color="auto"/>
            </w:tcBorders>
            <w:shd w:val="clear" w:color="auto" w:fill="FCFFFF"/>
            <w:vAlign w:val="center"/>
            <w:hideMark/>
          </w:tcPr>
          <w:p w14:paraId="4FBF72B1"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78" w:type="pct"/>
            <w:tcBorders>
              <w:top w:val="nil"/>
              <w:left w:val="nil"/>
              <w:bottom w:val="single" w:sz="4" w:space="0" w:color="auto"/>
              <w:right w:val="single" w:sz="4" w:space="0" w:color="auto"/>
            </w:tcBorders>
            <w:shd w:val="clear" w:color="auto" w:fill="FCFFFF"/>
            <w:vAlign w:val="center"/>
            <w:hideMark/>
          </w:tcPr>
          <w:p w14:paraId="7E9FC3EB"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r>
      <w:tr w:rsidR="00252FB9" w:rsidRPr="00C25964" w14:paraId="5F292D58" w14:textId="77777777" w:rsidTr="0012551C">
        <w:trPr>
          <w:trHeight w:val="330"/>
          <w:jc w:val="center"/>
        </w:trPr>
        <w:tc>
          <w:tcPr>
            <w:tcW w:w="5000" w:type="pct"/>
            <w:gridSpan w:val="18"/>
            <w:tcBorders>
              <w:top w:val="single" w:sz="4" w:space="0" w:color="auto"/>
              <w:left w:val="single" w:sz="4" w:space="0" w:color="auto"/>
              <w:bottom w:val="single" w:sz="4" w:space="0" w:color="auto"/>
              <w:right w:val="single" w:sz="4" w:space="0" w:color="auto"/>
            </w:tcBorders>
            <w:shd w:val="clear" w:color="auto" w:fill="CCFFD0"/>
            <w:vAlign w:val="center"/>
            <w:hideMark/>
          </w:tcPr>
          <w:p w14:paraId="7D8E8249" w14:textId="77777777" w:rsidR="00252FB9" w:rsidRPr="00C25964" w:rsidRDefault="00252FB9" w:rsidP="00D05F26">
            <w:pPr>
              <w:rPr>
                <w:rFonts w:ascii="Arial Narrow" w:hAnsi="Arial Narrow"/>
                <w:noProof/>
                <w:color w:val="000000"/>
                <w:sz w:val="20"/>
                <w:szCs w:val="20"/>
              </w:rPr>
            </w:pPr>
            <w:r w:rsidRPr="00C25964">
              <w:rPr>
                <w:rFonts w:ascii="Arial Narrow" w:hAnsi="Arial Narrow"/>
                <w:b/>
                <w:noProof/>
                <w:color w:val="008000"/>
                <w:sz w:val="20"/>
              </w:rPr>
              <w:sym w:font="Wingdings" w:char="F09F"/>
            </w:r>
            <w:r w:rsidRPr="00C25964">
              <w:rPr>
                <w:rFonts w:ascii="Arial Narrow" w:hAnsi="Arial Narrow"/>
                <w:b/>
                <w:noProof/>
                <w:color w:val="008000"/>
                <w:sz w:val="20"/>
              </w:rPr>
              <w:t xml:space="preserve"> </w:t>
            </w:r>
            <w:r w:rsidRPr="00C25964">
              <w:rPr>
                <w:rFonts w:ascii="Arial Narrow" w:hAnsi="Arial Narrow"/>
                <w:b/>
                <w:noProof/>
                <w:color w:val="008000"/>
                <w:sz w:val="22"/>
              </w:rPr>
              <w:t>Tjänster som tas upp i tjänsteförteckningen (tjänstemän och tillfälligt anställda)</w:t>
            </w:r>
          </w:p>
        </w:tc>
      </w:tr>
      <w:tr w:rsidR="00252FB9" w:rsidRPr="00C25964" w14:paraId="30B95634" w14:textId="77777777" w:rsidTr="0012551C">
        <w:trPr>
          <w:trHeight w:val="300"/>
          <w:jc w:val="center"/>
        </w:trPr>
        <w:tc>
          <w:tcPr>
            <w:tcW w:w="524" w:type="pct"/>
            <w:vMerge w:val="restart"/>
            <w:tcBorders>
              <w:top w:val="nil"/>
              <w:left w:val="single" w:sz="4" w:space="0" w:color="auto"/>
              <w:bottom w:val="single" w:sz="4" w:space="0" w:color="auto"/>
              <w:right w:val="single" w:sz="4" w:space="0" w:color="auto"/>
            </w:tcBorders>
            <w:shd w:val="clear" w:color="auto" w:fill="FCFFFF"/>
            <w:vAlign w:val="center"/>
            <w:hideMark/>
          </w:tcPr>
          <w:p w14:paraId="49BD6881"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20 01 02 01 – Utgifter för huvudkvarter och representationskontor</w:t>
            </w:r>
          </w:p>
        </w:tc>
        <w:tc>
          <w:tcPr>
            <w:tcW w:w="315" w:type="pct"/>
            <w:tcBorders>
              <w:top w:val="nil"/>
              <w:left w:val="nil"/>
              <w:bottom w:val="single" w:sz="4" w:space="0" w:color="auto"/>
              <w:right w:val="single" w:sz="4" w:space="0" w:color="auto"/>
            </w:tcBorders>
            <w:shd w:val="clear" w:color="auto" w:fill="FCFFFF"/>
            <w:vAlign w:val="center"/>
            <w:hideMark/>
          </w:tcPr>
          <w:p w14:paraId="025EE70C"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Handläggare</w:t>
            </w:r>
          </w:p>
        </w:tc>
        <w:tc>
          <w:tcPr>
            <w:tcW w:w="348" w:type="pct"/>
            <w:tcBorders>
              <w:top w:val="nil"/>
              <w:left w:val="nil"/>
              <w:bottom w:val="single" w:sz="4" w:space="0" w:color="auto"/>
              <w:right w:val="single" w:sz="4" w:space="0" w:color="auto"/>
            </w:tcBorders>
            <w:shd w:val="clear" w:color="auto" w:fill="FCFFFF"/>
            <w:vAlign w:val="center"/>
            <w:hideMark/>
          </w:tcPr>
          <w:p w14:paraId="0DD2641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3</w:t>
            </w:r>
          </w:p>
        </w:tc>
        <w:tc>
          <w:tcPr>
            <w:tcW w:w="178" w:type="pct"/>
            <w:tcBorders>
              <w:top w:val="nil"/>
              <w:left w:val="nil"/>
              <w:bottom w:val="single" w:sz="4" w:space="0" w:color="auto"/>
              <w:right w:val="single" w:sz="4" w:space="0" w:color="auto"/>
            </w:tcBorders>
            <w:shd w:val="clear" w:color="auto" w:fill="FCFFFF"/>
            <w:vAlign w:val="center"/>
            <w:hideMark/>
          </w:tcPr>
          <w:p w14:paraId="5B56B10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0,</w:t>
            </w:r>
            <w:r w:rsidRPr="00C25964">
              <w:rPr>
                <w:rFonts w:ascii="Arial Narrow" w:hAnsi="Arial Narrow"/>
                <w:noProof/>
                <w:color w:val="000000" w:themeColor="text1"/>
                <w:sz w:val="20"/>
                <w:szCs w:val="20"/>
              </w:rPr>
              <w:t>456</w:t>
            </w:r>
          </w:p>
        </w:tc>
        <w:tc>
          <w:tcPr>
            <w:tcW w:w="348" w:type="pct"/>
            <w:tcBorders>
              <w:top w:val="nil"/>
              <w:left w:val="nil"/>
              <w:bottom w:val="single" w:sz="4" w:space="0" w:color="auto"/>
              <w:right w:val="single" w:sz="4" w:space="0" w:color="auto"/>
            </w:tcBorders>
            <w:shd w:val="clear" w:color="auto" w:fill="FCFFFF"/>
            <w:vAlign w:val="center"/>
            <w:hideMark/>
          </w:tcPr>
          <w:p w14:paraId="27D349B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themeColor="text1"/>
                <w:sz w:val="20"/>
                <w:szCs w:val="20"/>
              </w:rPr>
              <w:t>3</w:t>
            </w:r>
          </w:p>
        </w:tc>
        <w:tc>
          <w:tcPr>
            <w:tcW w:w="190" w:type="pct"/>
            <w:tcBorders>
              <w:top w:val="nil"/>
              <w:left w:val="nil"/>
              <w:bottom w:val="single" w:sz="4" w:space="0" w:color="auto"/>
              <w:right w:val="single" w:sz="4" w:space="0" w:color="auto"/>
            </w:tcBorders>
            <w:shd w:val="clear" w:color="auto" w:fill="FCFFFF"/>
            <w:vAlign w:val="center"/>
            <w:hideMark/>
          </w:tcPr>
          <w:p w14:paraId="6FC0C7D3" w14:textId="77777777" w:rsidR="00252FB9" w:rsidRPr="00C25964" w:rsidRDefault="00252FB9" w:rsidP="00D05F26">
            <w:pPr>
              <w:jc w:val="center"/>
              <w:rPr>
                <w:rFonts w:ascii="Arial Narrow" w:hAnsi="Arial Narrow"/>
                <w:noProof/>
                <w:color w:val="000000" w:themeColor="text1"/>
                <w:sz w:val="20"/>
                <w:szCs w:val="20"/>
              </w:rPr>
            </w:pPr>
            <w:r w:rsidRPr="00C25964">
              <w:rPr>
                <w:rFonts w:ascii="Arial Narrow" w:hAnsi="Arial Narrow"/>
                <w:noProof/>
                <w:color w:val="000000"/>
                <w:sz w:val="20"/>
                <w:szCs w:val="20"/>
              </w:rPr>
              <w:t xml:space="preserve"> </w:t>
            </w:r>
            <w:r w:rsidRPr="00C25964">
              <w:rPr>
                <w:rFonts w:ascii="Arial Narrow" w:hAnsi="Arial Narrow"/>
                <w:noProof/>
                <w:color w:val="000000" w:themeColor="text1"/>
                <w:sz w:val="20"/>
                <w:szCs w:val="20"/>
              </w:rPr>
              <w:t> 0,456</w:t>
            </w:r>
          </w:p>
        </w:tc>
        <w:tc>
          <w:tcPr>
            <w:tcW w:w="348" w:type="pct"/>
            <w:tcBorders>
              <w:top w:val="nil"/>
              <w:left w:val="nil"/>
              <w:bottom w:val="single" w:sz="4" w:space="0" w:color="auto"/>
              <w:right w:val="single" w:sz="4" w:space="0" w:color="auto"/>
            </w:tcBorders>
            <w:shd w:val="clear" w:color="auto" w:fill="FCFFFF"/>
            <w:vAlign w:val="center"/>
            <w:hideMark/>
          </w:tcPr>
          <w:p w14:paraId="51BEE6A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0,50</w:t>
            </w:r>
          </w:p>
        </w:tc>
        <w:tc>
          <w:tcPr>
            <w:tcW w:w="178" w:type="pct"/>
            <w:tcBorders>
              <w:top w:val="nil"/>
              <w:left w:val="nil"/>
              <w:bottom w:val="single" w:sz="4" w:space="0" w:color="auto"/>
              <w:right w:val="single" w:sz="4" w:space="0" w:color="auto"/>
            </w:tcBorders>
            <w:shd w:val="clear" w:color="auto" w:fill="FCFFFF"/>
            <w:vAlign w:val="center"/>
            <w:hideMark/>
          </w:tcPr>
          <w:p w14:paraId="23A2ADC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0,076 </w:t>
            </w:r>
          </w:p>
        </w:tc>
        <w:tc>
          <w:tcPr>
            <w:tcW w:w="348" w:type="pct"/>
            <w:tcBorders>
              <w:top w:val="nil"/>
              <w:left w:val="nil"/>
              <w:bottom w:val="single" w:sz="4" w:space="0" w:color="auto"/>
              <w:right w:val="single" w:sz="4" w:space="0" w:color="auto"/>
            </w:tcBorders>
            <w:shd w:val="clear" w:color="auto" w:fill="FCFFFF"/>
            <w:vAlign w:val="center"/>
            <w:hideMark/>
          </w:tcPr>
          <w:p w14:paraId="32F20F8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B4A6C2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1242AA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3840BC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1BC487F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DA1E5A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26F505D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0EE342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6D54236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6</w:t>
            </w:r>
            <w:r w:rsidRPr="00C25964">
              <w:rPr>
                <w:rFonts w:ascii="Arial Narrow" w:hAnsi="Arial Narrow"/>
                <w:noProof/>
                <w:color w:val="000000" w:themeColor="text1"/>
                <w:sz w:val="20"/>
                <w:szCs w:val="20"/>
              </w:rPr>
              <w:t>,5</w:t>
            </w:r>
          </w:p>
        </w:tc>
        <w:tc>
          <w:tcPr>
            <w:tcW w:w="178" w:type="pct"/>
            <w:tcBorders>
              <w:top w:val="nil"/>
              <w:left w:val="nil"/>
              <w:bottom w:val="single" w:sz="4" w:space="0" w:color="auto"/>
              <w:right w:val="single" w:sz="4" w:space="0" w:color="auto"/>
            </w:tcBorders>
            <w:shd w:val="clear" w:color="auto" w:fill="FCFFFF"/>
            <w:vAlign w:val="center"/>
            <w:hideMark/>
          </w:tcPr>
          <w:p w14:paraId="4FDEC85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0,988 </w:t>
            </w:r>
          </w:p>
        </w:tc>
      </w:tr>
      <w:tr w:rsidR="00252FB9" w:rsidRPr="00C25964" w14:paraId="227A25AE" w14:textId="77777777" w:rsidTr="0012551C">
        <w:trPr>
          <w:trHeight w:val="300"/>
          <w:jc w:val="center"/>
        </w:trPr>
        <w:tc>
          <w:tcPr>
            <w:tcW w:w="524" w:type="pct"/>
            <w:vMerge/>
            <w:tcBorders>
              <w:top w:val="nil"/>
              <w:left w:val="single" w:sz="4" w:space="0" w:color="auto"/>
              <w:bottom w:val="single" w:sz="4" w:space="0" w:color="auto"/>
              <w:right w:val="single" w:sz="4" w:space="0" w:color="auto"/>
            </w:tcBorders>
            <w:vAlign w:val="center"/>
            <w:hideMark/>
          </w:tcPr>
          <w:p w14:paraId="512CC821" w14:textId="77777777" w:rsidR="00252FB9" w:rsidRPr="00C25964" w:rsidRDefault="00252FB9" w:rsidP="00D05F26">
            <w:pPr>
              <w:rPr>
                <w:rFonts w:ascii="Arial Narrow" w:hAnsi="Arial Narrow"/>
                <w:noProof/>
                <w:color w:val="000000"/>
                <w:sz w:val="20"/>
                <w:szCs w:val="20"/>
              </w:rPr>
            </w:pPr>
          </w:p>
        </w:tc>
        <w:tc>
          <w:tcPr>
            <w:tcW w:w="315" w:type="pct"/>
            <w:tcBorders>
              <w:top w:val="nil"/>
              <w:left w:val="nil"/>
              <w:bottom w:val="single" w:sz="4" w:space="0" w:color="auto"/>
              <w:right w:val="single" w:sz="4" w:space="0" w:color="auto"/>
            </w:tcBorders>
            <w:shd w:val="clear" w:color="auto" w:fill="FCFFFF"/>
            <w:vAlign w:val="center"/>
            <w:hideMark/>
          </w:tcPr>
          <w:p w14:paraId="3E067F84"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Assistenter</w:t>
            </w:r>
          </w:p>
        </w:tc>
        <w:tc>
          <w:tcPr>
            <w:tcW w:w="348" w:type="pct"/>
            <w:tcBorders>
              <w:top w:val="nil"/>
              <w:left w:val="nil"/>
              <w:bottom w:val="single" w:sz="4" w:space="0" w:color="auto"/>
              <w:right w:val="single" w:sz="4" w:space="0" w:color="auto"/>
            </w:tcBorders>
            <w:shd w:val="clear" w:color="auto" w:fill="FCFFFF"/>
            <w:vAlign w:val="center"/>
            <w:hideMark/>
          </w:tcPr>
          <w:p w14:paraId="1A56C98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0E7D894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0107FE6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90" w:type="pct"/>
            <w:tcBorders>
              <w:top w:val="nil"/>
              <w:left w:val="nil"/>
              <w:bottom w:val="single" w:sz="4" w:space="0" w:color="auto"/>
              <w:right w:val="single" w:sz="4" w:space="0" w:color="auto"/>
            </w:tcBorders>
            <w:shd w:val="clear" w:color="auto" w:fill="FCFFFF"/>
            <w:vAlign w:val="center"/>
            <w:hideMark/>
          </w:tcPr>
          <w:p w14:paraId="2AB6685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32CDA5A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1659BB8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0B7CB5F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A5D036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6D59747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BD668D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0B8148D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9D42B2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5B89841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59C397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15569541" w14:textId="77777777" w:rsidR="00252FB9" w:rsidRPr="00C25964" w:rsidRDefault="00252FB9" w:rsidP="00D05F26">
            <w:pPr>
              <w:jc w:val="center"/>
              <w:rPr>
                <w:rFonts w:ascii="Arial Narrow" w:hAnsi="Arial Narrow"/>
                <w:noProof/>
                <w:color w:val="000000"/>
                <w:sz w:val="20"/>
                <w:szCs w:val="20"/>
              </w:rPr>
            </w:pPr>
          </w:p>
        </w:tc>
        <w:tc>
          <w:tcPr>
            <w:tcW w:w="178" w:type="pct"/>
            <w:tcBorders>
              <w:top w:val="nil"/>
              <w:left w:val="nil"/>
              <w:bottom w:val="single" w:sz="4" w:space="0" w:color="auto"/>
              <w:right w:val="single" w:sz="4" w:space="0" w:color="auto"/>
            </w:tcBorders>
            <w:shd w:val="clear" w:color="auto" w:fill="FCFFFF"/>
            <w:vAlign w:val="center"/>
            <w:hideMark/>
          </w:tcPr>
          <w:p w14:paraId="35A8A978" w14:textId="77777777" w:rsidR="00252FB9" w:rsidRPr="00C25964" w:rsidRDefault="00252FB9" w:rsidP="00D05F26">
            <w:pPr>
              <w:jc w:val="center"/>
              <w:rPr>
                <w:rFonts w:ascii="Arial Narrow" w:hAnsi="Arial Narrow"/>
                <w:noProof/>
                <w:color w:val="000000"/>
                <w:sz w:val="20"/>
                <w:szCs w:val="20"/>
              </w:rPr>
            </w:pPr>
          </w:p>
        </w:tc>
      </w:tr>
      <w:tr w:rsidR="00252FB9" w:rsidRPr="00C25964" w14:paraId="5C8D2657" w14:textId="77777777" w:rsidTr="0012551C">
        <w:trPr>
          <w:trHeight w:val="300"/>
          <w:jc w:val="center"/>
        </w:trPr>
        <w:tc>
          <w:tcPr>
            <w:tcW w:w="524" w:type="pct"/>
            <w:vMerge w:val="restart"/>
            <w:tcBorders>
              <w:top w:val="nil"/>
              <w:left w:val="single" w:sz="4" w:space="0" w:color="auto"/>
              <w:bottom w:val="single" w:sz="4" w:space="0" w:color="auto"/>
              <w:right w:val="single" w:sz="4" w:space="0" w:color="auto"/>
            </w:tcBorders>
            <w:shd w:val="clear" w:color="auto" w:fill="FCFFFF"/>
            <w:vAlign w:val="center"/>
            <w:hideMark/>
          </w:tcPr>
          <w:p w14:paraId="430449D2"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20 01 02 03 (vid delegationer)</w:t>
            </w:r>
          </w:p>
        </w:tc>
        <w:tc>
          <w:tcPr>
            <w:tcW w:w="315" w:type="pct"/>
            <w:tcBorders>
              <w:top w:val="nil"/>
              <w:left w:val="nil"/>
              <w:bottom w:val="single" w:sz="4" w:space="0" w:color="auto"/>
              <w:right w:val="single" w:sz="4" w:space="0" w:color="auto"/>
            </w:tcBorders>
            <w:shd w:val="clear" w:color="auto" w:fill="FCFFFF"/>
            <w:vAlign w:val="center"/>
            <w:hideMark/>
          </w:tcPr>
          <w:p w14:paraId="1690CD51" w14:textId="77777777" w:rsidR="00252FB9" w:rsidRPr="00C25964" w:rsidRDefault="00252FB9" w:rsidP="00D05F26">
            <w:pPr>
              <w:rPr>
                <w:rFonts w:ascii="Arial Narrow" w:hAnsi="Arial Narrow"/>
                <w:noProof/>
                <w:color w:val="000000"/>
                <w:sz w:val="18"/>
                <w:szCs w:val="18"/>
              </w:rPr>
            </w:pPr>
            <w:r w:rsidRPr="00C25964">
              <w:rPr>
                <w:rFonts w:ascii="Arial Narrow" w:hAnsi="Arial Narrow"/>
                <w:noProof/>
                <w:color w:val="000000"/>
                <w:sz w:val="18"/>
                <w:szCs w:val="18"/>
              </w:rPr>
              <w:t xml:space="preserve">   Handläggare</w:t>
            </w:r>
          </w:p>
        </w:tc>
        <w:tc>
          <w:tcPr>
            <w:tcW w:w="348" w:type="pct"/>
            <w:tcBorders>
              <w:top w:val="nil"/>
              <w:left w:val="nil"/>
              <w:bottom w:val="single" w:sz="4" w:space="0" w:color="auto"/>
              <w:right w:val="single" w:sz="4" w:space="0" w:color="auto"/>
            </w:tcBorders>
            <w:shd w:val="clear" w:color="auto" w:fill="FCFFFF"/>
            <w:vAlign w:val="center"/>
            <w:hideMark/>
          </w:tcPr>
          <w:p w14:paraId="4C214F9A"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34F7A31C"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1B392CAF"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90" w:type="pct"/>
            <w:tcBorders>
              <w:top w:val="nil"/>
              <w:left w:val="nil"/>
              <w:bottom w:val="single" w:sz="4" w:space="0" w:color="auto"/>
              <w:right w:val="single" w:sz="4" w:space="0" w:color="auto"/>
            </w:tcBorders>
            <w:shd w:val="clear" w:color="auto" w:fill="FCFFFF"/>
            <w:vAlign w:val="center"/>
            <w:hideMark/>
          </w:tcPr>
          <w:p w14:paraId="7B74024C"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2C891DD0"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23498650"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56B2650E"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4DBBA8E"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C90A5B6"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43225EF"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72E63476"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4778FA0"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79CDB13B"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31528E8"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3DCF2B84" w14:textId="77777777" w:rsidR="00252FB9" w:rsidRPr="00C25964" w:rsidRDefault="00252FB9" w:rsidP="00D05F26">
            <w:pPr>
              <w:rPr>
                <w:rFonts w:ascii="Arial Narrow" w:hAnsi="Arial Narrow"/>
                <w:noProof/>
                <w:color w:val="000000"/>
                <w:sz w:val="20"/>
                <w:szCs w:val="20"/>
              </w:rPr>
            </w:pPr>
          </w:p>
        </w:tc>
        <w:tc>
          <w:tcPr>
            <w:tcW w:w="178" w:type="pct"/>
            <w:tcBorders>
              <w:top w:val="nil"/>
              <w:left w:val="nil"/>
              <w:bottom w:val="single" w:sz="4" w:space="0" w:color="auto"/>
              <w:right w:val="single" w:sz="4" w:space="0" w:color="auto"/>
            </w:tcBorders>
            <w:shd w:val="clear" w:color="auto" w:fill="FCFFFF"/>
            <w:vAlign w:val="center"/>
            <w:hideMark/>
          </w:tcPr>
          <w:p w14:paraId="4FC53B9F" w14:textId="77777777" w:rsidR="00252FB9" w:rsidRPr="00C25964" w:rsidRDefault="00252FB9" w:rsidP="00D05F26">
            <w:pPr>
              <w:rPr>
                <w:rFonts w:ascii="Arial Narrow" w:hAnsi="Arial Narrow"/>
                <w:noProof/>
                <w:color w:val="000000"/>
                <w:sz w:val="20"/>
                <w:szCs w:val="20"/>
              </w:rPr>
            </w:pPr>
          </w:p>
        </w:tc>
      </w:tr>
      <w:tr w:rsidR="00252FB9" w:rsidRPr="00C25964" w14:paraId="53E51A35" w14:textId="77777777" w:rsidTr="0012551C">
        <w:trPr>
          <w:trHeight w:val="300"/>
          <w:jc w:val="center"/>
        </w:trPr>
        <w:tc>
          <w:tcPr>
            <w:tcW w:w="524" w:type="pct"/>
            <w:vMerge/>
            <w:tcBorders>
              <w:top w:val="nil"/>
              <w:left w:val="single" w:sz="4" w:space="0" w:color="auto"/>
              <w:bottom w:val="single" w:sz="4" w:space="0" w:color="auto"/>
              <w:right w:val="single" w:sz="4" w:space="0" w:color="auto"/>
            </w:tcBorders>
            <w:vAlign w:val="center"/>
            <w:hideMark/>
          </w:tcPr>
          <w:p w14:paraId="2E04C0CE" w14:textId="77777777" w:rsidR="00252FB9" w:rsidRPr="00C25964" w:rsidRDefault="00252FB9" w:rsidP="00D05F26">
            <w:pPr>
              <w:rPr>
                <w:rFonts w:ascii="Arial Narrow" w:hAnsi="Arial Narrow"/>
                <w:noProof/>
                <w:color w:val="000000"/>
                <w:sz w:val="20"/>
                <w:szCs w:val="20"/>
              </w:rPr>
            </w:pPr>
          </w:p>
        </w:tc>
        <w:tc>
          <w:tcPr>
            <w:tcW w:w="315" w:type="pct"/>
            <w:tcBorders>
              <w:top w:val="nil"/>
              <w:left w:val="nil"/>
              <w:bottom w:val="single" w:sz="4" w:space="0" w:color="auto"/>
              <w:right w:val="single" w:sz="4" w:space="0" w:color="auto"/>
            </w:tcBorders>
            <w:shd w:val="clear" w:color="auto" w:fill="FCFFFF"/>
            <w:vAlign w:val="center"/>
            <w:hideMark/>
          </w:tcPr>
          <w:p w14:paraId="07657994"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Assistenter</w:t>
            </w:r>
          </w:p>
        </w:tc>
        <w:tc>
          <w:tcPr>
            <w:tcW w:w="348" w:type="pct"/>
            <w:tcBorders>
              <w:top w:val="nil"/>
              <w:left w:val="nil"/>
              <w:bottom w:val="single" w:sz="4" w:space="0" w:color="auto"/>
              <w:right w:val="single" w:sz="4" w:space="0" w:color="auto"/>
            </w:tcBorders>
            <w:shd w:val="clear" w:color="auto" w:fill="FCFFFF"/>
            <w:vAlign w:val="center"/>
            <w:hideMark/>
          </w:tcPr>
          <w:p w14:paraId="5AF5D4F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23F7FC6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7B9A816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90" w:type="pct"/>
            <w:tcBorders>
              <w:top w:val="nil"/>
              <w:left w:val="nil"/>
              <w:bottom w:val="single" w:sz="4" w:space="0" w:color="auto"/>
              <w:right w:val="single" w:sz="4" w:space="0" w:color="auto"/>
            </w:tcBorders>
            <w:shd w:val="clear" w:color="auto" w:fill="FCFFFF"/>
            <w:vAlign w:val="center"/>
            <w:hideMark/>
          </w:tcPr>
          <w:p w14:paraId="7163875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124CDC1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29A542F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405DB7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FC020E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78BAB66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DF5472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35B71E4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D122AD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D0357A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4463C5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6585C8E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5879CE1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70ED7239" w14:textId="77777777" w:rsidTr="0012551C">
        <w:trPr>
          <w:trHeight w:val="300"/>
          <w:jc w:val="center"/>
        </w:trPr>
        <w:tc>
          <w:tcPr>
            <w:tcW w:w="5000" w:type="pct"/>
            <w:gridSpan w:val="18"/>
            <w:tcBorders>
              <w:top w:val="single" w:sz="4" w:space="0" w:color="auto"/>
              <w:left w:val="single" w:sz="4" w:space="0" w:color="auto"/>
              <w:bottom w:val="single" w:sz="4" w:space="0" w:color="auto"/>
              <w:right w:val="single" w:sz="4" w:space="0" w:color="auto"/>
            </w:tcBorders>
            <w:shd w:val="clear" w:color="auto" w:fill="FCFFA1"/>
            <w:vAlign w:val="center"/>
            <w:hideMark/>
          </w:tcPr>
          <w:p w14:paraId="172B3DC5" w14:textId="77777777" w:rsidR="00252FB9" w:rsidRPr="00C25964" w:rsidRDefault="00252FB9" w:rsidP="00D05F26">
            <w:pPr>
              <w:rPr>
                <w:rFonts w:ascii="Arial Narrow" w:hAnsi="Arial Narrow"/>
                <w:noProof/>
                <w:color w:val="000000"/>
                <w:sz w:val="20"/>
                <w:szCs w:val="20"/>
              </w:rPr>
            </w:pPr>
            <w:r w:rsidRPr="00C25964">
              <w:rPr>
                <w:rFonts w:ascii="Arial Narrow" w:hAnsi="Arial Narrow"/>
                <w:b/>
                <w:noProof/>
                <w:color w:val="FF6600"/>
                <w:sz w:val="20"/>
              </w:rPr>
              <w:sym w:font="Wingdings" w:char="F09F"/>
            </w:r>
            <w:r w:rsidRPr="00C25964">
              <w:rPr>
                <w:rFonts w:ascii="Arial Narrow" w:hAnsi="Arial Narrow"/>
                <w:b/>
                <w:bCs/>
                <w:noProof/>
                <w:color w:val="FF6600"/>
                <w:sz w:val="20"/>
                <w:szCs w:val="20"/>
              </w:rPr>
              <w:t xml:space="preserve"> </w:t>
            </w:r>
            <w:r w:rsidRPr="00C25964">
              <w:rPr>
                <w:rFonts w:ascii="Arial Narrow" w:hAnsi="Arial Narrow"/>
                <w:b/>
                <w:bCs/>
                <w:noProof/>
                <w:color w:val="FF6600"/>
                <w:sz w:val="22"/>
              </w:rPr>
              <w:t xml:space="preserve">Extern personal </w:t>
            </w:r>
            <w:r w:rsidRPr="00C25964">
              <w:rPr>
                <w:rStyle w:val="FootnoteReference0"/>
                <w:rFonts w:ascii="Arial Narrow" w:hAnsi="Arial Narrow"/>
                <w:b/>
                <w:bCs/>
                <w:noProof/>
                <w:color w:val="FF0000"/>
                <w:sz w:val="22"/>
              </w:rPr>
              <w:footnoteReference w:id="45"/>
            </w:r>
          </w:p>
        </w:tc>
      </w:tr>
      <w:tr w:rsidR="00252FB9" w:rsidRPr="00C25964" w14:paraId="78E51905" w14:textId="77777777" w:rsidTr="0012551C">
        <w:trPr>
          <w:trHeight w:val="300"/>
          <w:jc w:val="center"/>
        </w:trPr>
        <w:tc>
          <w:tcPr>
            <w:tcW w:w="524" w:type="pct"/>
            <w:vMerge w:val="restart"/>
            <w:tcBorders>
              <w:top w:val="nil"/>
              <w:left w:val="single" w:sz="4" w:space="0" w:color="auto"/>
              <w:bottom w:val="single" w:sz="4" w:space="0" w:color="auto"/>
              <w:right w:val="single" w:sz="4" w:space="0" w:color="auto"/>
            </w:tcBorders>
            <w:shd w:val="clear" w:color="auto" w:fill="FCFFFF"/>
            <w:vAlign w:val="center"/>
            <w:hideMark/>
          </w:tcPr>
          <w:p w14:paraId="6043F5BB"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20 02 01 och 20 02 02 – Extern personal – Huvudkontoret och representationskontoren</w:t>
            </w:r>
          </w:p>
        </w:tc>
        <w:tc>
          <w:tcPr>
            <w:tcW w:w="315" w:type="pct"/>
            <w:tcBorders>
              <w:top w:val="nil"/>
              <w:left w:val="nil"/>
              <w:bottom w:val="single" w:sz="4" w:space="0" w:color="auto"/>
              <w:right w:val="single" w:sz="4" w:space="0" w:color="auto"/>
            </w:tcBorders>
            <w:shd w:val="clear" w:color="auto" w:fill="FCFFFF"/>
            <w:vAlign w:val="center"/>
            <w:hideMark/>
          </w:tcPr>
          <w:p w14:paraId="2A36FF0C" w14:textId="3822737F"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Kontrakts</w:t>
            </w:r>
            <w:r w:rsidR="00796134" w:rsidRPr="00C25964">
              <w:rPr>
                <w:rFonts w:ascii="Arial Narrow" w:hAnsi="Arial Narrow"/>
                <w:noProof/>
                <w:color w:val="000000"/>
                <w:sz w:val="18"/>
                <w:szCs w:val="18"/>
              </w:rPr>
              <w:t>-</w:t>
            </w:r>
            <w:r w:rsidRPr="00C25964">
              <w:rPr>
                <w:rFonts w:ascii="Arial Narrow" w:hAnsi="Arial Narrow"/>
                <w:noProof/>
                <w:color w:val="000000"/>
                <w:sz w:val="18"/>
                <w:szCs w:val="18"/>
              </w:rPr>
              <w:t>anställda</w:t>
            </w:r>
          </w:p>
        </w:tc>
        <w:tc>
          <w:tcPr>
            <w:tcW w:w="348" w:type="pct"/>
            <w:tcBorders>
              <w:top w:val="nil"/>
              <w:left w:val="nil"/>
              <w:bottom w:val="single" w:sz="4" w:space="0" w:color="auto"/>
              <w:right w:val="single" w:sz="4" w:space="0" w:color="auto"/>
            </w:tcBorders>
            <w:shd w:val="clear" w:color="auto" w:fill="FCFFFF"/>
            <w:vAlign w:val="center"/>
            <w:hideMark/>
          </w:tcPr>
          <w:p w14:paraId="1AE3295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3</w:t>
            </w:r>
          </w:p>
        </w:tc>
        <w:tc>
          <w:tcPr>
            <w:tcW w:w="178" w:type="pct"/>
            <w:tcBorders>
              <w:top w:val="nil"/>
              <w:left w:val="nil"/>
              <w:bottom w:val="single" w:sz="4" w:space="0" w:color="auto"/>
              <w:right w:val="single" w:sz="4" w:space="0" w:color="auto"/>
            </w:tcBorders>
            <w:shd w:val="clear" w:color="auto" w:fill="FCFFFF"/>
            <w:vAlign w:val="center"/>
            <w:hideMark/>
          </w:tcPr>
          <w:p w14:paraId="17B6522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0,246 </w:t>
            </w:r>
          </w:p>
        </w:tc>
        <w:tc>
          <w:tcPr>
            <w:tcW w:w="348" w:type="pct"/>
            <w:tcBorders>
              <w:top w:val="nil"/>
              <w:left w:val="nil"/>
              <w:bottom w:val="single" w:sz="4" w:space="0" w:color="auto"/>
              <w:right w:val="single" w:sz="4" w:space="0" w:color="auto"/>
            </w:tcBorders>
            <w:shd w:val="clear" w:color="auto" w:fill="FCFFFF"/>
            <w:vAlign w:val="center"/>
            <w:hideMark/>
          </w:tcPr>
          <w:p w14:paraId="487AE16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8 </w:t>
            </w:r>
          </w:p>
        </w:tc>
        <w:tc>
          <w:tcPr>
            <w:tcW w:w="190" w:type="pct"/>
            <w:tcBorders>
              <w:top w:val="nil"/>
              <w:left w:val="nil"/>
              <w:bottom w:val="single" w:sz="4" w:space="0" w:color="auto"/>
              <w:right w:val="single" w:sz="4" w:space="0" w:color="auto"/>
            </w:tcBorders>
            <w:shd w:val="clear" w:color="auto" w:fill="FCFFFF"/>
            <w:vAlign w:val="center"/>
            <w:hideMark/>
          </w:tcPr>
          <w:p w14:paraId="2D255B6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0,656 </w:t>
            </w:r>
          </w:p>
        </w:tc>
        <w:tc>
          <w:tcPr>
            <w:tcW w:w="348" w:type="pct"/>
            <w:tcBorders>
              <w:top w:val="nil"/>
              <w:left w:val="nil"/>
              <w:bottom w:val="single" w:sz="4" w:space="0" w:color="auto"/>
              <w:right w:val="single" w:sz="4" w:space="0" w:color="auto"/>
            </w:tcBorders>
            <w:shd w:val="clear" w:color="auto" w:fill="FCFFFF"/>
            <w:vAlign w:val="center"/>
            <w:hideMark/>
          </w:tcPr>
          <w:p w14:paraId="0D310A8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2</w:t>
            </w:r>
          </w:p>
        </w:tc>
        <w:tc>
          <w:tcPr>
            <w:tcW w:w="178" w:type="pct"/>
            <w:tcBorders>
              <w:top w:val="nil"/>
              <w:left w:val="nil"/>
              <w:bottom w:val="single" w:sz="4" w:space="0" w:color="auto"/>
              <w:right w:val="single" w:sz="4" w:space="0" w:color="auto"/>
            </w:tcBorders>
            <w:shd w:val="clear" w:color="auto" w:fill="FCFFFF"/>
            <w:vAlign w:val="center"/>
            <w:hideMark/>
          </w:tcPr>
          <w:p w14:paraId="2D6D19F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0,164</w:t>
            </w:r>
          </w:p>
        </w:tc>
        <w:tc>
          <w:tcPr>
            <w:tcW w:w="348" w:type="pct"/>
            <w:tcBorders>
              <w:top w:val="nil"/>
              <w:left w:val="nil"/>
              <w:bottom w:val="single" w:sz="4" w:space="0" w:color="auto"/>
              <w:right w:val="single" w:sz="4" w:space="0" w:color="auto"/>
            </w:tcBorders>
            <w:shd w:val="clear" w:color="auto" w:fill="FCFFFF"/>
            <w:vAlign w:val="center"/>
            <w:hideMark/>
          </w:tcPr>
          <w:p w14:paraId="4D8A9C9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9A5D74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A40556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119E48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7960F62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7CFC0E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1827770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D0EABC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76E0AF6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13 </w:t>
            </w:r>
          </w:p>
        </w:tc>
        <w:tc>
          <w:tcPr>
            <w:tcW w:w="178" w:type="pct"/>
            <w:tcBorders>
              <w:top w:val="nil"/>
              <w:left w:val="nil"/>
              <w:bottom w:val="single" w:sz="4" w:space="0" w:color="auto"/>
              <w:right w:val="single" w:sz="4" w:space="0" w:color="auto"/>
            </w:tcBorders>
            <w:shd w:val="clear" w:color="auto" w:fill="FCFFFF"/>
            <w:vAlign w:val="center"/>
            <w:hideMark/>
          </w:tcPr>
          <w:p w14:paraId="24B618E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1,066 </w:t>
            </w:r>
          </w:p>
        </w:tc>
      </w:tr>
      <w:tr w:rsidR="00252FB9" w:rsidRPr="00C25964" w14:paraId="720A7A15" w14:textId="77777777" w:rsidTr="0012551C">
        <w:trPr>
          <w:trHeight w:val="300"/>
          <w:jc w:val="center"/>
        </w:trPr>
        <w:tc>
          <w:tcPr>
            <w:tcW w:w="524" w:type="pct"/>
            <w:vMerge/>
            <w:tcBorders>
              <w:top w:val="nil"/>
              <w:left w:val="single" w:sz="4" w:space="0" w:color="auto"/>
              <w:bottom w:val="single" w:sz="4" w:space="0" w:color="auto"/>
              <w:right w:val="single" w:sz="4" w:space="0" w:color="auto"/>
            </w:tcBorders>
            <w:vAlign w:val="center"/>
            <w:hideMark/>
          </w:tcPr>
          <w:p w14:paraId="07FDD83F" w14:textId="77777777" w:rsidR="00252FB9" w:rsidRPr="00C25964" w:rsidRDefault="00252FB9" w:rsidP="00D05F26">
            <w:pPr>
              <w:rPr>
                <w:rFonts w:ascii="Arial Narrow" w:hAnsi="Arial Narrow"/>
                <w:noProof/>
                <w:color w:val="000000"/>
                <w:sz w:val="20"/>
                <w:szCs w:val="20"/>
              </w:rPr>
            </w:pPr>
          </w:p>
        </w:tc>
        <w:tc>
          <w:tcPr>
            <w:tcW w:w="315" w:type="pct"/>
            <w:tcBorders>
              <w:top w:val="nil"/>
              <w:left w:val="nil"/>
              <w:bottom w:val="single" w:sz="4" w:space="0" w:color="auto"/>
              <w:right w:val="single" w:sz="4" w:space="0" w:color="auto"/>
            </w:tcBorders>
            <w:shd w:val="clear" w:color="auto" w:fill="FCFFFF"/>
            <w:vAlign w:val="center"/>
            <w:hideMark/>
          </w:tcPr>
          <w:p w14:paraId="305D8D14"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Nationella experter</w:t>
            </w:r>
          </w:p>
        </w:tc>
        <w:tc>
          <w:tcPr>
            <w:tcW w:w="348" w:type="pct"/>
            <w:tcBorders>
              <w:top w:val="nil"/>
              <w:left w:val="nil"/>
              <w:bottom w:val="single" w:sz="4" w:space="0" w:color="auto"/>
              <w:right w:val="single" w:sz="4" w:space="0" w:color="auto"/>
            </w:tcBorders>
            <w:shd w:val="clear" w:color="auto" w:fill="FCFFFF"/>
            <w:vAlign w:val="center"/>
            <w:hideMark/>
          </w:tcPr>
          <w:p w14:paraId="0FFA07D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060B993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0601080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90" w:type="pct"/>
            <w:tcBorders>
              <w:top w:val="nil"/>
              <w:left w:val="nil"/>
              <w:bottom w:val="single" w:sz="4" w:space="0" w:color="auto"/>
              <w:right w:val="single" w:sz="4" w:space="0" w:color="auto"/>
            </w:tcBorders>
            <w:shd w:val="clear" w:color="auto" w:fill="FCFFFF"/>
            <w:vAlign w:val="center"/>
            <w:hideMark/>
          </w:tcPr>
          <w:p w14:paraId="709EC25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1592B23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37CABDF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77E6A77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6B347E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06DB959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106555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5B04A6C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C7ECE4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07BD27A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EA8118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10B567A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1A560BA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6EEE3580" w14:textId="77777777" w:rsidTr="0012551C">
        <w:trPr>
          <w:trHeight w:val="300"/>
          <w:jc w:val="center"/>
        </w:trPr>
        <w:tc>
          <w:tcPr>
            <w:tcW w:w="524" w:type="pct"/>
            <w:vMerge/>
            <w:tcBorders>
              <w:top w:val="nil"/>
              <w:left w:val="single" w:sz="4" w:space="0" w:color="auto"/>
              <w:bottom w:val="single" w:sz="4" w:space="0" w:color="auto"/>
              <w:right w:val="single" w:sz="4" w:space="0" w:color="auto"/>
            </w:tcBorders>
            <w:vAlign w:val="center"/>
            <w:hideMark/>
          </w:tcPr>
          <w:p w14:paraId="16FA651A" w14:textId="77777777" w:rsidR="00252FB9" w:rsidRPr="00C25964" w:rsidRDefault="00252FB9" w:rsidP="00D05F26">
            <w:pPr>
              <w:rPr>
                <w:rFonts w:ascii="Arial Narrow" w:hAnsi="Arial Narrow"/>
                <w:noProof/>
                <w:color w:val="000000"/>
                <w:sz w:val="20"/>
                <w:szCs w:val="20"/>
              </w:rPr>
            </w:pPr>
          </w:p>
        </w:tc>
        <w:tc>
          <w:tcPr>
            <w:tcW w:w="315" w:type="pct"/>
            <w:tcBorders>
              <w:top w:val="nil"/>
              <w:left w:val="nil"/>
              <w:bottom w:val="single" w:sz="4" w:space="0" w:color="auto"/>
              <w:right w:val="single" w:sz="4" w:space="0" w:color="auto"/>
            </w:tcBorders>
            <w:shd w:val="clear" w:color="auto" w:fill="FCFFFF"/>
            <w:vAlign w:val="center"/>
            <w:hideMark/>
          </w:tcPr>
          <w:p w14:paraId="1F055876"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Tillfällig personal</w:t>
            </w:r>
          </w:p>
        </w:tc>
        <w:tc>
          <w:tcPr>
            <w:tcW w:w="348" w:type="pct"/>
            <w:tcBorders>
              <w:top w:val="nil"/>
              <w:left w:val="nil"/>
              <w:bottom w:val="single" w:sz="4" w:space="0" w:color="auto"/>
              <w:right w:val="single" w:sz="4" w:space="0" w:color="auto"/>
            </w:tcBorders>
            <w:shd w:val="clear" w:color="auto" w:fill="FCFFFF"/>
            <w:vAlign w:val="center"/>
            <w:hideMark/>
          </w:tcPr>
          <w:p w14:paraId="2B1F5B5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3</w:t>
            </w:r>
          </w:p>
        </w:tc>
        <w:tc>
          <w:tcPr>
            <w:tcW w:w="178" w:type="pct"/>
            <w:tcBorders>
              <w:top w:val="nil"/>
              <w:left w:val="nil"/>
              <w:bottom w:val="single" w:sz="4" w:space="0" w:color="auto"/>
              <w:right w:val="single" w:sz="4" w:space="0" w:color="auto"/>
            </w:tcBorders>
            <w:shd w:val="clear" w:color="auto" w:fill="FCFFFF"/>
            <w:vAlign w:val="center"/>
            <w:hideMark/>
          </w:tcPr>
          <w:p w14:paraId="6CFF11F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themeColor="text1"/>
                <w:sz w:val="20"/>
                <w:szCs w:val="20"/>
              </w:rPr>
              <w:t>0,246</w:t>
            </w: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1060D48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3</w:t>
            </w:r>
          </w:p>
        </w:tc>
        <w:tc>
          <w:tcPr>
            <w:tcW w:w="190" w:type="pct"/>
            <w:tcBorders>
              <w:top w:val="nil"/>
              <w:left w:val="nil"/>
              <w:bottom w:val="single" w:sz="4" w:space="0" w:color="auto"/>
              <w:right w:val="single" w:sz="4" w:space="0" w:color="auto"/>
            </w:tcBorders>
            <w:shd w:val="clear" w:color="auto" w:fill="FCFFFF"/>
            <w:vAlign w:val="center"/>
            <w:hideMark/>
          </w:tcPr>
          <w:p w14:paraId="6DC6D21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r w:rsidRPr="00C25964">
              <w:rPr>
                <w:rFonts w:ascii="Arial Narrow" w:hAnsi="Arial Narrow"/>
                <w:noProof/>
                <w:color w:val="000000" w:themeColor="text1"/>
                <w:sz w:val="20"/>
                <w:szCs w:val="20"/>
              </w:rPr>
              <w:t>0,246</w:t>
            </w:r>
          </w:p>
        </w:tc>
        <w:tc>
          <w:tcPr>
            <w:tcW w:w="348" w:type="pct"/>
            <w:tcBorders>
              <w:top w:val="nil"/>
              <w:left w:val="nil"/>
              <w:bottom w:val="single" w:sz="4" w:space="0" w:color="auto"/>
              <w:right w:val="single" w:sz="4" w:space="0" w:color="auto"/>
            </w:tcBorders>
            <w:shd w:val="clear" w:color="auto" w:fill="FCFFFF"/>
            <w:vAlign w:val="center"/>
            <w:hideMark/>
          </w:tcPr>
          <w:p w14:paraId="7F77281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1949723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31AE7D1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E00E90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53F8113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EBA931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06A91D0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0CBDA1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77A1C1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2955F2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276F194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6</w:t>
            </w:r>
          </w:p>
        </w:tc>
        <w:tc>
          <w:tcPr>
            <w:tcW w:w="178" w:type="pct"/>
            <w:tcBorders>
              <w:top w:val="nil"/>
              <w:left w:val="nil"/>
              <w:bottom w:val="single" w:sz="4" w:space="0" w:color="auto"/>
              <w:right w:val="single" w:sz="4" w:space="0" w:color="auto"/>
            </w:tcBorders>
            <w:shd w:val="clear" w:color="auto" w:fill="FCFFFF"/>
            <w:vAlign w:val="center"/>
            <w:hideMark/>
          </w:tcPr>
          <w:p w14:paraId="6C28A92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0,492 </w:t>
            </w:r>
          </w:p>
        </w:tc>
      </w:tr>
      <w:tr w:rsidR="00252FB9" w:rsidRPr="00C25964" w14:paraId="6795C051" w14:textId="77777777" w:rsidTr="0012551C">
        <w:trPr>
          <w:trHeight w:val="300"/>
          <w:jc w:val="center"/>
        </w:trPr>
        <w:tc>
          <w:tcPr>
            <w:tcW w:w="524" w:type="pct"/>
            <w:vMerge w:val="restart"/>
            <w:tcBorders>
              <w:top w:val="nil"/>
              <w:left w:val="single" w:sz="4" w:space="0" w:color="auto"/>
              <w:bottom w:val="single" w:sz="4" w:space="0" w:color="auto"/>
              <w:right w:val="single" w:sz="4" w:space="0" w:color="auto"/>
            </w:tcBorders>
            <w:shd w:val="clear" w:color="auto" w:fill="FCFFFF"/>
            <w:vAlign w:val="center"/>
            <w:hideMark/>
          </w:tcPr>
          <w:p w14:paraId="438764EA"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20 02 03 – extern personal – unionens delegationer</w:t>
            </w:r>
          </w:p>
        </w:tc>
        <w:tc>
          <w:tcPr>
            <w:tcW w:w="315" w:type="pct"/>
            <w:tcBorders>
              <w:top w:val="nil"/>
              <w:left w:val="nil"/>
              <w:bottom w:val="single" w:sz="4" w:space="0" w:color="auto"/>
              <w:right w:val="single" w:sz="4" w:space="0" w:color="auto"/>
            </w:tcBorders>
            <w:shd w:val="clear" w:color="auto" w:fill="FCFFFF"/>
            <w:vAlign w:val="center"/>
            <w:hideMark/>
          </w:tcPr>
          <w:p w14:paraId="3C3730C3" w14:textId="17F97C60"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Kontrakts</w:t>
            </w:r>
            <w:r w:rsidR="00796134" w:rsidRPr="00C25964">
              <w:rPr>
                <w:rFonts w:ascii="Arial Narrow" w:hAnsi="Arial Narrow"/>
                <w:noProof/>
                <w:color w:val="000000"/>
                <w:sz w:val="18"/>
                <w:szCs w:val="18"/>
              </w:rPr>
              <w:t>-</w:t>
            </w:r>
            <w:r w:rsidRPr="00C25964">
              <w:rPr>
                <w:rFonts w:ascii="Arial Narrow" w:hAnsi="Arial Narrow"/>
                <w:noProof/>
                <w:color w:val="000000"/>
                <w:sz w:val="18"/>
                <w:szCs w:val="18"/>
              </w:rPr>
              <w:t>anställda</w:t>
            </w:r>
          </w:p>
        </w:tc>
        <w:tc>
          <w:tcPr>
            <w:tcW w:w="348" w:type="pct"/>
            <w:tcBorders>
              <w:top w:val="nil"/>
              <w:left w:val="nil"/>
              <w:bottom w:val="single" w:sz="4" w:space="0" w:color="auto"/>
              <w:right w:val="single" w:sz="4" w:space="0" w:color="auto"/>
            </w:tcBorders>
            <w:shd w:val="clear" w:color="auto" w:fill="FCFFFF"/>
            <w:vAlign w:val="center"/>
            <w:hideMark/>
          </w:tcPr>
          <w:p w14:paraId="2C5674D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0BCC56D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392B17B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90" w:type="pct"/>
            <w:tcBorders>
              <w:top w:val="nil"/>
              <w:left w:val="nil"/>
              <w:bottom w:val="single" w:sz="4" w:space="0" w:color="auto"/>
              <w:right w:val="single" w:sz="4" w:space="0" w:color="auto"/>
            </w:tcBorders>
            <w:shd w:val="clear" w:color="auto" w:fill="FCFFFF"/>
            <w:vAlign w:val="center"/>
            <w:hideMark/>
          </w:tcPr>
          <w:p w14:paraId="4539C37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540D5D7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1FC85E6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64DA4EA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608A0E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3411B34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616AFB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F5EBC1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061BCC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095028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F8DD64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6F62014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1DD74C4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2BA26CFF" w14:textId="77777777" w:rsidTr="0012551C">
        <w:trPr>
          <w:trHeight w:val="300"/>
          <w:jc w:val="center"/>
        </w:trPr>
        <w:tc>
          <w:tcPr>
            <w:tcW w:w="524" w:type="pct"/>
            <w:vMerge/>
            <w:tcBorders>
              <w:top w:val="nil"/>
              <w:left w:val="single" w:sz="4" w:space="0" w:color="auto"/>
              <w:bottom w:val="single" w:sz="4" w:space="0" w:color="auto"/>
              <w:right w:val="single" w:sz="4" w:space="0" w:color="auto"/>
            </w:tcBorders>
            <w:vAlign w:val="center"/>
            <w:hideMark/>
          </w:tcPr>
          <w:p w14:paraId="76FFC7AD" w14:textId="77777777" w:rsidR="00252FB9" w:rsidRPr="00C25964" w:rsidRDefault="00252FB9" w:rsidP="00D05F26">
            <w:pPr>
              <w:rPr>
                <w:rFonts w:ascii="Arial Narrow" w:hAnsi="Arial Narrow"/>
                <w:noProof/>
                <w:color w:val="000000"/>
                <w:sz w:val="20"/>
                <w:szCs w:val="20"/>
              </w:rPr>
            </w:pPr>
          </w:p>
        </w:tc>
        <w:tc>
          <w:tcPr>
            <w:tcW w:w="315" w:type="pct"/>
            <w:tcBorders>
              <w:top w:val="nil"/>
              <w:left w:val="nil"/>
              <w:bottom w:val="single" w:sz="4" w:space="0" w:color="auto"/>
              <w:right w:val="single" w:sz="4" w:space="0" w:color="auto"/>
            </w:tcBorders>
            <w:shd w:val="clear" w:color="auto" w:fill="FCFFFF"/>
            <w:vAlign w:val="center"/>
            <w:hideMark/>
          </w:tcPr>
          <w:p w14:paraId="4D9C3966"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 xml:space="preserve">Lokalt anställda </w:t>
            </w:r>
          </w:p>
        </w:tc>
        <w:tc>
          <w:tcPr>
            <w:tcW w:w="348" w:type="pct"/>
            <w:tcBorders>
              <w:top w:val="nil"/>
              <w:left w:val="nil"/>
              <w:bottom w:val="single" w:sz="4" w:space="0" w:color="auto"/>
              <w:right w:val="single" w:sz="4" w:space="0" w:color="auto"/>
            </w:tcBorders>
            <w:shd w:val="clear" w:color="auto" w:fill="FCFFFF"/>
            <w:vAlign w:val="center"/>
            <w:hideMark/>
          </w:tcPr>
          <w:p w14:paraId="7D52DA2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6E8779F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5E5F896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90" w:type="pct"/>
            <w:tcBorders>
              <w:top w:val="nil"/>
              <w:left w:val="nil"/>
              <w:bottom w:val="single" w:sz="4" w:space="0" w:color="auto"/>
              <w:right w:val="single" w:sz="4" w:space="0" w:color="auto"/>
            </w:tcBorders>
            <w:shd w:val="clear" w:color="auto" w:fill="FCFFFF"/>
            <w:vAlign w:val="center"/>
            <w:hideMark/>
          </w:tcPr>
          <w:p w14:paraId="1226C13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73CFD09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0682411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E08028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455892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007A5E2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17BBE1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3339293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2EFF24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3A2EAE4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BE1299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780493F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62AD40F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6EF8D29B" w14:textId="77777777" w:rsidTr="0012551C">
        <w:trPr>
          <w:trHeight w:val="300"/>
          <w:jc w:val="center"/>
        </w:trPr>
        <w:tc>
          <w:tcPr>
            <w:tcW w:w="524" w:type="pct"/>
            <w:vMerge/>
            <w:tcBorders>
              <w:top w:val="nil"/>
              <w:left w:val="single" w:sz="4" w:space="0" w:color="auto"/>
              <w:bottom w:val="single" w:sz="4" w:space="0" w:color="auto"/>
              <w:right w:val="single" w:sz="4" w:space="0" w:color="auto"/>
            </w:tcBorders>
            <w:vAlign w:val="center"/>
            <w:hideMark/>
          </w:tcPr>
          <w:p w14:paraId="113C32A1" w14:textId="77777777" w:rsidR="00252FB9" w:rsidRPr="00C25964" w:rsidRDefault="00252FB9" w:rsidP="00D05F26">
            <w:pPr>
              <w:rPr>
                <w:rFonts w:ascii="Arial Narrow" w:hAnsi="Arial Narrow"/>
                <w:noProof/>
                <w:color w:val="000000"/>
                <w:sz w:val="20"/>
                <w:szCs w:val="20"/>
              </w:rPr>
            </w:pPr>
          </w:p>
        </w:tc>
        <w:tc>
          <w:tcPr>
            <w:tcW w:w="315" w:type="pct"/>
            <w:tcBorders>
              <w:top w:val="nil"/>
              <w:left w:val="nil"/>
              <w:bottom w:val="single" w:sz="4" w:space="0" w:color="auto"/>
              <w:right w:val="single" w:sz="4" w:space="0" w:color="auto"/>
            </w:tcBorders>
            <w:shd w:val="clear" w:color="auto" w:fill="FCFFFF"/>
            <w:vAlign w:val="center"/>
            <w:hideMark/>
          </w:tcPr>
          <w:p w14:paraId="4D6F029C"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Nationella experter</w:t>
            </w:r>
          </w:p>
        </w:tc>
        <w:tc>
          <w:tcPr>
            <w:tcW w:w="348" w:type="pct"/>
            <w:tcBorders>
              <w:top w:val="nil"/>
              <w:left w:val="nil"/>
              <w:bottom w:val="single" w:sz="4" w:space="0" w:color="auto"/>
              <w:right w:val="single" w:sz="4" w:space="0" w:color="auto"/>
            </w:tcBorders>
            <w:shd w:val="clear" w:color="auto" w:fill="FCFFFF"/>
            <w:vAlign w:val="center"/>
            <w:hideMark/>
          </w:tcPr>
          <w:p w14:paraId="36C3F66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16CFF40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2D195F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90" w:type="pct"/>
            <w:tcBorders>
              <w:top w:val="nil"/>
              <w:left w:val="nil"/>
              <w:bottom w:val="single" w:sz="4" w:space="0" w:color="auto"/>
              <w:right w:val="single" w:sz="4" w:space="0" w:color="auto"/>
            </w:tcBorders>
            <w:shd w:val="clear" w:color="auto" w:fill="FCFFFF"/>
            <w:vAlign w:val="center"/>
            <w:hideMark/>
          </w:tcPr>
          <w:p w14:paraId="7D742F3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6D44AAD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7E5C0EF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2CB61CF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1826C2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637CCD8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5E5329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04D3C64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B6AFE7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62B1FA0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0D262C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0223F33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3835473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6E6D82E0" w14:textId="77777777" w:rsidTr="0012551C">
        <w:trPr>
          <w:trHeight w:val="300"/>
          <w:jc w:val="center"/>
        </w:trPr>
        <w:tc>
          <w:tcPr>
            <w:tcW w:w="524" w:type="pct"/>
            <w:vMerge/>
            <w:tcBorders>
              <w:top w:val="nil"/>
              <w:left w:val="single" w:sz="4" w:space="0" w:color="auto"/>
              <w:bottom w:val="single" w:sz="4" w:space="0" w:color="auto"/>
              <w:right w:val="single" w:sz="4" w:space="0" w:color="auto"/>
            </w:tcBorders>
            <w:vAlign w:val="center"/>
            <w:hideMark/>
          </w:tcPr>
          <w:p w14:paraId="5AB470CE" w14:textId="77777777" w:rsidR="00252FB9" w:rsidRPr="00C25964" w:rsidRDefault="00252FB9" w:rsidP="00D05F26">
            <w:pPr>
              <w:rPr>
                <w:rFonts w:ascii="Arial Narrow" w:hAnsi="Arial Narrow"/>
                <w:noProof/>
                <w:color w:val="000000"/>
                <w:sz w:val="20"/>
                <w:szCs w:val="20"/>
              </w:rPr>
            </w:pPr>
          </w:p>
        </w:tc>
        <w:tc>
          <w:tcPr>
            <w:tcW w:w="315" w:type="pct"/>
            <w:tcBorders>
              <w:top w:val="nil"/>
              <w:left w:val="nil"/>
              <w:bottom w:val="single" w:sz="4" w:space="0" w:color="auto"/>
              <w:right w:val="single" w:sz="4" w:space="0" w:color="auto"/>
            </w:tcBorders>
            <w:shd w:val="clear" w:color="auto" w:fill="FCFFFF"/>
            <w:vAlign w:val="center"/>
            <w:hideMark/>
          </w:tcPr>
          <w:p w14:paraId="57586946"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Tillfällig personal</w:t>
            </w:r>
          </w:p>
        </w:tc>
        <w:tc>
          <w:tcPr>
            <w:tcW w:w="348" w:type="pct"/>
            <w:tcBorders>
              <w:top w:val="nil"/>
              <w:left w:val="nil"/>
              <w:bottom w:val="single" w:sz="4" w:space="0" w:color="auto"/>
              <w:right w:val="single" w:sz="4" w:space="0" w:color="auto"/>
            </w:tcBorders>
            <w:shd w:val="clear" w:color="auto" w:fill="FCFFFF"/>
            <w:vAlign w:val="center"/>
            <w:hideMark/>
          </w:tcPr>
          <w:p w14:paraId="75CB857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1BCCC4D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19A7F0A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90" w:type="pct"/>
            <w:tcBorders>
              <w:top w:val="nil"/>
              <w:left w:val="nil"/>
              <w:bottom w:val="single" w:sz="4" w:space="0" w:color="auto"/>
              <w:right w:val="single" w:sz="4" w:space="0" w:color="auto"/>
            </w:tcBorders>
            <w:shd w:val="clear" w:color="auto" w:fill="FCFFFF"/>
            <w:vAlign w:val="center"/>
            <w:hideMark/>
          </w:tcPr>
          <w:p w14:paraId="5AC8F9C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6B226A4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2255229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371C658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76EC24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F1F20E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83D862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6B511A6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16FBCB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56A7685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F5B6DE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2193567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2C69B5B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01056424" w14:textId="77777777" w:rsidTr="0012551C">
        <w:trPr>
          <w:trHeight w:val="300"/>
          <w:jc w:val="center"/>
        </w:trPr>
        <w:tc>
          <w:tcPr>
            <w:tcW w:w="524" w:type="pct"/>
            <w:vMerge/>
            <w:tcBorders>
              <w:top w:val="nil"/>
              <w:left w:val="single" w:sz="4" w:space="0" w:color="auto"/>
              <w:bottom w:val="single" w:sz="4" w:space="0" w:color="auto"/>
              <w:right w:val="single" w:sz="4" w:space="0" w:color="auto"/>
            </w:tcBorders>
            <w:vAlign w:val="center"/>
            <w:hideMark/>
          </w:tcPr>
          <w:p w14:paraId="7A42B133" w14:textId="77777777" w:rsidR="00252FB9" w:rsidRPr="00C25964" w:rsidRDefault="00252FB9" w:rsidP="00D05F26">
            <w:pPr>
              <w:rPr>
                <w:rFonts w:ascii="Arial Narrow" w:hAnsi="Arial Narrow"/>
                <w:noProof/>
                <w:color w:val="000000"/>
                <w:sz w:val="20"/>
                <w:szCs w:val="20"/>
              </w:rPr>
            </w:pPr>
          </w:p>
        </w:tc>
        <w:tc>
          <w:tcPr>
            <w:tcW w:w="315" w:type="pct"/>
            <w:tcBorders>
              <w:top w:val="nil"/>
              <w:left w:val="nil"/>
              <w:bottom w:val="single" w:sz="4" w:space="0" w:color="auto"/>
              <w:right w:val="single" w:sz="4" w:space="0" w:color="auto"/>
            </w:tcBorders>
            <w:shd w:val="clear" w:color="auto" w:fill="FCFFFF"/>
            <w:vAlign w:val="center"/>
            <w:hideMark/>
          </w:tcPr>
          <w:p w14:paraId="6B94EC08"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Unga experter som arbetar vid delegationerna</w:t>
            </w:r>
          </w:p>
        </w:tc>
        <w:tc>
          <w:tcPr>
            <w:tcW w:w="348" w:type="pct"/>
            <w:tcBorders>
              <w:top w:val="nil"/>
              <w:left w:val="nil"/>
              <w:bottom w:val="single" w:sz="4" w:space="0" w:color="auto"/>
              <w:right w:val="single" w:sz="4" w:space="0" w:color="auto"/>
            </w:tcBorders>
            <w:shd w:val="clear" w:color="auto" w:fill="FCFFFF"/>
            <w:vAlign w:val="center"/>
            <w:hideMark/>
          </w:tcPr>
          <w:p w14:paraId="4B2FEE8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08DDD7F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1B2869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90" w:type="pct"/>
            <w:tcBorders>
              <w:top w:val="nil"/>
              <w:left w:val="nil"/>
              <w:bottom w:val="single" w:sz="4" w:space="0" w:color="auto"/>
              <w:right w:val="single" w:sz="4" w:space="0" w:color="auto"/>
            </w:tcBorders>
            <w:shd w:val="clear" w:color="auto" w:fill="FCFFFF"/>
            <w:vAlign w:val="center"/>
            <w:hideMark/>
          </w:tcPr>
          <w:p w14:paraId="78E2AF6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2B705DC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10CBA20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6F1463A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C3FC77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35D443A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B34174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086E3F8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8873EF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78729F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7612D2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560E6E9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02B5518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4A35AA99" w14:textId="77777777" w:rsidTr="0012551C">
        <w:trPr>
          <w:trHeight w:val="300"/>
          <w:jc w:val="center"/>
        </w:trPr>
        <w:tc>
          <w:tcPr>
            <w:tcW w:w="524" w:type="pct"/>
            <w:tcBorders>
              <w:top w:val="nil"/>
              <w:left w:val="single" w:sz="4" w:space="0" w:color="auto"/>
              <w:bottom w:val="single" w:sz="4" w:space="0" w:color="auto"/>
              <w:right w:val="single" w:sz="4" w:space="0" w:color="auto"/>
            </w:tcBorders>
            <w:shd w:val="clear" w:color="auto" w:fill="FCFFFF"/>
            <w:vAlign w:val="center"/>
            <w:hideMark/>
          </w:tcPr>
          <w:p w14:paraId="46DF601E"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Annan budgetpost för personalresurser (</w:t>
            </w:r>
            <w:r w:rsidRPr="00C25964">
              <w:rPr>
                <w:rFonts w:ascii="Arial Narrow" w:hAnsi="Arial Narrow"/>
                <w:i/>
                <w:iCs/>
                <w:noProof/>
                <w:color w:val="000000"/>
                <w:sz w:val="20"/>
                <w:szCs w:val="20"/>
              </w:rPr>
              <w:t>ange vilken</w:t>
            </w:r>
            <w:r w:rsidRPr="00C25964">
              <w:rPr>
                <w:rFonts w:ascii="Arial Narrow" w:hAnsi="Arial Narrow"/>
                <w:noProof/>
                <w:color w:val="000000"/>
                <w:sz w:val="20"/>
                <w:szCs w:val="20"/>
              </w:rPr>
              <w:t>)</w:t>
            </w:r>
          </w:p>
        </w:tc>
        <w:tc>
          <w:tcPr>
            <w:tcW w:w="315" w:type="pct"/>
            <w:tcBorders>
              <w:top w:val="nil"/>
              <w:left w:val="nil"/>
              <w:bottom w:val="single" w:sz="4" w:space="0" w:color="auto"/>
              <w:right w:val="single" w:sz="4" w:space="0" w:color="auto"/>
            </w:tcBorders>
            <w:shd w:val="clear" w:color="auto" w:fill="FCFFFF"/>
            <w:vAlign w:val="center"/>
            <w:hideMark/>
          </w:tcPr>
          <w:p w14:paraId="027741BA"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3421335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78BB885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D6A6C7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90" w:type="pct"/>
            <w:tcBorders>
              <w:top w:val="nil"/>
              <w:left w:val="nil"/>
              <w:bottom w:val="single" w:sz="4" w:space="0" w:color="auto"/>
              <w:right w:val="single" w:sz="4" w:space="0" w:color="auto"/>
            </w:tcBorders>
            <w:shd w:val="clear" w:color="auto" w:fill="FCFFFF"/>
            <w:vAlign w:val="center"/>
            <w:hideMark/>
          </w:tcPr>
          <w:p w14:paraId="06D0CD0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13575D2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199DEE4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5AC9C67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9D0C74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297A0A7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9F16ED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4E3643F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2DA190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53FDC64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9AD65B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nil"/>
              <w:left w:val="nil"/>
              <w:bottom w:val="single" w:sz="4" w:space="0" w:color="auto"/>
              <w:right w:val="single" w:sz="4" w:space="0" w:color="auto"/>
            </w:tcBorders>
            <w:shd w:val="clear" w:color="auto" w:fill="FCFFFF"/>
            <w:vAlign w:val="center"/>
            <w:hideMark/>
          </w:tcPr>
          <w:p w14:paraId="1C2507D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78" w:type="pct"/>
            <w:tcBorders>
              <w:top w:val="nil"/>
              <w:left w:val="nil"/>
              <w:bottom w:val="single" w:sz="4" w:space="0" w:color="auto"/>
              <w:right w:val="single" w:sz="4" w:space="0" w:color="auto"/>
            </w:tcBorders>
            <w:shd w:val="clear" w:color="auto" w:fill="FCFFFF"/>
            <w:vAlign w:val="center"/>
            <w:hideMark/>
          </w:tcPr>
          <w:p w14:paraId="53AA601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36B5CF7B" w14:textId="77777777" w:rsidTr="0012551C">
        <w:trPr>
          <w:trHeight w:val="546"/>
          <w:jc w:val="center"/>
        </w:trPr>
        <w:tc>
          <w:tcPr>
            <w:tcW w:w="524"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07DE91AB"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b/>
                <w:bCs/>
                <w:noProof/>
                <w:color w:val="000000"/>
                <w:sz w:val="22"/>
              </w:rPr>
              <w:t>Delsumma RUBRIK 7</w:t>
            </w:r>
          </w:p>
        </w:tc>
        <w:tc>
          <w:tcPr>
            <w:tcW w:w="315"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0086F7AF"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 xml:space="preserve"> </w:t>
            </w:r>
          </w:p>
        </w:tc>
        <w:tc>
          <w:tcPr>
            <w:tcW w:w="348"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54D8AEA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9</w:t>
            </w:r>
          </w:p>
        </w:tc>
        <w:tc>
          <w:tcPr>
            <w:tcW w:w="178"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17B0C10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0,948</w:t>
            </w:r>
          </w:p>
        </w:tc>
        <w:tc>
          <w:tcPr>
            <w:tcW w:w="348"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72E989E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14</w:t>
            </w:r>
          </w:p>
        </w:tc>
        <w:tc>
          <w:tcPr>
            <w:tcW w:w="190"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045D09E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1,358 </w:t>
            </w:r>
          </w:p>
        </w:tc>
        <w:tc>
          <w:tcPr>
            <w:tcW w:w="348"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00520E2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2,50</w:t>
            </w:r>
          </w:p>
        </w:tc>
        <w:tc>
          <w:tcPr>
            <w:tcW w:w="178"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66F4E3B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0,240</w:t>
            </w:r>
          </w:p>
        </w:tc>
        <w:tc>
          <w:tcPr>
            <w:tcW w:w="348"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5BD0307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5CDFC5F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0FBB00F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14216C0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613965D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7205A0A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5CF130E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2BEE396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8"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6D1E022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25,5 </w:t>
            </w:r>
          </w:p>
        </w:tc>
        <w:tc>
          <w:tcPr>
            <w:tcW w:w="178"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33469B0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2,546 </w:t>
            </w:r>
          </w:p>
        </w:tc>
      </w:tr>
    </w:tbl>
    <w:p w14:paraId="77E57227" w14:textId="77777777" w:rsidR="00252FB9" w:rsidRPr="00C25964" w:rsidRDefault="00252FB9" w:rsidP="00252FB9">
      <w:pPr>
        <w:pStyle w:val="Text1"/>
        <w:spacing w:before="0" w:after="0"/>
        <w:ind w:left="-540" w:right="-694"/>
        <w:rPr>
          <w:noProof/>
          <w:sz w:val="18"/>
        </w:rPr>
      </w:pPr>
      <w:r w:rsidRPr="00C25964">
        <w:rPr>
          <w:noProof/>
          <w:sz w:val="18"/>
        </w:rPr>
        <w:t>Personalbehoven ska täckas med personal inom generaldirektoratet vilka redan har avdelats för förvaltningen av åtgärden i fråga, och/eller genom en omfördelning av personal inom generaldirektoratet, om så krävs efter komplettering med ytterligare resurser som kan tilldelas det förvaltande generaldirektoratet som ett led i det årliga förfarandet för tilldelning av anslag och med hänsyn tagen till begränsningar i fråga om budgetmedel.</w:t>
      </w:r>
    </w:p>
    <w:p w14:paraId="38594585" w14:textId="77777777" w:rsidR="00252FB9" w:rsidRPr="00C25964" w:rsidRDefault="00252FB9" w:rsidP="00252FB9">
      <w:pPr>
        <w:pStyle w:val="Text1"/>
        <w:spacing w:before="0" w:after="0"/>
        <w:ind w:left="-540" w:right="-694"/>
        <w:rPr>
          <w:noProof/>
          <w:sz w:val="18"/>
        </w:rPr>
      </w:pPr>
    </w:p>
    <w:p w14:paraId="53CCC2D3" w14:textId="77777777" w:rsidR="00252FB9" w:rsidRPr="00C25964" w:rsidRDefault="00252FB9" w:rsidP="00252FB9">
      <w:pPr>
        <w:pStyle w:val="Text1"/>
        <w:spacing w:before="0" w:after="0"/>
        <w:ind w:left="-540" w:right="-694"/>
        <w:rPr>
          <w:noProof/>
          <w:sz w:val="18"/>
        </w:rPr>
      </w:pPr>
    </w:p>
    <w:p w14:paraId="715B0BBD" w14:textId="77777777" w:rsidR="00252FB9" w:rsidRPr="00C25964" w:rsidDel="00597C1E" w:rsidRDefault="00252FB9" w:rsidP="00252FB9">
      <w:pPr>
        <w:pStyle w:val="Text1"/>
        <w:spacing w:before="0" w:after="0"/>
        <w:ind w:left="-540" w:right="-694"/>
        <w:rPr>
          <w:rFonts w:ascii="Arial Narrow" w:hAnsi="Arial Narrow"/>
          <w:iCs/>
          <w:noProof/>
          <w:sz w:val="6"/>
          <w:szCs w:val="6"/>
        </w:rPr>
      </w:pPr>
      <w:r w:rsidRPr="00C25964">
        <w:rPr>
          <w:noProof/>
        </w:rPr>
        <w:tab/>
      </w:r>
    </w:p>
    <w:tbl>
      <w:tblPr>
        <w:tblW w:w="5000" w:type="pct"/>
        <w:jc w:val="center"/>
        <w:tblLook w:val="04A0" w:firstRow="1" w:lastRow="0" w:firstColumn="1" w:lastColumn="0" w:noHBand="0" w:noVBand="1"/>
      </w:tblPr>
      <w:tblGrid>
        <w:gridCol w:w="771"/>
        <w:gridCol w:w="905"/>
        <w:gridCol w:w="863"/>
        <w:gridCol w:w="946"/>
        <w:gridCol w:w="482"/>
        <w:gridCol w:w="946"/>
        <w:gridCol w:w="482"/>
        <w:gridCol w:w="946"/>
        <w:gridCol w:w="482"/>
        <w:gridCol w:w="946"/>
        <w:gridCol w:w="482"/>
        <w:gridCol w:w="946"/>
        <w:gridCol w:w="482"/>
        <w:gridCol w:w="946"/>
        <w:gridCol w:w="482"/>
        <w:gridCol w:w="946"/>
        <w:gridCol w:w="482"/>
        <w:gridCol w:w="946"/>
        <w:gridCol w:w="482"/>
      </w:tblGrid>
      <w:tr w:rsidR="00252FB9" w:rsidRPr="00C25964" w14:paraId="259B71F5" w14:textId="77777777" w:rsidTr="0012551C">
        <w:trPr>
          <w:trHeight w:val="330"/>
          <w:jc w:val="center"/>
        </w:trPr>
        <w:tc>
          <w:tcPr>
            <w:tcW w:w="922" w:type="pct"/>
            <w:gridSpan w:val="3"/>
            <w:vMerge w:val="restart"/>
            <w:tcBorders>
              <w:top w:val="single" w:sz="4" w:space="0" w:color="auto"/>
              <w:left w:val="single" w:sz="4" w:space="0" w:color="auto"/>
              <w:right w:val="single" w:sz="4" w:space="0" w:color="auto"/>
            </w:tcBorders>
            <w:shd w:val="clear" w:color="auto" w:fill="E2E2E2"/>
            <w:vAlign w:val="center"/>
            <w:hideMark/>
          </w:tcPr>
          <w:p w14:paraId="4CDE51DD" w14:textId="77777777" w:rsidR="00252FB9" w:rsidRPr="00C25964" w:rsidRDefault="00252FB9" w:rsidP="00D05F26">
            <w:pPr>
              <w:jc w:val="center"/>
              <w:rPr>
                <w:rFonts w:ascii="Arial Narrow" w:hAnsi="Arial Narrow"/>
                <w:b/>
                <w:bCs/>
                <w:noProof/>
                <w:color w:val="000000"/>
                <w:sz w:val="22"/>
              </w:rPr>
            </w:pPr>
            <w:bookmarkStart w:id="62" w:name="_GoBack"/>
            <w:r w:rsidRPr="00C25964">
              <w:rPr>
                <w:rFonts w:ascii="Arial Narrow" w:hAnsi="Arial Narrow"/>
                <w:b/>
                <w:bCs/>
                <w:noProof/>
                <w:color w:val="000000"/>
                <w:sz w:val="22"/>
              </w:rPr>
              <w:t>Utanför RUBRIK 7</w:t>
            </w:r>
          </w:p>
          <w:p w14:paraId="07F75D09"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noProof/>
                <w:color w:val="000000"/>
                <w:sz w:val="22"/>
              </w:rPr>
              <w:t>i den fleråriga budgetramen</w:t>
            </w:r>
          </w:p>
        </w:tc>
        <w:tc>
          <w:tcPr>
            <w:tcW w:w="510" w:type="pct"/>
            <w:gridSpan w:val="2"/>
            <w:tcBorders>
              <w:top w:val="single" w:sz="4" w:space="0" w:color="auto"/>
              <w:left w:val="nil"/>
              <w:bottom w:val="single" w:sz="4" w:space="0" w:color="auto"/>
              <w:right w:val="single" w:sz="4" w:space="0" w:color="auto"/>
            </w:tcBorders>
            <w:shd w:val="clear" w:color="auto" w:fill="FCFFFF"/>
            <w:vAlign w:val="center"/>
            <w:hideMark/>
          </w:tcPr>
          <w:p w14:paraId="37B8DC44"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2021</w:t>
            </w:r>
          </w:p>
        </w:tc>
        <w:tc>
          <w:tcPr>
            <w:tcW w:w="510" w:type="pct"/>
            <w:gridSpan w:val="2"/>
            <w:tcBorders>
              <w:top w:val="single" w:sz="4" w:space="0" w:color="auto"/>
              <w:left w:val="nil"/>
              <w:bottom w:val="single" w:sz="4" w:space="0" w:color="auto"/>
              <w:right w:val="single" w:sz="4" w:space="0" w:color="auto"/>
            </w:tcBorders>
            <w:shd w:val="clear" w:color="auto" w:fill="FCFFFF"/>
            <w:vAlign w:val="center"/>
            <w:hideMark/>
          </w:tcPr>
          <w:p w14:paraId="49E6E6CF"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2022</w:t>
            </w:r>
          </w:p>
        </w:tc>
        <w:tc>
          <w:tcPr>
            <w:tcW w:w="510" w:type="pct"/>
            <w:gridSpan w:val="2"/>
            <w:tcBorders>
              <w:top w:val="single" w:sz="4" w:space="0" w:color="auto"/>
              <w:left w:val="nil"/>
              <w:bottom w:val="single" w:sz="4" w:space="0" w:color="auto"/>
              <w:right w:val="single" w:sz="4" w:space="0" w:color="auto"/>
            </w:tcBorders>
            <w:shd w:val="clear" w:color="auto" w:fill="FCFFFF"/>
            <w:vAlign w:val="center"/>
            <w:hideMark/>
          </w:tcPr>
          <w:p w14:paraId="3A315F54"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2023</w:t>
            </w:r>
          </w:p>
        </w:tc>
        <w:tc>
          <w:tcPr>
            <w:tcW w:w="510" w:type="pct"/>
            <w:gridSpan w:val="2"/>
            <w:tcBorders>
              <w:top w:val="single" w:sz="4" w:space="0" w:color="auto"/>
              <w:left w:val="nil"/>
              <w:bottom w:val="single" w:sz="4" w:space="0" w:color="auto"/>
              <w:right w:val="single" w:sz="4" w:space="0" w:color="auto"/>
            </w:tcBorders>
            <w:shd w:val="clear" w:color="auto" w:fill="FCFFFF"/>
            <w:vAlign w:val="center"/>
            <w:hideMark/>
          </w:tcPr>
          <w:p w14:paraId="1322E1F9"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n+3</w:t>
            </w:r>
          </w:p>
        </w:tc>
        <w:tc>
          <w:tcPr>
            <w:tcW w:w="510" w:type="pct"/>
            <w:gridSpan w:val="2"/>
            <w:tcBorders>
              <w:top w:val="single" w:sz="4" w:space="0" w:color="auto"/>
              <w:left w:val="nil"/>
              <w:bottom w:val="single" w:sz="4" w:space="0" w:color="auto"/>
              <w:right w:val="single" w:sz="4" w:space="0" w:color="auto"/>
            </w:tcBorders>
            <w:shd w:val="clear" w:color="auto" w:fill="FCFFFF"/>
            <w:vAlign w:val="center"/>
            <w:hideMark/>
          </w:tcPr>
          <w:p w14:paraId="3C43D9BC"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n+4</w:t>
            </w:r>
          </w:p>
        </w:tc>
        <w:tc>
          <w:tcPr>
            <w:tcW w:w="510" w:type="pct"/>
            <w:gridSpan w:val="2"/>
            <w:tcBorders>
              <w:top w:val="single" w:sz="4" w:space="0" w:color="auto"/>
              <w:left w:val="nil"/>
              <w:bottom w:val="single" w:sz="4" w:space="0" w:color="auto"/>
              <w:right w:val="single" w:sz="4" w:space="0" w:color="auto"/>
            </w:tcBorders>
            <w:shd w:val="clear" w:color="auto" w:fill="FCFFFF"/>
            <w:vAlign w:val="center"/>
            <w:hideMark/>
          </w:tcPr>
          <w:p w14:paraId="1204D7B1"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n+5</w:t>
            </w:r>
          </w:p>
        </w:tc>
        <w:tc>
          <w:tcPr>
            <w:tcW w:w="510" w:type="pct"/>
            <w:gridSpan w:val="2"/>
            <w:tcBorders>
              <w:top w:val="single" w:sz="4" w:space="0" w:color="auto"/>
              <w:left w:val="nil"/>
              <w:bottom w:val="single" w:sz="4" w:space="0" w:color="auto"/>
              <w:right w:val="single" w:sz="4" w:space="0" w:color="auto"/>
            </w:tcBorders>
            <w:shd w:val="clear" w:color="auto" w:fill="FCFFFF"/>
            <w:vAlign w:val="center"/>
            <w:hideMark/>
          </w:tcPr>
          <w:p w14:paraId="5ED36556"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n+7</w:t>
            </w:r>
          </w:p>
        </w:tc>
        <w:tc>
          <w:tcPr>
            <w:tcW w:w="510" w:type="pct"/>
            <w:gridSpan w:val="2"/>
            <w:tcBorders>
              <w:top w:val="single" w:sz="4" w:space="0" w:color="auto"/>
              <w:left w:val="nil"/>
              <w:bottom w:val="single" w:sz="4" w:space="0" w:color="auto"/>
              <w:right w:val="single" w:sz="4" w:space="0" w:color="auto"/>
            </w:tcBorders>
            <w:shd w:val="clear" w:color="auto" w:fill="FCFFFF"/>
            <w:vAlign w:val="center"/>
            <w:hideMark/>
          </w:tcPr>
          <w:p w14:paraId="6EE36B62"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TOTALT</w:t>
            </w:r>
          </w:p>
        </w:tc>
      </w:tr>
      <w:tr w:rsidR="00252FB9" w:rsidRPr="00C25964" w14:paraId="447261B3" w14:textId="77777777" w:rsidTr="0012551C">
        <w:trPr>
          <w:trHeight w:val="510"/>
          <w:jc w:val="center"/>
        </w:trPr>
        <w:tc>
          <w:tcPr>
            <w:tcW w:w="922" w:type="pct"/>
            <w:gridSpan w:val="3"/>
            <w:vMerge/>
            <w:tcBorders>
              <w:left w:val="single" w:sz="4" w:space="0" w:color="auto"/>
              <w:bottom w:val="single" w:sz="4" w:space="0" w:color="auto"/>
              <w:right w:val="single" w:sz="4" w:space="0" w:color="auto"/>
            </w:tcBorders>
            <w:shd w:val="pct50" w:color="C0C0C0" w:fill="E2E2E2"/>
            <w:vAlign w:val="center"/>
            <w:hideMark/>
          </w:tcPr>
          <w:p w14:paraId="576F9872" w14:textId="77777777" w:rsidR="00252FB9" w:rsidRPr="00C25964" w:rsidRDefault="00252FB9" w:rsidP="00D05F26">
            <w:pPr>
              <w:jc w:val="center"/>
              <w:rPr>
                <w:rFonts w:ascii="Arial Narrow" w:hAnsi="Arial Narrow"/>
                <w:noProof/>
                <w:color w:val="000000"/>
                <w:sz w:val="22"/>
              </w:rPr>
            </w:pPr>
          </w:p>
        </w:tc>
        <w:tc>
          <w:tcPr>
            <w:tcW w:w="347" w:type="pct"/>
            <w:tcBorders>
              <w:top w:val="nil"/>
              <w:left w:val="nil"/>
              <w:bottom w:val="single" w:sz="4" w:space="0" w:color="auto"/>
              <w:right w:val="single" w:sz="4" w:space="0" w:color="auto"/>
            </w:tcBorders>
            <w:shd w:val="clear" w:color="auto" w:fill="FCFFFF"/>
            <w:vAlign w:val="center"/>
            <w:hideMark/>
          </w:tcPr>
          <w:p w14:paraId="6F384273"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63" w:type="pct"/>
            <w:tcBorders>
              <w:top w:val="nil"/>
              <w:left w:val="nil"/>
              <w:bottom w:val="single" w:sz="4" w:space="0" w:color="auto"/>
              <w:right w:val="single" w:sz="4" w:space="0" w:color="auto"/>
            </w:tcBorders>
            <w:shd w:val="clear" w:color="auto" w:fill="FCFFFF"/>
            <w:vAlign w:val="center"/>
            <w:hideMark/>
          </w:tcPr>
          <w:p w14:paraId="5C5A2B57"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7" w:type="pct"/>
            <w:tcBorders>
              <w:top w:val="nil"/>
              <w:left w:val="nil"/>
              <w:bottom w:val="single" w:sz="4" w:space="0" w:color="auto"/>
              <w:right w:val="single" w:sz="4" w:space="0" w:color="auto"/>
            </w:tcBorders>
            <w:shd w:val="clear" w:color="auto" w:fill="FCFFFF"/>
            <w:vAlign w:val="center"/>
            <w:hideMark/>
          </w:tcPr>
          <w:p w14:paraId="0A3D824C"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63" w:type="pct"/>
            <w:tcBorders>
              <w:top w:val="nil"/>
              <w:left w:val="nil"/>
              <w:bottom w:val="single" w:sz="4" w:space="0" w:color="auto"/>
              <w:right w:val="single" w:sz="4" w:space="0" w:color="auto"/>
            </w:tcBorders>
            <w:shd w:val="clear" w:color="auto" w:fill="FCFFFF"/>
            <w:vAlign w:val="center"/>
            <w:hideMark/>
          </w:tcPr>
          <w:p w14:paraId="74BC6157"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7" w:type="pct"/>
            <w:tcBorders>
              <w:top w:val="nil"/>
              <w:left w:val="nil"/>
              <w:bottom w:val="single" w:sz="4" w:space="0" w:color="auto"/>
              <w:right w:val="single" w:sz="4" w:space="0" w:color="auto"/>
            </w:tcBorders>
            <w:shd w:val="clear" w:color="auto" w:fill="FCFFFF"/>
            <w:vAlign w:val="center"/>
            <w:hideMark/>
          </w:tcPr>
          <w:p w14:paraId="79EF4E99"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63" w:type="pct"/>
            <w:tcBorders>
              <w:top w:val="nil"/>
              <w:left w:val="nil"/>
              <w:bottom w:val="single" w:sz="4" w:space="0" w:color="auto"/>
              <w:right w:val="single" w:sz="4" w:space="0" w:color="auto"/>
            </w:tcBorders>
            <w:shd w:val="clear" w:color="auto" w:fill="FCFFFF"/>
            <w:vAlign w:val="center"/>
            <w:hideMark/>
          </w:tcPr>
          <w:p w14:paraId="6CA7377E"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7" w:type="pct"/>
            <w:tcBorders>
              <w:top w:val="nil"/>
              <w:left w:val="nil"/>
              <w:bottom w:val="single" w:sz="4" w:space="0" w:color="auto"/>
              <w:right w:val="single" w:sz="4" w:space="0" w:color="auto"/>
            </w:tcBorders>
            <w:shd w:val="clear" w:color="auto" w:fill="FCFFFF"/>
            <w:vAlign w:val="center"/>
            <w:hideMark/>
          </w:tcPr>
          <w:p w14:paraId="6608DCF9"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63" w:type="pct"/>
            <w:tcBorders>
              <w:top w:val="nil"/>
              <w:left w:val="nil"/>
              <w:bottom w:val="single" w:sz="4" w:space="0" w:color="auto"/>
              <w:right w:val="single" w:sz="4" w:space="0" w:color="auto"/>
            </w:tcBorders>
            <w:shd w:val="clear" w:color="auto" w:fill="FCFFFF"/>
            <w:vAlign w:val="center"/>
            <w:hideMark/>
          </w:tcPr>
          <w:p w14:paraId="7D123490"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7" w:type="pct"/>
            <w:tcBorders>
              <w:top w:val="nil"/>
              <w:left w:val="nil"/>
              <w:bottom w:val="single" w:sz="4" w:space="0" w:color="auto"/>
              <w:right w:val="single" w:sz="4" w:space="0" w:color="auto"/>
            </w:tcBorders>
            <w:shd w:val="clear" w:color="auto" w:fill="FCFFFF"/>
            <w:vAlign w:val="center"/>
            <w:hideMark/>
          </w:tcPr>
          <w:p w14:paraId="3E777F09"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63" w:type="pct"/>
            <w:tcBorders>
              <w:top w:val="nil"/>
              <w:left w:val="nil"/>
              <w:bottom w:val="single" w:sz="4" w:space="0" w:color="auto"/>
              <w:right w:val="single" w:sz="4" w:space="0" w:color="auto"/>
            </w:tcBorders>
            <w:shd w:val="clear" w:color="auto" w:fill="FCFFFF"/>
            <w:vAlign w:val="center"/>
            <w:hideMark/>
          </w:tcPr>
          <w:p w14:paraId="09514687"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7" w:type="pct"/>
            <w:tcBorders>
              <w:top w:val="nil"/>
              <w:left w:val="nil"/>
              <w:bottom w:val="single" w:sz="4" w:space="0" w:color="auto"/>
              <w:right w:val="single" w:sz="4" w:space="0" w:color="auto"/>
            </w:tcBorders>
            <w:shd w:val="clear" w:color="auto" w:fill="FCFFFF"/>
            <w:vAlign w:val="center"/>
            <w:hideMark/>
          </w:tcPr>
          <w:p w14:paraId="0E0B5CBF"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63" w:type="pct"/>
            <w:tcBorders>
              <w:top w:val="nil"/>
              <w:left w:val="nil"/>
              <w:bottom w:val="single" w:sz="4" w:space="0" w:color="auto"/>
              <w:right w:val="single" w:sz="4" w:space="0" w:color="auto"/>
            </w:tcBorders>
            <w:shd w:val="clear" w:color="auto" w:fill="FCFFFF"/>
            <w:vAlign w:val="center"/>
            <w:hideMark/>
          </w:tcPr>
          <w:p w14:paraId="64F1CB99"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7" w:type="pct"/>
            <w:tcBorders>
              <w:top w:val="nil"/>
              <w:left w:val="nil"/>
              <w:bottom w:val="single" w:sz="4" w:space="0" w:color="auto"/>
              <w:right w:val="single" w:sz="4" w:space="0" w:color="auto"/>
            </w:tcBorders>
            <w:shd w:val="clear" w:color="auto" w:fill="FCFFFF"/>
            <w:vAlign w:val="center"/>
            <w:hideMark/>
          </w:tcPr>
          <w:p w14:paraId="2B1C9FF9"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63" w:type="pct"/>
            <w:tcBorders>
              <w:top w:val="nil"/>
              <w:left w:val="nil"/>
              <w:bottom w:val="single" w:sz="4" w:space="0" w:color="auto"/>
              <w:right w:val="single" w:sz="4" w:space="0" w:color="auto"/>
            </w:tcBorders>
            <w:shd w:val="clear" w:color="auto" w:fill="FCFFFF"/>
            <w:vAlign w:val="center"/>
            <w:hideMark/>
          </w:tcPr>
          <w:p w14:paraId="0431E2CF"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c>
          <w:tcPr>
            <w:tcW w:w="347" w:type="pct"/>
            <w:tcBorders>
              <w:top w:val="nil"/>
              <w:left w:val="nil"/>
              <w:bottom w:val="single" w:sz="4" w:space="0" w:color="auto"/>
              <w:right w:val="single" w:sz="4" w:space="0" w:color="auto"/>
            </w:tcBorders>
            <w:shd w:val="clear" w:color="auto" w:fill="FCFFFF"/>
            <w:vAlign w:val="center"/>
            <w:hideMark/>
          </w:tcPr>
          <w:p w14:paraId="08D6E064"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Heltidsekvivalenter</w:t>
            </w:r>
          </w:p>
        </w:tc>
        <w:tc>
          <w:tcPr>
            <w:tcW w:w="163" w:type="pct"/>
            <w:tcBorders>
              <w:top w:val="nil"/>
              <w:left w:val="nil"/>
              <w:bottom w:val="single" w:sz="4" w:space="0" w:color="auto"/>
              <w:right w:val="single" w:sz="4" w:space="0" w:color="auto"/>
            </w:tcBorders>
            <w:shd w:val="clear" w:color="auto" w:fill="FCFFFF"/>
            <w:vAlign w:val="center"/>
            <w:hideMark/>
          </w:tcPr>
          <w:p w14:paraId="366B10DB" w14:textId="77777777" w:rsidR="00252FB9" w:rsidRPr="00C25964" w:rsidRDefault="00252FB9" w:rsidP="00D05F26">
            <w:pPr>
              <w:jc w:val="center"/>
              <w:rPr>
                <w:rFonts w:ascii="Arial Narrow" w:hAnsi="Arial Narrow"/>
                <w:noProof/>
                <w:color w:val="000000"/>
                <w:sz w:val="16"/>
                <w:szCs w:val="16"/>
              </w:rPr>
            </w:pPr>
            <w:r w:rsidRPr="00C25964">
              <w:rPr>
                <w:rFonts w:ascii="Arial Narrow" w:hAnsi="Arial Narrow"/>
                <w:noProof/>
                <w:color w:val="000000"/>
                <w:sz w:val="16"/>
                <w:szCs w:val="16"/>
              </w:rPr>
              <w:t>Anslag</w:t>
            </w:r>
          </w:p>
        </w:tc>
      </w:tr>
      <w:tr w:rsidR="00252FB9" w:rsidRPr="00C25964" w14:paraId="6793DD76" w14:textId="77777777" w:rsidTr="0012551C">
        <w:trPr>
          <w:trHeight w:val="300"/>
          <w:jc w:val="center"/>
        </w:trPr>
        <w:tc>
          <w:tcPr>
            <w:tcW w:w="5000" w:type="pct"/>
            <w:gridSpan w:val="19"/>
            <w:tcBorders>
              <w:top w:val="single" w:sz="4" w:space="0" w:color="auto"/>
              <w:left w:val="single" w:sz="4" w:space="0" w:color="auto"/>
              <w:bottom w:val="single" w:sz="4" w:space="0" w:color="auto"/>
              <w:right w:val="single" w:sz="4" w:space="0" w:color="auto"/>
            </w:tcBorders>
            <w:shd w:val="clear" w:color="auto" w:fill="CCFFD0"/>
            <w:vAlign w:val="center"/>
            <w:hideMark/>
          </w:tcPr>
          <w:p w14:paraId="731AD615" w14:textId="77777777" w:rsidR="00252FB9" w:rsidRPr="00C25964" w:rsidRDefault="00252FB9" w:rsidP="00D05F26">
            <w:pPr>
              <w:rPr>
                <w:rFonts w:ascii="Wingdings" w:hAnsi="Wingdings"/>
                <w:b/>
                <w:bCs/>
                <w:noProof/>
                <w:color w:val="008000"/>
                <w:sz w:val="20"/>
                <w:szCs w:val="20"/>
              </w:rPr>
            </w:pPr>
            <w:r w:rsidRPr="00C25964">
              <w:rPr>
                <w:rFonts w:ascii="Arial Narrow" w:hAnsi="Arial Narrow"/>
                <w:b/>
                <w:noProof/>
                <w:color w:val="008000"/>
                <w:sz w:val="20"/>
              </w:rPr>
              <w:sym w:font="Wingdings" w:char="F09F"/>
            </w:r>
            <w:r w:rsidRPr="00C25964">
              <w:rPr>
                <w:rFonts w:ascii="Arial Narrow" w:hAnsi="Arial Narrow"/>
                <w:b/>
                <w:noProof/>
                <w:color w:val="008000"/>
                <w:sz w:val="20"/>
              </w:rPr>
              <w:t xml:space="preserve"> </w:t>
            </w:r>
            <w:r w:rsidRPr="00C25964">
              <w:rPr>
                <w:rFonts w:ascii="Arial Narrow" w:hAnsi="Arial Narrow"/>
                <w:b/>
                <w:noProof/>
                <w:color w:val="008000"/>
                <w:sz w:val="22"/>
              </w:rPr>
              <w:t>Tjänster som tas upp i tjänsteförteckningen (tjänstemän och tillfälligt anställda)</w:t>
            </w:r>
          </w:p>
        </w:tc>
      </w:tr>
      <w:tr w:rsidR="00252FB9" w:rsidRPr="00C25964" w14:paraId="6B038C8B" w14:textId="77777777" w:rsidTr="0012551C">
        <w:trPr>
          <w:trHeight w:val="300"/>
          <w:jc w:val="center"/>
        </w:trPr>
        <w:tc>
          <w:tcPr>
            <w:tcW w:w="608" w:type="pct"/>
            <w:gridSpan w:val="2"/>
            <w:vMerge w:val="restart"/>
            <w:tcBorders>
              <w:top w:val="single" w:sz="4" w:space="0" w:color="auto"/>
              <w:left w:val="single" w:sz="4" w:space="0" w:color="auto"/>
              <w:bottom w:val="single" w:sz="4" w:space="0" w:color="auto"/>
              <w:right w:val="single" w:sz="4" w:space="0" w:color="auto"/>
            </w:tcBorders>
            <w:shd w:val="clear" w:color="auto" w:fill="FCFFFF"/>
            <w:vAlign w:val="center"/>
            <w:hideMark/>
          </w:tcPr>
          <w:p w14:paraId="2EA3DF32"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01 01 01 01 Indirekta forskningsåtgärder</w:t>
            </w:r>
            <w:r w:rsidRPr="00C25964">
              <w:rPr>
                <w:rStyle w:val="FootnoteReference0"/>
                <w:rFonts w:ascii="Arial Narrow" w:hAnsi="Arial Narrow"/>
                <w:noProof/>
                <w:color w:val="000000"/>
                <w:sz w:val="20"/>
                <w:szCs w:val="20"/>
              </w:rPr>
              <w:footnoteReference w:id="46"/>
            </w:r>
          </w:p>
          <w:p w14:paraId="5FB64725"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01 01 01 11 Direkta forskningsåtgärder</w:t>
            </w:r>
          </w:p>
          <w:p w14:paraId="6ED4494E"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Annat (precisera)</w:t>
            </w:r>
          </w:p>
        </w:tc>
        <w:tc>
          <w:tcPr>
            <w:tcW w:w="314" w:type="pct"/>
            <w:tcBorders>
              <w:top w:val="nil"/>
              <w:left w:val="nil"/>
              <w:bottom w:val="single" w:sz="4" w:space="0" w:color="auto"/>
              <w:right w:val="single" w:sz="4" w:space="0" w:color="auto"/>
            </w:tcBorders>
            <w:shd w:val="clear" w:color="auto" w:fill="FCFFFF"/>
            <w:vAlign w:val="center"/>
            <w:hideMark/>
          </w:tcPr>
          <w:p w14:paraId="610D20A2"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Handläggare</w:t>
            </w:r>
          </w:p>
        </w:tc>
        <w:tc>
          <w:tcPr>
            <w:tcW w:w="347" w:type="pct"/>
            <w:tcBorders>
              <w:top w:val="nil"/>
              <w:left w:val="nil"/>
              <w:bottom w:val="single" w:sz="4" w:space="0" w:color="auto"/>
              <w:right w:val="single" w:sz="4" w:space="0" w:color="auto"/>
            </w:tcBorders>
            <w:shd w:val="clear" w:color="auto" w:fill="FCFFFF"/>
            <w:vAlign w:val="center"/>
            <w:hideMark/>
          </w:tcPr>
          <w:p w14:paraId="4FA9C4E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EF310B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DD5AEB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99CD26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040F2D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6B1F7A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475B25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2472E5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FCA645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2789DD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184D514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934AFF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255085E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D2CE41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E3696D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F45FCE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4FF0D548" w14:textId="77777777" w:rsidTr="0012551C">
        <w:trPr>
          <w:trHeight w:val="300"/>
          <w:jc w:val="center"/>
        </w:trPr>
        <w:tc>
          <w:tcPr>
            <w:tcW w:w="608" w:type="pct"/>
            <w:gridSpan w:val="2"/>
            <w:vMerge/>
            <w:tcBorders>
              <w:top w:val="single" w:sz="4" w:space="0" w:color="auto"/>
              <w:left w:val="single" w:sz="4" w:space="0" w:color="auto"/>
              <w:bottom w:val="single" w:sz="4" w:space="0" w:color="auto"/>
              <w:right w:val="single" w:sz="4" w:space="0" w:color="auto"/>
            </w:tcBorders>
            <w:vAlign w:val="center"/>
            <w:hideMark/>
          </w:tcPr>
          <w:p w14:paraId="0233A8E9" w14:textId="77777777" w:rsidR="00252FB9" w:rsidRPr="00C25964" w:rsidRDefault="00252FB9" w:rsidP="00D05F26">
            <w:pPr>
              <w:rPr>
                <w:rFonts w:ascii="Arial Narrow" w:hAnsi="Arial Narrow"/>
                <w:noProof/>
                <w:color w:val="000000"/>
                <w:sz w:val="20"/>
                <w:szCs w:val="20"/>
              </w:rPr>
            </w:pPr>
          </w:p>
        </w:tc>
        <w:tc>
          <w:tcPr>
            <w:tcW w:w="314" w:type="pct"/>
            <w:tcBorders>
              <w:top w:val="nil"/>
              <w:left w:val="nil"/>
              <w:bottom w:val="single" w:sz="4" w:space="0" w:color="auto"/>
              <w:right w:val="single" w:sz="4" w:space="0" w:color="auto"/>
            </w:tcBorders>
            <w:shd w:val="clear" w:color="auto" w:fill="FCFFFF"/>
            <w:vAlign w:val="center"/>
            <w:hideMark/>
          </w:tcPr>
          <w:p w14:paraId="12E3A23A"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Assistenter</w:t>
            </w:r>
          </w:p>
        </w:tc>
        <w:tc>
          <w:tcPr>
            <w:tcW w:w="347" w:type="pct"/>
            <w:tcBorders>
              <w:top w:val="nil"/>
              <w:left w:val="nil"/>
              <w:bottom w:val="single" w:sz="4" w:space="0" w:color="auto"/>
              <w:right w:val="single" w:sz="4" w:space="0" w:color="auto"/>
            </w:tcBorders>
            <w:shd w:val="clear" w:color="auto" w:fill="FCFFFF"/>
            <w:vAlign w:val="center"/>
            <w:hideMark/>
          </w:tcPr>
          <w:p w14:paraId="41D34BA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20A72E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45E6DFF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52AA44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FEC1AD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FCDAF8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40D37B3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C2B27E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6EA7905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D59C40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67C3348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6C44C3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3AD5E0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CFE2B2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1DC98E7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86C5B2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7350456A" w14:textId="77777777" w:rsidTr="0012551C">
        <w:trPr>
          <w:trHeight w:val="300"/>
          <w:jc w:val="center"/>
        </w:trPr>
        <w:tc>
          <w:tcPr>
            <w:tcW w:w="5000" w:type="pct"/>
            <w:gridSpan w:val="19"/>
            <w:tcBorders>
              <w:top w:val="single" w:sz="4" w:space="0" w:color="auto"/>
              <w:left w:val="single" w:sz="4" w:space="0" w:color="auto"/>
              <w:bottom w:val="single" w:sz="4" w:space="0" w:color="auto"/>
              <w:right w:val="single" w:sz="4" w:space="0" w:color="auto"/>
            </w:tcBorders>
            <w:shd w:val="clear" w:color="auto" w:fill="FCFFA1"/>
            <w:vAlign w:val="center"/>
            <w:hideMark/>
          </w:tcPr>
          <w:p w14:paraId="65331241" w14:textId="77777777" w:rsidR="00252FB9" w:rsidRPr="00C25964" w:rsidRDefault="00252FB9" w:rsidP="00D05F26">
            <w:pPr>
              <w:rPr>
                <w:rFonts w:ascii="Calibri" w:hAnsi="Calibri"/>
                <w:noProof/>
                <w:color w:val="0000FF"/>
                <w:sz w:val="22"/>
                <w:u w:val="single"/>
              </w:rPr>
            </w:pPr>
            <w:r w:rsidRPr="00C25964">
              <w:rPr>
                <w:rFonts w:ascii="Arial Narrow" w:hAnsi="Arial Narrow"/>
                <w:b/>
                <w:noProof/>
                <w:color w:val="FF6600"/>
                <w:sz w:val="20"/>
              </w:rPr>
              <w:sym w:font="Wingdings" w:char="F09F"/>
            </w:r>
            <w:r w:rsidRPr="00C25964">
              <w:rPr>
                <w:rFonts w:ascii="Arial Narrow" w:hAnsi="Arial Narrow"/>
                <w:b/>
                <w:bCs/>
                <w:noProof/>
                <w:color w:val="FF6600"/>
                <w:sz w:val="20"/>
                <w:szCs w:val="20"/>
              </w:rPr>
              <w:t xml:space="preserve"> </w:t>
            </w:r>
            <w:r w:rsidRPr="00C25964">
              <w:rPr>
                <w:rFonts w:ascii="Arial Narrow" w:hAnsi="Arial Narrow"/>
                <w:b/>
                <w:bCs/>
                <w:noProof/>
                <w:color w:val="FF6600"/>
                <w:sz w:val="22"/>
              </w:rPr>
              <w:t xml:space="preserve">Extern personal </w:t>
            </w:r>
            <w:r w:rsidRPr="00C25964">
              <w:rPr>
                <w:rStyle w:val="FootnoteReference0"/>
                <w:rFonts w:ascii="Arial Narrow" w:hAnsi="Arial Narrow"/>
                <w:b/>
                <w:bCs/>
                <w:noProof/>
                <w:color w:val="FF0000"/>
                <w:sz w:val="22"/>
              </w:rPr>
              <w:footnoteReference w:id="47"/>
            </w:r>
          </w:p>
        </w:tc>
      </w:tr>
      <w:tr w:rsidR="0012551C" w:rsidRPr="00C25964" w14:paraId="25AFECF1" w14:textId="77777777" w:rsidTr="0012551C">
        <w:trPr>
          <w:trHeight w:val="300"/>
          <w:jc w:val="center"/>
        </w:trPr>
        <w:tc>
          <w:tcPr>
            <w:tcW w:w="278" w:type="pct"/>
            <w:vMerge w:val="restart"/>
            <w:tcBorders>
              <w:top w:val="nil"/>
              <w:left w:val="single" w:sz="4" w:space="0" w:color="auto"/>
              <w:bottom w:val="single" w:sz="4" w:space="0" w:color="auto"/>
              <w:right w:val="single" w:sz="4" w:space="0" w:color="auto"/>
            </w:tcBorders>
            <w:shd w:val="clear" w:color="auto" w:fill="FCFFFF"/>
            <w:vAlign w:val="center"/>
            <w:hideMark/>
          </w:tcPr>
          <w:p w14:paraId="6983F2BC"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Extern personal från driftsanslag (tidigare s.k. BA-poster)</w:t>
            </w:r>
          </w:p>
        </w:tc>
        <w:tc>
          <w:tcPr>
            <w:tcW w:w="331" w:type="pct"/>
            <w:vMerge w:val="restart"/>
            <w:tcBorders>
              <w:top w:val="nil"/>
              <w:left w:val="single" w:sz="4" w:space="0" w:color="auto"/>
              <w:bottom w:val="single" w:sz="4" w:space="0" w:color="auto"/>
              <w:right w:val="single" w:sz="4" w:space="0" w:color="auto"/>
            </w:tcBorders>
            <w:shd w:val="clear" w:color="auto" w:fill="FCFFFF"/>
            <w:vAlign w:val="center"/>
            <w:hideMark/>
          </w:tcPr>
          <w:p w14:paraId="060400A0"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vid huvudkontoret</w:t>
            </w:r>
          </w:p>
        </w:tc>
        <w:tc>
          <w:tcPr>
            <w:tcW w:w="314" w:type="pct"/>
            <w:tcBorders>
              <w:top w:val="nil"/>
              <w:left w:val="nil"/>
              <w:bottom w:val="single" w:sz="4" w:space="0" w:color="auto"/>
              <w:right w:val="single" w:sz="4" w:space="0" w:color="auto"/>
            </w:tcBorders>
            <w:shd w:val="clear" w:color="auto" w:fill="FCFFFF"/>
            <w:vAlign w:val="center"/>
            <w:hideMark/>
          </w:tcPr>
          <w:p w14:paraId="6298A3EF" w14:textId="7338AD08"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Kontrakts</w:t>
            </w:r>
            <w:r w:rsidR="00796134" w:rsidRPr="00C25964">
              <w:rPr>
                <w:rFonts w:ascii="Arial Narrow" w:hAnsi="Arial Narrow"/>
                <w:noProof/>
                <w:color w:val="000000"/>
                <w:sz w:val="18"/>
                <w:szCs w:val="18"/>
              </w:rPr>
              <w:t>-</w:t>
            </w:r>
            <w:r w:rsidRPr="00C25964">
              <w:rPr>
                <w:rFonts w:ascii="Arial Narrow" w:hAnsi="Arial Narrow"/>
                <w:noProof/>
                <w:color w:val="000000"/>
                <w:sz w:val="18"/>
                <w:szCs w:val="18"/>
              </w:rPr>
              <w:t>anställda</w:t>
            </w:r>
          </w:p>
        </w:tc>
        <w:tc>
          <w:tcPr>
            <w:tcW w:w="347" w:type="pct"/>
            <w:tcBorders>
              <w:top w:val="nil"/>
              <w:left w:val="nil"/>
              <w:bottom w:val="single" w:sz="4" w:space="0" w:color="auto"/>
              <w:right w:val="single" w:sz="4" w:space="0" w:color="auto"/>
            </w:tcBorders>
            <w:shd w:val="clear" w:color="auto" w:fill="FCFFFF"/>
            <w:vAlign w:val="center"/>
            <w:hideMark/>
          </w:tcPr>
          <w:p w14:paraId="14D5EF4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E4A30E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2F42857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60678E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6158ED8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B9CB24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356F1E2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2E4EDB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2380C27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DB0935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1A12429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9921CC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566204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9F05F6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58849E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88732A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31B5EB28" w14:textId="77777777" w:rsidTr="0012551C">
        <w:trPr>
          <w:trHeight w:val="300"/>
          <w:jc w:val="center"/>
        </w:trPr>
        <w:tc>
          <w:tcPr>
            <w:tcW w:w="278" w:type="pct"/>
            <w:vMerge/>
            <w:tcBorders>
              <w:top w:val="nil"/>
              <w:left w:val="single" w:sz="4" w:space="0" w:color="auto"/>
              <w:bottom w:val="single" w:sz="4" w:space="0" w:color="auto"/>
              <w:right w:val="single" w:sz="4" w:space="0" w:color="auto"/>
            </w:tcBorders>
            <w:vAlign w:val="center"/>
            <w:hideMark/>
          </w:tcPr>
          <w:p w14:paraId="6921A813" w14:textId="77777777" w:rsidR="00252FB9" w:rsidRPr="00C25964" w:rsidRDefault="00252FB9" w:rsidP="00D05F26">
            <w:pPr>
              <w:rPr>
                <w:rFonts w:ascii="Arial Narrow" w:hAnsi="Arial Narrow"/>
                <w:noProof/>
                <w:color w:val="000000"/>
                <w:sz w:val="20"/>
                <w:szCs w:val="20"/>
              </w:rPr>
            </w:pPr>
          </w:p>
        </w:tc>
        <w:tc>
          <w:tcPr>
            <w:tcW w:w="331" w:type="pct"/>
            <w:vMerge/>
            <w:tcBorders>
              <w:top w:val="nil"/>
              <w:left w:val="single" w:sz="4" w:space="0" w:color="auto"/>
              <w:bottom w:val="single" w:sz="4" w:space="0" w:color="auto"/>
              <w:right w:val="single" w:sz="4" w:space="0" w:color="auto"/>
            </w:tcBorders>
            <w:vAlign w:val="center"/>
            <w:hideMark/>
          </w:tcPr>
          <w:p w14:paraId="4B39C887" w14:textId="77777777" w:rsidR="00252FB9" w:rsidRPr="00C25964" w:rsidRDefault="00252FB9" w:rsidP="00D05F26">
            <w:pPr>
              <w:rPr>
                <w:rFonts w:ascii="Arial Narrow" w:hAnsi="Arial Narrow"/>
                <w:noProof/>
                <w:color w:val="000000"/>
                <w:sz w:val="20"/>
                <w:szCs w:val="20"/>
              </w:rPr>
            </w:pPr>
          </w:p>
        </w:tc>
        <w:tc>
          <w:tcPr>
            <w:tcW w:w="314" w:type="pct"/>
            <w:tcBorders>
              <w:top w:val="nil"/>
              <w:left w:val="nil"/>
              <w:bottom w:val="single" w:sz="4" w:space="0" w:color="auto"/>
              <w:right w:val="single" w:sz="4" w:space="0" w:color="auto"/>
            </w:tcBorders>
            <w:shd w:val="clear" w:color="auto" w:fill="FCFFFF"/>
            <w:vAlign w:val="center"/>
            <w:hideMark/>
          </w:tcPr>
          <w:p w14:paraId="02CEC4E7"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Nationella experter</w:t>
            </w:r>
          </w:p>
        </w:tc>
        <w:tc>
          <w:tcPr>
            <w:tcW w:w="347" w:type="pct"/>
            <w:tcBorders>
              <w:top w:val="nil"/>
              <w:left w:val="nil"/>
              <w:bottom w:val="single" w:sz="4" w:space="0" w:color="auto"/>
              <w:right w:val="single" w:sz="4" w:space="0" w:color="auto"/>
            </w:tcBorders>
            <w:shd w:val="clear" w:color="auto" w:fill="FCFFFF"/>
            <w:vAlign w:val="center"/>
            <w:hideMark/>
          </w:tcPr>
          <w:p w14:paraId="51648DE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9A5F6A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EF318B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F07EDF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E41BDA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B15991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69EF6F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B76873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D2DA55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B2BDC9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3CBA16F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A1015F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66267CF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D94F55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694A36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F4DAB6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35E60EDE" w14:textId="77777777" w:rsidTr="0012551C">
        <w:trPr>
          <w:trHeight w:val="300"/>
          <w:jc w:val="center"/>
        </w:trPr>
        <w:tc>
          <w:tcPr>
            <w:tcW w:w="278" w:type="pct"/>
            <w:vMerge/>
            <w:tcBorders>
              <w:top w:val="nil"/>
              <w:left w:val="single" w:sz="4" w:space="0" w:color="auto"/>
              <w:bottom w:val="single" w:sz="4" w:space="0" w:color="auto"/>
              <w:right w:val="single" w:sz="4" w:space="0" w:color="auto"/>
            </w:tcBorders>
            <w:vAlign w:val="center"/>
            <w:hideMark/>
          </w:tcPr>
          <w:p w14:paraId="2B0B3BB8" w14:textId="77777777" w:rsidR="00252FB9" w:rsidRPr="00C25964" w:rsidRDefault="00252FB9" w:rsidP="00D05F26">
            <w:pPr>
              <w:rPr>
                <w:rFonts w:ascii="Arial Narrow" w:hAnsi="Arial Narrow"/>
                <w:noProof/>
                <w:color w:val="000000"/>
                <w:sz w:val="20"/>
                <w:szCs w:val="20"/>
              </w:rPr>
            </w:pPr>
          </w:p>
        </w:tc>
        <w:tc>
          <w:tcPr>
            <w:tcW w:w="331" w:type="pct"/>
            <w:vMerge/>
            <w:tcBorders>
              <w:top w:val="nil"/>
              <w:left w:val="single" w:sz="4" w:space="0" w:color="auto"/>
              <w:bottom w:val="single" w:sz="4" w:space="0" w:color="auto"/>
              <w:right w:val="single" w:sz="4" w:space="0" w:color="auto"/>
            </w:tcBorders>
            <w:vAlign w:val="center"/>
            <w:hideMark/>
          </w:tcPr>
          <w:p w14:paraId="68FEC1AE" w14:textId="77777777" w:rsidR="00252FB9" w:rsidRPr="00C25964" w:rsidRDefault="00252FB9" w:rsidP="00D05F26">
            <w:pPr>
              <w:rPr>
                <w:rFonts w:ascii="Arial Narrow" w:hAnsi="Arial Narrow"/>
                <w:noProof/>
                <w:color w:val="000000"/>
                <w:sz w:val="20"/>
                <w:szCs w:val="20"/>
              </w:rPr>
            </w:pPr>
          </w:p>
        </w:tc>
        <w:tc>
          <w:tcPr>
            <w:tcW w:w="314" w:type="pct"/>
            <w:tcBorders>
              <w:top w:val="nil"/>
              <w:left w:val="nil"/>
              <w:bottom w:val="single" w:sz="4" w:space="0" w:color="auto"/>
              <w:right w:val="single" w:sz="4" w:space="0" w:color="auto"/>
            </w:tcBorders>
            <w:shd w:val="clear" w:color="auto" w:fill="FCFFFF"/>
            <w:vAlign w:val="center"/>
            <w:hideMark/>
          </w:tcPr>
          <w:p w14:paraId="10592720"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Tillfällig personal</w:t>
            </w:r>
          </w:p>
        </w:tc>
        <w:tc>
          <w:tcPr>
            <w:tcW w:w="347" w:type="pct"/>
            <w:tcBorders>
              <w:top w:val="nil"/>
              <w:left w:val="nil"/>
              <w:bottom w:val="single" w:sz="4" w:space="0" w:color="auto"/>
              <w:right w:val="single" w:sz="4" w:space="0" w:color="auto"/>
            </w:tcBorders>
            <w:shd w:val="clear" w:color="auto" w:fill="FCFFFF"/>
            <w:vAlign w:val="center"/>
            <w:hideMark/>
          </w:tcPr>
          <w:p w14:paraId="473EB43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B9487A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1C25248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7F7297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3FFF36B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CE3CF7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A9A19A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4D6582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3E00DD7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23DA78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251AD5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27358F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3E27DED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A9C5D9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BBEEC8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685CBB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12551C" w:rsidRPr="00C25964" w14:paraId="159F0CB8" w14:textId="77777777" w:rsidTr="0012551C">
        <w:trPr>
          <w:trHeight w:val="300"/>
          <w:jc w:val="center"/>
        </w:trPr>
        <w:tc>
          <w:tcPr>
            <w:tcW w:w="278" w:type="pct"/>
            <w:vMerge/>
            <w:tcBorders>
              <w:top w:val="nil"/>
              <w:left w:val="single" w:sz="4" w:space="0" w:color="auto"/>
              <w:bottom w:val="single" w:sz="4" w:space="0" w:color="auto"/>
              <w:right w:val="single" w:sz="4" w:space="0" w:color="auto"/>
            </w:tcBorders>
            <w:vAlign w:val="center"/>
            <w:hideMark/>
          </w:tcPr>
          <w:p w14:paraId="55D52221" w14:textId="77777777" w:rsidR="00252FB9" w:rsidRPr="00C25964" w:rsidRDefault="00252FB9" w:rsidP="00D05F26">
            <w:pPr>
              <w:rPr>
                <w:rFonts w:ascii="Arial Narrow" w:hAnsi="Arial Narrow"/>
                <w:noProof/>
                <w:color w:val="000000"/>
                <w:sz w:val="20"/>
                <w:szCs w:val="20"/>
              </w:rPr>
            </w:pPr>
          </w:p>
        </w:tc>
        <w:tc>
          <w:tcPr>
            <w:tcW w:w="331" w:type="pct"/>
            <w:vMerge w:val="restart"/>
            <w:tcBorders>
              <w:top w:val="nil"/>
              <w:left w:val="single" w:sz="4" w:space="0" w:color="auto"/>
              <w:bottom w:val="single" w:sz="4" w:space="0" w:color="auto"/>
              <w:right w:val="single" w:sz="4" w:space="0" w:color="auto"/>
            </w:tcBorders>
            <w:shd w:val="clear" w:color="auto" w:fill="FCFFFF"/>
            <w:vAlign w:val="center"/>
            <w:hideMark/>
          </w:tcPr>
          <w:p w14:paraId="6C8B30C4"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 vid unionens delegationer</w:t>
            </w:r>
          </w:p>
        </w:tc>
        <w:tc>
          <w:tcPr>
            <w:tcW w:w="314" w:type="pct"/>
            <w:tcBorders>
              <w:top w:val="nil"/>
              <w:left w:val="nil"/>
              <w:bottom w:val="single" w:sz="4" w:space="0" w:color="auto"/>
              <w:right w:val="single" w:sz="4" w:space="0" w:color="auto"/>
            </w:tcBorders>
            <w:shd w:val="clear" w:color="auto" w:fill="FCFFFF"/>
            <w:vAlign w:val="center"/>
            <w:hideMark/>
          </w:tcPr>
          <w:p w14:paraId="32DAB4CF" w14:textId="2792CA18"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Kontrakts</w:t>
            </w:r>
            <w:r w:rsidR="00796134" w:rsidRPr="00C25964">
              <w:rPr>
                <w:rFonts w:ascii="Arial Narrow" w:hAnsi="Arial Narrow"/>
                <w:noProof/>
                <w:color w:val="000000"/>
                <w:sz w:val="18"/>
                <w:szCs w:val="18"/>
              </w:rPr>
              <w:t>-</w:t>
            </w:r>
            <w:r w:rsidRPr="00C25964">
              <w:rPr>
                <w:rFonts w:ascii="Arial Narrow" w:hAnsi="Arial Narrow"/>
                <w:noProof/>
                <w:color w:val="000000"/>
                <w:sz w:val="18"/>
                <w:szCs w:val="18"/>
              </w:rPr>
              <w:t>anställda</w:t>
            </w:r>
          </w:p>
        </w:tc>
        <w:tc>
          <w:tcPr>
            <w:tcW w:w="347" w:type="pct"/>
            <w:tcBorders>
              <w:top w:val="nil"/>
              <w:left w:val="nil"/>
              <w:bottom w:val="single" w:sz="4" w:space="0" w:color="auto"/>
              <w:right w:val="single" w:sz="4" w:space="0" w:color="auto"/>
            </w:tcBorders>
            <w:shd w:val="clear" w:color="auto" w:fill="FCFFFF"/>
            <w:vAlign w:val="center"/>
            <w:hideMark/>
          </w:tcPr>
          <w:p w14:paraId="0B57285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9B4565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66150A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E5FD29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1D1F908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EF7529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1277D3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2FC4A9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3C6CDA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CCDA76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489B619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BFCF6B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29292A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C11741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49EE17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E3C2D3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04DEB512" w14:textId="77777777" w:rsidTr="0012551C">
        <w:trPr>
          <w:trHeight w:val="300"/>
          <w:jc w:val="center"/>
        </w:trPr>
        <w:tc>
          <w:tcPr>
            <w:tcW w:w="278" w:type="pct"/>
            <w:vMerge/>
            <w:tcBorders>
              <w:top w:val="nil"/>
              <w:left w:val="single" w:sz="4" w:space="0" w:color="auto"/>
              <w:bottom w:val="single" w:sz="4" w:space="0" w:color="auto"/>
              <w:right w:val="single" w:sz="4" w:space="0" w:color="auto"/>
            </w:tcBorders>
            <w:vAlign w:val="center"/>
            <w:hideMark/>
          </w:tcPr>
          <w:p w14:paraId="11B7A6D1" w14:textId="77777777" w:rsidR="00252FB9" w:rsidRPr="00C25964" w:rsidRDefault="00252FB9" w:rsidP="00D05F26">
            <w:pPr>
              <w:rPr>
                <w:rFonts w:ascii="Arial Narrow" w:hAnsi="Arial Narrow"/>
                <w:noProof/>
                <w:color w:val="000000"/>
                <w:sz w:val="20"/>
                <w:szCs w:val="20"/>
              </w:rPr>
            </w:pPr>
          </w:p>
        </w:tc>
        <w:tc>
          <w:tcPr>
            <w:tcW w:w="331" w:type="pct"/>
            <w:vMerge/>
            <w:tcBorders>
              <w:top w:val="nil"/>
              <w:left w:val="single" w:sz="4" w:space="0" w:color="auto"/>
              <w:bottom w:val="single" w:sz="4" w:space="0" w:color="auto"/>
              <w:right w:val="single" w:sz="4" w:space="0" w:color="auto"/>
            </w:tcBorders>
            <w:vAlign w:val="center"/>
            <w:hideMark/>
          </w:tcPr>
          <w:p w14:paraId="4D876DB3" w14:textId="77777777" w:rsidR="00252FB9" w:rsidRPr="00C25964" w:rsidRDefault="00252FB9" w:rsidP="00D05F26">
            <w:pPr>
              <w:rPr>
                <w:rFonts w:ascii="Arial Narrow" w:hAnsi="Arial Narrow"/>
                <w:noProof/>
                <w:color w:val="000000"/>
                <w:sz w:val="20"/>
                <w:szCs w:val="20"/>
              </w:rPr>
            </w:pPr>
          </w:p>
        </w:tc>
        <w:tc>
          <w:tcPr>
            <w:tcW w:w="314" w:type="pct"/>
            <w:tcBorders>
              <w:top w:val="nil"/>
              <w:left w:val="nil"/>
              <w:bottom w:val="single" w:sz="4" w:space="0" w:color="auto"/>
              <w:right w:val="single" w:sz="4" w:space="0" w:color="auto"/>
            </w:tcBorders>
            <w:shd w:val="clear" w:color="auto" w:fill="FCFFFF"/>
            <w:vAlign w:val="center"/>
            <w:hideMark/>
          </w:tcPr>
          <w:p w14:paraId="5F885AB2"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 xml:space="preserve">Lokalt anställda </w:t>
            </w:r>
          </w:p>
        </w:tc>
        <w:tc>
          <w:tcPr>
            <w:tcW w:w="347" w:type="pct"/>
            <w:tcBorders>
              <w:top w:val="nil"/>
              <w:left w:val="nil"/>
              <w:bottom w:val="single" w:sz="4" w:space="0" w:color="auto"/>
              <w:right w:val="single" w:sz="4" w:space="0" w:color="auto"/>
            </w:tcBorders>
            <w:shd w:val="clear" w:color="auto" w:fill="FCFFFF"/>
            <w:vAlign w:val="center"/>
            <w:hideMark/>
          </w:tcPr>
          <w:p w14:paraId="0D0C435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A814BC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3D45214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01B8B8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BC4538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5C4E5D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3DB3333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EC190D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2DE4E3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56C549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47F654A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019E70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CBFD98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7089A1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600BFE8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72F83C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7508D8F6" w14:textId="77777777" w:rsidTr="0012551C">
        <w:trPr>
          <w:trHeight w:val="300"/>
          <w:jc w:val="center"/>
        </w:trPr>
        <w:tc>
          <w:tcPr>
            <w:tcW w:w="278" w:type="pct"/>
            <w:vMerge/>
            <w:tcBorders>
              <w:top w:val="nil"/>
              <w:left w:val="single" w:sz="4" w:space="0" w:color="auto"/>
              <w:bottom w:val="single" w:sz="4" w:space="0" w:color="auto"/>
              <w:right w:val="single" w:sz="4" w:space="0" w:color="auto"/>
            </w:tcBorders>
            <w:vAlign w:val="center"/>
            <w:hideMark/>
          </w:tcPr>
          <w:p w14:paraId="6ED53639" w14:textId="77777777" w:rsidR="00252FB9" w:rsidRPr="00C25964" w:rsidRDefault="00252FB9" w:rsidP="00D05F26">
            <w:pPr>
              <w:rPr>
                <w:rFonts w:ascii="Arial Narrow" w:hAnsi="Arial Narrow"/>
                <w:noProof/>
                <w:color w:val="000000"/>
                <w:sz w:val="20"/>
                <w:szCs w:val="20"/>
              </w:rPr>
            </w:pPr>
          </w:p>
        </w:tc>
        <w:tc>
          <w:tcPr>
            <w:tcW w:w="331" w:type="pct"/>
            <w:vMerge/>
            <w:tcBorders>
              <w:top w:val="nil"/>
              <w:left w:val="single" w:sz="4" w:space="0" w:color="auto"/>
              <w:bottom w:val="single" w:sz="4" w:space="0" w:color="auto"/>
              <w:right w:val="single" w:sz="4" w:space="0" w:color="auto"/>
            </w:tcBorders>
            <w:vAlign w:val="center"/>
            <w:hideMark/>
          </w:tcPr>
          <w:p w14:paraId="048E1BE0" w14:textId="77777777" w:rsidR="00252FB9" w:rsidRPr="00C25964" w:rsidRDefault="00252FB9" w:rsidP="00D05F26">
            <w:pPr>
              <w:rPr>
                <w:rFonts w:ascii="Arial Narrow" w:hAnsi="Arial Narrow"/>
                <w:noProof/>
                <w:color w:val="000000"/>
                <w:sz w:val="20"/>
                <w:szCs w:val="20"/>
              </w:rPr>
            </w:pPr>
          </w:p>
        </w:tc>
        <w:tc>
          <w:tcPr>
            <w:tcW w:w="314" w:type="pct"/>
            <w:tcBorders>
              <w:top w:val="nil"/>
              <w:left w:val="nil"/>
              <w:bottom w:val="single" w:sz="4" w:space="0" w:color="auto"/>
              <w:right w:val="single" w:sz="4" w:space="0" w:color="auto"/>
            </w:tcBorders>
            <w:shd w:val="clear" w:color="auto" w:fill="FCFFFF"/>
            <w:vAlign w:val="center"/>
            <w:hideMark/>
          </w:tcPr>
          <w:p w14:paraId="5AD01AE5"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Nationella experter</w:t>
            </w:r>
          </w:p>
        </w:tc>
        <w:tc>
          <w:tcPr>
            <w:tcW w:w="347" w:type="pct"/>
            <w:tcBorders>
              <w:top w:val="nil"/>
              <w:left w:val="nil"/>
              <w:bottom w:val="single" w:sz="4" w:space="0" w:color="auto"/>
              <w:right w:val="single" w:sz="4" w:space="0" w:color="auto"/>
            </w:tcBorders>
            <w:shd w:val="clear" w:color="auto" w:fill="FCFFFF"/>
            <w:vAlign w:val="center"/>
            <w:hideMark/>
          </w:tcPr>
          <w:p w14:paraId="7CA497B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15CF6C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67361F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3832E3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1A91691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778B6F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4D113E3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98C74D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C6AF9B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EFA3E8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613F01C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934766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CAE327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1D2E72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2FAC0F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8C9E95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4E4E7634" w14:textId="77777777" w:rsidTr="0012551C">
        <w:trPr>
          <w:trHeight w:val="300"/>
          <w:jc w:val="center"/>
        </w:trPr>
        <w:tc>
          <w:tcPr>
            <w:tcW w:w="278" w:type="pct"/>
            <w:vMerge/>
            <w:tcBorders>
              <w:top w:val="nil"/>
              <w:left w:val="single" w:sz="4" w:space="0" w:color="auto"/>
              <w:bottom w:val="single" w:sz="4" w:space="0" w:color="auto"/>
              <w:right w:val="single" w:sz="4" w:space="0" w:color="auto"/>
            </w:tcBorders>
            <w:vAlign w:val="center"/>
            <w:hideMark/>
          </w:tcPr>
          <w:p w14:paraId="6F783E0A" w14:textId="77777777" w:rsidR="00252FB9" w:rsidRPr="00C25964" w:rsidRDefault="00252FB9" w:rsidP="00D05F26">
            <w:pPr>
              <w:rPr>
                <w:rFonts w:ascii="Arial Narrow" w:hAnsi="Arial Narrow"/>
                <w:noProof/>
                <w:color w:val="000000"/>
                <w:sz w:val="20"/>
                <w:szCs w:val="20"/>
              </w:rPr>
            </w:pPr>
          </w:p>
        </w:tc>
        <w:tc>
          <w:tcPr>
            <w:tcW w:w="331" w:type="pct"/>
            <w:vMerge/>
            <w:tcBorders>
              <w:top w:val="nil"/>
              <w:left w:val="single" w:sz="4" w:space="0" w:color="auto"/>
              <w:bottom w:val="single" w:sz="4" w:space="0" w:color="auto"/>
              <w:right w:val="single" w:sz="4" w:space="0" w:color="auto"/>
            </w:tcBorders>
            <w:vAlign w:val="center"/>
            <w:hideMark/>
          </w:tcPr>
          <w:p w14:paraId="72F0FC64" w14:textId="77777777" w:rsidR="00252FB9" w:rsidRPr="00C25964" w:rsidRDefault="00252FB9" w:rsidP="00D05F26">
            <w:pPr>
              <w:rPr>
                <w:rFonts w:ascii="Arial Narrow" w:hAnsi="Arial Narrow"/>
                <w:noProof/>
                <w:color w:val="000000"/>
                <w:sz w:val="20"/>
                <w:szCs w:val="20"/>
              </w:rPr>
            </w:pPr>
          </w:p>
        </w:tc>
        <w:tc>
          <w:tcPr>
            <w:tcW w:w="314" w:type="pct"/>
            <w:tcBorders>
              <w:top w:val="nil"/>
              <w:left w:val="nil"/>
              <w:bottom w:val="single" w:sz="4" w:space="0" w:color="auto"/>
              <w:right w:val="single" w:sz="4" w:space="0" w:color="auto"/>
            </w:tcBorders>
            <w:shd w:val="clear" w:color="auto" w:fill="FCFFFF"/>
            <w:vAlign w:val="center"/>
            <w:hideMark/>
          </w:tcPr>
          <w:p w14:paraId="220F84C9"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Tillfällig personal</w:t>
            </w:r>
          </w:p>
        </w:tc>
        <w:tc>
          <w:tcPr>
            <w:tcW w:w="347" w:type="pct"/>
            <w:tcBorders>
              <w:top w:val="nil"/>
              <w:left w:val="nil"/>
              <w:bottom w:val="single" w:sz="4" w:space="0" w:color="auto"/>
              <w:right w:val="single" w:sz="4" w:space="0" w:color="auto"/>
            </w:tcBorders>
            <w:shd w:val="clear" w:color="auto" w:fill="FCFFFF"/>
            <w:vAlign w:val="center"/>
            <w:hideMark/>
          </w:tcPr>
          <w:p w14:paraId="4865E19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78D58F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49BE60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BD3BD7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51900F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B4698C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4E60326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B7B96E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2F58055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ED0A42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536610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2363DB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45EA50F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93142D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1DDF88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B94961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66F80FD0" w14:textId="77777777" w:rsidTr="0012551C">
        <w:trPr>
          <w:trHeight w:val="300"/>
          <w:jc w:val="center"/>
        </w:trPr>
        <w:tc>
          <w:tcPr>
            <w:tcW w:w="278" w:type="pct"/>
            <w:vMerge/>
            <w:tcBorders>
              <w:top w:val="nil"/>
              <w:left w:val="single" w:sz="4" w:space="0" w:color="auto"/>
              <w:bottom w:val="single" w:sz="4" w:space="0" w:color="auto"/>
              <w:right w:val="single" w:sz="4" w:space="0" w:color="auto"/>
            </w:tcBorders>
            <w:vAlign w:val="center"/>
            <w:hideMark/>
          </w:tcPr>
          <w:p w14:paraId="331979D0" w14:textId="77777777" w:rsidR="00252FB9" w:rsidRPr="00C25964" w:rsidRDefault="00252FB9" w:rsidP="00D05F26">
            <w:pPr>
              <w:rPr>
                <w:rFonts w:ascii="Arial Narrow" w:hAnsi="Arial Narrow"/>
                <w:noProof/>
                <w:color w:val="000000"/>
                <w:sz w:val="20"/>
                <w:szCs w:val="20"/>
              </w:rPr>
            </w:pPr>
          </w:p>
        </w:tc>
        <w:tc>
          <w:tcPr>
            <w:tcW w:w="331" w:type="pct"/>
            <w:vMerge/>
            <w:tcBorders>
              <w:top w:val="nil"/>
              <w:left w:val="single" w:sz="4" w:space="0" w:color="auto"/>
              <w:bottom w:val="single" w:sz="4" w:space="0" w:color="auto"/>
              <w:right w:val="single" w:sz="4" w:space="0" w:color="auto"/>
            </w:tcBorders>
            <w:vAlign w:val="center"/>
            <w:hideMark/>
          </w:tcPr>
          <w:p w14:paraId="736300FE" w14:textId="77777777" w:rsidR="00252FB9" w:rsidRPr="00C25964" w:rsidRDefault="00252FB9" w:rsidP="00D05F26">
            <w:pPr>
              <w:rPr>
                <w:rFonts w:ascii="Arial Narrow" w:hAnsi="Arial Narrow"/>
                <w:noProof/>
                <w:color w:val="000000"/>
                <w:sz w:val="20"/>
                <w:szCs w:val="20"/>
              </w:rPr>
            </w:pPr>
          </w:p>
        </w:tc>
        <w:tc>
          <w:tcPr>
            <w:tcW w:w="314" w:type="pct"/>
            <w:tcBorders>
              <w:top w:val="nil"/>
              <w:left w:val="nil"/>
              <w:bottom w:val="single" w:sz="4" w:space="0" w:color="auto"/>
              <w:right w:val="single" w:sz="4" w:space="0" w:color="auto"/>
            </w:tcBorders>
            <w:shd w:val="clear" w:color="auto" w:fill="FCFFFF"/>
            <w:vAlign w:val="center"/>
            <w:hideMark/>
          </w:tcPr>
          <w:p w14:paraId="382A07B6"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Unga experter som arbetar vid delegationerna</w:t>
            </w:r>
          </w:p>
        </w:tc>
        <w:tc>
          <w:tcPr>
            <w:tcW w:w="347" w:type="pct"/>
            <w:tcBorders>
              <w:top w:val="nil"/>
              <w:left w:val="nil"/>
              <w:bottom w:val="single" w:sz="4" w:space="0" w:color="auto"/>
              <w:right w:val="single" w:sz="4" w:space="0" w:color="auto"/>
            </w:tcBorders>
            <w:shd w:val="clear" w:color="auto" w:fill="FCFFFF"/>
            <w:vAlign w:val="center"/>
            <w:hideMark/>
          </w:tcPr>
          <w:p w14:paraId="3F76994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3E2E93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3190A0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2A30A8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63D7E8A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D0477E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F78A5B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27A64B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1C77081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D7E300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D043B1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65B484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26EFC53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76DECD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2F245C8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20FEB87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77518300" w14:textId="77777777" w:rsidTr="0012551C">
        <w:trPr>
          <w:trHeight w:val="300"/>
          <w:jc w:val="center"/>
        </w:trPr>
        <w:tc>
          <w:tcPr>
            <w:tcW w:w="608" w:type="pct"/>
            <w:gridSpan w:val="2"/>
            <w:vMerge w:val="restart"/>
            <w:tcBorders>
              <w:top w:val="single" w:sz="4" w:space="0" w:color="auto"/>
              <w:left w:val="single" w:sz="4" w:space="0" w:color="auto"/>
              <w:bottom w:val="single" w:sz="4" w:space="0" w:color="auto"/>
              <w:right w:val="single" w:sz="4" w:space="0" w:color="auto"/>
            </w:tcBorders>
            <w:shd w:val="clear" w:color="auto" w:fill="FCFFFF"/>
            <w:vAlign w:val="center"/>
            <w:hideMark/>
          </w:tcPr>
          <w:p w14:paraId="55838331"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01 01 01 02 Indirekta forskningsåtgärder</w:t>
            </w:r>
          </w:p>
          <w:p w14:paraId="314CC678"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01 01 01 12 Direkta forskningsåtgärder</w:t>
            </w:r>
          </w:p>
          <w:p w14:paraId="6966B100"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Annat (precisera)</w:t>
            </w:r>
            <w:r w:rsidRPr="00C25964">
              <w:rPr>
                <w:rStyle w:val="FootnoteReference0"/>
                <w:rFonts w:ascii="Arial Narrow" w:hAnsi="Arial Narrow"/>
                <w:noProof/>
                <w:color w:val="000000"/>
                <w:sz w:val="20"/>
                <w:szCs w:val="20"/>
              </w:rPr>
              <w:footnoteReference w:id="48"/>
            </w:r>
          </w:p>
        </w:tc>
        <w:tc>
          <w:tcPr>
            <w:tcW w:w="314" w:type="pct"/>
            <w:tcBorders>
              <w:top w:val="nil"/>
              <w:left w:val="nil"/>
              <w:bottom w:val="single" w:sz="4" w:space="0" w:color="auto"/>
              <w:right w:val="single" w:sz="4" w:space="0" w:color="auto"/>
            </w:tcBorders>
            <w:shd w:val="clear" w:color="auto" w:fill="FCFFFF"/>
            <w:vAlign w:val="center"/>
            <w:hideMark/>
          </w:tcPr>
          <w:p w14:paraId="23A12AD0" w14:textId="2DECDED4"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Kontrakts</w:t>
            </w:r>
            <w:r w:rsidR="00796134" w:rsidRPr="00C25964">
              <w:rPr>
                <w:rFonts w:ascii="Arial Narrow" w:hAnsi="Arial Narrow"/>
                <w:noProof/>
                <w:color w:val="000000"/>
                <w:sz w:val="18"/>
                <w:szCs w:val="18"/>
              </w:rPr>
              <w:t>-</w:t>
            </w:r>
            <w:r w:rsidRPr="00C25964">
              <w:rPr>
                <w:rFonts w:ascii="Arial Narrow" w:hAnsi="Arial Narrow"/>
                <w:noProof/>
                <w:color w:val="000000"/>
                <w:sz w:val="18"/>
                <w:szCs w:val="18"/>
              </w:rPr>
              <w:t>anställda</w:t>
            </w:r>
          </w:p>
        </w:tc>
        <w:tc>
          <w:tcPr>
            <w:tcW w:w="347" w:type="pct"/>
            <w:tcBorders>
              <w:top w:val="nil"/>
              <w:left w:val="nil"/>
              <w:bottom w:val="single" w:sz="4" w:space="0" w:color="auto"/>
              <w:right w:val="single" w:sz="4" w:space="0" w:color="auto"/>
            </w:tcBorders>
            <w:shd w:val="clear" w:color="auto" w:fill="FCFFFF"/>
            <w:vAlign w:val="center"/>
            <w:hideMark/>
          </w:tcPr>
          <w:p w14:paraId="78F430E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B05B2E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34AC90B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B37DB8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8ED7BE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9B5EBD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32531B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4F0B2B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105C95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608D50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BE08A7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02DB24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241E2C8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49F414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C986C3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E7CDDB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0E06583D" w14:textId="77777777" w:rsidTr="0012551C">
        <w:trPr>
          <w:trHeight w:val="300"/>
          <w:jc w:val="center"/>
        </w:trPr>
        <w:tc>
          <w:tcPr>
            <w:tcW w:w="608" w:type="pct"/>
            <w:gridSpan w:val="2"/>
            <w:vMerge/>
            <w:tcBorders>
              <w:top w:val="single" w:sz="4" w:space="0" w:color="auto"/>
              <w:left w:val="single" w:sz="4" w:space="0" w:color="auto"/>
              <w:bottom w:val="single" w:sz="4" w:space="0" w:color="auto"/>
              <w:right w:val="single" w:sz="4" w:space="0" w:color="auto"/>
            </w:tcBorders>
            <w:vAlign w:val="center"/>
            <w:hideMark/>
          </w:tcPr>
          <w:p w14:paraId="0D1B7D95" w14:textId="77777777" w:rsidR="00252FB9" w:rsidRPr="00C25964" w:rsidRDefault="00252FB9" w:rsidP="00D05F26">
            <w:pPr>
              <w:rPr>
                <w:rFonts w:ascii="Arial Narrow" w:hAnsi="Arial Narrow"/>
                <w:noProof/>
                <w:color w:val="000000"/>
                <w:sz w:val="20"/>
                <w:szCs w:val="20"/>
              </w:rPr>
            </w:pPr>
          </w:p>
        </w:tc>
        <w:tc>
          <w:tcPr>
            <w:tcW w:w="314" w:type="pct"/>
            <w:tcBorders>
              <w:top w:val="nil"/>
              <w:left w:val="nil"/>
              <w:bottom w:val="single" w:sz="4" w:space="0" w:color="auto"/>
              <w:right w:val="single" w:sz="4" w:space="0" w:color="auto"/>
            </w:tcBorders>
            <w:shd w:val="clear" w:color="auto" w:fill="FCFFFF"/>
            <w:vAlign w:val="center"/>
            <w:hideMark/>
          </w:tcPr>
          <w:p w14:paraId="72AD63DD"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Nationella experter</w:t>
            </w:r>
          </w:p>
        </w:tc>
        <w:tc>
          <w:tcPr>
            <w:tcW w:w="347" w:type="pct"/>
            <w:tcBorders>
              <w:top w:val="nil"/>
              <w:left w:val="nil"/>
              <w:bottom w:val="single" w:sz="4" w:space="0" w:color="auto"/>
              <w:right w:val="single" w:sz="4" w:space="0" w:color="auto"/>
            </w:tcBorders>
            <w:shd w:val="clear" w:color="auto" w:fill="FCFFFF"/>
            <w:vAlign w:val="center"/>
            <w:hideMark/>
          </w:tcPr>
          <w:p w14:paraId="00DD11F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C07142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69D442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A4CA0F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38C866C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B1B662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652A2CF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E0D1C3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8001AD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71247B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35594A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5341FA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BAF663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2F050C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38588AA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7CB519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26B0E41F" w14:textId="77777777" w:rsidTr="0012551C">
        <w:trPr>
          <w:trHeight w:val="300"/>
          <w:jc w:val="center"/>
        </w:trPr>
        <w:tc>
          <w:tcPr>
            <w:tcW w:w="608" w:type="pct"/>
            <w:gridSpan w:val="2"/>
            <w:vMerge/>
            <w:tcBorders>
              <w:top w:val="single" w:sz="4" w:space="0" w:color="auto"/>
              <w:left w:val="single" w:sz="4" w:space="0" w:color="auto"/>
              <w:bottom w:val="single" w:sz="4" w:space="0" w:color="auto"/>
              <w:right w:val="single" w:sz="4" w:space="0" w:color="auto"/>
            </w:tcBorders>
            <w:vAlign w:val="center"/>
            <w:hideMark/>
          </w:tcPr>
          <w:p w14:paraId="2473E717" w14:textId="77777777" w:rsidR="00252FB9" w:rsidRPr="00C25964" w:rsidRDefault="00252FB9" w:rsidP="00D05F26">
            <w:pPr>
              <w:rPr>
                <w:rFonts w:ascii="Arial Narrow" w:hAnsi="Arial Narrow"/>
                <w:noProof/>
                <w:color w:val="000000"/>
                <w:sz w:val="20"/>
                <w:szCs w:val="20"/>
              </w:rPr>
            </w:pPr>
          </w:p>
        </w:tc>
        <w:tc>
          <w:tcPr>
            <w:tcW w:w="314" w:type="pct"/>
            <w:tcBorders>
              <w:top w:val="nil"/>
              <w:left w:val="nil"/>
              <w:bottom w:val="single" w:sz="4" w:space="0" w:color="auto"/>
              <w:right w:val="single" w:sz="4" w:space="0" w:color="auto"/>
            </w:tcBorders>
            <w:shd w:val="clear" w:color="auto" w:fill="FCFFFF"/>
            <w:vAlign w:val="center"/>
            <w:hideMark/>
          </w:tcPr>
          <w:p w14:paraId="0D752969"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Tillfällig personal</w:t>
            </w:r>
          </w:p>
        </w:tc>
        <w:tc>
          <w:tcPr>
            <w:tcW w:w="347" w:type="pct"/>
            <w:tcBorders>
              <w:top w:val="nil"/>
              <w:left w:val="nil"/>
              <w:bottom w:val="single" w:sz="4" w:space="0" w:color="auto"/>
              <w:right w:val="single" w:sz="4" w:space="0" w:color="auto"/>
            </w:tcBorders>
            <w:shd w:val="clear" w:color="auto" w:fill="FCFFFF"/>
            <w:vAlign w:val="center"/>
            <w:hideMark/>
          </w:tcPr>
          <w:p w14:paraId="62C262A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64EB14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23F2BA4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1E0B0A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13E4AF8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72DEFB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4851D8A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6F1801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9CB009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BE36B3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E94F14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12F8F19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7359A5B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137589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34E5D1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0570D9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00F43CD0" w14:textId="77777777" w:rsidTr="0012551C">
        <w:trPr>
          <w:trHeight w:val="870"/>
          <w:jc w:val="center"/>
        </w:trPr>
        <w:tc>
          <w:tcPr>
            <w:tcW w:w="608" w:type="pct"/>
            <w:gridSpan w:val="2"/>
            <w:tcBorders>
              <w:top w:val="single" w:sz="4" w:space="0" w:color="auto"/>
              <w:left w:val="single" w:sz="4" w:space="0" w:color="auto"/>
              <w:bottom w:val="single" w:sz="4" w:space="0" w:color="auto"/>
              <w:right w:val="single" w:sz="4" w:space="0" w:color="auto"/>
            </w:tcBorders>
            <w:shd w:val="clear" w:color="auto" w:fill="FCFFFF"/>
            <w:vAlign w:val="center"/>
            <w:hideMark/>
          </w:tcPr>
          <w:p w14:paraId="6B2C4EAE"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Andra budgetposter för personalresurser (</w:t>
            </w:r>
            <w:r w:rsidRPr="00C25964">
              <w:rPr>
                <w:rFonts w:ascii="Arial Narrow" w:hAnsi="Arial Narrow"/>
                <w:i/>
                <w:iCs/>
                <w:noProof/>
                <w:color w:val="000000"/>
                <w:sz w:val="20"/>
                <w:szCs w:val="20"/>
              </w:rPr>
              <w:t>specificera</w:t>
            </w:r>
            <w:r w:rsidRPr="00C25964">
              <w:rPr>
                <w:rFonts w:ascii="Arial Narrow" w:hAnsi="Arial Narrow"/>
                <w:noProof/>
                <w:color w:val="000000"/>
                <w:sz w:val="20"/>
                <w:szCs w:val="20"/>
              </w:rPr>
              <w:t>)</w:t>
            </w:r>
          </w:p>
        </w:tc>
        <w:tc>
          <w:tcPr>
            <w:tcW w:w="314" w:type="pct"/>
            <w:tcBorders>
              <w:top w:val="nil"/>
              <w:left w:val="nil"/>
              <w:bottom w:val="single" w:sz="4" w:space="0" w:color="auto"/>
              <w:right w:val="single" w:sz="4" w:space="0" w:color="auto"/>
            </w:tcBorders>
            <w:shd w:val="clear" w:color="auto" w:fill="FCFFFF"/>
            <w:vAlign w:val="center"/>
            <w:hideMark/>
          </w:tcPr>
          <w:p w14:paraId="1DD35423"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4F4F7DF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7A0FA0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35A48AF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047467A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00B9021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4918AA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6E80731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50CC49E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483B988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31565D3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5941C97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4BDB8C1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409A135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71E5BBC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nil"/>
              <w:left w:val="nil"/>
              <w:bottom w:val="single" w:sz="4" w:space="0" w:color="auto"/>
              <w:right w:val="single" w:sz="4" w:space="0" w:color="auto"/>
            </w:tcBorders>
            <w:shd w:val="clear" w:color="auto" w:fill="FCFFFF"/>
            <w:vAlign w:val="center"/>
            <w:hideMark/>
          </w:tcPr>
          <w:p w14:paraId="1562088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nil"/>
              <w:left w:val="nil"/>
              <w:bottom w:val="single" w:sz="4" w:space="0" w:color="auto"/>
              <w:right w:val="single" w:sz="4" w:space="0" w:color="auto"/>
            </w:tcBorders>
            <w:shd w:val="clear" w:color="auto" w:fill="FCFFFF"/>
            <w:vAlign w:val="center"/>
            <w:hideMark/>
          </w:tcPr>
          <w:p w14:paraId="6CEDFC4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2EFBC0C5" w14:textId="77777777" w:rsidTr="0012551C">
        <w:trPr>
          <w:trHeight w:val="546"/>
          <w:jc w:val="center"/>
        </w:trPr>
        <w:tc>
          <w:tcPr>
            <w:tcW w:w="608" w:type="pct"/>
            <w:gridSpan w:val="2"/>
            <w:tcBorders>
              <w:top w:val="single" w:sz="4" w:space="0" w:color="auto"/>
              <w:left w:val="single" w:sz="4" w:space="0" w:color="auto"/>
              <w:bottom w:val="single" w:sz="4" w:space="0" w:color="auto"/>
              <w:right w:val="single" w:sz="4" w:space="0" w:color="auto"/>
            </w:tcBorders>
            <w:shd w:val="clear" w:color="auto" w:fill="FCFFFF"/>
            <w:vAlign w:val="center"/>
            <w:hideMark/>
          </w:tcPr>
          <w:p w14:paraId="34CDA558"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b/>
                <w:bCs/>
                <w:noProof/>
                <w:color w:val="000000"/>
                <w:sz w:val="22"/>
              </w:rPr>
              <w:t>Delsumma personalresurser – Utanför RUBRIK 7</w:t>
            </w:r>
          </w:p>
        </w:tc>
        <w:tc>
          <w:tcPr>
            <w:tcW w:w="314"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504CFA22" w14:textId="77777777" w:rsidR="00252FB9" w:rsidRPr="00C25964" w:rsidRDefault="00252FB9" w:rsidP="00D05F26">
            <w:pPr>
              <w:jc w:val="center"/>
              <w:rPr>
                <w:rFonts w:ascii="Arial Narrow" w:hAnsi="Arial Narrow"/>
                <w:noProof/>
                <w:color w:val="000000"/>
                <w:sz w:val="18"/>
                <w:szCs w:val="18"/>
              </w:rPr>
            </w:pPr>
            <w:r w:rsidRPr="00C25964">
              <w:rPr>
                <w:rFonts w:ascii="Arial Narrow" w:hAnsi="Arial Narrow"/>
                <w:noProof/>
                <w:color w:val="000000"/>
                <w:sz w:val="18"/>
                <w:szCs w:val="18"/>
              </w:rPr>
              <w:t xml:space="preserve"> </w:t>
            </w: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3424D58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0420CF9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79C7F5F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0734147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74011BD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69973EA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6A4ABA2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4FD5045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3A14A66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454139C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7252582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5C0C368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5B9547D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08F1D8A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411228F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hideMark/>
          </w:tcPr>
          <w:p w14:paraId="70BA1D1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r>
      <w:tr w:rsidR="00252FB9" w:rsidRPr="00C25964" w14:paraId="4F2674B0" w14:textId="77777777" w:rsidTr="0012551C">
        <w:trPr>
          <w:trHeight w:val="628"/>
          <w:jc w:val="center"/>
        </w:trPr>
        <w:tc>
          <w:tcPr>
            <w:tcW w:w="608" w:type="pct"/>
            <w:gridSpan w:val="2"/>
            <w:tcBorders>
              <w:top w:val="single" w:sz="4" w:space="0" w:color="auto"/>
              <w:left w:val="single" w:sz="4" w:space="0" w:color="auto"/>
              <w:bottom w:val="single" w:sz="4" w:space="0" w:color="auto"/>
              <w:right w:val="single" w:sz="4" w:space="0" w:color="auto"/>
            </w:tcBorders>
            <w:shd w:val="clear" w:color="auto" w:fill="FCFFFF"/>
            <w:vAlign w:val="center"/>
          </w:tcPr>
          <w:p w14:paraId="0B1F1A50"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b/>
                <w:bCs/>
                <w:noProof/>
                <w:color w:val="000000"/>
                <w:sz w:val="22"/>
              </w:rPr>
              <w:t>Totalt personalresurser (alla rubriker i den fleråriga budgetramen)</w:t>
            </w:r>
          </w:p>
        </w:tc>
        <w:tc>
          <w:tcPr>
            <w:tcW w:w="314" w:type="pct"/>
            <w:tcBorders>
              <w:top w:val="single" w:sz="4" w:space="0" w:color="auto"/>
              <w:left w:val="single" w:sz="4" w:space="0" w:color="auto"/>
              <w:bottom w:val="single" w:sz="4" w:space="0" w:color="auto"/>
              <w:right w:val="single" w:sz="4" w:space="0" w:color="auto"/>
            </w:tcBorders>
            <w:shd w:val="clear" w:color="auto" w:fill="FCFFFF"/>
            <w:vAlign w:val="center"/>
          </w:tcPr>
          <w:p w14:paraId="4341333F" w14:textId="77777777" w:rsidR="00252FB9" w:rsidRPr="00C25964" w:rsidRDefault="00252FB9" w:rsidP="00D05F26">
            <w:pPr>
              <w:jc w:val="center"/>
              <w:rPr>
                <w:rFonts w:ascii="Arial Narrow" w:hAnsi="Arial Narrow"/>
                <w:noProof/>
                <w:color w:val="000000"/>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tcPr>
          <w:p w14:paraId="3757DCF7" w14:textId="77777777" w:rsidR="00252FB9" w:rsidRPr="00C25964" w:rsidRDefault="00252FB9" w:rsidP="00D05F26">
            <w:pPr>
              <w:jc w:val="center"/>
              <w:rPr>
                <w:rFonts w:ascii="Arial Narrow" w:hAnsi="Arial Narrow"/>
                <w:noProof/>
                <w:color w:val="000000"/>
                <w:sz w:val="20"/>
                <w:szCs w:val="20"/>
              </w:rPr>
            </w:pP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tcPr>
          <w:p w14:paraId="40C4CAD8" w14:textId="77777777" w:rsidR="00252FB9" w:rsidRPr="00C25964" w:rsidRDefault="00252FB9" w:rsidP="00D05F26">
            <w:pPr>
              <w:jc w:val="center"/>
              <w:rPr>
                <w:rFonts w:ascii="Arial Narrow" w:hAnsi="Arial Narrow"/>
                <w:noProof/>
                <w:color w:val="000000"/>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tcPr>
          <w:p w14:paraId="58A69583" w14:textId="77777777" w:rsidR="00252FB9" w:rsidRPr="00C25964" w:rsidRDefault="00252FB9" w:rsidP="00D05F26">
            <w:pPr>
              <w:jc w:val="center"/>
              <w:rPr>
                <w:rFonts w:ascii="Arial Narrow" w:hAnsi="Arial Narrow"/>
                <w:noProof/>
                <w:color w:val="000000"/>
                <w:sz w:val="20"/>
                <w:szCs w:val="20"/>
              </w:rPr>
            </w:pP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tcPr>
          <w:p w14:paraId="09C2A2A7" w14:textId="77777777" w:rsidR="00252FB9" w:rsidRPr="00C25964" w:rsidRDefault="00252FB9" w:rsidP="00D05F26">
            <w:pPr>
              <w:jc w:val="center"/>
              <w:rPr>
                <w:rFonts w:ascii="Arial Narrow" w:hAnsi="Arial Narrow"/>
                <w:noProof/>
                <w:color w:val="000000"/>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tcPr>
          <w:p w14:paraId="0AE68EE7" w14:textId="77777777" w:rsidR="00252FB9" w:rsidRPr="00C25964" w:rsidRDefault="00252FB9" w:rsidP="00D05F26">
            <w:pPr>
              <w:jc w:val="center"/>
              <w:rPr>
                <w:rFonts w:ascii="Arial Narrow" w:hAnsi="Arial Narrow"/>
                <w:noProof/>
                <w:color w:val="000000"/>
                <w:sz w:val="20"/>
                <w:szCs w:val="20"/>
              </w:rPr>
            </w:pP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tcPr>
          <w:p w14:paraId="4A04EA2A" w14:textId="77777777" w:rsidR="00252FB9" w:rsidRPr="00C25964" w:rsidRDefault="00252FB9" w:rsidP="00D05F26">
            <w:pPr>
              <w:jc w:val="center"/>
              <w:rPr>
                <w:rFonts w:ascii="Arial Narrow" w:hAnsi="Arial Narrow"/>
                <w:noProof/>
                <w:color w:val="000000"/>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tcPr>
          <w:p w14:paraId="39983A94" w14:textId="77777777" w:rsidR="00252FB9" w:rsidRPr="00C25964" w:rsidRDefault="00252FB9" w:rsidP="00D05F26">
            <w:pPr>
              <w:jc w:val="center"/>
              <w:rPr>
                <w:rFonts w:ascii="Arial Narrow" w:hAnsi="Arial Narrow"/>
                <w:noProof/>
                <w:color w:val="000000"/>
                <w:sz w:val="20"/>
                <w:szCs w:val="20"/>
              </w:rPr>
            </w:pP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tcPr>
          <w:p w14:paraId="200C1A22" w14:textId="77777777" w:rsidR="00252FB9" w:rsidRPr="00C25964" w:rsidRDefault="00252FB9" w:rsidP="00D05F26">
            <w:pPr>
              <w:jc w:val="center"/>
              <w:rPr>
                <w:rFonts w:ascii="Arial Narrow" w:hAnsi="Arial Narrow"/>
                <w:noProof/>
                <w:color w:val="000000"/>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tcPr>
          <w:p w14:paraId="0B534014" w14:textId="77777777" w:rsidR="00252FB9" w:rsidRPr="00C25964" w:rsidRDefault="00252FB9" w:rsidP="00D05F26">
            <w:pPr>
              <w:jc w:val="center"/>
              <w:rPr>
                <w:rFonts w:ascii="Arial Narrow" w:hAnsi="Arial Narrow"/>
                <w:noProof/>
                <w:color w:val="000000"/>
                <w:sz w:val="20"/>
                <w:szCs w:val="20"/>
              </w:rPr>
            </w:pP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tcPr>
          <w:p w14:paraId="13CDFBD0" w14:textId="77777777" w:rsidR="00252FB9" w:rsidRPr="00C25964" w:rsidRDefault="00252FB9" w:rsidP="00D05F26">
            <w:pPr>
              <w:jc w:val="center"/>
              <w:rPr>
                <w:rFonts w:ascii="Arial Narrow" w:hAnsi="Arial Narrow"/>
                <w:noProof/>
                <w:color w:val="000000"/>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tcPr>
          <w:p w14:paraId="6042050C" w14:textId="77777777" w:rsidR="00252FB9" w:rsidRPr="00C25964" w:rsidRDefault="00252FB9" w:rsidP="00D05F26">
            <w:pPr>
              <w:jc w:val="center"/>
              <w:rPr>
                <w:rFonts w:ascii="Arial Narrow" w:hAnsi="Arial Narrow"/>
                <w:noProof/>
                <w:color w:val="000000"/>
                <w:sz w:val="20"/>
                <w:szCs w:val="20"/>
              </w:rPr>
            </w:pP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tcPr>
          <w:p w14:paraId="5FC876D2" w14:textId="77777777" w:rsidR="00252FB9" w:rsidRPr="00C25964" w:rsidRDefault="00252FB9" w:rsidP="00D05F26">
            <w:pPr>
              <w:jc w:val="center"/>
              <w:rPr>
                <w:rFonts w:ascii="Arial Narrow" w:hAnsi="Arial Narrow"/>
                <w:noProof/>
                <w:color w:val="000000"/>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tcPr>
          <w:p w14:paraId="288351D9" w14:textId="77777777" w:rsidR="00252FB9" w:rsidRPr="00C25964" w:rsidRDefault="00252FB9" w:rsidP="00D05F26">
            <w:pPr>
              <w:jc w:val="center"/>
              <w:rPr>
                <w:rFonts w:ascii="Arial Narrow" w:hAnsi="Arial Narrow"/>
                <w:noProof/>
                <w:color w:val="000000"/>
                <w:sz w:val="20"/>
                <w:szCs w:val="20"/>
              </w:rPr>
            </w:pP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tcPr>
          <w:p w14:paraId="50E7B976" w14:textId="77777777" w:rsidR="00252FB9" w:rsidRPr="00C25964" w:rsidRDefault="00252FB9" w:rsidP="00D05F26">
            <w:pPr>
              <w:jc w:val="center"/>
              <w:rPr>
                <w:rFonts w:ascii="Arial Narrow" w:hAnsi="Arial Narrow"/>
                <w:noProof/>
                <w:color w:val="000000"/>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FCFFFF"/>
            <w:vAlign w:val="center"/>
          </w:tcPr>
          <w:p w14:paraId="64C2D695" w14:textId="77777777" w:rsidR="00252FB9" w:rsidRPr="00C25964" w:rsidRDefault="00252FB9" w:rsidP="00D05F26">
            <w:pPr>
              <w:jc w:val="center"/>
              <w:rPr>
                <w:rFonts w:ascii="Arial Narrow" w:hAnsi="Arial Narrow"/>
                <w:noProof/>
                <w:color w:val="000000"/>
                <w:sz w:val="20"/>
                <w:szCs w:val="20"/>
              </w:rPr>
            </w:pPr>
          </w:p>
        </w:tc>
        <w:tc>
          <w:tcPr>
            <w:tcW w:w="163" w:type="pct"/>
            <w:tcBorders>
              <w:top w:val="single" w:sz="4" w:space="0" w:color="auto"/>
              <w:left w:val="single" w:sz="4" w:space="0" w:color="auto"/>
              <w:bottom w:val="single" w:sz="4" w:space="0" w:color="auto"/>
              <w:right w:val="single" w:sz="4" w:space="0" w:color="auto"/>
            </w:tcBorders>
            <w:shd w:val="clear" w:color="auto" w:fill="FCFFFF"/>
            <w:vAlign w:val="center"/>
          </w:tcPr>
          <w:p w14:paraId="21AEEF7E" w14:textId="77777777" w:rsidR="00252FB9" w:rsidRPr="00C25964" w:rsidRDefault="00252FB9" w:rsidP="00D05F26">
            <w:pPr>
              <w:jc w:val="center"/>
              <w:rPr>
                <w:rFonts w:ascii="Arial Narrow" w:hAnsi="Arial Narrow"/>
                <w:noProof/>
                <w:color w:val="000000"/>
                <w:sz w:val="20"/>
                <w:szCs w:val="20"/>
              </w:rPr>
            </w:pPr>
          </w:p>
        </w:tc>
      </w:tr>
    </w:tbl>
    <w:bookmarkEnd w:id="62"/>
    <w:p w14:paraId="11575B75" w14:textId="77777777" w:rsidR="00252FB9" w:rsidRPr="00C25964" w:rsidRDefault="00252FB9" w:rsidP="00252FB9">
      <w:pPr>
        <w:keepNext/>
        <w:rPr>
          <w:noProof/>
          <w:sz w:val="28"/>
          <w:szCs w:val="28"/>
          <w:u w:val="single"/>
        </w:rPr>
      </w:pPr>
      <w:r w:rsidRPr="00C25964">
        <w:rPr>
          <w:noProof/>
          <w:sz w:val="18"/>
        </w:rPr>
        <w:t>Personalbehoven ska täckas med personal inom generaldirektoratet vilka redan har avdelats för förvaltningen av åtgärden i fråga, och/eller genom en omfördelning av personal inom generaldirektoratet, om så krävs efter komplettering med ytterligare resurser som kan tilldelas det förvaltande generaldirektoratet som ett led i det årliga förfarandet för tilldelning av anslag och med hänsyn tagen till begränsningar i fråga om budgetmedel.</w:t>
      </w:r>
    </w:p>
    <w:p w14:paraId="5F5C50F9" w14:textId="77777777" w:rsidR="00252FB9" w:rsidRPr="00C25964" w:rsidRDefault="00252FB9" w:rsidP="00252FB9">
      <w:pPr>
        <w:keepNext/>
        <w:spacing w:after="60"/>
        <w:ind w:left="540"/>
        <w:rPr>
          <w:noProof/>
        </w:rPr>
        <w:sectPr w:rsidR="00252FB9" w:rsidRPr="00C25964" w:rsidSect="004A0B38">
          <w:headerReference w:type="default" r:id="rId29"/>
          <w:footerReference w:type="default" r:id="rId30"/>
          <w:headerReference w:type="first" r:id="rId31"/>
          <w:footerReference w:type="first" r:id="rId32"/>
          <w:pgSz w:w="15840" w:h="12240" w:orient="landscape" w:code="1"/>
          <w:pgMar w:top="624" w:right="902" w:bottom="624" w:left="1191" w:header="709" w:footer="567" w:gutter="0"/>
          <w:cols w:space="708"/>
          <w:docGrid w:linePitch="360"/>
        </w:sectPr>
      </w:pPr>
    </w:p>
    <w:p w14:paraId="739B4682" w14:textId="77777777" w:rsidR="00252FB9" w:rsidRPr="00C25964" w:rsidRDefault="00252FB9" w:rsidP="00252FB9">
      <w:pPr>
        <w:keepNext/>
        <w:rPr>
          <w:noProof/>
          <w:sz w:val="28"/>
          <w:szCs w:val="28"/>
          <w:u w:val="single"/>
        </w:rPr>
      </w:pPr>
      <w:r w:rsidRPr="00C25964">
        <w:rPr>
          <w:noProof/>
          <w:sz w:val="27"/>
          <w:szCs w:val="27"/>
          <w:shd w:val="clear" w:color="auto" w:fill="FFFFFF"/>
        </w:rPr>
        <w:t>Personalbehoven täcks delvis med personal genom en omfördelning av personal inom generaldirektoratet, kompletterad med ytterligare tilldelning av 4 kontraktsanställda som kan tilldelas det förvaltande generaldirektoratet som ett led i det årliga förfarandet för tilldelning av anslag och med hänsyn tagen till begränsningar i fråga om budgetmedel.</w:t>
      </w:r>
    </w:p>
    <w:p w14:paraId="6648DACC" w14:textId="77777777" w:rsidR="00252FB9" w:rsidRPr="00C25964" w:rsidRDefault="00252FB9" w:rsidP="00252FB9">
      <w:pPr>
        <w:keepNext/>
        <w:rPr>
          <w:noProof/>
          <w:sz w:val="28"/>
          <w:szCs w:val="28"/>
          <w:u w:val="single"/>
        </w:rPr>
      </w:pPr>
    </w:p>
    <w:p w14:paraId="13FEB002" w14:textId="1161CA51" w:rsidR="00252FB9" w:rsidRPr="00C25964" w:rsidRDefault="00796BD0" w:rsidP="00796BD0">
      <w:pPr>
        <w:pStyle w:val="ManualHeading1"/>
        <w:rPr>
          <w:noProof/>
          <w:szCs w:val="28"/>
        </w:rPr>
      </w:pPr>
      <w:r w:rsidRPr="00C25964">
        <w:rPr>
          <w:noProof/>
        </w:rPr>
        <w:t>2. Kostnad för övriga administrativa utgifter</w:t>
      </w:r>
    </w:p>
    <w:p w14:paraId="2CB305C8" w14:textId="77777777" w:rsidR="00252FB9" w:rsidRPr="00C25964" w:rsidRDefault="00252FB9" w:rsidP="00252FB9">
      <w:pPr>
        <w:pStyle w:val="Point1"/>
        <w:spacing w:after="0"/>
        <w:ind w:left="2263" w:hanging="284"/>
        <w:rPr>
          <w:noProof/>
        </w:rPr>
      </w:pPr>
      <w:r w:rsidRPr="00C25964">
        <w:rPr>
          <w:noProof/>
        </w:rPr>
        <w:sym w:font="Wingdings" w:char="F0A8"/>
      </w:r>
      <w:r w:rsidRPr="00C25964">
        <w:rPr>
          <w:noProof/>
        </w:rPr>
        <w:t xml:space="preserve"> Förslaget/initiativet kräver inte att administrativa anslag tas i anspråk</w:t>
      </w:r>
    </w:p>
    <w:p w14:paraId="6AF1A750" w14:textId="77777777" w:rsidR="00252FB9" w:rsidRPr="00C25964" w:rsidRDefault="00252FB9" w:rsidP="00252FB9">
      <w:pPr>
        <w:pStyle w:val="Text1"/>
        <w:spacing w:before="0" w:after="0"/>
        <w:ind w:left="2263" w:hanging="284"/>
        <w:rPr>
          <w:noProof/>
        </w:rPr>
      </w:pPr>
      <w:r w:rsidRPr="00C25964">
        <w:rPr>
          <w:noProof/>
        </w:rPr>
        <w:t>x</w:t>
      </w:r>
      <w:r w:rsidRPr="00C25964">
        <w:rPr>
          <w:noProof/>
        </w:rPr>
        <w:tab/>
        <w:t>Förslaget/initiativet kräver att administrativa anslag tas i anspråk enligt följande:</w:t>
      </w:r>
    </w:p>
    <w:p w14:paraId="53ACAA36" w14:textId="77777777" w:rsidR="00252FB9" w:rsidRPr="00C25964" w:rsidRDefault="00252FB9" w:rsidP="00252FB9">
      <w:pPr>
        <w:tabs>
          <w:tab w:val="left" w:pos="870"/>
        </w:tabs>
        <w:rPr>
          <w:noProof/>
          <w:sz w:val="16"/>
          <w:szCs w:val="16"/>
        </w:rPr>
      </w:pPr>
    </w:p>
    <w:p w14:paraId="220AC717" w14:textId="77777777" w:rsidR="00252FB9" w:rsidRPr="00C25964" w:rsidRDefault="00252FB9" w:rsidP="00252FB9">
      <w:pPr>
        <w:jc w:val="right"/>
        <w:rPr>
          <w:i/>
          <w:noProof/>
          <w:sz w:val="20"/>
          <w:szCs w:val="20"/>
        </w:rPr>
      </w:pPr>
      <w:r w:rsidRPr="00C25964">
        <w:rPr>
          <w:i/>
          <w:noProof/>
          <w:sz w:val="20"/>
          <w:szCs w:val="20"/>
        </w:rPr>
        <w:t>Miljoner euro (avrundat till tre decimaler)</w:t>
      </w:r>
    </w:p>
    <w:tbl>
      <w:tblPr>
        <w:tblW w:w="14757" w:type="dxa"/>
        <w:jc w:val="center"/>
        <w:tblLook w:val="04A0" w:firstRow="1" w:lastRow="0" w:firstColumn="1" w:lastColumn="0" w:noHBand="0" w:noVBand="1"/>
      </w:tblPr>
      <w:tblGrid>
        <w:gridCol w:w="4410"/>
        <w:gridCol w:w="1275"/>
        <w:gridCol w:w="1276"/>
        <w:gridCol w:w="1276"/>
        <w:gridCol w:w="1417"/>
        <w:gridCol w:w="1276"/>
        <w:gridCol w:w="1276"/>
        <w:gridCol w:w="1276"/>
        <w:gridCol w:w="1275"/>
      </w:tblGrid>
      <w:tr w:rsidR="00252FB9" w:rsidRPr="00C25964" w14:paraId="7BFE7791" w14:textId="77777777" w:rsidTr="00D05F26">
        <w:trPr>
          <w:trHeight w:val="970"/>
          <w:jc w:val="center"/>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47F4C"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b/>
                <w:bCs/>
                <w:noProof/>
                <w:color w:val="000000"/>
                <w:sz w:val="22"/>
              </w:rPr>
              <w:t>RUBRIK 7</w:t>
            </w:r>
          </w:p>
          <w:p w14:paraId="00143418" w14:textId="77777777" w:rsidR="00252FB9" w:rsidRPr="00C25964" w:rsidRDefault="00252FB9" w:rsidP="00D05F26">
            <w:pPr>
              <w:jc w:val="center"/>
              <w:rPr>
                <w:rFonts w:ascii="Arial Narrow" w:hAnsi="Arial Narrow"/>
                <w:i/>
                <w:iCs/>
                <w:noProof/>
                <w:color w:val="000000"/>
                <w:sz w:val="20"/>
                <w:szCs w:val="20"/>
              </w:rPr>
            </w:pPr>
            <w:r w:rsidRPr="00C25964">
              <w:rPr>
                <w:rFonts w:ascii="Arial Narrow" w:hAnsi="Arial Narrow"/>
                <w:noProof/>
                <w:color w:val="000000"/>
                <w:sz w:val="22"/>
              </w:rPr>
              <w:t>i den fleråriga budgetramen</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1F3A03"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2021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014EE6"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2022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3C8B73"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2023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BE6F9B"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CC42F6"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318CF1"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F8CE84"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179D68"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Totalt</w:t>
            </w:r>
          </w:p>
        </w:tc>
      </w:tr>
      <w:tr w:rsidR="00252FB9" w:rsidRPr="00C25964" w14:paraId="322A7FE4" w14:textId="77777777" w:rsidTr="00D05F26">
        <w:trPr>
          <w:trHeight w:val="300"/>
          <w:jc w:val="center"/>
        </w:trPr>
        <w:tc>
          <w:tcPr>
            <w:tcW w:w="4410" w:type="dxa"/>
            <w:tcBorders>
              <w:top w:val="single" w:sz="4" w:space="0" w:color="auto"/>
              <w:left w:val="single" w:sz="4" w:space="0" w:color="auto"/>
              <w:bottom w:val="single" w:sz="4" w:space="0" w:color="auto"/>
              <w:right w:val="single" w:sz="4" w:space="0" w:color="auto"/>
            </w:tcBorders>
            <w:shd w:val="clear" w:color="auto" w:fill="EDFFED"/>
            <w:vAlign w:val="center"/>
            <w:hideMark/>
          </w:tcPr>
          <w:p w14:paraId="6C3DFF3E" w14:textId="77777777" w:rsidR="00252FB9" w:rsidRPr="00C25964" w:rsidRDefault="00252FB9" w:rsidP="00D05F26">
            <w:pPr>
              <w:rPr>
                <w:rFonts w:ascii="Arial Narrow" w:hAnsi="Arial Narrow"/>
                <w:b/>
                <w:bCs/>
                <w:noProof/>
                <w:color w:val="008000"/>
                <w:sz w:val="20"/>
                <w:szCs w:val="20"/>
                <w:u w:val="single"/>
              </w:rPr>
            </w:pPr>
            <w:r w:rsidRPr="00C25964">
              <w:rPr>
                <w:rFonts w:ascii="Arial Narrow" w:hAnsi="Arial Narrow"/>
                <w:b/>
                <w:bCs/>
                <w:noProof/>
                <w:color w:val="008000"/>
                <w:sz w:val="20"/>
                <w:szCs w:val="20"/>
                <w:u w:val="single"/>
              </w:rPr>
              <w:t>Vid huvudkontoret eller inom EU:s territorium: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75DA3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426BF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33DA3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C47256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72CDD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4E85E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737A2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2233CF"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0280991F" w14:textId="77777777" w:rsidTr="00D05F26">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37912B0" w14:textId="77777777" w:rsidR="00252FB9" w:rsidRPr="00C25964" w:rsidRDefault="00252FB9" w:rsidP="00D05F26">
            <w:pPr>
              <w:rPr>
                <w:rFonts w:ascii="Arial Narrow" w:hAnsi="Arial Narrow"/>
                <w:noProof/>
                <w:color w:val="000000"/>
                <w:sz w:val="20"/>
                <w:szCs w:val="20"/>
                <w:highlight w:val="yellow"/>
              </w:rPr>
            </w:pPr>
            <w:r w:rsidRPr="00C25964">
              <w:rPr>
                <w:rFonts w:ascii="Arial Narrow" w:hAnsi="Arial Narrow"/>
                <w:noProof/>
                <w:color w:val="000000"/>
                <w:sz w:val="20"/>
                <w:szCs w:val="20"/>
              </w:rPr>
              <w:t>20 02 06 01 – Utgifter för tjänsteresor och representation</w:t>
            </w:r>
          </w:p>
        </w:tc>
        <w:tc>
          <w:tcPr>
            <w:tcW w:w="1275" w:type="dxa"/>
            <w:tcBorders>
              <w:top w:val="nil"/>
              <w:left w:val="nil"/>
              <w:bottom w:val="single" w:sz="4" w:space="0" w:color="auto"/>
              <w:right w:val="single" w:sz="4" w:space="0" w:color="auto"/>
            </w:tcBorders>
            <w:shd w:val="clear" w:color="auto" w:fill="auto"/>
            <w:vAlign w:val="center"/>
            <w:hideMark/>
          </w:tcPr>
          <w:p w14:paraId="76CEC10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4CF1FB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0,012</w:t>
            </w:r>
          </w:p>
        </w:tc>
        <w:tc>
          <w:tcPr>
            <w:tcW w:w="1276" w:type="dxa"/>
            <w:tcBorders>
              <w:top w:val="nil"/>
              <w:left w:val="nil"/>
              <w:bottom w:val="single" w:sz="4" w:space="0" w:color="auto"/>
              <w:right w:val="single" w:sz="4" w:space="0" w:color="auto"/>
            </w:tcBorders>
            <w:shd w:val="clear" w:color="auto" w:fill="auto"/>
            <w:vAlign w:val="center"/>
            <w:hideMark/>
          </w:tcPr>
          <w:p w14:paraId="4901E13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682ACEE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D515E4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59A66C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F66388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F93C1DA"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0,012</w:t>
            </w:r>
          </w:p>
        </w:tc>
      </w:tr>
      <w:tr w:rsidR="00252FB9" w:rsidRPr="00C25964" w14:paraId="79BBF9ED" w14:textId="77777777" w:rsidTr="00D05F26">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1A7EF455"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20 02 06 02 – Kostnader för konferenser och möten</w:t>
            </w:r>
          </w:p>
        </w:tc>
        <w:tc>
          <w:tcPr>
            <w:tcW w:w="1275" w:type="dxa"/>
            <w:tcBorders>
              <w:top w:val="nil"/>
              <w:left w:val="nil"/>
              <w:bottom w:val="single" w:sz="4" w:space="0" w:color="auto"/>
              <w:right w:val="single" w:sz="4" w:space="0" w:color="auto"/>
            </w:tcBorders>
            <w:shd w:val="clear" w:color="auto" w:fill="auto"/>
            <w:vAlign w:val="center"/>
            <w:hideMark/>
          </w:tcPr>
          <w:p w14:paraId="137031F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2393CA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8D8926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77675E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696072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49CE35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1C9823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A94CE52"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1D35F367" w14:textId="77777777" w:rsidTr="00D05F26">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B6FE6A5" w14:textId="77777777" w:rsidR="00252FB9" w:rsidRPr="00C25964" w:rsidRDefault="00252FB9" w:rsidP="00D05F26">
            <w:pPr>
              <w:rPr>
                <w:rFonts w:ascii="Calibri" w:hAnsi="Calibri"/>
                <w:noProof/>
                <w:color w:val="0000FF"/>
                <w:sz w:val="22"/>
                <w:u w:val="single"/>
              </w:rPr>
            </w:pPr>
            <w:r w:rsidRPr="00C25964">
              <w:rPr>
                <w:rFonts w:ascii="Arial Narrow" w:hAnsi="Arial Narrow"/>
                <w:noProof/>
                <w:sz w:val="20"/>
                <w:szCs w:val="20"/>
              </w:rPr>
              <w:t>20 02 06 03 – Kommittéer</w:t>
            </w:r>
            <w:r w:rsidRPr="00C25964">
              <w:rPr>
                <w:rStyle w:val="FootnoteReference0"/>
                <w:rFonts w:ascii="Arial Narrow" w:hAnsi="Arial Narrow"/>
                <w:noProof/>
                <w:sz w:val="20"/>
                <w:szCs w:val="20"/>
              </w:rPr>
              <w:footnoteReference w:id="49"/>
            </w:r>
          </w:p>
        </w:tc>
        <w:tc>
          <w:tcPr>
            <w:tcW w:w="1275" w:type="dxa"/>
            <w:tcBorders>
              <w:top w:val="nil"/>
              <w:left w:val="nil"/>
              <w:bottom w:val="single" w:sz="4" w:space="0" w:color="auto"/>
              <w:right w:val="single" w:sz="4" w:space="0" w:color="auto"/>
            </w:tcBorders>
            <w:shd w:val="clear" w:color="auto" w:fill="auto"/>
            <w:vAlign w:val="center"/>
            <w:hideMark/>
          </w:tcPr>
          <w:p w14:paraId="4EF010F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AC8E44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37EB136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5053F72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03DC83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1D35FA0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3AC5026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2F93368"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12A66BCA" w14:textId="77777777" w:rsidTr="00D05F26">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9C768FF"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20 02 06 04 Studier och samråd</w:t>
            </w:r>
          </w:p>
        </w:tc>
        <w:tc>
          <w:tcPr>
            <w:tcW w:w="1275" w:type="dxa"/>
            <w:tcBorders>
              <w:top w:val="nil"/>
              <w:left w:val="nil"/>
              <w:bottom w:val="single" w:sz="4" w:space="0" w:color="auto"/>
              <w:right w:val="single" w:sz="4" w:space="0" w:color="auto"/>
            </w:tcBorders>
            <w:shd w:val="clear" w:color="auto" w:fill="auto"/>
            <w:vAlign w:val="center"/>
            <w:hideMark/>
          </w:tcPr>
          <w:p w14:paraId="3213C96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3C22CBF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1DF872A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5F52CD3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698072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11566DC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3BBD6D1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D0FCFDE"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268B004A" w14:textId="77777777" w:rsidTr="00D05F26">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1581ECD7"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20 04 – IT-utgifter (gemensamma)</w:t>
            </w:r>
            <w:r w:rsidRPr="00C25964">
              <w:rPr>
                <w:rStyle w:val="FootnoteReference0"/>
                <w:rFonts w:ascii="Arial Narrow" w:hAnsi="Arial Narrow"/>
                <w:noProof/>
                <w:color w:val="000000"/>
                <w:sz w:val="20"/>
                <w:szCs w:val="20"/>
              </w:rPr>
              <w:footnoteReference w:id="50"/>
            </w:r>
            <w:r w:rsidRPr="00C25964">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467C06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B4C45F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8260BA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69A9CA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477897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8E207F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258E8E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7EC7D2D"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35ADADF8" w14:textId="77777777" w:rsidTr="00D05F26">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D96E1A9"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Andra budgetposter som inte gäller personalresurser (</w:t>
            </w:r>
            <w:r w:rsidRPr="00C25964">
              <w:rPr>
                <w:rFonts w:ascii="Arial Narrow" w:hAnsi="Arial Narrow"/>
                <w:i/>
                <w:iCs/>
                <w:noProof/>
                <w:color w:val="000000"/>
                <w:sz w:val="20"/>
                <w:szCs w:val="20"/>
              </w:rPr>
              <w:t>specificera vid behov</w:t>
            </w:r>
            <w:r w:rsidRPr="00C25964">
              <w:rPr>
                <w:rFonts w:ascii="Arial Narrow" w:hAnsi="Arial Narrow"/>
                <w:noProof/>
                <w:color w:val="000000"/>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14:paraId="605BF4D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2CDFF1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3C07E7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AC02B9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954243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BFEBB0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65911F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213338F"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3654FC4D" w14:textId="77777777" w:rsidTr="00D05F26">
        <w:trPr>
          <w:trHeight w:val="300"/>
          <w:jc w:val="center"/>
        </w:trPr>
        <w:tc>
          <w:tcPr>
            <w:tcW w:w="4410" w:type="dxa"/>
            <w:tcBorders>
              <w:top w:val="nil"/>
              <w:left w:val="single" w:sz="4" w:space="0" w:color="auto"/>
              <w:bottom w:val="single" w:sz="4" w:space="0" w:color="auto"/>
              <w:right w:val="single" w:sz="4" w:space="0" w:color="auto"/>
            </w:tcBorders>
            <w:shd w:val="clear" w:color="auto" w:fill="EDFFED"/>
            <w:vAlign w:val="center"/>
            <w:hideMark/>
          </w:tcPr>
          <w:p w14:paraId="62F7E5B3" w14:textId="77777777" w:rsidR="00252FB9" w:rsidRPr="00C25964" w:rsidRDefault="00252FB9" w:rsidP="00D05F26">
            <w:pPr>
              <w:rPr>
                <w:rFonts w:ascii="Arial Narrow" w:hAnsi="Arial Narrow"/>
                <w:b/>
                <w:bCs/>
                <w:noProof/>
                <w:color w:val="008000"/>
                <w:sz w:val="20"/>
                <w:szCs w:val="20"/>
                <w:u w:val="single"/>
              </w:rPr>
            </w:pPr>
            <w:r w:rsidRPr="00C25964">
              <w:rPr>
                <w:rFonts w:ascii="Arial Narrow" w:hAnsi="Arial Narrow"/>
                <w:b/>
                <w:bCs/>
                <w:noProof/>
                <w:color w:val="008000"/>
                <w:sz w:val="20"/>
                <w:szCs w:val="20"/>
                <w:u w:val="single"/>
              </w:rPr>
              <w:t>Vid unionens delegationer</w:t>
            </w:r>
          </w:p>
        </w:tc>
        <w:tc>
          <w:tcPr>
            <w:tcW w:w="1275" w:type="dxa"/>
            <w:tcBorders>
              <w:top w:val="nil"/>
              <w:left w:val="nil"/>
              <w:bottom w:val="single" w:sz="4" w:space="0" w:color="auto"/>
              <w:right w:val="single" w:sz="4" w:space="0" w:color="auto"/>
            </w:tcBorders>
            <w:shd w:val="clear" w:color="auto" w:fill="auto"/>
            <w:vAlign w:val="center"/>
            <w:hideMark/>
          </w:tcPr>
          <w:p w14:paraId="5B33F65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37F550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6EDE86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1FFA733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623DCA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8D5B9C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A45EF5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7FB14AD"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32A42420" w14:textId="77777777" w:rsidTr="00D05F26">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755FEC70"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20 02 07 01 – Kostnader för tjänsteresor, konferenser och representation</w:t>
            </w:r>
          </w:p>
        </w:tc>
        <w:tc>
          <w:tcPr>
            <w:tcW w:w="1275" w:type="dxa"/>
            <w:tcBorders>
              <w:top w:val="nil"/>
              <w:left w:val="nil"/>
              <w:bottom w:val="single" w:sz="4" w:space="0" w:color="auto"/>
              <w:right w:val="single" w:sz="4" w:space="0" w:color="auto"/>
            </w:tcBorders>
            <w:shd w:val="clear" w:color="auto" w:fill="auto"/>
            <w:vAlign w:val="center"/>
            <w:hideMark/>
          </w:tcPr>
          <w:p w14:paraId="7BFE760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C03CA2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870317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32735B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2458FB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1A83E1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E620E6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2CFA2C4"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789220F3" w14:textId="77777777" w:rsidTr="00D05F26">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5E0AC12E"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20 02 07 02 – Vidareutbildning för anställda</w:t>
            </w:r>
          </w:p>
        </w:tc>
        <w:tc>
          <w:tcPr>
            <w:tcW w:w="1275" w:type="dxa"/>
            <w:tcBorders>
              <w:top w:val="nil"/>
              <w:left w:val="nil"/>
              <w:bottom w:val="single" w:sz="4" w:space="0" w:color="auto"/>
              <w:right w:val="single" w:sz="4" w:space="0" w:color="auto"/>
            </w:tcBorders>
            <w:shd w:val="clear" w:color="auto" w:fill="auto"/>
            <w:vAlign w:val="center"/>
            <w:hideMark/>
          </w:tcPr>
          <w:p w14:paraId="5DA1EE9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84AA10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21117C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4CB40D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3483F78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5BC24D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DDE901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E4BAF55"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09554763" w14:textId="77777777" w:rsidTr="00D05F26">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1906F8A6"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20 03 05 – Infrastruktur och logistik</w:t>
            </w:r>
          </w:p>
        </w:tc>
        <w:tc>
          <w:tcPr>
            <w:tcW w:w="1275" w:type="dxa"/>
            <w:tcBorders>
              <w:top w:val="nil"/>
              <w:left w:val="nil"/>
              <w:bottom w:val="single" w:sz="4" w:space="0" w:color="auto"/>
              <w:right w:val="single" w:sz="4" w:space="0" w:color="auto"/>
            </w:tcBorders>
            <w:shd w:val="clear" w:color="auto" w:fill="auto"/>
            <w:vAlign w:val="center"/>
            <w:hideMark/>
          </w:tcPr>
          <w:p w14:paraId="3B7DC13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26A045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183561A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52EF707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6BBA08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7099C6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36C1FAF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AC52CD2"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282D1A06" w14:textId="77777777" w:rsidTr="00D05F26">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7A0654D"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Andra budgetposter som inte gäller personalresurser (</w:t>
            </w:r>
            <w:r w:rsidRPr="00C25964">
              <w:rPr>
                <w:rFonts w:ascii="Arial Narrow" w:hAnsi="Arial Narrow"/>
                <w:i/>
                <w:iCs/>
                <w:noProof/>
                <w:color w:val="000000"/>
                <w:sz w:val="20"/>
                <w:szCs w:val="20"/>
              </w:rPr>
              <w:t>specificera vid behov</w:t>
            </w:r>
            <w:r w:rsidRPr="00C25964">
              <w:rPr>
                <w:rFonts w:ascii="Arial Narrow" w:hAnsi="Arial Narrow"/>
                <w:noProof/>
                <w:color w:val="000000"/>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14:paraId="4F5B07A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24057F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97CA76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E30000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27ECB7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54F63E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1B9459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BAF1E60"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65AE812D" w14:textId="77777777" w:rsidTr="00D05F26">
        <w:trPr>
          <w:trHeight w:val="6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C2727"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b/>
                <w:bCs/>
                <w:noProof/>
                <w:color w:val="000000"/>
                <w:sz w:val="22"/>
              </w:rPr>
              <w:t>Delsumma Övriga utgifter – RUBRIK 7</w:t>
            </w:r>
          </w:p>
          <w:p w14:paraId="3586EE3E"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noProof/>
                <w:color w:val="000000"/>
                <w:sz w:val="22"/>
              </w:rPr>
              <w:t>i den fleråriga budgetramen</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46E89A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FA3B04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0,012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5AF2B4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C1C0A5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AC5E42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4CE949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428532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A0BE71F"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0,012 </w:t>
            </w:r>
          </w:p>
        </w:tc>
      </w:tr>
    </w:tbl>
    <w:p w14:paraId="729E9148" w14:textId="77777777" w:rsidR="00252FB9" w:rsidRPr="00C25964" w:rsidRDefault="00252FB9" w:rsidP="00252FB9">
      <w:pPr>
        <w:ind w:right="-496"/>
        <w:jc w:val="right"/>
        <w:rPr>
          <w:rFonts w:ascii="Arial Narrow" w:hAnsi="Arial Narrow"/>
          <w:i/>
          <w:iCs/>
          <w:noProof/>
          <w:sz w:val="20"/>
          <w:szCs w:val="20"/>
        </w:rPr>
      </w:pPr>
    </w:p>
    <w:p w14:paraId="4838739D" w14:textId="77777777" w:rsidR="00252FB9" w:rsidRPr="00C25964" w:rsidRDefault="00252FB9" w:rsidP="00252FB9">
      <w:pPr>
        <w:pStyle w:val="Text2"/>
        <w:spacing w:before="0" w:after="0"/>
        <w:ind w:left="0"/>
        <w:jc w:val="center"/>
        <w:rPr>
          <w:noProof/>
          <w:sz w:val="18"/>
          <w:szCs w:val="18"/>
        </w:rPr>
      </w:pPr>
      <w:r w:rsidRPr="00C25964">
        <w:rPr>
          <w:noProof/>
          <w:sz w:val="18"/>
          <w:szCs w:val="18"/>
        </w:rPr>
        <w:t>De administrativa kostnaderna ska täckas genom anslag som redan har avdelats för att förvalta åtgärden i fråga och/eller som har omfördelats, om så krävs kompletterade med ytterligare resurser som kan tilldelas det förvaltande generaldirektoratet som ett led i det årliga förfarandet för tilldelning av anslag och med hänsyn tagen till befintliga begränsningar i fråga om budgetmedel.</w:t>
      </w:r>
    </w:p>
    <w:p w14:paraId="38B81CA3" w14:textId="77777777" w:rsidR="00252FB9" w:rsidRPr="00C25964" w:rsidRDefault="00252FB9" w:rsidP="00252FB9">
      <w:pPr>
        <w:jc w:val="right"/>
        <w:rPr>
          <w:rFonts w:ascii="Arial Narrow" w:hAnsi="Arial Narrow"/>
          <w:i/>
          <w:noProof/>
          <w:sz w:val="20"/>
          <w:szCs w:val="20"/>
        </w:rPr>
      </w:pPr>
    </w:p>
    <w:p w14:paraId="0A2F6173" w14:textId="77777777" w:rsidR="00252FB9" w:rsidRPr="00C25964" w:rsidRDefault="00252FB9" w:rsidP="00252FB9">
      <w:pPr>
        <w:ind w:right="-496"/>
        <w:rPr>
          <w:rFonts w:ascii="Arial Narrow" w:hAnsi="Arial Narrow"/>
          <w:b/>
          <w:noProof/>
          <w:color w:val="0000FF"/>
          <w:sz w:val="20"/>
          <w:szCs w:val="20"/>
        </w:rPr>
      </w:pPr>
    </w:p>
    <w:p w14:paraId="56BA3026" w14:textId="77777777" w:rsidR="00252FB9" w:rsidRPr="00C25964" w:rsidRDefault="00252FB9" w:rsidP="00252FB9">
      <w:pPr>
        <w:rPr>
          <w:rFonts w:ascii="Arial Narrow" w:hAnsi="Arial Narrow"/>
          <w:b/>
          <w:noProof/>
          <w:color w:val="0000FF"/>
          <w:sz w:val="20"/>
          <w:szCs w:val="20"/>
        </w:rPr>
      </w:pPr>
    </w:p>
    <w:p w14:paraId="3FD6048F" w14:textId="77777777" w:rsidR="00252FB9" w:rsidRPr="00C25964" w:rsidRDefault="00252FB9" w:rsidP="00252FB9">
      <w:pPr>
        <w:ind w:right="-496"/>
        <w:jc w:val="right"/>
        <w:rPr>
          <w:i/>
          <w:iCs/>
          <w:noProof/>
          <w:sz w:val="20"/>
          <w:szCs w:val="20"/>
        </w:rPr>
      </w:pPr>
      <w:r w:rsidRPr="00C25964">
        <w:rPr>
          <w:i/>
          <w:noProof/>
          <w:sz w:val="20"/>
          <w:szCs w:val="20"/>
        </w:rPr>
        <w:t>Miljoner euro (avrundat till tre decimaler)</w:t>
      </w:r>
    </w:p>
    <w:tbl>
      <w:tblPr>
        <w:tblW w:w="14670" w:type="dxa"/>
        <w:jc w:val="center"/>
        <w:tblLook w:val="04A0" w:firstRow="1" w:lastRow="0" w:firstColumn="1" w:lastColumn="0" w:noHBand="0" w:noVBand="1"/>
      </w:tblPr>
      <w:tblGrid>
        <w:gridCol w:w="4361"/>
        <w:gridCol w:w="1276"/>
        <w:gridCol w:w="1250"/>
        <w:gridCol w:w="1263"/>
        <w:gridCol w:w="1314"/>
        <w:gridCol w:w="1305"/>
        <w:gridCol w:w="1306"/>
        <w:gridCol w:w="1358"/>
        <w:gridCol w:w="1237"/>
      </w:tblGrid>
      <w:tr w:rsidR="00252FB9" w:rsidRPr="00C25964" w14:paraId="13400E23" w14:textId="77777777" w:rsidTr="00D05F26">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79CB3A" w14:textId="77777777" w:rsidR="00252FB9" w:rsidRPr="00C25964" w:rsidRDefault="00252FB9" w:rsidP="00D05F26">
            <w:pPr>
              <w:jc w:val="center"/>
              <w:rPr>
                <w:rFonts w:ascii="Arial Narrow" w:hAnsi="Arial Narrow"/>
                <w:noProof/>
                <w:color w:val="000000"/>
                <w:sz w:val="22"/>
              </w:rPr>
            </w:pPr>
            <w:r w:rsidRPr="00C25964">
              <w:rPr>
                <w:rFonts w:ascii="Arial Narrow" w:hAnsi="Arial Narrow"/>
                <w:b/>
                <w:bCs/>
                <w:noProof/>
                <w:color w:val="000000"/>
                <w:sz w:val="22"/>
              </w:rPr>
              <w:t>Utanför RUBRIK 7</w:t>
            </w:r>
            <w:r w:rsidRPr="00C25964">
              <w:rPr>
                <w:rFonts w:ascii="Arial Narrow" w:hAnsi="Arial Narrow"/>
                <w:noProof/>
                <w:color w:val="000000"/>
                <w:sz w:val="22"/>
              </w:rPr>
              <w:t xml:space="preserve"> </w:t>
            </w:r>
          </w:p>
          <w:p w14:paraId="2B762B6A"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noProof/>
                <w:color w:val="000000"/>
                <w:sz w:val="22"/>
              </w:rPr>
              <w:t>i den fleråriga budgetramen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6C55F3"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w:t>
            </w:r>
            <w:r w:rsidRPr="00C25964">
              <w:rPr>
                <w:rStyle w:val="FootnoteReference0"/>
                <w:noProof/>
              </w:rPr>
              <w:footnoteReference w:id="51"/>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2A2A4051"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n+1</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31F232C7"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n+2</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3392BD7B"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1F7BF293"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n+4</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115B18A"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n+5</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6848E78D"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n+7</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4FE80621"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Totalt</w:t>
            </w:r>
          </w:p>
        </w:tc>
      </w:tr>
      <w:tr w:rsidR="00252FB9" w:rsidRPr="00C25964" w14:paraId="49E7C8B4" w14:textId="77777777" w:rsidTr="00D05F26">
        <w:trPr>
          <w:trHeight w:val="765"/>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1B6B08A5"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Utgifter för tekniskt och administrativt stöd (</w:t>
            </w:r>
            <w:r w:rsidRPr="00C25964">
              <w:rPr>
                <w:rFonts w:ascii="Arial Narrow" w:hAnsi="Arial Narrow"/>
                <w:noProof/>
                <w:color w:val="000000"/>
                <w:sz w:val="20"/>
                <w:szCs w:val="20"/>
                <w:u w:val="single"/>
              </w:rPr>
              <w:t>gäller ej</w:t>
            </w:r>
            <w:r w:rsidRPr="00C25964">
              <w:rPr>
                <w:rFonts w:ascii="Arial Narrow" w:hAnsi="Arial Narrow"/>
                <w:noProof/>
                <w:color w:val="000000"/>
                <w:sz w:val="20"/>
                <w:szCs w:val="20"/>
              </w:rPr>
              <w:t xml:space="preserve"> extern personal) som finansieras från driftsanslag (tidigare s.k. BA-poster)</w:t>
            </w:r>
          </w:p>
        </w:tc>
        <w:tc>
          <w:tcPr>
            <w:tcW w:w="1276" w:type="dxa"/>
            <w:tcBorders>
              <w:top w:val="nil"/>
              <w:left w:val="nil"/>
              <w:bottom w:val="single" w:sz="4" w:space="0" w:color="auto"/>
              <w:right w:val="single" w:sz="4" w:space="0" w:color="auto"/>
            </w:tcBorders>
            <w:shd w:val="clear" w:color="auto" w:fill="auto"/>
            <w:vAlign w:val="center"/>
            <w:hideMark/>
          </w:tcPr>
          <w:p w14:paraId="743750B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14:paraId="091FA3B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1DD78DD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14:paraId="7169A1C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14:paraId="7C7081B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14:paraId="032C763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14:paraId="5BC0BD4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0C2A32B4"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5ED337EB" w14:textId="77777777" w:rsidTr="00D05F26">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5C0B8CC3" w14:textId="77777777" w:rsidR="00252FB9" w:rsidRPr="00C25964" w:rsidRDefault="00252FB9" w:rsidP="00D05F26">
            <w:pPr>
              <w:ind w:firstLineChars="100" w:firstLine="200"/>
              <w:rPr>
                <w:rFonts w:ascii="Arial Narrow" w:hAnsi="Arial Narrow"/>
                <w:noProof/>
                <w:color w:val="000000"/>
                <w:sz w:val="20"/>
                <w:szCs w:val="20"/>
              </w:rPr>
            </w:pPr>
            <w:r w:rsidRPr="00C25964">
              <w:rPr>
                <w:rFonts w:ascii="Arial Narrow" w:hAnsi="Arial Narrow"/>
                <w:noProof/>
                <w:color w:val="000000"/>
                <w:sz w:val="20"/>
                <w:szCs w:val="20"/>
              </w:rPr>
              <w:t>– vid huvudkontoret</w:t>
            </w:r>
          </w:p>
        </w:tc>
        <w:tc>
          <w:tcPr>
            <w:tcW w:w="1276" w:type="dxa"/>
            <w:tcBorders>
              <w:top w:val="nil"/>
              <w:left w:val="nil"/>
              <w:bottom w:val="single" w:sz="4" w:space="0" w:color="auto"/>
              <w:right w:val="single" w:sz="4" w:space="0" w:color="auto"/>
            </w:tcBorders>
            <w:shd w:val="clear" w:color="auto" w:fill="auto"/>
            <w:vAlign w:val="center"/>
            <w:hideMark/>
          </w:tcPr>
          <w:p w14:paraId="4223F9D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14:paraId="7934A79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740F0B3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14:paraId="002D835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14:paraId="6D15468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14:paraId="644058C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14:paraId="139BA6F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555FFF55"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64CB975C" w14:textId="77777777" w:rsidTr="00D05F26">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68151C9E" w14:textId="77777777" w:rsidR="00252FB9" w:rsidRPr="00C25964" w:rsidRDefault="00252FB9" w:rsidP="00D05F26">
            <w:pPr>
              <w:ind w:firstLineChars="100" w:firstLine="200"/>
              <w:rPr>
                <w:rFonts w:ascii="Arial Narrow" w:hAnsi="Arial Narrow"/>
                <w:noProof/>
                <w:color w:val="000000"/>
                <w:sz w:val="20"/>
                <w:szCs w:val="20"/>
              </w:rPr>
            </w:pPr>
            <w:r w:rsidRPr="00C25964">
              <w:rPr>
                <w:rFonts w:ascii="Arial Narrow" w:hAnsi="Arial Narrow"/>
                <w:noProof/>
                <w:color w:val="000000"/>
                <w:sz w:val="20"/>
                <w:szCs w:val="20"/>
              </w:rPr>
              <w:t>– vid unionens delegationer</w:t>
            </w:r>
          </w:p>
        </w:tc>
        <w:tc>
          <w:tcPr>
            <w:tcW w:w="1276" w:type="dxa"/>
            <w:tcBorders>
              <w:top w:val="nil"/>
              <w:left w:val="nil"/>
              <w:bottom w:val="single" w:sz="4" w:space="0" w:color="auto"/>
              <w:right w:val="single" w:sz="4" w:space="0" w:color="auto"/>
            </w:tcBorders>
            <w:shd w:val="clear" w:color="auto" w:fill="auto"/>
            <w:vAlign w:val="center"/>
            <w:hideMark/>
          </w:tcPr>
          <w:p w14:paraId="0CF7C8F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14:paraId="18E5975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3AEB451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14:paraId="6EC53E9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14:paraId="1FFF278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14:paraId="1A9B7B6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14:paraId="59DAA5D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341A0200"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1C8D5A63" w14:textId="77777777" w:rsidTr="00D05F26">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717A8AB2"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Andra administrativa utgifter för forskning</w:t>
            </w:r>
          </w:p>
        </w:tc>
        <w:tc>
          <w:tcPr>
            <w:tcW w:w="1276" w:type="dxa"/>
            <w:tcBorders>
              <w:top w:val="nil"/>
              <w:left w:val="nil"/>
              <w:bottom w:val="single" w:sz="4" w:space="0" w:color="auto"/>
              <w:right w:val="single" w:sz="4" w:space="0" w:color="auto"/>
            </w:tcBorders>
            <w:shd w:val="clear" w:color="auto" w:fill="auto"/>
            <w:vAlign w:val="center"/>
            <w:hideMark/>
          </w:tcPr>
          <w:p w14:paraId="0527CC8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14:paraId="62DED05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18EB0C9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14:paraId="0C4DFFA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14:paraId="27556F81"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14:paraId="13A3666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14:paraId="7E9D572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7524B6FF"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3E93731B" w14:textId="77777777" w:rsidTr="00D05F26">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14:paraId="75D14447"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IT-utgifter inom operativa program som inte omfattas av kommissionens administrativa självständighet och institutionella befogenheter</w:t>
            </w:r>
            <w:r w:rsidRPr="00C25964">
              <w:rPr>
                <w:rStyle w:val="FootnoteReference0"/>
                <w:rFonts w:ascii="Arial Narrow" w:hAnsi="Arial Narrow"/>
                <w:noProof/>
                <w:color w:val="000000"/>
                <w:sz w:val="20"/>
                <w:szCs w:val="20"/>
              </w:rPr>
              <w:footnoteReference w:id="52"/>
            </w:r>
            <w:r w:rsidRPr="00C25964">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14:paraId="78356076" w14:textId="77777777" w:rsidR="00252FB9" w:rsidRPr="00C25964" w:rsidRDefault="00252FB9" w:rsidP="00D05F26">
            <w:pPr>
              <w:jc w:val="center"/>
              <w:rPr>
                <w:rFonts w:ascii="Arial Narrow" w:hAnsi="Arial Narrow"/>
                <w:noProof/>
                <w:color w:val="000000"/>
                <w:sz w:val="20"/>
                <w:szCs w:val="20"/>
              </w:rPr>
            </w:pPr>
          </w:p>
        </w:tc>
        <w:tc>
          <w:tcPr>
            <w:tcW w:w="1250" w:type="dxa"/>
            <w:tcBorders>
              <w:top w:val="nil"/>
              <w:left w:val="nil"/>
              <w:bottom w:val="single" w:sz="4" w:space="0" w:color="auto"/>
              <w:right w:val="single" w:sz="4" w:space="0" w:color="auto"/>
            </w:tcBorders>
            <w:shd w:val="clear" w:color="auto" w:fill="auto"/>
            <w:vAlign w:val="center"/>
          </w:tcPr>
          <w:p w14:paraId="32C274B2" w14:textId="77777777" w:rsidR="00252FB9" w:rsidRPr="00C25964" w:rsidRDefault="00252FB9" w:rsidP="00D05F26">
            <w:pPr>
              <w:jc w:val="center"/>
              <w:rPr>
                <w:rFonts w:ascii="Arial Narrow" w:hAnsi="Arial Narrow"/>
                <w:noProof/>
                <w:color w:val="000000"/>
                <w:sz w:val="20"/>
                <w:szCs w:val="20"/>
              </w:rPr>
            </w:pPr>
          </w:p>
        </w:tc>
        <w:tc>
          <w:tcPr>
            <w:tcW w:w="1263" w:type="dxa"/>
            <w:tcBorders>
              <w:top w:val="nil"/>
              <w:left w:val="nil"/>
              <w:bottom w:val="single" w:sz="4" w:space="0" w:color="auto"/>
              <w:right w:val="single" w:sz="4" w:space="0" w:color="auto"/>
            </w:tcBorders>
            <w:shd w:val="clear" w:color="auto" w:fill="auto"/>
            <w:vAlign w:val="center"/>
          </w:tcPr>
          <w:p w14:paraId="6903A4CE" w14:textId="77777777" w:rsidR="00252FB9" w:rsidRPr="00C25964" w:rsidRDefault="00252FB9" w:rsidP="00D05F26">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BD6725D" w14:textId="77777777" w:rsidR="00252FB9" w:rsidRPr="00C25964" w:rsidRDefault="00252FB9" w:rsidP="00D05F26">
            <w:pPr>
              <w:jc w:val="center"/>
              <w:rPr>
                <w:rFonts w:ascii="Arial Narrow" w:hAnsi="Arial Narrow"/>
                <w:noProof/>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tcPr>
          <w:p w14:paraId="7CEE3977" w14:textId="77777777" w:rsidR="00252FB9" w:rsidRPr="00C25964" w:rsidRDefault="00252FB9" w:rsidP="00D05F26">
            <w:pPr>
              <w:jc w:val="center"/>
              <w:rPr>
                <w:rFonts w:ascii="Arial Narrow" w:hAnsi="Arial Narrow"/>
                <w:noProof/>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tcPr>
          <w:p w14:paraId="5A1F88B5" w14:textId="77777777" w:rsidR="00252FB9" w:rsidRPr="00C25964" w:rsidRDefault="00252FB9" w:rsidP="00D05F26">
            <w:pPr>
              <w:jc w:val="center"/>
              <w:rPr>
                <w:rFonts w:ascii="Arial Narrow" w:hAnsi="Arial Narrow"/>
                <w:noProof/>
                <w:color w:val="000000"/>
                <w:sz w:val="20"/>
                <w:szCs w:val="20"/>
              </w:rPr>
            </w:pPr>
          </w:p>
        </w:tc>
        <w:tc>
          <w:tcPr>
            <w:tcW w:w="1358" w:type="dxa"/>
            <w:tcBorders>
              <w:top w:val="nil"/>
              <w:left w:val="nil"/>
              <w:bottom w:val="single" w:sz="4" w:space="0" w:color="auto"/>
              <w:right w:val="single" w:sz="4" w:space="0" w:color="auto"/>
            </w:tcBorders>
            <w:shd w:val="clear" w:color="auto" w:fill="auto"/>
            <w:vAlign w:val="center"/>
          </w:tcPr>
          <w:p w14:paraId="06CC78F9" w14:textId="77777777" w:rsidR="00252FB9" w:rsidRPr="00C25964" w:rsidRDefault="00252FB9" w:rsidP="00D05F26">
            <w:pPr>
              <w:jc w:val="center"/>
              <w:rPr>
                <w:rFonts w:ascii="Arial Narrow" w:hAnsi="Arial Narrow"/>
                <w:noProof/>
                <w:color w:val="000000"/>
                <w:sz w:val="20"/>
                <w:szCs w:val="20"/>
              </w:rPr>
            </w:pPr>
          </w:p>
        </w:tc>
        <w:tc>
          <w:tcPr>
            <w:tcW w:w="1237" w:type="dxa"/>
            <w:tcBorders>
              <w:top w:val="nil"/>
              <w:left w:val="nil"/>
              <w:bottom w:val="single" w:sz="4" w:space="0" w:color="auto"/>
              <w:right w:val="single" w:sz="4" w:space="0" w:color="auto"/>
            </w:tcBorders>
            <w:shd w:val="clear" w:color="auto" w:fill="auto"/>
            <w:vAlign w:val="center"/>
          </w:tcPr>
          <w:p w14:paraId="6D49AD8A" w14:textId="77777777" w:rsidR="00252FB9" w:rsidRPr="00C25964" w:rsidRDefault="00252FB9" w:rsidP="00D05F26">
            <w:pPr>
              <w:jc w:val="center"/>
              <w:rPr>
                <w:rFonts w:ascii="Arial Narrow" w:hAnsi="Arial Narrow"/>
                <w:b/>
                <w:bCs/>
                <w:noProof/>
                <w:color w:val="000000"/>
                <w:sz w:val="20"/>
                <w:szCs w:val="20"/>
              </w:rPr>
            </w:pPr>
          </w:p>
        </w:tc>
      </w:tr>
      <w:tr w:rsidR="00252FB9" w:rsidRPr="00C25964" w14:paraId="1FA6C5D2" w14:textId="77777777" w:rsidTr="00D05F26">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14:paraId="39B3A2E8"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IT-utgifter inom operativa program som omfattas av kommissionens administrativa självständighet och institutionella befogenheter</w:t>
            </w:r>
            <w:r w:rsidRPr="00C25964">
              <w:rPr>
                <w:rStyle w:val="FootnoteReference0"/>
                <w:rFonts w:ascii="Arial Narrow" w:hAnsi="Arial Narrow"/>
                <w:noProof/>
                <w:color w:val="000000"/>
                <w:sz w:val="20"/>
                <w:szCs w:val="20"/>
              </w:rPr>
              <w:footnoteReference w:id="53"/>
            </w:r>
          </w:p>
        </w:tc>
        <w:tc>
          <w:tcPr>
            <w:tcW w:w="1276" w:type="dxa"/>
            <w:tcBorders>
              <w:top w:val="nil"/>
              <w:left w:val="nil"/>
              <w:bottom w:val="single" w:sz="4" w:space="0" w:color="auto"/>
              <w:right w:val="single" w:sz="4" w:space="0" w:color="auto"/>
            </w:tcBorders>
            <w:shd w:val="clear" w:color="auto" w:fill="auto"/>
            <w:vAlign w:val="center"/>
          </w:tcPr>
          <w:p w14:paraId="3B7D7ECA" w14:textId="77777777" w:rsidR="00252FB9" w:rsidRPr="00C25964" w:rsidRDefault="00252FB9" w:rsidP="00D05F26">
            <w:pPr>
              <w:jc w:val="center"/>
              <w:rPr>
                <w:rFonts w:ascii="Arial Narrow" w:hAnsi="Arial Narrow"/>
                <w:noProof/>
                <w:color w:val="000000"/>
                <w:sz w:val="20"/>
                <w:szCs w:val="20"/>
              </w:rPr>
            </w:pPr>
          </w:p>
        </w:tc>
        <w:tc>
          <w:tcPr>
            <w:tcW w:w="1250" w:type="dxa"/>
            <w:tcBorders>
              <w:top w:val="nil"/>
              <w:left w:val="nil"/>
              <w:bottom w:val="single" w:sz="4" w:space="0" w:color="auto"/>
              <w:right w:val="single" w:sz="4" w:space="0" w:color="auto"/>
            </w:tcBorders>
            <w:shd w:val="clear" w:color="auto" w:fill="auto"/>
            <w:vAlign w:val="center"/>
          </w:tcPr>
          <w:p w14:paraId="5875E36C" w14:textId="77777777" w:rsidR="00252FB9" w:rsidRPr="00C25964" w:rsidRDefault="00252FB9" w:rsidP="00D05F26">
            <w:pPr>
              <w:jc w:val="center"/>
              <w:rPr>
                <w:rFonts w:ascii="Arial Narrow" w:hAnsi="Arial Narrow"/>
                <w:noProof/>
                <w:color w:val="000000"/>
                <w:sz w:val="20"/>
                <w:szCs w:val="20"/>
              </w:rPr>
            </w:pPr>
          </w:p>
        </w:tc>
        <w:tc>
          <w:tcPr>
            <w:tcW w:w="1263" w:type="dxa"/>
            <w:tcBorders>
              <w:top w:val="nil"/>
              <w:left w:val="nil"/>
              <w:bottom w:val="single" w:sz="4" w:space="0" w:color="auto"/>
              <w:right w:val="single" w:sz="4" w:space="0" w:color="auto"/>
            </w:tcBorders>
            <w:shd w:val="clear" w:color="auto" w:fill="auto"/>
            <w:vAlign w:val="center"/>
          </w:tcPr>
          <w:p w14:paraId="3DA2907C" w14:textId="77777777" w:rsidR="00252FB9" w:rsidRPr="00C25964" w:rsidRDefault="00252FB9" w:rsidP="00D05F26">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08DAE41" w14:textId="77777777" w:rsidR="00252FB9" w:rsidRPr="00C25964" w:rsidRDefault="00252FB9" w:rsidP="00D05F26">
            <w:pPr>
              <w:jc w:val="center"/>
              <w:rPr>
                <w:rFonts w:ascii="Arial Narrow" w:hAnsi="Arial Narrow"/>
                <w:noProof/>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tcPr>
          <w:p w14:paraId="7662B8D8" w14:textId="77777777" w:rsidR="00252FB9" w:rsidRPr="00C25964" w:rsidRDefault="00252FB9" w:rsidP="00D05F26">
            <w:pPr>
              <w:jc w:val="center"/>
              <w:rPr>
                <w:rFonts w:ascii="Arial Narrow" w:hAnsi="Arial Narrow"/>
                <w:noProof/>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tcPr>
          <w:p w14:paraId="445A3061" w14:textId="77777777" w:rsidR="00252FB9" w:rsidRPr="00C25964" w:rsidRDefault="00252FB9" w:rsidP="00D05F26">
            <w:pPr>
              <w:jc w:val="center"/>
              <w:rPr>
                <w:rFonts w:ascii="Arial Narrow" w:hAnsi="Arial Narrow"/>
                <w:noProof/>
                <w:color w:val="000000"/>
                <w:sz w:val="20"/>
                <w:szCs w:val="20"/>
              </w:rPr>
            </w:pPr>
          </w:p>
        </w:tc>
        <w:tc>
          <w:tcPr>
            <w:tcW w:w="1358" w:type="dxa"/>
            <w:tcBorders>
              <w:top w:val="nil"/>
              <w:left w:val="nil"/>
              <w:bottom w:val="single" w:sz="4" w:space="0" w:color="auto"/>
              <w:right w:val="single" w:sz="4" w:space="0" w:color="auto"/>
            </w:tcBorders>
            <w:shd w:val="clear" w:color="auto" w:fill="auto"/>
            <w:vAlign w:val="center"/>
          </w:tcPr>
          <w:p w14:paraId="52FEC118" w14:textId="77777777" w:rsidR="00252FB9" w:rsidRPr="00C25964" w:rsidRDefault="00252FB9" w:rsidP="00D05F26">
            <w:pPr>
              <w:jc w:val="center"/>
              <w:rPr>
                <w:rFonts w:ascii="Arial Narrow" w:hAnsi="Arial Narrow"/>
                <w:noProof/>
                <w:color w:val="000000"/>
                <w:sz w:val="20"/>
                <w:szCs w:val="20"/>
              </w:rPr>
            </w:pPr>
          </w:p>
        </w:tc>
        <w:tc>
          <w:tcPr>
            <w:tcW w:w="1237" w:type="dxa"/>
            <w:tcBorders>
              <w:top w:val="nil"/>
              <w:left w:val="nil"/>
              <w:bottom w:val="single" w:sz="4" w:space="0" w:color="auto"/>
              <w:right w:val="single" w:sz="4" w:space="0" w:color="auto"/>
            </w:tcBorders>
            <w:shd w:val="clear" w:color="auto" w:fill="auto"/>
            <w:vAlign w:val="center"/>
          </w:tcPr>
          <w:p w14:paraId="124296FB" w14:textId="77777777" w:rsidR="00252FB9" w:rsidRPr="00C25964" w:rsidRDefault="00252FB9" w:rsidP="00D05F26">
            <w:pPr>
              <w:jc w:val="center"/>
              <w:rPr>
                <w:rFonts w:ascii="Arial Narrow" w:hAnsi="Arial Narrow"/>
                <w:b/>
                <w:bCs/>
                <w:noProof/>
                <w:color w:val="000000"/>
                <w:sz w:val="20"/>
                <w:szCs w:val="20"/>
              </w:rPr>
            </w:pPr>
          </w:p>
        </w:tc>
      </w:tr>
      <w:tr w:rsidR="00252FB9" w:rsidRPr="00C25964" w14:paraId="2FA9DD12" w14:textId="77777777" w:rsidTr="00D05F26">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5BFFCA53"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Andra budgetposter som inte gäller personalresurser (</w:t>
            </w:r>
            <w:r w:rsidRPr="00C25964">
              <w:rPr>
                <w:rFonts w:ascii="Arial Narrow" w:hAnsi="Arial Narrow"/>
                <w:i/>
                <w:iCs/>
                <w:noProof/>
                <w:color w:val="000000"/>
                <w:sz w:val="20"/>
                <w:szCs w:val="20"/>
              </w:rPr>
              <w:t>specificera vid behov</w:t>
            </w:r>
            <w:r w:rsidRPr="00C25964">
              <w:rPr>
                <w:rFonts w:ascii="Arial Narrow" w:hAnsi="Arial Narrow"/>
                <w:noProof/>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7F01C57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14:paraId="020154FB"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0825C04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14:paraId="2B4E4C3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14:paraId="75CFDF4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14:paraId="42B6501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14:paraId="672AA28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69A9BC4E"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07B9F1F0" w14:textId="77777777" w:rsidTr="00D05F26">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2C220"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b/>
                <w:bCs/>
                <w:noProof/>
                <w:color w:val="000000"/>
                <w:sz w:val="22"/>
              </w:rPr>
              <w:t>Delsumma Övriga utgifter – Utanför RUBRIK 7</w:t>
            </w:r>
          </w:p>
          <w:p w14:paraId="732DFD25"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noProof/>
                <w:color w:val="000000"/>
                <w:sz w:val="22"/>
              </w:rPr>
              <w:t>i den fleråriga budgetramen</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55652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14:paraId="5515AA6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14:paraId="3B36540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14" w:type="dxa"/>
            <w:tcBorders>
              <w:top w:val="nil"/>
              <w:left w:val="single" w:sz="4" w:space="0" w:color="auto"/>
              <w:bottom w:val="single" w:sz="4" w:space="0" w:color="auto"/>
              <w:right w:val="single" w:sz="4" w:space="0" w:color="auto"/>
            </w:tcBorders>
            <w:shd w:val="clear" w:color="auto" w:fill="auto"/>
            <w:vAlign w:val="center"/>
            <w:hideMark/>
          </w:tcPr>
          <w:p w14:paraId="2E4390D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7118C70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6" w:type="dxa"/>
            <w:tcBorders>
              <w:top w:val="nil"/>
              <w:left w:val="single" w:sz="4" w:space="0" w:color="auto"/>
              <w:bottom w:val="single" w:sz="4" w:space="0" w:color="auto"/>
              <w:right w:val="single" w:sz="4" w:space="0" w:color="auto"/>
            </w:tcBorders>
            <w:shd w:val="clear" w:color="auto" w:fill="auto"/>
            <w:vAlign w:val="center"/>
            <w:hideMark/>
          </w:tcPr>
          <w:p w14:paraId="5E98042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58" w:type="dxa"/>
            <w:tcBorders>
              <w:top w:val="nil"/>
              <w:left w:val="single" w:sz="4" w:space="0" w:color="auto"/>
              <w:bottom w:val="single" w:sz="4" w:space="0" w:color="auto"/>
              <w:right w:val="single" w:sz="4" w:space="0" w:color="auto"/>
            </w:tcBorders>
            <w:shd w:val="clear" w:color="auto" w:fill="auto"/>
            <w:vAlign w:val="center"/>
            <w:hideMark/>
          </w:tcPr>
          <w:p w14:paraId="08E31C77"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0BC7B6BC"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19AE6414" w14:textId="77777777" w:rsidTr="00D05F26">
        <w:trPr>
          <w:trHeight w:val="814"/>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03833B0A"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b/>
                <w:bCs/>
                <w:noProof/>
                <w:color w:val="000000"/>
                <w:sz w:val="22"/>
              </w:rPr>
              <w:t>Totalt Övriga administrativa utgifter (alla rubriker i den fleråriga budgetramen)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7CA09C" w14:textId="77777777" w:rsidR="00252FB9" w:rsidRPr="00C25964" w:rsidRDefault="00252FB9" w:rsidP="00D05F26">
            <w:pPr>
              <w:jc w:val="center"/>
              <w:rPr>
                <w:rFonts w:ascii="Arial Narrow" w:hAnsi="Arial Narrow"/>
                <w:noProof/>
                <w:color w:val="000000"/>
                <w:sz w:val="20"/>
                <w:szCs w:val="20"/>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342A606E" w14:textId="77777777" w:rsidR="00252FB9" w:rsidRPr="00C25964" w:rsidRDefault="00252FB9" w:rsidP="00D05F26">
            <w:pPr>
              <w:jc w:val="center"/>
              <w:rPr>
                <w:rFonts w:ascii="Arial Narrow" w:hAnsi="Arial Narrow"/>
                <w:noProof/>
                <w:color w:val="000000"/>
                <w:sz w:val="20"/>
                <w:szCs w:val="20"/>
              </w:rPr>
            </w:pP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14:paraId="58C23B0B" w14:textId="77777777" w:rsidR="00252FB9" w:rsidRPr="00C25964" w:rsidRDefault="00252FB9" w:rsidP="00D05F26">
            <w:pPr>
              <w:jc w:val="center"/>
              <w:rPr>
                <w:rFonts w:ascii="Arial Narrow" w:hAnsi="Arial Narrow"/>
                <w:noProof/>
                <w:color w:val="000000"/>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E600218" w14:textId="77777777" w:rsidR="00252FB9" w:rsidRPr="00C25964" w:rsidRDefault="00252FB9" w:rsidP="00D05F26">
            <w:pPr>
              <w:jc w:val="center"/>
              <w:rPr>
                <w:rFonts w:ascii="Arial Narrow" w:hAnsi="Arial Narrow"/>
                <w:noProof/>
                <w:color w:val="000000"/>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43D182E" w14:textId="77777777" w:rsidR="00252FB9" w:rsidRPr="00C25964" w:rsidRDefault="00252FB9" w:rsidP="00D05F26">
            <w:pPr>
              <w:jc w:val="center"/>
              <w:rPr>
                <w:rFonts w:ascii="Arial Narrow" w:hAnsi="Arial Narrow"/>
                <w:noProof/>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26D55ECD" w14:textId="77777777" w:rsidR="00252FB9" w:rsidRPr="00C25964" w:rsidRDefault="00252FB9" w:rsidP="00D05F26">
            <w:pPr>
              <w:jc w:val="center"/>
              <w:rPr>
                <w:rFonts w:ascii="Arial Narrow" w:hAnsi="Arial Narrow"/>
                <w:noProof/>
                <w:color w:val="000000"/>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2A299E4" w14:textId="77777777" w:rsidR="00252FB9" w:rsidRPr="00C25964" w:rsidRDefault="00252FB9" w:rsidP="00D05F26">
            <w:pPr>
              <w:jc w:val="center"/>
              <w:rPr>
                <w:rFonts w:ascii="Arial Narrow" w:hAnsi="Arial Narrow"/>
                <w:noProof/>
                <w:color w:val="000000"/>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2F69B3E" w14:textId="77777777" w:rsidR="00252FB9" w:rsidRPr="00C25964" w:rsidRDefault="00252FB9" w:rsidP="00D05F26">
            <w:pPr>
              <w:jc w:val="center"/>
              <w:rPr>
                <w:rFonts w:ascii="Arial Narrow" w:hAnsi="Arial Narrow"/>
                <w:noProof/>
                <w:color w:val="000000"/>
                <w:sz w:val="20"/>
                <w:szCs w:val="20"/>
              </w:rPr>
            </w:pPr>
          </w:p>
        </w:tc>
      </w:tr>
    </w:tbl>
    <w:p w14:paraId="524222D7" w14:textId="77777777" w:rsidR="00252FB9" w:rsidRPr="00C25964" w:rsidRDefault="00252FB9" w:rsidP="00252FB9">
      <w:pPr>
        <w:ind w:right="-496"/>
        <w:rPr>
          <w:rFonts w:ascii="Arial Narrow" w:hAnsi="Arial Narrow"/>
          <w:b/>
          <w:noProof/>
          <w:color w:val="0000FF"/>
          <w:sz w:val="20"/>
          <w:szCs w:val="20"/>
        </w:rPr>
      </w:pPr>
    </w:p>
    <w:p w14:paraId="718D3B0D" w14:textId="77777777" w:rsidR="00252FB9" w:rsidRPr="00C25964" w:rsidRDefault="00252FB9" w:rsidP="00252FB9">
      <w:pPr>
        <w:ind w:right="-496"/>
        <w:rPr>
          <w:rFonts w:ascii="Arial Narrow" w:hAnsi="Arial Narrow"/>
          <w:b/>
          <w:noProof/>
          <w:color w:val="0000FF"/>
          <w:sz w:val="20"/>
          <w:szCs w:val="20"/>
        </w:rPr>
      </w:pPr>
    </w:p>
    <w:p w14:paraId="521F4959" w14:textId="17A007FC" w:rsidR="00252FB9" w:rsidRPr="00C25964" w:rsidRDefault="00D05F26" w:rsidP="00D05F26">
      <w:pPr>
        <w:pStyle w:val="ManualHeading1"/>
        <w:rPr>
          <w:noProof/>
          <w:szCs w:val="28"/>
        </w:rPr>
      </w:pPr>
      <w:r w:rsidRPr="00C25964">
        <w:rPr>
          <w:noProof/>
        </w:rPr>
        <w:t>3. Totalt Administrativa kostnader (alla rubriker i den fleråriga budgetramen)</w:t>
      </w:r>
    </w:p>
    <w:p w14:paraId="154DBD44" w14:textId="77777777" w:rsidR="00252FB9" w:rsidRPr="00C25964" w:rsidRDefault="00252FB9" w:rsidP="00252FB9">
      <w:pPr>
        <w:ind w:right="-496"/>
        <w:rPr>
          <w:rFonts w:ascii="Arial Narrow" w:hAnsi="Arial Narrow"/>
          <w:b/>
          <w:noProof/>
          <w:color w:val="0000FF"/>
          <w:sz w:val="20"/>
          <w:szCs w:val="20"/>
        </w:rPr>
      </w:pPr>
    </w:p>
    <w:p w14:paraId="62629CB0" w14:textId="77777777" w:rsidR="00252FB9" w:rsidRPr="00C25964" w:rsidRDefault="00252FB9" w:rsidP="00252FB9">
      <w:pPr>
        <w:ind w:right="-496"/>
        <w:jc w:val="right"/>
        <w:rPr>
          <w:i/>
          <w:iCs/>
          <w:noProof/>
          <w:sz w:val="20"/>
          <w:szCs w:val="20"/>
        </w:rPr>
      </w:pPr>
      <w:r w:rsidRPr="00C25964">
        <w:rPr>
          <w:i/>
          <w:noProof/>
          <w:sz w:val="20"/>
          <w:szCs w:val="20"/>
        </w:rPr>
        <w:t>Miljoner euro (avrundat till tre decimaler)</w:t>
      </w:r>
    </w:p>
    <w:tbl>
      <w:tblPr>
        <w:tblW w:w="14670" w:type="dxa"/>
        <w:jc w:val="center"/>
        <w:tblLook w:val="04A0" w:firstRow="1" w:lastRow="0" w:firstColumn="1" w:lastColumn="0" w:noHBand="0" w:noVBand="1"/>
      </w:tblPr>
      <w:tblGrid>
        <w:gridCol w:w="4346"/>
        <w:gridCol w:w="1273"/>
        <w:gridCol w:w="1247"/>
        <w:gridCol w:w="25"/>
        <w:gridCol w:w="1235"/>
        <w:gridCol w:w="38"/>
        <w:gridCol w:w="1273"/>
        <w:gridCol w:w="1273"/>
        <w:gridCol w:w="29"/>
        <w:gridCol w:w="1243"/>
        <w:gridCol w:w="60"/>
        <w:gridCol w:w="1355"/>
        <w:gridCol w:w="1234"/>
        <w:gridCol w:w="39"/>
      </w:tblGrid>
      <w:tr w:rsidR="00252FB9" w:rsidRPr="00C25964" w14:paraId="29B3FEBF" w14:textId="77777777" w:rsidTr="00D05F26">
        <w:trPr>
          <w:gridAfter w:val="1"/>
          <w:wAfter w:w="39" w:type="dxa"/>
          <w:trHeight w:val="660"/>
          <w:jc w:val="center"/>
        </w:trPr>
        <w:tc>
          <w:tcPr>
            <w:tcW w:w="4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1F49C"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b/>
                <w:bCs/>
                <w:noProof/>
                <w:color w:val="000000"/>
                <w:sz w:val="22"/>
              </w:rPr>
              <w:t>Sammanfattning</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3DB1FB5C"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2021</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7004C778"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 xml:space="preserve">År </w:t>
            </w:r>
            <w:r w:rsidRPr="00C25964">
              <w:rPr>
                <w:b/>
                <w:bCs/>
                <w:noProof/>
                <w:sz w:val="16"/>
                <w:szCs w:val="16"/>
              </w:rPr>
              <w:t>2022</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26538A4"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 xml:space="preserve">År </w:t>
            </w:r>
            <w:r w:rsidRPr="00C25964">
              <w:rPr>
                <w:b/>
                <w:bCs/>
                <w:noProof/>
                <w:sz w:val="16"/>
                <w:szCs w:val="16"/>
              </w:rPr>
              <w:t>2023</w:t>
            </w:r>
          </w:p>
        </w:tc>
        <w:tc>
          <w:tcPr>
            <w:tcW w:w="1311" w:type="dxa"/>
            <w:gridSpan w:val="2"/>
            <w:tcBorders>
              <w:top w:val="single" w:sz="4" w:space="0" w:color="auto"/>
              <w:left w:val="nil"/>
              <w:bottom w:val="single" w:sz="4" w:space="0" w:color="auto"/>
              <w:right w:val="single" w:sz="4" w:space="0" w:color="auto"/>
            </w:tcBorders>
            <w:shd w:val="clear" w:color="auto" w:fill="auto"/>
            <w:vAlign w:val="center"/>
            <w:hideMark/>
          </w:tcPr>
          <w:p w14:paraId="003A8A61"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n+3</w:t>
            </w:r>
          </w:p>
        </w:tc>
        <w:tc>
          <w:tcPr>
            <w:tcW w:w="1302" w:type="dxa"/>
            <w:gridSpan w:val="2"/>
            <w:tcBorders>
              <w:top w:val="single" w:sz="4" w:space="0" w:color="auto"/>
              <w:left w:val="nil"/>
              <w:bottom w:val="single" w:sz="4" w:space="0" w:color="auto"/>
              <w:right w:val="single" w:sz="4" w:space="0" w:color="auto"/>
            </w:tcBorders>
            <w:shd w:val="clear" w:color="auto" w:fill="auto"/>
            <w:vAlign w:val="center"/>
            <w:hideMark/>
          </w:tcPr>
          <w:p w14:paraId="60DB5174"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n+4</w:t>
            </w:r>
          </w:p>
        </w:tc>
        <w:tc>
          <w:tcPr>
            <w:tcW w:w="1303" w:type="dxa"/>
            <w:gridSpan w:val="2"/>
            <w:tcBorders>
              <w:top w:val="single" w:sz="4" w:space="0" w:color="auto"/>
              <w:left w:val="nil"/>
              <w:bottom w:val="single" w:sz="4" w:space="0" w:color="auto"/>
              <w:right w:val="single" w:sz="4" w:space="0" w:color="auto"/>
            </w:tcBorders>
            <w:shd w:val="clear" w:color="auto" w:fill="auto"/>
            <w:vAlign w:val="center"/>
            <w:hideMark/>
          </w:tcPr>
          <w:p w14:paraId="58D0B20A"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n+5</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594B1095" w14:textId="77777777" w:rsidR="00252FB9" w:rsidRPr="00C25964" w:rsidRDefault="00252FB9" w:rsidP="00D05F26">
            <w:pPr>
              <w:jc w:val="center"/>
              <w:rPr>
                <w:rFonts w:ascii="Arial Narrow" w:hAnsi="Arial Narrow"/>
                <w:b/>
                <w:bCs/>
                <w:noProof/>
                <w:color w:val="0000FF"/>
                <w:sz w:val="20"/>
                <w:szCs w:val="20"/>
              </w:rPr>
            </w:pPr>
            <w:r w:rsidRPr="00C25964">
              <w:rPr>
                <w:rFonts w:ascii="Arial Narrow" w:hAnsi="Arial Narrow"/>
                <w:b/>
                <w:bCs/>
                <w:noProof/>
                <w:color w:val="0000FF"/>
                <w:sz w:val="20"/>
                <w:szCs w:val="20"/>
              </w:rPr>
              <w:t>År n+7</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2FC81400"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Totalt</w:t>
            </w:r>
          </w:p>
        </w:tc>
      </w:tr>
      <w:tr w:rsidR="00252FB9" w:rsidRPr="00C25964" w14:paraId="50A71735" w14:textId="77777777" w:rsidTr="00D05F26">
        <w:trPr>
          <w:gridAfter w:val="1"/>
          <w:wAfter w:w="39" w:type="dxa"/>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7940A872"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Rubrik 7 – Personalresurser</w:t>
            </w:r>
          </w:p>
        </w:tc>
        <w:tc>
          <w:tcPr>
            <w:tcW w:w="1273" w:type="dxa"/>
            <w:tcBorders>
              <w:top w:val="nil"/>
              <w:left w:val="nil"/>
              <w:bottom w:val="single" w:sz="4" w:space="0" w:color="auto"/>
              <w:right w:val="single" w:sz="4" w:space="0" w:color="auto"/>
            </w:tcBorders>
            <w:shd w:val="clear" w:color="auto" w:fill="auto"/>
            <w:vAlign w:val="center"/>
            <w:hideMark/>
          </w:tcPr>
          <w:p w14:paraId="408B0D0F" w14:textId="77777777" w:rsidR="00252FB9" w:rsidRPr="00C25964" w:rsidRDefault="00252FB9" w:rsidP="00D05F26">
            <w:pPr>
              <w:jc w:val="center"/>
              <w:rPr>
                <w:rFonts w:ascii="Arial Narrow" w:hAnsi="Arial Narrow"/>
                <w:noProof/>
                <w:color w:val="000000"/>
                <w:sz w:val="20"/>
                <w:szCs w:val="20"/>
              </w:rPr>
            </w:pPr>
            <w:r w:rsidRPr="00C25964">
              <w:rPr>
                <w:noProof/>
                <w:sz w:val="20"/>
                <w:szCs w:val="20"/>
              </w:rPr>
              <w:t>0,948</w:t>
            </w:r>
          </w:p>
        </w:tc>
        <w:tc>
          <w:tcPr>
            <w:tcW w:w="1247" w:type="dxa"/>
            <w:tcBorders>
              <w:top w:val="nil"/>
              <w:left w:val="nil"/>
              <w:bottom w:val="single" w:sz="4" w:space="0" w:color="auto"/>
              <w:right w:val="single" w:sz="4" w:space="0" w:color="auto"/>
            </w:tcBorders>
            <w:shd w:val="clear" w:color="auto" w:fill="auto"/>
            <w:vAlign w:val="center"/>
            <w:hideMark/>
          </w:tcPr>
          <w:p w14:paraId="3180C4C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r w:rsidRPr="00C25964">
              <w:rPr>
                <w:noProof/>
                <w:sz w:val="20"/>
                <w:szCs w:val="20"/>
              </w:rPr>
              <w:t>1,358</w:t>
            </w:r>
          </w:p>
        </w:tc>
        <w:tc>
          <w:tcPr>
            <w:tcW w:w="1260" w:type="dxa"/>
            <w:gridSpan w:val="2"/>
            <w:tcBorders>
              <w:top w:val="nil"/>
              <w:left w:val="nil"/>
              <w:bottom w:val="single" w:sz="4" w:space="0" w:color="auto"/>
              <w:right w:val="single" w:sz="4" w:space="0" w:color="auto"/>
            </w:tcBorders>
            <w:shd w:val="clear" w:color="auto" w:fill="auto"/>
            <w:vAlign w:val="center"/>
            <w:hideMark/>
          </w:tcPr>
          <w:p w14:paraId="340AC9D6" w14:textId="77777777" w:rsidR="00252FB9" w:rsidRPr="00C25964" w:rsidRDefault="00252FB9" w:rsidP="00D05F26">
            <w:pPr>
              <w:jc w:val="center"/>
              <w:rPr>
                <w:rFonts w:ascii="Arial Narrow" w:hAnsi="Arial Narrow"/>
                <w:noProof/>
                <w:color w:val="000000"/>
                <w:sz w:val="20"/>
                <w:szCs w:val="20"/>
              </w:rPr>
            </w:pPr>
            <w:r w:rsidRPr="00C25964">
              <w:rPr>
                <w:noProof/>
                <w:sz w:val="20"/>
                <w:szCs w:val="20"/>
              </w:rPr>
              <w:t>0,240</w:t>
            </w:r>
          </w:p>
        </w:tc>
        <w:tc>
          <w:tcPr>
            <w:tcW w:w="1311" w:type="dxa"/>
            <w:gridSpan w:val="2"/>
            <w:tcBorders>
              <w:top w:val="nil"/>
              <w:left w:val="nil"/>
              <w:bottom w:val="single" w:sz="4" w:space="0" w:color="auto"/>
              <w:right w:val="single" w:sz="4" w:space="0" w:color="auto"/>
            </w:tcBorders>
            <w:shd w:val="clear" w:color="auto" w:fill="auto"/>
            <w:vAlign w:val="center"/>
            <w:hideMark/>
          </w:tcPr>
          <w:p w14:paraId="1CEDD6A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14:paraId="6B50C28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3" w:type="dxa"/>
            <w:gridSpan w:val="2"/>
            <w:tcBorders>
              <w:top w:val="nil"/>
              <w:left w:val="nil"/>
              <w:bottom w:val="single" w:sz="4" w:space="0" w:color="auto"/>
              <w:right w:val="single" w:sz="4" w:space="0" w:color="auto"/>
            </w:tcBorders>
            <w:shd w:val="clear" w:color="auto" w:fill="auto"/>
            <w:vAlign w:val="center"/>
            <w:hideMark/>
          </w:tcPr>
          <w:p w14:paraId="144454B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55" w:type="dxa"/>
            <w:tcBorders>
              <w:top w:val="nil"/>
              <w:left w:val="nil"/>
              <w:bottom w:val="single" w:sz="4" w:space="0" w:color="auto"/>
              <w:right w:val="single" w:sz="4" w:space="0" w:color="auto"/>
            </w:tcBorders>
            <w:shd w:val="clear" w:color="auto" w:fill="auto"/>
            <w:vAlign w:val="center"/>
            <w:hideMark/>
          </w:tcPr>
          <w:p w14:paraId="1C71F06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34" w:type="dxa"/>
            <w:tcBorders>
              <w:top w:val="nil"/>
              <w:left w:val="nil"/>
              <w:bottom w:val="single" w:sz="4" w:space="0" w:color="auto"/>
              <w:right w:val="single" w:sz="4" w:space="0" w:color="auto"/>
            </w:tcBorders>
            <w:shd w:val="clear" w:color="auto" w:fill="auto"/>
            <w:vAlign w:val="center"/>
            <w:hideMark/>
          </w:tcPr>
          <w:p w14:paraId="5A21758A" w14:textId="77777777" w:rsidR="00252FB9" w:rsidRPr="00C25964" w:rsidRDefault="00252FB9" w:rsidP="00D05F26">
            <w:pPr>
              <w:jc w:val="center"/>
              <w:rPr>
                <w:rFonts w:eastAsiaTheme="minorEastAsia"/>
                <w:b/>
                <w:bCs/>
                <w:noProof/>
                <w:sz w:val="20"/>
                <w:szCs w:val="20"/>
              </w:rPr>
            </w:pPr>
            <w:r w:rsidRPr="00C25964">
              <w:rPr>
                <w:b/>
                <w:bCs/>
                <w:noProof/>
                <w:sz w:val="20"/>
                <w:szCs w:val="20"/>
              </w:rPr>
              <w:t>2,546</w:t>
            </w:r>
          </w:p>
        </w:tc>
      </w:tr>
      <w:tr w:rsidR="00252FB9" w:rsidRPr="00C25964" w14:paraId="3204A61D" w14:textId="77777777" w:rsidTr="00D05F26">
        <w:trPr>
          <w:gridAfter w:val="1"/>
          <w:wAfter w:w="39" w:type="dxa"/>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3532318F"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Rubrik 7 – Övriga administrativa utgifter</w:t>
            </w:r>
          </w:p>
        </w:tc>
        <w:tc>
          <w:tcPr>
            <w:tcW w:w="1273" w:type="dxa"/>
            <w:tcBorders>
              <w:top w:val="nil"/>
              <w:left w:val="nil"/>
              <w:bottom w:val="single" w:sz="4" w:space="0" w:color="auto"/>
              <w:right w:val="single" w:sz="4" w:space="0" w:color="auto"/>
            </w:tcBorders>
            <w:shd w:val="clear" w:color="auto" w:fill="auto"/>
            <w:vAlign w:val="center"/>
            <w:hideMark/>
          </w:tcPr>
          <w:p w14:paraId="61A4049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47" w:type="dxa"/>
            <w:tcBorders>
              <w:top w:val="nil"/>
              <w:left w:val="nil"/>
              <w:bottom w:val="single" w:sz="4" w:space="0" w:color="auto"/>
              <w:right w:val="single" w:sz="4" w:space="0" w:color="auto"/>
            </w:tcBorders>
            <w:shd w:val="clear" w:color="auto" w:fill="auto"/>
            <w:vAlign w:val="center"/>
            <w:hideMark/>
          </w:tcPr>
          <w:p w14:paraId="6C5176FD" w14:textId="77777777" w:rsidR="00252FB9" w:rsidRPr="00C25964" w:rsidRDefault="00252FB9" w:rsidP="00D05F26">
            <w:pPr>
              <w:jc w:val="center"/>
              <w:rPr>
                <w:rFonts w:ascii="Arial Narrow" w:hAnsi="Arial Narrow"/>
                <w:noProof/>
                <w:color w:val="000000"/>
                <w:sz w:val="20"/>
                <w:szCs w:val="20"/>
              </w:rPr>
            </w:pPr>
            <w:r w:rsidRPr="00C25964">
              <w:rPr>
                <w:noProof/>
                <w:sz w:val="16"/>
                <w:szCs w:val="16"/>
              </w:rPr>
              <w:t>0,012</w:t>
            </w:r>
            <w:r w:rsidRPr="00C25964">
              <w:rPr>
                <w:rFonts w:ascii="Arial Narrow" w:hAnsi="Arial Narrow"/>
                <w:noProof/>
                <w:color w:val="000000"/>
                <w:sz w:val="20"/>
                <w:szCs w:val="20"/>
              </w:rPr>
              <w:t xml:space="preserve"> </w:t>
            </w:r>
          </w:p>
        </w:tc>
        <w:tc>
          <w:tcPr>
            <w:tcW w:w="1260" w:type="dxa"/>
            <w:gridSpan w:val="2"/>
            <w:tcBorders>
              <w:top w:val="nil"/>
              <w:left w:val="nil"/>
              <w:bottom w:val="single" w:sz="4" w:space="0" w:color="auto"/>
              <w:right w:val="single" w:sz="4" w:space="0" w:color="auto"/>
            </w:tcBorders>
            <w:shd w:val="clear" w:color="auto" w:fill="auto"/>
            <w:vAlign w:val="center"/>
            <w:hideMark/>
          </w:tcPr>
          <w:p w14:paraId="0C4EA91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11" w:type="dxa"/>
            <w:gridSpan w:val="2"/>
            <w:tcBorders>
              <w:top w:val="nil"/>
              <w:left w:val="nil"/>
              <w:bottom w:val="single" w:sz="4" w:space="0" w:color="auto"/>
              <w:right w:val="single" w:sz="4" w:space="0" w:color="auto"/>
            </w:tcBorders>
            <w:shd w:val="clear" w:color="auto" w:fill="auto"/>
            <w:vAlign w:val="center"/>
            <w:hideMark/>
          </w:tcPr>
          <w:p w14:paraId="40B9C7D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14:paraId="3233B5C8"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3" w:type="dxa"/>
            <w:gridSpan w:val="2"/>
            <w:tcBorders>
              <w:top w:val="nil"/>
              <w:left w:val="nil"/>
              <w:bottom w:val="single" w:sz="4" w:space="0" w:color="auto"/>
              <w:right w:val="single" w:sz="4" w:space="0" w:color="auto"/>
            </w:tcBorders>
            <w:shd w:val="clear" w:color="auto" w:fill="auto"/>
            <w:vAlign w:val="center"/>
            <w:hideMark/>
          </w:tcPr>
          <w:p w14:paraId="04D1821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55" w:type="dxa"/>
            <w:tcBorders>
              <w:top w:val="nil"/>
              <w:left w:val="nil"/>
              <w:bottom w:val="single" w:sz="4" w:space="0" w:color="auto"/>
              <w:right w:val="single" w:sz="4" w:space="0" w:color="auto"/>
            </w:tcBorders>
            <w:shd w:val="clear" w:color="auto" w:fill="auto"/>
            <w:vAlign w:val="center"/>
            <w:hideMark/>
          </w:tcPr>
          <w:p w14:paraId="74795ECF"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34" w:type="dxa"/>
            <w:tcBorders>
              <w:top w:val="nil"/>
              <w:left w:val="nil"/>
              <w:bottom w:val="single" w:sz="4" w:space="0" w:color="auto"/>
              <w:right w:val="single" w:sz="4" w:space="0" w:color="auto"/>
            </w:tcBorders>
            <w:shd w:val="clear" w:color="auto" w:fill="auto"/>
            <w:vAlign w:val="center"/>
            <w:hideMark/>
          </w:tcPr>
          <w:p w14:paraId="6F3727F4"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0,012</w:t>
            </w:r>
          </w:p>
        </w:tc>
      </w:tr>
      <w:tr w:rsidR="00252FB9" w:rsidRPr="00C25964" w14:paraId="7919C103" w14:textId="77777777" w:rsidTr="00D05F26">
        <w:trPr>
          <w:gridAfter w:val="1"/>
          <w:wAfter w:w="39" w:type="dxa"/>
          <w:trHeight w:val="40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584B8"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b/>
                <w:bCs/>
                <w:noProof/>
                <w:color w:val="000000"/>
                <w:sz w:val="22"/>
              </w:rPr>
              <w:t>Delsumma Rubrik 7</w:t>
            </w: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0CA16D0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27E135E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14:paraId="05DDE93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14:paraId="2D49887A"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14:paraId="7905767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14:paraId="619E1A9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55" w:type="dxa"/>
            <w:tcBorders>
              <w:top w:val="nil"/>
              <w:left w:val="single" w:sz="4" w:space="0" w:color="auto"/>
              <w:bottom w:val="single" w:sz="4" w:space="0" w:color="auto"/>
              <w:right w:val="single" w:sz="4" w:space="0" w:color="auto"/>
            </w:tcBorders>
            <w:shd w:val="clear" w:color="auto" w:fill="auto"/>
            <w:vAlign w:val="center"/>
            <w:hideMark/>
          </w:tcPr>
          <w:p w14:paraId="096E82E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14:paraId="6FA070F1"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274E2627" w14:textId="77777777" w:rsidTr="00D05F26">
        <w:trPr>
          <w:gridAfter w:val="1"/>
          <w:wAfter w:w="39" w:type="dxa"/>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6C0E8CD8"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Utanför Rubrik 7 – Personalresurser</w:t>
            </w:r>
          </w:p>
        </w:tc>
        <w:tc>
          <w:tcPr>
            <w:tcW w:w="1273" w:type="dxa"/>
            <w:tcBorders>
              <w:top w:val="nil"/>
              <w:left w:val="nil"/>
              <w:bottom w:val="single" w:sz="4" w:space="0" w:color="auto"/>
              <w:right w:val="single" w:sz="4" w:space="0" w:color="auto"/>
            </w:tcBorders>
            <w:shd w:val="clear" w:color="auto" w:fill="auto"/>
            <w:vAlign w:val="center"/>
            <w:hideMark/>
          </w:tcPr>
          <w:p w14:paraId="053E24F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47" w:type="dxa"/>
            <w:tcBorders>
              <w:top w:val="nil"/>
              <w:left w:val="nil"/>
              <w:bottom w:val="single" w:sz="4" w:space="0" w:color="auto"/>
              <w:right w:val="single" w:sz="4" w:space="0" w:color="auto"/>
            </w:tcBorders>
            <w:shd w:val="clear" w:color="auto" w:fill="auto"/>
            <w:vAlign w:val="center"/>
            <w:hideMark/>
          </w:tcPr>
          <w:p w14:paraId="3C1C0FBC"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60" w:type="dxa"/>
            <w:gridSpan w:val="2"/>
            <w:tcBorders>
              <w:top w:val="nil"/>
              <w:left w:val="nil"/>
              <w:bottom w:val="single" w:sz="4" w:space="0" w:color="auto"/>
              <w:right w:val="single" w:sz="4" w:space="0" w:color="auto"/>
            </w:tcBorders>
            <w:shd w:val="clear" w:color="auto" w:fill="auto"/>
            <w:vAlign w:val="center"/>
            <w:hideMark/>
          </w:tcPr>
          <w:p w14:paraId="1B94858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11" w:type="dxa"/>
            <w:gridSpan w:val="2"/>
            <w:tcBorders>
              <w:top w:val="nil"/>
              <w:left w:val="nil"/>
              <w:bottom w:val="single" w:sz="4" w:space="0" w:color="auto"/>
              <w:right w:val="single" w:sz="4" w:space="0" w:color="auto"/>
            </w:tcBorders>
            <w:shd w:val="clear" w:color="auto" w:fill="auto"/>
            <w:vAlign w:val="center"/>
            <w:hideMark/>
          </w:tcPr>
          <w:p w14:paraId="2BD2500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14:paraId="3E55C050"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3" w:type="dxa"/>
            <w:gridSpan w:val="2"/>
            <w:tcBorders>
              <w:top w:val="nil"/>
              <w:left w:val="nil"/>
              <w:bottom w:val="single" w:sz="4" w:space="0" w:color="auto"/>
              <w:right w:val="single" w:sz="4" w:space="0" w:color="auto"/>
            </w:tcBorders>
            <w:shd w:val="clear" w:color="auto" w:fill="auto"/>
            <w:vAlign w:val="center"/>
            <w:hideMark/>
          </w:tcPr>
          <w:p w14:paraId="7ABFA2B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55" w:type="dxa"/>
            <w:tcBorders>
              <w:top w:val="nil"/>
              <w:left w:val="nil"/>
              <w:bottom w:val="single" w:sz="4" w:space="0" w:color="auto"/>
              <w:right w:val="single" w:sz="4" w:space="0" w:color="auto"/>
            </w:tcBorders>
            <w:shd w:val="clear" w:color="auto" w:fill="auto"/>
            <w:vAlign w:val="center"/>
            <w:hideMark/>
          </w:tcPr>
          <w:p w14:paraId="24D31929"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34" w:type="dxa"/>
            <w:tcBorders>
              <w:top w:val="nil"/>
              <w:left w:val="nil"/>
              <w:bottom w:val="single" w:sz="4" w:space="0" w:color="auto"/>
              <w:right w:val="single" w:sz="4" w:space="0" w:color="auto"/>
            </w:tcBorders>
            <w:shd w:val="clear" w:color="auto" w:fill="auto"/>
            <w:vAlign w:val="center"/>
            <w:hideMark/>
          </w:tcPr>
          <w:p w14:paraId="5178EDF8"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7DBD895B" w14:textId="77777777" w:rsidTr="00D05F26">
        <w:trPr>
          <w:gridAfter w:val="1"/>
          <w:wAfter w:w="39" w:type="dxa"/>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7C1A5E96" w14:textId="77777777" w:rsidR="00252FB9" w:rsidRPr="00C25964" w:rsidRDefault="00252FB9" w:rsidP="00D05F26">
            <w:pPr>
              <w:rPr>
                <w:rFonts w:ascii="Arial Narrow" w:hAnsi="Arial Narrow"/>
                <w:noProof/>
                <w:color w:val="000000"/>
                <w:sz w:val="20"/>
                <w:szCs w:val="20"/>
              </w:rPr>
            </w:pPr>
            <w:r w:rsidRPr="00C25964">
              <w:rPr>
                <w:rFonts w:ascii="Arial Narrow" w:hAnsi="Arial Narrow"/>
                <w:noProof/>
                <w:color w:val="000000"/>
                <w:sz w:val="20"/>
                <w:szCs w:val="20"/>
              </w:rPr>
              <w:t>Utanför Rubrik 7 – Övriga administrativa utgifter</w:t>
            </w:r>
          </w:p>
        </w:tc>
        <w:tc>
          <w:tcPr>
            <w:tcW w:w="1273" w:type="dxa"/>
            <w:tcBorders>
              <w:top w:val="nil"/>
              <w:left w:val="nil"/>
              <w:bottom w:val="single" w:sz="4" w:space="0" w:color="auto"/>
              <w:right w:val="single" w:sz="4" w:space="0" w:color="auto"/>
            </w:tcBorders>
            <w:shd w:val="clear" w:color="auto" w:fill="auto"/>
            <w:vAlign w:val="center"/>
            <w:hideMark/>
          </w:tcPr>
          <w:p w14:paraId="1AAB981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47" w:type="dxa"/>
            <w:tcBorders>
              <w:top w:val="nil"/>
              <w:left w:val="nil"/>
              <w:bottom w:val="single" w:sz="4" w:space="0" w:color="auto"/>
              <w:right w:val="single" w:sz="4" w:space="0" w:color="auto"/>
            </w:tcBorders>
            <w:shd w:val="clear" w:color="auto" w:fill="auto"/>
            <w:vAlign w:val="center"/>
            <w:hideMark/>
          </w:tcPr>
          <w:p w14:paraId="43F60D3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60" w:type="dxa"/>
            <w:gridSpan w:val="2"/>
            <w:tcBorders>
              <w:top w:val="nil"/>
              <w:left w:val="nil"/>
              <w:bottom w:val="single" w:sz="4" w:space="0" w:color="auto"/>
              <w:right w:val="single" w:sz="4" w:space="0" w:color="auto"/>
            </w:tcBorders>
            <w:shd w:val="clear" w:color="auto" w:fill="auto"/>
            <w:vAlign w:val="center"/>
            <w:hideMark/>
          </w:tcPr>
          <w:p w14:paraId="5165913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11" w:type="dxa"/>
            <w:gridSpan w:val="2"/>
            <w:tcBorders>
              <w:top w:val="nil"/>
              <w:left w:val="nil"/>
              <w:bottom w:val="single" w:sz="4" w:space="0" w:color="auto"/>
              <w:right w:val="single" w:sz="4" w:space="0" w:color="auto"/>
            </w:tcBorders>
            <w:shd w:val="clear" w:color="auto" w:fill="auto"/>
            <w:vAlign w:val="center"/>
            <w:hideMark/>
          </w:tcPr>
          <w:p w14:paraId="408067C2"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14:paraId="19195E9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3" w:type="dxa"/>
            <w:gridSpan w:val="2"/>
            <w:tcBorders>
              <w:top w:val="nil"/>
              <w:left w:val="nil"/>
              <w:bottom w:val="single" w:sz="4" w:space="0" w:color="auto"/>
              <w:right w:val="single" w:sz="4" w:space="0" w:color="auto"/>
            </w:tcBorders>
            <w:shd w:val="clear" w:color="auto" w:fill="auto"/>
            <w:vAlign w:val="center"/>
            <w:hideMark/>
          </w:tcPr>
          <w:p w14:paraId="7D4E638D"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55" w:type="dxa"/>
            <w:tcBorders>
              <w:top w:val="nil"/>
              <w:left w:val="nil"/>
              <w:bottom w:val="single" w:sz="4" w:space="0" w:color="auto"/>
              <w:right w:val="single" w:sz="4" w:space="0" w:color="auto"/>
            </w:tcBorders>
            <w:shd w:val="clear" w:color="auto" w:fill="auto"/>
            <w:vAlign w:val="center"/>
            <w:hideMark/>
          </w:tcPr>
          <w:p w14:paraId="434E07D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34" w:type="dxa"/>
            <w:tcBorders>
              <w:top w:val="nil"/>
              <w:left w:val="nil"/>
              <w:bottom w:val="single" w:sz="4" w:space="0" w:color="auto"/>
              <w:right w:val="single" w:sz="4" w:space="0" w:color="auto"/>
            </w:tcBorders>
            <w:shd w:val="clear" w:color="auto" w:fill="auto"/>
            <w:vAlign w:val="center"/>
            <w:hideMark/>
          </w:tcPr>
          <w:p w14:paraId="23909C01"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7719DA2D" w14:textId="77777777" w:rsidTr="00D05F26">
        <w:trPr>
          <w:gridAfter w:val="1"/>
          <w:wAfter w:w="39" w:type="dxa"/>
          <w:trHeight w:val="43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B74B2" w14:textId="77777777" w:rsidR="00252FB9" w:rsidRPr="00C25964" w:rsidRDefault="00252FB9" w:rsidP="00D05F26">
            <w:pPr>
              <w:jc w:val="center"/>
              <w:rPr>
                <w:rFonts w:ascii="Arial Narrow" w:hAnsi="Arial Narrow"/>
                <w:b/>
                <w:bCs/>
                <w:noProof/>
                <w:color w:val="000000"/>
                <w:sz w:val="22"/>
              </w:rPr>
            </w:pPr>
            <w:r w:rsidRPr="00C25964">
              <w:rPr>
                <w:rFonts w:ascii="Arial Narrow" w:hAnsi="Arial Narrow"/>
                <w:b/>
                <w:bCs/>
                <w:noProof/>
                <w:color w:val="000000"/>
                <w:sz w:val="22"/>
              </w:rPr>
              <w:t>Delsumma Övriga rubriker</w:t>
            </w: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48C8CE9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5AAB6A46"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14:paraId="7D18E853"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14:paraId="3F95C3B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14:paraId="6F833925"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14:paraId="18343A94"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355" w:type="dxa"/>
            <w:tcBorders>
              <w:top w:val="nil"/>
              <w:left w:val="single" w:sz="4" w:space="0" w:color="auto"/>
              <w:bottom w:val="single" w:sz="4" w:space="0" w:color="auto"/>
              <w:right w:val="single" w:sz="4" w:space="0" w:color="auto"/>
            </w:tcBorders>
            <w:shd w:val="clear" w:color="auto" w:fill="auto"/>
            <w:vAlign w:val="center"/>
            <w:hideMark/>
          </w:tcPr>
          <w:p w14:paraId="26B7F63E" w14:textId="77777777" w:rsidR="00252FB9" w:rsidRPr="00C25964" w:rsidRDefault="00252FB9" w:rsidP="00D05F26">
            <w:pPr>
              <w:jc w:val="center"/>
              <w:rPr>
                <w:rFonts w:ascii="Arial Narrow" w:hAnsi="Arial Narrow"/>
                <w:noProof/>
                <w:color w:val="000000"/>
                <w:sz w:val="20"/>
                <w:szCs w:val="20"/>
              </w:rPr>
            </w:pPr>
            <w:r w:rsidRPr="00C25964">
              <w:rPr>
                <w:rFonts w:ascii="Arial Narrow" w:hAnsi="Arial Narrow"/>
                <w:noProof/>
                <w:color w:val="000000"/>
                <w:sz w:val="20"/>
                <w:szCs w:val="20"/>
              </w:rPr>
              <w:t xml:space="preserve"> </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14:paraId="7A6E5E05" w14:textId="77777777" w:rsidR="00252FB9" w:rsidRPr="00C25964" w:rsidRDefault="00252FB9" w:rsidP="00D05F26">
            <w:pPr>
              <w:jc w:val="center"/>
              <w:rPr>
                <w:rFonts w:ascii="Arial Narrow" w:hAnsi="Arial Narrow"/>
                <w:b/>
                <w:bCs/>
                <w:noProof/>
                <w:color w:val="000000"/>
                <w:sz w:val="20"/>
                <w:szCs w:val="20"/>
              </w:rPr>
            </w:pPr>
            <w:r w:rsidRPr="00C25964">
              <w:rPr>
                <w:rFonts w:ascii="Arial Narrow" w:hAnsi="Arial Narrow"/>
                <w:b/>
                <w:bCs/>
                <w:noProof/>
                <w:color w:val="000000"/>
                <w:sz w:val="20"/>
                <w:szCs w:val="20"/>
              </w:rPr>
              <w:t xml:space="preserve"> </w:t>
            </w:r>
          </w:p>
        </w:tc>
      </w:tr>
      <w:tr w:rsidR="00252FB9" w:rsidRPr="00C25964" w14:paraId="6BBA563E" w14:textId="77777777" w:rsidTr="00D05F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89"/>
          <w:jc w:val="center"/>
        </w:trPr>
        <w:tc>
          <w:tcPr>
            <w:tcW w:w="4346" w:type="dxa"/>
            <w:tcBorders>
              <w:top w:val="single" w:sz="12" w:space="0" w:color="auto"/>
              <w:left w:val="single" w:sz="6" w:space="0" w:color="auto"/>
              <w:bottom w:val="single" w:sz="6" w:space="0" w:color="auto"/>
              <w:right w:val="single" w:sz="6" w:space="0" w:color="auto"/>
            </w:tcBorders>
            <w:vAlign w:val="center"/>
          </w:tcPr>
          <w:p w14:paraId="35D3F3FF" w14:textId="77777777" w:rsidR="00252FB9" w:rsidRPr="00C25964" w:rsidRDefault="00252FB9" w:rsidP="00D05F26">
            <w:pPr>
              <w:pStyle w:val="Text1"/>
              <w:spacing w:after="0"/>
              <w:ind w:left="0"/>
              <w:jc w:val="center"/>
              <w:rPr>
                <w:rFonts w:ascii="Arial Narrow" w:hAnsi="Arial Narrow"/>
                <w:b/>
                <w:noProof/>
                <w:sz w:val="22"/>
              </w:rPr>
            </w:pPr>
            <w:r w:rsidRPr="00C25964">
              <w:rPr>
                <w:rFonts w:ascii="Arial Narrow" w:hAnsi="Arial Narrow"/>
                <w:b/>
                <w:noProof/>
                <w:sz w:val="22"/>
              </w:rPr>
              <w:t>TOTALT</w:t>
            </w:r>
          </w:p>
          <w:p w14:paraId="1F445D06" w14:textId="77777777" w:rsidR="00252FB9" w:rsidRPr="00C25964" w:rsidRDefault="00252FB9" w:rsidP="00D05F26">
            <w:pPr>
              <w:pStyle w:val="Text1"/>
              <w:spacing w:before="0"/>
              <w:ind w:left="0"/>
              <w:jc w:val="center"/>
              <w:rPr>
                <w:rFonts w:ascii="Arial Narrow" w:hAnsi="Arial Narrow"/>
                <w:b/>
                <w:noProof/>
                <w:sz w:val="22"/>
              </w:rPr>
            </w:pPr>
            <w:r w:rsidRPr="00C25964">
              <w:rPr>
                <w:rFonts w:ascii="Arial Narrow" w:hAnsi="Arial Narrow"/>
                <w:b/>
                <w:noProof/>
                <w:sz w:val="22"/>
              </w:rPr>
              <w:t>RUBRIK 7 och utanför RUBRIK 7</w:t>
            </w:r>
          </w:p>
        </w:tc>
        <w:tc>
          <w:tcPr>
            <w:tcW w:w="1273" w:type="dxa"/>
            <w:tcBorders>
              <w:top w:val="single" w:sz="12" w:space="0" w:color="auto"/>
              <w:left w:val="single" w:sz="6" w:space="0" w:color="auto"/>
              <w:bottom w:val="single" w:sz="6" w:space="0" w:color="auto"/>
              <w:right w:val="single" w:sz="6" w:space="0" w:color="auto"/>
            </w:tcBorders>
            <w:vAlign w:val="center"/>
          </w:tcPr>
          <w:p w14:paraId="1CB16B6D" w14:textId="77777777" w:rsidR="00252FB9" w:rsidRPr="00C25964" w:rsidRDefault="00252FB9" w:rsidP="00D05F26">
            <w:pPr>
              <w:jc w:val="center"/>
              <w:rPr>
                <w:rFonts w:ascii="Arial Narrow" w:hAnsi="Arial Narrow"/>
                <w:noProof/>
                <w:sz w:val="20"/>
                <w:szCs w:val="20"/>
              </w:rPr>
            </w:pPr>
            <w:r w:rsidRPr="00C25964">
              <w:rPr>
                <w:noProof/>
                <w:sz w:val="16"/>
                <w:szCs w:val="16"/>
              </w:rPr>
              <w:t>0,948</w:t>
            </w:r>
          </w:p>
        </w:tc>
        <w:tc>
          <w:tcPr>
            <w:tcW w:w="1272" w:type="dxa"/>
            <w:gridSpan w:val="2"/>
            <w:tcBorders>
              <w:top w:val="single" w:sz="12" w:space="0" w:color="auto"/>
              <w:left w:val="single" w:sz="6" w:space="0" w:color="auto"/>
              <w:bottom w:val="single" w:sz="6" w:space="0" w:color="auto"/>
              <w:right w:val="single" w:sz="6" w:space="0" w:color="auto"/>
            </w:tcBorders>
            <w:vAlign w:val="center"/>
          </w:tcPr>
          <w:p w14:paraId="5D72E992" w14:textId="77777777" w:rsidR="00252FB9" w:rsidRPr="00C25964" w:rsidRDefault="00252FB9" w:rsidP="00D05F26">
            <w:pPr>
              <w:jc w:val="center"/>
              <w:rPr>
                <w:rFonts w:ascii="Arial Narrow" w:hAnsi="Arial Narrow"/>
                <w:noProof/>
                <w:sz w:val="20"/>
                <w:szCs w:val="20"/>
              </w:rPr>
            </w:pPr>
            <w:r w:rsidRPr="00C25964">
              <w:rPr>
                <w:noProof/>
                <w:sz w:val="16"/>
                <w:szCs w:val="16"/>
              </w:rPr>
              <w:t>1,370</w:t>
            </w:r>
          </w:p>
        </w:tc>
        <w:tc>
          <w:tcPr>
            <w:tcW w:w="1273" w:type="dxa"/>
            <w:gridSpan w:val="2"/>
            <w:tcBorders>
              <w:top w:val="single" w:sz="12" w:space="0" w:color="auto"/>
              <w:left w:val="single" w:sz="6" w:space="0" w:color="auto"/>
              <w:bottom w:val="single" w:sz="6" w:space="0" w:color="auto"/>
              <w:right w:val="single" w:sz="6" w:space="0" w:color="auto"/>
            </w:tcBorders>
            <w:vAlign w:val="center"/>
          </w:tcPr>
          <w:p w14:paraId="1C776FFD" w14:textId="77777777" w:rsidR="00252FB9" w:rsidRPr="00C25964" w:rsidRDefault="00252FB9" w:rsidP="00D05F26">
            <w:pPr>
              <w:jc w:val="center"/>
              <w:rPr>
                <w:rFonts w:ascii="Arial Narrow" w:hAnsi="Arial Narrow"/>
                <w:noProof/>
                <w:sz w:val="20"/>
                <w:szCs w:val="20"/>
              </w:rPr>
            </w:pPr>
            <w:r w:rsidRPr="00C25964">
              <w:rPr>
                <w:noProof/>
                <w:sz w:val="16"/>
                <w:szCs w:val="16"/>
              </w:rPr>
              <w:t>0,240</w:t>
            </w:r>
          </w:p>
        </w:tc>
        <w:tc>
          <w:tcPr>
            <w:tcW w:w="1273" w:type="dxa"/>
            <w:tcBorders>
              <w:top w:val="single" w:sz="12" w:space="0" w:color="auto"/>
              <w:left w:val="single" w:sz="6" w:space="0" w:color="auto"/>
              <w:bottom w:val="single" w:sz="6" w:space="0" w:color="auto"/>
              <w:right w:val="single" w:sz="6" w:space="0" w:color="auto"/>
            </w:tcBorders>
            <w:vAlign w:val="center"/>
          </w:tcPr>
          <w:p w14:paraId="2D10109B" w14:textId="77777777" w:rsidR="00252FB9" w:rsidRPr="00C25964" w:rsidRDefault="00252FB9" w:rsidP="00D05F26">
            <w:pPr>
              <w:jc w:val="center"/>
              <w:rPr>
                <w:rFonts w:ascii="Arial Narrow" w:hAnsi="Arial Narrow"/>
                <w:noProof/>
                <w:sz w:val="20"/>
                <w:szCs w:val="20"/>
              </w:rPr>
            </w:pPr>
          </w:p>
        </w:tc>
        <w:tc>
          <w:tcPr>
            <w:tcW w:w="1273" w:type="dxa"/>
            <w:tcBorders>
              <w:top w:val="single" w:sz="12" w:space="0" w:color="auto"/>
              <w:left w:val="single" w:sz="6" w:space="0" w:color="auto"/>
              <w:bottom w:val="single" w:sz="6" w:space="0" w:color="auto"/>
              <w:right w:val="single" w:sz="6" w:space="0" w:color="auto"/>
            </w:tcBorders>
            <w:vAlign w:val="center"/>
          </w:tcPr>
          <w:p w14:paraId="5C59E006" w14:textId="77777777" w:rsidR="00252FB9" w:rsidRPr="00C25964" w:rsidRDefault="00252FB9" w:rsidP="00D05F26">
            <w:pPr>
              <w:jc w:val="center"/>
              <w:rPr>
                <w:rFonts w:ascii="Arial Narrow" w:hAnsi="Arial Narrow"/>
                <w:noProof/>
                <w:sz w:val="20"/>
                <w:szCs w:val="20"/>
              </w:rPr>
            </w:pPr>
          </w:p>
        </w:tc>
        <w:tc>
          <w:tcPr>
            <w:tcW w:w="1272" w:type="dxa"/>
            <w:gridSpan w:val="2"/>
            <w:tcBorders>
              <w:top w:val="single" w:sz="12" w:space="0" w:color="auto"/>
              <w:left w:val="single" w:sz="6" w:space="0" w:color="auto"/>
              <w:bottom w:val="single" w:sz="6" w:space="0" w:color="auto"/>
              <w:right w:val="single" w:sz="6" w:space="0" w:color="auto"/>
            </w:tcBorders>
            <w:vAlign w:val="center"/>
          </w:tcPr>
          <w:p w14:paraId="7EF43E96" w14:textId="77777777" w:rsidR="00252FB9" w:rsidRPr="00C25964" w:rsidRDefault="00252FB9" w:rsidP="00D05F26">
            <w:pPr>
              <w:jc w:val="center"/>
              <w:rPr>
                <w:rFonts w:ascii="Arial Narrow" w:hAnsi="Arial Narrow"/>
                <w:noProof/>
                <w:sz w:val="20"/>
                <w:szCs w:val="20"/>
              </w:rPr>
            </w:pPr>
          </w:p>
        </w:tc>
        <w:tc>
          <w:tcPr>
            <w:tcW w:w="1415" w:type="dxa"/>
            <w:gridSpan w:val="2"/>
            <w:tcBorders>
              <w:top w:val="single" w:sz="12" w:space="0" w:color="auto"/>
              <w:left w:val="single" w:sz="6" w:space="0" w:color="auto"/>
              <w:bottom w:val="single" w:sz="6" w:space="0" w:color="auto"/>
              <w:right w:val="single" w:sz="6" w:space="0" w:color="auto"/>
            </w:tcBorders>
            <w:vAlign w:val="center"/>
          </w:tcPr>
          <w:p w14:paraId="7B11FCB8" w14:textId="77777777" w:rsidR="00252FB9" w:rsidRPr="00C25964" w:rsidRDefault="00252FB9" w:rsidP="00D05F26">
            <w:pPr>
              <w:jc w:val="center"/>
              <w:rPr>
                <w:rFonts w:ascii="Arial Narrow" w:hAnsi="Arial Narrow"/>
                <w:noProof/>
                <w:sz w:val="20"/>
                <w:szCs w:val="20"/>
              </w:rPr>
            </w:pPr>
          </w:p>
        </w:tc>
        <w:tc>
          <w:tcPr>
            <w:tcW w:w="1273" w:type="dxa"/>
            <w:gridSpan w:val="2"/>
            <w:tcBorders>
              <w:top w:val="single" w:sz="12" w:space="0" w:color="auto"/>
              <w:left w:val="single" w:sz="6" w:space="0" w:color="auto"/>
              <w:bottom w:val="single" w:sz="6" w:space="0" w:color="auto"/>
              <w:right w:val="single" w:sz="6" w:space="0" w:color="auto"/>
            </w:tcBorders>
            <w:vAlign w:val="center"/>
          </w:tcPr>
          <w:p w14:paraId="7C192556" w14:textId="77777777" w:rsidR="00252FB9" w:rsidRPr="00C25964" w:rsidRDefault="00252FB9" w:rsidP="00D05F26">
            <w:pPr>
              <w:jc w:val="center"/>
              <w:rPr>
                <w:rFonts w:ascii="Arial Narrow" w:hAnsi="Arial Narrow"/>
                <w:b/>
                <w:bCs/>
                <w:noProof/>
                <w:sz w:val="20"/>
                <w:szCs w:val="20"/>
              </w:rPr>
            </w:pPr>
            <w:r w:rsidRPr="00C25964">
              <w:rPr>
                <w:b/>
                <w:bCs/>
                <w:noProof/>
                <w:sz w:val="20"/>
                <w:szCs w:val="20"/>
              </w:rPr>
              <w:t>2,558</w:t>
            </w:r>
          </w:p>
        </w:tc>
      </w:tr>
    </w:tbl>
    <w:p w14:paraId="668B680E" w14:textId="77777777" w:rsidR="00252FB9" w:rsidRPr="00C25964" w:rsidRDefault="00252FB9" w:rsidP="00252FB9">
      <w:pPr>
        <w:ind w:right="-496"/>
        <w:jc w:val="right"/>
        <w:rPr>
          <w:rFonts w:ascii="Arial Narrow" w:hAnsi="Arial Narrow"/>
          <w:i/>
          <w:iCs/>
          <w:noProof/>
          <w:sz w:val="20"/>
          <w:szCs w:val="20"/>
        </w:rPr>
      </w:pPr>
    </w:p>
    <w:p w14:paraId="0D23D1B5" w14:textId="77777777" w:rsidR="00252FB9" w:rsidRPr="00C25964" w:rsidRDefault="00252FB9" w:rsidP="00252FB9">
      <w:pPr>
        <w:pStyle w:val="Text2"/>
        <w:spacing w:before="0" w:after="0"/>
        <w:ind w:left="0"/>
        <w:jc w:val="center"/>
        <w:rPr>
          <w:iCs/>
          <w:noProof/>
          <w:sz w:val="18"/>
          <w:szCs w:val="18"/>
        </w:rPr>
      </w:pPr>
      <w:r w:rsidRPr="00C25964">
        <w:rPr>
          <w:noProof/>
          <w:sz w:val="18"/>
        </w:rPr>
        <w:t>De administrativa kostnaderna ska täckas genom anslag som redan har avdelats för att förvalta åtgärden i fråga och/eller som har omfördelats, om så krävs kompletterade med ytterligare resurser som kan tilldelas det förvaltande generaldirektoratet som ett led i det årliga förfarandet för tilldelning av anslag och med hänsyn tagen till befintliga begränsningar i fråga om budgetmedel.</w:t>
      </w:r>
    </w:p>
    <w:p w14:paraId="135408B8" w14:textId="4F0066A6" w:rsidR="00252FB9" w:rsidRPr="00C25964" w:rsidRDefault="00252FB9" w:rsidP="0055400C">
      <w:pPr>
        <w:keepNext/>
        <w:spacing w:before="240" w:after="0"/>
        <w:ind w:left="357"/>
        <w:rPr>
          <w:noProof/>
        </w:rPr>
        <w:sectPr w:rsidR="00252FB9" w:rsidRPr="00C25964" w:rsidSect="004A0B38">
          <w:pgSz w:w="15840" w:h="12240" w:orient="landscape" w:code="1"/>
          <w:pgMar w:top="1418" w:right="1247" w:bottom="1418" w:left="1247" w:header="709" w:footer="709" w:gutter="0"/>
          <w:cols w:space="708"/>
          <w:docGrid w:linePitch="360"/>
        </w:sectPr>
      </w:pPr>
    </w:p>
    <w:p w14:paraId="19DF47DF" w14:textId="76C10016" w:rsidR="00252FB9" w:rsidRPr="00C25964" w:rsidRDefault="00277B3B" w:rsidP="00277B3B">
      <w:pPr>
        <w:pStyle w:val="ManualHeading1"/>
        <w:rPr>
          <w:noProof/>
        </w:rPr>
      </w:pPr>
      <w:r w:rsidRPr="00C25964">
        <w:rPr>
          <w:noProof/>
        </w:rPr>
        <w:t>4. Metod för beräkning av kostnaderna</w:t>
      </w:r>
    </w:p>
    <w:p w14:paraId="25D5055D" w14:textId="33784233" w:rsidR="00252FB9" w:rsidRPr="00C25964" w:rsidRDefault="00277B3B" w:rsidP="00277B3B">
      <w:pPr>
        <w:pStyle w:val="ManualHeading2"/>
        <w:rPr>
          <w:noProof/>
          <w:szCs w:val="28"/>
        </w:rPr>
      </w:pPr>
      <w:r w:rsidRPr="00C25964">
        <w:rPr>
          <w:noProof/>
        </w:rPr>
        <w:t>4.1.  Personalresurser</w:t>
      </w:r>
    </w:p>
    <w:p w14:paraId="783B81F8" w14:textId="77777777" w:rsidR="00252FB9" w:rsidRPr="00C25964" w:rsidRDefault="00252FB9" w:rsidP="00252FB9">
      <w:pPr>
        <w:ind w:left="-357" w:firstLine="902"/>
        <w:rPr>
          <w:noProof/>
          <w:sz w:val="20"/>
          <w:szCs w:val="20"/>
        </w:rPr>
      </w:pPr>
    </w:p>
    <w:p w14:paraId="02AAFE8D" w14:textId="77777777" w:rsidR="00252FB9" w:rsidRPr="00C25964" w:rsidRDefault="00252FB9" w:rsidP="00252FB9">
      <w:pPr>
        <w:spacing w:after="60"/>
        <w:jc w:val="center"/>
        <w:rPr>
          <w:i/>
          <w:noProof/>
          <w:sz w:val="20"/>
          <w:szCs w:val="20"/>
        </w:rPr>
      </w:pPr>
      <w:r w:rsidRPr="00C25964">
        <w:rPr>
          <w:i/>
          <w:noProof/>
          <w:sz w:val="20"/>
        </w:rPr>
        <w:t>I denna del beskrivs den beräkningsmetod som använts för uppskattning av personalbehovet (antaganden om arbetsbörda, inklusive specifika arbeten [arbetsbeskrivningar i Sysper 2], personalkategorier och motsvarande genomsnittliga kostnader).</w:t>
      </w:r>
    </w:p>
    <w:p w14:paraId="74F40DE2" w14:textId="77777777" w:rsidR="00252FB9" w:rsidRPr="00C25964" w:rsidRDefault="00252FB9" w:rsidP="00252FB9">
      <w:pPr>
        <w:spacing w:after="60"/>
        <w:ind w:left="540"/>
        <w:jc w:val="center"/>
        <w:rPr>
          <w:i/>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rsidR="00252FB9" w:rsidRPr="00C25964" w14:paraId="22B8061E" w14:textId="77777777" w:rsidTr="00D05F26">
        <w:trPr>
          <w:jc w:val="center"/>
        </w:trPr>
        <w:tc>
          <w:tcPr>
            <w:tcW w:w="12474" w:type="dxa"/>
            <w:tcBorders>
              <w:top w:val="single" w:sz="4" w:space="0" w:color="auto"/>
            </w:tcBorders>
          </w:tcPr>
          <w:p w14:paraId="51C58CD1" w14:textId="77777777" w:rsidR="00252FB9" w:rsidRPr="00C25964" w:rsidRDefault="00252FB9" w:rsidP="00D05F26">
            <w:pPr>
              <w:pStyle w:val="Text2"/>
              <w:spacing w:before="60" w:after="60"/>
              <w:ind w:left="0"/>
              <w:jc w:val="left"/>
              <w:rPr>
                <w:rFonts w:ascii="Arial Narrow" w:hAnsi="Arial Narrow"/>
                <w:b/>
                <w:noProof/>
                <w:sz w:val="22"/>
              </w:rPr>
            </w:pPr>
            <w:r w:rsidRPr="00C25964">
              <w:rPr>
                <w:rFonts w:ascii="Arial Narrow" w:hAnsi="Arial Narrow"/>
                <w:b/>
                <w:noProof/>
                <w:sz w:val="22"/>
              </w:rPr>
              <w:t>RUBRIK 7</w:t>
            </w:r>
            <w:r w:rsidRPr="00C25964">
              <w:rPr>
                <w:rFonts w:ascii="Arial Narrow" w:hAnsi="Arial Narrow"/>
                <w:noProof/>
                <w:sz w:val="22"/>
              </w:rPr>
              <w:t xml:space="preserve"> i den fleråriga budgetramen</w:t>
            </w:r>
          </w:p>
        </w:tc>
      </w:tr>
      <w:tr w:rsidR="00252FB9" w:rsidRPr="00C25964" w14:paraId="17D39DF8" w14:textId="77777777" w:rsidTr="00D05F26">
        <w:trPr>
          <w:jc w:val="center"/>
        </w:trPr>
        <w:tc>
          <w:tcPr>
            <w:tcW w:w="12474" w:type="dxa"/>
          </w:tcPr>
          <w:p w14:paraId="08CF7EB9" w14:textId="77777777" w:rsidR="00252FB9" w:rsidRPr="00C25964" w:rsidRDefault="00252FB9" w:rsidP="00D05F26">
            <w:pPr>
              <w:pStyle w:val="Text2"/>
              <w:spacing w:before="20" w:after="20"/>
              <w:ind w:left="0"/>
              <w:jc w:val="center"/>
              <w:rPr>
                <w:rFonts w:ascii="Arial Narrow" w:hAnsi="Arial Narrow"/>
                <w:noProof/>
                <w:sz w:val="18"/>
                <w:szCs w:val="18"/>
              </w:rPr>
            </w:pPr>
            <w:r w:rsidRPr="00C25964">
              <w:rPr>
                <w:rFonts w:ascii="Arial Narrow" w:hAnsi="Arial Narrow"/>
                <w:noProof/>
                <w:sz w:val="18"/>
                <w:u w:val="single"/>
              </w:rPr>
              <w:t>ANM.:</w:t>
            </w:r>
            <w:r w:rsidRPr="00C25964">
              <w:rPr>
                <w:rFonts w:ascii="Arial Narrow" w:hAnsi="Arial Narrow"/>
                <w:noProof/>
                <w:sz w:val="18"/>
              </w:rPr>
              <w:t xml:space="preserve"> De genomsnittliga kostnaderna för varje personalkategori vid huvudkontoret finns på BudgWeb:</w:t>
            </w:r>
          </w:p>
          <w:p w14:paraId="1B3D402C" w14:textId="77777777" w:rsidR="00252FB9" w:rsidRPr="00C25964" w:rsidRDefault="0012551C" w:rsidP="00D05F26">
            <w:pPr>
              <w:pStyle w:val="Text2"/>
              <w:spacing w:before="0" w:after="20"/>
              <w:ind w:left="0"/>
              <w:jc w:val="center"/>
              <w:rPr>
                <w:rFonts w:ascii="Arial Narrow" w:hAnsi="Arial Narrow"/>
                <w:noProof/>
                <w:sz w:val="18"/>
                <w:szCs w:val="18"/>
              </w:rPr>
            </w:pPr>
            <w:hyperlink r:id="rId33" w:history="1">
              <w:r w:rsidR="000F70C4" w:rsidRPr="00C25964">
                <w:rPr>
                  <w:rStyle w:val="Hyperlink"/>
                  <w:rFonts w:ascii="Arial Narrow" w:hAnsi="Arial Narrow"/>
                  <w:noProof/>
                  <w:sz w:val="18"/>
                  <w:szCs w:val="18"/>
                </w:rPr>
                <w:t>https://myintracomm.ec.europa.eu/budgweb/SV/pre/legalbasis/Pages/pre-040-020_preparation.aspx.</w:t>
              </w:r>
            </w:hyperlink>
          </w:p>
        </w:tc>
      </w:tr>
      <w:tr w:rsidR="00252FB9" w:rsidRPr="00C25964" w14:paraId="4C933FB1" w14:textId="77777777" w:rsidTr="00D05F26">
        <w:trPr>
          <w:jc w:val="center"/>
        </w:trPr>
        <w:tc>
          <w:tcPr>
            <w:tcW w:w="12474" w:type="dxa"/>
          </w:tcPr>
          <w:p w14:paraId="2C5FFF99" w14:textId="77777777" w:rsidR="00252FB9" w:rsidRPr="00C25964" w:rsidRDefault="00252FB9" w:rsidP="00D05F26">
            <w:pPr>
              <w:pStyle w:val="Text2"/>
              <w:spacing w:before="40" w:after="0"/>
              <w:ind w:left="0"/>
              <w:jc w:val="left"/>
              <w:rPr>
                <w:rFonts w:ascii="Arial Narrow" w:hAnsi="Arial Narrow"/>
                <w:bCs/>
                <w:iCs/>
                <w:noProof/>
                <w:sz w:val="20"/>
                <w:szCs w:val="20"/>
              </w:rPr>
            </w:pPr>
            <w:r w:rsidRPr="00C25964">
              <w:rPr>
                <w:rFonts w:ascii="Arial Narrow" w:hAnsi="Arial Narrow"/>
                <w:b/>
                <w:noProof/>
              </w:rPr>
              <w:sym w:font="Wingdings" w:char="F09F"/>
            </w:r>
            <w:r w:rsidRPr="00C25964">
              <w:rPr>
                <w:rFonts w:ascii="Arial Narrow" w:hAnsi="Arial Narrow"/>
                <w:b/>
                <w:noProof/>
              </w:rPr>
              <w:t xml:space="preserve"> </w:t>
            </w:r>
            <w:r w:rsidRPr="00C25964">
              <w:rPr>
                <w:rFonts w:ascii="Arial Narrow" w:hAnsi="Arial Narrow"/>
                <w:noProof/>
                <w:sz w:val="22"/>
              </w:rPr>
              <w:t>Tjänstemän och tillfälligt anställda</w:t>
            </w:r>
          </w:p>
          <w:p w14:paraId="79DD5583" w14:textId="77777777" w:rsidR="00252FB9" w:rsidRPr="00C25964" w:rsidRDefault="00252FB9" w:rsidP="00D05F26">
            <w:pPr>
              <w:pStyle w:val="Normal1"/>
              <w:shd w:val="clear" w:color="auto" w:fill="FFFFFF" w:themeFill="background1"/>
              <w:spacing w:before="0" w:beforeAutospacing="0" w:after="0" w:afterAutospacing="0"/>
              <w:jc w:val="both"/>
              <w:rPr>
                <w:noProof/>
                <w:color w:val="444444"/>
              </w:rPr>
            </w:pPr>
          </w:p>
          <w:p w14:paraId="3B2686FD" w14:textId="77777777" w:rsidR="00252FB9" w:rsidRPr="00C25964" w:rsidRDefault="00252FB9" w:rsidP="00D05F26">
            <w:pPr>
              <w:pStyle w:val="Normal1"/>
              <w:shd w:val="clear" w:color="auto" w:fill="FFFFFF" w:themeFill="background1"/>
              <w:spacing w:before="0" w:beforeAutospacing="0" w:after="0" w:afterAutospacing="0"/>
              <w:jc w:val="both"/>
              <w:rPr>
                <w:noProof/>
              </w:rPr>
            </w:pPr>
            <w:r w:rsidRPr="00C25964">
              <w:rPr>
                <w:noProof/>
              </w:rPr>
              <w:t>3,0 heltidsekvivalenter 2021 för förberedelserna inför året</w:t>
            </w:r>
          </w:p>
          <w:p w14:paraId="50157040" w14:textId="77777777" w:rsidR="00252FB9" w:rsidRPr="00C25964" w:rsidRDefault="00252FB9" w:rsidP="00D05F26">
            <w:pPr>
              <w:pStyle w:val="Normal1"/>
              <w:shd w:val="clear" w:color="auto" w:fill="FFFFFF" w:themeFill="background1"/>
              <w:spacing w:before="0" w:beforeAutospacing="0" w:after="0" w:afterAutospacing="0"/>
              <w:jc w:val="both"/>
              <w:rPr>
                <w:noProof/>
                <w:highlight w:val="yellow"/>
              </w:rPr>
            </w:pPr>
          </w:p>
          <w:p w14:paraId="61802702" w14:textId="77777777" w:rsidR="00252FB9" w:rsidRPr="00C25964" w:rsidRDefault="00252FB9" w:rsidP="00D05F26">
            <w:pPr>
              <w:pStyle w:val="Normal1"/>
              <w:shd w:val="clear" w:color="auto" w:fill="FFFFFF" w:themeFill="background1"/>
              <w:spacing w:before="0" w:beforeAutospacing="0" w:after="0" w:afterAutospacing="0"/>
              <w:jc w:val="both"/>
              <w:rPr>
                <w:noProof/>
              </w:rPr>
            </w:pPr>
            <w:r w:rsidRPr="00C25964">
              <w:rPr>
                <w:noProof/>
              </w:rPr>
              <w:t xml:space="preserve">3 heltidsekvivalenter 2022 för samordning av verksamheten </w:t>
            </w:r>
          </w:p>
          <w:p w14:paraId="0C6556D0" w14:textId="77777777" w:rsidR="00252FB9" w:rsidRPr="00C25964" w:rsidRDefault="00252FB9" w:rsidP="00D05F26">
            <w:pPr>
              <w:pStyle w:val="Normal1"/>
              <w:shd w:val="clear" w:color="auto" w:fill="FFFFFF" w:themeFill="background1"/>
              <w:spacing w:before="0" w:beforeAutospacing="0" w:after="0" w:afterAutospacing="0"/>
              <w:jc w:val="both"/>
              <w:rPr>
                <w:noProof/>
              </w:rPr>
            </w:pPr>
          </w:p>
          <w:p w14:paraId="26C0304C" w14:textId="77777777" w:rsidR="00252FB9" w:rsidRPr="00C25964" w:rsidRDefault="00252FB9" w:rsidP="00D05F26">
            <w:pPr>
              <w:pStyle w:val="Normal1"/>
              <w:shd w:val="clear" w:color="auto" w:fill="FFFFFF" w:themeFill="background1"/>
              <w:spacing w:before="0" w:beforeAutospacing="0" w:after="0" w:afterAutospacing="0"/>
              <w:jc w:val="both"/>
              <w:rPr>
                <w:noProof/>
              </w:rPr>
            </w:pPr>
            <w:r w:rsidRPr="00C25964">
              <w:rPr>
                <w:noProof/>
              </w:rPr>
              <w:t>0,5 heltidsekvivalent 2023 för slutlig rapportering</w:t>
            </w:r>
          </w:p>
          <w:p w14:paraId="36099912" w14:textId="77777777" w:rsidR="00252FB9" w:rsidRPr="00C25964" w:rsidRDefault="00252FB9" w:rsidP="00D05F26">
            <w:pPr>
              <w:pStyle w:val="Text2"/>
              <w:spacing w:before="0" w:after="0"/>
              <w:ind w:left="0"/>
              <w:rPr>
                <w:rFonts w:ascii="Arial Narrow" w:hAnsi="Arial Narrow"/>
                <w:noProof/>
                <w:sz w:val="20"/>
                <w:szCs w:val="20"/>
                <w:u w:val="single"/>
              </w:rPr>
            </w:pPr>
          </w:p>
          <w:p w14:paraId="294209A1" w14:textId="77777777" w:rsidR="00252FB9" w:rsidRPr="00C25964" w:rsidRDefault="00252FB9" w:rsidP="00D05F26">
            <w:pPr>
              <w:pStyle w:val="Text2"/>
              <w:spacing w:before="0" w:after="0"/>
              <w:ind w:left="0"/>
              <w:rPr>
                <w:rFonts w:ascii="Arial Narrow" w:hAnsi="Arial Narrow"/>
                <w:noProof/>
                <w:sz w:val="20"/>
                <w:szCs w:val="20"/>
                <w:u w:val="single"/>
              </w:rPr>
            </w:pPr>
          </w:p>
          <w:p w14:paraId="657820E8" w14:textId="77777777" w:rsidR="00252FB9" w:rsidRPr="00C25964" w:rsidRDefault="00252FB9" w:rsidP="00D05F26">
            <w:pPr>
              <w:pStyle w:val="Text2"/>
              <w:spacing w:before="60" w:after="0"/>
              <w:ind w:left="0"/>
              <w:rPr>
                <w:rFonts w:ascii="Arial Narrow" w:hAnsi="Arial Narrow"/>
                <w:noProof/>
                <w:sz w:val="18"/>
                <w:szCs w:val="18"/>
                <w:u w:val="single"/>
              </w:rPr>
            </w:pPr>
          </w:p>
        </w:tc>
      </w:tr>
      <w:tr w:rsidR="00252FB9" w:rsidRPr="00C25964" w14:paraId="760FAB93" w14:textId="77777777" w:rsidTr="00D05F26">
        <w:trPr>
          <w:jc w:val="center"/>
        </w:trPr>
        <w:tc>
          <w:tcPr>
            <w:tcW w:w="12474" w:type="dxa"/>
            <w:tcBorders>
              <w:bottom w:val="single" w:sz="4" w:space="0" w:color="auto"/>
            </w:tcBorders>
          </w:tcPr>
          <w:p w14:paraId="47FF5A38" w14:textId="77777777" w:rsidR="00252FB9" w:rsidRPr="00C25964" w:rsidRDefault="00252FB9" w:rsidP="00D05F26">
            <w:pPr>
              <w:pStyle w:val="Text2"/>
              <w:spacing w:before="40" w:after="0"/>
              <w:ind w:left="0"/>
              <w:jc w:val="left"/>
              <w:rPr>
                <w:rFonts w:ascii="Arial Narrow" w:hAnsi="Arial Narrow"/>
                <w:noProof/>
                <w:sz w:val="22"/>
              </w:rPr>
            </w:pPr>
            <w:r w:rsidRPr="00C25964">
              <w:rPr>
                <w:rFonts w:ascii="Arial Narrow" w:hAnsi="Arial Narrow"/>
                <w:b/>
                <w:noProof/>
              </w:rPr>
              <w:sym w:font="Wingdings" w:char="F09F"/>
            </w:r>
            <w:r w:rsidRPr="00C25964">
              <w:rPr>
                <w:rFonts w:ascii="Arial Narrow" w:hAnsi="Arial Narrow"/>
                <w:b/>
                <w:noProof/>
              </w:rPr>
              <w:t xml:space="preserve"> </w:t>
            </w:r>
            <w:r w:rsidRPr="00C25964">
              <w:rPr>
                <w:rFonts w:ascii="Arial Narrow" w:hAnsi="Arial Narrow"/>
                <w:noProof/>
                <w:sz w:val="22"/>
              </w:rPr>
              <w:t>Extern personal</w:t>
            </w:r>
          </w:p>
          <w:p w14:paraId="2A34E5EB" w14:textId="77777777" w:rsidR="00252FB9" w:rsidRPr="00C25964" w:rsidRDefault="00252FB9" w:rsidP="00D05F26">
            <w:pPr>
              <w:pStyle w:val="Text2"/>
              <w:spacing w:before="40" w:after="0"/>
              <w:ind w:left="0"/>
              <w:jc w:val="left"/>
              <w:rPr>
                <w:rFonts w:ascii="Arial Narrow" w:hAnsi="Arial Narrow"/>
                <w:noProof/>
                <w:sz w:val="22"/>
              </w:rPr>
            </w:pPr>
          </w:p>
          <w:p w14:paraId="4A653E77" w14:textId="77777777" w:rsidR="00252FB9" w:rsidRPr="00C25964" w:rsidRDefault="00252FB9" w:rsidP="00D05F26">
            <w:pPr>
              <w:pStyle w:val="Text2"/>
              <w:spacing w:before="40" w:after="0"/>
              <w:ind w:left="0"/>
              <w:jc w:val="left"/>
              <w:rPr>
                <w:noProof/>
              </w:rPr>
            </w:pPr>
            <w:r w:rsidRPr="00C25964">
              <w:rPr>
                <w:noProof/>
              </w:rPr>
              <w:t xml:space="preserve">3 kontraktsanställda och 3 tillfälligt anställda för att förbereda Europaåret under en period på 3–4 månader </w:t>
            </w:r>
          </w:p>
          <w:p w14:paraId="291A29C2" w14:textId="77777777" w:rsidR="00252FB9" w:rsidRPr="00C25964" w:rsidRDefault="00252FB9" w:rsidP="00D05F26">
            <w:pPr>
              <w:pStyle w:val="Text2"/>
              <w:spacing w:before="0" w:after="0"/>
              <w:ind w:left="0"/>
              <w:rPr>
                <w:noProof/>
              </w:rPr>
            </w:pPr>
            <w:r w:rsidRPr="00C25964">
              <w:rPr>
                <w:noProof/>
              </w:rPr>
              <w:t xml:space="preserve"> </w:t>
            </w:r>
          </w:p>
          <w:p w14:paraId="6BC0B8BD" w14:textId="77777777" w:rsidR="00252FB9" w:rsidRPr="00C25964" w:rsidRDefault="00252FB9" w:rsidP="00D05F26">
            <w:pPr>
              <w:pStyle w:val="Text2"/>
              <w:spacing w:before="0" w:after="0"/>
              <w:ind w:left="0"/>
              <w:rPr>
                <w:noProof/>
              </w:rPr>
            </w:pPr>
            <w:r w:rsidRPr="00C25964">
              <w:rPr>
                <w:noProof/>
              </w:rPr>
              <w:t>8 kontraktsanställda under 2022 och 3 tillfälligt anställda för att utföra all verksamhet och alla kontakter med generaldirektorat och intressenter.</w:t>
            </w:r>
          </w:p>
          <w:p w14:paraId="5B7C0C84" w14:textId="77777777" w:rsidR="00252FB9" w:rsidRPr="00C25964" w:rsidRDefault="00252FB9" w:rsidP="00D05F26">
            <w:pPr>
              <w:pStyle w:val="Text2"/>
              <w:spacing w:before="0" w:after="0"/>
              <w:ind w:left="0"/>
              <w:rPr>
                <w:noProof/>
              </w:rPr>
            </w:pPr>
          </w:p>
          <w:p w14:paraId="40F9067C" w14:textId="77777777" w:rsidR="00252FB9" w:rsidRPr="00C25964" w:rsidRDefault="00252FB9" w:rsidP="00D05F26">
            <w:pPr>
              <w:pStyle w:val="Text2"/>
              <w:spacing w:before="0" w:after="0"/>
              <w:ind w:left="0"/>
              <w:rPr>
                <w:noProof/>
              </w:rPr>
            </w:pPr>
            <w:r w:rsidRPr="00C25964">
              <w:rPr>
                <w:noProof/>
              </w:rPr>
              <w:t xml:space="preserve">2 kontraktsanställda under 2023 för att hjälpa till med den slutliga rapporteringen och slutförandet av verksamheten. </w:t>
            </w:r>
          </w:p>
          <w:p w14:paraId="2C7A976B" w14:textId="77777777" w:rsidR="00252FB9" w:rsidRPr="00C25964" w:rsidRDefault="00252FB9" w:rsidP="00D05F26">
            <w:pPr>
              <w:pStyle w:val="Text2"/>
              <w:spacing w:before="60" w:after="0"/>
              <w:ind w:left="0"/>
              <w:rPr>
                <w:rFonts w:ascii="Arial Narrow" w:hAnsi="Arial Narrow"/>
                <w:noProof/>
                <w:sz w:val="18"/>
                <w:szCs w:val="18"/>
                <w:u w:val="single"/>
              </w:rPr>
            </w:pPr>
          </w:p>
        </w:tc>
      </w:tr>
    </w:tbl>
    <w:p w14:paraId="52362016" w14:textId="77777777" w:rsidR="00252FB9" w:rsidRPr="00C25964" w:rsidRDefault="00252FB9" w:rsidP="00252FB9">
      <w:pPr>
        <w:rPr>
          <w:rFonts w:ascii="Arial Narrow" w:hAnsi="Arial Narrow"/>
          <w:noProof/>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rsidR="00252FB9" w:rsidRPr="00C25964" w14:paraId="37904F16" w14:textId="77777777" w:rsidTr="00D05F26">
        <w:trPr>
          <w:jc w:val="center"/>
        </w:trPr>
        <w:tc>
          <w:tcPr>
            <w:tcW w:w="12474" w:type="dxa"/>
            <w:tcBorders>
              <w:top w:val="single" w:sz="4" w:space="0" w:color="auto"/>
            </w:tcBorders>
          </w:tcPr>
          <w:p w14:paraId="0179C53C" w14:textId="77777777" w:rsidR="00252FB9" w:rsidRPr="00C25964" w:rsidRDefault="00252FB9" w:rsidP="00D05F26">
            <w:pPr>
              <w:pStyle w:val="Text2"/>
              <w:spacing w:before="60" w:after="60"/>
              <w:ind w:left="0"/>
              <w:jc w:val="left"/>
              <w:rPr>
                <w:rFonts w:ascii="Arial Narrow" w:hAnsi="Arial Narrow"/>
                <w:b/>
                <w:noProof/>
                <w:sz w:val="22"/>
              </w:rPr>
            </w:pPr>
            <w:r w:rsidRPr="00C25964">
              <w:rPr>
                <w:rFonts w:ascii="Arial Narrow" w:hAnsi="Arial Narrow"/>
                <w:b/>
                <w:noProof/>
                <w:sz w:val="22"/>
              </w:rPr>
              <w:t>Utanför RUBRIK 7</w:t>
            </w:r>
            <w:r w:rsidRPr="00C25964">
              <w:rPr>
                <w:rFonts w:ascii="Arial Narrow" w:hAnsi="Arial Narrow"/>
                <w:noProof/>
                <w:sz w:val="22"/>
              </w:rPr>
              <w:t xml:space="preserve"> i den fleråriga budgetramen</w:t>
            </w:r>
          </w:p>
        </w:tc>
      </w:tr>
      <w:tr w:rsidR="00252FB9" w:rsidRPr="00C25964" w14:paraId="651357D5" w14:textId="77777777" w:rsidTr="00D05F26">
        <w:trPr>
          <w:jc w:val="center"/>
        </w:trPr>
        <w:tc>
          <w:tcPr>
            <w:tcW w:w="12474" w:type="dxa"/>
          </w:tcPr>
          <w:p w14:paraId="3636D2FD" w14:textId="77777777" w:rsidR="00252FB9" w:rsidRPr="00C25964" w:rsidRDefault="00252FB9" w:rsidP="00D05F26">
            <w:pPr>
              <w:pStyle w:val="Text2"/>
              <w:spacing w:before="40" w:after="0"/>
              <w:ind w:left="0"/>
              <w:jc w:val="left"/>
              <w:rPr>
                <w:rFonts w:ascii="Arial Narrow" w:hAnsi="Arial Narrow"/>
                <w:bCs/>
                <w:iCs/>
                <w:noProof/>
                <w:sz w:val="20"/>
                <w:szCs w:val="20"/>
              </w:rPr>
            </w:pPr>
            <w:r w:rsidRPr="00C25964">
              <w:rPr>
                <w:rFonts w:ascii="Arial Narrow" w:hAnsi="Arial Narrow"/>
                <w:b/>
                <w:noProof/>
              </w:rPr>
              <w:sym w:font="Wingdings" w:char="F09F"/>
            </w:r>
            <w:r w:rsidRPr="00C25964">
              <w:rPr>
                <w:rFonts w:ascii="Arial Narrow" w:hAnsi="Arial Narrow"/>
                <w:b/>
                <w:noProof/>
              </w:rPr>
              <w:t xml:space="preserve"> </w:t>
            </w:r>
            <w:r w:rsidRPr="00C25964">
              <w:rPr>
                <w:rFonts w:ascii="Arial Narrow" w:hAnsi="Arial Narrow"/>
                <w:noProof/>
              </w:rPr>
              <w:t>Endast tjänster som finansieras via forskningsbudgeten</w:t>
            </w:r>
            <w:r w:rsidRPr="00C25964">
              <w:rPr>
                <w:rFonts w:ascii="Arial Narrow" w:hAnsi="Arial Narrow"/>
                <w:noProof/>
                <w:sz w:val="22"/>
              </w:rPr>
              <w:t xml:space="preserve"> </w:t>
            </w:r>
          </w:p>
          <w:p w14:paraId="70490A99" w14:textId="77777777" w:rsidR="00252FB9" w:rsidRPr="00C25964" w:rsidRDefault="00252FB9" w:rsidP="00D05F26">
            <w:pPr>
              <w:pStyle w:val="Text2"/>
              <w:spacing w:before="0" w:after="0"/>
              <w:ind w:left="0"/>
              <w:rPr>
                <w:rFonts w:ascii="Arial Narrow" w:hAnsi="Arial Narrow"/>
                <w:noProof/>
                <w:sz w:val="20"/>
                <w:szCs w:val="20"/>
                <w:u w:val="single"/>
              </w:rPr>
            </w:pPr>
          </w:p>
          <w:p w14:paraId="3D2895DB" w14:textId="77777777" w:rsidR="00252FB9" w:rsidRPr="00C25964" w:rsidRDefault="00252FB9" w:rsidP="00D05F26">
            <w:pPr>
              <w:pStyle w:val="Text2"/>
              <w:spacing w:before="0" w:after="0"/>
              <w:ind w:left="0"/>
              <w:rPr>
                <w:rFonts w:ascii="Arial Narrow" w:hAnsi="Arial Narrow"/>
                <w:noProof/>
                <w:sz w:val="20"/>
                <w:szCs w:val="20"/>
                <w:u w:val="single"/>
              </w:rPr>
            </w:pPr>
          </w:p>
          <w:p w14:paraId="5909B937" w14:textId="77777777" w:rsidR="00252FB9" w:rsidRPr="00C25964" w:rsidRDefault="00252FB9" w:rsidP="00D05F26">
            <w:pPr>
              <w:pStyle w:val="Text2"/>
              <w:spacing w:before="60" w:after="0"/>
              <w:ind w:left="0"/>
              <w:rPr>
                <w:rFonts w:ascii="Arial Narrow" w:hAnsi="Arial Narrow"/>
                <w:noProof/>
                <w:sz w:val="18"/>
                <w:szCs w:val="18"/>
                <w:u w:val="single"/>
              </w:rPr>
            </w:pPr>
          </w:p>
        </w:tc>
      </w:tr>
      <w:tr w:rsidR="00252FB9" w:rsidRPr="00C25964" w14:paraId="3818B6D1" w14:textId="77777777" w:rsidTr="00D05F26">
        <w:trPr>
          <w:jc w:val="center"/>
        </w:trPr>
        <w:tc>
          <w:tcPr>
            <w:tcW w:w="12474" w:type="dxa"/>
            <w:tcBorders>
              <w:bottom w:val="single" w:sz="4" w:space="0" w:color="auto"/>
            </w:tcBorders>
          </w:tcPr>
          <w:p w14:paraId="321D72F4" w14:textId="77777777" w:rsidR="00252FB9" w:rsidRPr="00C25964" w:rsidRDefault="00252FB9" w:rsidP="00D05F26">
            <w:pPr>
              <w:pStyle w:val="Text2"/>
              <w:spacing w:before="40" w:after="0"/>
              <w:ind w:left="0"/>
              <w:jc w:val="left"/>
              <w:rPr>
                <w:rFonts w:ascii="Arial Narrow" w:hAnsi="Arial Narrow"/>
                <w:noProof/>
                <w:sz w:val="20"/>
                <w:szCs w:val="20"/>
              </w:rPr>
            </w:pPr>
            <w:r w:rsidRPr="00C25964">
              <w:rPr>
                <w:rFonts w:ascii="Arial Narrow" w:hAnsi="Arial Narrow"/>
                <w:b/>
                <w:noProof/>
              </w:rPr>
              <w:sym w:font="Wingdings" w:char="F09F"/>
            </w:r>
            <w:r w:rsidRPr="00C25964">
              <w:rPr>
                <w:rFonts w:ascii="Arial Narrow" w:hAnsi="Arial Narrow"/>
                <w:b/>
                <w:noProof/>
              </w:rPr>
              <w:t xml:space="preserve"> </w:t>
            </w:r>
            <w:r w:rsidRPr="00C25964">
              <w:rPr>
                <w:rFonts w:ascii="Arial Narrow" w:hAnsi="Arial Narrow"/>
                <w:noProof/>
                <w:sz w:val="22"/>
              </w:rPr>
              <w:t>Extern personal</w:t>
            </w:r>
          </w:p>
          <w:p w14:paraId="2ECFB5AF" w14:textId="77777777" w:rsidR="00252FB9" w:rsidRPr="00C25964" w:rsidRDefault="00252FB9" w:rsidP="00D05F26">
            <w:pPr>
              <w:pStyle w:val="Text2"/>
              <w:spacing w:before="0" w:after="0"/>
              <w:ind w:left="0"/>
              <w:rPr>
                <w:rFonts w:ascii="Arial Narrow" w:hAnsi="Arial Narrow"/>
                <w:noProof/>
                <w:sz w:val="20"/>
                <w:szCs w:val="20"/>
                <w:u w:val="single"/>
              </w:rPr>
            </w:pPr>
          </w:p>
          <w:p w14:paraId="7179D981" w14:textId="77777777" w:rsidR="00252FB9" w:rsidRPr="00C25964" w:rsidRDefault="00252FB9" w:rsidP="00D05F26">
            <w:pPr>
              <w:pStyle w:val="Text2"/>
              <w:spacing w:before="0" w:after="0"/>
              <w:ind w:left="0"/>
              <w:rPr>
                <w:rFonts w:ascii="Arial Narrow" w:hAnsi="Arial Narrow"/>
                <w:noProof/>
                <w:sz w:val="20"/>
                <w:szCs w:val="20"/>
                <w:u w:val="single"/>
              </w:rPr>
            </w:pPr>
          </w:p>
          <w:p w14:paraId="6A9A2F62" w14:textId="77777777" w:rsidR="00252FB9" w:rsidRPr="00C25964" w:rsidRDefault="00252FB9" w:rsidP="00D05F26">
            <w:pPr>
              <w:pStyle w:val="Text2"/>
              <w:spacing w:before="60" w:after="0"/>
              <w:ind w:left="0"/>
              <w:rPr>
                <w:rFonts w:ascii="Arial Narrow" w:hAnsi="Arial Narrow"/>
                <w:noProof/>
                <w:sz w:val="18"/>
                <w:szCs w:val="18"/>
                <w:u w:val="single"/>
              </w:rPr>
            </w:pPr>
          </w:p>
        </w:tc>
      </w:tr>
    </w:tbl>
    <w:p w14:paraId="272A3F34" w14:textId="77777777" w:rsidR="00252FB9" w:rsidRPr="00C25964" w:rsidRDefault="00252FB9" w:rsidP="00252FB9">
      <w:pPr>
        <w:spacing w:before="60"/>
        <w:ind w:left="-360" w:firstLine="900"/>
        <w:rPr>
          <w:noProof/>
          <w:sz w:val="20"/>
          <w:szCs w:val="20"/>
        </w:rPr>
      </w:pPr>
    </w:p>
    <w:p w14:paraId="1AC7681D" w14:textId="3D5BA278" w:rsidR="00252FB9" w:rsidRPr="00C25964" w:rsidRDefault="00277B3B" w:rsidP="00277B3B">
      <w:pPr>
        <w:pStyle w:val="ManualHeading2"/>
        <w:rPr>
          <w:noProof/>
          <w:szCs w:val="28"/>
        </w:rPr>
      </w:pPr>
      <w:r w:rsidRPr="00C25964">
        <w:rPr>
          <w:noProof/>
        </w:rPr>
        <w:t>4.2. Övriga administrativa utgifter</w:t>
      </w:r>
    </w:p>
    <w:p w14:paraId="6EF1D92E" w14:textId="77777777" w:rsidR="00252FB9" w:rsidRPr="00C25964" w:rsidRDefault="00252FB9" w:rsidP="00252FB9">
      <w:pPr>
        <w:ind w:left="-357" w:firstLine="902"/>
        <w:rPr>
          <w:noProof/>
          <w:sz w:val="20"/>
          <w:szCs w:val="20"/>
        </w:rPr>
      </w:pPr>
    </w:p>
    <w:p w14:paraId="4F259FD6" w14:textId="77777777" w:rsidR="00252FB9" w:rsidRPr="00C25964" w:rsidRDefault="00252FB9" w:rsidP="00252FB9">
      <w:pPr>
        <w:spacing w:before="60"/>
        <w:ind w:left="539"/>
        <w:jc w:val="center"/>
        <w:rPr>
          <w:i/>
          <w:noProof/>
          <w:sz w:val="20"/>
          <w:szCs w:val="20"/>
        </w:rPr>
      </w:pPr>
      <w:r w:rsidRPr="00C25964">
        <w:rPr>
          <w:i/>
          <w:noProof/>
          <w:sz w:val="20"/>
        </w:rPr>
        <w:t xml:space="preserve">Ange vilken beräkningsmetod som använts för varje budgetpost. </w:t>
      </w:r>
    </w:p>
    <w:p w14:paraId="7171C4C2" w14:textId="77777777" w:rsidR="00252FB9" w:rsidRPr="00C25964" w:rsidRDefault="00252FB9" w:rsidP="00252FB9">
      <w:pPr>
        <w:spacing w:after="60"/>
        <w:ind w:left="539"/>
        <w:jc w:val="center"/>
        <w:rPr>
          <w:i/>
          <w:noProof/>
          <w:sz w:val="20"/>
          <w:szCs w:val="20"/>
        </w:rPr>
      </w:pPr>
      <w:r w:rsidRPr="00C25964">
        <w:rPr>
          <w:i/>
          <w:noProof/>
          <w:sz w:val="20"/>
        </w:rPr>
        <w:t>Ange särskilt vilka antaganden de bygger på (antal möten per år, genomsnittliga kostnader etc.).</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rsidR="00252FB9" w:rsidRPr="00C25964" w14:paraId="019010A7" w14:textId="77777777" w:rsidTr="00D05F26">
        <w:trPr>
          <w:jc w:val="center"/>
        </w:trPr>
        <w:tc>
          <w:tcPr>
            <w:tcW w:w="9537" w:type="dxa"/>
            <w:tcBorders>
              <w:top w:val="single" w:sz="4" w:space="0" w:color="auto"/>
            </w:tcBorders>
          </w:tcPr>
          <w:p w14:paraId="34963585" w14:textId="77777777" w:rsidR="00252FB9" w:rsidRPr="00C25964" w:rsidRDefault="00252FB9" w:rsidP="00D05F26">
            <w:pPr>
              <w:pStyle w:val="Text2"/>
              <w:spacing w:before="60" w:after="60"/>
              <w:ind w:left="0"/>
              <w:jc w:val="left"/>
              <w:rPr>
                <w:rFonts w:ascii="Arial Narrow" w:hAnsi="Arial Narrow"/>
                <w:b/>
                <w:noProof/>
                <w:sz w:val="22"/>
              </w:rPr>
            </w:pPr>
            <w:r w:rsidRPr="00C25964">
              <w:rPr>
                <w:rFonts w:ascii="Arial Narrow" w:hAnsi="Arial Narrow"/>
                <w:b/>
                <w:noProof/>
                <w:sz w:val="22"/>
              </w:rPr>
              <w:t>RUBRIK 7</w:t>
            </w:r>
            <w:r w:rsidRPr="00C25964">
              <w:rPr>
                <w:rFonts w:ascii="Arial Narrow" w:hAnsi="Arial Narrow"/>
                <w:noProof/>
                <w:sz w:val="22"/>
              </w:rPr>
              <w:t xml:space="preserve"> i den fleråriga budgetramen</w:t>
            </w:r>
          </w:p>
        </w:tc>
      </w:tr>
      <w:tr w:rsidR="00252FB9" w:rsidRPr="00C25964" w14:paraId="5EC86FE5" w14:textId="77777777" w:rsidTr="00D05F26">
        <w:trPr>
          <w:jc w:val="center"/>
        </w:trPr>
        <w:tc>
          <w:tcPr>
            <w:tcW w:w="9537" w:type="dxa"/>
            <w:tcBorders>
              <w:bottom w:val="single" w:sz="4" w:space="0" w:color="auto"/>
            </w:tcBorders>
          </w:tcPr>
          <w:p w14:paraId="0EDB8846" w14:textId="77777777" w:rsidR="00252FB9" w:rsidRPr="00C25964" w:rsidRDefault="00252FB9" w:rsidP="00D05F26">
            <w:pPr>
              <w:pStyle w:val="Text2"/>
              <w:spacing w:before="0" w:after="0"/>
              <w:ind w:left="0"/>
              <w:rPr>
                <w:rFonts w:ascii="Arial Narrow" w:hAnsi="Arial Narrow"/>
                <w:noProof/>
                <w:sz w:val="22"/>
                <w:u w:val="single"/>
              </w:rPr>
            </w:pPr>
          </w:p>
          <w:p w14:paraId="1707A25A" w14:textId="77777777" w:rsidR="00252FB9" w:rsidRPr="00C25964" w:rsidRDefault="00252FB9" w:rsidP="00D05F26">
            <w:pPr>
              <w:pStyle w:val="Text2"/>
              <w:spacing w:before="0" w:after="0"/>
              <w:ind w:left="0"/>
              <w:rPr>
                <w:rFonts w:ascii="Arial Narrow" w:hAnsi="Arial Narrow"/>
                <w:noProof/>
                <w:sz w:val="22"/>
                <w:u w:val="single"/>
              </w:rPr>
            </w:pPr>
            <w:r w:rsidRPr="00C25964">
              <w:rPr>
                <w:rFonts w:ascii="Arial Narrow" w:hAnsi="Arial Narrow"/>
                <w:noProof/>
                <w:sz w:val="22"/>
              </w:rPr>
              <w:t xml:space="preserve">Cirka </w:t>
            </w:r>
            <w:r w:rsidRPr="00C25964">
              <w:rPr>
                <w:rFonts w:ascii="Arial Narrow" w:hAnsi="Arial Narrow"/>
                <w:noProof/>
                <w:sz w:val="22"/>
                <w:u w:val="single"/>
              </w:rPr>
              <w:t>tio tjänsteresor till medlemsstater under 2022</w:t>
            </w:r>
            <w:r w:rsidRPr="00C25964">
              <w:rPr>
                <w:rFonts w:ascii="Arial Narrow" w:hAnsi="Arial Narrow"/>
                <w:noProof/>
                <w:sz w:val="22"/>
              </w:rPr>
              <w:t>.</w:t>
            </w:r>
            <w:r w:rsidRPr="00C25964">
              <w:rPr>
                <w:rFonts w:ascii="Arial Narrow" w:hAnsi="Arial Narrow"/>
                <w:noProof/>
                <w:sz w:val="22"/>
                <w:u w:val="single"/>
              </w:rPr>
              <w:t xml:space="preserve"> </w:t>
            </w:r>
          </w:p>
          <w:p w14:paraId="1AEC092A" w14:textId="77777777" w:rsidR="00252FB9" w:rsidRPr="00C25964" w:rsidRDefault="00252FB9" w:rsidP="00D05F26">
            <w:pPr>
              <w:pStyle w:val="Text2"/>
              <w:spacing w:before="0" w:after="0"/>
              <w:ind w:left="0"/>
              <w:rPr>
                <w:rFonts w:ascii="Arial Narrow" w:hAnsi="Arial Narrow"/>
                <w:noProof/>
                <w:sz w:val="22"/>
                <w:u w:val="single"/>
              </w:rPr>
            </w:pPr>
          </w:p>
          <w:p w14:paraId="6C283D66" w14:textId="77777777" w:rsidR="00252FB9" w:rsidRPr="00C25964" w:rsidRDefault="00252FB9" w:rsidP="00D05F26">
            <w:pPr>
              <w:pStyle w:val="Text2"/>
              <w:spacing w:before="60" w:after="0"/>
              <w:ind w:left="0"/>
              <w:rPr>
                <w:rFonts w:ascii="Arial Narrow" w:hAnsi="Arial Narrow"/>
                <w:noProof/>
                <w:sz w:val="22"/>
                <w:u w:val="single"/>
              </w:rPr>
            </w:pPr>
          </w:p>
        </w:tc>
      </w:tr>
    </w:tbl>
    <w:p w14:paraId="4A7993C2" w14:textId="77777777" w:rsidR="00252FB9" w:rsidRPr="00C25964" w:rsidRDefault="00252FB9" w:rsidP="00252FB9">
      <w:pPr>
        <w:rPr>
          <w:rFonts w:ascii="Arial Narrow" w:hAnsi="Arial Narrow"/>
          <w:noProof/>
          <w:sz w:val="22"/>
        </w:rPr>
      </w:pPr>
    </w:p>
    <w:tbl>
      <w:tblPr>
        <w:tblW w:w="9295"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95"/>
      </w:tblGrid>
      <w:tr w:rsidR="00252FB9" w:rsidRPr="00C25964" w14:paraId="1D005D73" w14:textId="77777777" w:rsidTr="00D05F26">
        <w:trPr>
          <w:jc w:val="center"/>
        </w:trPr>
        <w:tc>
          <w:tcPr>
            <w:tcW w:w="9295" w:type="dxa"/>
            <w:tcBorders>
              <w:top w:val="single" w:sz="4" w:space="0" w:color="auto"/>
            </w:tcBorders>
          </w:tcPr>
          <w:p w14:paraId="35266513" w14:textId="77777777" w:rsidR="00252FB9" w:rsidRPr="00C25964" w:rsidRDefault="00252FB9" w:rsidP="00D05F26">
            <w:pPr>
              <w:pStyle w:val="Text2"/>
              <w:spacing w:before="60" w:after="60"/>
              <w:ind w:left="0"/>
              <w:jc w:val="left"/>
              <w:rPr>
                <w:rFonts w:ascii="Arial Narrow" w:hAnsi="Arial Narrow"/>
                <w:b/>
                <w:noProof/>
                <w:sz w:val="22"/>
              </w:rPr>
            </w:pPr>
            <w:r w:rsidRPr="00C25964">
              <w:rPr>
                <w:rFonts w:ascii="Arial Narrow" w:hAnsi="Arial Narrow"/>
                <w:b/>
                <w:noProof/>
                <w:sz w:val="22"/>
              </w:rPr>
              <w:t>Utanför RUBRIK 7</w:t>
            </w:r>
            <w:r w:rsidRPr="00C25964">
              <w:rPr>
                <w:rFonts w:ascii="Arial Narrow" w:hAnsi="Arial Narrow"/>
                <w:noProof/>
                <w:sz w:val="22"/>
              </w:rPr>
              <w:t xml:space="preserve"> i den fleråriga budgetramen</w:t>
            </w:r>
          </w:p>
        </w:tc>
      </w:tr>
      <w:tr w:rsidR="00252FB9" w:rsidRPr="00C25964" w14:paraId="478DDFC3" w14:textId="77777777" w:rsidTr="00D05F26">
        <w:trPr>
          <w:jc w:val="center"/>
        </w:trPr>
        <w:tc>
          <w:tcPr>
            <w:tcW w:w="9295" w:type="dxa"/>
            <w:tcBorders>
              <w:bottom w:val="single" w:sz="4" w:space="0" w:color="auto"/>
            </w:tcBorders>
          </w:tcPr>
          <w:p w14:paraId="320DCC8F" w14:textId="77777777" w:rsidR="00252FB9" w:rsidRPr="00C25964" w:rsidRDefault="00252FB9" w:rsidP="00D05F26">
            <w:pPr>
              <w:pStyle w:val="Text2"/>
              <w:spacing w:before="0" w:after="0"/>
              <w:ind w:left="0"/>
              <w:rPr>
                <w:rFonts w:ascii="Arial Narrow" w:hAnsi="Arial Narrow"/>
                <w:noProof/>
                <w:sz w:val="20"/>
                <w:szCs w:val="20"/>
                <w:u w:val="single"/>
              </w:rPr>
            </w:pPr>
          </w:p>
          <w:p w14:paraId="566D643D" w14:textId="77777777" w:rsidR="00252FB9" w:rsidRPr="00C25964" w:rsidRDefault="00252FB9" w:rsidP="00D05F26">
            <w:pPr>
              <w:pStyle w:val="Text2"/>
              <w:spacing w:before="0" w:after="0"/>
              <w:ind w:left="0"/>
              <w:rPr>
                <w:rFonts w:ascii="Arial Narrow" w:hAnsi="Arial Narrow"/>
                <w:noProof/>
                <w:sz w:val="20"/>
                <w:szCs w:val="20"/>
                <w:u w:val="single"/>
              </w:rPr>
            </w:pPr>
          </w:p>
          <w:p w14:paraId="3DAB4D47" w14:textId="77777777" w:rsidR="00252FB9" w:rsidRPr="00C25964" w:rsidRDefault="00252FB9" w:rsidP="00D05F26">
            <w:pPr>
              <w:pStyle w:val="Text2"/>
              <w:spacing w:before="0" w:after="0"/>
              <w:ind w:left="0"/>
              <w:rPr>
                <w:rFonts w:ascii="Arial Narrow" w:hAnsi="Arial Narrow"/>
                <w:noProof/>
                <w:sz w:val="20"/>
                <w:szCs w:val="20"/>
                <w:u w:val="single"/>
              </w:rPr>
            </w:pPr>
          </w:p>
          <w:p w14:paraId="6FC083D1" w14:textId="77777777" w:rsidR="00252FB9" w:rsidRPr="00C25964" w:rsidRDefault="00252FB9" w:rsidP="00D05F26">
            <w:pPr>
              <w:pStyle w:val="Text2"/>
              <w:spacing w:before="60" w:after="0"/>
              <w:ind w:left="0"/>
              <w:rPr>
                <w:rFonts w:ascii="Arial Narrow" w:hAnsi="Arial Narrow"/>
                <w:noProof/>
                <w:sz w:val="18"/>
                <w:szCs w:val="18"/>
                <w:u w:val="single"/>
              </w:rPr>
            </w:pPr>
          </w:p>
        </w:tc>
      </w:tr>
    </w:tbl>
    <w:p w14:paraId="16BA61F7" w14:textId="5BF952C2" w:rsidR="00E5124A" w:rsidRPr="00C25964" w:rsidRDefault="00E5124A" w:rsidP="0055400C">
      <w:pPr>
        <w:pStyle w:val="Normal1"/>
        <w:rPr>
          <w:noProof/>
        </w:rPr>
      </w:pPr>
    </w:p>
    <w:sectPr w:rsidR="00E5124A" w:rsidRPr="00C25964" w:rsidSect="004A0B38">
      <w:headerReference w:type="default"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5E264" w16cex:dateUtc="2021-10-04T18:28:00Z"/>
  <w16cex:commentExtensible w16cex:durableId="2505E288" w16cex:dateUtc="2021-10-04T18:28:00Z"/>
  <w16cex:commentExtensible w16cex:durableId="2505E3C8" w16cex:dateUtc="2021-10-04T18:34:00Z"/>
  <w16cex:commentExtensible w16cex:durableId="2505E49A" w16cex:dateUtc="2021-10-04T18:37:00Z"/>
  <w16cex:commentExtensible w16cex:durableId="2505E570" w16cex:dateUtc="2021-10-04T18:41:00Z"/>
  <w16cex:commentExtensible w16cex:durableId="2505E5B4" w16cex:dateUtc="2021-10-04T18:42:00Z"/>
  <w16cex:commentExtensible w16cex:durableId="2505E634" w16cex:dateUtc="2021-10-04T18:44:00Z"/>
  <w16cex:commentExtensible w16cex:durableId="2505E68F" w16cex:dateUtc="2021-10-04T18:46:00Z"/>
  <w16cex:commentExtensible w16cex:durableId="2505E6CE" w16cex:dateUtc="2021-10-04T18:47:00Z"/>
  <w16cex:commentExtensible w16cex:durableId="2505E767" w16cex:dateUtc="2021-10-04T18:49:00Z"/>
  <w16cex:commentExtensible w16cex:durableId="2505E7BB" w16cex:dateUtc="2021-10-04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38F79" w16cid:durableId="2505E1F5"/>
  <w16cid:commentId w16cid:paraId="19298C83" w16cid:durableId="2505E264"/>
  <w16cid:commentId w16cid:paraId="75979E1B" w16cid:durableId="2505E1F6"/>
  <w16cid:commentId w16cid:paraId="074D1158" w16cid:durableId="2505E288"/>
  <w16cid:commentId w16cid:paraId="2EC160A7" w16cid:durableId="2505E1F7"/>
  <w16cid:commentId w16cid:paraId="3E5A332C" w16cid:durableId="2505E1F8"/>
  <w16cid:commentId w16cid:paraId="4A197CB5" w16cid:durableId="2505E1F9"/>
  <w16cid:commentId w16cid:paraId="182BBE5F" w16cid:durableId="2505E1FA"/>
  <w16cid:commentId w16cid:paraId="5467EA7C" w16cid:durableId="2505E3C8"/>
  <w16cid:commentId w16cid:paraId="05CCC649" w16cid:durableId="2505E1FB"/>
  <w16cid:commentId w16cid:paraId="7DE624CE" w16cid:durableId="2505E49A"/>
  <w16cid:commentId w16cid:paraId="3BBE2075" w16cid:durableId="2505E1FC"/>
  <w16cid:commentId w16cid:paraId="23B36CD3" w16cid:durableId="2505E1FD"/>
  <w16cid:commentId w16cid:paraId="20D9F604" w16cid:durableId="2505E1FE"/>
  <w16cid:commentId w16cid:paraId="054A36E7" w16cid:durableId="2505E1FF"/>
  <w16cid:commentId w16cid:paraId="1F49BB12" w16cid:durableId="2505E200"/>
  <w16cid:commentId w16cid:paraId="0705E8D6" w16cid:durableId="2505E201"/>
  <w16cid:commentId w16cid:paraId="5C302F85" w16cid:durableId="2505E202"/>
  <w16cid:commentId w16cid:paraId="6E1A9210" w16cid:durableId="2505E203"/>
  <w16cid:commentId w16cid:paraId="3549EBED" w16cid:durableId="2505E54E"/>
  <w16cid:commentId w16cid:paraId="6FECC64D" w16cid:durableId="2505E54D"/>
  <w16cid:commentId w16cid:paraId="26C1A1C2" w16cid:durableId="2505E204"/>
  <w16cid:commentId w16cid:paraId="6D6769FD" w16cid:durableId="2505E205"/>
  <w16cid:commentId w16cid:paraId="4033F718" w16cid:durableId="2505E570"/>
  <w16cid:commentId w16cid:paraId="7E968B3B" w16cid:durableId="2505E5B4"/>
  <w16cid:commentId w16cid:paraId="037E0EA2" w16cid:durableId="2505E206"/>
  <w16cid:commentId w16cid:paraId="497F418F" w16cid:durableId="2505E207"/>
  <w16cid:commentId w16cid:paraId="183613B5" w16cid:durableId="2505E208"/>
  <w16cid:commentId w16cid:paraId="641CDCDC" w16cid:durableId="2505E209"/>
  <w16cid:commentId w16cid:paraId="03F21275" w16cid:durableId="2505E634"/>
  <w16cid:commentId w16cid:paraId="16C85A71" w16cid:durableId="2505E20A"/>
  <w16cid:commentId w16cid:paraId="5334D2BF" w16cid:durableId="2505E20B"/>
  <w16cid:commentId w16cid:paraId="18EFD415" w16cid:durableId="2505E68F"/>
  <w16cid:commentId w16cid:paraId="661A2F41" w16cid:durableId="2505E6CE"/>
  <w16cid:commentId w16cid:paraId="4722DF99" w16cid:durableId="2505E20C"/>
  <w16cid:commentId w16cid:paraId="4B8B43D1" w16cid:durableId="2505E20D"/>
  <w16cid:commentId w16cid:paraId="03968A65" w16cid:durableId="2505E20E"/>
  <w16cid:commentId w16cid:paraId="2F4E293D" w16cid:durableId="2505E20F"/>
  <w16cid:commentId w16cid:paraId="5AA522A4" w16cid:durableId="2505E767"/>
  <w16cid:commentId w16cid:paraId="2FE5A95F" w16cid:durableId="2505E7BB"/>
  <w16cid:commentId w16cid:paraId="485876E3" w16cid:durableId="2505E211"/>
  <w16cid:commentId w16cid:paraId="21B8E136" w16cid:durableId="2505E2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93A5C" w14:textId="77777777" w:rsidR="009139DE" w:rsidRDefault="009139DE" w:rsidP="00282508">
      <w:pPr>
        <w:spacing w:before="0" w:after="0"/>
      </w:pPr>
      <w:r>
        <w:separator/>
      </w:r>
    </w:p>
  </w:endnote>
  <w:endnote w:type="continuationSeparator" w:id="0">
    <w:p w14:paraId="08851D7A" w14:textId="77777777" w:rsidR="009139DE" w:rsidRDefault="009139DE" w:rsidP="00282508">
      <w:pPr>
        <w:spacing w:before="0" w:after="0"/>
      </w:pPr>
      <w:r>
        <w:continuationSeparator/>
      </w:r>
    </w:p>
  </w:endnote>
  <w:endnote w:type="continuationNotice" w:id="1">
    <w:p w14:paraId="28537B04" w14:textId="77777777" w:rsidR="009139DE" w:rsidRDefault="009139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ECBE" w14:textId="5B945CBB" w:rsidR="009139DE" w:rsidRPr="004A0B38" w:rsidRDefault="004A0B38" w:rsidP="004A0B38">
    <w:pPr>
      <w:pStyle w:val="Footer"/>
      <w:rPr>
        <w:rFonts w:ascii="Arial" w:hAnsi="Arial" w:cs="Arial"/>
        <w:b/>
        <w:sz w:val="48"/>
      </w:rPr>
    </w:pPr>
    <w:r w:rsidRPr="004A0B38">
      <w:rPr>
        <w:rFonts w:ascii="Arial" w:hAnsi="Arial" w:cs="Arial"/>
        <w:b/>
        <w:sz w:val="48"/>
      </w:rPr>
      <w:t>SV</w:t>
    </w:r>
    <w:r w:rsidRPr="004A0B38">
      <w:rPr>
        <w:rFonts w:ascii="Arial" w:hAnsi="Arial" w:cs="Arial"/>
        <w:b/>
        <w:sz w:val="48"/>
      </w:rPr>
      <w:tab/>
    </w:r>
    <w:r w:rsidRPr="004A0B38">
      <w:rPr>
        <w:rFonts w:ascii="Arial" w:hAnsi="Arial" w:cs="Arial"/>
        <w:b/>
        <w:sz w:val="48"/>
      </w:rPr>
      <w:tab/>
    </w:r>
    <w:r w:rsidRPr="004A0B38">
      <w:tab/>
    </w:r>
    <w:r w:rsidRPr="004A0B38">
      <w:rPr>
        <w:rFonts w:ascii="Arial" w:hAnsi="Arial" w:cs="Arial"/>
        <w:b/>
        <w:sz w:val="48"/>
      </w:rPr>
      <w:t>SV</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761B7" w14:textId="65F5087C" w:rsidR="00C25964" w:rsidRPr="004A0B38" w:rsidRDefault="004A0B38" w:rsidP="004A0B38">
    <w:pPr>
      <w:pStyle w:val="FooterLandscape"/>
      <w:rPr>
        <w:rFonts w:ascii="Arial" w:hAnsi="Arial" w:cs="Arial"/>
        <w:b/>
        <w:sz w:val="48"/>
      </w:rPr>
    </w:pPr>
    <w:r w:rsidRPr="004A0B38">
      <w:rPr>
        <w:rFonts w:ascii="Arial" w:hAnsi="Arial" w:cs="Arial"/>
        <w:b/>
        <w:sz w:val="48"/>
      </w:rPr>
      <w:t>SV</w:t>
    </w:r>
    <w:r w:rsidRPr="004A0B38">
      <w:rPr>
        <w:rFonts w:ascii="Arial" w:hAnsi="Arial" w:cs="Arial"/>
        <w:b/>
        <w:sz w:val="48"/>
      </w:rPr>
      <w:tab/>
    </w:r>
    <w:r>
      <w:fldChar w:fldCharType="begin"/>
    </w:r>
    <w:r>
      <w:instrText xml:space="preserve"> PAGE  \* MERGEFORMAT </w:instrText>
    </w:r>
    <w:r>
      <w:fldChar w:fldCharType="separate"/>
    </w:r>
    <w:r w:rsidR="0012551C">
      <w:rPr>
        <w:noProof/>
      </w:rPr>
      <w:t>35</w:t>
    </w:r>
    <w:r>
      <w:fldChar w:fldCharType="end"/>
    </w:r>
    <w:r>
      <w:tab/>
    </w:r>
    <w:r w:rsidRPr="004A0B38">
      <w:tab/>
    </w:r>
    <w:r w:rsidRPr="004A0B38">
      <w:rPr>
        <w:rFonts w:ascii="Arial" w:hAnsi="Arial" w:cs="Arial"/>
        <w:b/>
        <w:sz w:val="48"/>
      </w:rPr>
      <w:t>SV</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FD323" w14:textId="77777777" w:rsidR="004A0B38" w:rsidRPr="004A0B38" w:rsidRDefault="004A0B38" w:rsidP="004A0B38">
    <w:pPr>
      <w:pStyle w:val="FooterLandscape"/>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38EC2" w14:textId="643FFECE" w:rsidR="004A0B38" w:rsidRPr="004A0B38" w:rsidRDefault="004A0B38" w:rsidP="004A0B38">
    <w:pPr>
      <w:pStyle w:val="Footer"/>
      <w:rPr>
        <w:rFonts w:ascii="Arial" w:hAnsi="Arial" w:cs="Arial"/>
        <w:b/>
        <w:sz w:val="48"/>
      </w:rPr>
    </w:pPr>
    <w:r w:rsidRPr="004A0B38">
      <w:rPr>
        <w:rFonts w:ascii="Arial" w:hAnsi="Arial" w:cs="Arial"/>
        <w:b/>
        <w:sz w:val="48"/>
      </w:rPr>
      <w:t>SV</w:t>
    </w:r>
    <w:r w:rsidRPr="004A0B38">
      <w:rPr>
        <w:rFonts w:ascii="Arial" w:hAnsi="Arial" w:cs="Arial"/>
        <w:b/>
        <w:sz w:val="48"/>
      </w:rPr>
      <w:tab/>
    </w:r>
    <w:r>
      <w:fldChar w:fldCharType="begin"/>
    </w:r>
    <w:r>
      <w:instrText xml:space="preserve"> PAGE  \* MERGEFORMAT </w:instrText>
    </w:r>
    <w:r>
      <w:fldChar w:fldCharType="separate"/>
    </w:r>
    <w:r w:rsidR="0012551C">
      <w:rPr>
        <w:noProof/>
      </w:rPr>
      <w:t>41</w:t>
    </w:r>
    <w:r>
      <w:fldChar w:fldCharType="end"/>
    </w:r>
    <w:r>
      <w:tab/>
    </w:r>
    <w:r w:rsidRPr="004A0B38">
      <w:tab/>
    </w:r>
    <w:r w:rsidRPr="004A0B38">
      <w:rPr>
        <w:rFonts w:ascii="Arial" w:hAnsi="Arial" w:cs="Arial"/>
        <w:b/>
        <w:sz w:val="48"/>
      </w:rPr>
      <w:t>SV</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751E" w14:textId="77777777" w:rsidR="004A0B38" w:rsidRPr="004A0B38" w:rsidRDefault="004A0B38" w:rsidP="004A0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630C" w14:textId="24EF2D96" w:rsidR="004A0B38" w:rsidRPr="004A0B38" w:rsidRDefault="004A0B38" w:rsidP="004A0B38">
    <w:pPr>
      <w:pStyle w:val="Footer"/>
      <w:rPr>
        <w:rFonts w:ascii="Arial" w:hAnsi="Arial" w:cs="Arial"/>
        <w:b/>
        <w:sz w:val="48"/>
      </w:rPr>
    </w:pPr>
    <w:r w:rsidRPr="004A0B38">
      <w:rPr>
        <w:rFonts w:ascii="Arial" w:hAnsi="Arial" w:cs="Arial"/>
        <w:b/>
        <w:sz w:val="48"/>
      </w:rPr>
      <w:t>SV</w:t>
    </w:r>
    <w:r w:rsidRPr="004A0B38">
      <w:rPr>
        <w:rFonts w:ascii="Arial" w:hAnsi="Arial" w:cs="Arial"/>
        <w:b/>
        <w:sz w:val="48"/>
      </w:rPr>
      <w:tab/>
    </w:r>
    <w:r>
      <w:fldChar w:fldCharType="begin"/>
    </w:r>
    <w:r>
      <w:instrText xml:space="preserve"> PAGE  \* MERGEFORMAT </w:instrText>
    </w:r>
    <w:r>
      <w:fldChar w:fldCharType="separate"/>
    </w:r>
    <w:r w:rsidR="0012551C">
      <w:rPr>
        <w:noProof/>
      </w:rPr>
      <w:t>22</w:t>
    </w:r>
    <w:r>
      <w:fldChar w:fldCharType="end"/>
    </w:r>
    <w:r>
      <w:tab/>
    </w:r>
    <w:r w:rsidRPr="004A0B38">
      <w:tab/>
    </w:r>
    <w:r w:rsidRPr="004A0B38">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C2C82" w14:textId="77777777" w:rsidR="004A0B38" w:rsidRPr="004A0B38" w:rsidRDefault="004A0B38" w:rsidP="004A0B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2F1DC" w14:textId="4F1E96B4" w:rsidR="004A0B38" w:rsidRPr="004A0B38" w:rsidRDefault="004A0B38" w:rsidP="004A0B38">
    <w:pPr>
      <w:pStyle w:val="FooterLandscape"/>
      <w:rPr>
        <w:rFonts w:ascii="Arial" w:hAnsi="Arial" w:cs="Arial"/>
        <w:b/>
        <w:sz w:val="48"/>
      </w:rPr>
    </w:pPr>
    <w:r w:rsidRPr="004A0B38">
      <w:rPr>
        <w:rFonts w:ascii="Arial" w:hAnsi="Arial" w:cs="Arial"/>
        <w:b/>
        <w:sz w:val="48"/>
      </w:rPr>
      <w:t>SV</w:t>
    </w:r>
    <w:r w:rsidRPr="004A0B38">
      <w:rPr>
        <w:rFonts w:ascii="Arial" w:hAnsi="Arial" w:cs="Arial"/>
        <w:b/>
        <w:sz w:val="48"/>
      </w:rPr>
      <w:tab/>
    </w:r>
    <w:r>
      <w:fldChar w:fldCharType="begin"/>
    </w:r>
    <w:r>
      <w:instrText xml:space="preserve"> PAGE  \* MERGEFORMAT </w:instrText>
    </w:r>
    <w:r>
      <w:fldChar w:fldCharType="separate"/>
    </w:r>
    <w:r w:rsidR="0012551C">
      <w:rPr>
        <w:noProof/>
      </w:rPr>
      <w:t>26</w:t>
    </w:r>
    <w:r>
      <w:fldChar w:fldCharType="end"/>
    </w:r>
    <w:r>
      <w:tab/>
    </w:r>
    <w:r w:rsidRPr="004A0B38">
      <w:tab/>
    </w:r>
    <w:r w:rsidRPr="004A0B38">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C1AB1" w14:textId="77777777" w:rsidR="004A0B38" w:rsidRPr="004A0B38" w:rsidRDefault="004A0B38" w:rsidP="004A0B38">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2E215" w14:textId="5FB9354B" w:rsidR="00C25964" w:rsidRPr="004A0B38" w:rsidRDefault="004A0B38" w:rsidP="004A0B38">
    <w:pPr>
      <w:pStyle w:val="Footer"/>
      <w:rPr>
        <w:rFonts w:ascii="Arial" w:hAnsi="Arial" w:cs="Arial"/>
        <w:b/>
        <w:sz w:val="48"/>
      </w:rPr>
    </w:pPr>
    <w:r w:rsidRPr="004A0B38">
      <w:rPr>
        <w:rFonts w:ascii="Arial" w:hAnsi="Arial" w:cs="Arial"/>
        <w:b/>
        <w:sz w:val="48"/>
      </w:rPr>
      <w:t>SV</w:t>
    </w:r>
    <w:r w:rsidRPr="004A0B38">
      <w:rPr>
        <w:rFonts w:ascii="Arial" w:hAnsi="Arial" w:cs="Arial"/>
        <w:b/>
        <w:sz w:val="48"/>
      </w:rPr>
      <w:tab/>
    </w:r>
    <w:r>
      <w:fldChar w:fldCharType="begin"/>
    </w:r>
    <w:r>
      <w:instrText xml:space="preserve"> PAGE  \* MERGEFORMAT </w:instrText>
    </w:r>
    <w:r>
      <w:fldChar w:fldCharType="separate"/>
    </w:r>
    <w:r w:rsidR="0012551C">
      <w:rPr>
        <w:noProof/>
      </w:rPr>
      <w:t>30</w:t>
    </w:r>
    <w:r>
      <w:fldChar w:fldCharType="end"/>
    </w:r>
    <w:r>
      <w:tab/>
    </w:r>
    <w:r w:rsidRPr="004A0B38">
      <w:tab/>
    </w:r>
    <w:r w:rsidRPr="004A0B38">
      <w:rPr>
        <w:rFonts w:ascii="Arial" w:hAnsi="Arial" w:cs="Arial"/>
        <w:b/>
        <w:sz w:val="48"/>
      </w:rPr>
      <w:t>SV</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2328" w14:textId="77777777" w:rsidR="004A0B38" w:rsidRPr="004A0B38" w:rsidRDefault="004A0B38" w:rsidP="004A0B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DC8CC" w14:textId="04A02B5A" w:rsidR="004A0B38" w:rsidRPr="004A0B38" w:rsidRDefault="004A0B38" w:rsidP="004A0B38">
    <w:pPr>
      <w:pStyle w:val="Footer"/>
      <w:rPr>
        <w:rFonts w:ascii="Arial" w:hAnsi="Arial" w:cs="Arial"/>
        <w:b/>
        <w:sz w:val="48"/>
      </w:rPr>
    </w:pPr>
    <w:r w:rsidRPr="004A0B38">
      <w:rPr>
        <w:rFonts w:ascii="Arial" w:hAnsi="Arial" w:cs="Arial"/>
        <w:b/>
        <w:sz w:val="48"/>
      </w:rPr>
      <w:t>SV</w:t>
    </w:r>
    <w:r w:rsidRPr="004A0B38">
      <w:rPr>
        <w:rFonts w:ascii="Arial" w:hAnsi="Arial" w:cs="Arial"/>
        <w:b/>
        <w:sz w:val="48"/>
      </w:rPr>
      <w:tab/>
    </w:r>
    <w:r>
      <w:fldChar w:fldCharType="begin"/>
    </w:r>
    <w:r>
      <w:instrText xml:space="preserve"> PAGE  \* MERGEFORMAT </w:instrText>
    </w:r>
    <w:r>
      <w:fldChar w:fldCharType="separate"/>
    </w:r>
    <w:r w:rsidR="0012551C">
      <w:rPr>
        <w:noProof/>
      </w:rPr>
      <w:t>31</w:t>
    </w:r>
    <w:r>
      <w:fldChar w:fldCharType="end"/>
    </w:r>
    <w:r>
      <w:tab/>
    </w:r>
    <w:r w:rsidRPr="004A0B38">
      <w:tab/>
    </w:r>
    <w:r w:rsidRPr="004A0B38">
      <w:rPr>
        <w:rFonts w:ascii="Arial" w:hAnsi="Arial" w:cs="Arial"/>
        <w:b/>
        <w:sz w:val="48"/>
      </w:rPr>
      <w:t>SV</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B0A9C" w14:textId="77777777" w:rsidR="004A0B38" w:rsidRPr="004A0B38" w:rsidRDefault="004A0B38" w:rsidP="004A0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0895F" w14:textId="77777777" w:rsidR="009139DE" w:rsidRDefault="009139DE" w:rsidP="00282508">
      <w:pPr>
        <w:spacing w:before="0" w:after="0"/>
      </w:pPr>
      <w:r>
        <w:separator/>
      </w:r>
    </w:p>
  </w:footnote>
  <w:footnote w:type="continuationSeparator" w:id="0">
    <w:p w14:paraId="45DB26E1" w14:textId="77777777" w:rsidR="009139DE" w:rsidRDefault="009139DE" w:rsidP="00282508">
      <w:pPr>
        <w:spacing w:before="0" w:after="0"/>
      </w:pPr>
      <w:r>
        <w:continuationSeparator/>
      </w:r>
    </w:p>
  </w:footnote>
  <w:footnote w:type="continuationNotice" w:id="1">
    <w:p w14:paraId="65674345" w14:textId="77777777" w:rsidR="009139DE" w:rsidRDefault="009139DE">
      <w:pPr>
        <w:spacing w:before="0" w:after="0"/>
      </w:pPr>
    </w:p>
  </w:footnote>
  <w:footnote w:id="2">
    <w:p w14:paraId="553D6ED2" w14:textId="77777777" w:rsidR="009139DE" w:rsidRPr="00BD5DA9" w:rsidRDefault="009139DE" w:rsidP="00AA6B9B">
      <w:pPr>
        <w:pStyle w:val="FootnoteText"/>
      </w:pPr>
      <w:r>
        <w:rPr>
          <w:rStyle w:val="FootnoteReference0"/>
        </w:rPr>
        <w:footnoteRef/>
      </w:r>
      <w:r>
        <w:tab/>
      </w:r>
      <w:r>
        <w:rPr>
          <w:rStyle w:val="FootnoteReference0"/>
          <w:vertAlign w:val="baseline"/>
        </w:rPr>
        <w:t>OECD, 2020. Youth and Covid-19. Response, Recovery and resilience. OECD, 2020. ILO, 2020. Covid and Youth. Impacts on Jobs, Education, Rights and mental Well-being. Eurostat, 2020. Being young in Europe today – health.</w:t>
      </w:r>
    </w:p>
  </w:footnote>
  <w:footnote w:id="3">
    <w:p w14:paraId="1DFE8CB2" w14:textId="0BF368CE" w:rsidR="009139DE" w:rsidRPr="00BD5DA9" w:rsidRDefault="009139DE">
      <w:pPr>
        <w:pStyle w:val="FootnoteText"/>
      </w:pPr>
      <w:r>
        <w:rPr>
          <w:rStyle w:val="FootnoteReference0"/>
        </w:rPr>
        <w:footnoteRef/>
      </w:r>
      <w:r>
        <w:tab/>
        <w:t>https://eur-lex.europa.eu/legal-content/SV/TXT/?uri=OJ:C:2018:456:FULL</w:t>
      </w:r>
    </w:p>
  </w:footnote>
  <w:footnote w:id="4">
    <w:p w14:paraId="217CD806" w14:textId="652D7412" w:rsidR="009139DE" w:rsidRPr="00BD5DA9" w:rsidRDefault="009139DE">
      <w:pPr>
        <w:pStyle w:val="FootnoteText"/>
      </w:pPr>
      <w:r>
        <w:rPr>
          <w:rStyle w:val="FootnoteReference0"/>
        </w:rPr>
        <w:footnoteRef/>
      </w:r>
      <w:r>
        <w:tab/>
        <w:t>https://europa.eu/youth/strategy/european-youth-goals_en</w:t>
      </w:r>
    </w:p>
  </w:footnote>
  <w:footnote w:id="5">
    <w:p w14:paraId="30D14309" w14:textId="77777777" w:rsidR="009139DE" w:rsidRPr="00BD5DA9" w:rsidRDefault="009139DE" w:rsidP="00DD2461">
      <w:pPr>
        <w:pStyle w:val="FootnoteText"/>
        <w:rPr>
          <w:sz w:val="24"/>
          <w:szCs w:val="24"/>
        </w:rPr>
      </w:pPr>
      <w:r>
        <w:rPr>
          <w:rStyle w:val="FootnoteReference0"/>
        </w:rPr>
        <w:footnoteRef/>
      </w:r>
      <w:r>
        <w:tab/>
      </w:r>
      <w:hyperlink r:id="rId1" w:history="1">
        <w:r>
          <w:rPr>
            <w:rStyle w:val="FootnoteReference0"/>
            <w:vertAlign w:val="baseline"/>
          </w:rPr>
          <w:t>https://ec.europa.eu/social/BlobServlet?docId=22829&amp;langId=en</w:t>
        </w:r>
      </w:hyperlink>
    </w:p>
  </w:footnote>
  <w:footnote w:id="6">
    <w:p w14:paraId="67057474" w14:textId="77777777" w:rsidR="009139DE" w:rsidRPr="00BD5DA9" w:rsidRDefault="009139DE" w:rsidP="00DD2461">
      <w:pPr>
        <w:pStyle w:val="FootnoteText"/>
        <w:rPr>
          <w:sz w:val="24"/>
          <w:szCs w:val="24"/>
          <w:vertAlign w:val="superscript"/>
        </w:rPr>
      </w:pPr>
      <w:r>
        <w:rPr>
          <w:rStyle w:val="FootnoteReference0"/>
        </w:rPr>
        <w:footnoteRef/>
      </w:r>
      <w:r>
        <w:tab/>
      </w:r>
      <w:r>
        <w:rPr>
          <w:rStyle w:val="FootnoteReference0"/>
          <w:vertAlign w:val="baseline"/>
        </w:rPr>
        <w:t>https://ec.europa.eu/social/main.jsp?catId=1223&amp;langId=en</w:t>
      </w:r>
    </w:p>
  </w:footnote>
  <w:footnote w:id="7">
    <w:p w14:paraId="57516B38" w14:textId="77777777" w:rsidR="009139DE" w:rsidRPr="00BD5DA9" w:rsidRDefault="009139DE" w:rsidP="00DD2461">
      <w:pPr>
        <w:pStyle w:val="FootnoteText"/>
      </w:pPr>
      <w:r>
        <w:rPr>
          <w:rStyle w:val="FootnoteReference0"/>
        </w:rPr>
        <w:footnoteRef/>
      </w:r>
      <w:r>
        <w:tab/>
      </w:r>
      <w:hyperlink r:id="rId2" w:history="1">
        <w:r>
          <w:rPr>
            <w:rStyle w:val="Hyperlink"/>
          </w:rPr>
          <w:t>https://ec.europa.eu/social/BlobServlet?docId=23699&amp;langId=en</w:t>
        </w:r>
      </w:hyperlink>
      <w:r>
        <w:t xml:space="preserve"> </w:t>
      </w:r>
    </w:p>
  </w:footnote>
  <w:footnote w:id="8">
    <w:p w14:paraId="71931D78" w14:textId="0BAB2AE8" w:rsidR="009139DE" w:rsidRPr="00BD5DA9" w:rsidRDefault="009139DE">
      <w:pPr>
        <w:pStyle w:val="FootnoteText"/>
      </w:pPr>
      <w:r>
        <w:rPr>
          <w:rStyle w:val="FootnoteReference0"/>
        </w:rPr>
        <w:footnoteRef/>
      </w:r>
      <w:r>
        <w:tab/>
        <w:t>https://ec.europa.eu/info/policies/justice-and-fundamental-rights/rights-child/eu-strategy-rights-child-and-european-child-guarantee_sv</w:t>
      </w:r>
    </w:p>
  </w:footnote>
  <w:footnote w:id="9">
    <w:p w14:paraId="698B1E74" w14:textId="77777777" w:rsidR="009139DE" w:rsidRPr="009139DE" w:rsidRDefault="009139DE" w:rsidP="00AA6B9B">
      <w:pPr>
        <w:pStyle w:val="FootnoteText"/>
      </w:pPr>
      <w:r>
        <w:rPr>
          <w:rStyle w:val="FootnoteReference0"/>
        </w:rPr>
        <w:footnoteRef/>
      </w:r>
      <w:r w:rsidRPr="009139DE">
        <w:tab/>
        <w:t>EUT C , , s. .</w:t>
      </w:r>
    </w:p>
  </w:footnote>
  <w:footnote w:id="10">
    <w:p w14:paraId="191C438D" w14:textId="77777777" w:rsidR="009139DE" w:rsidRPr="009139DE" w:rsidRDefault="009139DE" w:rsidP="00AA6B9B">
      <w:pPr>
        <w:pStyle w:val="FootnoteText"/>
      </w:pPr>
      <w:r>
        <w:rPr>
          <w:rStyle w:val="FootnoteReference0"/>
        </w:rPr>
        <w:footnoteRef/>
      </w:r>
      <w:r w:rsidRPr="009139DE">
        <w:tab/>
        <w:t>EUT C , , s. .</w:t>
      </w:r>
    </w:p>
  </w:footnote>
  <w:footnote w:id="11">
    <w:p w14:paraId="6C5831EA" w14:textId="77777777" w:rsidR="009139DE" w:rsidRPr="009139DE" w:rsidDel="002D2BEF" w:rsidRDefault="009139DE" w:rsidP="00AA6B9B">
      <w:pPr>
        <w:pStyle w:val="FootnoteText"/>
      </w:pPr>
      <w:r>
        <w:rPr>
          <w:rStyle w:val="FootnoteReference0"/>
        </w:rPr>
        <w:footnoteRef/>
      </w:r>
      <w:r w:rsidRPr="009139DE">
        <w:tab/>
      </w:r>
      <w:hyperlink r:id="rId3" w:history="1">
        <w:r w:rsidRPr="009139DE">
          <w:rPr>
            <w:rStyle w:val="Hyperlink"/>
          </w:rPr>
          <w:t>Bratislavaförklaringen och Bratislavafärdplanen – Consilium (europa.eu)</w:t>
        </w:r>
      </w:hyperlink>
    </w:p>
  </w:footnote>
  <w:footnote w:id="12">
    <w:p w14:paraId="0E7FD8F8" w14:textId="77777777" w:rsidR="009139DE" w:rsidRPr="009139DE" w:rsidDel="002D2BEF" w:rsidRDefault="009139DE" w:rsidP="00AA6B9B">
      <w:pPr>
        <w:pStyle w:val="FootnoteText"/>
      </w:pPr>
      <w:r>
        <w:rPr>
          <w:rStyle w:val="FootnoteReference0"/>
        </w:rPr>
        <w:footnoteRef/>
      </w:r>
      <w:r w:rsidRPr="009139DE">
        <w:tab/>
      </w:r>
      <w:hyperlink r:id="rId4" w:history="1">
        <w:r w:rsidRPr="009139DE">
          <w:rPr>
            <w:rStyle w:val="Hyperlink"/>
          </w:rPr>
          <w:t>Romförklaringen (europa.eu)</w:t>
        </w:r>
      </w:hyperlink>
    </w:p>
  </w:footnote>
  <w:footnote w:id="13">
    <w:p w14:paraId="59B3586A" w14:textId="77777777" w:rsidR="009139DE" w:rsidRPr="009139DE" w:rsidDel="002D2BEF" w:rsidRDefault="009139DE" w:rsidP="00AA6B9B">
      <w:pPr>
        <w:pStyle w:val="FootnoteText"/>
      </w:pPr>
      <w:r>
        <w:rPr>
          <w:rStyle w:val="FootnoteReference0"/>
        </w:rPr>
        <w:footnoteRef/>
      </w:r>
      <w:r w:rsidRPr="009139DE">
        <w:tab/>
      </w:r>
      <w:hyperlink r:id="rId5" w:history="1">
        <w:r w:rsidRPr="009139DE">
          <w:rPr>
            <w:rStyle w:val="Hyperlink"/>
          </w:rPr>
          <w:t>soteu_2021_address_sv_0.pdf (europa.eu)</w:t>
        </w:r>
      </w:hyperlink>
      <w:r w:rsidRPr="009139DE">
        <w:t xml:space="preserve"> </w:t>
      </w:r>
    </w:p>
  </w:footnote>
  <w:footnote w:id="14">
    <w:p w14:paraId="5053CECC" w14:textId="77777777" w:rsidR="009139DE" w:rsidRPr="009139DE" w:rsidDel="002D2BEF" w:rsidRDefault="009139DE" w:rsidP="00AA6B9B">
      <w:pPr>
        <w:pStyle w:val="FootnoteText"/>
      </w:pPr>
      <w:r>
        <w:rPr>
          <w:rStyle w:val="FootnoteReference0"/>
        </w:rPr>
        <w:footnoteRef/>
      </w:r>
      <w:r w:rsidRPr="009139DE">
        <w:tab/>
      </w:r>
      <w:hyperlink r:id="rId6">
        <w:r w:rsidRPr="009139DE">
          <w:rPr>
            <w:rStyle w:val="Hyperlink"/>
          </w:rPr>
          <w:t>https://eur-lex.europa.eu/legal-content/SV/TXT/HTML/?uri=CELEX:52020DC0790&amp;from=SV</w:t>
        </w:r>
      </w:hyperlink>
    </w:p>
  </w:footnote>
  <w:footnote w:id="15">
    <w:p w14:paraId="3A313E5A" w14:textId="77777777" w:rsidR="009139DE" w:rsidRPr="00C31013" w:rsidDel="002D2BEF" w:rsidRDefault="009139DE" w:rsidP="00AA6B9B">
      <w:pPr>
        <w:pStyle w:val="FootnoteText"/>
        <w:rPr>
          <w:lang w:val="en-US"/>
        </w:rPr>
      </w:pPr>
      <w:r>
        <w:rPr>
          <w:rStyle w:val="FootnoteReference0"/>
        </w:rPr>
        <w:footnoteRef/>
      </w:r>
      <w:r w:rsidRPr="00C31013">
        <w:rPr>
          <w:lang w:val="en-US"/>
        </w:rPr>
        <w:tab/>
      </w:r>
      <w:hyperlink r:id="rId7" w:history="1">
        <w:r w:rsidRPr="00C31013">
          <w:rPr>
            <w:rStyle w:val="Hyperlink"/>
            <w:lang w:val="en-US"/>
          </w:rPr>
          <w:t>21252030 Agenda for Sustainable Development web.pdf (un.org)</w:t>
        </w:r>
      </w:hyperlink>
    </w:p>
  </w:footnote>
  <w:footnote w:id="16">
    <w:p w14:paraId="0E31DF29" w14:textId="77777777" w:rsidR="009139DE" w:rsidRPr="009139DE" w:rsidDel="002D2BEF" w:rsidRDefault="009139DE" w:rsidP="00AA6B9B">
      <w:pPr>
        <w:pStyle w:val="FootnoteText"/>
      </w:pPr>
      <w:r>
        <w:rPr>
          <w:rStyle w:val="FootnoteReference0"/>
        </w:rPr>
        <w:footnoteRef/>
      </w:r>
      <w:r w:rsidRPr="009139DE">
        <w:tab/>
      </w:r>
      <w:hyperlink r:id="rId8" w:history="1">
        <w:r w:rsidRPr="009139DE">
          <w:rPr>
            <w:rStyle w:val="Hyperlink"/>
          </w:rPr>
          <w:t>pdf (europa.eu)</w:t>
        </w:r>
      </w:hyperlink>
    </w:p>
  </w:footnote>
  <w:footnote w:id="17">
    <w:p w14:paraId="2A4AE0EB" w14:textId="77777777" w:rsidR="009139DE" w:rsidRPr="009139DE" w:rsidDel="002D2BEF" w:rsidRDefault="009139DE" w:rsidP="00AA6B9B">
      <w:pPr>
        <w:pStyle w:val="FootnoteText"/>
      </w:pPr>
      <w:r>
        <w:rPr>
          <w:rStyle w:val="FootnoteReference0"/>
        </w:rPr>
        <w:footnoteRef/>
      </w:r>
      <w:r w:rsidRPr="009139DE">
        <w:tab/>
      </w:r>
      <w:hyperlink r:id="rId9" w:history="1">
        <w:r w:rsidRPr="009139DE">
          <w:rPr>
            <w:rStyle w:val="Hyperlink"/>
          </w:rPr>
          <w:t>Antagna texter – En förstärkt ungdomsgaranti – torsdagen den 8 oktober 2020 (europa.eu)</w:t>
        </w:r>
      </w:hyperlink>
    </w:p>
  </w:footnote>
  <w:footnote w:id="18">
    <w:p w14:paraId="15A3539E" w14:textId="77777777" w:rsidR="009139DE" w:rsidRPr="009139DE" w:rsidDel="002D2BEF" w:rsidRDefault="009139DE" w:rsidP="00AA6B9B">
      <w:pPr>
        <w:pStyle w:val="FootnoteText"/>
      </w:pPr>
      <w:r>
        <w:rPr>
          <w:rStyle w:val="FootnoteReference0"/>
        </w:rPr>
        <w:footnoteRef/>
      </w:r>
      <w:r w:rsidRPr="009139DE">
        <w:tab/>
      </w:r>
      <w:hyperlink r:id="rId10" w:history="1">
        <w:r w:rsidRPr="009139DE">
          <w:rPr>
            <w:rStyle w:val="Hyperlink"/>
          </w:rPr>
          <w:t>pdf (europa.eu)</w:t>
        </w:r>
      </w:hyperlink>
      <w:r w:rsidRPr="009139DE">
        <w:t xml:space="preserve"> </w:t>
      </w:r>
    </w:p>
  </w:footnote>
  <w:footnote w:id="19">
    <w:p w14:paraId="35CB8960" w14:textId="77777777" w:rsidR="009139DE" w:rsidRPr="009139DE" w:rsidDel="002D2BEF" w:rsidRDefault="009139DE" w:rsidP="00AA6B9B">
      <w:pPr>
        <w:pStyle w:val="FootnoteText"/>
      </w:pPr>
      <w:r>
        <w:rPr>
          <w:rStyle w:val="FootnoteReference0"/>
        </w:rPr>
        <w:footnoteRef/>
      </w:r>
      <w:r w:rsidRPr="009139DE">
        <w:tab/>
      </w:r>
      <w:hyperlink r:id="rId11" w:history="1">
        <w:r w:rsidRPr="009139DE">
          <w:rPr>
            <w:rStyle w:val="Hyperlink"/>
          </w:rPr>
          <w:t>Antagna texter – Hur covid-19 påverkar ungdomar och idrott – onsdagen den 10 februari 2021 (europa.eu)</w:t>
        </w:r>
      </w:hyperlink>
    </w:p>
  </w:footnote>
  <w:footnote w:id="20">
    <w:p w14:paraId="5C61EB75" w14:textId="77777777" w:rsidR="009139DE" w:rsidRPr="009139DE" w:rsidDel="002D2BEF" w:rsidRDefault="009139DE" w:rsidP="00AA6B9B">
      <w:pPr>
        <w:pStyle w:val="FootnoteText"/>
      </w:pPr>
      <w:r>
        <w:rPr>
          <w:rStyle w:val="FootnoteReference0"/>
        </w:rPr>
        <w:footnoteRef/>
      </w:r>
      <w:r w:rsidRPr="009139DE">
        <w:tab/>
      </w:r>
      <w:hyperlink r:id="rId12" w:history="1">
        <w:r w:rsidRPr="009139DE">
          <w:rPr>
            <w:rStyle w:val="Hyperlink"/>
          </w:rPr>
          <w:t>https://eur-lex.europa.eu/legal-content/SV/TXT/PDF/?uri=CELEX:42020Y1201(01)&amp;qid=1634487158679&amp;from=EN</w:t>
        </w:r>
      </w:hyperlink>
      <w:r w:rsidRPr="009139DE">
        <w:t xml:space="preserve"> </w:t>
      </w:r>
    </w:p>
  </w:footnote>
  <w:footnote w:id="21">
    <w:p w14:paraId="3392E190" w14:textId="77777777" w:rsidR="009139DE" w:rsidRPr="009139DE" w:rsidDel="002D2BEF" w:rsidRDefault="009139DE" w:rsidP="00AA6B9B">
      <w:pPr>
        <w:pStyle w:val="FootnoteText"/>
      </w:pPr>
      <w:r>
        <w:rPr>
          <w:rStyle w:val="FootnoteReference0"/>
        </w:rPr>
        <w:footnoteRef/>
      </w:r>
      <w:r w:rsidRPr="009139DE">
        <w:tab/>
      </w:r>
      <w:hyperlink r:id="rId13" w:history="1">
        <w:r w:rsidRPr="009139DE">
          <w:rPr>
            <w:rStyle w:val="Hyperlink"/>
          </w:rPr>
          <w:t>pdf (europa.eu)</w:t>
        </w:r>
      </w:hyperlink>
      <w:r w:rsidRPr="009139DE">
        <w:t xml:space="preserve"> </w:t>
      </w:r>
    </w:p>
  </w:footnote>
  <w:footnote w:id="22">
    <w:p w14:paraId="24E42708" w14:textId="77777777" w:rsidR="009139DE" w:rsidRPr="009139DE" w:rsidDel="002D2BEF" w:rsidRDefault="009139DE" w:rsidP="00AA6B9B">
      <w:pPr>
        <w:pStyle w:val="FootnoteText"/>
      </w:pPr>
      <w:r>
        <w:rPr>
          <w:rStyle w:val="FootnoteReference0"/>
        </w:rPr>
        <w:footnoteRef/>
      </w:r>
      <w:r w:rsidRPr="009139DE">
        <w:tab/>
      </w:r>
      <w:hyperlink r:id="rId14" w:history="1">
        <w:r w:rsidRPr="009139DE">
          <w:rPr>
            <w:rStyle w:val="Hyperlink"/>
          </w:rPr>
          <w:t>Slutsatser från rådet och företrädarna för medlemsstaternas regeringar, församlade i rådet, om digitalt ungdomsarbete 2019/C 414/02 – EU:s publikationsbyrå (europa.eu)</w:t>
        </w:r>
      </w:hyperlink>
      <w:r w:rsidRPr="009139DE">
        <w:t xml:space="preserve"> </w:t>
      </w:r>
    </w:p>
  </w:footnote>
  <w:footnote w:id="23">
    <w:p w14:paraId="5FBA2FF3" w14:textId="77777777" w:rsidR="009139DE" w:rsidRPr="009139DE" w:rsidDel="002D2BEF" w:rsidRDefault="009139DE" w:rsidP="00AA6B9B">
      <w:pPr>
        <w:pStyle w:val="FootnoteText"/>
      </w:pPr>
      <w:r>
        <w:rPr>
          <w:rStyle w:val="FootnoteReference0"/>
        </w:rPr>
        <w:footnoteRef/>
      </w:r>
      <w:r w:rsidRPr="009139DE">
        <w:tab/>
      </w:r>
      <w:hyperlink r:id="rId15" w:history="1">
        <w:r w:rsidRPr="009139DE">
          <w:rPr>
            <w:rStyle w:val="Hyperlink"/>
          </w:rPr>
          <w:t>Rådets slutsatser om smart ungdomsarbete (europa.eu)</w:t>
        </w:r>
      </w:hyperlink>
      <w:r w:rsidRPr="009139DE">
        <w:t xml:space="preserve"> </w:t>
      </w:r>
    </w:p>
  </w:footnote>
  <w:footnote w:id="24">
    <w:p w14:paraId="04CE7983" w14:textId="77777777" w:rsidR="009139DE" w:rsidRPr="009139DE" w:rsidDel="002D2BEF" w:rsidRDefault="009139DE" w:rsidP="00AA6B9B">
      <w:pPr>
        <w:pStyle w:val="FootnoteText"/>
      </w:pPr>
      <w:r>
        <w:rPr>
          <w:rStyle w:val="FootnoteReference0"/>
        </w:rPr>
        <w:footnoteRef/>
      </w:r>
      <w:r w:rsidRPr="009139DE">
        <w:tab/>
      </w:r>
      <w:hyperlink r:id="rId16" w:history="1">
        <w:r w:rsidRPr="009139DE">
          <w:rPr>
            <w:rStyle w:val="Hyperlink"/>
          </w:rPr>
          <w:t>Parisavtalet |</w:t>
        </w:r>
      </w:hyperlink>
      <w:r w:rsidRPr="009139DE">
        <w:t xml:space="preserve"> (inte översatt till svenska)</w:t>
      </w:r>
      <w:hyperlink r:id="rId17" w:history="1">
        <w:r w:rsidRPr="009139DE">
          <w:rPr>
            <w:rStyle w:val="Hyperlink"/>
          </w:rPr>
          <w:t xml:space="preserve"> Climate Action (europa.eu)</w:t>
        </w:r>
      </w:hyperlink>
      <w:r w:rsidRPr="009139DE">
        <w:t xml:space="preserve"> </w:t>
      </w:r>
    </w:p>
  </w:footnote>
  <w:footnote w:id="25">
    <w:p w14:paraId="00185037" w14:textId="77777777" w:rsidR="009139DE" w:rsidRPr="009139DE" w:rsidDel="002D2BEF" w:rsidRDefault="009139DE" w:rsidP="00AA6B9B">
      <w:pPr>
        <w:pStyle w:val="FootnoteText"/>
      </w:pPr>
      <w:r>
        <w:rPr>
          <w:rStyle w:val="FootnoteReference0"/>
        </w:rPr>
        <w:footnoteRef/>
      </w:r>
      <w:r w:rsidRPr="009139DE">
        <w:tab/>
      </w:r>
      <w:hyperlink r:id="rId18" w:history="1">
        <w:r w:rsidRPr="009139DE">
          <w:rPr>
            <w:rStyle w:val="Hyperlink"/>
          </w:rPr>
          <w:t>EU:s gröna giv |</w:t>
        </w:r>
      </w:hyperlink>
      <w:hyperlink r:id="rId19" w:history="1">
        <w:r w:rsidRPr="009139DE">
          <w:rPr>
            <w:rStyle w:val="Hyperlink"/>
          </w:rPr>
          <w:t>Europeiska kommissionen (europa.eu)</w:t>
        </w:r>
      </w:hyperlink>
      <w:r w:rsidRPr="009139DE">
        <w:t>.</w:t>
      </w:r>
    </w:p>
  </w:footnote>
  <w:footnote w:id="26">
    <w:p w14:paraId="3FC9F53E" w14:textId="77777777" w:rsidR="009139DE" w:rsidRPr="009139DE" w:rsidDel="002D2BEF" w:rsidRDefault="009139DE" w:rsidP="00AA6B9B">
      <w:pPr>
        <w:pStyle w:val="FootnoteText"/>
      </w:pPr>
      <w:r>
        <w:rPr>
          <w:rStyle w:val="FootnoteReference0"/>
        </w:rPr>
        <w:footnoteRef/>
      </w:r>
      <w:r w:rsidRPr="009139DE">
        <w:tab/>
      </w:r>
      <w:hyperlink r:id="rId20" w:anchor=":~:text=The%20Fit%20for%2055%20package%20is%20a%20set,agreed%20by%20the%20Council%20and%20the%20European%20Parliament." w:history="1">
        <w:r w:rsidRPr="009139DE">
          <w:rPr>
            <w:rStyle w:val="Hyperlink"/>
          </w:rPr>
          <w:t>EU:s planer för en grön omställning – Consilium (europa.eu)</w:t>
        </w:r>
      </w:hyperlink>
      <w:r w:rsidRPr="009139DE">
        <w:t xml:space="preserve"> </w:t>
      </w:r>
    </w:p>
  </w:footnote>
  <w:footnote w:id="27">
    <w:p w14:paraId="41D22C42" w14:textId="77777777" w:rsidR="009139DE" w:rsidRPr="009139DE" w:rsidDel="002D2BEF" w:rsidRDefault="009139DE" w:rsidP="00AA6B9B">
      <w:pPr>
        <w:pStyle w:val="FootnoteText"/>
      </w:pPr>
      <w:r>
        <w:rPr>
          <w:rStyle w:val="FootnoteReference0"/>
        </w:rPr>
        <w:footnoteRef/>
      </w:r>
      <w:r w:rsidRPr="009139DE">
        <w:tab/>
      </w:r>
      <w:hyperlink r:id="rId21" w:history="1">
        <w:r w:rsidRPr="009139DE">
          <w:rPr>
            <w:rStyle w:val="Hyperlink"/>
          </w:rPr>
          <w:t>Antagna texter – Effektiva åtgärder för att göra Erasmus+, Kreativa Europa och Europeiska solidaritetskåren grönare – tisdagen den 15 september 2020 (europa.eu)</w:t>
        </w:r>
      </w:hyperlink>
    </w:p>
  </w:footnote>
  <w:footnote w:id="28">
    <w:p w14:paraId="36F8B432" w14:textId="77777777" w:rsidR="009139DE" w:rsidRPr="009139DE" w:rsidDel="002D2BEF" w:rsidRDefault="009139DE" w:rsidP="00AA6B9B">
      <w:pPr>
        <w:pStyle w:val="FootnoteText"/>
      </w:pPr>
      <w:r>
        <w:rPr>
          <w:rStyle w:val="FootnoteReference0"/>
        </w:rPr>
        <w:footnoteRef/>
      </w:r>
      <w:r w:rsidRPr="009139DE">
        <w:tab/>
      </w:r>
      <w:hyperlink r:id="rId22" w:history="1">
        <w:r w:rsidRPr="009139DE">
          <w:rPr>
            <w:rStyle w:val="Hyperlink"/>
          </w:rPr>
          <w:t>text_sv.pdf (europa.eu)</w:t>
        </w:r>
      </w:hyperlink>
    </w:p>
  </w:footnote>
  <w:footnote w:id="29">
    <w:p w14:paraId="2FE5F759" w14:textId="67A2B4AD" w:rsidR="009139DE" w:rsidRPr="009139DE" w:rsidRDefault="009139DE">
      <w:pPr>
        <w:pStyle w:val="FootnoteText"/>
      </w:pPr>
      <w:r>
        <w:rPr>
          <w:rStyle w:val="FootnoteReference0"/>
        </w:rPr>
        <w:footnoteRef/>
      </w:r>
      <w:r w:rsidRPr="009139DE">
        <w:tab/>
        <w:t>COM(2021) 142 final.</w:t>
      </w:r>
    </w:p>
  </w:footnote>
  <w:footnote w:id="30">
    <w:p w14:paraId="6A9272AB" w14:textId="0743C593" w:rsidR="009139DE" w:rsidRPr="009139DE" w:rsidRDefault="009139DE">
      <w:pPr>
        <w:pStyle w:val="FootnoteText"/>
      </w:pPr>
      <w:r>
        <w:rPr>
          <w:rStyle w:val="FootnoteReference0"/>
        </w:rPr>
        <w:footnoteRef/>
      </w:r>
      <w:r w:rsidRPr="009139DE">
        <w:tab/>
        <w:t xml:space="preserve">Rådets rekommendation (EU) 2021/1004 av den 14 juni 2021 </w:t>
      </w:r>
    </w:p>
  </w:footnote>
  <w:footnote w:id="31">
    <w:p w14:paraId="09AC7897" w14:textId="104CE350" w:rsidR="009139DE" w:rsidRPr="009139DE" w:rsidRDefault="009139DE" w:rsidP="00252FB9">
      <w:pPr>
        <w:pStyle w:val="FootnoteText"/>
        <w:rPr>
          <w:szCs w:val="24"/>
        </w:rPr>
      </w:pPr>
      <w:r w:rsidRPr="00C31013">
        <w:rPr>
          <w:rStyle w:val="FootnoteReference0"/>
        </w:rPr>
        <w:footnoteRef/>
      </w:r>
      <w:r w:rsidR="00C31013">
        <w:tab/>
      </w:r>
      <w:r w:rsidRPr="009139DE">
        <w:t>I den mening som avses i artikel 58.2 a och b i budgetförordningen.</w:t>
      </w:r>
    </w:p>
  </w:footnote>
  <w:footnote w:id="32">
    <w:p w14:paraId="389AFD44" w14:textId="77777777" w:rsidR="009139DE" w:rsidRPr="009139DE" w:rsidRDefault="009139DE" w:rsidP="00252FB9">
      <w:pPr>
        <w:pStyle w:val="FootnoteText"/>
        <w:jc w:val="left"/>
        <w:rPr>
          <w:szCs w:val="24"/>
        </w:rPr>
      </w:pPr>
      <w:r>
        <w:rPr>
          <w:rStyle w:val="FootnoteReference0"/>
        </w:rPr>
        <w:footnoteRef/>
      </w:r>
      <w:r w:rsidRPr="009139DE">
        <w:tab/>
        <w:t xml:space="preserve">Närmare förklaringar av de olika metoderna för genomförande med hänvisningar till respektive bestämmelser i budgetförordningen återfinns på BudgWeb: </w:t>
      </w:r>
      <w:hyperlink r:id="rId23" w:history="1">
        <w:r w:rsidRPr="009139DE">
          <w:rPr>
            <w:rStyle w:val="Hyperlink"/>
          </w:rPr>
          <w:t>https://myintracomm.ec.europa.eu/budgweb/SV/man/budgmanag/Pages/budgmanag.aspx.</w:t>
        </w:r>
      </w:hyperlink>
      <w:r w:rsidRPr="009139DE">
        <w:t xml:space="preserve"> </w:t>
      </w:r>
    </w:p>
  </w:footnote>
  <w:footnote w:id="33">
    <w:p w14:paraId="2CF2ED53" w14:textId="77777777" w:rsidR="009139DE" w:rsidRPr="009139DE" w:rsidRDefault="009139DE" w:rsidP="00252FB9">
      <w:pPr>
        <w:pStyle w:val="FootnoteText"/>
        <w:rPr>
          <w:szCs w:val="24"/>
        </w:rPr>
      </w:pPr>
      <w:r>
        <w:rPr>
          <w:rStyle w:val="FootnoteReference0"/>
        </w:rPr>
        <w:footnoteRef/>
      </w:r>
      <w:r w:rsidRPr="009139DE">
        <w:tab/>
        <w:t>Diff. = differentierade anslag/Icke-diff. = icke-differentierade anslag.</w:t>
      </w:r>
    </w:p>
  </w:footnote>
  <w:footnote w:id="34">
    <w:p w14:paraId="7E8757E6" w14:textId="0BC118B4" w:rsidR="009139DE" w:rsidRPr="009139DE" w:rsidRDefault="009139DE" w:rsidP="00252FB9">
      <w:pPr>
        <w:pStyle w:val="FootnoteText"/>
        <w:rPr>
          <w:szCs w:val="24"/>
        </w:rPr>
      </w:pPr>
      <w:r w:rsidRPr="00C31013">
        <w:rPr>
          <w:rStyle w:val="FootnoteReference0"/>
        </w:rPr>
        <w:footnoteRef/>
      </w:r>
      <w:r w:rsidR="00C31013">
        <w:tab/>
      </w:r>
      <w:r w:rsidRPr="009139DE">
        <w:t xml:space="preserve">Efta: Europeiska frihandelssammanslutningen. </w:t>
      </w:r>
    </w:p>
  </w:footnote>
  <w:footnote w:id="35">
    <w:p w14:paraId="29440F16" w14:textId="77777777" w:rsidR="009139DE" w:rsidRPr="009139DE" w:rsidRDefault="009139DE" w:rsidP="00252FB9">
      <w:pPr>
        <w:pStyle w:val="FootnoteText"/>
        <w:rPr>
          <w:szCs w:val="24"/>
        </w:rPr>
      </w:pPr>
      <w:r>
        <w:rPr>
          <w:rStyle w:val="FootnoteReference0"/>
        </w:rPr>
        <w:footnoteRef/>
      </w:r>
      <w:r w:rsidRPr="009139DE">
        <w:tab/>
        <w:t>Kandidatländer och i förekommande fall potentiella kandidatländer i västra Balkan.</w:t>
      </w:r>
    </w:p>
  </w:footnote>
  <w:footnote w:id="36">
    <w:p w14:paraId="330394A3" w14:textId="77777777" w:rsidR="009139DE" w:rsidRPr="009139DE" w:rsidRDefault="009139DE" w:rsidP="00252FB9">
      <w:pPr>
        <w:pStyle w:val="FootnoteText"/>
        <w:rPr>
          <w:szCs w:val="24"/>
        </w:rPr>
      </w:pPr>
      <w:r>
        <w:rPr>
          <w:rStyle w:val="FootnoteReference0"/>
        </w:rPr>
        <w:footnoteRef/>
      </w:r>
      <w:r w:rsidRPr="009139DE">
        <w:tab/>
      </w:r>
      <w:r w:rsidRPr="009139DE">
        <w:rPr>
          <w:sz w:val="18"/>
          <w:szCs w:val="18"/>
        </w:rPr>
        <w:t>Med år n avses det år då förslaget eller initiativet ska börja genomföras. Ersätt ”n” med det förväntade första genomförandeåret (till exempel 2021). Detsamma gäller för efterföljande år.</w:t>
      </w:r>
    </w:p>
  </w:footnote>
  <w:footnote w:id="37">
    <w:p w14:paraId="2B69FC4B" w14:textId="77777777" w:rsidR="009139DE" w:rsidRPr="009139DE" w:rsidRDefault="009139DE" w:rsidP="00252FB9">
      <w:pPr>
        <w:pStyle w:val="FootnoteText"/>
        <w:rPr>
          <w:szCs w:val="24"/>
        </w:rPr>
      </w:pPr>
      <w:r>
        <w:rPr>
          <w:rStyle w:val="FootnoteReference0"/>
        </w:rPr>
        <w:footnoteRef/>
      </w:r>
      <w:r w:rsidRPr="009139DE">
        <w:tab/>
        <w:t>Output som ska anges är de produkter eller tjänster som levererats (t.ex. antal studentutbyten som har finansierats eller antal kilometer väg som har byggts osv.).</w:t>
      </w:r>
    </w:p>
  </w:footnote>
  <w:footnote w:id="38">
    <w:p w14:paraId="1C00A33D" w14:textId="77777777" w:rsidR="009139DE" w:rsidRPr="009139DE" w:rsidRDefault="009139DE" w:rsidP="00252FB9">
      <w:pPr>
        <w:pStyle w:val="FootnoteText"/>
        <w:rPr>
          <w:szCs w:val="24"/>
        </w:rPr>
      </w:pPr>
      <w:r>
        <w:rPr>
          <w:rStyle w:val="FootnoteReference0"/>
        </w:rPr>
        <w:footnoteRef/>
      </w:r>
      <w:r w:rsidRPr="009139DE">
        <w:tab/>
        <w:t xml:space="preserve">Mål som redovisats under punkt 1.4.2: ”Specifikt/specifika mål…”. </w:t>
      </w:r>
    </w:p>
  </w:footnote>
  <w:footnote w:id="39">
    <w:p w14:paraId="5F831467" w14:textId="77777777" w:rsidR="009139DE" w:rsidRPr="009139DE" w:rsidRDefault="009139DE" w:rsidP="00252FB9">
      <w:pPr>
        <w:pStyle w:val="FootnoteText"/>
        <w:rPr>
          <w:sz w:val="18"/>
          <w:szCs w:val="18"/>
        </w:rPr>
      </w:pPr>
      <w:r>
        <w:rPr>
          <w:rStyle w:val="FootnoteReference0"/>
        </w:rPr>
        <w:footnoteRef/>
      </w:r>
      <w:r w:rsidRPr="009139DE">
        <w:tab/>
      </w:r>
      <w:r w:rsidRPr="009139DE">
        <w:rPr>
          <w:sz w:val="18"/>
          <w:szCs w:val="18"/>
        </w:rPr>
        <w:t>Med år n avses det år då förslaget eller initiativet ska börja genomföras. Ersätt ”n” med det förväntade första genomförandeåret (till exempel 2021). Detsamma gäller för efterföljande år.</w:t>
      </w:r>
    </w:p>
  </w:footnote>
  <w:footnote w:id="40">
    <w:p w14:paraId="42B2AAEE" w14:textId="77777777" w:rsidR="009139DE" w:rsidRPr="009139DE" w:rsidRDefault="009139DE" w:rsidP="00252FB9">
      <w:pPr>
        <w:pStyle w:val="FootnoteText"/>
        <w:rPr>
          <w:szCs w:val="24"/>
        </w:rPr>
      </w:pPr>
      <w:r>
        <w:rPr>
          <w:rStyle w:val="FootnoteReference0"/>
        </w:rPr>
        <w:footnoteRef/>
      </w:r>
      <w:r w:rsidRPr="009139DE">
        <w:tab/>
      </w:r>
      <w:r w:rsidRPr="009139DE">
        <w:rPr>
          <w:sz w:val="18"/>
          <w:szCs w:val="18"/>
        </w:rPr>
        <w:t>Detta avser tekniskt eller administrativt stöd för genomförandet av vissa av Europeiska unionens program och åtgärder (tidigare s.k. BA-poster) samt indirekta och direkta forskningsåtgärder.</w:t>
      </w:r>
    </w:p>
  </w:footnote>
  <w:footnote w:id="41">
    <w:p w14:paraId="5B543B6F" w14:textId="09DD6312" w:rsidR="009139DE" w:rsidRPr="009139DE" w:rsidRDefault="009139DE" w:rsidP="00252FB9">
      <w:pPr>
        <w:pStyle w:val="FootnoteText"/>
        <w:rPr>
          <w:szCs w:val="24"/>
        </w:rPr>
      </w:pPr>
      <w:r w:rsidRPr="00C31013">
        <w:rPr>
          <w:rStyle w:val="FootnoteReference0"/>
        </w:rPr>
        <w:footnoteRef/>
      </w:r>
      <w:r w:rsidR="00C31013">
        <w:tab/>
      </w:r>
      <w:r w:rsidRPr="009139DE">
        <w:t xml:space="preserve">[Denna fotnot förklarar vissa initialförkortningar som inte används i den svenska versionen]. </w:t>
      </w:r>
    </w:p>
  </w:footnote>
  <w:footnote w:id="42">
    <w:p w14:paraId="4978FC66" w14:textId="77777777" w:rsidR="009139DE" w:rsidRPr="009139DE" w:rsidRDefault="009139DE" w:rsidP="00252FB9">
      <w:pPr>
        <w:pStyle w:val="FootnoteText"/>
        <w:rPr>
          <w:szCs w:val="24"/>
        </w:rPr>
      </w:pPr>
      <w:r>
        <w:rPr>
          <w:rStyle w:val="FootnoteReference0"/>
        </w:rPr>
        <w:footnoteRef/>
      </w:r>
      <w:r w:rsidRPr="009139DE">
        <w:tab/>
        <w:t>Särskilt tak för finansiering av extern personal genom driftsanslag (tidigare s.k. BA-poster).</w:t>
      </w:r>
    </w:p>
  </w:footnote>
  <w:footnote w:id="43">
    <w:p w14:paraId="41779E2F" w14:textId="77777777" w:rsidR="009139DE" w:rsidRPr="009139DE" w:rsidRDefault="009139DE" w:rsidP="00252FB9">
      <w:pPr>
        <w:pStyle w:val="FootnoteText"/>
      </w:pPr>
      <w:r>
        <w:rPr>
          <w:rStyle w:val="FootnoteReference0"/>
        </w:rPr>
        <w:footnoteRef/>
      </w:r>
      <w:r w:rsidRPr="009139DE">
        <w:tab/>
        <w:t>Med år n avses det år då förslaget eller initiativet ska börja genomföras. Ersätt ”n” med det förväntade första genomförandeåret (till exempel 2021). Detsamma gäller för efterföljande år.</w:t>
      </w:r>
    </w:p>
  </w:footnote>
  <w:footnote w:id="44">
    <w:p w14:paraId="24FC55B4" w14:textId="77777777" w:rsidR="009139DE" w:rsidRPr="009139DE" w:rsidRDefault="009139DE" w:rsidP="00252FB9">
      <w:pPr>
        <w:pStyle w:val="FootnoteText"/>
        <w:rPr>
          <w:szCs w:val="24"/>
        </w:rPr>
      </w:pPr>
      <w:r>
        <w:rPr>
          <w:rStyle w:val="FootnoteReference0"/>
        </w:rPr>
        <w:footnoteRef/>
      </w:r>
      <w:r w:rsidRPr="009139DE">
        <w:tab/>
        <w:t>Vad gäller traditionella egna medel (tullar, sockeravgifter) ska nettobeloppen anges, dvs. bruttobeloppen minus 20 % avdrag för uppbördskostnader.</w:t>
      </w:r>
    </w:p>
  </w:footnote>
  <w:footnote w:id="45">
    <w:p w14:paraId="0C913BAF" w14:textId="0D2E6D6D" w:rsidR="009139DE" w:rsidRPr="009139DE" w:rsidRDefault="009139DE" w:rsidP="00252FB9">
      <w:pPr>
        <w:pStyle w:val="FootnoteText"/>
        <w:spacing w:after="120"/>
      </w:pPr>
      <w:r w:rsidRPr="00C31013">
        <w:rPr>
          <w:rStyle w:val="FootnoteReference0"/>
        </w:rPr>
        <w:footnoteRef/>
      </w:r>
      <w:r w:rsidR="00C31013">
        <w:tab/>
      </w:r>
      <w:r w:rsidRPr="009139DE">
        <w:t>[Denna fotnot</w:t>
      </w:r>
      <w:r w:rsidRPr="009139DE">
        <w:rPr>
          <w:sz w:val="18"/>
          <w:szCs w:val="18"/>
        </w:rPr>
        <w:t xml:space="preserve"> förklarar vissa initialförkortningar som inte används i den svenska versionen].</w:t>
      </w:r>
    </w:p>
  </w:footnote>
  <w:footnote w:id="46">
    <w:p w14:paraId="3AAB60EC" w14:textId="78E1EDD7" w:rsidR="009139DE" w:rsidRPr="009139DE" w:rsidRDefault="009139DE" w:rsidP="00252FB9">
      <w:pPr>
        <w:pStyle w:val="FootnoteText"/>
      </w:pPr>
      <w:r>
        <w:rPr>
          <w:rStyle w:val="FootnoteReference0"/>
        </w:rPr>
        <w:footnoteRef/>
      </w:r>
      <w:r w:rsidRPr="009139DE">
        <w:tab/>
      </w:r>
      <w:r w:rsidRPr="009139DE">
        <w:rPr>
          <w:sz w:val="18"/>
          <w:szCs w:val="18"/>
        </w:rPr>
        <w:t>Ange relevant budgetpost eller specificera en annan vid behov. Om flera budgetposter berörs bör personalen differentieras för varje budgetpost som berörs.</w:t>
      </w:r>
    </w:p>
  </w:footnote>
  <w:footnote w:id="47">
    <w:p w14:paraId="5BB207FD" w14:textId="4928B7CD" w:rsidR="009139DE" w:rsidRPr="009139DE" w:rsidRDefault="009139DE" w:rsidP="00252FB9">
      <w:pPr>
        <w:pStyle w:val="FootnoteText"/>
        <w:spacing w:after="120"/>
      </w:pPr>
      <w:r w:rsidRPr="00C31013">
        <w:rPr>
          <w:rStyle w:val="FootnoteReference0"/>
        </w:rPr>
        <w:footnoteRef/>
      </w:r>
      <w:r w:rsidR="00C31013">
        <w:tab/>
      </w:r>
      <w:r w:rsidRPr="009139DE">
        <w:t>[Denna fotnot</w:t>
      </w:r>
      <w:r w:rsidRPr="009139DE">
        <w:rPr>
          <w:sz w:val="18"/>
          <w:szCs w:val="18"/>
        </w:rPr>
        <w:t xml:space="preserve"> förklarar vissa initialförkortningar som inte används i den svenska versionen].</w:t>
      </w:r>
    </w:p>
  </w:footnote>
  <w:footnote w:id="48">
    <w:p w14:paraId="57E94EF9" w14:textId="5F086A56" w:rsidR="009139DE" w:rsidRPr="009139DE" w:rsidRDefault="009139DE" w:rsidP="00252FB9">
      <w:pPr>
        <w:pStyle w:val="FootnoteText"/>
      </w:pPr>
      <w:r>
        <w:rPr>
          <w:rStyle w:val="FootnoteReference0"/>
        </w:rPr>
        <w:footnoteRef/>
      </w:r>
      <w:r w:rsidRPr="009139DE">
        <w:tab/>
      </w:r>
      <w:r w:rsidRPr="009139DE">
        <w:rPr>
          <w:sz w:val="18"/>
          <w:szCs w:val="18"/>
        </w:rPr>
        <w:t>Ange relevant budgetpost eller specificera en annan vid behov. Om flera budgetposter berörs bör personalen differentieras för varje budgetpost som berörs.</w:t>
      </w:r>
    </w:p>
  </w:footnote>
  <w:footnote w:id="49">
    <w:p w14:paraId="2C878D09" w14:textId="3276D638" w:rsidR="009139DE" w:rsidRPr="009139DE" w:rsidRDefault="009139DE" w:rsidP="00252FB9">
      <w:pPr>
        <w:pStyle w:val="FootnoteText"/>
      </w:pPr>
      <w:r>
        <w:rPr>
          <w:rStyle w:val="FootnoteReference0"/>
        </w:rPr>
        <w:footnoteRef/>
      </w:r>
      <w:r w:rsidRPr="009139DE">
        <w:tab/>
      </w:r>
      <w:r w:rsidRPr="009139DE">
        <w:rPr>
          <w:sz w:val="18"/>
          <w:szCs w:val="18"/>
        </w:rPr>
        <w:t>Ange typen av kommitté och vilken grupp den tillhör.</w:t>
      </w:r>
    </w:p>
  </w:footnote>
  <w:footnote w:id="50">
    <w:p w14:paraId="673A5F4B" w14:textId="1E654796" w:rsidR="009139DE" w:rsidRPr="00C31013" w:rsidRDefault="009139DE" w:rsidP="00252FB9">
      <w:pPr>
        <w:pStyle w:val="FootnoteText"/>
        <w:rPr>
          <w:lang w:val="en-US"/>
        </w:rPr>
      </w:pPr>
      <w:r>
        <w:rPr>
          <w:rStyle w:val="FootnoteReference0"/>
        </w:rPr>
        <w:footnoteRef/>
      </w:r>
      <w:r w:rsidRPr="00C31013">
        <w:rPr>
          <w:lang w:val="en-US"/>
        </w:rPr>
        <w:tab/>
      </w:r>
      <w:r w:rsidRPr="00C31013">
        <w:rPr>
          <w:sz w:val="18"/>
          <w:szCs w:val="18"/>
          <w:lang w:val="en-US"/>
        </w:rPr>
        <w:t>Yttrande från GD DIGIT – IT Investments Team is required (se Guidelines on Financing of IT, C(2020)6126 final, 10.9.2020, s. 7)</w:t>
      </w:r>
    </w:p>
  </w:footnote>
  <w:footnote w:id="51">
    <w:p w14:paraId="4566B5F5" w14:textId="4BB6B258" w:rsidR="009139DE" w:rsidRPr="009139DE" w:rsidRDefault="009139DE" w:rsidP="00252FB9">
      <w:pPr>
        <w:pStyle w:val="FootnoteText"/>
      </w:pPr>
      <w:r>
        <w:rPr>
          <w:rStyle w:val="FootnoteReference0"/>
        </w:rPr>
        <w:footnoteRef/>
      </w:r>
      <w:r w:rsidRPr="009139DE">
        <w:tab/>
      </w:r>
      <w:r w:rsidRPr="009139DE">
        <w:rPr>
          <w:sz w:val="18"/>
          <w:szCs w:val="18"/>
        </w:rPr>
        <w:t>Med år n avses det år då förslaget eller initiativet ska börja genomföras. Ersätt ”n” med det förväntade första genomförandeåret (till exempel 2021). Detsamma gäller för efterföljande år.</w:t>
      </w:r>
    </w:p>
  </w:footnote>
  <w:footnote w:id="52">
    <w:p w14:paraId="105F5F8F" w14:textId="71B64AAC" w:rsidR="009139DE" w:rsidRPr="00C31013" w:rsidRDefault="009139DE" w:rsidP="00252FB9">
      <w:pPr>
        <w:pStyle w:val="FootnoteText"/>
        <w:rPr>
          <w:lang w:val="en-US"/>
        </w:rPr>
      </w:pPr>
      <w:r>
        <w:rPr>
          <w:rStyle w:val="FootnoteReference0"/>
        </w:rPr>
        <w:footnoteRef/>
      </w:r>
      <w:r w:rsidRPr="00C31013">
        <w:rPr>
          <w:lang w:val="en-US"/>
        </w:rPr>
        <w:tab/>
      </w:r>
      <w:r w:rsidRPr="00C31013">
        <w:rPr>
          <w:sz w:val="18"/>
          <w:szCs w:val="18"/>
          <w:lang w:val="en-US"/>
        </w:rPr>
        <w:t>Yttrande från GD DIGIT – IT Investments Team is required (se Guidelines on Financing of IT, C(2020)6126 final, 10.9.2020, s. 7)</w:t>
      </w:r>
    </w:p>
  </w:footnote>
  <w:footnote w:id="53">
    <w:p w14:paraId="35E1A57A" w14:textId="4A3872B8" w:rsidR="009139DE" w:rsidRPr="009139DE" w:rsidRDefault="009139DE" w:rsidP="00252FB9">
      <w:pPr>
        <w:pStyle w:val="FootnoteText"/>
      </w:pPr>
      <w:r>
        <w:rPr>
          <w:rStyle w:val="FootnoteReference0"/>
        </w:rPr>
        <w:footnoteRef/>
      </w:r>
      <w:r w:rsidRPr="009139DE">
        <w:tab/>
      </w:r>
      <w:r w:rsidRPr="009139DE">
        <w:rPr>
          <w:sz w:val="18"/>
          <w:szCs w:val="18"/>
        </w:rPr>
        <w:t>Denna post inkluderar lokala administrativa system och bidrag till samfinansieringen av gemensamma it-system (se Guidelines on Financing of IT, C(2020)6126 final, 10.9.2020)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ADDF8" w14:textId="77777777" w:rsidR="004A0B38" w:rsidRPr="004A0B38" w:rsidRDefault="004A0B38" w:rsidP="004A0B38">
    <w:pPr>
      <w:pStyle w:val="HeaderLandscap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78471" w14:textId="77777777" w:rsidR="004A0B38" w:rsidRPr="004A0B38" w:rsidRDefault="004A0B38" w:rsidP="004A0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EBBC" w14:textId="77777777" w:rsidR="004A0B38" w:rsidRPr="004A0B38" w:rsidRDefault="004A0B38" w:rsidP="004A0B38">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60F52" w14:textId="77777777" w:rsidR="00C25964" w:rsidRPr="00C25964" w:rsidRDefault="00C25964" w:rsidP="004A0B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44963" w14:textId="77777777" w:rsidR="004A0B38" w:rsidRPr="004A0B38" w:rsidRDefault="004A0B38" w:rsidP="004A0B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F9D06" w14:textId="77777777" w:rsidR="004A0B38" w:rsidRPr="00C25964" w:rsidRDefault="004A0B38" w:rsidP="004A0B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ED46" w14:textId="77777777" w:rsidR="004A0B38" w:rsidRPr="004A0B38" w:rsidRDefault="004A0B38" w:rsidP="004A0B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21857" w14:textId="77777777" w:rsidR="00C25964" w:rsidRPr="00C25964" w:rsidRDefault="00C25964" w:rsidP="004A0B38">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45AB4" w14:textId="77777777" w:rsidR="004A0B38" w:rsidRPr="004A0B38" w:rsidRDefault="004A0B38" w:rsidP="004A0B38">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C1E62" w14:textId="77777777" w:rsidR="004A0B38" w:rsidRPr="00C25964" w:rsidRDefault="004A0B38" w:rsidP="004A0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7B6B8F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2DE371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6D8A50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AA4DC1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72700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F76EA5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900A84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66ACF2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B1E70"/>
    <w:multiLevelType w:val="hybridMultilevel"/>
    <w:tmpl w:val="BE728E3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0"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14"/>
  </w:num>
  <w:num w:numId="11">
    <w:abstractNumId w:val="20"/>
  </w:num>
  <w:num w:numId="12">
    <w:abstractNumId w:val="19"/>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5"/>
  </w:num>
  <w:num w:numId="24">
    <w:abstractNumId w:val="26"/>
  </w:num>
  <w:num w:numId="25">
    <w:abstractNumId w:val="13"/>
  </w:num>
  <w:num w:numId="26">
    <w:abstractNumId w:val="16"/>
  </w:num>
  <w:num w:numId="27">
    <w:abstractNumId w:val="9"/>
  </w:num>
  <w:num w:numId="28">
    <w:abstractNumId w:val="18"/>
  </w:num>
  <w:num w:numId="29">
    <w:abstractNumId w:val="22"/>
  </w:num>
  <w:num w:numId="30">
    <w:abstractNumId w:val="23"/>
  </w:num>
  <w:num w:numId="31">
    <w:abstractNumId w:val="12"/>
  </w:num>
  <w:num w:numId="32">
    <w:abstractNumId w:val="21"/>
  </w:num>
  <w:num w:numId="33">
    <w:abstractNumId w:val="27"/>
  </w:num>
  <w:num w:numId="34">
    <w:abstractNumId w:val="25"/>
  </w:num>
  <w:num w:numId="35">
    <w:abstractNumId w:val="17"/>
  </w:num>
  <w:num w:numId="36">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nl-BE" w:vendorID="64" w:dllVersion="6" w:nlCheck="1" w:checkStyle="0"/>
  <w:activeWritingStyle w:appName="MSWord" w:lang="fr-FR"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0"/>
  <w:attachedTemplate r:id="rId1"/>
  <w:defaultTabStop w:val="720"/>
  <w:hyphenationZone w:val="425"/>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1-10-20 08:17:0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6"/>
    <w:docVar w:name="DQCResult_ModifiedMarkers" w:val="0;0"/>
    <w:docVar w:name="DQCResult_ModifiedNumbering" w:val="0;0"/>
    <w:docVar w:name="DQCResult_Objects" w:val="0;0"/>
    <w:docVar w:name="DQCResult_Sections" w:val="0;0"/>
    <w:docVar w:name="DQCResult_StructureCheck" w:val="0;0"/>
    <w:docVar w:name="DQCResult_SuperfluousWhitespace" w:val="0;69"/>
    <w:docVar w:name="DQCResult_UnknownFonts" w:val="0;0"/>
    <w:docVar w:name="DQCResult_UnknownStyles" w:val="0;3"/>
    <w:docVar w:name="DQCStatus" w:val="Green"/>
    <w:docVar w:name="DQCVersion" w:val="3"/>
    <w:docVar w:name="DQCWithWarnings" w:val="0"/>
    <w:docVar w:name="LW_CORRIGENDUM" w:val="&lt;UNUSED&gt;"/>
    <w:docVar w:name="LW_COVERPAGE_EXISTS" w:val="True"/>
    <w:docVar w:name="LW_COVERPAGE_GUID" w:val="A1547C7E-0E44-4C14-8840-93BFC9A9F2B6"/>
    <w:docVar w:name="LW_COVERPAGE_TYPE" w:val="1"/>
    <w:docVar w:name="LW_CROSSREFERENCE" w:val="&lt;UNUSED&gt;"/>
    <w:docVar w:name="LW_DocType" w:val="COM"/>
    <w:docVar w:name="LW_EMISSION" w:val="14.10.2021"/>
    <w:docVar w:name="LW_EMISSION_ISODATE" w:val="2021-10-14"/>
    <w:docVar w:name="LW_EMISSION_LOCATION" w:val="BRX"/>
    <w:docVar w:name="LW_EMISSION_PREFIX" w:val="Bryssel den "/>
    <w:docVar w:name="LW_EMISSION_SUFFIX" w:val=" "/>
    <w:docVar w:name="LW_ID_DOCMODEL" w:val="SJ-026"/>
    <w:docVar w:name="LW_ID_DOCSIGNATURE" w:val="SJ-026"/>
    <w:docVar w:name="LW_ID_DOCSTRUCTURE" w:val="COM/PL/ORG"/>
    <w:docVar w:name="LW_ID_DOCTYPE" w:val="SJ-026"/>
    <w:docVar w:name="LW_ID_EXP.MOTIFS.NEW" w:val="EM_PL_"/>
    <w:docVar w:name="LW_ID_STATUT" w:val="SJ-026"/>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328"/>
    <w:docVar w:name="LW_REF.II.NEW.CP_YEAR" w:val="2021"/>
    <w:docVar w:name="LW_REF.INST.NEW" w:val="COM"/>
    <w:docVar w:name="LW_REF.INST.NEW_ADOPTED" w:val="final"/>
    <w:docVar w:name="LW_REF.INST.NEW_TEXT" w:val="(2021) 6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ett Europaår för ungdomar 2022"/>
    <w:docVar w:name="LW_TYPE.DOC.CP" w:val="EUROPAPARLAMENTETS OCH RÅDETS BESLUT"/>
    <w:docVar w:name="LwApiVersions" w:val="LW4CoDe 1.23.1.0; LW 8.0, Build 20210728"/>
  </w:docVars>
  <w:rsids>
    <w:rsidRoot w:val="00282508"/>
    <w:rsid w:val="000039D6"/>
    <w:rsid w:val="000054DF"/>
    <w:rsid w:val="00007129"/>
    <w:rsid w:val="00010694"/>
    <w:rsid w:val="00011B24"/>
    <w:rsid w:val="00011D39"/>
    <w:rsid w:val="000125CB"/>
    <w:rsid w:val="000141C1"/>
    <w:rsid w:val="00015024"/>
    <w:rsid w:val="00015D93"/>
    <w:rsid w:val="000211EC"/>
    <w:rsid w:val="00023961"/>
    <w:rsid w:val="00024DB9"/>
    <w:rsid w:val="00026114"/>
    <w:rsid w:val="000300D6"/>
    <w:rsid w:val="00032127"/>
    <w:rsid w:val="000435D7"/>
    <w:rsid w:val="000436B9"/>
    <w:rsid w:val="000438F0"/>
    <w:rsid w:val="0004532F"/>
    <w:rsid w:val="000471CC"/>
    <w:rsid w:val="00047FF4"/>
    <w:rsid w:val="000505AF"/>
    <w:rsid w:val="00050EE5"/>
    <w:rsid w:val="00050F5C"/>
    <w:rsid w:val="00053EC2"/>
    <w:rsid w:val="00054115"/>
    <w:rsid w:val="00056F22"/>
    <w:rsid w:val="00060402"/>
    <w:rsid w:val="00061809"/>
    <w:rsid w:val="0006500B"/>
    <w:rsid w:val="0006644C"/>
    <w:rsid w:val="0006761E"/>
    <w:rsid w:val="0007248D"/>
    <w:rsid w:val="000812D7"/>
    <w:rsid w:val="000813CD"/>
    <w:rsid w:val="00086526"/>
    <w:rsid w:val="00092F50"/>
    <w:rsid w:val="00093177"/>
    <w:rsid w:val="0009495F"/>
    <w:rsid w:val="00094DEF"/>
    <w:rsid w:val="00096E6E"/>
    <w:rsid w:val="000A0614"/>
    <w:rsid w:val="000A30DE"/>
    <w:rsid w:val="000A467F"/>
    <w:rsid w:val="000A49A9"/>
    <w:rsid w:val="000A7517"/>
    <w:rsid w:val="000A76B9"/>
    <w:rsid w:val="000B12E4"/>
    <w:rsid w:val="000B3FE0"/>
    <w:rsid w:val="000B488B"/>
    <w:rsid w:val="000B5819"/>
    <w:rsid w:val="000C1076"/>
    <w:rsid w:val="000C1169"/>
    <w:rsid w:val="000C2BAD"/>
    <w:rsid w:val="000C319C"/>
    <w:rsid w:val="000C3943"/>
    <w:rsid w:val="000C4E9F"/>
    <w:rsid w:val="000C581E"/>
    <w:rsid w:val="000C7FA7"/>
    <w:rsid w:val="000D0638"/>
    <w:rsid w:val="000D4FE2"/>
    <w:rsid w:val="000D6A61"/>
    <w:rsid w:val="000E198E"/>
    <w:rsid w:val="000E1A43"/>
    <w:rsid w:val="000E1C0B"/>
    <w:rsid w:val="000E6B15"/>
    <w:rsid w:val="000F0E43"/>
    <w:rsid w:val="000F70C4"/>
    <w:rsid w:val="000F7170"/>
    <w:rsid w:val="000F7BEF"/>
    <w:rsid w:val="00100BA1"/>
    <w:rsid w:val="00104981"/>
    <w:rsid w:val="00105EC6"/>
    <w:rsid w:val="0010628A"/>
    <w:rsid w:val="00107E5C"/>
    <w:rsid w:val="00110001"/>
    <w:rsid w:val="001128F4"/>
    <w:rsid w:val="00112CD9"/>
    <w:rsid w:val="00113D7D"/>
    <w:rsid w:val="0011453E"/>
    <w:rsid w:val="00115992"/>
    <w:rsid w:val="00120855"/>
    <w:rsid w:val="00120A41"/>
    <w:rsid w:val="00124F2E"/>
    <w:rsid w:val="0012551C"/>
    <w:rsid w:val="00125BF6"/>
    <w:rsid w:val="0012668B"/>
    <w:rsid w:val="001279E5"/>
    <w:rsid w:val="00133D04"/>
    <w:rsid w:val="0013495B"/>
    <w:rsid w:val="00134A76"/>
    <w:rsid w:val="00135483"/>
    <w:rsid w:val="00142F62"/>
    <w:rsid w:val="001439C5"/>
    <w:rsid w:val="001452CF"/>
    <w:rsid w:val="00145F6D"/>
    <w:rsid w:val="001555DF"/>
    <w:rsid w:val="00155E60"/>
    <w:rsid w:val="001563B8"/>
    <w:rsid w:val="00157E03"/>
    <w:rsid w:val="00160472"/>
    <w:rsid w:val="001604C8"/>
    <w:rsid w:val="00160C2F"/>
    <w:rsid w:val="00161AED"/>
    <w:rsid w:val="00164692"/>
    <w:rsid w:val="0016746D"/>
    <w:rsid w:val="00170D4E"/>
    <w:rsid w:val="001715F0"/>
    <w:rsid w:val="001717E4"/>
    <w:rsid w:val="001748E3"/>
    <w:rsid w:val="001758D6"/>
    <w:rsid w:val="00177008"/>
    <w:rsid w:val="001807CC"/>
    <w:rsid w:val="00181F70"/>
    <w:rsid w:val="0018457E"/>
    <w:rsid w:val="001849AE"/>
    <w:rsid w:val="00185F23"/>
    <w:rsid w:val="001909FE"/>
    <w:rsid w:val="00190E5E"/>
    <w:rsid w:val="00191122"/>
    <w:rsid w:val="00191F50"/>
    <w:rsid w:val="00193714"/>
    <w:rsid w:val="0019475E"/>
    <w:rsid w:val="00195DB2"/>
    <w:rsid w:val="00195ED8"/>
    <w:rsid w:val="00196A65"/>
    <w:rsid w:val="001A0677"/>
    <w:rsid w:val="001A1804"/>
    <w:rsid w:val="001A1C19"/>
    <w:rsid w:val="001A2618"/>
    <w:rsid w:val="001A520D"/>
    <w:rsid w:val="001A7950"/>
    <w:rsid w:val="001B14A2"/>
    <w:rsid w:val="001C0869"/>
    <w:rsid w:val="001C1D4B"/>
    <w:rsid w:val="001C21E7"/>
    <w:rsid w:val="001C2816"/>
    <w:rsid w:val="001C40C2"/>
    <w:rsid w:val="001C41CF"/>
    <w:rsid w:val="001C42A4"/>
    <w:rsid w:val="001D3A8E"/>
    <w:rsid w:val="001D4940"/>
    <w:rsid w:val="001D6C9A"/>
    <w:rsid w:val="001E162E"/>
    <w:rsid w:val="001E2AC2"/>
    <w:rsid w:val="001E3C85"/>
    <w:rsid w:val="001E43C6"/>
    <w:rsid w:val="001E57C9"/>
    <w:rsid w:val="001E752B"/>
    <w:rsid w:val="001E7FC8"/>
    <w:rsid w:val="001F03EF"/>
    <w:rsid w:val="001F08B3"/>
    <w:rsid w:val="001F643D"/>
    <w:rsid w:val="001F7DD8"/>
    <w:rsid w:val="00202B54"/>
    <w:rsid w:val="00203C48"/>
    <w:rsid w:val="002043B6"/>
    <w:rsid w:val="002061FE"/>
    <w:rsid w:val="002063DE"/>
    <w:rsid w:val="00211369"/>
    <w:rsid w:val="002129B0"/>
    <w:rsid w:val="00214772"/>
    <w:rsid w:val="00214CE3"/>
    <w:rsid w:val="002218D0"/>
    <w:rsid w:val="002239B6"/>
    <w:rsid w:val="00224310"/>
    <w:rsid w:val="00232E98"/>
    <w:rsid w:val="00233EB7"/>
    <w:rsid w:val="002377C7"/>
    <w:rsid w:val="00240ACF"/>
    <w:rsid w:val="00241B90"/>
    <w:rsid w:val="002435FD"/>
    <w:rsid w:val="00243D0F"/>
    <w:rsid w:val="002442EA"/>
    <w:rsid w:val="002516CD"/>
    <w:rsid w:val="00252FB9"/>
    <w:rsid w:val="002537D3"/>
    <w:rsid w:val="00254B2A"/>
    <w:rsid w:val="00255096"/>
    <w:rsid w:val="00256E1D"/>
    <w:rsid w:val="00260444"/>
    <w:rsid w:val="0026118E"/>
    <w:rsid w:val="002617FC"/>
    <w:rsid w:val="00263B28"/>
    <w:rsid w:val="00267ACF"/>
    <w:rsid w:val="002720E6"/>
    <w:rsid w:val="00272486"/>
    <w:rsid w:val="00272A65"/>
    <w:rsid w:val="00274407"/>
    <w:rsid w:val="00274BCA"/>
    <w:rsid w:val="0027752F"/>
    <w:rsid w:val="00277B3B"/>
    <w:rsid w:val="00282183"/>
    <w:rsid w:val="00282508"/>
    <w:rsid w:val="00284D9B"/>
    <w:rsid w:val="0028546A"/>
    <w:rsid w:val="00287AF7"/>
    <w:rsid w:val="00290110"/>
    <w:rsid w:val="00291AAE"/>
    <w:rsid w:val="00293F5E"/>
    <w:rsid w:val="00296CA0"/>
    <w:rsid w:val="00297A0F"/>
    <w:rsid w:val="002A0878"/>
    <w:rsid w:val="002A0A34"/>
    <w:rsid w:val="002A2B6C"/>
    <w:rsid w:val="002A38CF"/>
    <w:rsid w:val="002A4C41"/>
    <w:rsid w:val="002A4E40"/>
    <w:rsid w:val="002A7893"/>
    <w:rsid w:val="002B2370"/>
    <w:rsid w:val="002B4575"/>
    <w:rsid w:val="002B597E"/>
    <w:rsid w:val="002C0787"/>
    <w:rsid w:val="002C6596"/>
    <w:rsid w:val="002C7CF4"/>
    <w:rsid w:val="002D0960"/>
    <w:rsid w:val="002D1E02"/>
    <w:rsid w:val="002D2BEF"/>
    <w:rsid w:val="002D2D29"/>
    <w:rsid w:val="002D515C"/>
    <w:rsid w:val="002D75A4"/>
    <w:rsid w:val="002D7C88"/>
    <w:rsid w:val="002E0738"/>
    <w:rsid w:val="002E0DD6"/>
    <w:rsid w:val="002E1870"/>
    <w:rsid w:val="002E1AA8"/>
    <w:rsid w:val="002E22AB"/>
    <w:rsid w:val="002E29E0"/>
    <w:rsid w:val="002E3180"/>
    <w:rsid w:val="002E3D8A"/>
    <w:rsid w:val="002E612B"/>
    <w:rsid w:val="002E6AA0"/>
    <w:rsid w:val="002F1CDE"/>
    <w:rsid w:val="002F362E"/>
    <w:rsid w:val="002F3DDC"/>
    <w:rsid w:val="003004DA"/>
    <w:rsid w:val="003028F9"/>
    <w:rsid w:val="00303212"/>
    <w:rsid w:val="00304442"/>
    <w:rsid w:val="00304504"/>
    <w:rsid w:val="0031063E"/>
    <w:rsid w:val="00312550"/>
    <w:rsid w:val="003160D7"/>
    <w:rsid w:val="00316DAD"/>
    <w:rsid w:val="00317226"/>
    <w:rsid w:val="003203D8"/>
    <w:rsid w:val="00321FF4"/>
    <w:rsid w:val="0032692F"/>
    <w:rsid w:val="003273A2"/>
    <w:rsid w:val="00331EAF"/>
    <w:rsid w:val="0033201B"/>
    <w:rsid w:val="00333724"/>
    <w:rsid w:val="00335749"/>
    <w:rsid w:val="00335A1F"/>
    <w:rsid w:val="00335E23"/>
    <w:rsid w:val="0033648A"/>
    <w:rsid w:val="00337723"/>
    <w:rsid w:val="003404AC"/>
    <w:rsid w:val="00341362"/>
    <w:rsid w:val="003441A3"/>
    <w:rsid w:val="00345C3C"/>
    <w:rsid w:val="00345D52"/>
    <w:rsid w:val="00345F33"/>
    <w:rsid w:val="00347E22"/>
    <w:rsid w:val="00352105"/>
    <w:rsid w:val="003522D4"/>
    <w:rsid w:val="00352662"/>
    <w:rsid w:val="003527EB"/>
    <w:rsid w:val="003532EE"/>
    <w:rsid w:val="00354D34"/>
    <w:rsid w:val="00354E22"/>
    <w:rsid w:val="00355599"/>
    <w:rsid w:val="00360B67"/>
    <w:rsid w:val="00365165"/>
    <w:rsid w:val="00367350"/>
    <w:rsid w:val="003702DC"/>
    <w:rsid w:val="003748AE"/>
    <w:rsid w:val="003753C3"/>
    <w:rsid w:val="00381056"/>
    <w:rsid w:val="003814EA"/>
    <w:rsid w:val="00381E87"/>
    <w:rsid w:val="003822E3"/>
    <w:rsid w:val="0038350D"/>
    <w:rsid w:val="00383FD7"/>
    <w:rsid w:val="00387AEA"/>
    <w:rsid w:val="003931E4"/>
    <w:rsid w:val="0039387E"/>
    <w:rsid w:val="0039516E"/>
    <w:rsid w:val="00396766"/>
    <w:rsid w:val="00397491"/>
    <w:rsid w:val="003A0A7C"/>
    <w:rsid w:val="003A3C6B"/>
    <w:rsid w:val="003A469D"/>
    <w:rsid w:val="003A5262"/>
    <w:rsid w:val="003B149F"/>
    <w:rsid w:val="003B4CA9"/>
    <w:rsid w:val="003B59C2"/>
    <w:rsid w:val="003B6DC7"/>
    <w:rsid w:val="003C0626"/>
    <w:rsid w:val="003C178F"/>
    <w:rsid w:val="003C17CF"/>
    <w:rsid w:val="003C3DD5"/>
    <w:rsid w:val="003C7A89"/>
    <w:rsid w:val="003C7C95"/>
    <w:rsid w:val="003D0E51"/>
    <w:rsid w:val="003D0E6B"/>
    <w:rsid w:val="003D146E"/>
    <w:rsid w:val="003D3656"/>
    <w:rsid w:val="003D392E"/>
    <w:rsid w:val="003D3D16"/>
    <w:rsid w:val="003D4F2D"/>
    <w:rsid w:val="003D5D68"/>
    <w:rsid w:val="003E32F5"/>
    <w:rsid w:val="003E4168"/>
    <w:rsid w:val="003F239F"/>
    <w:rsid w:val="003F478B"/>
    <w:rsid w:val="004013FA"/>
    <w:rsid w:val="00404AB7"/>
    <w:rsid w:val="004059EB"/>
    <w:rsid w:val="004062AF"/>
    <w:rsid w:val="004066A9"/>
    <w:rsid w:val="00406EAE"/>
    <w:rsid w:val="00407FCD"/>
    <w:rsid w:val="00410545"/>
    <w:rsid w:val="0041251D"/>
    <w:rsid w:val="00413069"/>
    <w:rsid w:val="00413A28"/>
    <w:rsid w:val="004149FB"/>
    <w:rsid w:val="004174D7"/>
    <w:rsid w:val="00421FA2"/>
    <w:rsid w:val="00422C6F"/>
    <w:rsid w:val="00425FC5"/>
    <w:rsid w:val="004276EF"/>
    <w:rsid w:val="004337B8"/>
    <w:rsid w:val="00436D5F"/>
    <w:rsid w:val="004378E7"/>
    <w:rsid w:val="00441D88"/>
    <w:rsid w:val="00443875"/>
    <w:rsid w:val="0044477C"/>
    <w:rsid w:val="00445F69"/>
    <w:rsid w:val="0044687B"/>
    <w:rsid w:val="00447D13"/>
    <w:rsid w:val="00447F67"/>
    <w:rsid w:val="00451E9E"/>
    <w:rsid w:val="00454E43"/>
    <w:rsid w:val="0045651E"/>
    <w:rsid w:val="004604BF"/>
    <w:rsid w:val="0046196E"/>
    <w:rsid w:val="00461B93"/>
    <w:rsid w:val="0046336C"/>
    <w:rsid w:val="004634C0"/>
    <w:rsid w:val="00463649"/>
    <w:rsid w:val="0046375D"/>
    <w:rsid w:val="00463A03"/>
    <w:rsid w:val="004644EC"/>
    <w:rsid w:val="0047394C"/>
    <w:rsid w:val="00473B45"/>
    <w:rsid w:val="00474265"/>
    <w:rsid w:val="0047703F"/>
    <w:rsid w:val="0048019C"/>
    <w:rsid w:val="004809A2"/>
    <w:rsid w:val="0048382A"/>
    <w:rsid w:val="00484A11"/>
    <w:rsid w:val="00490696"/>
    <w:rsid w:val="0049115C"/>
    <w:rsid w:val="0049162E"/>
    <w:rsid w:val="00494E7D"/>
    <w:rsid w:val="004971DD"/>
    <w:rsid w:val="004A01E0"/>
    <w:rsid w:val="004A03FF"/>
    <w:rsid w:val="004A0B38"/>
    <w:rsid w:val="004A2575"/>
    <w:rsid w:val="004A3D31"/>
    <w:rsid w:val="004A4D01"/>
    <w:rsid w:val="004A6139"/>
    <w:rsid w:val="004A67FC"/>
    <w:rsid w:val="004B1727"/>
    <w:rsid w:val="004B4088"/>
    <w:rsid w:val="004B66E5"/>
    <w:rsid w:val="004C15D1"/>
    <w:rsid w:val="004C2F11"/>
    <w:rsid w:val="004C39C2"/>
    <w:rsid w:val="004C5ABA"/>
    <w:rsid w:val="004D0292"/>
    <w:rsid w:val="004D1BEB"/>
    <w:rsid w:val="004D1F5C"/>
    <w:rsid w:val="004D29BF"/>
    <w:rsid w:val="004D4162"/>
    <w:rsid w:val="004D59E3"/>
    <w:rsid w:val="004D6CD3"/>
    <w:rsid w:val="004E09D1"/>
    <w:rsid w:val="004E205D"/>
    <w:rsid w:val="004E29F9"/>
    <w:rsid w:val="004F2B51"/>
    <w:rsid w:val="004F58C6"/>
    <w:rsid w:val="004F7D4F"/>
    <w:rsid w:val="00504218"/>
    <w:rsid w:val="005048A0"/>
    <w:rsid w:val="00504EEA"/>
    <w:rsid w:val="00506F00"/>
    <w:rsid w:val="005102CA"/>
    <w:rsid w:val="0051480B"/>
    <w:rsid w:val="00515581"/>
    <w:rsid w:val="00517ABC"/>
    <w:rsid w:val="00522F47"/>
    <w:rsid w:val="005242F3"/>
    <w:rsid w:val="005247C5"/>
    <w:rsid w:val="00527381"/>
    <w:rsid w:val="005314EF"/>
    <w:rsid w:val="0053415F"/>
    <w:rsid w:val="005359C1"/>
    <w:rsid w:val="00543B51"/>
    <w:rsid w:val="00544CD6"/>
    <w:rsid w:val="00545892"/>
    <w:rsid w:val="00546AFE"/>
    <w:rsid w:val="00551F43"/>
    <w:rsid w:val="005531C4"/>
    <w:rsid w:val="0055400C"/>
    <w:rsid w:val="00554A25"/>
    <w:rsid w:val="00555051"/>
    <w:rsid w:val="00555EBA"/>
    <w:rsid w:val="00557D6F"/>
    <w:rsid w:val="005625FE"/>
    <w:rsid w:val="00562FB6"/>
    <w:rsid w:val="00566173"/>
    <w:rsid w:val="00567EBB"/>
    <w:rsid w:val="00573990"/>
    <w:rsid w:val="00575A71"/>
    <w:rsid w:val="00580D25"/>
    <w:rsid w:val="0058404E"/>
    <w:rsid w:val="00593B8E"/>
    <w:rsid w:val="0059487A"/>
    <w:rsid w:val="00596115"/>
    <w:rsid w:val="005972E3"/>
    <w:rsid w:val="00597EAB"/>
    <w:rsid w:val="005A2467"/>
    <w:rsid w:val="005A4970"/>
    <w:rsid w:val="005A4972"/>
    <w:rsid w:val="005B0F76"/>
    <w:rsid w:val="005C7046"/>
    <w:rsid w:val="005C7E17"/>
    <w:rsid w:val="005C7FDC"/>
    <w:rsid w:val="005C7FFA"/>
    <w:rsid w:val="005D0CCC"/>
    <w:rsid w:val="005D11D5"/>
    <w:rsid w:val="005D5492"/>
    <w:rsid w:val="005E16CB"/>
    <w:rsid w:val="005E335E"/>
    <w:rsid w:val="005E33A5"/>
    <w:rsid w:val="005E60E0"/>
    <w:rsid w:val="005E6794"/>
    <w:rsid w:val="005E6B97"/>
    <w:rsid w:val="005E76C3"/>
    <w:rsid w:val="005F1EFB"/>
    <w:rsid w:val="005F28F7"/>
    <w:rsid w:val="005F32DC"/>
    <w:rsid w:val="005F35D3"/>
    <w:rsid w:val="006019B8"/>
    <w:rsid w:val="00601B11"/>
    <w:rsid w:val="00603953"/>
    <w:rsid w:val="00604900"/>
    <w:rsid w:val="00606C7E"/>
    <w:rsid w:val="006104DA"/>
    <w:rsid w:val="00622BF3"/>
    <w:rsid w:val="006240F8"/>
    <w:rsid w:val="00624ABF"/>
    <w:rsid w:val="00626ADB"/>
    <w:rsid w:val="006277C8"/>
    <w:rsid w:val="006321E3"/>
    <w:rsid w:val="00635758"/>
    <w:rsid w:val="0063654B"/>
    <w:rsid w:val="00641B37"/>
    <w:rsid w:val="00642785"/>
    <w:rsid w:val="00642F46"/>
    <w:rsid w:val="006438B7"/>
    <w:rsid w:val="0064539D"/>
    <w:rsid w:val="006469A7"/>
    <w:rsid w:val="006475BF"/>
    <w:rsid w:val="00650658"/>
    <w:rsid w:val="00653437"/>
    <w:rsid w:val="00653BE0"/>
    <w:rsid w:val="00655C2B"/>
    <w:rsid w:val="00657158"/>
    <w:rsid w:val="006606C6"/>
    <w:rsid w:val="00660B32"/>
    <w:rsid w:val="00666E64"/>
    <w:rsid w:val="00671373"/>
    <w:rsid w:val="006730F6"/>
    <w:rsid w:val="0067395A"/>
    <w:rsid w:val="00673DB7"/>
    <w:rsid w:val="00673F34"/>
    <w:rsid w:val="006777FF"/>
    <w:rsid w:val="00677978"/>
    <w:rsid w:val="006801BB"/>
    <w:rsid w:val="00682F16"/>
    <w:rsid w:val="0068476E"/>
    <w:rsid w:val="00691ED4"/>
    <w:rsid w:val="00692E6B"/>
    <w:rsid w:val="00695DD5"/>
    <w:rsid w:val="0069651A"/>
    <w:rsid w:val="0069723C"/>
    <w:rsid w:val="006A1016"/>
    <w:rsid w:val="006A177D"/>
    <w:rsid w:val="006A1D4C"/>
    <w:rsid w:val="006A5467"/>
    <w:rsid w:val="006B0563"/>
    <w:rsid w:val="006B0850"/>
    <w:rsid w:val="006B0D50"/>
    <w:rsid w:val="006B1C52"/>
    <w:rsid w:val="006B4C7C"/>
    <w:rsid w:val="006B54A9"/>
    <w:rsid w:val="006B56B5"/>
    <w:rsid w:val="006C1018"/>
    <w:rsid w:val="006C2E6F"/>
    <w:rsid w:val="006C41BF"/>
    <w:rsid w:val="006C47B5"/>
    <w:rsid w:val="006C5C42"/>
    <w:rsid w:val="006C5F7B"/>
    <w:rsid w:val="006D0516"/>
    <w:rsid w:val="006D1F64"/>
    <w:rsid w:val="006D50D6"/>
    <w:rsid w:val="006D5F01"/>
    <w:rsid w:val="006D727D"/>
    <w:rsid w:val="006D73B8"/>
    <w:rsid w:val="006D7525"/>
    <w:rsid w:val="006F15D2"/>
    <w:rsid w:val="006F2CC2"/>
    <w:rsid w:val="006F2E96"/>
    <w:rsid w:val="006F43F8"/>
    <w:rsid w:val="006F596F"/>
    <w:rsid w:val="006F64CE"/>
    <w:rsid w:val="006F6AD7"/>
    <w:rsid w:val="00700003"/>
    <w:rsid w:val="00700541"/>
    <w:rsid w:val="00700F01"/>
    <w:rsid w:val="0070128F"/>
    <w:rsid w:val="007016DE"/>
    <w:rsid w:val="007052AE"/>
    <w:rsid w:val="00710CF5"/>
    <w:rsid w:val="0071183A"/>
    <w:rsid w:val="00714AC7"/>
    <w:rsid w:val="00717C30"/>
    <w:rsid w:val="007212B0"/>
    <w:rsid w:val="00722AF9"/>
    <w:rsid w:val="007245F3"/>
    <w:rsid w:val="00724BE4"/>
    <w:rsid w:val="00726D32"/>
    <w:rsid w:val="00726FFD"/>
    <w:rsid w:val="00735300"/>
    <w:rsid w:val="00736A22"/>
    <w:rsid w:val="0074058C"/>
    <w:rsid w:val="00743010"/>
    <w:rsid w:val="00751BDA"/>
    <w:rsid w:val="00760CB7"/>
    <w:rsid w:val="007625F4"/>
    <w:rsid w:val="0076329C"/>
    <w:rsid w:val="00763A96"/>
    <w:rsid w:val="0076428B"/>
    <w:rsid w:val="00766860"/>
    <w:rsid w:val="00766970"/>
    <w:rsid w:val="00771300"/>
    <w:rsid w:val="00771829"/>
    <w:rsid w:val="00774D50"/>
    <w:rsid w:val="00775CAD"/>
    <w:rsid w:val="007761F1"/>
    <w:rsid w:val="00776394"/>
    <w:rsid w:val="0078198B"/>
    <w:rsid w:val="00781A97"/>
    <w:rsid w:val="007820F0"/>
    <w:rsid w:val="007851B6"/>
    <w:rsid w:val="007876A4"/>
    <w:rsid w:val="00787FD9"/>
    <w:rsid w:val="00795239"/>
    <w:rsid w:val="00796134"/>
    <w:rsid w:val="00796BD0"/>
    <w:rsid w:val="007A2AFA"/>
    <w:rsid w:val="007A356F"/>
    <w:rsid w:val="007A39CF"/>
    <w:rsid w:val="007A519B"/>
    <w:rsid w:val="007A6870"/>
    <w:rsid w:val="007A7B32"/>
    <w:rsid w:val="007A7DA1"/>
    <w:rsid w:val="007B2EE3"/>
    <w:rsid w:val="007B72BF"/>
    <w:rsid w:val="007C008C"/>
    <w:rsid w:val="007C06F6"/>
    <w:rsid w:val="007C33CB"/>
    <w:rsid w:val="007C3584"/>
    <w:rsid w:val="007C6F78"/>
    <w:rsid w:val="007D123D"/>
    <w:rsid w:val="007D63F0"/>
    <w:rsid w:val="007D7B98"/>
    <w:rsid w:val="007E25C5"/>
    <w:rsid w:val="007E2B15"/>
    <w:rsid w:val="007E7F91"/>
    <w:rsid w:val="007F2D96"/>
    <w:rsid w:val="007F4233"/>
    <w:rsid w:val="007F574F"/>
    <w:rsid w:val="007F5A62"/>
    <w:rsid w:val="0080330E"/>
    <w:rsid w:val="00803ACA"/>
    <w:rsid w:val="00804B08"/>
    <w:rsid w:val="00805C44"/>
    <w:rsid w:val="00807383"/>
    <w:rsid w:val="00807B64"/>
    <w:rsid w:val="00810436"/>
    <w:rsid w:val="00810EF2"/>
    <w:rsid w:val="00812EBE"/>
    <w:rsid w:val="00813700"/>
    <w:rsid w:val="00814D2D"/>
    <w:rsid w:val="00816277"/>
    <w:rsid w:val="00820753"/>
    <w:rsid w:val="00823815"/>
    <w:rsid w:val="00825D35"/>
    <w:rsid w:val="00826095"/>
    <w:rsid w:val="0082689A"/>
    <w:rsid w:val="00827832"/>
    <w:rsid w:val="00830CE4"/>
    <w:rsid w:val="00834481"/>
    <w:rsid w:val="008402EC"/>
    <w:rsid w:val="008418FF"/>
    <w:rsid w:val="00844FF1"/>
    <w:rsid w:val="00850239"/>
    <w:rsid w:val="008521F6"/>
    <w:rsid w:val="00853FD9"/>
    <w:rsid w:val="008540FE"/>
    <w:rsid w:val="00855E67"/>
    <w:rsid w:val="00855E78"/>
    <w:rsid w:val="00855F00"/>
    <w:rsid w:val="00856533"/>
    <w:rsid w:val="00857049"/>
    <w:rsid w:val="00857D3C"/>
    <w:rsid w:val="00857E85"/>
    <w:rsid w:val="008601C0"/>
    <w:rsid w:val="00861017"/>
    <w:rsid w:val="00866799"/>
    <w:rsid w:val="008707AC"/>
    <w:rsid w:val="00872C6A"/>
    <w:rsid w:val="00875D47"/>
    <w:rsid w:val="008765C8"/>
    <w:rsid w:val="008811A4"/>
    <w:rsid w:val="008835F5"/>
    <w:rsid w:val="008845F2"/>
    <w:rsid w:val="008853BA"/>
    <w:rsid w:val="00885DAB"/>
    <w:rsid w:val="00887B97"/>
    <w:rsid w:val="00890B22"/>
    <w:rsid w:val="008938AC"/>
    <w:rsid w:val="00896157"/>
    <w:rsid w:val="0089757A"/>
    <w:rsid w:val="008A0790"/>
    <w:rsid w:val="008A156E"/>
    <w:rsid w:val="008A2008"/>
    <w:rsid w:val="008A53F6"/>
    <w:rsid w:val="008B3506"/>
    <w:rsid w:val="008B48A5"/>
    <w:rsid w:val="008B5F78"/>
    <w:rsid w:val="008B6485"/>
    <w:rsid w:val="008B6AA2"/>
    <w:rsid w:val="008B75F0"/>
    <w:rsid w:val="008B7CDC"/>
    <w:rsid w:val="008C2899"/>
    <w:rsid w:val="008C5216"/>
    <w:rsid w:val="008C64FB"/>
    <w:rsid w:val="008D60F3"/>
    <w:rsid w:val="008E0BFB"/>
    <w:rsid w:val="008E1314"/>
    <w:rsid w:val="008F2BC6"/>
    <w:rsid w:val="008F2FB7"/>
    <w:rsid w:val="009010DD"/>
    <w:rsid w:val="00901978"/>
    <w:rsid w:val="00910994"/>
    <w:rsid w:val="00912B4D"/>
    <w:rsid w:val="009139DE"/>
    <w:rsid w:val="00915903"/>
    <w:rsid w:val="00915EB3"/>
    <w:rsid w:val="00916154"/>
    <w:rsid w:val="00916904"/>
    <w:rsid w:val="00916908"/>
    <w:rsid w:val="00917E15"/>
    <w:rsid w:val="009211F7"/>
    <w:rsid w:val="00922FA4"/>
    <w:rsid w:val="00923FA9"/>
    <w:rsid w:val="0092799B"/>
    <w:rsid w:val="00931067"/>
    <w:rsid w:val="00931A6F"/>
    <w:rsid w:val="00932077"/>
    <w:rsid w:val="00933F05"/>
    <w:rsid w:val="009348B8"/>
    <w:rsid w:val="009365AB"/>
    <w:rsid w:val="00937204"/>
    <w:rsid w:val="00941196"/>
    <w:rsid w:val="009475BF"/>
    <w:rsid w:val="00947A6B"/>
    <w:rsid w:val="00947A71"/>
    <w:rsid w:val="00947B8C"/>
    <w:rsid w:val="00953F8B"/>
    <w:rsid w:val="00956194"/>
    <w:rsid w:val="00961E9F"/>
    <w:rsid w:val="00963B94"/>
    <w:rsid w:val="00965DF1"/>
    <w:rsid w:val="00971543"/>
    <w:rsid w:val="00974E25"/>
    <w:rsid w:val="0097534C"/>
    <w:rsid w:val="00980F50"/>
    <w:rsid w:val="00981DAE"/>
    <w:rsid w:val="00982A9A"/>
    <w:rsid w:val="009844AA"/>
    <w:rsid w:val="009844FD"/>
    <w:rsid w:val="00985ABA"/>
    <w:rsid w:val="00986920"/>
    <w:rsid w:val="00986B33"/>
    <w:rsid w:val="00987AD5"/>
    <w:rsid w:val="00991ED2"/>
    <w:rsid w:val="009932B7"/>
    <w:rsid w:val="0099443D"/>
    <w:rsid w:val="0099481B"/>
    <w:rsid w:val="009965B7"/>
    <w:rsid w:val="00996B89"/>
    <w:rsid w:val="00997301"/>
    <w:rsid w:val="009A1BC9"/>
    <w:rsid w:val="009A4487"/>
    <w:rsid w:val="009B040C"/>
    <w:rsid w:val="009B0D45"/>
    <w:rsid w:val="009B1FB5"/>
    <w:rsid w:val="009B5685"/>
    <w:rsid w:val="009B69AD"/>
    <w:rsid w:val="009B7138"/>
    <w:rsid w:val="009C4A0E"/>
    <w:rsid w:val="009C6983"/>
    <w:rsid w:val="009C6C23"/>
    <w:rsid w:val="009C72D0"/>
    <w:rsid w:val="009D1E52"/>
    <w:rsid w:val="009D4F6B"/>
    <w:rsid w:val="009E1022"/>
    <w:rsid w:val="009E12D3"/>
    <w:rsid w:val="009E15B3"/>
    <w:rsid w:val="009E5D43"/>
    <w:rsid w:val="009F0614"/>
    <w:rsid w:val="009F0BFF"/>
    <w:rsid w:val="009F4CEB"/>
    <w:rsid w:val="009F511F"/>
    <w:rsid w:val="009F7FCE"/>
    <w:rsid w:val="00A027F4"/>
    <w:rsid w:val="00A02B19"/>
    <w:rsid w:val="00A07A9E"/>
    <w:rsid w:val="00A07F8A"/>
    <w:rsid w:val="00A104D7"/>
    <w:rsid w:val="00A120DE"/>
    <w:rsid w:val="00A1281D"/>
    <w:rsid w:val="00A1373E"/>
    <w:rsid w:val="00A15AD0"/>
    <w:rsid w:val="00A20000"/>
    <w:rsid w:val="00A20640"/>
    <w:rsid w:val="00A2261D"/>
    <w:rsid w:val="00A3039C"/>
    <w:rsid w:val="00A3157E"/>
    <w:rsid w:val="00A31D4B"/>
    <w:rsid w:val="00A31D92"/>
    <w:rsid w:val="00A339C1"/>
    <w:rsid w:val="00A35925"/>
    <w:rsid w:val="00A36B11"/>
    <w:rsid w:val="00A42B92"/>
    <w:rsid w:val="00A443E3"/>
    <w:rsid w:val="00A4660F"/>
    <w:rsid w:val="00A6349A"/>
    <w:rsid w:val="00A6462C"/>
    <w:rsid w:val="00A65609"/>
    <w:rsid w:val="00A65BEA"/>
    <w:rsid w:val="00A67943"/>
    <w:rsid w:val="00A700B6"/>
    <w:rsid w:val="00A70D75"/>
    <w:rsid w:val="00A72797"/>
    <w:rsid w:val="00A741B7"/>
    <w:rsid w:val="00A74C88"/>
    <w:rsid w:val="00A755C1"/>
    <w:rsid w:val="00A851C8"/>
    <w:rsid w:val="00A91E18"/>
    <w:rsid w:val="00A94CFC"/>
    <w:rsid w:val="00A94E44"/>
    <w:rsid w:val="00A9715F"/>
    <w:rsid w:val="00AA0057"/>
    <w:rsid w:val="00AA1E45"/>
    <w:rsid w:val="00AA3021"/>
    <w:rsid w:val="00AA42D2"/>
    <w:rsid w:val="00AA4F4E"/>
    <w:rsid w:val="00AA6B9B"/>
    <w:rsid w:val="00AB0015"/>
    <w:rsid w:val="00AB19F1"/>
    <w:rsid w:val="00AB2728"/>
    <w:rsid w:val="00AB2832"/>
    <w:rsid w:val="00AB4448"/>
    <w:rsid w:val="00AB74C5"/>
    <w:rsid w:val="00AB7D91"/>
    <w:rsid w:val="00AC1A13"/>
    <w:rsid w:val="00AC62E4"/>
    <w:rsid w:val="00AC6631"/>
    <w:rsid w:val="00AC73D4"/>
    <w:rsid w:val="00AC7443"/>
    <w:rsid w:val="00AD13A7"/>
    <w:rsid w:val="00AD1692"/>
    <w:rsid w:val="00AE4280"/>
    <w:rsid w:val="00AE4767"/>
    <w:rsid w:val="00AE4C15"/>
    <w:rsid w:val="00AE69DD"/>
    <w:rsid w:val="00AE75B6"/>
    <w:rsid w:val="00AF5811"/>
    <w:rsid w:val="00AF5CEC"/>
    <w:rsid w:val="00B05C02"/>
    <w:rsid w:val="00B06404"/>
    <w:rsid w:val="00B07A97"/>
    <w:rsid w:val="00B07D1B"/>
    <w:rsid w:val="00B07E26"/>
    <w:rsid w:val="00B12C56"/>
    <w:rsid w:val="00B156A4"/>
    <w:rsid w:val="00B15B04"/>
    <w:rsid w:val="00B20370"/>
    <w:rsid w:val="00B225B6"/>
    <w:rsid w:val="00B2295F"/>
    <w:rsid w:val="00B23798"/>
    <w:rsid w:val="00B243EA"/>
    <w:rsid w:val="00B258F7"/>
    <w:rsid w:val="00B2600E"/>
    <w:rsid w:val="00B31F5A"/>
    <w:rsid w:val="00B33240"/>
    <w:rsid w:val="00B33DB6"/>
    <w:rsid w:val="00B33EDF"/>
    <w:rsid w:val="00B40695"/>
    <w:rsid w:val="00B40D8E"/>
    <w:rsid w:val="00B42A30"/>
    <w:rsid w:val="00B43613"/>
    <w:rsid w:val="00B46D65"/>
    <w:rsid w:val="00B47DEA"/>
    <w:rsid w:val="00B50D75"/>
    <w:rsid w:val="00B52934"/>
    <w:rsid w:val="00B5482F"/>
    <w:rsid w:val="00B56DC3"/>
    <w:rsid w:val="00B5700F"/>
    <w:rsid w:val="00B62754"/>
    <w:rsid w:val="00B703AC"/>
    <w:rsid w:val="00B716B4"/>
    <w:rsid w:val="00B71F47"/>
    <w:rsid w:val="00B74F58"/>
    <w:rsid w:val="00B75291"/>
    <w:rsid w:val="00B75709"/>
    <w:rsid w:val="00B7662A"/>
    <w:rsid w:val="00B77226"/>
    <w:rsid w:val="00B80BCD"/>
    <w:rsid w:val="00B8117D"/>
    <w:rsid w:val="00B82D83"/>
    <w:rsid w:val="00B839E9"/>
    <w:rsid w:val="00B8631A"/>
    <w:rsid w:val="00B906EF"/>
    <w:rsid w:val="00B91345"/>
    <w:rsid w:val="00B914C0"/>
    <w:rsid w:val="00B944FD"/>
    <w:rsid w:val="00B966F3"/>
    <w:rsid w:val="00BA08B1"/>
    <w:rsid w:val="00BA3688"/>
    <w:rsid w:val="00BA6692"/>
    <w:rsid w:val="00BB5C56"/>
    <w:rsid w:val="00BB6737"/>
    <w:rsid w:val="00BC1CA8"/>
    <w:rsid w:val="00BC2A5E"/>
    <w:rsid w:val="00BD1AF0"/>
    <w:rsid w:val="00BD279B"/>
    <w:rsid w:val="00BD5DA9"/>
    <w:rsid w:val="00BD6C82"/>
    <w:rsid w:val="00BD7A34"/>
    <w:rsid w:val="00BE0818"/>
    <w:rsid w:val="00BE10ED"/>
    <w:rsid w:val="00BE246D"/>
    <w:rsid w:val="00BE45BA"/>
    <w:rsid w:val="00BF17AA"/>
    <w:rsid w:val="00BF1E77"/>
    <w:rsid w:val="00BF35FC"/>
    <w:rsid w:val="00BF3BE2"/>
    <w:rsid w:val="00BF61A8"/>
    <w:rsid w:val="00C009E1"/>
    <w:rsid w:val="00C06262"/>
    <w:rsid w:val="00C11949"/>
    <w:rsid w:val="00C16949"/>
    <w:rsid w:val="00C17089"/>
    <w:rsid w:val="00C17D8D"/>
    <w:rsid w:val="00C211C5"/>
    <w:rsid w:val="00C2158F"/>
    <w:rsid w:val="00C22CCF"/>
    <w:rsid w:val="00C24556"/>
    <w:rsid w:val="00C24847"/>
    <w:rsid w:val="00C25964"/>
    <w:rsid w:val="00C31013"/>
    <w:rsid w:val="00C31C0B"/>
    <w:rsid w:val="00C328B6"/>
    <w:rsid w:val="00C34526"/>
    <w:rsid w:val="00C3559F"/>
    <w:rsid w:val="00C373CD"/>
    <w:rsid w:val="00C37A0A"/>
    <w:rsid w:val="00C37E33"/>
    <w:rsid w:val="00C404F4"/>
    <w:rsid w:val="00C43D6D"/>
    <w:rsid w:val="00C46110"/>
    <w:rsid w:val="00C51B0B"/>
    <w:rsid w:val="00C54B29"/>
    <w:rsid w:val="00C56B88"/>
    <w:rsid w:val="00C6009E"/>
    <w:rsid w:val="00C608A2"/>
    <w:rsid w:val="00C625A7"/>
    <w:rsid w:val="00C6469D"/>
    <w:rsid w:val="00C66026"/>
    <w:rsid w:val="00C667C6"/>
    <w:rsid w:val="00C66814"/>
    <w:rsid w:val="00C7258C"/>
    <w:rsid w:val="00C7290A"/>
    <w:rsid w:val="00C73E9C"/>
    <w:rsid w:val="00C74BC3"/>
    <w:rsid w:val="00C80577"/>
    <w:rsid w:val="00C80EF0"/>
    <w:rsid w:val="00C811EA"/>
    <w:rsid w:val="00C8257E"/>
    <w:rsid w:val="00C84B3A"/>
    <w:rsid w:val="00C871B9"/>
    <w:rsid w:val="00C925B5"/>
    <w:rsid w:val="00C9364F"/>
    <w:rsid w:val="00C957E3"/>
    <w:rsid w:val="00C96E88"/>
    <w:rsid w:val="00CA0573"/>
    <w:rsid w:val="00CA22D6"/>
    <w:rsid w:val="00CA3D30"/>
    <w:rsid w:val="00CA509F"/>
    <w:rsid w:val="00CA6C8B"/>
    <w:rsid w:val="00CB0CC2"/>
    <w:rsid w:val="00CB240F"/>
    <w:rsid w:val="00CB3F48"/>
    <w:rsid w:val="00CB4153"/>
    <w:rsid w:val="00CB714D"/>
    <w:rsid w:val="00CB715D"/>
    <w:rsid w:val="00CC1E4F"/>
    <w:rsid w:val="00CC615B"/>
    <w:rsid w:val="00CD08E2"/>
    <w:rsid w:val="00CD22C9"/>
    <w:rsid w:val="00CD2FA1"/>
    <w:rsid w:val="00CD3538"/>
    <w:rsid w:val="00CD4D2B"/>
    <w:rsid w:val="00CE0724"/>
    <w:rsid w:val="00CE1980"/>
    <w:rsid w:val="00CE2917"/>
    <w:rsid w:val="00CE3489"/>
    <w:rsid w:val="00CE353C"/>
    <w:rsid w:val="00CE52B3"/>
    <w:rsid w:val="00CE5A76"/>
    <w:rsid w:val="00CE725F"/>
    <w:rsid w:val="00CE7878"/>
    <w:rsid w:val="00CF07DF"/>
    <w:rsid w:val="00CF1910"/>
    <w:rsid w:val="00CF2601"/>
    <w:rsid w:val="00CF2D24"/>
    <w:rsid w:val="00CF485A"/>
    <w:rsid w:val="00CF4891"/>
    <w:rsid w:val="00CF5125"/>
    <w:rsid w:val="00CF656F"/>
    <w:rsid w:val="00CF71C6"/>
    <w:rsid w:val="00D0074D"/>
    <w:rsid w:val="00D02A88"/>
    <w:rsid w:val="00D05F26"/>
    <w:rsid w:val="00D072AA"/>
    <w:rsid w:val="00D104FA"/>
    <w:rsid w:val="00D17602"/>
    <w:rsid w:val="00D20BD4"/>
    <w:rsid w:val="00D22164"/>
    <w:rsid w:val="00D22415"/>
    <w:rsid w:val="00D24014"/>
    <w:rsid w:val="00D27A15"/>
    <w:rsid w:val="00D27D93"/>
    <w:rsid w:val="00D30A64"/>
    <w:rsid w:val="00D30CF2"/>
    <w:rsid w:val="00D33405"/>
    <w:rsid w:val="00D34AEF"/>
    <w:rsid w:val="00D34DEE"/>
    <w:rsid w:val="00D36036"/>
    <w:rsid w:val="00D361C9"/>
    <w:rsid w:val="00D371C4"/>
    <w:rsid w:val="00D377E4"/>
    <w:rsid w:val="00D41F23"/>
    <w:rsid w:val="00D43305"/>
    <w:rsid w:val="00D4339F"/>
    <w:rsid w:val="00D43ACB"/>
    <w:rsid w:val="00D45E49"/>
    <w:rsid w:val="00D467D0"/>
    <w:rsid w:val="00D46D8C"/>
    <w:rsid w:val="00D50A2E"/>
    <w:rsid w:val="00D56267"/>
    <w:rsid w:val="00D56300"/>
    <w:rsid w:val="00D61CA5"/>
    <w:rsid w:val="00D62954"/>
    <w:rsid w:val="00D662F7"/>
    <w:rsid w:val="00D67179"/>
    <w:rsid w:val="00D7104C"/>
    <w:rsid w:val="00D72AB9"/>
    <w:rsid w:val="00D746C1"/>
    <w:rsid w:val="00D76614"/>
    <w:rsid w:val="00D770DF"/>
    <w:rsid w:val="00D77B22"/>
    <w:rsid w:val="00D8288D"/>
    <w:rsid w:val="00D853B6"/>
    <w:rsid w:val="00D876E3"/>
    <w:rsid w:val="00D87B19"/>
    <w:rsid w:val="00D9273A"/>
    <w:rsid w:val="00D94AA0"/>
    <w:rsid w:val="00D96F51"/>
    <w:rsid w:val="00DA1CB8"/>
    <w:rsid w:val="00DA486D"/>
    <w:rsid w:val="00DB1207"/>
    <w:rsid w:val="00DB3978"/>
    <w:rsid w:val="00DB76D2"/>
    <w:rsid w:val="00DB7A43"/>
    <w:rsid w:val="00DB7FFA"/>
    <w:rsid w:val="00DC020D"/>
    <w:rsid w:val="00DC1FC4"/>
    <w:rsid w:val="00DC3271"/>
    <w:rsid w:val="00DC4FCB"/>
    <w:rsid w:val="00DC5DE1"/>
    <w:rsid w:val="00DC705F"/>
    <w:rsid w:val="00DC7644"/>
    <w:rsid w:val="00DD01DA"/>
    <w:rsid w:val="00DD1399"/>
    <w:rsid w:val="00DD18C7"/>
    <w:rsid w:val="00DD2461"/>
    <w:rsid w:val="00DE1831"/>
    <w:rsid w:val="00DE3524"/>
    <w:rsid w:val="00DE5D5E"/>
    <w:rsid w:val="00DE68D0"/>
    <w:rsid w:val="00DF23A1"/>
    <w:rsid w:val="00DF671D"/>
    <w:rsid w:val="00DF7813"/>
    <w:rsid w:val="00E03273"/>
    <w:rsid w:val="00E03A7C"/>
    <w:rsid w:val="00E10420"/>
    <w:rsid w:val="00E13308"/>
    <w:rsid w:val="00E1630D"/>
    <w:rsid w:val="00E20D57"/>
    <w:rsid w:val="00E23DCD"/>
    <w:rsid w:val="00E258D8"/>
    <w:rsid w:val="00E27F22"/>
    <w:rsid w:val="00E310E9"/>
    <w:rsid w:val="00E3305A"/>
    <w:rsid w:val="00E3646D"/>
    <w:rsid w:val="00E376A0"/>
    <w:rsid w:val="00E379C5"/>
    <w:rsid w:val="00E43E3B"/>
    <w:rsid w:val="00E5124A"/>
    <w:rsid w:val="00E54EBC"/>
    <w:rsid w:val="00E5522B"/>
    <w:rsid w:val="00E55350"/>
    <w:rsid w:val="00E60B74"/>
    <w:rsid w:val="00E6242E"/>
    <w:rsid w:val="00E624E7"/>
    <w:rsid w:val="00E63D4B"/>
    <w:rsid w:val="00E66098"/>
    <w:rsid w:val="00E70F66"/>
    <w:rsid w:val="00E71BCC"/>
    <w:rsid w:val="00E72865"/>
    <w:rsid w:val="00E84DBB"/>
    <w:rsid w:val="00E84EB1"/>
    <w:rsid w:val="00E8509D"/>
    <w:rsid w:val="00E925BF"/>
    <w:rsid w:val="00E9431D"/>
    <w:rsid w:val="00E96310"/>
    <w:rsid w:val="00E965A0"/>
    <w:rsid w:val="00E97D35"/>
    <w:rsid w:val="00EA0706"/>
    <w:rsid w:val="00EA53D7"/>
    <w:rsid w:val="00EB3176"/>
    <w:rsid w:val="00EB4748"/>
    <w:rsid w:val="00EC01AF"/>
    <w:rsid w:val="00EC2CBD"/>
    <w:rsid w:val="00EC5262"/>
    <w:rsid w:val="00EC5487"/>
    <w:rsid w:val="00EC5CB6"/>
    <w:rsid w:val="00EC610C"/>
    <w:rsid w:val="00EC7754"/>
    <w:rsid w:val="00ED0ADB"/>
    <w:rsid w:val="00ED4ACD"/>
    <w:rsid w:val="00ED7509"/>
    <w:rsid w:val="00ED7F28"/>
    <w:rsid w:val="00EE0E08"/>
    <w:rsid w:val="00EE3401"/>
    <w:rsid w:val="00EE54F0"/>
    <w:rsid w:val="00EE60BC"/>
    <w:rsid w:val="00EF00FA"/>
    <w:rsid w:val="00EF071C"/>
    <w:rsid w:val="00EF1936"/>
    <w:rsid w:val="00EF2865"/>
    <w:rsid w:val="00F00E67"/>
    <w:rsid w:val="00F053C7"/>
    <w:rsid w:val="00F07887"/>
    <w:rsid w:val="00F08452"/>
    <w:rsid w:val="00F114B7"/>
    <w:rsid w:val="00F147B8"/>
    <w:rsid w:val="00F14AC4"/>
    <w:rsid w:val="00F16079"/>
    <w:rsid w:val="00F16B3F"/>
    <w:rsid w:val="00F20062"/>
    <w:rsid w:val="00F20807"/>
    <w:rsid w:val="00F22B9A"/>
    <w:rsid w:val="00F22BBC"/>
    <w:rsid w:val="00F2680A"/>
    <w:rsid w:val="00F2694D"/>
    <w:rsid w:val="00F26C6D"/>
    <w:rsid w:val="00F273BD"/>
    <w:rsid w:val="00F30576"/>
    <w:rsid w:val="00F30C2F"/>
    <w:rsid w:val="00F31D6C"/>
    <w:rsid w:val="00F32A3E"/>
    <w:rsid w:val="00F33D6C"/>
    <w:rsid w:val="00F34059"/>
    <w:rsid w:val="00F34E6F"/>
    <w:rsid w:val="00F37A4E"/>
    <w:rsid w:val="00F400D2"/>
    <w:rsid w:val="00F40FDC"/>
    <w:rsid w:val="00F4247B"/>
    <w:rsid w:val="00F47884"/>
    <w:rsid w:val="00F47D1B"/>
    <w:rsid w:val="00F529E9"/>
    <w:rsid w:val="00F52D5A"/>
    <w:rsid w:val="00F539AA"/>
    <w:rsid w:val="00F56995"/>
    <w:rsid w:val="00F56DC4"/>
    <w:rsid w:val="00F602AA"/>
    <w:rsid w:val="00F62D59"/>
    <w:rsid w:val="00F6304B"/>
    <w:rsid w:val="00F64BE1"/>
    <w:rsid w:val="00F661E3"/>
    <w:rsid w:val="00F67358"/>
    <w:rsid w:val="00F7260C"/>
    <w:rsid w:val="00F72B05"/>
    <w:rsid w:val="00F744B2"/>
    <w:rsid w:val="00F74DE1"/>
    <w:rsid w:val="00F7534F"/>
    <w:rsid w:val="00F765C9"/>
    <w:rsid w:val="00F77F1E"/>
    <w:rsid w:val="00F92805"/>
    <w:rsid w:val="00F96BBA"/>
    <w:rsid w:val="00F96F0D"/>
    <w:rsid w:val="00F9711A"/>
    <w:rsid w:val="00FA3093"/>
    <w:rsid w:val="00FA3590"/>
    <w:rsid w:val="00FA6BB0"/>
    <w:rsid w:val="00FA6C30"/>
    <w:rsid w:val="00FB0BBE"/>
    <w:rsid w:val="00FB387E"/>
    <w:rsid w:val="00FB3943"/>
    <w:rsid w:val="00FB48BE"/>
    <w:rsid w:val="00FB5474"/>
    <w:rsid w:val="00FC485A"/>
    <w:rsid w:val="00FC5D1F"/>
    <w:rsid w:val="00FC61A2"/>
    <w:rsid w:val="00FC6345"/>
    <w:rsid w:val="00FC6595"/>
    <w:rsid w:val="00FD1190"/>
    <w:rsid w:val="00FD1853"/>
    <w:rsid w:val="00FD3AD9"/>
    <w:rsid w:val="00FD55CE"/>
    <w:rsid w:val="00FD5C77"/>
    <w:rsid w:val="00FD720C"/>
    <w:rsid w:val="00FE081A"/>
    <w:rsid w:val="00FE2287"/>
    <w:rsid w:val="00FE3813"/>
    <w:rsid w:val="00FE60DB"/>
    <w:rsid w:val="00FE7471"/>
    <w:rsid w:val="00FE790B"/>
    <w:rsid w:val="00FF0C87"/>
    <w:rsid w:val="00FF17D9"/>
    <w:rsid w:val="00FF5AF3"/>
    <w:rsid w:val="015DC7C8"/>
    <w:rsid w:val="01B2617C"/>
    <w:rsid w:val="01B66784"/>
    <w:rsid w:val="01FFD0DA"/>
    <w:rsid w:val="0200E488"/>
    <w:rsid w:val="020C9058"/>
    <w:rsid w:val="02ACFB70"/>
    <w:rsid w:val="03CB76E3"/>
    <w:rsid w:val="042836EC"/>
    <w:rsid w:val="04731745"/>
    <w:rsid w:val="05C368CC"/>
    <w:rsid w:val="061B548A"/>
    <w:rsid w:val="06570E5A"/>
    <w:rsid w:val="06BE576B"/>
    <w:rsid w:val="06D4DDE8"/>
    <w:rsid w:val="0793C598"/>
    <w:rsid w:val="07CA8D83"/>
    <w:rsid w:val="08117CB3"/>
    <w:rsid w:val="0845DD7C"/>
    <w:rsid w:val="084BB609"/>
    <w:rsid w:val="0858F2F5"/>
    <w:rsid w:val="091084F7"/>
    <w:rsid w:val="092EECE4"/>
    <w:rsid w:val="0935393E"/>
    <w:rsid w:val="09AB0482"/>
    <w:rsid w:val="0AA3A383"/>
    <w:rsid w:val="0B65D4E9"/>
    <w:rsid w:val="0C5C98D1"/>
    <w:rsid w:val="0C6025A1"/>
    <w:rsid w:val="0CCA0DCD"/>
    <w:rsid w:val="0CD10C41"/>
    <w:rsid w:val="0D1346B6"/>
    <w:rsid w:val="0D34B2F3"/>
    <w:rsid w:val="0D61CC0D"/>
    <w:rsid w:val="0DB1EC41"/>
    <w:rsid w:val="0DD9BCD0"/>
    <w:rsid w:val="0E4305F2"/>
    <w:rsid w:val="0EFB61AF"/>
    <w:rsid w:val="0F0C17B0"/>
    <w:rsid w:val="0F24A8B1"/>
    <w:rsid w:val="0F63A303"/>
    <w:rsid w:val="11538797"/>
    <w:rsid w:val="11F025A7"/>
    <w:rsid w:val="123F0EA1"/>
    <w:rsid w:val="129EB873"/>
    <w:rsid w:val="12AD1A90"/>
    <w:rsid w:val="12D45A99"/>
    <w:rsid w:val="12EDDFA6"/>
    <w:rsid w:val="13BAC639"/>
    <w:rsid w:val="14081494"/>
    <w:rsid w:val="1476DD3E"/>
    <w:rsid w:val="1477D7BC"/>
    <w:rsid w:val="1478BAB8"/>
    <w:rsid w:val="14DF37BF"/>
    <w:rsid w:val="1574B877"/>
    <w:rsid w:val="15AD080F"/>
    <w:rsid w:val="15E535F7"/>
    <w:rsid w:val="1604D941"/>
    <w:rsid w:val="1629CC28"/>
    <w:rsid w:val="195F06D2"/>
    <w:rsid w:val="195F9062"/>
    <w:rsid w:val="19996F9C"/>
    <w:rsid w:val="19D5309E"/>
    <w:rsid w:val="1A52638C"/>
    <w:rsid w:val="1AAFAE08"/>
    <w:rsid w:val="1B672EC5"/>
    <w:rsid w:val="1C081E38"/>
    <w:rsid w:val="1C1EC6CD"/>
    <w:rsid w:val="1C3FDF99"/>
    <w:rsid w:val="1C88AB85"/>
    <w:rsid w:val="1CE96F11"/>
    <w:rsid w:val="1D449C16"/>
    <w:rsid w:val="1D488022"/>
    <w:rsid w:val="1D664DD6"/>
    <w:rsid w:val="1E763FF4"/>
    <w:rsid w:val="1E841F93"/>
    <w:rsid w:val="1F4FCAE1"/>
    <w:rsid w:val="1F50E81F"/>
    <w:rsid w:val="1F81D6BC"/>
    <w:rsid w:val="1F86BB60"/>
    <w:rsid w:val="20F96B63"/>
    <w:rsid w:val="212BF296"/>
    <w:rsid w:val="21453416"/>
    <w:rsid w:val="21CDA211"/>
    <w:rsid w:val="2267B1B3"/>
    <w:rsid w:val="227FD20D"/>
    <w:rsid w:val="232C8DA6"/>
    <w:rsid w:val="240E58B2"/>
    <w:rsid w:val="24118459"/>
    <w:rsid w:val="24BD1298"/>
    <w:rsid w:val="24C38683"/>
    <w:rsid w:val="2581BE79"/>
    <w:rsid w:val="258B3651"/>
    <w:rsid w:val="2618A539"/>
    <w:rsid w:val="27034B34"/>
    <w:rsid w:val="274E5833"/>
    <w:rsid w:val="2809F544"/>
    <w:rsid w:val="2966FC92"/>
    <w:rsid w:val="2972A87B"/>
    <w:rsid w:val="298618F9"/>
    <w:rsid w:val="2A423C35"/>
    <w:rsid w:val="2AEC165C"/>
    <w:rsid w:val="2B04EA2A"/>
    <w:rsid w:val="2B070A8D"/>
    <w:rsid w:val="2B98D5FA"/>
    <w:rsid w:val="2BA6125B"/>
    <w:rsid w:val="2BB508E4"/>
    <w:rsid w:val="2C0F216C"/>
    <w:rsid w:val="2C158B2E"/>
    <w:rsid w:val="2C79FAFB"/>
    <w:rsid w:val="2CC2424E"/>
    <w:rsid w:val="2CEFE85B"/>
    <w:rsid w:val="2D669172"/>
    <w:rsid w:val="2D86564B"/>
    <w:rsid w:val="2D9432A2"/>
    <w:rsid w:val="2E927E8A"/>
    <w:rsid w:val="2E9D4FFB"/>
    <w:rsid w:val="2EFCA8D4"/>
    <w:rsid w:val="2F4F1F3B"/>
    <w:rsid w:val="301B3344"/>
    <w:rsid w:val="3032FE1F"/>
    <w:rsid w:val="3037F274"/>
    <w:rsid w:val="30BC31A0"/>
    <w:rsid w:val="312F459C"/>
    <w:rsid w:val="31B7F6ED"/>
    <w:rsid w:val="3540818D"/>
    <w:rsid w:val="354D8F1E"/>
    <w:rsid w:val="355F1871"/>
    <w:rsid w:val="35AD7473"/>
    <w:rsid w:val="36982548"/>
    <w:rsid w:val="36ED8304"/>
    <w:rsid w:val="370D77FF"/>
    <w:rsid w:val="373248C7"/>
    <w:rsid w:val="37F65D88"/>
    <w:rsid w:val="37FC7A11"/>
    <w:rsid w:val="39845508"/>
    <w:rsid w:val="39B26FC8"/>
    <w:rsid w:val="39C5C328"/>
    <w:rsid w:val="3A730086"/>
    <w:rsid w:val="3A878AAB"/>
    <w:rsid w:val="3A967593"/>
    <w:rsid w:val="3B463A64"/>
    <w:rsid w:val="3B71843D"/>
    <w:rsid w:val="3CB1B451"/>
    <w:rsid w:val="3CFFC853"/>
    <w:rsid w:val="3D913D06"/>
    <w:rsid w:val="3E4FEA89"/>
    <w:rsid w:val="3EA924FF"/>
    <w:rsid w:val="3EE333CD"/>
    <w:rsid w:val="3F0D61E9"/>
    <w:rsid w:val="3F40BDA9"/>
    <w:rsid w:val="3F484FE0"/>
    <w:rsid w:val="3F8E5815"/>
    <w:rsid w:val="3FE54AA2"/>
    <w:rsid w:val="3FE62243"/>
    <w:rsid w:val="3FEE186E"/>
    <w:rsid w:val="403C1DFD"/>
    <w:rsid w:val="409C444E"/>
    <w:rsid w:val="40A9F985"/>
    <w:rsid w:val="40B045DF"/>
    <w:rsid w:val="40DC085D"/>
    <w:rsid w:val="410EA66E"/>
    <w:rsid w:val="410F96FA"/>
    <w:rsid w:val="41EF8535"/>
    <w:rsid w:val="437D3B2F"/>
    <w:rsid w:val="441CE496"/>
    <w:rsid w:val="44BD7820"/>
    <w:rsid w:val="44E36AC4"/>
    <w:rsid w:val="44E96CC3"/>
    <w:rsid w:val="458351BA"/>
    <w:rsid w:val="458621B9"/>
    <w:rsid w:val="45D14161"/>
    <w:rsid w:val="473813F9"/>
    <w:rsid w:val="478FA3FE"/>
    <w:rsid w:val="47F3E132"/>
    <w:rsid w:val="48D9758D"/>
    <w:rsid w:val="48F05F59"/>
    <w:rsid w:val="48F26B64"/>
    <w:rsid w:val="495AC40D"/>
    <w:rsid w:val="4990BD8C"/>
    <w:rsid w:val="49F7EE98"/>
    <w:rsid w:val="4A3788B2"/>
    <w:rsid w:val="4A6EC2C7"/>
    <w:rsid w:val="4A8988F7"/>
    <w:rsid w:val="4A8BF42F"/>
    <w:rsid w:val="4A963956"/>
    <w:rsid w:val="4AD54BB5"/>
    <w:rsid w:val="4AD61ED5"/>
    <w:rsid w:val="4AEB695D"/>
    <w:rsid w:val="4BC2FEEE"/>
    <w:rsid w:val="4BDC18C0"/>
    <w:rsid w:val="4C94D305"/>
    <w:rsid w:val="4CDB684A"/>
    <w:rsid w:val="4D0A37DE"/>
    <w:rsid w:val="4D4E4B37"/>
    <w:rsid w:val="4D5D10CA"/>
    <w:rsid w:val="4DEF99A7"/>
    <w:rsid w:val="4E669632"/>
    <w:rsid w:val="4EE626A3"/>
    <w:rsid w:val="4EED4F22"/>
    <w:rsid w:val="4F9B5CE9"/>
    <w:rsid w:val="50373009"/>
    <w:rsid w:val="507FC37F"/>
    <w:rsid w:val="5080DEC4"/>
    <w:rsid w:val="50FD06F0"/>
    <w:rsid w:val="513AF091"/>
    <w:rsid w:val="5173AEC8"/>
    <w:rsid w:val="518EAAA3"/>
    <w:rsid w:val="52831A03"/>
    <w:rsid w:val="5389F4A6"/>
    <w:rsid w:val="53D066E6"/>
    <w:rsid w:val="540CBA2B"/>
    <w:rsid w:val="54295634"/>
    <w:rsid w:val="546766B0"/>
    <w:rsid w:val="546809BB"/>
    <w:rsid w:val="54C39C3E"/>
    <w:rsid w:val="54D8A501"/>
    <w:rsid w:val="55B7C60F"/>
    <w:rsid w:val="55D07813"/>
    <w:rsid w:val="5636FDC1"/>
    <w:rsid w:val="5662A8A0"/>
    <w:rsid w:val="5713CDAA"/>
    <w:rsid w:val="5770E21A"/>
    <w:rsid w:val="5A043243"/>
    <w:rsid w:val="5B3269A0"/>
    <w:rsid w:val="5BE32E26"/>
    <w:rsid w:val="5C3FB997"/>
    <w:rsid w:val="5CCE3A01"/>
    <w:rsid w:val="5D9C9908"/>
    <w:rsid w:val="5EC10615"/>
    <w:rsid w:val="6220CEDE"/>
    <w:rsid w:val="6251F2BF"/>
    <w:rsid w:val="62CF64A5"/>
    <w:rsid w:val="62F92C87"/>
    <w:rsid w:val="633C18A4"/>
    <w:rsid w:val="63D7962A"/>
    <w:rsid w:val="646AF4FC"/>
    <w:rsid w:val="64BD0D9E"/>
    <w:rsid w:val="64DD3059"/>
    <w:rsid w:val="6532AB0D"/>
    <w:rsid w:val="65F91A06"/>
    <w:rsid w:val="66214861"/>
    <w:rsid w:val="672863A5"/>
    <w:rsid w:val="67881E7F"/>
    <w:rsid w:val="67BD18C2"/>
    <w:rsid w:val="683A1357"/>
    <w:rsid w:val="686B8F17"/>
    <w:rsid w:val="68A1E5FE"/>
    <w:rsid w:val="69045AB0"/>
    <w:rsid w:val="69445C0B"/>
    <w:rsid w:val="697E5EC1"/>
    <w:rsid w:val="6A58649C"/>
    <w:rsid w:val="6AAFB087"/>
    <w:rsid w:val="6B65F7D5"/>
    <w:rsid w:val="6BE3F4AD"/>
    <w:rsid w:val="6BF3C2E8"/>
    <w:rsid w:val="6C21ADB3"/>
    <w:rsid w:val="6C664BD4"/>
    <w:rsid w:val="6DD77B6B"/>
    <w:rsid w:val="6DE0E944"/>
    <w:rsid w:val="6DFF1708"/>
    <w:rsid w:val="6EC0F6DA"/>
    <w:rsid w:val="6F5F1DF9"/>
    <w:rsid w:val="6F9A1829"/>
    <w:rsid w:val="704B092A"/>
    <w:rsid w:val="7073478C"/>
    <w:rsid w:val="70C698B9"/>
    <w:rsid w:val="711BE5D8"/>
    <w:rsid w:val="71EE4D8D"/>
    <w:rsid w:val="7279B408"/>
    <w:rsid w:val="73147638"/>
    <w:rsid w:val="74853598"/>
    <w:rsid w:val="74CC1EFD"/>
    <w:rsid w:val="74CCB963"/>
    <w:rsid w:val="7522194B"/>
    <w:rsid w:val="75DD7B63"/>
    <w:rsid w:val="7643B96C"/>
    <w:rsid w:val="7655526F"/>
    <w:rsid w:val="7717F01A"/>
    <w:rsid w:val="7742C532"/>
    <w:rsid w:val="7875D0A9"/>
    <w:rsid w:val="788AA39B"/>
    <w:rsid w:val="788D6395"/>
    <w:rsid w:val="78BE48D5"/>
    <w:rsid w:val="78BFE9AA"/>
    <w:rsid w:val="7A05DABB"/>
    <w:rsid w:val="7A4F90DC"/>
    <w:rsid w:val="7BC2445D"/>
    <w:rsid w:val="7BD3D44A"/>
    <w:rsid w:val="7C32FB6C"/>
    <w:rsid w:val="7C8634E2"/>
    <w:rsid w:val="7CD14D51"/>
    <w:rsid w:val="7CE8517E"/>
    <w:rsid w:val="7D17C127"/>
    <w:rsid w:val="7D2A8621"/>
    <w:rsid w:val="7D49A821"/>
    <w:rsid w:val="7D4FC8EE"/>
    <w:rsid w:val="7DDD6E58"/>
    <w:rsid w:val="7DE92842"/>
    <w:rsid w:val="7E3A4EB4"/>
    <w:rsid w:val="7E4D0C9B"/>
    <w:rsid w:val="7EE95C8E"/>
    <w:rsid w:val="7F56C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32A6AE1E"/>
  <w15:docId w15:val="{0D91E481-B9B6-4A4B-9516-8E4A236A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rsid w:val="009B7138"/>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996B89"/>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rsid w:val="00996B89"/>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rsid w:val="00996B89"/>
    <w:pPr>
      <w:keepNext/>
      <w:numPr>
        <w:ilvl w:val="6"/>
        <w:numId w:val="3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CE2917"/>
    <w:pPr>
      <w:spacing w:before="100" w:beforeAutospacing="1" w:after="100" w:afterAutospacing="1"/>
      <w:jc w:val="left"/>
    </w:pPr>
    <w:rPr>
      <w:rFonts w:eastAsia="Times New Roman"/>
      <w:szCs w:val="24"/>
      <w:lang w:eastAsia="en-GB"/>
    </w:rPr>
  </w:style>
  <w:style w:type="character" w:customStyle="1" w:styleId="footnotereference">
    <w:name w:val="footnotereference"/>
    <w:basedOn w:val="DefaultParagraphFont"/>
    <w:rsid w:val="00CE2917"/>
  </w:style>
  <w:style w:type="character" w:styleId="Hyperlink">
    <w:name w:val="Hyperlink"/>
    <w:basedOn w:val="DefaultParagraphFont"/>
    <w:uiPriority w:val="99"/>
    <w:unhideWhenUsed/>
    <w:rsid w:val="00CE2917"/>
    <w:rPr>
      <w:color w:val="0000FF"/>
      <w:u w:val="single"/>
    </w:rPr>
  </w:style>
  <w:style w:type="paragraph" w:customStyle="1" w:styleId="li">
    <w:name w:val="li"/>
    <w:basedOn w:val="Normal"/>
    <w:rsid w:val="00CE2917"/>
    <w:pPr>
      <w:spacing w:before="100" w:beforeAutospacing="1" w:after="100" w:afterAutospacing="1"/>
      <w:jc w:val="left"/>
    </w:pPr>
    <w:rPr>
      <w:rFonts w:eastAsia="Times New Roman"/>
      <w:szCs w:val="24"/>
      <w:lang w:eastAsia="en-GB"/>
    </w:rPr>
  </w:style>
  <w:style w:type="character" w:customStyle="1" w:styleId="num">
    <w:name w:val="num"/>
    <w:basedOn w:val="DefaultParagraphFont"/>
    <w:rsid w:val="00CE2917"/>
  </w:style>
  <w:style w:type="paragraph" w:customStyle="1" w:styleId="corpo">
    <w:name w:val="corpo"/>
    <w:basedOn w:val="Normal"/>
    <w:rsid w:val="005E6B97"/>
    <w:pPr>
      <w:spacing w:before="100" w:beforeAutospacing="1" w:after="100" w:afterAutospacing="1"/>
      <w:jc w:val="left"/>
    </w:pPr>
    <w:rPr>
      <w:rFonts w:eastAsia="Times New Roman"/>
      <w:szCs w:val="24"/>
      <w:lang w:eastAsia="en-GB"/>
    </w:rPr>
  </w:style>
  <w:style w:type="paragraph" w:styleId="ListParagraph">
    <w:name w:val="List Paragraph"/>
    <w:basedOn w:val="Normal"/>
    <w:uiPriority w:val="34"/>
    <w:qFormat/>
    <w:rsid w:val="005E6B97"/>
    <w:pPr>
      <w:ind w:left="720"/>
      <w:contextualSpacing/>
    </w:pPr>
  </w:style>
  <w:style w:type="paragraph" w:customStyle="1" w:styleId="titrearticle">
    <w:name w:val="titrearticle"/>
    <w:basedOn w:val="Normal"/>
    <w:rsid w:val="003B149F"/>
    <w:pPr>
      <w:spacing w:before="100" w:beforeAutospacing="1" w:after="100" w:afterAutospacing="1"/>
      <w:jc w:val="left"/>
    </w:pPr>
    <w:rPr>
      <w:rFonts w:eastAsia="Times New Roman"/>
      <w:szCs w:val="24"/>
      <w:lang w:eastAsia="en-GB"/>
    </w:rPr>
  </w:style>
  <w:style w:type="paragraph" w:styleId="NormalWeb">
    <w:name w:val="Normal (Web)"/>
    <w:basedOn w:val="Normal"/>
    <w:uiPriority w:val="99"/>
    <w:unhideWhenUsed/>
    <w:rsid w:val="00484A11"/>
    <w:pPr>
      <w:spacing w:before="100" w:beforeAutospacing="1" w:after="100" w:afterAutospacing="1"/>
      <w:jc w:val="left"/>
    </w:pPr>
    <w:rPr>
      <w:szCs w:val="24"/>
    </w:rPr>
  </w:style>
  <w:style w:type="character" w:styleId="Strong">
    <w:name w:val="Strong"/>
    <w:basedOn w:val="DefaultParagraphFont"/>
    <w:uiPriority w:val="22"/>
    <w:qFormat/>
    <w:rsid w:val="00484A11"/>
    <w:rPr>
      <w:b/>
      <w:bCs/>
    </w:rPr>
  </w:style>
  <w:style w:type="character" w:styleId="Emphasis">
    <w:name w:val="Emphasis"/>
    <w:basedOn w:val="DefaultParagraphFont"/>
    <w:uiPriority w:val="20"/>
    <w:qFormat/>
    <w:rsid w:val="00484A11"/>
    <w:rPr>
      <w:i/>
      <w:iCs/>
    </w:rPr>
  </w:style>
  <w:style w:type="paragraph" w:customStyle="1" w:styleId="Style1">
    <w:name w:val="Style1"/>
    <w:basedOn w:val="Normal"/>
    <w:link w:val="Style1Char"/>
    <w:qFormat/>
    <w:rsid w:val="000C3943"/>
    <w:pPr>
      <w:autoSpaceDE w:val="0"/>
      <w:autoSpaceDN w:val="0"/>
      <w:adjustRightInd w:val="0"/>
      <w:spacing w:line="264" w:lineRule="auto"/>
    </w:pPr>
    <w:rPr>
      <w:rFonts w:eastAsia="Calibri"/>
      <w:color w:val="000000" w:themeColor="text1"/>
      <w:szCs w:val="24"/>
    </w:rPr>
  </w:style>
  <w:style w:type="character" w:customStyle="1" w:styleId="Style1Char">
    <w:name w:val="Style1 Char"/>
    <w:basedOn w:val="DefaultParagraphFont"/>
    <w:link w:val="Style1"/>
    <w:rsid w:val="000C3943"/>
    <w:rPr>
      <w:rFonts w:ascii="Times New Roman" w:eastAsia="Calibri" w:hAnsi="Times New Roman" w:cs="Times New Roman"/>
      <w:color w:val="000000" w:themeColor="text1"/>
      <w:sz w:val="24"/>
      <w:szCs w:val="24"/>
      <w:lang w:val="sv-SE"/>
    </w:rPr>
  </w:style>
  <w:style w:type="paragraph" w:customStyle="1" w:styleId="text10">
    <w:name w:val="text1"/>
    <w:basedOn w:val="Normal"/>
    <w:rsid w:val="00E66098"/>
    <w:pPr>
      <w:spacing w:before="100" w:beforeAutospacing="1" w:after="100" w:afterAutospacing="1"/>
      <w:jc w:val="left"/>
    </w:pPr>
    <w:rPr>
      <w:rFonts w:eastAsia="Times New Roman"/>
      <w:szCs w:val="24"/>
      <w:lang w:eastAsia="en-GB"/>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sv-SE"/>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rsid w:val="00A42B92"/>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A42B92"/>
    <w:rPr>
      <w:rFonts w:ascii="Segoe UI" w:hAnsi="Segoe UI" w:cs="Segoe UI"/>
      <w:sz w:val="18"/>
      <w:szCs w:val="18"/>
      <w:lang w:val="sv-SE"/>
    </w:rPr>
  </w:style>
  <w:style w:type="paragraph" w:styleId="CommentSubject">
    <w:name w:val="annotation subject"/>
    <w:basedOn w:val="CommentText"/>
    <w:next w:val="CommentText"/>
    <w:link w:val="CommentSubjectChar"/>
    <w:unhideWhenUsed/>
    <w:rsid w:val="00A91E18"/>
    <w:rPr>
      <w:b/>
      <w:bCs/>
    </w:rPr>
  </w:style>
  <w:style w:type="character" w:customStyle="1" w:styleId="CommentSubjectChar">
    <w:name w:val="Comment Subject Char"/>
    <w:basedOn w:val="CommentTextChar"/>
    <w:link w:val="CommentSubject"/>
    <w:rsid w:val="00A91E18"/>
    <w:rPr>
      <w:rFonts w:ascii="Times New Roman" w:hAnsi="Times New Roman" w:cs="Times New Roman"/>
      <w:b/>
      <w:bCs/>
      <w:sz w:val="20"/>
      <w:szCs w:val="20"/>
      <w:lang w:val="sv-SE"/>
    </w:rPr>
  </w:style>
  <w:style w:type="character" w:styleId="FollowedHyperlink">
    <w:name w:val="FollowedHyperlink"/>
    <w:basedOn w:val="DefaultParagraphFont"/>
    <w:uiPriority w:val="99"/>
    <w:unhideWhenUsed/>
    <w:rsid w:val="00243D0F"/>
    <w:rPr>
      <w:color w:val="800080" w:themeColor="followedHyperlink"/>
      <w:u w:val="single"/>
    </w:r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nhideWhenUsed/>
    <w:rsid w:val="004276EF"/>
    <w:pPr>
      <w:numPr>
        <w:numId w:val="1"/>
      </w:numPr>
      <w:contextualSpacing/>
    </w:pPr>
  </w:style>
  <w:style w:type="paragraph" w:styleId="ListBullet2">
    <w:name w:val="List Bullet 2"/>
    <w:basedOn w:val="Normal"/>
    <w:unhideWhenUsed/>
    <w:rsid w:val="004276EF"/>
    <w:pPr>
      <w:numPr>
        <w:numId w:val="2"/>
      </w:numPr>
      <w:contextualSpacing/>
    </w:pPr>
  </w:style>
  <w:style w:type="paragraph" w:styleId="ListBullet3">
    <w:name w:val="List Bullet 3"/>
    <w:basedOn w:val="Normal"/>
    <w:unhideWhenUsed/>
    <w:rsid w:val="004276EF"/>
    <w:pPr>
      <w:numPr>
        <w:numId w:val="3"/>
      </w:numPr>
      <w:contextualSpacing/>
    </w:pPr>
  </w:style>
  <w:style w:type="paragraph" w:styleId="ListBullet4">
    <w:name w:val="List Bullet 4"/>
    <w:basedOn w:val="Normal"/>
    <w:unhideWhenUsed/>
    <w:rsid w:val="004276EF"/>
    <w:pPr>
      <w:numPr>
        <w:numId w:val="4"/>
      </w:numPr>
      <w:contextualSpacing/>
    </w:pPr>
  </w:style>
  <w:style w:type="paragraph" w:styleId="Revision">
    <w:name w:val="Revision"/>
    <w:hidden/>
    <w:uiPriority w:val="99"/>
    <w:semiHidden/>
    <w:rsid w:val="004059EB"/>
    <w:pPr>
      <w:spacing w:after="0" w:line="240" w:lineRule="auto"/>
    </w:pPr>
    <w:rPr>
      <w:rFonts w:ascii="Times New Roman" w:hAnsi="Times New Roman" w:cs="Times New Roman"/>
      <w:sz w:val="24"/>
    </w:rPr>
  </w:style>
  <w:style w:type="character" w:styleId="FootnoteReference0">
    <w:name w:val="footnote reference"/>
    <w:basedOn w:val="DefaultParagraphFont"/>
    <w:uiPriority w:val="99"/>
    <w:semiHidden/>
    <w:unhideWhenUsed/>
    <w:rsid w:val="009B7138"/>
    <w:rPr>
      <w:shd w:val="clear" w:color="auto" w:fill="auto"/>
      <w:vertAlign w:val="superscript"/>
    </w:rPr>
  </w:style>
  <w:style w:type="paragraph" w:customStyle="1" w:styleId="Titrearticle0">
    <w:name w:val="Titre article"/>
    <w:basedOn w:val="Normal"/>
    <w:next w:val="Normal"/>
    <w:rsid w:val="009B7138"/>
    <w:pPr>
      <w:keepNext/>
      <w:spacing w:before="360"/>
      <w:jc w:val="center"/>
    </w:pPr>
    <w:rPr>
      <w:i/>
    </w:rPr>
  </w:style>
  <w:style w:type="paragraph" w:styleId="Caption">
    <w:name w:val="caption"/>
    <w:basedOn w:val="Normal"/>
    <w:next w:val="Normal"/>
    <w:unhideWhenUsed/>
    <w:qFormat/>
    <w:rsid w:val="00316DAD"/>
    <w:pPr>
      <w:spacing w:before="0" w:after="200"/>
    </w:pPr>
    <w:rPr>
      <w:i/>
      <w:iCs/>
      <w:color w:val="1F497D" w:themeColor="text2"/>
      <w:sz w:val="18"/>
      <w:szCs w:val="18"/>
    </w:rPr>
  </w:style>
  <w:style w:type="paragraph" w:styleId="TableofFigures">
    <w:name w:val="table of figures"/>
    <w:basedOn w:val="Normal"/>
    <w:next w:val="Normal"/>
    <w:unhideWhenUsed/>
    <w:rsid w:val="00316DAD"/>
    <w:pPr>
      <w:spacing w:after="0"/>
    </w:pPr>
  </w:style>
  <w:style w:type="paragraph" w:styleId="ListNumber">
    <w:name w:val="List Number"/>
    <w:basedOn w:val="Normal"/>
    <w:unhideWhenUsed/>
    <w:rsid w:val="00316DAD"/>
    <w:pPr>
      <w:numPr>
        <w:numId w:val="5"/>
      </w:numPr>
      <w:contextualSpacing/>
    </w:pPr>
  </w:style>
  <w:style w:type="paragraph" w:styleId="ListNumber2">
    <w:name w:val="List Number 2"/>
    <w:basedOn w:val="Normal"/>
    <w:unhideWhenUsed/>
    <w:rsid w:val="00316DAD"/>
    <w:pPr>
      <w:numPr>
        <w:numId w:val="6"/>
      </w:numPr>
      <w:contextualSpacing/>
    </w:pPr>
  </w:style>
  <w:style w:type="paragraph" w:styleId="ListNumber3">
    <w:name w:val="List Number 3"/>
    <w:basedOn w:val="Normal"/>
    <w:unhideWhenUsed/>
    <w:rsid w:val="00316DAD"/>
    <w:pPr>
      <w:numPr>
        <w:numId w:val="7"/>
      </w:numPr>
      <w:contextualSpacing/>
    </w:pPr>
  </w:style>
  <w:style w:type="paragraph" w:styleId="ListNumber4">
    <w:name w:val="List Number 4"/>
    <w:basedOn w:val="Normal"/>
    <w:unhideWhenUsed/>
    <w:rsid w:val="00316DAD"/>
    <w:pPr>
      <w:numPr>
        <w:numId w:val="8"/>
      </w:numPr>
      <w:contextualSpacing/>
    </w:pPr>
  </w:style>
  <w:style w:type="paragraph" w:customStyle="1" w:styleId="Titrearticle00">
    <w:name w:val="Titre article0"/>
    <w:basedOn w:val="Normal"/>
    <w:next w:val="Normal"/>
    <w:rsid w:val="009B7138"/>
    <w:pPr>
      <w:keepNext/>
      <w:spacing w:before="360"/>
      <w:jc w:val="center"/>
    </w:pPr>
    <w:rPr>
      <w:i/>
    </w:rPr>
  </w:style>
  <w:style w:type="paragraph" w:customStyle="1" w:styleId="Titrearticle1">
    <w:name w:val="Titre article1"/>
    <w:basedOn w:val="Normal"/>
    <w:next w:val="Normal"/>
    <w:rsid w:val="009B7138"/>
    <w:pPr>
      <w:keepNext/>
      <w:spacing w:before="360"/>
      <w:jc w:val="center"/>
    </w:pPr>
    <w:rPr>
      <w:i/>
    </w:rPr>
  </w:style>
  <w:style w:type="paragraph" w:customStyle="1" w:styleId="Titrearticle2">
    <w:name w:val="Titre article2"/>
    <w:basedOn w:val="Normal"/>
    <w:next w:val="Normal"/>
    <w:rsid w:val="009B7138"/>
    <w:pPr>
      <w:keepNext/>
      <w:spacing w:before="360"/>
      <w:jc w:val="center"/>
    </w:pPr>
    <w:rPr>
      <w:i/>
    </w:rPr>
  </w:style>
  <w:style w:type="paragraph" w:customStyle="1" w:styleId="Titrearticle3">
    <w:name w:val="Titre article3"/>
    <w:basedOn w:val="Normal"/>
    <w:next w:val="Normal"/>
    <w:rsid w:val="009B7138"/>
    <w:pPr>
      <w:keepNext/>
      <w:spacing w:before="360"/>
      <w:jc w:val="center"/>
    </w:pPr>
    <w:rPr>
      <w:i/>
    </w:rPr>
  </w:style>
  <w:style w:type="paragraph" w:customStyle="1" w:styleId="ListBullet1">
    <w:name w:val="List Bullet 1"/>
    <w:basedOn w:val="Normal"/>
    <w:rsid w:val="00164692"/>
    <w:pPr>
      <w:numPr>
        <w:numId w:val="9"/>
      </w:numPr>
    </w:pPr>
    <w:rPr>
      <w:lang w:eastAsia="en-GB"/>
    </w:rPr>
  </w:style>
  <w:style w:type="paragraph" w:customStyle="1" w:styleId="ListDash">
    <w:name w:val="List Dash"/>
    <w:basedOn w:val="Normal"/>
    <w:rsid w:val="00164692"/>
    <w:pPr>
      <w:numPr>
        <w:numId w:val="10"/>
      </w:numPr>
    </w:pPr>
    <w:rPr>
      <w:lang w:eastAsia="en-GB"/>
    </w:rPr>
  </w:style>
  <w:style w:type="paragraph" w:customStyle="1" w:styleId="ListDash1">
    <w:name w:val="List Dash 1"/>
    <w:basedOn w:val="Normal"/>
    <w:rsid w:val="00164692"/>
    <w:pPr>
      <w:numPr>
        <w:numId w:val="11"/>
      </w:numPr>
    </w:pPr>
    <w:rPr>
      <w:lang w:eastAsia="en-GB"/>
    </w:rPr>
  </w:style>
  <w:style w:type="paragraph" w:customStyle="1" w:styleId="ListDash2">
    <w:name w:val="List Dash 2"/>
    <w:basedOn w:val="Normal"/>
    <w:rsid w:val="00164692"/>
    <w:pPr>
      <w:numPr>
        <w:numId w:val="12"/>
      </w:numPr>
    </w:pPr>
    <w:rPr>
      <w:lang w:eastAsia="en-GB"/>
    </w:rPr>
  </w:style>
  <w:style w:type="paragraph" w:customStyle="1" w:styleId="ListNumberLevel2">
    <w:name w:val="List Number (Level 2)"/>
    <w:basedOn w:val="Normal"/>
    <w:rsid w:val="00164692"/>
    <w:pPr>
      <w:tabs>
        <w:tab w:val="num" w:pos="1417"/>
      </w:tabs>
      <w:ind w:left="1417" w:hanging="708"/>
    </w:pPr>
    <w:rPr>
      <w:lang w:eastAsia="en-GB"/>
    </w:rPr>
  </w:style>
  <w:style w:type="paragraph" w:customStyle="1" w:styleId="ListNumberLevel3">
    <w:name w:val="List Number (Level 3)"/>
    <w:basedOn w:val="Normal"/>
    <w:rsid w:val="00164692"/>
    <w:pPr>
      <w:tabs>
        <w:tab w:val="num" w:pos="2126"/>
      </w:tabs>
      <w:ind w:left="2126" w:hanging="709"/>
    </w:pPr>
    <w:rPr>
      <w:lang w:eastAsia="en-GB"/>
    </w:rPr>
  </w:style>
  <w:style w:type="paragraph" w:customStyle="1" w:styleId="ListNumberLevel4">
    <w:name w:val="List Number (Level 4)"/>
    <w:basedOn w:val="Normal"/>
    <w:rsid w:val="00164692"/>
    <w:pPr>
      <w:tabs>
        <w:tab w:val="num" w:pos="2835"/>
      </w:tabs>
      <w:ind w:left="2835" w:hanging="709"/>
    </w:pPr>
    <w:rPr>
      <w:lang w:eastAsia="en-GB"/>
    </w:rPr>
  </w:style>
  <w:style w:type="paragraph" w:customStyle="1" w:styleId="Sous-titreobjet">
    <w:name w:val="Sous-titre objet"/>
    <w:basedOn w:val="Normal"/>
    <w:rsid w:val="00164692"/>
    <w:pPr>
      <w:spacing w:before="0" w:after="0"/>
      <w:jc w:val="center"/>
    </w:pPr>
    <w:rPr>
      <w:b/>
      <w:lang w:eastAsia="en-GB"/>
    </w:rPr>
  </w:style>
  <w:style w:type="paragraph" w:customStyle="1" w:styleId="Sous-titreobjetPagedecouverture">
    <w:name w:val="Sous-titre objet (Page de couverture)"/>
    <w:basedOn w:val="Sous-titreobjet"/>
    <w:rsid w:val="00164692"/>
  </w:style>
  <w:style w:type="paragraph" w:customStyle="1" w:styleId="FooterCoverPage">
    <w:name w:val="Footer Cover Page"/>
    <w:basedOn w:val="Normal"/>
    <w:link w:val="FooterCoverPageChar"/>
    <w:rsid w:val="00164692"/>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164692"/>
    <w:rPr>
      <w:rFonts w:ascii="Times New Roman" w:hAnsi="Times New Roman" w:cs="Times New Roman"/>
      <w:b/>
      <w:sz w:val="28"/>
      <w:lang w:val="sv-SE"/>
    </w:rPr>
  </w:style>
  <w:style w:type="character" w:customStyle="1" w:styleId="FooterCoverPageChar">
    <w:name w:val="Footer Cover Page Char"/>
    <w:basedOn w:val="TOCHeadingChar"/>
    <w:link w:val="FooterCoverPage"/>
    <w:rsid w:val="00164692"/>
    <w:rPr>
      <w:rFonts w:ascii="Times New Roman" w:hAnsi="Times New Roman" w:cs="Times New Roman"/>
      <w:b w:val="0"/>
      <w:sz w:val="24"/>
      <w:lang w:val="sv-SE"/>
    </w:rPr>
  </w:style>
  <w:style w:type="paragraph" w:customStyle="1" w:styleId="HeaderCoverPage">
    <w:name w:val="Header Cover Page"/>
    <w:basedOn w:val="Normal"/>
    <w:link w:val="HeaderCoverPageChar"/>
    <w:rsid w:val="00164692"/>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164692"/>
    <w:rPr>
      <w:rFonts w:ascii="Times New Roman" w:hAnsi="Times New Roman" w:cs="Times New Roman"/>
      <w:b w:val="0"/>
      <w:sz w:val="24"/>
      <w:lang w:val="sv-SE" w:eastAsia="en-GB"/>
    </w:rPr>
  </w:style>
  <w:style w:type="paragraph" w:customStyle="1" w:styleId="paragraph">
    <w:name w:val="paragraph"/>
    <w:basedOn w:val="Normal"/>
    <w:rsid w:val="00164692"/>
    <w:pPr>
      <w:spacing w:before="100" w:beforeAutospacing="1" w:after="100" w:afterAutospacing="1"/>
      <w:jc w:val="left"/>
    </w:pPr>
    <w:rPr>
      <w:rFonts w:eastAsia="Times New Roman"/>
      <w:szCs w:val="24"/>
      <w:lang w:eastAsia="en-GB"/>
    </w:rPr>
  </w:style>
  <w:style w:type="character" w:customStyle="1" w:styleId="eop">
    <w:name w:val="eop"/>
    <w:basedOn w:val="DefaultParagraphFont"/>
    <w:rsid w:val="00164692"/>
  </w:style>
  <w:style w:type="character" w:customStyle="1" w:styleId="normaltextrun">
    <w:name w:val="normaltextrun"/>
    <w:basedOn w:val="DefaultParagraphFont"/>
    <w:rsid w:val="00164692"/>
  </w:style>
  <w:style w:type="character" w:customStyle="1" w:styleId="superscript">
    <w:name w:val="superscript"/>
    <w:basedOn w:val="DefaultParagraphFont"/>
    <w:rsid w:val="00164692"/>
  </w:style>
  <w:style w:type="paragraph" w:customStyle="1" w:styleId="Style2">
    <w:name w:val="Style2"/>
    <w:basedOn w:val="ManualHeading4"/>
    <w:qFormat/>
    <w:rsid w:val="00AE4767"/>
    <w:pPr>
      <w:tabs>
        <w:tab w:val="num" w:pos="850"/>
      </w:tabs>
    </w:pPr>
    <w:rPr>
      <w:noProof/>
    </w:rPr>
  </w:style>
  <w:style w:type="character" w:styleId="PageNumber">
    <w:name w:val="page number"/>
    <w:rsid w:val="00E5124A"/>
    <w:rPr>
      <w:rFonts w:cs="Times New Roman"/>
      <w:lang w:val="sv-SE" w:eastAsia="en-GB"/>
    </w:rPr>
  </w:style>
  <w:style w:type="character" w:customStyle="1" w:styleId="tw4winMark">
    <w:name w:val="tw4winMark"/>
    <w:rsid w:val="00E5124A"/>
    <w:rPr>
      <w:rFonts w:ascii="Times New Roman" w:hAnsi="Times New Roman"/>
      <w:vanish/>
      <w:color w:val="800080"/>
      <w:sz w:val="24"/>
      <w:vertAlign w:val="subscript"/>
      <w:lang w:val="sv-SE" w:eastAsia="en-GB"/>
    </w:rPr>
  </w:style>
  <w:style w:type="character" w:customStyle="1" w:styleId="tw4winError">
    <w:name w:val="tw4winError"/>
    <w:rsid w:val="00E5124A"/>
    <w:rPr>
      <w:color w:val="00FF00"/>
      <w:sz w:val="40"/>
      <w:lang w:val="sv-SE" w:eastAsia="en-GB"/>
    </w:rPr>
  </w:style>
  <w:style w:type="character" w:customStyle="1" w:styleId="tw4winTerm">
    <w:name w:val="tw4winTerm"/>
    <w:rsid w:val="00E5124A"/>
    <w:rPr>
      <w:color w:val="0000FF"/>
      <w:lang w:val="sv-SE" w:eastAsia="en-GB"/>
    </w:rPr>
  </w:style>
  <w:style w:type="character" w:customStyle="1" w:styleId="tw4winPopup">
    <w:name w:val="tw4winPopup"/>
    <w:rsid w:val="00E5124A"/>
    <w:rPr>
      <w:noProof/>
      <w:color w:val="008000"/>
      <w:lang w:val="sv-SE" w:eastAsia="en-GB"/>
    </w:rPr>
  </w:style>
  <w:style w:type="character" w:customStyle="1" w:styleId="tw4winJump">
    <w:name w:val="tw4winJump"/>
    <w:rsid w:val="00E5124A"/>
    <w:rPr>
      <w:noProof/>
      <w:color w:val="008080"/>
      <w:lang w:val="sv-SE" w:eastAsia="en-GB"/>
    </w:rPr>
  </w:style>
  <w:style w:type="character" w:customStyle="1" w:styleId="tw4winExternal">
    <w:name w:val="tw4winExternal"/>
    <w:rsid w:val="00E5124A"/>
    <w:rPr>
      <w:noProof/>
      <w:color w:val="808080"/>
      <w:lang w:val="sv-SE" w:eastAsia="en-GB"/>
    </w:rPr>
  </w:style>
  <w:style w:type="character" w:customStyle="1" w:styleId="tw4winInternal">
    <w:name w:val="tw4winInternal"/>
    <w:rsid w:val="00E5124A"/>
    <w:rPr>
      <w:noProof/>
      <w:color w:val="FF0000"/>
      <w:lang w:val="sv-SE" w:eastAsia="en-GB"/>
    </w:rPr>
  </w:style>
  <w:style w:type="character" w:customStyle="1" w:styleId="DONOTTRANSLATE">
    <w:name w:val="DO_NOT_TRANSLATE"/>
    <w:rsid w:val="00E5124A"/>
    <w:rPr>
      <w:noProof/>
      <w:color w:val="800000"/>
      <w:lang w:val="sv-SE" w:eastAsia="en-GB"/>
    </w:rPr>
  </w:style>
  <w:style w:type="paragraph" w:customStyle="1" w:styleId="Titrearticle4">
    <w:name w:val="Titre article4"/>
    <w:basedOn w:val="Normal"/>
    <w:next w:val="Normal"/>
    <w:rsid w:val="009B7138"/>
    <w:pPr>
      <w:keepNext/>
      <w:spacing w:before="360"/>
      <w:jc w:val="center"/>
    </w:pPr>
    <w:rPr>
      <w:i/>
    </w:rPr>
  </w:style>
  <w:style w:type="paragraph" w:customStyle="1" w:styleId="Titrearticle5">
    <w:name w:val="Titre article5"/>
    <w:basedOn w:val="Normal"/>
    <w:next w:val="Normal"/>
    <w:rsid w:val="009B7138"/>
    <w:pPr>
      <w:keepNext/>
      <w:spacing w:before="360"/>
      <w:jc w:val="center"/>
    </w:pPr>
    <w:rPr>
      <w:i/>
    </w:rPr>
  </w:style>
  <w:style w:type="paragraph" w:customStyle="1" w:styleId="Titrearticle6">
    <w:name w:val="Titre article6"/>
    <w:basedOn w:val="Normal"/>
    <w:next w:val="Normal"/>
    <w:rsid w:val="009B7138"/>
    <w:pPr>
      <w:keepNext/>
      <w:spacing w:before="360"/>
      <w:jc w:val="center"/>
    </w:pPr>
    <w:rPr>
      <w:i/>
    </w:rPr>
  </w:style>
  <w:style w:type="paragraph" w:customStyle="1" w:styleId="Titrearticle7">
    <w:name w:val="Titre article7"/>
    <w:basedOn w:val="Normal"/>
    <w:next w:val="Normal"/>
    <w:rsid w:val="009B7138"/>
    <w:pPr>
      <w:keepNext/>
      <w:spacing w:before="360"/>
      <w:jc w:val="center"/>
    </w:pPr>
    <w:rPr>
      <w:i/>
    </w:rPr>
  </w:style>
  <w:style w:type="paragraph" w:customStyle="1" w:styleId="Titrearticle8">
    <w:name w:val="Titre article8"/>
    <w:basedOn w:val="Normal"/>
    <w:next w:val="Normal"/>
    <w:rsid w:val="009B7138"/>
    <w:pPr>
      <w:keepNext/>
      <w:spacing w:before="360"/>
      <w:jc w:val="center"/>
    </w:pPr>
    <w:rPr>
      <w:i/>
    </w:rPr>
  </w:style>
  <w:style w:type="paragraph" w:customStyle="1" w:styleId="Titrearticle9">
    <w:name w:val="Titre article9"/>
    <w:basedOn w:val="Normal"/>
    <w:next w:val="Normal"/>
    <w:rsid w:val="009B7138"/>
    <w:pPr>
      <w:keepNext/>
      <w:spacing w:before="360"/>
      <w:jc w:val="center"/>
    </w:pPr>
    <w:rPr>
      <w:i/>
    </w:rPr>
  </w:style>
  <w:style w:type="paragraph" w:customStyle="1" w:styleId="Titrearticle10">
    <w:name w:val="Titre article10"/>
    <w:basedOn w:val="Normal"/>
    <w:next w:val="Normal"/>
    <w:rsid w:val="009B7138"/>
    <w:pPr>
      <w:keepNext/>
      <w:spacing w:before="360"/>
      <w:jc w:val="center"/>
    </w:pPr>
    <w:rPr>
      <w:i/>
    </w:rPr>
  </w:style>
  <w:style w:type="paragraph" w:customStyle="1" w:styleId="Titrearticle11">
    <w:name w:val="Titre article11"/>
    <w:basedOn w:val="Normal"/>
    <w:next w:val="Normal"/>
    <w:rsid w:val="009B7138"/>
    <w:pPr>
      <w:keepNext/>
      <w:spacing w:before="360"/>
      <w:jc w:val="center"/>
    </w:pPr>
    <w:rPr>
      <w:i/>
    </w:rPr>
  </w:style>
  <w:style w:type="paragraph" w:customStyle="1" w:styleId="Titrearticle12">
    <w:name w:val="Titre article12"/>
    <w:basedOn w:val="Normal"/>
    <w:next w:val="Normal"/>
    <w:rsid w:val="009B7138"/>
    <w:pPr>
      <w:keepNext/>
      <w:spacing w:before="360"/>
      <w:jc w:val="center"/>
    </w:pPr>
    <w:rPr>
      <w:i/>
    </w:rPr>
  </w:style>
  <w:style w:type="paragraph" w:customStyle="1" w:styleId="Titrearticle13">
    <w:name w:val="Titre article13"/>
    <w:basedOn w:val="Normal"/>
    <w:next w:val="Normal"/>
    <w:rsid w:val="009B7138"/>
    <w:pPr>
      <w:keepNext/>
      <w:spacing w:before="360"/>
      <w:jc w:val="center"/>
    </w:pPr>
    <w:rPr>
      <w:i/>
    </w:rPr>
  </w:style>
  <w:style w:type="paragraph" w:customStyle="1" w:styleId="Titrearticle14">
    <w:name w:val="Titre article14"/>
    <w:basedOn w:val="Normal"/>
    <w:next w:val="Normal"/>
    <w:rsid w:val="009B7138"/>
    <w:pPr>
      <w:keepNext/>
      <w:spacing w:before="360"/>
      <w:jc w:val="center"/>
    </w:pPr>
    <w:rPr>
      <w:i/>
    </w:rPr>
  </w:style>
  <w:style w:type="paragraph" w:customStyle="1" w:styleId="Titrearticle15">
    <w:name w:val="Titre article15"/>
    <w:basedOn w:val="Normal"/>
    <w:next w:val="Normal"/>
    <w:rsid w:val="009B7138"/>
    <w:pPr>
      <w:keepNext/>
      <w:spacing w:before="360"/>
      <w:jc w:val="center"/>
    </w:pPr>
    <w:rPr>
      <w:i/>
    </w:rPr>
  </w:style>
  <w:style w:type="paragraph" w:customStyle="1" w:styleId="Titrearticle16">
    <w:name w:val="Titre article16"/>
    <w:basedOn w:val="Normal"/>
    <w:next w:val="Normal"/>
    <w:rsid w:val="009B7138"/>
    <w:pPr>
      <w:keepNext/>
      <w:spacing w:before="360"/>
      <w:jc w:val="center"/>
    </w:pPr>
    <w:rPr>
      <w:i/>
    </w:rPr>
  </w:style>
  <w:style w:type="paragraph" w:customStyle="1" w:styleId="Titrearticle17">
    <w:name w:val="Titre article17"/>
    <w:basedOn w:val="Normal"/>
    <w:next w:val="Normal"/>
    <w:rsid w:val="009B7138"/>
    <w:pPr>
      <w:keepNext/>
      <w:spacing w:before="360"/>
      <w:jc w:val="center"/>
    </w:pPr>
    <w:rPr>
      <w:i/>
    </w:rPr>
  </w:style>
  <w:style w:type="paragraph" w:customStyle="1" w:styleId="Titrearticle18">
    <w:name w:val="Titre article18"/>
    <w:basedOn w:val="Normal"/>
    <w:next w:val="Normal"/>
    <w:rsid w:val="009B7138"/>
    <w:pPr>
      <w:keepNext/>
      <w:spacing w:before="360"/>
      <w:jc w:val="center"/>
    </w:pPr>
    <w:rPr>
      <w:i/>
    </w:rPr>
  </w:style>
  <w:style w:type="paragraph" w:customStyle="1" w:styleId="Titrearticle19">
    <w:name w:val="Titre article19"/>
    <w:basedOn w:val="Normal"/>
    <w:next w:val="Normal"/>
    <w:rsid w:val="009B7138"/>
    <w:pPr>
      <w:keepNext/>
      <w:spacing w:before="360"/>
      <w:jc w:val="center"/>
    </w:pPr>
    <w:rPr>
      <w:i/>
    </w:rPr>
  </w:style>
  <w:style w:type="paragraph" w:customStyle="1" w:styleId="Titrearticle20">
    <w:name w:val="Titre article20"/>
    <w:basedOn w:val="Normal"/>
    <w:next w:val="Normal"/>
    <w:rsid w:val="009B7138"/>
    <w:pPr>
      <w:keepNext/>
      <w:spacing w:before="360"/>
      <w:jc w:val="center"/>
    </w:pPr>
    <w:rPr>
      <w:i/>
    </w:rPr>
  </w:style>
  <w:style w:type="paragraph" w:customStyle="1" w:styleId="Titrearticle21">
    <w:name w:val="Titre article21"/>
    <w:basedOn w:val="Normal"/>
    <w:next w:val="Normal"/>
    <w:rsid w:val="009B7138"/>
    <w:pPr>
      <w:keepNext/>
      <w:spacing w:before="360"/>
      <w:jc w:val="center"/>
    </w:pPr>
    <w:rPr>
      <w:i/>
    </w:rPr>
  </w:style>
  <w:style w:type="character" w:customStyle="1" w:styleId="findhit">
    <w:name w:val="findhit"/>
    <w:basedOn w:val="DefaultParagraphFont"/>
    <w:rsid w:val="002061FE"/>
  </w:style>
  <w:style w:type="paragraph" w:customStyle="1" w:styleId="Titrearticlea">
    <w:name w:val="Titre article"/>
    <w:basedOn w:val="Normal"/>
    <w:next w:val="Normal"/>
    <w:rsid w:val="009B7138"/>
    <w:pPr>
      <w:keepNext/>
      <w:spacing w:before="360"/>
      <w:jc w:val="center"/>
    </w:pPr>
    <w:rPr>
      <w:i/>
    </w:rPr>
  </w:style>
  <w:style w:type="paragraph" w:customStyle="1" w:styleId="Titrearticleb">
    <w:name w:val="Titre article"/>
    <w:basedOn w:val="Normal"/>
    <w:next w:val="Normal"/>
    <w:rsid w:val="009B7138"/>
    <w:pPr>
      <w:keepNext/>
      <w:spacing w:before="360"/>
      <w:jc w:val="center"/>
    </w:pPr>
    <w:rPr>
      <w:i/>
    </w:rPr>
  </w:style>
  <w:style w:type="paragraph" w:customStyle="1" w:styleId="Titrearticlec">
    <w:name w:val="Titre article"/>
    <w:basedOn w:val="Normal"/>
    <w:next w:val="Normal"/>
    <w:rsid w:val="009B7138"/>
    <w:pPr>
      <w:keepNext/>
      <w:spacing w:before="360"/>
      <w:jc w:val="center"/>
    </w:pPr>
    <w:rPr>
      <w:i/>
    </w:rPr>
  </w:style>
  <w:style w:type="paragraph" w:customStyle="1" w:styleId="Titrearticled">
    <w:name w:val="Titre article"/>
    <w:basedOn w:val="Normal"/>
    <w:next w:val="Normal"/>
    <w:rsid w:val="009B7138"/>
    <w:pPr>
      <w:keepNext/>
      <w:spacing w:before="360"/>
      <w:jc w:val="center"/>
    </w:pPr>
    <w:rPr>
      <w:i/>
    </w:rPr>
  </w:style>
  <w:style w:type="paragraph" w:customStyle="1" w:styleId="Titrearticlee">
    <w:name w:val="Titre article"/>
    <w:basedOn w:val="Normal"/>
    <w:next w:val="Normal"/>
    <w:rsid w:val="009B7138"/>
    <w:pPr>
      <w:keepNext/>
      <w:spacing w:before="360"/>
      <w:jc w:val="center"/>
    </w:pPr>
    <w:rPr>
      <w:i/>
    </w:rPr>
  </w:style>
  <w:style w:type="paragraph" w:customStyle="1" w:styleId="Titrearticlef">
    <w:name w:val="Titre article"/>
    <w:basedOn w:val="Normal"/>
    <w:next w:val="Normal"/>
    <w:rsid w:val="009B7138"/>
    <w:pPr>
      <w:keepNext/>
      <w:spacing w:before="360"/>
      <w:jc w:val="center"/>
    </w:pPr>
    <w:rPr>
      <w:i/>
    </w:rPr>
  </w:style>
  <w:style w:type="paragraph" w:customStyle="1" w:styleId="Titrearticlef0">
    <w:name w:val="Titre article"/>
    <w:basedOn w:val="Normal"/>
    <w:next w:val="Normal"/>
    <w:rsid w:val="009B7138"/>
    <w:pPr>
      <w:keepNext/>
      <w:spacing w:before="360"/>
      <w:jc w:val="center"/>
    </w:pPr>
    <w:rPr>
      <w:i/>
    </w:rPr>
  </w:style>
  <w:style w:type="paragraph" w:customStyle="1" w:styleId="Titrearticlef1">
    <w:name w:val="Titre article"/>
    <w:basedOn w:val="Normal"/>
    <w:next w:val="Normal"/>
    <w:rsid w:val="009B7138"/>
    <w:pPr>
      <w:keepNext/>
      <w:spacing w:before="360"/>
      <w:jc w:val="center"/>
    </w:pPr>
    <w:rPr>
      <w:i/>
    </w:rPr>
  </w:style>
  <w:style w:type="paragraph" w:customStyle="1" w:styleId="Titrearticlef2">
    <w:name w:val="Titre article"/>
    <w:basedOn w:val="Normal"/>
    <w:next w:val="Normal"/>
    <w:rsid w:val="009B7138"/>
    <w:pPr>
      <w:keepNext/>
      <w:spacing w:before="360"/>
      <w:jc w:val="center"/>
    </w:pPr>
    <w:rPr>
      <w:i/>
    </w:rPr>
  </w:style>
  <w:style w:type="paragraph" w:customStyle="1" w:styleId="Titrearticlef3">
    <w:name w:val="Titre article"/>
    <w:basedOn w:val="Normal"/>
    <w:next w:val="Normal"/>
    <w:rsid w:val="009B7138"/>
    <w:pPr>
      <w:keepNext/>
      <w:spacing w:before="360"/>
      <w:jc w:val="center"/>
    </w:pPr>
    <w:rPr>
      <w:i/>
    </w:rPr>
  </w:style>
  <w:style w:type="paragraph" w:customStyle="1" w:styleId="Titrearticlef4">
    <w:name w:val="Titre article"/>
    <w:basedOn w:val="Normal"/>
    <w:next w:val="Normal"/>
    <w:rsid w:val="009B7138"/>
    <w:pPr>
      <w:keepNext/>
      <w:spacing w:before="360"/>
      <w:jc w:val="center"/>
    </w:pPr>
    <w:rPr>
      <w:i/>
    </w:rPr>
  </w:style>
  <w:style w:type="paragraph" w:customStyle="1" w:styleId="Titrearticlef5">
    <w:name w:val="Titre article"/>
    <w:basedOn w:val="Normal"/>
    <w:next w:val="Normal"/>
    <w:rsid w:val="009B7138"/>
    <w:pPr>
      <w:keepNext/>
      <w:spacing w:before="360"/>
      <w:jc w:val="center"/>
    </w:pPr>
    <w:rPr>
      <w:i/>
    </w:rPr>
  </w:style>
  <w:style w:type="paragraph" w:customStyle="1" w:styleId="Titrearticlef6">
    <w:name w:val="Titre article"/>
    <w:basedOn w:val="Normal"/>
    <w:next w:val="Normal"/>
    <w:rsid w:val="009B7138"/>
    <w:pPr>
      <w:keepNext/>
      <w:spacing w:before="360"/>
      <w:jc w:val="center"/>
    </w:pPr>
    <w:rPr>
      <w:i/>
    </w:rPr>
  </w:style>
  <w:style w:type="paragraph" w:customStyle="1" w:styleId="Titrearticlef7">
    <w:name w:val="Titre article"/>
    <w:basedOn w:val="Normal"/>
    <w:next w:val="Normal"/>
    <w:rsid w:val="009B7138"/>
    <w:pPr>
      <w:keepNext/>
      <w:spacing w:before="360"/>
      <w:jc w:val="center"/>
    </w:pPr>
    <w:rPr>
      <w:i/>
    </w:rPr>
  </w:style>
  <w:style w:type="paragraph" w:customStyle="1" w:styleId="Titrearticlef8">
    <w:name w:val="Titre article"/>
    <w:basedOn w:val="Normal"/>
    <w:next w:val="Normal"/>
    <w:rsid w:val="009B7138"/>
    <w:pPr>
      <w:keepNext/>
      <w:spacing w:before="360"/>
      <w:jc w:val="center"/>
    </w:pPr>
    <w:rPr>
      <w:i/>
    </w:rPr>
  </w:style>
  <w:style w:type="paragraph" w:customStyle="1" w:styleId="Titrearticlef9">
    <w:name w:val="Titre article"/>
    <w:basedOn w:val="Normal"/>
    <w:next w:val="Normal"/>
    <w:rsid w:val="009B7138"/>
    <w:pPr>
      <w:keepNext/>
      <w:spacing w:before="360"/>
      <w:jc w:val="center"/>
    </w:pPr>
    <w:rPr>
      <w:i/>
    </w:rPr>
  </w:style>
  <w:style w:type="paragraph" w:customStyle="1" w:styleId="Titrearticlefa">
    <w:name w:val="Titre article"/>
    <w:basedOn w:val="Normal"/>
    <w:next w:val="Normal"/>
    <w:rsid w:val="009B7138"/>
    <w:pPr>
      <w:keepNext/>
      <w:spacing w:before="360"/>
      <w:jc w:val="center"/>
    </w:pPr>
    <w:rPr>
      <w:i/>
    </w:rPr>
  </w:style>
  <w:style w:type="paragraph" w:customStyle="1" w:styleId="Titrearticlefb">
    <w:name w:val="Titre article"/>
    <w:basedOn w:val="Normal"/>
    <w:next w:val="Normal"/>
    <w:rsid w:val="009B7138"/>
    <w:pPr>
      <w:keepNext/>
      <w:spacing w:before="360"/>
      <w:jc w:val="center"/>
    </w:pPr>
    <w:rPr>
      <w:i/>
    </w:rPr>
  </w:style>
  <w:style w:type="paragraph" w:customStyle="1" w:styleId="Titrearticlefc">
    <w:name w:val="Titre article"/>
    <w:basedOn w:val="Normal"/>
    <w:next w:val="Normal"/>
    <w:rsid w:val="009B7138"/>
    <w:pPr>
      <w:keepNext/>
      <w:spacing w:before="360"/>
      <w:jc w:val="center"/>
    </w:pPr>
    <w:rPr>
      <w:i/>
    </w:rPr>
  </w:style>
  <w:style w:type="paragraph" w:customStyle="1" w:styleId="Titrearticlefd">
    <w:name w:val="Titre article"/>
    <w:basedOn w:val="Normal"/>
    <w:next w:val="Normal"/>
    <w:rsid w:val="009B7138"/>
    <w:pPr>
      <w:keepNext/>
      <w:spacing w:before="360"/>
      <w:jc w:val="center"/>
    </w:pPr>
    <w:rPr>
      <w:i/>
    </w:rPr>
  </w:style>
  <w:style w:type="paragraph" w:customStyle="1" w:styleId="Titrearticlefe">
    <w:name w:val="Titre article"/>
    <w:basedOn w:val="Normal"/>
    <w:next w:val="Normal"/>
    <w:rsid w:val="009B7138"/>
    <w:pPr>
      <w:keepNext/>
      <w:spacing w:before="360"/>
      <w:jc w:val="center"/>
    </w:pPr>
    <w:rPr>
      <w:i/>
    </w:rPr>
  </w:style>
  <w:style w:type="paragraph" w:customStyle="1" w:styleId="Titrearticleff">
    <w:name w:val="Titre article"/>
    <w:basedOn w:val="Normal"/>
    <w:next w:val="Normal"/>
    <w:rsid w:val="009B7138"/>
    <w:pPr>
      <w:keepNext/>
      <w:spacing w:before="360"/>
      <w:jc w:val="center"/>
    </w:pPr>
    <w:rPr>
      <w:i/>
    </w:rPr>
  </w:style>
  <w:style w:type="paragraph" w:customStyle="1" w:styleId="Titrearticleff0">
    <w:name w:val="Titre article"/>
    <w:basedOn w:val="Normal"/>
    <w:next w:val="Normal"/>
    <w:rsid w:val="009B7138"/>
    <w:pPr>
      <w:keepNext/>
      <w:spacing w:before="360"/>
      <w:jc w:val="center"/>
    </w:pPr>
    <w:rPr>
      <w:i/>
    </w:rPr>
  </w:style>
  <w:style w:type="paragraph" w:customStyle="1" w:styleId="Titrearticleff1">
    <w:name w:val="Titre article"/>
    <w:basedOn w:val="Normal"/>
    <w:next w:val="Normal"/>
    <w:rsid w:val="009B7138"/>
    <w:pPr>
      <w:keepNext/>
      <w:spacing w:before="360"/>
      <w:jc w:val="center"/>
    </w:pPr>
    <w:rPr>
      <w:i/>
    </w:rPr>
  </w:style>
  <w:style w:type="paragraph" w:customStyle="1" w:styleId="Titrearticleff2">
    <w:name w:val="Titre article"/>
    <w:basedOn w:val="Normal"/>
    <w:next w:val="Normal"/>
    <w:rsid w:val="009B7138"/>
    <w:pPr>
      <w:keepNext/>
      <w:spacing w:before="360"/>
      <w:jc w:val="center"/>
    </w:pPr>
    <w:rPr>
      <w:i/>
    </w:rPr>
  </w:style>
  <w:style w:type="paragraph" w:customStyle="1" w:styleId="Titrearticleff3">
    <w:name w:val="Titre article"/>
    <w:basedOn w:val="Normal"/>
    <w:next w:val="Normal"/>
    <w:rsid w:val="009B7138"/>
    <w:pPr>
      <w:keepNext/>
      <w:spacing w:before="360"/>
      <w:jc w:val="center"/>
    </w:pPr>
    <w:rPr>
      <w:i/>
    </w:rPr>
  </w:style>
  <w:style w:type="paragraph" w:customStyle="1" w:styleId="Titrearticleff4">
    <w:name w:val="Titre article"/>
    <w:basedOn w:val="Normal"/>
    <w:next w:val="Normal"/>
    <w:rsid w:val="009B7138"/>
    <w:pPr>
      <w:keepNext/>
      <w:spacing w:before="360"/>
      <w:jc w:val="center"/>
    </w:pPr>
    <w:rPr>
      <w:i/>
    </w:rPr>
  </w:style>
  <w:style w:type="paragraph" w:customStyle="1" w:styleId="Titrearticleff5">
    <w:name w:val="Titre article"/>
    <w:basedOn w:val="Normal"/>
    <w:next w:val="Normal"/>
    <w:rsid w:val="009B7138"/>
    <w:pPr>
      <w:keepNext/>
      <w:spacing w:before="360"/>
      <w:jc w:val="center"/>
    </w:pPr>
    <w:rPr>
      <w:i/>
    </w:rPr>
  </w:style>
  <w:style w:type="paragraph" w:customStyle="1" w:styleId="Titrearticleff6">
    <w:name w:val="Titre article"/>
    <w:basedOn w:val="Normal"/>
    <w:next w:val="Normal"/>
    <w:rsid w:val="009B7138"/>
    <w:pPr>
      <w:keepNext/>
      <w:spacing w:before="360"/>
      <w:jc w:val="center"/>
    </w:pPr>
    <w:rPr>
      <w:i/>
    </w:rPr>
  </w:style>
  <w:style w:type="paragraph" w:customStyle="1" w:styleId="Titrearticleff7">
    <w:name w:val="Titre article"/>
    <w:basedOn w:val="Normal"/>
    <w:next w:val="Normal"/>
    <w:rsid w:val="009B7138"/>
    <w:pPr>
      <w:keepNext/>
      <w:spacing w:before="360"/>
      <w:jc w:val="center"/>
    </w:pPr>
    <w:rPr>
      <w:i/>
    </w:rPr>
  </w:style>
  <w:style w:type="paragraph" w:customStyle="1" w:styleId="Titrearticleff8">
    <w:name w:val="Titre article"/>
    <w:basedOn w:val="Normal"/>
    <w:next w:val="Normal"/>
    <w:rsid w:val="009B7138"/>
    <w:pPr>
      <w:keepNext/>
      <w:spacing w:before="360"/>
      <w:jc w:val="center"/>
    </w:pPr>
    <w:rPr>
      <w:i/>
    </w:rPr>
  </w:style>
  <w:style w:type="paragraph" w:customStyle="1" w:styleId="Titrearticleff9">
    <w:name w:val="Titre article"/>
    <w:basedOn w:val="Normal"/>
    <w:next w:val="Normal"/>
    <w:rsid w:val="009B7138"/>
    <w:pPr>
      <w:keepNext/>
      <w:spacing w:before="360"/>
      <w:jc w:val="center"/>
    </w:pPr>
    <w:rPr>
      <w:i/>
    </w:rPr>
  </w:style>
  <w:style w:type="paragraph" w:styleId="Header">
    <w:name w:val="header"/>
    <w:basedOn w:val="Normal"/>
    <w:link w:val="HeaderChar"/>
    <w:uiPriority w:val="99"/>
    <w:unhideWhenUsed/>
    <w:rsid w:val="004A0B38"/>
    <w:pPr>
      <w:tabs>
        <w:tab w:val="center" w:pos="4535"/>
        <w:tab w:val="right" w:pos="9071"/>
      </w:tabs>
      <w:spacing w:before="0"/>
    </w:pPr>
  </w:style>
  <w:style w:type="character" w:customStyle="1" w:styleId="HeaderChar">
    <w:name w:val="Header Char"/>
    <w:basedOn w:val="DefaultParagraphFont"/>
    <w:link w:val="Header"/>
    <w:uiPriority w:val="99"/>
    <w:rsid w:val="004A0B38"/>
    <w:rPr>
      <w:rFonts w:ascii="Times New Roman" w:hAnsi="Times New Roman" w:cs="Times New Roman"/>
      <w:sz w:val="24"/>
      <w:lang w:val="sv-SE"/>
    </w:rPr>
  </w:style>
  <w:style w:type="paragraph" w:styleId="Footer">
    <w:name w:val="footer"/>
    <w:basedOn w:val="Normal"/>
    <w:link w:val="FooterChar"/>
    <w:uiPriority w:val="99"/>
    <w:unhideWhenUsed/>
    <w:rsid w:val="004A0B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A0B38"/>
    <w:rPr>
      <w:rFonts w:ascii="Times New Roman" w:hAnsi="Times New Roman" w:cs="Times New Roman"/>
      <w:sz w:val="24"/>
      <w:lang w:val="sv-SE"/>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sv-SE"/>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4A0B38"/>
    <w:pPr>
      <w:tabs>
        <w:tab w:val="center" w:pos="7285"/>
        <w:tab w:val="right" w:pos="14003"/>
      </w:tabs>
      <w:spacing w:before="0"/>
    </w:pPr>
  </w:style>
  <w:style w:type="paragraph" w:customStyle="1" w:styleId="FooterLandscape">
    <w:name w:val="FooterLandscape"/>
    <w:basedOn w:val="Normal"/>
    <w:rsid w:val="004A0B38"/>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4A0B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A0B38"/>
    <w:pPr>
      <w:spacing w:before="0"/>
      <w:jc w:val="right"/>
    </w:pPr>
    <w:rPr>
      <w:sz w:val="28"/>
    </w:rPr>
  </w:style>
  <w:style w:type="paragraph" w:customStyle="1" w:styleId="FooterSensitivity">
    <w:name w:val="Footer Sensitivity"/>
    <w:basedOn w:val="Normal"/>
    <w:rsid w:val="004A0B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2"/>
      </w:numPr>
    </w:pPr>
  </w:style>
  <w:style w:type="paragraph" w:customStyle="1" w:styleId="Tiret1">
    <w:name w:val="Tiret 1"/>
    <w:basedOn w:val="Point1"/>
    <w:rsid w:val="009B7138"/>
    <w:pPr>
      <w:numPr>
        <w:numId w:val="23"/>
      </w:numPr>
    </w:pPr>
  </w:style>
  <w:style w:type="paragraph" w:customStyle="1" w:styleId="Tiret2">
    <w:name w:val="Tiret 2"/>
    <w:basedOn w:val="Point2"/>
    <w:rsid w:val="009B7138"/>
    <w:pPr>
      <w:numPr>
        <w:numId w:val="24"/>
      </w:numPr>
    </w:pPr>
  </w:style>
  <w:style w:type="paragraph" w:customStyle="1" w:styleId="Tiret3">
    <w:name w:val="Tiret 3"/>
    <w:basedOn w:val="Point3"/>
    <w:rsid w:val="009B7138"/>
    <w:pPr>
      <w:numPr>
        <w:numId w:val="25"/>
      </w:numPr>
    </w:pPr>
  </w:style>
  <w:style w:type="paragraph" w:customStyle="1" w:styleId="Tiret4">
    <w:name w:val="Tiret 4"/>
    <w:basedOn w:val="Point4"/>
    <w:rsid w:val="009B7138"/>
    <w:pPr>
      <w:numPr>
        <w:numId w:val="26"/>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6"/>
      </w:numPr>
    </w:pPr>
  </w:style>
  <w:style w:type="paragraph" w:customStyle="1" w:styleId="NumPar2">
    <w:name w:val="NumPar 2"/>
    <w:basedOn w:val="Normal"/>
    <w:next w:val="Text1"/>
    <w:rsid w:val="009B7138"/>
    <w:pPr>
      <w:numPr>
        <w:ilvl w:val="1"/>
        <w:numId w:val="36"/>
      </w:numPr>
    </w:pPr>
  </w:style>
  <w:style w:type="paragraph" w:customStyle="1" w:styleId="NumPar3">
    <w:name w:val="NumPar 3"/>
    <w:basedOn w:val="Normal"/>
    <w:next w:val="Text1"/>
    <w:rsid w:val="009B7138"/>
    <w:pPr>
      <w:numPr>
        <w:ilvl w:val="2"/>
        <w:numId w:val="36"/>
      </w:numPr>
    </w:pPr>
  </w:style>
  <w:style w:type="paragraph" w:customStyle="1" w:styleId="NumPar4">
    <w:name w:val="NumPar 4"/>
    <w:basedOn w:val="Normal"/>
    <w:next w:val="Text1"/>
    <w:rsid w:val="009B7138"/>
    <w:pPr>
      <w:numPr>
        <w:ilvl w:val="3"/>
        <w:numId w:val="36"/>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7"/>
      </w:numPr>
    </w:pPr>
  </w:style>
  <w:style w:type="paragraph" w:customStyle="1" w:styleId="Point1number">
    <w:name w:val="Point 1 (number)"/>
    <w:basedOn w:val="Normal"/>
    <w:rsid w:val="009B7138"/>
    <w:pPr>
      <w:numPr>
        <w:ilvl w:val="2"/>
        <w:numId w:val="27"/>
      </w:numPr>
    </w:pPr>
  </w:style>
  <w:style w:type="paragraph" w:customStyle="1" w:styleId="Point2number">
    <w:name w:val="Point 2 (number)"/>
    <w:basedOn w:val="Normal"/>
    <w:rsid w:val="009B7138"/>
    <w:pPr>
      <w:numPr>
        <w:ilvl w:val="4"/>
        <w:numId w:val="27"/>
      </w:numPr>
    </w:pPr>
  </w:style>
  <w:style w:type="paragraph" w:customStyle="1" w:styleId="Point3number">
    <w:name w:val="Point 3 (number)"/>
    <w:basedOn w:val="Normal"/>
    <w:rsid w:val="009B7138"/>
    <w:pPr>
      <w:numPr>
        <w:ilvl w:val="6"/>
        <w:numId w:val="27"/>
      </w:numPr>
    </w:pPr>
  </w:style>
  <w:style w:type="paragraph" w:customStyle="1" w:styleId="Point0letter">
    <w:name w:val="Point 0 (letter)"/>
    <w:basedOn w:val="Normal"/>
    <w:rsid w:val="009B7138"/>
    <w:pPr>
      <w:numPr>
        <w:ilvl w:val="1"/>
        <w:numId w:val="27"/>
      </w:numPr>
    </w:pPr>
  </w:style>
  <w:style w:type="paragraph" w:customStyle="1" w:styleId="Point1letter">
    <w:name w:val="Point 1 (letter)"/>
    <w:basedOn w:val="Normal"/>
    <w:rsid w:val="009B7138"/>
    <w:pPr>
      <w:numPr>
        <w:ilvl w:val="3"/>
        <w:numId w:val="27"/>
      </w:numPr>
    </w:pPr>
  </w:style>
  <w:style w:type="paragraph" w:customStyle="1" w:styleId="Point2letter">
    <w:name w:val="Point 2 (letter)"/>
    <w:basedOn w:val="Normal"/>
    <w:rsid w:val="009B7138"/>
    <w:pPr>
      <w:numPr>
        <w:ilvl w:val="5"/>
        <w:numId w:val="27"/>
      </w:numPr>
    </w:pPr>
  </w:style>
  <w:style w:type="paragraph" w:customStyle="1" w:styleId="Point3letter">
    <w:name w:val="Point 3 (letter)"/>
    <w:basedOn w:val="Normal"/>
    <w:rsid w:val="009B7138"/>
    <w:pPr>
      <w:numPr>
        <w:ilvl w:val="7"/>
        <w:numId w:val="27"/>
      </w:numPr>
    </w:pPr>
  </w:style>
  <w:style w:type="paragraph" w:customStyle="1" w:styleId="Point4letter">
    <w:name w:val="Point 4 (letter)"/>
    <w:basedOn w:val="Normal"/>
    <w:rsid w:val="009B7138"/>
    <w:pPr>
      <w:numPr>
        <w:ilvl w:val="8"/>
        <w:numId w:val="27"/>
      </w:numPr>
    </w:pPr>
  </w:style>
  <w:style w:type="paragraph" w:customStyle="1" w:styleId="Bullet0">
    <w:name w:val="Bullet 0"/>
    <w:basedOn w:val="Normal"/>
    <w:rsid w:val="009B7138"/>
    <w:pPr>
      <w:numPr>
        <w:numId w:val="28"/>
      </w:numPr>
    </w:pPr>
  </w:style>
  <w:style w:type="paragraph" w:customStyle="1" w:styleId="Bullet1">
    <w:name w:val="Bullet 1"/>
    <w:basedOn w:val="Normal"/>
    <w:rsid w:val="009B7138"/>
    <w:pPr>
      <w:numPr>
        <w:numId w:val="29"/>
      </w:numPr>
    </w:pPr>
  </w:style>
  <w:style w:type="paragraph" w:customStyle="1" w:styleId="Bullet2">
    <w:name w:val="Bullet 2"/>
    <w:basedOn w:val="Normal"/>
    <w:rsid w:val="009B7138"/>
    <w:pPr>
      <w:numPr>
        <w:numId w:val="30"/>
      </w:numPr>
    </w:pPr>
  </w:style>
  <w:style w:type="paragraph" w:customStyle="1" w:styleId="Bullet3">
    <w:name w:val="Bullet 3"/>
    <w:basedOn w:val="Normal"/>
    <w:rsid w:val="009B7138"/>
    <w:pPr>
      <w:numPr>
        <w:numId w:val="31"/>
      </w:numPr>
    </w:pPr>
  </w:style>
  <w:style w:type="paragraph" w:customStyle="1" w:styleId="Bullet4">
    <w:name w:val="Bullet 4"/>
    <w:basedOn w:val="Normal"/>
    <w:rsid w:val="009B7138"/>
    <w:pPr>
      <w:numPr>
        <w:numId w:val="32"/>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3"/>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ffa"/>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ffa">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ffa"/>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996B89"/>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sid w:val="00996B89"/>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sid w:val="00996B89"/>
    <w:rPr>
      <w:rFonts w:ascii="Times New Roman" w:eastAsiaTheme="majorEastAsia" w:hAnsi="Times New Roman" w:cs="Times New Roman"/>
      <w:iCs/>
      <w:sz w:val="24"/>
      <w:lang w:val="sv-SE"/>
    </w:rPr>
  </w:style>
  <w:style w:type="paragraph" w:customStyle="1" w:styleId="ManualHeading5">
    <w:name w:val="Manual Heading 5"/>
    <w:basedOn w:val="Normal"/>
    <w:next w:val="Text2"/>
    <w:rsid w:val="00996B89"/>
    <w:pPr>
      <w:keepNext/>
      <w:tabs>
        <w:tab w:val="left" w:pos="1417"/>
      </w:tabs>
      <w:ind w:left="1417" w:hanging="1417"/>
      <w:outlineLvl w:val="4"/>
    </w:pPr>
  </w:style>
  <w:style w:type="paragraph" w:customStyle="1" w:styleId="ManualHeading6">
    <w:name w:val="Manual Heading 6"/>
    <w:basedOn w:val="Normal"/>
    <w:next w:val="Text2"/>
    <w:rsid w:val="00996B89"/>
    <w:pPr>
      <w:keepNext/>
      <w:tabs>
        <w:tab w:val="left" w:pos="1417"/>
      </w:tabs>
      <w:ind w:left="1417" w:hanging="1417"/>
      <w:outlineLvl w:val="5"/>
    </w:pPr>
  </w:style>
  <w:style w:type="paragraph" w:customStyle="1" w:styleId="ManualHeading7">
    <w:name w:val="Manual Heading 7"/>
    <w:basedOn w:val="Normal"/>
    <w:next w:val="Text2"/>
    <w:rsid w:val="00996B89"/>
    <w:pPr>
      <w:keepNext/>
      <w:tabs>
        <w:tab w:val="left" w:pos="1417"/>
      </w:tabs>
      <w:ind w:left="1417" w:hanging="1417"/>
      <w:outlineLvl w:val="6"/>
    </w:pPr>
  </w:style>
  <w:style w:type="paragraph" w:customStyle="1" w:styleId="Text5">
    <w:name w:val="Text 5"/>
    <w:basedOn w:val="Normal"/>
    <w:rsid w:val="00996B89"/>
    <w:pPr>
      <w:ind w:left="3118"/>
    </w:pPr>
  </w:style>
  <w:style w:type="paragraph" w:customStyle="1" w:styleId="Text6">
    <w:name w:val="Text 6"/>
    <w:basedOn w:val="Normal"/>
    <w:rsid w:val="00996B89"/>
    <w:pPr>
      <w:ind w:left="3685"/>
    </w:pPr>
  </w:style>
  <w:style w:type="paragraph" w:customStyle="1" w:styleId="Point5">
    <w:name w:val="Point 5"/>
    <w:basedOn w:val="Normal"/>
    <w:rsid w:val="00996B89"/>
    <w:pPr>
      <w:ind w:left="3685" w:hanging="567"/>
    </w:pPr>
  </w:style>
  <w:style w:type="paragraph" w:customStyle="1" w:styleId="Tiret5">
    <w:name w:val="Tiret 5"/>
    <w:basedOn w:val="Point5"/>
    <w:rsid w:val="00996B89"/>
    <w:pPr>
      <w:numPr>
        <w:numId w:val="35"/>
      </w:numPr>
    </w:pPr>
  </w:style>
  <w:style w:type="paragraph" w:customStyle="1" w:styleId="NumPar5">
    <w:name w:val="NumPar 5"/>
    <w:basedOn w:val="Normal"/>
    <w:next w:val="Text2"/>
    <w:rsid w:val="00996B89"/>
    <w:pPr>
      <w:numPr>
        <w:ilvl w:val="4"/>
        <w:numId w:val="36"/>
      </w:numPr>
    </w:pPr>
  </w:style>
  <w:style w:type="paragraph" w:customStyle="1" w:styleId="NumPar6">
    <w:name w:val="NumPar 6"/>
    <w:basedOn w:val="Normal"/>
    <w:next w:val="Text2"/>
    <w:rsid w:val="00996B89"/>
    <w:pPr>
      <w:numPr>
        <w:ilvl w:val="5"/>
        <w:numId w:val="36"/>
      </w:numPr>
    </w:pPr>
  </w:style>
  <w:style w:type="paragraph" w:customStyle="1" w:styleId="NumPar7">
    <w:name w:val="NumPar 7"/>
    <w:basedOn w:val="Normal"/>
    <w:next w:val="Text2"/>
    <w:rsid w:val="00996B89"/>
    <w:pPr>
      <w:numPr>
        <w:ilvl w:val="6"/>
        <w:numId w:val="36"/>
      </w:numPr>
    </w:pPr>
  </w:style>
  <w:style w:type="paragraph" w:customStyle="1" w:styleId="ManualNumPar5">
    <w:name w:val="Manual NumPar 5"/>
    <w:basedOn w:val="Normal"/>
    <w:next w:val="Text2"/>
    <w:rsid w:val="00996B89"/>
    <w:pPr>
      <w:ind w:left="1417" w:hanging="1417"/>
    </w:pPr>
  </w:style>
  <w:style w:type="paragraph" w:customStyle="1" w:styleId="ManualNumPar6">
    <w:name w:val="Manual NumPar 6"/>
    <w:basedOn w:val="Normal"/>
    <w:next w:val="Text2"/>
    <w:rsid w:val="00996B89"/>
    <w:pPr>
      <w:ind w:left="1417" w:hanging="1417"/>
    </w:pPr>
  </w:style>
  <w:style w:type="paragraph" w:customStyle="1" w:styleId="ManualNumPar7">
    <w:name w:val="Manual NumPar 7"/>
    <w:basedOn w:val="Normal"/>
    <w:next w:val="Text2"/>
    <w:rsid w:val="00996B89"/>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1215">
      <w:bodyDiv w:val="1"/>
      <w:marLeft w:val="0"/>
      <w:marRight w:val="0"/>
      <w:marTop w:val="0"/>
      <w:marBottom w:val="0"/>
      <w:divBdr>
        <w:top w:val="none" w:sz="0" w:space="0" w:color="auto"/>
        <w:left w:val="none" w:sz="0" w:space="0" w:color="auto"/>
        <w:bottom w:val="none" w:sz="0" w:space="0" w:color="auto"/>
        <w:right w:val="none" w:sz="0" w:space="0" w:color="auto"/>
      </w:divBdr>
    </w:div>
    <w:div w:id="261651447">
      <w:bodyDiv w:val="1"/>
      <w:marLeft w:val="0"/>
      <w:marRight w:val="0"/>
      <w:marTop w:val="0"/>
      <w:marBottom w:val="0"/>
      <w:divBdr>
        <w:top w:val="none" w:sz="0" w:space="0" w:color="auto"/>
        <w:left w:val="none" w:sz="0" w:space="0" w:color="auto"/>
        <w:bottom w:val="none" w:sz="0" w:space="0" w:color="auto"/>
        <w:right w:val="none" w:sz="0" w:space="0" w:color="auto"/>
      </w:divBdr>
      <w:divsChild>
        <w:div w:id="432435502">
          <w:marLeft w:val="0"/>
          <w:marRight w:val="0"/>
          <w:marTop w:val="0"/>
          <w:marBottom w:val="0"/>
          <w:divBdr>
            <w:top w:val="none" w:sz="0" w:space="0" w:color="auto"/>
            <w:left w:val="none" w:sz="0" w:space="0" w:color="auto"/>
            <w:bottom w:val="none" w:sz="0" w:space="0" w:color="auto"/>
            <w:right w:val="none" w:sz="0" w:space="0" w:color="auto"/>
          </w:divBdr>
        </w:div>
      </w:divsChild>
    </w:div>
    <w:div w:id="347489556">
      <w:bodyDiv w:val="1"/>
      <w:marLeft w:val="0"/>
      <w:marRight w:val="0"/>
      <w:marTop w:val="0"/>
      <w:marBottom w:val="0"/>
      <w:divBdr>
        <w:top w:val="none" w:sz="0" w:space="0" w:color="auto"/>
        <w:left w:val="none" w:sz="0" w:space="0" w:color="auto"/>
        <w:bottom w:val="none" w:sz="0" w:space="0" w:color="auto"/>
        <w:right w:val="none" w:sz="0" w:space="0" w:color="auto"/>
      </w:divBdr>
      <w:divsChild>
        <w:div w:id="708146725">
          <w:marLeft w:val="0"/>
          <w:marRight w:val="0"/>
          <w:marTop w:val="0"/>
          <w:marBottom w:val="0"/>
          <w:divBdr>
            <w:top w:val="none" w:sz="0" w:space="0" w:color="auto"/>
            <w:left w:val="none" w:sz="0" w:space="0" w:color="auto"/>
            <w:bottom w:val="none" w:sz="0" w:space="0" w:color="auto"/>
            <w:right w:val="none" w:sz="0" w:space="0" w:color="auto"/>
          </w:divBdr>
        </w:div>
      </w:divsChild>
    </w:div>
    <w:div w:id="441076112">
      <w:bodyDiv w:val="1"/>
      <w:marLeft w:val="0"/>
      <w:marRight w:val="0"/>
      <w:marTop w:val="0"/>
      <w:marBottom w:val="0"/>
      <w:divBdr>
        <w:top w:val="none" w:sz="0" w:space="0" w:color="auto"/>
        <w:left w:val="none" w:sz="0" w:space="0" w:color="auto"/>
        <w:bottom w:val="none" w:sz="0" w:space="0" w:color="auto"/>
        <w:right w:val="none" w:sz="0" w:space="0" w:color="auto"/>
      </w:divBdr>
    </w:div>
    <w:div w:id="463699510">
      <w:bodyDiv w:val="1"/>
      <w:marLeft w:val="0"/>
      <w:marRight w:val="0"/>
      <w:marTop w:val="0"/>
      <w:marBottom w:val="0"/>
      <w:divBdr>
        <w:top w:val="none" w:sz="0" w:space="0" w:color="auto"/>
        <w:left w:val="none" w:sz="0" w:space="0" w:color="auto"/>
        <w:bottom w:val="none" w:sz="0" w:space="0" w:color="auto"/>
        <w:right w:val="none" w:sz="0" w:space="0" w:color="auto"/>
      </w:divBdr>
      <w:divsChild>
        <w:div w:id="1042093792">
          <w:marLeft w:val="0"/>
          <w:marRight w:val="0"/>
          <w:marTop w:val="0"/>
          <w:marBottom w:val="0"/>
          <w:divBdr>
            <w:top w:val="none" w:sz="0" w:space="0" w:color="auto"/>
            <w:left w:val="none" w:sz="0" w:space="0" w:color="auto"/>
            <w:bottom w:val="none" w:sz="0" w:space="0" w:color="auto"/>
            <w:right w:val="none" w:sz="0" w:space="0" w:color="auto"/>
          </w:divBdr>
        </w:div>
      </w:divsChild>
    </w:div>
    <w:div w:id="514810929">
      <w:bodyDiv w:val="1"/>
      <w:marLeft w:val="0"/>
      <w:marRight w:val="0"/>
      <w:marTop w:val="0"/>
      <w:marBottom w:val="0"/>
      <w:divBdr>
        <w:top w:val="none" w:sz="0" w:space="0" w:color="auto"/>
        <w:left w:val="none" w:sz="0" w:space="0" w:color="auto"/>
        <w:bottom w:val="none" w:sz="0" w:space="0" w:color="auto"/>
        <w:right w:val="none" w:sz="0" w:space="0" w:color="auto"/>
      </w:divBdr>
      <w:divsChild>
        <w:div w:id="1713114348">
          <w:marLeft w:val="0"/>
          <w:marRight w:val="0"/>
          <w:marTop w:val="0"/>
          <w:marBottom w:val="0"/>
          <w:divBdr>
            <w:top w:val="none" w:sz="0" w:space="0" w:color="auto"/>
            <w:left w:val="none" w:sz="0" w:space="0" w:color="auto"/>
            <w:bottom w:val="none" w:sz="0" w:space="0" w:color="auto"/>
            <w:right w:val="none" w:sz="0" w:space="0" w:color="auto"/>
          </w:divBdr>
        </w:div>
        <w:div w:id="1260260387">
          <w:marLeft w:val="0"/>
          <w:marRight w:val="0"/>
          <w:marTop w:val="0"/>
          <w:marBottom w:val="0"/>
          <w:divBdr>
            <w:top w:val="none" w:sz="0" w:space="0" w:color="auto"/>
            <w:left w:val="none" w:sz="0" w:space="0" w:color="auto"/>
            <w:bottom w:val="none" w:sz="0" w:space="0" w:color="auto"/>
            <w:right w:val="none" w:sz="0" w:space="0" w:color="auto"/>
          </w:divBdr>
        </w:div>
      </w:divsChild>
    </w:div>
    <w:div w:id="579095838">
      <w:bodyDiv w:val="1"/>
      <w:marLeft w:val="0"/>
      <w:marRight w:val="0"/>
      <w:marTop w:val="0"/>
      <w:marBottom w:val="0"/>
      <w:divBdr>
        <w:top w:val="none" w:sz="0" w:space="0" w:color="auto"/>
        <w:left w:val="none" w:sz="0" w:space="0" w:color="auto"/>
        <w:bottom w:val="none" w:sz="0" w:space="0" w:color="auto"/>
        <w:right w:val="none" w:sz="0" w:space="0" w:color="auto"/>
      </w:divBdr>
    </w:div>
    <w:div w:id="611134197">
      <w:bodyDiv w:val="1"/>
      <w:marLeft w:val="0"/>
      <w:marRight w:val="0"/>
      <w:marTop w:val="0"/>
      <w:marBottom w:val="0"/>
      <w:divBdr>
        <w:top w:val="none" w:sz="0" w:space="0" w:color="auto"/>
        <w:left w:val="none" w:sz="0" w:space="0" w:color="auto"/>
        <w:bottom w:val="none" w:sz="0" w:space="0" w:color="auto"/>
        <w:right w:val="none" w:sz="0" w:space="0" w:color="auto"/>
      </w:divBdr>
    </w:div>
    <w:div w:id="654186682">
      <w:bodyDiv w:val="1"/>
      <w:marLeft w:val="0"/>
      <w:marRight w:val="0"/>
      <w:marTop w:val="0"/>
      <w:marBottom w:val="0"/>
      <w:divBdr>
        <w:top w:val="none" w:sz="0" w:space="0" w:color="auto"/>
        <w:left w:val="none" w:sz="0" w:space="0" w:color="auto"/>
        <w:bottom w:val="none" w:sz="0" w:space="0" w:color="auto"/>
        <w:right w:val="none" w:sz="0" w:space="0" w:color="auto"/>
      </w:divBdr>
    </w:div>
    <w:div w:id="801537196">
      <w:bodyDiv w:val="1"/>
      <w:marLeft w:val="0"/>
      <w:marRight w:val="0"/>
      <w:marTop w:val="0"/>
      <w:marBottom w:val="0"/>
      <w:divBdr>
        <w:top w:val="none" w:sz="0" w:space="0" w:color="auto"/>
        <w:left w:val="none" w:sz="0" w:space="0" w:color="auto"/>
        <w:bottom w:val="none" w:sz="0" w:space="0" w:color="auto"/>
        <w:right w:val="none" w:sz="0" w:space="0" w:color="auto"/>
      </w:divBdr>
    </w:div>
    <w:div w:id="864829097">
      <w:bodyDiv w:val="1"/>
      <w:marLeft w:val="0"/>
      <w:marRight w:val="0"/>
      <w:marTop w:val="0"/>
      <w:marBottom w:val="0"/>
      <w:divBdr>
        <w:top w:val="none" w:sz="0" w:space="0" w:color="auto"/>
        <w:left w:val="none" w:sz="0" w:space="0" w:color="auto"/>
        <w:bottom w:val="none" w:sz="0" w:space="0" w:color="auto"/>
        <w:right w:val="none" w:sz="0" w:space="0" w:color="auto"/>
      </w:divBdr>
    </w:div>
    <w:div w:id="895631716">
      <w:bodyDiv w:val="1"/>
      <w:marLeft w:val="0"/>
      <w:marRight w:val="0"/>
      <w:marTop w:val="0"/>
      <w:marBottom w:val="0"/>
      <w:divBdr>
        <w:top w:val="none" w:sz="0" w:space="0" w:color="auto"/>
        <w:left w:val="none" w:sz="0" w:space="0" w:color="auto"/>
        <w:bottom w:val="none" w:sz="0" w:space="0" w:color="auto"/>
        <w:right w:val="none" w:sz="0" w:space="0" w:color="auto"/>
      </w:divBdr>
      <w:divsChild>
        <w:div w:id="166936554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945843963">
      <w:bodyDiv w:val="1"/>
      <w:marLeft w:val="0"/>
      <w:marRight w:val="0"/>
      <w:marTop w:val="0"/>
      <w:marBottom w:val="0"/>
      <w:divBdr>
        <w:top w:val="none" w:sz="0" w:space="0" w:color="auto"/>
        <w:left w:val="none" w:sz="0" w:space="0" w:color="auto"/>
        <w:bottom w:val="none" w:sz="0" w:space="0" w:color="auto"/>
        <w:right w:val="none" w:sz="0" w:space="0" w:color="auto"/>
      </w:divBdr>
      <w:divsChild>
        <w:div w:id="216164096">
          <w:marLeft w:val="0"/>
          <w:marRight w:val="0"/>
          <w:marTop w:val="0"/>
          <w:marBottom w:val="0"/>
          <w:divBdr>
            <w:top w:val="none" w:sz="0" w:space="0" w:color="auto"/>
            <w:left w:val="none" w:sz="0" w:space="0" w:color="auto"/>
            <w:bottom w:val="none" w:sz="0" w:space="0" w:color="auto"/>
            <w:right w:val="none" w:sz="0" w:space="0" w:color="auto"/>
          </w:divBdr>
        </w:div>
        <w:div w:id="235939674">
          <w:marLeft w:val="0"/>
          <w:marRight w:val="0"/>
          <w:marTop w:val="0"/>
          <w:marBottom w:val="0"/>
          <w:divBdr>
            <w:top w:val="none" w:sz="0" w:space="0" w:color="auto"/>
            <w:left w:val="none" w:sz="0" w:space="0" w:color="auto"/>
            <w:bottom w:val="none" w:sz="0" w:space="0" w:color="auto"/>
            <w:right w:val="none" w:sz="0" w:space="0" w:color="auto"/>
          </w:divBdr>
        </w:div>
      </w:divsChild>
    </w:div>
    <w:div w:id="953055742">
      <w:bodyDiv w:val="1"/>
      <w:marLeft w:val="0"/>
      <w:marRight w:val="0"/>
      <w:marTop w:val="0"/>
      <w:marBottom w:val="0"/>
      <w:divBdr>
        <w:top w:val="none" w:sz="0" w:space="0" w:color="auto"/>
        <w:left w:val="none" w:sz="0" w:space="0" w:color="auto"/>
        <w:bottom w:val="none" w:sz="0" w:space="0" w:color="auto"/>
        <w:right w:val="none" w:sz="0" w:space="0" w:color="auto"/>
      </w:divBdr>
    </w:div>
    <w:div w:id="1075200450">
      <w:bodyDiv w:val="1"/>
      <w:marLeft w:val="0"/>
      <w:marRight w:val="0"/>
      <w:marTop w:val="0"/>
      <w:marBottom w:val="0"/>
      <w:divBdr>
        <w:top w:val="none" w:sz="0" w:space="0" w:color="auto"/>
        <w:left w:val="none" w:sz="0" w:space="0" w:color="auto"/>
        <w:bottom w:val="none" w:sz="0" w:space="0" w:color="auto"/>
        <w:right w:val="none" w:sz="0" w:space="0" w:color="auto"/>
      </w:divBdr>
    </w:div>
    <w:div w:id="1079327024">
      <w:bodyDiv w:val="1"/>
      <w:marLeft w:val="0"/>
      <w:marRight w:val="0"/>
      <w:marTop w:val="0"/>
      <w:marBottom w:val="0"/>
      <w:divBdr>
        <w:top w:val="none" w:sz="0" w:space="0" w:color="auto"/>
        <w:left w:val="none" w:sz="0" w:space="0" w:color="auto"/>
        <w:bottom w:val="none" w:sz="0" w:space="0" w:color="auto"/>
        <w:right w:val="none" w:sz="0" w:space="0" w:color="auto"/>
      </w:divBdr>
    </w:div>
    <w:div w:id="1095057233">
      <w:bodyDiv w:val="1"/>
      <w:marLeft w:val="0"/>
      <w:marRight w:val="0"/>
      <w:marTop w:val="0"/>
      <w:marBottom w:val="0"/>
      <w:divBdr>
        <w:top w:val="none" w:sz="0" w:space="0" w:color="auto"/>
        <w:left w:val="none" w:sz="0" w:space="0" w:color="auto"/>
        <w:bottom w:val="none" w:sz="0" w:space="0" w:color="auto"/>
        <w:right w:val="none" w:sz="0" w:space="0" w:color="auto"/>
      </w:divBdr>
      <w:divsChild>
        <w:div w:id="954603478">
          <w:marLeft w:val="0"/>
          <w:marRight w:val="0"/>
          <w:marTop w:val="0"/>
          <w:marBottom w:val="0"/>
          <w:divBdr>
            <w:top w:val="none" w:sz="0" w:space="0" w:color="auto"/>
            <w:left w:val="none" w:sz="0" w:space="0" w:color="auto"/>
            <w:bottom w:val="none" w:sz="0" w:space="0" w:color="auto"/>
            <w:right w:val="none" w:sz="0" w:space="0" w:color="auto"/>
          </w:divBdr>
          <w:divsChild>
            <w:div w:id="693580882">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83960022">
          <w:marLeft w:val="0"/>
          <w:marRight w:val="0"/>
          <w:marTop w:val="0"/>
          <w:marBottom w:val="0"/>
          <w:divBdr>
            <w:top w:val="none" w:sz="0" w:space="0" w:color="auto"/>
            <w:left w:val="none" w:sz="0" w:space="0" w:color="auto"/>
            <w:bottom w:val="none" w:sz="0" w:space="0" w:color="auto"/>
            <w:right w:val="none" w:sz="0" w:space="0" w:color="auto"/>
          </w:divBdr>
        </w:div>
      </w:divsChild>
    </w:div>
    <w:div w:id="1339960842">
      <w:bodyDiv w:val="1"/>
      <w:marLeft w:val="0"/>
      <w:marRight w:val="0"/>
      <w:marTop w:val="0"/>
      <w:marBottom w:val="0"/>
      <w:divBdr>
        <w:top w:val="none" w:sz="0" w:space="0" w:color="auto"/>
        <w:left w:val="none" w:sz="0" w:space="0" w:color="auto"/>
        <w:bottom w:val="none" w:sz="0" w:space="0" w:color="auto"/>
        <w:right w:val="none" w:sz="0" w:space="0" w:color="auto"/>
      </w:divBdr>
    </w:div>
    <w:div w:id="1377049254">
      <w:bodyDiv w:val="1"/>
      <w:marLeft w:val="0"/>
      <w:marRight w:val="0"/>
      <w:marTop w:val="0"/>
      <w:marBottom w:val="0"/>
      <w:divBdr>
        <w:top w:val="none" w:sz="0" w:space="0" w:color="auto"/>
        <w:left w:val="none" w:sz="0" w:space="0" w:color="auto"/>
        <w:bottom w:val="none" w:sz="0" w:space="0" w:color="auto"/>
        <w:right w:val="none" w:sz="0" w:space="0" w:color="auto"/>
      </w:divBdr>
    </w:div>
    <w:div w:id="1458378005">
      <w:bodyDiv w:val="1"/>
      <w:marLeft w:val="0"/>
      <w:marRight w:val="0"/>
      <w:marTop w:val="0"/>
      <w:marBottom w:val="0"/>
      <w:divBdr>
        <w:top w:val="none" w:sz="0" w:space="0" w:color="auto"/>
        <w:left w:val="none" w:sz="0" w:space="0" w:color="auto"/>
        <w:bottom w:val="none" w:sz="0" w:space="0" w:color="auto"/>
        <w:right w:val="none" w:sz="0" w:space="0" w:color="auto"/>
      </w:divBdr>
    </w:div>
    <w:div w:id="1535774417">
      <w:bodyDiv w:val="1"/>
      <w:marLeft w:val="0"/>
      <w:marRight w:val="0"/>
      <w:marTop w:val="0"/>
      <w:marBottom w:val="0"/>
      <w:divBdr>
        <w:top w:val="none" w:sz="0" w:space="0" w:color="auto"/>
        <w:left w:val="none" w:sz="0" w:space="0" w:color="auto"/>
        <w:bottom w:val="none" w:sz="0" w:space="0" w:color="auto"/>
        <w:right w:val="none" w:sz="0" w:space="0" w:color="auto"/>
      </w:divBdr>
    </w:div>
    <w:div w:id="1666399668">
      <w:bodyDiv w:val="1"/>
      <w:marLeft w:val="0"/>
      <w:marRight w:val="0"/>
      <w:marTop w:val="0"/>
      <w:marBottom w:val="0"/>
      <w:divBdr>
        <w:top w:val="none" w:sz="0" w:space="0" w:color="auto"/>
        <w:left w:val="none" w:sz="0" w:space="0" w:color="auto"/>
        <w:bottom w:val="none" w:sz="0" w:space="0" w:color="auto"/>
        <w:right w:val="none" w:sz="0" w:space="0" w:color="auto"/>
      </w:divBdr>
    </w:div>
    <w:div w:id="1802503529">
      <w:bodyDiv w:val="1"/>
      <w:marLeft w:val="0"/>
      <w:marRight w:val="0"/>
      <w:marTop w:val="0"/>
      <w:marBottom w:val="0"/>
      <w:divBdr>
        <w:top w:val="none" w:sz="0" w:space="0" w:color="auto"/>
        <w:left w:val="none" w:sz="0" w:space="0" w:color="auto"/>
        <w:bottom w:val="none" w:sz="0" w:space="0" w:color="auto"/>
        <w:right w:val="none" w:sz="0" w:space="0" w:color="auto"/>
      </w:divBdr>
    </w:div>
    <w:div w:id="2139569247">
      <w:bodyDiv w:val="1"/>
      <w:marLeft w:val="0"/>
      <w:marRight w:val="0"/>
      <w:marTop w:val="0"/>
      <w:marBottom w:val="0"/>
      <w:divBdr>
        <w:top w:val="none" w:sz="0" w:space="0" w:color="auto"/>
        <w:left w:val="none" w:sz="0" w:space="0" w:color="auto"/>
        <w:bottom w:val="none" w:sz="0" w:space="0" w:color="auto"/>
        <w:right w:val="none" w:sz="0" w:space="0" w:color="auto"/>
      </w:divBdr>
      <w:divsChild>
        <w:div w:id="592930609">
          <w:marLeft w:val="0"/>
          <w:marRight w:val="0"/>
          <w:marTop w:val="0"/>
          <w:marBottom w:val="0"/>
          <w:divBdr>
            <w:top w:val="none" w:sz="0" w:space="0" w:color="auto"/>
            <w:left w:val="none" w:sz="0" w:space="0" w:color="auto"/>
            <w:bottom w:val="none" w:sz="0" w:space="0" w:color="auto"/>
            <w:right w:val="none" w:sz="0" w:space="0" w:color="auto"/>
          </w:divBdr>
        </w:div>
        <w:div w:id="1583491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https://myintracomm.ec.europa.eu/budgweb/SV/pre/legalbasis/Pages/pre-040-020_preparation.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eil.secure.europarl.europa.eu/oeil/popups/ficheprocedure.do?lang=en&amp;reference=2020/2764(RSP)" TargetMode="External"/><Relationship Id="rId20" Type="http://schemas.openxmlformats.org/officeDocument/2006/relationships/footer" Target="foot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hyperlink" Target="https://www.europarl.europa.eu/doceo/document/B-9-2020-0310_SV.html" TargetMode="External"/><Relationship Id="rId23" Type="http://schemas.openxmlformats.org/officeDocument/2006/relationships/header" Target="header4.xml"/><Relationship Id="rId28" Type="http://schemas.openxmlformats.org/officeDocument/2006/relationships/footer" Target="footer9.xml"/><Relationship Id="rId36" Type="http://schemas.openxmlformats.org/officeDocument/2006/relationships/header" Target="header10.xm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2.xml"/><Relationship Id="rId48"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13129-2017-INIT/sv/pdf" TargetMode="External"/><Relationship Id="rId13" Type="http://schemas.openxmlformats.org/officeDocument/2006/relationships/hyperlink" Target="https://data.consilium.europa.eu/doc/document/ST-8754-2019-INIT/sv/pdf" TargetMode="External"/><Relationship Id="rId18" Type="http://schemas.openxmlformats.org/officeDocument/2006/relationships/hyperlink" Target="https://ec.europa.eu/info/strategy/priorities-2019-2024/european-green-deal_sv" TargetMode="External"/><Relationship Id="rId3" Type="http://schemas.openxmlformats.org/officeDocument/2006/relationships/hyperlink" Target="https://www.consilium.europa.eu/sv/press/press-releases/2016/09/16/bratislava-declaration-and-roadmap/" TargetMode="External"/><Relationship Id="rId21" Type="http://schemas.openxmlformats.org/officeDocument/2006/relationships/hyperlink" Target="https://www.europarl.europa.eu/doceo/document/TA-9-2020-0211_SV.html" TargetMode="External"/><Relationship Id="rId7" Type="http://schemas.openxmlformats.org/officeDocument/2006/relationships/hyperlink" Target="https://sustainabledevelopment.un.org/content/documents/21252030%20Agenda%20for%20Sustainable%20Development%20web.pdf" TargetMode="External"/><Relationship Id="rId12" Type="http://schemas.openxmlformats.org/officeDocument/2006/relationships/hyperlink" Target="https://eur-lex.europa.eu/legal-content/SV/TXT/PDF/?uri=CELEX:42020Y1201(01)&amp;qid=1634487158679&amp;from=EN" TargetMode="External"/><Relationship Id="rId17" Type="http://schemas.openxmlformats.org/officeDocument/2006/relationships/hyperlink" Target="https://ec.europa.eu/clima/policies/international/negotiations/paris_en" TargetMode="External"/><Relationship Id="rId2" Type="http://schemas.openxmlformats.org/officeDocument/2006/relationships/hyperlink" Target="https://ec.europa.eu/social/BlobServlet?docId=23699&amp;langId=en" TargetMode="External"/><Relationship Id="rId16" Type="http://schemas.openxmlformats.org/officeDocument/2006/relationships/hyperlink" Target="https://ec.europa.eu/clima/policies/international/negotiations/paris_en" TargetMode="External"/><Relationship Id="rId20" Type="http://schemas.openxmlformats.org/officeDocument/2006/relationships/hyperlink" Target="https://www.consilium.europa.eu/sv/policies/eu-plan-for-a-green-transition/" TargetMode="External"/><Relationship Id="rId1" Type="http://schemas.openxmlformats.org/officeDocument/2006/relationships/hyperlink" Target="https://ec.europa.eu/social/BlobServlet?docId=22829&amp;langId=en" TargetMode="External"/><Relationship Id="rId6" Type="http://schemas.openxmlformats.org/officeDocument/2006/relationships/hyperlink" Target="https://eur-lex.europa.eu/legal-content/SV/TXT/HTML/?uri=CELEX:52020DC0790&amp;from=SV" TargetMode="External"/><Relationship Id="rId11" Type="http://schemas.openxmlformats.org/officeDocument/2006/relationships/hyperlink" Target="https://www.europarl.europa.eu/doceo/document/TA-9-2021-0045_SV.html" TargetMode="External"/><Relationship Id="rId5" Type="http://schemas.openxmlformats.org/officeDocument/2006/relationships/hyperlink" Target="https://ec.europa.eu/info/sites/default/files/soteu_2021_address_sv_0.pdf" TargetMode="External"/><Relationship Id="rId15" Type="http://schemas.openxmlformats.org/officeDocument/2006/relationships/hyperlink" Target="https://eur-lex.europa.eu/legal-content/SV/TXT/PDF/?uri=CELEX:52017XG1207(01)" TargetMode="External"/><Relationship Id="rId23" Type="http://schemas.openxmlformats.org/officeDocument/2006/relationships/hyperlink" Target="https://myintracomm.ec.europa.eu/budgweb/SV/man/budgmanag/Pages/budgmanag.aspx." TargetMode="External"/><Relationship Id="rId10" Type="http://schemas.openxmlformats.org/officeDocument/2006/relationships/hyperlink" Target="https://data.consilium.europa.eu/doc/document/ST-11320-2020-INIT/sv/pdf" TargetMode="External"/><Relationship Id="rId19" Type="http://schemas.openxmlformats.org/officeDocument/2006/relationships/hyperlink" Target="https://ec.europa.eu/info/strategy/priorities-2019-2024/european-green-deal_sv" TargetMode="External"/><Relationship Id="rId4" Type="http://schemas.openxmlformats.org/officeDocument/2006/relationships/hyperlink" Target="https://www.consilium.europa.eu/en/press/press-releases/2017/03/25/rome-declaration/pdf" TargetMode="External"/><Relationship Id="rId9" Type="http://schemas.openxmlformats.org/officeDocument/2006/relationships/hyperlink" Target="https://www.europarl.europa.eu/doceo/document/TA-9-2020-0267_SV.html" TargetMode="External"/><Relationship Id="rId14" Type="http://schemas.openxmlformats.org/officeDocument/2006/relationships/hyperlink" Target="https://op.europa.eu/en/publication-detail/-/publication/ad692045-1b46-11ea-8c1f-01aa75ed71a1/language-sv/format-PDF" TargetMode="External"/><Relationship Id="rId22" Type="http://schemas.openxmlformats.org/officeDocument/2006/relationships/hyperlink" Target="https://www.europarl.europa.eu/charter/pdf/text_sv.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F9CA38ABC5C44BD5E20EE043E15DC" ma:contentTypeVersion="6" ma:contentTypeDescription="Create a new document." ma:contentTypeScope="" ma:versionID="14a1efcb0580986fdce60041afdac8a0">
  <xsd:schema xmlns:xsd="http://www.w3.org/2001/XMLSchema" xmlns:xs="http://www.w3.org/2001/XMLSchema" xmlns:p="http://schemas.microsoft.com/office/2006/metadata/properties" xmlns:ns2="d1e5b296-962f-4e95-98c4-7837af6a0a81" xmlns:ns3="6468000c-c4eb-40c3-a1ff-04fce72ad1c1" targetNamespace="http://schemas.microsoft.com/office/2006/metadata/properties" ma:root="true" ma:fieldsID="5a58ed99e168fb76f0c9ecc8ea328d07" ns2:_="" ns3:_="">
    <xsd:import namespace="d1e5b296-962f-4e95-98c4-7837af6a0a81"/>
    <xsd:import namespace="6468000c-c4eb-40c3-a1ff-04fce72ad1c1"/>
    <xsd:element name="properties">
      <xsd:complexType>
        <xsd:sequence>
          <xsd:element name="documentManagement">
            <xsd:complexType>
              <xsd:all>
                <xsd:element ref="ns2:Topic"/>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b296-962f-4e95-98c4-7837af6a0a81" elementFormDefault="qualified">
    <xsd:import namespace="http://schemas.microsoft.com/office/2006/documentManagement/types"/>
    <xsd:import namespace="http://schemas.microsoft.com/office/infopath/2007/PartnerControls"/>
    <xsd:element name="Topic" ma:index="2" ma:displayName="Topic" ma:default="2019-2027" ma:format="RadioButtons" ma:internalName="Topic">
      <xsd:simpleType>
        <xsd:restriction base="dms:Choice">
          <xsd:enumeration value="2019-2027"/>
          <xsd:enumeration value="Review"/>
          <xsd:enumeration value="Youth Report 2021"/>
        </xsd:restriction>
      </xsd:simpleType>
    </xsd:element>
  </xsd:schema>
  <xsd:schema xmlns:xsd="http://www.w3.org/2001/XMLSchema" xmlns:xs="http://www.w3.org/2001/XMLSchema" xmlns:dms="http://schemas.microsoft.com/office/2006/documentManagement/types" xmlns:pc="http://schemas.microsoft.com/office/infopath/2007/PartnerControls" targetNamespace="6468000c-c4eb-40c3-a1ff-04fce72ad1c1" elementFormDefault="qualified">
    <xsd:import namespace="http://schemas.microsoft.com/office/2006/documentManagement/types"/>
    <xsd:import namespace="http://schemas.microsoft.com/office/infopath/2007/PartnerControls"/>
    <xsd:element name="about" ma:index="3" ma:displayName="About" ma:format="Dropdown" ma:internalName="about">
      <xsd:simpleType>
        <xsd:restriction base="dms:Choice">
          <xsd:enumeration value="Future National Activities planners"/>
          <xsd:enumeration value="Mutual Learning activities"/>
          <xsd:enumeration value="EU Youth Strategy Platform"/>
          <xsd:enumeration value="EU Youth Coordinator"/>
          <xsd:enumeration value="Tracking of EU spending on Youth"/>
          <xsd:enumeration value="EU Youth Dialogue"/>
          <xsd:enumeration value="Youth Work Agenda"/>
          <xsd:enumeration value="Cross-Border Solidarity"/>
          <xsd:enumeration value="Evaluation of the current Youth Strategy"/>
          <xsd:enumeration value="Preparing the future Youth Strategy"/>
          <xsd:enumeration value="Stakeholders consult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d1e5b296-962f-4e95-98c4-7837af6a0a81">2019-2027</Topic>
    <about xmlns="6468000c-c4eb-40c3-a1ff-04fce72ad1c1">Preparing the future Youth Strategy</about>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06F359C-565D-423C-9FC1-466BD0945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b296-962f-4e95-98c4-7837af6a0a81"/>
    <ds:schemaRef ds:uri="6468000c-c4eb-40c3-a1ff-04fce72ad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48FFB-D089-4D39-98FA-5AEE71407D16}">
  <ds:schemaRefs>
    <ds:schemaRef ds:uri="http://schemas.microsoft.com/sharepoint/v3/contenttype/forms"/>
  </ds:schemaRefs>
</ds:datastoreItem>
</file>

<file path=customXml/itemProps3.xml><?xml version="1.0" encoding="utf-8"?>
<ds:datastoreItem xmlns:ds="http://schemas.openxmlformats.org/officeDocument/2006/customXml" ds:itemID="{960A12F8-3BED-41F7-A9CE-6DFEA18035B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d1e5b296-962f-4e95-98c4-7837af6a0a81"/>
    <ds:schemaRef ds:uri="6468000c-c4eb-40c3-a1ff-04fce72ad1c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023362F-0832-4FFF-80D4-AF34CC3C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6</TotalTime>
  <Pages>43</Pages>
  <Words>10175</Words>
  <Characters>64308</Characters>
  <Application>Microsoft Office Word</Application>
  <DocSecurity>0</DocSecurity>
  <Lines>3062</Lines>
  <Paragraphs>1064</Paragraphs>
  <ScaleCrop>false</ScaleCrop>
  <HeadingPairs>
    <vt:vector size="2" baseType="variant">
      <vt:variant>
        <vt:lpstr>Title</vt:lpstr>
      </vt:variant>
      <vt:variant>
        <vt:i4>1</vt:i4>
      </vt:variant>
    </vt:vector>
  </HeadingPairs>
  <TitlesOfParts>
    <vt:vector size="1" baseType="lpstr">
      <vt:lpstr>Draft Template commission Decision 2022 EYonY</vt:lpstr>
    </vt:vector>
  </TitlesOfParts>
  <Manager/>
  <Company/>
  <LinksUpToDate>false</LinksUpToDate>
  <CharactersWithSpaces>73419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Template commission Decision 2022 EYonY</dc:title>
  <dc:subject/>
  <dc:creator/>
  <cp:keywords/>
  <dc:description/>
  <cp:lastModifiedBy/>
  <cp:revision>36</cp:revision>
  <cp:lastPrinted>2021-10-12T15:33:00Z</cp:lastPrinted>
  <dcterms:created xsi:type="dcterms:W3CDTF">2021-10-19T12:59:00Z</dcterms:created>
  <dcterms:modified xsi:type="dcterms:W3CDTF">2021-10-20T06:58:00Z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ContentTypeId">
    <vt:lpwstr>0x010100C02F9CA38ABC5C44BD5E20EE043E15DC</vt:lpwstr>
  </property>
  <property fmtid="{D5CDD505-2E9C-101B-9397-08002B2CF9AE}" pid="11" name="DQCStatus">
    <vt:lpwstr>Green (DQC version 03)</vt:lpwstr>
  </property>
  <property name="OP_sanitized" fmtid="{D5CDD505-2E9C-101B-9397-08002B2CF9AE}" pid="12">
    <vt:lpwstr>True</vt:lpwstr>
  </property>
</Properties>
</file>