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461BF84-2986-4F5A-8204-FDC96B786A17" style="width:451.25pt;height:352.4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u w:color="000000"/>
          <w:bdr w:val="nil"/>
        </w:rPr>
        <w:t>•</w:t>
      </w:r>
      <w:r>
        <w:rPr>
          <w:noProof/>
        </w:rPr>
        <w:tab/>
        <w:t>Motiv och syfte med förslaget</w:t>
      </w:r>
    </w:p>
    <w:p>
      <w:pPr>
        <w:rPr>
          <w:noProof/>
        </w:rPr>
      </w:pPr>
      <w:r>
        <w:rPr>
          <w:noProof/>
        </w:rPr>
        <w:t>Kommissionen föreslår att EU-budgetens hela potential ska utnyttjas för att mobilisera investeringar och ge ekonomiskt stöd, varav merparten ska ges under de första avgörande åren av återhämtningen. Dessa förslag bygger på tre pelare:</w:t>
      </w:r>
    </w:p>
    <w:p>
      <w:pPr>
        <w:pStyle w:val="Bullet0"/>
        <w:numPr>
          <w:ilvl w:val="0"/>
          <w:numId w:val="17"/>
        </w:numPr>
        <w:tabs>
          <w:tab w:val="clear" w:pos="850"/>
        </w:tabs>
        <w:ind w:left="426" w:hanging="426"/>
        <w:rPr>
          <w:noProof/>
        </w:rPr>
      </w:pPr>
      <w:r>
        <w:rPr>
          <w:noProof/>
        </w:rPr>
        <w:t>En höjning av taken i den fleråriga budgetramen för 2014–2020 för att göra det möjligt att omedelbart vidta åtgärder i och utanför unionen för att hantera covid-19-pandemins följdverkningar.</w:t>
      </w:r>
    </w:p>
    <w:p>
      <w:pPr>
        <w:pStyle w:val="Bullet0"/>
        <w:tabs>
          <w:tab w:val="clear" w:pos="850"/>
        </w:tabs>
        <w:ind w:left="426" w:hanging="426"/>
        <w:rPr>
          <w:noProof/>
        </w:rPr>
      </w:pPr>
      <w:r>
        <w:rPr>
          <w:noProof/>
        </w:rPr>
        <w:t>En exceptionell åtgärd i form av ett europeiskt återhämtningsinstrument på grundval av artikel 122 i EUF-fördraget som ska finansieras med hjälp av en befogenhet som föreskrivs i förslaget till beslut om egna medel. Medlen ska göra det möjligt hantera krisen genom att snabbverkande åtgärder vidtas för att skydda människors försörjningsmöjligheter, öka det förebyggande arbetet samt stärka resiliens och återhämtning.</w:t>
      </w:r>
    </w:p>
    <w:p>
      <w:pPr>
        <w:pStyle w:val="Bullet0"/>
        <w:tabs>
          <w:tab w:val="clear" w:pos="850"/>
        </w:tabs>
        <w:ind w:left="426" w:hanging="426"/>
        <w:rPr>
          <w:noProof/>
        </w:rPr>
      </w:pPr>
      <w:r>
        <w:rPr>
          <w:noProof/>
        </w:rPr>
        <w:t>En förstärkt flerårig budgetram för 2021–2027.</w:t>
      </w:r>
    </w:p>
    <w:p>
      <w:pPr>
        <w:rPr>
          <w:noProof/>
        </w:rPr>
      </w:pPr>
      <w:r>
        <w:rPr>
          <w:noProof/>
        </w:rPr>
        <w:t xml:space="preserve">I det rådande läget föreslår kommissionen att åtgärder vidtas för att hantera de negativa socioekonomiska konsekvenserna av covid-19-pandemin för arbetstagare, hushåll och företag i unionen. Många europeiska företag har redan solvensproblem på grund av krisen och dessa problem kommer att förvärras så länge begränsningarna för ekonomisk och social verksamhet kvarstår och distanseringsreglerna fortsätter att påverka verksamheten i många branscher. Problemen kan bli långvariga och finnas kvar även när den nuvarande nedstängningen har hävts och fördjupa de ekonomiska skillnader som redan finns mellan och inom medlemsstater.  </w:t>
      </w:r>
    </w:p>
    <w:p>
      <w:pPr>
        <w:rPr>
          <w:rFonts w:ascii="Arial" w:hAnsi="Arial" w:cs="Arial"/>
          <w:noProof/>
          <w:sz w:val="20"/>
          <w:szCs w:val="20"/>
        </w:rPr>
      </w:pPr>
      <w:r>
        <w:rPr>
          <w:noProof/>
        </w:rPr>
        <w:t>Det är svårt att exakt kvantifiera behovet av kapitalinjektioner till följd av covid-19-pandemins ekonomiska följdverkningar. Kommissionens beräkningar på grundval av uppgifter på företagsnivå tyder på att det kan handla om omkring 720 miljarder EUR 2020 om det referensscenario som ligger till grund för vårprognosen blir verklighet. Behoven kan bli betydligt större om nedstängningssåtgärderna är i kraft längre än vad som antas i vårprognosen eller om de måste införas på nytt på grund av en ny smittspridningsvåg. I ett stresscenario, där BNP-tillväxten 2020 beräknas till -15,5 %, kan den direkta påverkan på det egna kapitalet i alla företag (noterade och icke-noterade) i EU27 stiga till 1,2 biljoner EUR. Om inga åtgärder vidtas kan kapitalbristen leda till en utdragen period av lägre investeringar och högre arbetslöshet. Effekten av kapitalbristen kommer att vara ojämnt fördelad mellan sektorer, regioner, industriella ekosystem och medlemsstater och därmed leda till skillnader på den inre marknaden. De flesta industriella ekosystem i Europa är beroende av komplicerade försörjningskedjor som omfattar flera medlemsstater på den inre marknaden.</w:t>
      </w:r>
    </w:p>
    <w:p>
      <w:pPr>
        <w:rPr>
          <w:noProof/>
          <w:szCs w:val="24"/>
        </w:rPr>
      </w:pPr>
      <w:r>
        <w:rPr>
          <w:noProof/>
        </w:rPr>
        <w:t>Detta förhållande förvärras av det faktum att medlemsstaterna har mycket varierande förmåga att ge statligt stöd.</w:t>
      </w:r>
    </w:p>
    <w:p>
      <w:pPr>
        <w:rPr>
          <w:noProof/>
        </w:rPr>
      </w:pPr>
      <w:r>
        <w:rPr>
          <w:noProof/>
        </w:rPr>
        <w:t>Detta förslag gäller ett tillfälligt, egenkapitalbaserat instrument för vilket investeringsperioden i förhållande till solvensstödtjänsten i regel ska löpa fram till slutet av 2024 för godkännanden av investeringskommittén och EIB:s och EIF:s styrande organ, och till slutet av 2026 för undertecknandet av avtal om transaktionerna. Företag som ska få stöd enligt förslaget är företag med en i övrigt bärkraftig affärsmodell som har solvensproblem på grund av covid-19-krisen. Syftet är att hjälpa dem att ta sig igenom denna svåra period så att de därefter kan bidra till återhämtningen.</w:t>
      </w:r>
    </w:p>
    <w:p>
      <w:pPr>
        <w:rPr>
          <w:noProof/>
        </w:rPr>
      </w:pPr>
      <w:r>
        <w:rPr>
          <w:noProof/>
        </w:rPr>
        <w:lastRenderedPageBreak/>
        <w:t>Ett annat syfte med förslaget är att motverka de förväntade snedvridningarna på den inre marknaden, med tanke på att vissa medlemsstater kanske inte har tillräckliga budgetmedel för att ge tillräckligt stöd till behövande företag. Tillgången till nationella solvensstödsåtgärder för företag kan därför skilja sig väsentligt mellan medlemsstaterna och leda till ojämlika konkurrensvillkor. Eftersom det finns en betydande risk att covid-19-pandemins följdverkningar blir långvariga kan denna bristande förmåga att hjälpa bärkraftiga företag dessutom leda till systemomfattande snedvridningar som ger upphov till nya, eller cementerar befintliga, skillnader. Med tanke på de nära förbindelserna inom den europeiska ekonomin skulle en ekonomisk nedgång i en del av EU få negativa spridningseffekter på gränsöverskridande försörjningskedjor och hela EU-ekonomin. Omvänt gäller att stöd i en del av EU av samma skäl skulle få positiva effekter på gränsöverskridande försörjningskedjor och hela EU-ekonomin.</w:t>
      </w:r>
    </w:p>
    <w:p>
      <w:pPr>
        <w:rPr>
          <w:noProof/>
        </w:rPr>
      </w:pPr>
      <w:r>
        <w:rPr>
          <w:noProof/>
        </w:rPr>
        <w:t>I den ekonomiska nedgång som uppstått till följd av covid-19, där de offentliga finanserna är hårt pressade, är det samtidigt viktigt att mobilisera privata medel för att så mycket som möjligt stötta solvensen hos bärkraftiga företag i unionen.</w:t>
      </w:r>
    </w:p>
    <w:p>
      <w:pPr>
        <w:rPr>
          <w:noProof/>
        </w:rPr>
      </w:pPr>
      <w:r>
        <w:rPr>
          <w:noProof/>
        </w:rPr>
        <w:t>Dessa mål ska uppnås genom att en EU-garanti ställs till Europeiska investeringsbanken (EIB) enligt Efsi-förordningen</w:t>
      </w:r>
      <w:r>
        <w:rPr>
          <w:rStyle w:val="FootnoteReference"/>
          <w:rFonts w:eastAsia="Arial Unicode MS"/>
          <w:noProof/>
        </w:rPr>
        <w:footnoteReference w:id="2"/>
      </w:r>
      <w:r>
        <w:rPr>
          <w:noProof/>
        </w:rPr>
        <w:t xml:space="preserve">. Solvensstödet ska utgöra en tredje tjänst under Efsi – solvensstödstjänsten – för att mobilisera privat kapital till stöd för stödberättigade företags solvens. EIB-gruppen ska främst använda EU-garantin för att investera genom intermediärer eller för att göra det mindre riskfyllt för privata investerare att investera i stödberättigade företag och därigenom mobilisera privata medel för att stötta dessa företag. EIB-gruppen ska göra detta genom att investera i, garantera eller finansiera aktiefonder, företag för särskilda ändamål, investeringsplattformar, nationella utvecklingsbanker eller -institutioner, genom direkta investeringar eller andra relevanta arrangemang. </w:t>
      </w:r>
    </w:p>
    <w:p>
      <w:pPr>
        <w:rPr>
          <w:noProof/>
        </w:rPr>
      </w:pPr>
      <w:r>
        <w:rPr>
          <w:noProof/>
        </w:rPr>
        <w:t>Förslaget ingår i det samlade återhämtningsinitiativ som kommissionen har aviserat. Det är av största vikt att instrumentet inrättas snarast under 2020 – senast i början av oktober 2020 – och att det snabbt blir operativt med full kapacitet under 2021.</w:t>
      </w:r>
    </w:p>
    <w:p>
      <w:pPr>
        <w:rPr>
          <w:noProof/>
        </w:rPr>
      </w:pPr>
      <w:r>
        <w:rPr>
          <w:noProof/>
        </w:rPr>
        <w:t xml:space="preserve">Solvensstödinstrumentet ska vara tillgängligt för alla medlemsstater och sektorer som omfattas av Efsi-förordningen, men särskilt inriktas på de medlemsstater vars ekonomier har drabbats hårdast av covid-19-pandemins effekter och där möjligheterna att få statligt solvensstöd är mer begränsade. Syftet är att bidra till att återställa företagens bärkraft och stödja deras tillväxtpotential, samt på samma gång bidra till unionens prioriteringar, t.ex. den gröna och digitala omställningen, samt stödja gränsöverskridande verksamhet och förstärka den sociala dimensionen och konvergensen inom unionen. Stödet ska kunna utnyttjas för att främja alla mål i förordningen. </w:t>
      </w:r>
    </w:p>
    <w:p>
      <w:pPr>
        <w:rPr>
          <w:noProof/>
        </w:rPr>
      </w:pPr>
      <w:r>
        <w:rPr>
          <w:noProof/>
        </w:rPr>
        <w:t>För att underlätta utrullningen av instrumentet kan medlemsstaterna: i) etablera företag för särskilda ändamål på nationell nivå som kan ansöka om stöd under solvensstödtjänsten, ii) investera i enlighet med reglerna för statligt stöd tillsammans med EIB-gruppens garanti eller investeringar antingen direkt eller via en nationell utvecklingsbank eller -institutioner i fonder eller företag för särskilda ändamål, och iii) underlätta etablering av aktiefonder eller företag för särskilda ändamål genom att samarbeta med institutionella investerare.</w:t>
      </w:r>
    </w:p>
    <w:p>
      <w:pPr>
        <w:rPr>
          <w:noProof/>
        </w:rPr>
      </w:pPr>
      <w:r>
        <w:rPr>
          <w:noProof/>
        </w:rPr>
        <w:t xml:space="preserve">Kommissionen bör kunna delta i en eventuell kapitalökning (i en eller flera omgångar) för Europeiska investeringsfonden (EIF), som kommer att ha en avgörande roll när det gäller att </w:t>
      </w:r>
      <w:r>
        <w:rPr>
          <w:noProof/>
        </w:rPr>
        <w:lastRenderedPageBreak/>
        <w:t>stötta den ekonomiska återhämtningen genom att utfärda garantier, genomföra värdepapperiseringstransaktioner och stödja investeringar i aktiekapital i hela unionen. En finansieringsram på upp till 500 000 000 EUR bör avsättas för detta ändamål i den reviderade fleråriga budgetramen för innevarande period, så att unionen, företrädd av kommissionen, kan behålla sin totala andel av investeringsfondens kapital.</w:t>
      </w:r>
    </w:p>
    <w:p>
      <w:pPr>
        <w:rPr>
          <w:noProof/>
        </w:rPr>
      </w:pPr>
      <w:r>
        <w:rPr>
          <w:noProof/>
        </w:rPr>
        <w:t>Efsis styrningstruktur kommer att behållas och även omfatta den tredje tjänsten. Under solvensstödtjänsten kommer investeringskommittén godkänna varje finansierings- eller investeringstransaktion av EIB, dvs. den kommer att fatta beslut om beviljande av EU-garantin för finansiering, garanti eller investering i fonder, företag för särskilda ändamål, nationella utvecklingsbanker eller -institutioner eller andra företag. När det gäller transaktioner som ska genomföras av EIB ska investeringskommittén rådfrågas om de finansiella produkter som styrelsen och den verkställande direktören har godkänt och under vilka EIB ska genomföra de enskilda transaktionerna. Enskilda beslut om vilka företag som ska få stöd genom intermediärer ska fattas av fondens eller företagets ledning enligt kriterierna i Efsi-förordningen och relevanta avtal som ingåtts med EIB. Investeringskommittén kan även behålla rätten att godkänna underliggande transaktioner i enlighet med Efsi-förordningen. Medlemsstaterna ska inte delta i besluten om beviljande av EU-garantin. När den investeringskommitté som inrättas genom förslaget till InvestEU-förordning</w:t>
      </w:r>
      <w:r>
        <w:rPr>
          <w:rStyle w:val="FootnoteReference"/>
          <w:rFonts w:eastAsia="Arial Unicode MS"/>
          <w:noProof/>
        </w:rPr>
        <w:footnoteReference w:id="3"/>
      </w:r>
      <w:r>
        <w:rPr>
          <w:noProof/>
        </w:rPr>
        <w:t xml:space="preserve"> är operativ ska den överta de uppgifter som utförts av den investeringskommitté som inrättas genom Efsi-förordningen.</w:t>
      </w:r>
    </w:p>
    <w:p>
      <w:pPr>
        <w:rPr>
          <w:noProof/>
        </w:rPr>
      </w:pPr>
      <w:r>
        <w:rPr>
          <w:noProof/>
        </w:rPr>
        <w:t>I enlighet med den nuvarande Efsi-förordningen kommer inga geografiska kvoter att fastställas. Målet för klimatåtgärder ska kvarstå.</w:t>
      </w:r>
    </w:p>
    <w:p>
      <w:pPr>
        <w:rPr>
          <w:noProof/>
        </w:rPr>
      </w:pPr>
      <w:r>
        <w:rPr>
          <w:noProof/>
        </w:rPr>
        <w:t>Styrelsen ska emellertid fastställa specifika geografiska koncentrationsgränser för solvensstödtjänsten i enlighet med principerna i denna förordning för att säkerställa att merparten av EU-garantin under solvensstödinstrumentet gynnar stödberättigade företag i de medlemsstater och sektorer som har lidit störst ekonomisk skada till följd av covid-19-pandemin, samt att merparten av denna garanti gynnar stödberättigade företag i medlemsstater där möjligheterna att få statligt solvensstöd är mer begränsade. Detta skulle säkerställa att EU-garantin kan styras mot behoven på ett flexibelt sätt. Gränserna kan efterhand uppdateras med hänsyn till covid-19-pandemins följdverkningar, samtidigt som stöd från instrumentet inte bör koncentreras till ett begränsat antal medlemsstater.</w:t>
      </w:r>
    </w:p>
    <w:p>
      <w:pPr>
        <w:rPr>
          <w:noProof/>
        </w:rPr>
      </w:pPr>
      <w:r>
        <w:rPr>
          <w:noProof/>
        </w:rPr>
        <w:t xml:space="preserve">Solvensstödinstrumentet ska stödja företag i unionen som trots att de är bärkraftiga riskerar att få solvensproblem på grund av den kris som orsakats av covid-19-pandemin (med undantag för företag som enligt villkoren i reglerna för statligt stöd befann sig i svårigheter </w:t>
      </w:r>
      <w:r>
        <w:rPr>
          <w:rStyle w:val="FootnoteReference"/>
          <w:noProof/>
        </w:rPr>
        <w:footnoteReference w:id="4"/>
      </w:r>
      <w:r>
        <w:rPr>
          <w:noProof/>
        </w:rPr>
        <w:t xml:space="preserve"> redan i slutet av 2019), så att de kan återgå till en hållbar och lönsam affärsverksamhet. Ytterligare kriterier för egenkapital- och hybridfinansiering ska anges i investeringsriktlinjerna eller fastställas i garantiavtalet. För att undvika att företag som kan finansiera sig med eget kapital gynnas av instrumentet och för att säkerställa dess additionalitet bör egenkapitalfinansieringen ges på affärsmässiga villkor eller villkor liknande dem i den tillfälliga ramen för statligt stöd</w:t>
      </w:r>
      <w:r>
        <w:rPr>
          <w:rStyle w:val="FootnoteReference"/>
          <w:noProof/>
        </w:rPr>
        <w:footnoteReference w:id="5"/>
      </w:r>
      <w:r>
        <w:rPr>
          <w:noProof/>
        </w:rPr>
        <w:t xml:space="preserve"> (t.ex. vad gäller räntor och exitstrategi), samtidigt som vederbörlig hänsyn bör tas till instrumentets europeiska karaktär och fondernas och andra företags oberoende </w:t>
      </w:r>
      <w:r>
        <w:rPr>
          <w:noProof/>
        </w:rPr>
        <w:lastRenderedPageBreak/>
        <w:t>verksamhetsledning, samt även till skillnaderna mellan aktiemarknaderna i unionen. EIB eller EIF ska utföra företagsbesiktningen (</w:t>
      </w:r>
      <w:r>
        <w:rPr>
          <w:i/>
          <w:iCs/>
          <w:noProof/>
        </w:rPr>
        <w:t>due diligence</w:t>
      </w:r>
      <w:r>
        <w:rPr>
          <w:noProof/>
        </w:rPr>
        <w:t>) av fonder och andra företag som ska fungera som intermediärer i enlighet med sina respektive regler och förfaranden samt med beaktade av solvensstödtjänstens syfte, medan dessa fonder och andra företag i sin tur ska utföra företagsbesiktningen av de underliggande företagen.</w:t>
      </w:r>
    </w:p>
    <w:p>
      <w:pPr>
        <w:rPr>
          <w:rFonts w:ascii="&amp;quot" w:hAnsi="&amp;quot"/>
          <w:noProof/>
          <w:sz w:val="21"/>
          <w:szCs w:val="21"/>
        </w:rPr>
      </w:pPr>
      <w:r>
        <w:rPr>
          <w:noProof/>
        </w:rPr>
        <w:t>De fonder eller företag som ska fungera som intermediärer ska vara etablerade i unionen.</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Förenlighet med befintliga bestämmelser inom området</w:t>
      </w:r>
    </w:p>
    <w:p>
      <w:pPr>
        <w:rPr>
          <w:noProof/>
        </w:rPr>
      </w:pPr>
      <w:r>
        <w:rPr>
          <w:noProof/>
        </w:rPr>
        <w:t xml:space="preserve">Förslaget kompletterar det investeringsstöd och den tillgång till finansiering som är tillgänglig genom Efsi-förordningen och den föreslagna InvestEU-förordningen för den fleråriga budgetramen för 2021–2027 genom att ge stöd till företag som har en bärkraftig affärsmodell, men som kan drabbas av solvensproblem på grund av covid-19-krisen. Instrumentet för solvensstöd gör det möjligt för sådana företag att klara av krisens följdverkningar med hjälp av tillfälligt solvensstöd. </w:t>
      </w:r>
    </w:p>
    <w:p>
      <w:pPr>
        <w:pBdr>
          <w:top w:val="nil"/>
          <w:left w:val="nil"/>
          <w:bottom w:val="nil"/>
          <w:right w:val="nil"/>
          <w:between w:val="nil"/>
          <w:bar w:val="nil"/>
        </w:pBdr>
        <w:spacing w:before="0" w:after="240"/>
        <w:rPr>
          <w:rFonts w:eastAsia="Arial Unicode MS"/>
          <w:noProof/>
        </w:rPr>
      </w:pPr>
      <w:r>
        <w:rPr>
          <w:noProof/>
        </w:rPr>
        <w:t>Solvensstödinstrumentet kompletterar andra unionsprogram som är inriktade på att mildra covid-19-krisens följdverkningar eller få igång ekonomin när covid-19-krisen avtar. Det kompletterar särskilt det stöd till små och medelstora företag som ska ges genom i) återhämtningsstödet för sammanhållning (React-EU), varav merparten ska ges i början av stödperioden. och ii) den alleuropeiska garantifond för att hantera covid-19-krisen som ska inrättas av EIB och underbyggas med en garanti av medlemsstaterna. Tjänsten för små och medelstora företag som förstärks under InvestEU kommer dessutom kommer ge ytterligare stöd från och med 2021.</w:t>
      </w:r>
    </w:p>
    <w:p>
      <w:pPr>
        <w:pStyle w:val="ManualHeading2"/>
        <w:rPr>
          <w:rFonts w:eastAsia="Arial Unicode MS"/>
          <w:noProof/>
        </w:rPr>
      </w:pPr>
      <w:r>
        <w:rPr>
          <w:noProof/>
          <w:u w:color="000000"/>
          <w:bdr w:val="nil"/>
        </w:rPr>
        <w:t>•</w:t>
      </w:r>
      <w:r>
        <w:rPr>
          <w:noProof/>
        </w:rPr>
        <w:tab/>
        <w:t>Förenlighet med unionens politik inom andra områden</w:t>
      </w:r>
    </w:p>
    <w:p>
      <w:pPr>
        <w:pBdr>
          <w:top w:val="nil"/>
          <w:left w:val="nil"/>
          <w:bottom w:val="nil"/>
          <w:right w:val="nil"/>
          <w:between w:val="nil"/>
          <w:bar w:val="nil"/>
        </w:pBdr>
        <w:spacing w:before="0" w:after="240"/>
        <w:rPr>
          <w:rFonts w:eastAsia="Arial Unicode MS"/>
          <w:noProof/>
        </w:rPr>
      </w:pPr>
      <w:r>
        <w:rPr>
          <w:noProof/>
        </w:rPr>
        <w:t>Solvensstödinstrumentet är förenligt med unionens politik på relevanta områden, så som den europeiska gröna given, investeringsplanen för ett hållbart Europa och med politiken avseende de sektorer som berörs av investeringsstödet..</w:t>
      </w:r>
    </w:p>
    <w:p>
      <w:pPr>
        <w:pBdr>
          <w:top w:val="nil"/>
          <w:left w:val="nil"/>
          <w:bottom w:val="nil"/>
          <w:right w:val="nil"/>
          <w:between w:val="nil"/>
          <w:bar w:val="nil"/>
        </w:pBdr>
        <w:spacing w:before="0" w:after="240"/>
        <w:rPr>
          <w:rFonts w:eastAsia="Arial Unicode MS"/>
          <w:noProof/>
        </w:rPr>
      </w:pPr>
      <w:r>
        <w:rPr>
          <w:noProof/>
        </w:rPr>
        <w:t>Villkoren för finansierings- och investeringstransaktioner under solvensstödtjänsten bör vara förenliga med reglerna för statligt stöd för att säkerställa lika konkurrensvillkor och möjliggöra kombinationer med stöd som ges direkt av medlemsstaterna. Vederbörlig hänsyn tas även till solvensstödinstrumentets europeiska karaktär och till att fonderna och övriga företag ska ha en oberoende verksamhetsledning.</w:t>
      </w:r>
    </w:p>
    <w:p>
      <w:pPr>
        <w:pBdr>
          <w:top w:val="nil"/>
          <w:left w:val="nil"/>
          <w:bottom w:val="nil"/>
          <w:right w:val="nil"/>
          <w:between w:val="nil"/>
          <w:bar w:val="nil"/>
        </w:pBdr>
        <w:spacing w:before="0" w:after="240"/>
        <w:rPr>
          <w:rFonts w:eastAsia="Arial Unicode MS"/>
          <w:noProof/>
        </w:rPr>
      </w:pPr>
      <w:r>
        <w:rPr>
          <w:noProof/>
        </w:rPr>
        <w:t>EU-garantin ska utformas så att onödig snedvridning av konkurrensen undviks genom att enbart vara inriktad på att återställa kapitalställningen hos företag som inte befann sig i svårigheter före utbrottet av covid-19 och som har betydande solvensrisker på grund av krisen. Den ska dessutom locka privata investerare och uppmuntra etablering av nya fonder och företag. Beslut om finansiering ska fattas på affärsmässiga grunder och fonder med oberoende och affärsmässig verksamhetsledning ska välja företag med tillfredställande avkastningsutsikter.</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u w:color="000000"/>
          <w:bdr w:val="nil"/>
        </w:rPr>
        <w:t>•</w:t>
      </w:r>
      <w:r>
        <w:rPr>
          <w:noProof/>
        </w:rPr>
        <w:tab/>
      </w:r>
      <w:r>
        <w:rPr>
          <w:noProof/>
          <w:u w:color="000000"/>
          <w:bdr w:val="nil"/>
        </w:rPr>
        <w:t>Rättslig grund</w:t>
      </w:r>
    </w:p>
    <w:p>
      <w:pPr>
        <w:rPr>
          <w:noProof/>
        </w:rPr>
      </w:pPr>
      <w:r>
        <w:rPr>
          <w:noProof/>
        </w:rPr>
        <w:t xml:space="preserve"> Förslaget ändrar Efsi-förordningen, så samma rättsliga grund är tillämplig.</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 xml:space="preserve">Subsidiaritet </w:t>
      </w:r>
    </w:p>
    <w:p>
      <w:pPr>
        <w:rPr>
          <w:noProof/>
        </w:rPr>
      </w:pPr>
      <w:r>
        <w:rPr>
          <w:noProof/>
        </w:rPr>
        <w:t xml:space="preserve">Målen med förslaget kan inte uppnås tillräckligt av medlemsstaterna och kan bättre uppnås av unionen. På grund av skillnaderna mellan medlemsstaternas offentligfinansiella förmåga att agera kan åtgärder på unionsnivå bättre uppnå de eftersträvade målen på grund av dess omfattning och effekter. Genom åtgärder på unionsnivå blir det närmare bestämt möjligt att motverka snedvridningar på den inre marknaden som beror på skillnader mellan enskilda medlemsstaters offentligfinansiella förmåga att tillhandahålla statligt stöd för att stötta sina företags solvens och även minska störningar i nära sammankopplade försörjningskedjor på den inre marknaden genom att förhindra att bärkraftiga företag går i konkurs. Dessutom kommer det att möjliggöra stordriftsfördelar genom att unionens budgetgaranti i kombination med EIB-gruppens finansiering kommer att mobilisera privata investeringar i hela unionen.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Proportionalitetsprincipen</w:t>
      </w:r>
    </w:p>
    <w:p>
      <w:pPr>
        <w:rPr>
          <w:noProof/>
        </w:rPr>
      </w:pPr>
      <w:r>
        <w:rPr>
          <w:noProof/>
        </w:rPr>
        <w:t>Förslaget är inte mer långtgående än vad som är nödvändigt för att uppnå de eftersträvade målen. Det syftar till att stödja företag och projekt som drabbats av covid-19-pandemins ekonomiska konsekvenser, som påverkar alla medlemsstater. Att mobilisera privata medel för solvensstöd tillsammans med offentliga medel innebär att budgetmedlen utnyttjas på ett effektivt och proportionellt sätt.</w:t>
      </w:r>
    </w:p>
    <w:p>
      <w:pPr>
        <w:pStyle w:val="ManualHeading1"/>
        <w:rPr>
          <w:noProof/>
        </w:rPr>
      </w:pPr>
      <w:r>
        <w:rPr>
          <w:noProof/>
        </w:rPr>
        <w:t>3.</w:t>
      </w:r>
      <w:r>
        <w:rPr>
          <w:noProof/>
        </w:rPr>
        <w:tab/>
        <w:t>RESULTAT AV EFTERHANDSUTVÄRDERINGAR, SAMRÅD MED BERÖRDA PARTER OCH KONSEKVENSBEDÖMNINGAR</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Förslaget ingår i åtgärdspaketet för att motverka de negativa ekonomiska konsekvenserna av covid-19-pandemin och är en krisåtgärd. </w:t>
      </w:r>
    </w:p>
    <w:p>
      <w:pPr>
        <w:pStyle w:val="ManualHeading2"/>
        <w:rPr>
          <w:noProof/>
          <w:u w:color="000000"/>
          <w:bdr w:val="nil"/>
        </w:rPr>
      </w:pPr>
      <w:r>
        <w:rPr>
          <w:noProof/>
          <w:u w:color="000000"/>
          <w:bdr w:val="nil"/>
        </w:rPr>
        <w:t>•</w:t>
      </w:r>
      <w:r>
        <w:rPr>
          <w:noProof/>
        </w:rPr>
        <w:tab/>
      </w:r>
      <w:r>
        <w:rPr>
          <w:noProof/>
          <w:u w:color="000000"/>
          <w:bdr w:val="nil"/>
        </w:rPr>
        <w:t>Samråd med berörda parter</w:t>
      </w:r>
    </w:p>
    <w:p>
      <w:pPr>
        <w:pBdr>
          <w:top w:val="nil"/>
          <w:left w:val="nil"/>
          <w:bottom w:val="nil"/>
          <w:right w:val="nil"/>
          <w:between w:val="nil"/>
          <w:bar w:val="nil"/>
        </w:pBdr>
        <w:spacing w:before="0" w:after="240"/>
        <w:rPr>
          <w:rFonts w:eastAsia="Arial Unicode MS"/>
          <w:noProof/>
        </w:rPr>
      </w:pPr>
      <w:r>
        <w:rPr>
          <w:noProof/>
        </w:rPr>
        <w:t>Det brådskande behovet av att sammanställa förslaget så att det utan onödigt dröjsmål kan antas av Europaparlamentet och rådet innebar att det inte var möjligt att genomföra ett samråd med berörda parter.</w:t>
      </w:r>
    </w:p>
    <w:p>
      <w:pPr>
        <w:pStyle w:val="ManualHeading2"/>
        <w:rPr>
          <w:noProof/>
          <w:u w:color="000000"/>
          <w:bdr w:val="nil"/>
        </w:rPr>
      </w:pPr>
      <w:r>
        <w:rPr>
          <w:noProof/>
          <w:u w:color="000000"/>
          <w:bdr w:val="nil"/>
        </w:rPr>
        <w:t>•</w:t>
      </w:r>
      <w:r>
        <w:rPr>
          <w:noProof/>
        </w:rPr>
        <w:tab/>
      </w:r>
      <w:r>
        <w:rPr>
          <w:noProof/>
          <w:u w:color="000000"/>
          <w:bdr w:val="nil"/>
        </w:rPr>
        <w:t>Konsekvensbedömning</w:t>
      </w:r>
    </w:p>
    <w:p>
      <w:pPr>
        <w:pBdr>
          <w:top w:val="nil"/>
          <w:left w:val="nil"/>
          <w:bottom w:val="nil"/>
          <w:right w:val="nil"/>
          <w:between w:val="nil"/>
          <w:bar w:val="nil"/>
        </w:pBdr>
        <w:spacing w:before="0" w:after="240"/>
        <w:rPr>
          <w:rFonts w:eastAsia="Arial Unicode MS"/>
          <w:noProof/>
        </w:rPr>
      </w:pPr>
      <w:r>
        <w:rPr>
          <w:noProof/>
        </w:rPr>
        <w:t>På grund av förslagets brådskande karaktär genomfördes ingen konsekvensbedömning.</w:t>
      </w:r>
    </w:p>
    <w:p>
      <w:pPr>
        <w:pStyle w:val="ManualHeading1"/>
        <w:rPr>
          <w:noProof/>
        </w:rPr>
      </w:pPr>
      <w:r>
        <w:rPr>
          <w:noProof/>
          <w:u w:color="000000"/>
          <w:bdr w:val="nil"/>
        </w:rPr>
        <w:t xml:space="preserve"> </w:t>
      </w:r>
      <w:r>
        <w:rPr>
          <w:noProof/>
        </w:rPr>
        <w:t>4.</w:t>
      </w:r>
      <w:r>
        <w:rPr>
          <w:noProof/>
        </w:rPr>
        <w:tab/>
        <w:t>BUDGETKONSEKVENSER</w:t>
      </w:r>
    </w:p>
    <w:p>
      <w:pPr>
        <w:rPr>
          <w:noProof/>
        </w:rPr>
      </w:pPr>
      <w:r>
        <w:rPr>
          <w:noProof/>
        </w:rPr>
        <w:t xml:space="preserve">Den EU-garanti som tillhandahålls genom Efsi-förordningen kommer att höjas från 26 miljarder EUR till 92,4 miljarder EUR. Med tanke på den uppskattade risken i den portfölj som skapas under solvensstödtjänsten kommer den del av EU-garantin som ska användas för denna tredje tjänst att kräva avsättningar på 50 % för att ta hänsyn till att de berörda investeringarna i det rådande ekonomiska läget är förknippade med högre risk. EU-garantins betydande storlek och den typ av insatser som planeras innebär dessutom att det behövs en försiktig avsättningsstrategi. Detta innebär att de ytterligare avsättningarna för den höjda EU-garantin kommer att uppgå till 33,2 miljarder EUR. Totalt sett kommer EU-garantifondens avsättningsnivå därför att uppgå till 45,8 % av EU:s totala garantiförpliktelser. Efsi-garantifonden bör följaktligen höjas med 33,2 miljarder EUR och därmed uppgå till 42,3 miljarder EUR totalt. </w:t>
      </w:r>
    </w:p>
    <w:p>
      <w:pPr>
        <w:pBdr>
          <w:top w:val="nil"/>
          <w:left w:val="nil"/>
          <w:bottom w:val="nil"/>
          <w:right w:val="nil"/>
          <w:between w:val="nil"/>
          <w:bar w:val="nil"/>
        </w:pBdr>
        <w:spacing w:before="0" w:after="240"/>
        <w:rPr>
          <w:noProof/>
        </w:rPr>
      </w:pPr>
      <w:r>
        <w:rPr>
          <w:noProof/>
        </w:rPr>
        <w:t>De ytterligare medlen ska mobiliseras genom en höjning av taken i den fleråriga budgetramen för 2014–2020 och finansiering genom det europeiska återhämtningsinstrumentet med stöd av en befogenhet som föreskrivs i det nya beslutet om egna medel.</w:t>
      </w:r>
    </w:p>
    <w:p>
      <w:pPr>
        <w:pBdr>
          <w:top w:val="nil"/>
          <w:left w:val="nil"/>
          <w:bottom w:val="nil"/>
          <w:right w:val="nil"/>
          <w:between w:val="nil"/>
          <w:bar w:val="nil"/>
        </w:pBdr>
        <w:spacing w:before="0" w:after="240"/>
        <w:rPr>
          <w:noProof/>
        </w:rPr>
      </w:pPr>
      <w:r>
        <w:rPr>
          <w:noProof/>
        </w:rPr>
        <w:lastRenderedPageBreak/>
        <w:t xml:space="preserve">Ett särskilt belopp på 100 miljoner EUR kommer att behövas för att täcka kostnader för att etablera och förvalta de strukturer (aktiefonder, företag för särskilda ändamål, investeringsplattformar och andra) genom vilka stödet under solvensstödtjänsten ska tillhandahållas och för rådgivningstjänster och tekniskt stöd i anslutning till detta stöd, i synnerhet för att stödja en grön och digital omställning av de företag som finansieras genom solvensstödtjänsten. </w:t>
      </w:r>
    </w:p>
    <w:p>
      <w:pPr>
        <w:pBdr>
          <w:top w:val="nil"/>
          <w:left w:val="nil"/>
          <w:bottom w:val="nil"/>
          <w:right w:val="nil"/>
          <w:between w:val="nil"/>
          <w:bar w:val="nil"/>
        </w:pBdr>
        <w:spacing w:before="0" w:after="240"/>
        <w:rPr>
          <w:noProof/>
        </w:rPr>
      </w:pPr>
      <w:r>
        <w:rPr>
          <w:noProof/>
        </w:rPr>
        <w:t>Unionens deltagande i en eventuell framtida kapitalökning (i en eller flera omgångar) för Europeiska investeringsfonden kommer att kräva en finansieringsram på upp till 500 miljoner EUR i den fleråriga budgetramen för innevarande period. Detta gäller unionens andel av den inbetalda delen av en kapitalökning. Unionen bör kunna behålla sin totala andel av Europeiska investeringsfondens kapital.</w:t>
      </w:r>
    </w:p>
    <w:p>
      <w:pPr>
        <w:pBdr>
          <w:top w:val="nil"/>
          <w:left w:val="nil"/>
          <w:bottom w:val="nil"/>
          <w:right w:val="nil"/>
          <w:between w:val="nil"/>
          <w:bar w:val="nil"/>
        </w:pBdr>
        <w:spacing w:before="0" w:after="240"/>
        <w:rPr>
          <w:rFonts w:eastAsia="Arial Unicode MS"/>
          <w:noProof/>
        </w:rPr>
      </w:pPr>
      <w:r>
        <w:rPr>
          <w:noProof/>
        </w:rPr>
        <w:t>Ytterligare budgetinformation finns i den finansieringsöversikt för rättsakten som åtföljer detta förslag.</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u w:color="000000"/>
          <w:bdr w:val="nil"/>
        </w:rPr>
        <w:t>•</w:t>
      </w:r>
      <w:r>
        <w:rPr>
          <w:noProof/>
        </w:rPr>
        <w:tab/>
      </w:r>
      <w:r>
        <w:rPr>
          <w:noProof/>
          <w:u w:color="000000"/>
          <w:bdr w:val="nil"/>
        </w:rPr>
        <w:t>Genomförandeplaner samt åtgärder för övervakning, utvärdering och rapportering</w:t>
      </w:r>
    </w:p>
    <w:p>
      <w:pPr>
        <w:rPr>
          <w:noProof/>
        </w:rPr>
      </w:pPr>
      <w:r>
        <w:rPr>
          <w:noProof/>
        </w:rPr>
        <w:t>EIB kommer direkt eller genom EIF att genomföra instrumentet för solvensstöd. Åtgärderna för övervakning och rapportering kommer att fastställas i garantiavtalet och kommer att vara i linje med de befintliga kraven. Övervakningen kommer att inkludera centrala resultatindikatorer för att spåra framstegen mot solvensstödtjänstens mål.</w:t>
      </w:r>
    </w:p>
    <w:p>
      <w:pPr>
        <w:pStyle w:val="ManualHeading2"/>
        <w:rPr>
          <w:rFonts w:eastAsia="Arial Unicode MS"/>
          <w:noProof/>
          <w:u w:color="000000"/>
          <w:bdr w:val="nil"/>
        </w:rPr>
      </w:pPr>
      <w:r>
        <w:rPr>
          <w:noProof/>
          <w:u w:color="000000"/>
          <w:bdr w:val="nil"/>
        </w:rPr>
        <w:t>•</w:t>
      </w:r>
      <w:r>
        <w:rPr>
          <w:noProof/>
        </w:rPr>
        <w:tab/>
      </w:r>
      <w:r>
        <w:rPr>
          <w:noProof/>
          <w:u w:color="000000"/>
          <w:bdr w:val="nil"/>
        </w:rPr>
        <w:t>Ingående redogörelse för de specifika bestämmelserna i förslaget</w:t>
      </w:r>
    </w:p>
    <w:p>
      <w:pPr>
        <w:rPr>
          <w:noProof/>
        </w:rPr>
      </w:pPr>
      <w:r>
        <w:rPr>
          <w:noProof/>
        </w:rPr>
        <w:t>En redogörelse för de specifika bestämmelserna görs i relevant kapitel i Efsi-förordningen.</w:t>
      </w:r>
    </w:p>
    <w:p>
      <w:pPr>
        <w:rPr>
          <w:b/>
          <w:noProof/>
        </w:rPr>
      </w:pPr>
      <w:r>
        <w:rPr>
          <w:b/>
          <w:noProof/>
        </w:rPr>
        <w:t>Kapitel II</w:t>
      </w:r>
    </w:p>
    <w:p>
      <w:pPr>
        <w:rPr>
          <w:noProof/>
        </w:rPr>
      </w:pPr>
      <w:r>
        <w:rPr>
          <w:noProof/>
        </w:rPr>
        <w:t>En tredje tjänst (solvensstödtjänsten) inrättas under Efsi.</w:t>
      </w:r>
    </w:p>
    <w:p>
      <w:pPr>
        <w:rPr>
          <w:noProof/>
        </w:rPr>
      </w:pPr>
      <w:r>
        <w:rPr>
          <w:noProof/>
        </w:rPr>
        <w:t>Enligt kriterierna för användning av EU-garantin under solvensstödtjänsten får företag och projekt, för att komma i fråga för EU-garantin under denna tjänst, inte ha befunnit sig svårigheter enligt villkoren i reglerna för statligt stöd i slutet av 2019, för att säkerställa att EU-garantin inriktas på att ge solvensstöd för att hjälpa dem att återhämta sig från den kris som orsakats av covid-19-pandemin. Som företag räknas även företag för särskilda ändamål (</w:t>
      </w:r>
      <w:r>
        <w:rPr>
          <w:i/>
          <w:iCs/>
          <w:noProof/>
        </w:rPr>
        <w:t>special purpose vehicles</w:t>
      </w:r>
      <w:r>
        <w:rPr>
          <w:noProof/>
        </w:rPr>
        <w:t xml:space="preserve">), projektföretag och offentlig-privata partnerskap. </w:t>
      </w:r>
    </w:p>
    <w:p>
      <w:pPr>
        <w:rPr>
          <w:noProof/>
        </w:rPr>
      </w:pPr>
      <w:r>
        <w:rPr>
          <w:noProof/>
        </w:rPr>
        <w:t>Stödet ska tillhandahållas genom investeringar eller fonder, företag för särskilda ändamål, investeringsplattformar eller genom andra förmedlingsmetoder. Samarbete med nationella utvecklingsbanker eller -institutioner uppmuntras.</w:t>
      </w:r>
    </w:p>
    <w:p>
      <w:pPr>
        <w:rPr>
          <w:b/>
          <w:noProof/>
        </w:rPr>
      </w:pPr>
      <w:r>
        <w:rPr>
          <w:b/>
          <w:noProof/>
        </w:rPr>
        <w:t>Kapitel III och investeringsriktlinjerna (bilaga II)</w:t>
      </w:r>
    </w:p>
    <w:p>
      <w:pPr>
        <w:rPr>
          <w:noProof/>
        </w:rPr>
      </w:pPr>
      <w:r>
        <w:rPr>
          <w:noProof/>
        </w:rPr>
        <w:t xml:space="preserve">För att vara berättigade till solvensstöd måste företag vara etablerade och bedriva verksamhet i unionen. </w:t>
      </w:r>
    </w:p>
    <w:p>
      <w:pPr>
        <w:rPr>
          <w:noProof/>
        </w:rPr>
      </w:pPr>
      <w:r>
        <w:rPr>
          <w:noProof/>
        </w:rPr>
        <w:t>Det förutses att både EIB och EIF kan genomföra transaktioner under solvensstödtjänsten.</w:t>
      </w:r>
    </w:p>
    <w:p>
      <w:pPr>
        <w:rPr>
          <w:noProof/>
        </w:rPr>
      </w:pPr>
      <w:r>
        <w:rPr>
          <w:noProof/>
        </w:rPr>
        <w:t xml:space="preserve">Efsis allmänna mål kompletteras med en hänvisning till den europeiska gröna given och strategin för att forma Europas digitala framtid, samt till vikten av att undvika regionala skillnader till följd av en asymmetrisk återhämtning efter covid-19-pandemin. </w:t>
      </w:r>
    </w:p>
    <w:p>
      <w:pPr>
        <w:rPr>
          <w:noProof/>
        </w:rPr>
      </w:pPr>
      <w:r>
        <w:rPr>
          <w:noProof/>
        </w:rPr>
        <w:lastRenderedPageBreak/>
        <w:t xml:space="preserve">Styrelsen ska fastställa alla nödvändiga krav som rör kontroll av intermediärer (fonder, företag för särskilda ändamål och andra) mot bakgrund av tillämpliga överväganden gällande allmän ordning eller säkerhet. </w:t>
      </w:r>
    </w:p>
    <w:p>
      <w:pPr>
        <w:rPr>
          <w:noProof/>
        </w:rPr>
      </w:pPr>
      <w:r>
        <w:rPr>
          <w:noProof/>
        </w:rPr>
        <w:t xml:space="preserve">Stödet kan förmedlas genom olika instrument och produkter, även genom nationella utvecklingsinstitutioner och -banker i enlighet med tillämpliga regler för statligt stöd och internationella regler. </w:t>
      </w:r>
    </w:p>
    <w:p>
      <w:pPr>
        <w:rPr>
          <w:noProof/>
        </w:rPr>
      </w:pPr>
      <w:r>
        <w:rPr>
          <w:noProof/>
        </w:rPr>
        <w:t xml:space="preserve">EU-garantin i förhållande till solvensstödtjänsten uppgår till 66,4 miljarder EUR. Genom dess införande kommer EU:s totala garanti att uppgå till högst 92,4 miljarder EUR. Motsvarande avsättningar (med 50 % avsättningsnivå när det gäller ökningen av EU-garantin) uppgår till 33,2 miljarder EUR, vilket innebär att Efsi-garantifonden kommer att uppgå till totalt 42,3 miljarder EUR. Följaktligen justeras den totala avsättningsnivån till 45,8 %. </w:t>
      </w:r>
    </w:p>
    <w:p>
      <w:pPr>
        <w:rPr>
          <w:noProof/>
        </w:rPr>
      </w:pPr>
      <w:r>
        <w:rPr>
          <w:noProof/>
        </w:rPr>
        <w:t>Investeringsperioden för solvensstödtjänsten ska i regel löpa fram till slutet av 2024 när det gäller godkännanden av investeringskommittén och EIB:s och EIF:s styrande organ, och fram till slutet av 2026 när det gäller undertecknandet av transaktionerna. En andel på 60 % av finansierings- och investeringstransaktionerna måste dock ha godkänts redan i slutet av 2022.</w:t>
      </w:r>
    </w:p>
    <w:p>
      <w:pPr>
        <w:rPr>
          <w:noProof/>
        </w:rPr>
      </w:pPr>
      <w:r>
        <w:rPr>
          <w:noProof/>
        </w:rPr>
        <w:t>Investeringskommittén ska godkänna användningen av EU-garantin under solvensstödtjänsten på samma sätt som redan sker i fråga om de två andra tjänsterna. När det gäller transaktioner som genomförs av EIF ska investeringskommittén rådfrågas om de finansiella produkterna. För att undvika dubbla strukturer ska den investeringskommitté som inrättas genom den föreslagna InvestEU-förordningen, så snart den är operativ, ansvara för beviljande av EU-garantin även för solvensstödtjänsten.</w:t>
      </w:r>
    </w:p>
    <w:p>
      <w:pPr>
        <w:rPr>
          <w:noProof/>
        </w:rPr>
      </w:pPr>
      <w:r>
        <w:rPr>
          <w:noProof/>
        </w:rPr>
        <w:t xml:space="preserve">Målet är att upp till 300 miljarder EUR ska mobiliseras i den reala ekonomin under solvensstödtjänsten. </w:t>
      </w:r>
    </w:p>
    <w:p>
      <w:pPr>
        <w:rPr>
          <w:noProof/>
        </w:rPr>
      </w:pPr>
      <w:r>
        <w:rPr>
          <w:noProof/>
        </w:rPr>
        <w:t xml:space="preserve">Ett separat belopp på 100 miljoner EUR förutses för att täcka kostnader, rådgivningstjänster och tekniskt stöd i anslutning till etableringen och förvaltningen av fonder, företag för särskilda ändamål, investeringsplattformar och andra företag som etableras för solvensstödinstrumentet. Tekniskt stöd ska även vara tillgängligt för att stödja en grön och digital omställning av företag som finansieras under denna tjänst. </w:t>
      </w:r>
    </w:p>
    <w:p>
      <w:pPr>
        <w:rPr>
          <w:noProof/>
        </w:rPr>
      </w:pPr>
      <w:r>
        <w:rPr>
          <w:noProof/>
        </w:rPr>
        <w:t>Stödet ska förvaltas av kommissionen. Kommissionen kan även överlåta uppgifter till Europeiska centrumet för investeringsrådgivning (EIAH), om det är lämpligt.</w:t>
      </w:r>
    </w:p>
    <w:p>
      <w:pPr>
        <w:rPr>
          <w:noProof/>
        </w:rPr>
      </w:pPr>
      <w:r>
        <w:rPr>
          <w:noProof/>
        </w:rPr>
        <w:t>Bilaga II innehåller närmare tekniska uppgifter om de instrument och produkter som ska användas och om finansieringsstrukturerna under solvensstödtjänsten, samt tar upp styrelsens fastställande av särskilda geografiska koncentrationsgränser.</w:t>
      </w:r>
    </w:p>
    <w:p>
      <w:pPr>
        <w:rPr>
          <w:b/>
          <w:noProof/>
        </w:rPr>
      </w:pPr>
      <w:r>
        <w:rPr>
          <w:b/>
          <w:noProof/>
        </w:rPr>
        <w:t>Kapitel IIIa</w:t>
      </w:r>
    </w:p>
    <w:p>
      <w:pPr>
        <w:rPr>
          <w:noProof/>
        </w:rPr>
      </w:pPr>
      <w:r>
        <w:rPr>
          <w:noProof/>
        </w:rPr>
        <w:t>Unionens deltagande i en kommande kapitalökning (i en eller flera omgångar) för EIF förutses i detta kapitel.</w:t>
      </w:r>
    </w:p>
    <w:p>
      <w:pPr>
        <w:rPr>
          <w:b/>
          <w:noProof/>
        </w:rPr>
      </w:pPr>
      <w:r>
        <w:rPr>
          <w:b/>
          <w:noProof/>
        </w:rPr>
        <w:t xml:space="preserve">Kapitel IV </w:t>
      </w:r>
    </w:p>
    <w:p>
      <w:pPr>
        <w:rPr>
          <w:noProof/>
        </w:rPr>
      </w:pPr>
      <w:r>
        <w:rPr>
          <w:noProof/>
        </w:rPr>
        <w:t>Tekniskt stöd och rådgivningsstöd ska erbjudas av kommissionen eller genom EIAH för att hjälpa medlemsstaterna att etablera fonder, företag för särskilda ändamål eller andra företag som uppfyller kraven för unionsgarantin, särskilt medlemsstater utan utvecklade aktiemarknader. Detta stöd kan även omfatta kostnader för etablering och förvaltning av fonderna eller andra företag.</w:t>
      </w:r>
    </w:p>
    <w:p>
      <w:pPr>
        <w:rPr>
          <w:b/>
          <w:noProof/>
        </w:rPr>
      </w:pPr>
      <w:r>
        <w:rPr>
          <w:b/>
          <w:noProof/>
        </w:rPr>
        <w:t>Kapitel VI</w:t>
      </w:r>
    </w:p>
    <w:p>
      <w:pPr>
        <w:rPr>
          <w:noProof/>
        </w:rPr>
      </w:pPr>
      <w:r>
        <w:rPr>
          <w:noProof/>
        </w:rPr>
        <w:lastRenderedPageBreak/>
        <w:t>Särskilda rapporteringskrav beträffande finansierings- och investeringstransaktioner under solvensstödtjänsten ska fastställas i garantiavtalet med EIB.</w:t>
      </w:r>
    </w:p>
    <w:p>
      <w:pPr>
        <w:rPr>
          <w:b/>
          <w:noProof/>
        </w:rPr>
      </w:pPr>
      <w:r>
        <w:rPr>
          <w:b/>
          <w:noProof/>
        </w:rPr>
        <w:t>Kapitel VIII</w:t>
      </w:r>
    </w:p>
    <w:p>
      <w:pPr>
        <w:rPr>
          <w:i/>
          <w:noProof/>
        </w:rPr>
      </w:pPr>
      <w:r>
        <w:rPr>
          <w:noProof/>
        </w:rPr>
        <w:t>För att säkerställa att solvensstödinstrumentet snabbt blir operativt kan EIB eller EIF föreslå att investeringskommittén beviljar stöd genom EU-garantin under solvensstödtjänsten för garantier eller finansiering som har tillhandahållits under perioden mellan kommissionens antagande av detta lagstiftningsförslag och undertecknandet av det ändrade garantiavtalet mellan kommissionen och EIB. För att vara kvalificerade för att ”läggas på lager” på detta sätt måste garantierna eller finansieringen uppfylla kriterierna för solvensstödtjänsten. EIB eller EIF ska lägga fram ett sådant förslag så snart den ändrade Efsi-förordningen har trätt i kraft.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ändring av förordning (EU) 2015/1017 vad gäller inrättandet av ett instrument för solvensstöd</w:t>
      </w:r>
    </w:p>
    <w:p>
      <w:pPr>
        <w:pStyle w:val="Institutionquiagit"/>
        <w:rPr>
          <w:noProof/>
        </w:rPr>
      </w:pPr>
      <w:r>
        <w:rPr>
          <w:noProof/>
        </w:rPr>
        <w:t>EUROPAPARLAMENTET OCH EUROPEISKA UNIONENS RÅD HAR ANTAGIT DETTA BESLUT</w:t>
      </w:r>
    </w:p>
    <w:p>
      <w:pPr>
        <w:rPr>
          <w:noProof/>
        </w:rPr>
      </w:pPr>
      <w:r>
        <w:rPr>
          <w:noProof/>
        </w:rPr>
        <w:t>med beaktande av fördraget om Europeiska unionens funktionssätt, särskilt artiklarna 172 och 173, artikel 175 tredje stycket och artikel 182.1,</w:t>
      </w:r>
    </w:p>
    <w:p>
      <w:pPr>
        <w:rPr>
          <w:noProof/>
        </w:rPr>
      </w:pPr>
      <w:r>
        <w:rPr>
          <w:noProof/>
        </w:rPr>
        <w:t>med beaktande av Europeiska kommissionens förslag, och</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6"/>
      </w:r>
      <w:r>
        <w:rPr>
          <w:noProof/>
        </w:rPr>
        <w:t xml:space="preserve">, </w:t>
      </w:r>
    </w:p>
    <w:p>
      <w:pPr>
        <w:rPr>
          <w:noProof/>
        </w:rPr>
      </w:pPr>
      <w:r>
        <w:rPr>
          <w:noProof/>
        </w:rPr>
        <w:t>med beaktande av Regionkommitténs yttrande</w:t>
      </w:r>
      <w:r>
        <w:rPr>
          <w:rStyle w:val="FootnoteReference"/>
          <w:noProof/>
        </w:rPr>
        <w:footnoteReference w:id="7"/>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rPr>
          <w:noProof/>
        </w:rPr>
        <w:t>(1)</w:t>
      </w:r>
      <w:r>
        <w:rPr>
          <w:noProof/>
        </w:rPr>
        <w:tab/>
        <w:t>Kommissionens beräkningar på grundval av uppgifter på företagsnivå tyder på att behoven av kapitalinjektioner följd av covid-19-pandemin kan uppgå till omkring 720 miljarder EUR 2020. Denna siffra kan bli ännu högre om nedstängningsåtgärderna kvarstår längre än vad som för närvarande förväntas eller om de måste återinföras på grund av en ny smittspridningsvåg. Om inga åtgärder vidtas kan kapitalbristen leda till en utdragen period av lägre investeringar och högre arbetslöshet. Effekten av kapitalbristen kommer att vara ojämnt fördelad mellan sektorer och medlemsstater och därmed leda till skillnader på den inre marknaden. Detta förhållande förvärras av det faktum att medlemsstaterna har mycket varierande förmåga att ge statligt stöd.</w:t>
      </w:r>
    </w:p>
    <w:p>
      <w:pPr>
        <w:pStyle w:val="ManualConsidrant"/>
        <w:rPr>
          <w:noProof/>
          <w:sz w:val="22"/>
        </w:rPr>
      </w:pPr>
      <w:r>
        <w:rPr>
          <w:noProof/>
        </w:rPr>
        <w:t>(2)</w:t>
      </w:r>
      <w:r>
        <w:rPr>
          <w:noProof/>
        </w:rPr>
        <w:tab/>
        <w:t>I enlighet med förordning [Europeiska unionens återhämtningsinstrument] och inom ramen för de medel som anslås i den förordningen bör återhämtnings- och resiliensåtgärder vidtas under solvensstödtjänsten i Europeiska fonden för strategiska investeringar (Efsi) för att hantera covid-19-krisens exempellösa följdverkningar.  Dessa ytterligare medel bör användas på ett sätt som säkerställer efterlevnad av tidsgränserna i förordning [EURI].   </w:t>
      </w:r>
    </w:p>
    <w:p>
      <w:pPr>
        <w:pStyle w:val="ManualConsidrant"/>
        <w:rPr>
          <w:noProof/>
        </w:rPr>
      </w:pPr>
      <w:r>
        <w:rPr>
          <w:noProof/>
        </w:rPr>
        <w:t>(3)</w:t>
      </w:r>
      <w:r>
        <w:rPr>
          <w:noProof/>
        </w:rPr>
        <w:tab/>
        <w:t>För att motverka covid-19-pandemins allvarliga ekonomiska konsekvenser i unionen bör företag som hamnat i svårigheter på grund av den ekonomiska kris som orsakats av pandemin och som inte kan skaffa tillräcklig marknadsfinansiering, eller åtgärder som vidtas av medlemsstater omgående få tillgång till en facilitet för solvensstöd under ett solvensstödinstrument som läggs till som en tredje tjänst under Efsi.</w:t>
      </w:r>
    </w:p>
    <w:p>
      <w:pPr>
        <w:pStyle w:val="ManualConsidrant"/>
        <w:rPr>
          <w:noProof/>
        </w:rPr>
      </w:pPr>
      <w:r>
        <w:rPr>
          <w:noProof/>
        </w:rPr>
        <w:lastRenderedPageBreak/>
        <w:t>(4)</w:t>
      </w:r>
      <w:r>
        <w:rPr>
          <w:noProof/>
        </w:rPr>
        <w:tab/>
        <w:t>Företag som får stöd under solvensstödinstrumentet bör vara etablerade och bedriva verksamhet i unionen, dvs. ha sitt säte i en medlemsstat och vara verksamma i unionen i den meningen att de har betydande verksamhet där med avseende på personal, tillverkning, forskning och utveckling eller annan affärsverksamhet. De bör bedriva verksamhet som stöder målen i denna förordning. De bör ha en bärkraftig affärsmodell och inte ha befunnit sig i svårigheter enligt ramen för statligt stöd</w:t>
      </w:r>
      <w:r>
        <w:rPr>
          <w:rStyle w:val="FootnoteReference"/>
          <w:noProof/>
        </w:rPr>
        <w:footnoteReference w:id="8"/>
      </w:r>
      <w:r>
        <w:rPr>
          <w:noProof/>
        </w:rPr>
        <w:t xml:space="preserve"> redan i slutet av 2019. Stödet bör inriktas på stödberättigade företag i de medlemsstater och sektorer som drabbats hårdast av covid-19-krisen och/eller där möjligheterna att få statligt solvensstöd är mer begränsade. </w:t>
      </w:r>
    </w:p>
    <w:p>
      <w:pPr>
        <w:pStyle w:val="ManualConsidrant"/>
        <w:rPr>
          <w:noProof/>
        </w:rPr>
      </w:pPr>
      <w:r>
        <w:rPr>
          <w:noProof/>
        </w:rPr>
        <w:t>(5)</w:t>
      </w:r>
      <w:r>
        <w:rPr>
          <w:noProof/>
        </w:rPr>
        <w:tab/>
        <w:t>Den EU-garanti som beviljas Europeiska investeringsbanken (EIB) bör höjas med 66 436 320 000 EUR för att införa den tredje tjänst i Efsi – solvensstödtjänsten – under vilket solvensstöd bör ges.</w:t>
      </w:r>
    </w:p>
    <w:p>
      <w:pPr>
        <w:pStyle w:val="ManualConsidrant"/>
        <w:rPr>
          <w:noProof/>
        </w:rPr>
      </w:pPr>
      <w:r>
        <w:rPr>
          <w:noProof/>
        </w:rPr>
        <w:t>(6)</w:t>
      </w:r>
      <w:r>
        <w:rPr>
          <w:noProof/>
        </w:rPr>
        <w:tab/>
        <w:t xml:space="preserve">Avsättningarna för EU-garantin bör följaktligen höjas. Med tanke på den höga risk som är förknippad med investerings- och finansieringstransaktionerna under solvensstödtjänsten bör den totala avsättningsnivån för Efsi justeras till 45,8 %. </w:t>
      </w:r>
    </w:p>
    <w:p>
      <w:pPr>
        <w:pStyle w:val="ManualConsidrant"/>
        <w:rPr>
          <w:noProof/>
        </w:rPr>
      </w:pPr>
      <w:r>
        <w:rPr>
          <w:noProof/>
        </w:rPr>
        <w:t>(7)</w:t>
      </w:r>
      <w:r>
        <w:rPr>
          <w:noProof/>
        </w:rPr>
        <w:tab/>
        <w:t>Storleken på den EU-garanti som är tillgänglig under solvensstödtjänsten förväntas mobilisera investeringar i den reala ekonomin på upp till 300 000 000 000 EUR.</w:t>
      </w:r>
    </w:p>
    <w:p>
      <w:pPr>
        <w:pStyle w:val="ManualConsidrant"/>
        <w:rPr>
          <w:noProof/>
        </w:rPr>
      </w:pPr>
      <w:r>
        <w:rPr>
          <w:noProof/>
        </w:rPr>
        <w:t>(8)</w:t>
      </w:r>
      <w:r>
        <w:rPr>
          <w:noProof/>
        </w:rPr>
        <w:tab/>
        <w:t>Stödet bör kunna ges i olika former med tanke på att olika medlemsstater behöver olika lösningar. Stödformerna bör bl.a. inbegripa finansiering från EIB-gruppen, en garanti eller investeringar i befintliga fonder eller företag för särskilda ändamål med oberoende verksamhetsledning, som i sin tur investerar i stödberättigade företag. Stödet kan dessutom förmedlas genom nyetablerade fonder med oberoende verksamhetsledning, inbegripet via ”first-time teams”, eller företag för särskilda ändamål som etableras på europeisk, regional eller nationell nivå just i syfte att utnyttja EU-garantin för att kunna investera i stödberättigade företag. EU-garantin kan också användas för att garantera eller finansiera insatser som nationella utvecklingsbanker -institutioner genomför tillsammans med privata investerare i enlighet med reglerna för statligt stöd i syfte att stötta stödberättigade företag. Otillbörlig snedvridning av konkurrensen på den inre marknaden bör undvikas.</w:t>
      </w:r>
    </w:p>
    <w:p>
      <w:pPr>
        <w:pStyle w:val="ManualConsidrant"/>
        <w:rPr>
          <w:noProof/>
        </w:rPr>
      </w:pPr>
      <w:r>
        <w:rPr>
          <w:noProof/>
        </w:rPr>
        <w:t>(9)</w:t>
      </w:r>
      <w:r>
        <w:rPr>
          <w:noProof/>
        </w:rPr>
        <w:tab/>
        <w:t>Aktiefonder, företag för särskilda ändamål, investeringsplattformar och nationella utvecklingsbanker och -institutioner bör tillhandahålla aktiekapital eller därmed likställt kapital (såsom hybridinstrument, preferensaktier eller konvertibla aktier) till stödberättigade företag, med undantag för enheter som är inriktade på företagsuppköp (eller ersättningskapital) i syfte att sälja av tillgångar.</w:t>
      </w:r>
    </w:p>
    <w:p>
      <w:pPr>
        <w:pStyle w:val="ManualConsidrant"/>
        <w:rPr>
          <w:noProof/>
        </w:rPr>
      </w:pPr>
      <w:r>
        <w:rPr>
          <w:noProof/>
        </w:rPr>
        <w:t>(10)</w:t>
      </w:r>
      <w:r>
        <w:rPr>
          <w:noProof/>
        </w:rPr>
        <w:tab/>
        <w:t xml:space="preserve">Finansierings- och investeringstransaktionerna bör överensstämma med unionens nuvarande politiska prioriteringar, t.ex. den europeiska gröna given och strategin för att forma Europas digitala framtid. Stöd bör även inriktas på gränsöverskridande verksamhet. </w:t>
      </w:r>
    </w:p>
    <w:p>
      <w:pPr>
        <w:pStyle w:val="ManualConsidrant"/>
        <w:rPr>
          <w:noProof/>
        </w:rPr>
      </w:pPr>
      <w:r>
        <w:rPr>
          <w:noProof/>
        </w:rPr>
        <w:t>(11)</w:t>
      </w:r>
      <w:r>
        <w:rPr>
          <w:noProof/>
        </w:rPr>
        <w:tab/>
        <w:t>Beslut om finansierings- och investeringstransaktioner under solvensstödtjänsten bör fattas fram till slutet av 2024, men minst 60 % av finansierings- och investeringstransaktionerna bör beslutas senast i slutet av 2022 för att möjliggöra skyndsamma åtgärder för att hantera den ekonomiska kris som orsakats av covid-19-pandemin.</w:t>
      </w:r>
    </w:p>
    <w:p>
      <w:pPr>
        <w:pStyle w:val="ManualConsidrant"/>
        <w:rPr>
          <w:noProof/>
        </w:rPr>
      </w:pPr>
      <w:r>
        <w:rPr>
          <w:noProof/>
        </w:rPr>
        <w:lastRenderedPageBreak/>
        <w:t>(12)</w:t>
      </w:r>
      <w:r>
        <w:rPr>
          <w:noProof/>
        </w:rPr>
        <w:tab/>
        <w:t>För att kunna förmedla stöd till den europeiska ekonomin genom Europeiska investeringsfonden (EIF) bör kommissionen ha möjlighet att delta i en eller flera eventuella kapitalökningar för EIF, så att denna fond kan fortsätta att stötta den europeiska ekonomin och dess återhämtning. Unionen bör kunna behålla sin totala andel av Europeiska investeringsfondens kapital. En tillräcklig finansieringsram för detta bör förutses i den fleråriga budgetramen för innevarande period.</w:t>
      </w:r>
    </w:p>
    <w:p>
      <w:pPr>
        <w:pStyle w:val="ManualConsidrant"/>
        <w:rPr>
          <w:noProof/>
        </w:rPr>
      </w:pPr>
      <w:r>
        <w:rPr>
          <w:noProof/>
        </w:rPr>
        <w:t>(13)</w:t>
      </w:r>
      <w:r>
        <w:rPr>
          <w:noProof/>
        </w:rPr>
        <w:tab/>
        <w:t xml:space="preserve">Ett belopp på 100 000 000 EUR bör fastställas för stöd till etablering och förvaltning av investeringsfonder, företag för särskilda ändamål och investeringsplattformar i medlemsstaterna, i synnerhet i medlemsstater utan utvecklade aktiemarknader, samt för stöd till en grön och digital omställning av de företag som finansieras under solvensstödtjänsten. </w:t>
      </w:r>
    </w:p>
    <w:p>
      <w:pPr>
        <w:pStyle w:val="ManualConsidrant"/>
        <w:rPr>
          <w:noProof/>
        </w:rPr>
      </w:pPr>
      <w:r>
        <w:rPr>
          <w:noProof/>
        </w:rPr>
        <w:t>(14)</w:t>
      </w:r>
      <w:r>
        <w:rPr>
          <w:noProof/>
        </w:rPr>
        <w:tab/>
        <w:t>Den investeringskommitté som inrättas genom InvestEU-förordningen bör så snart den har inrättats även ansvara för beviljandet av EU-garantin enligt den här förordningen.</w:t>
      </w:r>
    </w:p>
    <w:p>
      <w:pPr>
        <w:pStyle w:val="ManualConsidrant"/>
        <w:rPr>
          <w:noProof/>
        </w:rPr>
      </w:pPr>
      <w:r>
        <w:rPr>
          <w:noProof/>
        </w:rPr>
        <w:t>(15)</w:t>
      </w:r>
      <w:r>
        <w:rPr>
          <w:noProof/>
        </w:rPr>
        <w:tab/>
        <w:t xml:space="preserve">I artikel 137.2 i avtalet om Förenade kungariket Storbritannien och Nordirlands utträde ur Europeiska unionen och Europeiska atomenergigemenskapen föreskrivs att Förenade kungariket och projekt i Förenade kungariket endast kunna komma i fråga för finansiella transaktioner garanterade av unionens budget inom ramen för Efsi som godkänts av de enheter och organ, inbegripet EIB och Europeiska investeringsfonden (nedan kallat </w:t>
      </w:r>
      <w:r>
        <w:rPr>
          <w:i/>
          <w:iCs/>
          <w:noProof/>
        </w:rPr>
        <w:t>EIF</w:t>
      </w:r>
      <w:r>
        <w:rPr>
          <w:noProof/>
        </w:rPr>
        <w:t>), eller av personer som har anförtrotts genomförandet av delar av dessa åtgärder före dagen för utträdesavtalets ikraftträdande. Enligt artikel 143.1 i utträdesavtalet är Förenade kungariket betalningsskyldigt för sin andel av unionens finansiella ansvarsförbindelser endast med avseende på sådana ansvarsförbindelser som följer av finansiella transaktioner som unionen beslutat före den dag utträdesavtalet träder i kraft. Finansiella ansvarsförbindelser för unionen enligt denna förordning kommer att uppstå efter dagen för Förenade kungarikets utträde ur unionen. Denna förordning bör därför inte tillämpas på eller i Förenade kungariket.</w:t>
      </w:r>
    </w:p>
    <w:p>
      <w:pPr>
        <w:pStyle w:val="ManualConsidrant"/>
        <w:rPr>
          <w:noProof/>
        </w:rPr>
      </w:pPr>
      <w:r>
        <w:rPr>
          <w:noProof/>
        </w:rPr>
        <w:t xml:space="preserve"> (16)</w:t>
      </w:r>
      <w:r>
        <w:rPr>
          <w:noProof/>
        </w:rPr>
        <w:tab/>
        <w:t>Övergripande finansiella regler som antas av Europaparlamentet och rådet på grundval av artikel 322 i fördraget om Europeiska unionens funktionssätt (EUF-fördraget) är tillämpliga på denna förordning. Dessa regler fastställs i budgetförordningen och anger särskilt bestämmelser om budgetens uppställning och genomförande genom bidrag, upphandling, priser och indirekt genomförande samt föreskriver kontroller av ansvaret hos aktörer i budgetförvaltningen. Regler som antas på grundval av artikel 322 i EUF-fördraget avser även skyddet av unionens budget vid generella brister när det gäller rättsstatsprincipen i medlemsstaterna, eftersom respekten för rättsstatsprincipen är en förutsättning för en sund ekonomisk förvaltning och en ändamålsenlig unionsfinansiering.</w:t>
      </w:r>
    </w:p>
    <w:p>
      <w:pPr>
        <w:pStyle w:val="ManualConsidrant"/>
        <w:rPr>
          <w:noProof/>
        </w:rPr>
      </w:pPr>
      <w:r>
        <w:rPr>
          <w:noProof/>
        </w:rPr>
        <w:t>(17)</w:t>
      </w:r>
      <w:r>
        <w:rPr>
          <w:noProof/>
        </w:rPr>
        <w:tab/>
        <w:t>Förordning (EU) 2015/1017 bör därför ändras i enlighet med detta.</w:t>
      </w:r>
    </w:p>
    <w:p>
      <w:pPr>
        <w:rPr>
          <w:noProof/>
        </w:rPr>
      </w:pP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Förordning (EU) 2015/1017 ska ändras på följande sätt:</w:t>
      </w:r>
    </w:p>
    <w:p>
      <w:pPr>
        <w:pStyle w:val="ListNumber"/>
        <w:rPr>
          <w:noProof/>
        </w:rPr>
      </w:pPr>
      <w:r>
        <w:rPr>
          <w:noProof/>
        </w:rPr>
        <w:t>I artikel 2 ska följande punkt 9 läggas till:</w:t>
      </w:r>
    </w:p>
    <w:p>
      <w:pPr>
        <w:ind w:left="851"/>
        <w:rPr>
          <w:noProof/>
        </w:rPr>
      </w:pPr>
      <w:r>
        <w:rPr>
          <w:noProof/>
        </w:rPr>
        <w:t>”9.</w:t>
      </w:r>
      <w:r>
        <w:rPr>
          <w:noProof/>
        </w:rPr>
        <w:tab/>
      </w:r>
      <w:r>
        <w:rPr>
          <w:i/>
          <w:iCs/>
          <w:noProof/>
        </w:rPr>
        <w:t>företag</w:t>
      </w:r>
      <w:r>
        <w:rPr>
          <w:noProof/>
        </w:rPr>
        <w:t>: avser, ifråga om solvensstödtjänsten, företag, projektföretag, offentlig-privata partnerskap och andra juridiska strukturer.”</w:t>
      </w:r>
    </w:p>
    <w:p>
      <w:pPr>
        <w:pStyle w:val="ListNumber"/>
        <w:rPr>
          <w:noProof/>
        </w:rPr>
      </w:pPr>
      <w:r>
        <w:rPr>
          <w:noProof/>
        </w:rPr>
        <w:lastRenderedPageBreak/>
        <w:t>I artikel 3 ska följande led c läggas till:</w:t>
      </w:r>
    </w:p>
    <w:p>
      <w:pPr>
        <w:ind w:left="851"/>
        <w:rPr>
          <w:noProof/>
        </w:rPr>
      </w:pPr>
      <w:r>
        <w:rPr>
          <w:noProof/>
        </w:rPr>
        <w:t>”c)</w:t>
      </w:r>
      <w:r>
        <w:rPr>
          <w:noProof/>
        </w:rPr>
        <w:tab/>
        <w:t>Solvensen hos företag som är etablerade i en medlemsstat och som bedriver verksamhet i unionen.”</w:t>
      </w:r>
    </w:p>
    <w:p>
      <w:pPr>
        <w:pStyle w:val="ListNumber"/>
        <w:rPr>
          <w:noProof/>
        </w:rPr>
      </w:pPr>
      <w:r>
        <w:rPr>
          <w:noProof/>
        </w:rPr>
        <w:t>Artikel 4.2 a iv ska ändras på följande sätt:</w:t>
      </w:r>
    </w:p>
    <w:p>
      <w:pPr>
        <w:ind w:left="851"/>
        <w:rPr>
          <w:noProof/>
        </w:rPr>
      </w:pPr>
      <w:r>
        <w:rPr>
          <w:noProof/>
        </w:rPr>
        <w:t>”Prissättningen av transaktioner inom ramen för EU-garantin, vilken ska överensstämma med EIB:s prispolicy, medan andra arrangemang kan avtalas avseende solvensstödtjänsten.”</w:t>
      </w:r>
    </w:p>
    <w:p>
      <w:pPr>
        <w:pStyle w:val="ListNumber"/>
        <w:rPr>
          <w:noProof/>
        </w:rPr>
      </w:pPr>
      <w:r>
        <w:rPr>
          <w:noProof/>
        </w:rPr>
        <w:t>I artikel 5 ska följande strecksats läggas till efter punkt 1 tredje stycket sista strecksatsen:</w:t>
      </w:r>
    </w:p>
    <w:p>
      <w:pPr>
        <w:ind w:left="851"/>
        <w:rPr>
          <w:noProof/>
          <w:vertAlign w:val="subscript"/>
        </w:rPr>
      </w:pPr>
      <w:r>
        <w:rPr>
          <w:noProof/>
        </w:rPr>
        <w:t xml:space="preserve">”– Stöd till fonder, företag för särskilda ändamål, investeringsplattformar eller andra arrangemang under solvensstödtjänsten.” </w:t>
      </w:r>
    </w:p>
    <w:p>
      <w:pPr>
        <w:pStyle w:val="ListNumber"/>
        <w:rPr>
          <w:noProof/>
        </w:rPr>
      </w:pPr>
      <w:r>
        <w:rPr>
          <w:noProof/>
        </w:rPr>
        <w:t>I artikel 6.1 a ska följande stycke läggas till:</w:t>
      </w:r>
    </w:p>
    <w:p>
      <w:pPr>
        <w:ind w:left="851"/>
        <w:rPr>
          <w:noProof/>
        </w:rPr>
      </w:pPr>
      <w:r>
        <w:rPr>
          <w:noProof/>
        </w:rPr>
        <w:t>”Stöd under solvensstödtjänsten ska emellertid endast beviljas företag som inte befann sig i svårigheter enligt villkoren i reglerna för statligt stöd</w:t>
      </w:r>
      <w:r>
        <w:rPr>
          <w:rStyle w:val="FootnoteReference"/>
          <w:noProof/>
        </w:rPr>
        <w:footnoteReference w:id="9"/>
      </w:r>
      <w:r>
        <w:rPr>
          <w:noProof/>
        </w:rPr>
        <w:t xml:space="preserve"> redan i slutet av 2019, utan därefter drabbats av betydande solvensrisker på grund av den kris som orsakats av covid -19-pandemin.</w:t>
      </w:r>
    </w:p>
    <w:p>
      <w:pPr>
        <w:pStyle w:val="ListNumber"/>
        <w:rPr>
          <w:noProof/>
        </w:rPr>
      </w:pPr>
      <w:r>
        <w:rPr>
          <w:noProof/>
        </w:rPr>
        <w:t>I artikel 6 ska punkt 3 läggas till på följande sätt:</w:t>
      </w:r>
    </w:p>
    <w:p>
      <w:pPr>
        <w:ind w:left="851"/>
        <w:rPr>
          <w:noProof/>
        </w:rPr>
      </w:pPr>
      <w:r>
        <w:rPr>
          <w:noProof/>
        </w:rPr>
        <w:t>”3.</w:t>
      </w:r>
      <w:r>
        <w:rPr>
          <w:noProof/>
        </w:rPr>
        <w:tab/>
        <w:t>Trots vad som anges i punkt 2 kan, avseende transaktioner som genomförs via finansiella intermediärer, en minimistorlek fastställas för finansierings- och investeringstransaktioner under solvensstödtjänsten.</w:t>
      </w:r>
    </w:p>
    <w:p>
      <w:pPr>
        <w:pStyle w:val="ListNumber"/>
        <w:rPr>
          <w:noProof/>
        </w:rPr>
      </w:pPr>
      <w:r>
        <w:rPr>
          <w:noProof/>
        </w:rPr>
        <w:t>I artikel 7.2 ska följande led läggas till som led e:</w:t>
      </w:r>
    </w:p>
    <w:p>
      <w:pPr>
        <w:ind w:left="851"/>
        <w:rPr>
          <w:noProof/>
        </w:rPr>
      </w:pPr>
      <w:r>
        <w:rPr>
          <w:noProof/>
        </w:rPr>
        <w:t>”Den vägledning som avses i avsnitt 6 led d i bilaga II.”</w:t>
      </w:r>
    </w:p>
    <w:p>
      <w:pPr>
        <w:pStyle w:val="ListNumber"/>
        <w:rPr>
          <w:noProof/>
        </w:rPr>
      </w:pPr>
      <w:r>
        <w:rPr>
          <w:noProof/>
        </w:rPr>
        <w:t>I artikel 8 ska ett tredje stycke läggas till enligt följande:</w:t>
      </w:r>
    </w:p>
    <w:p>
      <w:pPr>
        <w:ind w:left="851"/>
        <w:rPr>
          <w:noProof/>
        </w:rPr>
      </w:pPr>
      <w:r>
        <w:rPr>
          <w:noProof/>
        </w:rPr>
        <w:t>”Trots vad som anges i första stycket kan endast företag som är etablerade i en medlemsstat och som bedriver verksamhet i unionen få stöd genom finansierings- och investeringstransaktionerna under solvensstödtjänsten.”</w:t>
      </w:r>
    </w:p>
    <w:p>
      <w:pPr>
        <w:pStyle w:val="ListNumber"/>
        <w:rPr>
          <w:noProof/>
        </w:rPr>
      </w:pPr>
      <w:r>
        <w:rPr>
          <w:noProof/>
        </w:rPr>
        <w:t>I artikel 9.2 första stycket ska följande mening läggas till:</w:t>
      </w:r>
    </w:p>
    <w:p>
      <w:pPr>
        <w:ind w:left="851"/>
        <w:rPr>
          <w:noProof/>
        </w:rPr>
      </w:pPr>
      <w:r>
        <w:rPr>
          <w:noProof/>
        </w:rPr>
        <w:t>”EU-garantin ska även beviljas för finansierings- och investeringstransaktioner som genomförs av EIF under solvensstödtjänsten.”</w:t>
      </w:r>
    </w:p>
    <w:p>
      <w:pPr>
        <w:pStyle w:val="ListNumber"/>
        <w:rPr>
          <w:noProof/>
        </w:rPr>
      </w:pPr>
      <w:r>
        <w:rPr>
          <w:noProof/>
        </w:rPr>
        <w:t>Artikel 9.2 tredje stycket första meningen ska ändras på följande sätt:</w:t>
      </w:r>
    </w:p>
    <w:p>
      <w:pPr>
        <w:ind w:left="851"/>
        <w:rPr>
          <w:noProof/>
        </w:rPr>
      </w:pPr>
      <w:r>
        <w:rPr>
          <w:noProof/>
        </w:rPr>
        <w:t>”De berörda transaktionerna ska vara förenliga med unionens politik, inbegripet den europeiska gröna given</w:t>
      </w:r>
      <w:r>
        <w:rPr>
          <w:rStyle w:val="FootnoteReference"/>
          <w:noProof/>
        </w:rPr>
        <w:footnoteReference w:id="10"/>
      </w:r>
      <w:r>
        <w:rPr>
          <w:noProof/>
        </w:rPr>
        <w:t xml:space="preserve"> och strategin för att forma Europas digitala framtid</w:t>
      </w:r>
      <w:r>
        <w:rPr>
          <w:rStyle w:val="FootnoteReference"/>
          <w:noProof/>
        </w:rPr>
        <w:footnoteReference w:id="11"/>
      </w:r>
      <w:r>
        <w:rPr>
          <w:noProof/>
        </w:rPr>
        <w:t>, främja en inkluderande och symmetrisk återhämtning efter covid-19-pandemin samt stödja ett eller flera av följande mål:”</w:t>
      </w:r>
    </w:p>
    <w:p>
      <w:pPr>
        <w:pStyle w:val="ListNumber"/>
        <w:rPr>
          <w:noProof/>
        </w:rPr>
      </w:pPr>
      <w:r>
        <w:rPr>
          <w:noProof/>
        </w:rPr>
        <w:t>I artikel 9.2 tredje stycket ska följande led läggas till som led j:</w:t>
      </w:r>
    </w:p>
    <w:p>
      <w:pPr>
        <w:ind w:left="851"/>
        <w:rPr>
          <w:noProof/>
        </w:rPr>
      </w:pPr>
      <w:r>
        <w:rPr>
          <w:noProof/>
        </w:rPr>
        <w:lastRenderedPageBreak/>
        <w:t>”j)</w:t>
      </w:r>
      <w:r>
        <w:rPr>
          <w:noProof/>
        </w:rPr>
        <w:tab/>
        <w:t>solvensstöd under solvensstödtjänsten till de företag som avses i artikel 3 c som stöder ett eller flera av de mål som avses i denna punkt. ”</w:t>
      </w:r>
    </w:p>
    <w:p>
      <w:pPr>
        <w:pStyle w:val="ListNumber"/>
        <w:rPr>
          <w:noProof/>
        </w:rPr>
      </w:pPr>
      <w:r>
        <w:rPr>
          <w:noProof/>
        </w:rPr>
        <w:t>I artikel 9.2 ska det sista stycket utgå och följande punkt införas som punkt 2a:</w:t>
      </w:r>
    </w:p>
    <w:p>
      <w:pPr>
        <w:ind w:left="851"/>
        <w:rPr>
          <w:noProof/>
        </w:rPr>
      </w:pPr>
      <w:r>
        <w:rPr>
          <w:noProof/>
        </w:rPr>
        <w:t>”Utan att det inverkar på Efsis efterfrågestyrda karaktär ska EIB beakta följande:</w:t>
      </w:r>
    </w:p>
    <w:p>
      <w:pPr>
        <w:pStyle w:val="ListNumberLevel2"/>
        <w:rPr>
          <w:noProof/>
        </w:rPr>
      </w:pPr>
      <w:r>
        <w:rPr>
          <w:noProof/>
        </w:rPr>
        <w:t>Målet att minst 40 % av Efsis finansiering under infrastruktur- och innovationstjänsten ska stödja delar av projekt som bidrar till klimatåtgärder, i enlighet med de åtaganden som gjordes vid den 21:a konferensen mellan parterna till FN:s ramkonvention om klimatförändring (COP21). Efsis finansiering för små och medelstora företag samt små börsnoterade företag ska inte ingå i den beräkningen. EIB ska använda internationellt överenskomna metoder för att identifiera dessa delar av eller kostnadsandelar för klimatprojekt.</w:t>
      </w:r>
    </w:p>
    <w:p>
      <w:pPr>
        <w:pStyle w:val="ListNumberLevel2"/>
        <w:rPr>
          <w:noProof/>
        </w:rPr>
      </w:pPr>
      <w:r>
        <w:rPr>
          <w:noProof/>
        </w:rPr>
        <w:t>Säkerställa att merparten av Efsis finansiering under solvensstödtjänsten används för att stödja stödberättigade företag i de medlemsstater och sektorer som har lidit störst ekonomisk skada till följd av covid-19-pandemin.</w:t>
      </w:r>
    </w:p>
    <w:p>
      <w:pPr>
        <w:pStyle w:val="ListNumberLevel2"/>
        <w:rPr>
          <w:noProof/>
        </w:rPr>
      </w:pPr>
      <w:r>
        <w:rPr>
          <w:noProof/>
        </w:rPr>
        <w:t>Säkerställa att merparten av Efsis finansiering under solvensstödtjänsten används för att stödja stödberättigade företag i medlemsstater där möjligheterna att få statligt solvensstöd är mer begränsade.</w:t>
      </w:r>
    </w:p>
    <w:p>
      <w:pPr>
        <w:ind w:left="851"/>
        <w:rPr>
          <w:noProof/>
        </w:rPr>
      </w:pPr>
      <w:r>
        <w:rPr>
          <w:noProof/>
        </w:rPr>
        <w:t>Styrelsen ska om nödvändigt lämna detaljerad vägledning avseende punkterna a–c.”</w:t>
      </w:r>
    </w:p>
    <w:p>
      <w:pPr>
        <w:pStyle w:val="ListNumber"/>
        <w:rPr>
          <w:noProof/>
        </w:rPr>
      </w:pPr>
      <w:r>
        <w:rPr>
          <w:noProof/>
        </w:rPr>
        <w:t>Artikel 9.3 a och b ska ändras på följande sätt:</w:t>
      </w:r>
    </w:p>
    <w:p>
      <w:pPr>
        <w:ind w:left="851"/>
        <w:rPr>
          <w:noProof/>
        </w:rPr>
      </w:pPr>
      <w:r>
        <w:rPr>
          <w:noProof/>
        </w:rPr>
        <w:t>”a)</w:t>
      </w:r>
      <w:r>
        <w:rPr>
          <w:noProof/>
        </w:rPr>
        <w:tab/>
        <w:t>den 31 december 2020 för EIB-transaktioner under infrastruktur- och innovationstjänsten för vilka ett kontrakt mellan EIB och mottagaren eller den finansiella intermediären har undertecknats senast den 31 december 2022,</w:t>
      </w:r>
    </w:p>
    <w:p>
      <w:pPr>
        <w:ind w:left="851"/>
        <w:rPr>
          <w:noProof/>
        </w:rPr>
      </w:pPr>
      <w:r>
        <w:rPr>
          <w:noProof/>
        </w:rPr>
        <w:t xml:space="preserve">b) </w:t>
      </w:r>
      <w:r>
        <w:rPr>
          <w:noProof/>
        </w:rPr>
        <w:tab/>
        <w:t>den 31 december 2020 för EIF-transaktioner under tjänsten för små och medelstora företag för vilka ett kontrakt mellan EIB och mottagaren eller den finansiella intermediären har undertecknats senast den 31 december 2022,”</w:t>
      </w:r>
    </w:p>
    <w:p>
      <w:pPr>
        <w:pStyle w:val="ListNumber"/>
        <w:rPr>
          <w:noProof/>
        </w:rPr>
      </w:pPr>
      <w:r>
        <w:rPr>
          <w:noProof/>
        </w:rPr>
        <w:t>I artikel 9.3 ska följande led läggas till som led c:</w:t>
      </w:r>
    </w:p>
    <w:p>
      <w:pPr>
        <w:ind w:left="851"/>
        <w:rPr>
          <w:noProof/>
        </w:rPr>
      </w:pPr>
      <w:r>
        <w:rPr>
          <w:noProof/>
        </w:rPr>
        <w:t xml:space="preserve">”c) </w:t>
      </w:r>
      <w:r>
        <w:rPr>
          <w:noProof/>
        </w:rPr>
        <w:tab/>
        <w:t xml:space="preserve">den 31 december 2024 för EIB- eller EIF-transaktioner under den EU-garanti för solvensstödtjänsten som avses i artikel 11.1 tredje stycket.  Kontrakt mellan EIB eller EIB och mottagaren eller den finansiella intermediären för dessa transaktioner ska senaste den 31 december 2026 godkännas av EIB:s eller EIF:s styrande organ i enlighet med artikel 4.6 i förordning [EURI].” </w:t>
      </w:r>
    </w:p>
    <w:p>
      <w:pPr>
        <w:pStyle w:val="ListNumber"/>
        <w:rPr>
          <w:noProof/>
        </w:rPr>
      </w:pPr>
      <w:r>
        <w:rPr>
          <w:noProof/>
        </w:rPr>
        <w:t>Artikel 10.2 b och c ska ändras på följande sätt:</w:t>
      </w:r>
    </w:p>
    <w:p>
      <w:pPr>
        <w:ind w:left="851"/>
        <w:rPr>
          <w:noProof/>
        </w:rPr>
      </w:pPr>
      <w:r>
        <w:rPr>
          <w:noProof/>
        </w:rPr>
        <w:t>”b)</w:t>
      </w:r>
      <w:r>
        <w:rPr>
          <w:noProof/>
        </w:rPr>
        <w:tab/>
        <w:t>EIB-finansiering eller garantier till EIF som gör det möjligt för EIF att tillhandahålla lån, garantier, motgarantier, andra former av kreditförstärkningsinstrument, kapitalmarknadsinstrument, samt investeringar i aktiekapital eller kapital likställt med eget kapital, inbegripet till förmån för nationella utvecklingsbanker eller -institutioner, investeringsplattformar, fonder eller företag för särskilda ändamål.</w:t>
      </w:r>
    </w:p>
    <w:p>
      <w:pPr>
        <w:ind w:left="851"/>
        <w:rPr>
          <w:noProof/>
        </w:rPr>
      </w:pPr>
      <w:r>
        <w:rPr>
          <w:noProof/>
        </w:rPr>
        <w:t>c)</w:t>
      </w:r>
      <w:r>
        <w:rPr>
          <w:noProof/>
        </w:rPr>
        <w:tab/>
        <w:t>Av EIB ställda garantier till nationella utvecklingsbanker eller -institutioner, investeringsplattformar, fonder eller företag för särskilda ändamål med en motgaranti från EU-garantin</w:t>
      </w:r>
    </w:p>
    <w:p>
      <w:pPr>
        <w:pStyle w:val="ListNumber"/>
        <w:rPr>
          <w:noProof/>
        </w:rPr>
      </w:pPr>
      <w:r>
        <w:rPr>
          <w:noProof/>
        </w:rPr>
        <w:t>I artikel 10.2 ska ett nytt tredje stycke läggas till enligt följande:</w:t>
      </w:r>
    </w:p>
    <w:p>
      <w:pPr>
        <w:ind w:left="851"/>
        <w:rPr>
          <w:noProof/>
        </w:rPr>
      </w:pPr>
      <w:r>
        <w:rPr>
          <w:noProof/>
        </w:rPr>
        <w:lastRenderedPageBreak/>
        <w:t>”Godtagbara instrument under solvensstödtjänsten ska resultera i att de företag som avses i artikel 3 c förses med aktiekapital eller kapital likställt med eget kapital. Hybridinstrument får användas i enlighet med bilaga II om de uppfyller syftet med tjänsten.”</w:t>
      </w:r>
    </w:p>
    <w:p>
      <w:pPr>
        <w:pStyle w:val="ListNumber"/>
        <w:rPr>
          <w:noProof/>
        </w:rPr>
      </w:pPr>
      <w:r>
        <w:rPr>
          <w:noProof/>
        </w:rPr>
        <w:t>I artikel 10.4 ska en ny andra mening läggas till enligt följande:</w:t>
      </w:r>
    </w:p>
    <w:p>
      <w:pPr>
        <w:ind w:left="851"/>
        <w:rPr>
          <w:noProof/>
        </w:rPr>
      </w:pPr>
      <w:r>
        <w:rPr>
          <w:noProof/>
        </w:rPr>
        <w:t>”EIF får under solvensstödtjänsten bevilja en garanti till fonder och företag för särskilda ändamål.”</w:t>
      </w:r>
    </w:p>
    <w:p>
      <w:pPr>
        <w:pStyle w:val="ListNumber"/>
        <w:rPr>
          <w:noProof/>
        </w:rPr>
      </w:pPr>
      <w:r>
        <w:rPr>
          <w:noProof/>
        </w:rPr>
        <w:t>I artikel 10 ska följande punkt läggas till som punkt 5:</w:t>
      </w:r>
    </w:p>
    <w:p>
      <w:pPr>
        <w:ind w:left="851"/>
        <w:rPr>
          <w:noProof/>
        </w:rPr>
      </w:pPr>
      <w:r>
        <w:rPr>
          <w:noProof/>
        </w:rPr>
        <w:t>”Intermediärer under solvensstödtjänsten ska vara etablerade i en medlemsstat och vara verksamma i unionen. Styrelsen ska fastställa alla nödvändiga krav som rör kontroll av intermediärer (fonder, företag för särskilda ändamål och andra) mot bakgrund av tillämpliga överväganden gällande allmän ordning eller säkerhet.”</w:t>
      </w:r>
    </w:p>
    <w:p>
      <w:pPr>
        <w:pStyle w:val="ListNumber"/>
        <w:rPr>
          <w:noProof/>
        </w:rPr>
      </w:pPr>
      <w:r>
        <w:rPr>
          <w:noProof/>
        </w:rPr>
        <w:t>Artikel 11.1 ska ändras på följande sätt:</w:t>
      </w:r>
    </w:p>
    <w:p>
      <w:pPr>
        <w:ind w:left="851"/>
        <w:rPr>
          <w:noProof/>
        </w:rPr>
      </w:pPr>
      <w:r>
        <w:rPr>
          <w:noProof/>
        </w:rPr>
        <w:t>”1.</w:t>
      </w:r>
      <w:r>
        <w:rPr>
          <w:noProof/>
        </w:rPr>
        <w:tab/>
        <w:t xml:space="preserve">EU-garantin får oavsett tidpunkt inte överskrida 92 436 320 000 EUR, varav en del får anslås till EIB:s finansiering eller garantier till EIF i enlighet med punkt 3 eller under solvensstödtjänsten. </w:t>
      </w:r>
    </w:p>
    <w:p>
      <w:pPr>
        <w:ind w:left="851"/>
        <w:rPr>
          <w:noProof/>
        </w:rPr>
      </w:pPr>
      <w:r>
        <w:rPr>
          <w:noProof/>
        </w:rPr>
        <w:t>Upp till 66 436 320 000 EUR av EU-garantin ska anslås för transaktioner under solvensstödtjänsten.</w:t>
      </w:r>
    </w:p>
    <w:p>
      <w:pPr>
        <w:ind w:left="851"/>
        <w:rPr>
          <w:noProof/>
        </w:rPr>
      </w:pPr>
      <w:r>
        <w:rPr>
          <w:noProof/>
        </w:rPr>
        <w:t>Upp till 56 476 320 000 EUR av det belopp som avses i andra stycket ska anslås för de genomförandeåtgärder som avses i artikel 2.1 i förordning [EURI] och bli tillgängliga först från och med den tidpunkt som avses i artikel 4.3 i den förordningen.</w:t>
      </w:r>
    </w:p>
    <w:p>
      <w:pPr>
        <w:ind w:left="851"/>
        <w:rPr>
          <w:noProof/>
        </w:rPr>
      </w:pPr>
      <w:r>
        <w:rPr>
          <w:noProof/>
        </w:rPr>
        <w:t>De sammanlagda nettobetalningarna från unionens allmänna budget inom ramen för EU-garantin får inte överstiga 92 436 320 000 EUR och inte överstiga 26 000 000 000 EUR före [den här förordningens ikraftträdande].”</w:t>
      </w:r>
    </w:p>
    <w:p>
      <w:pPr>
        <w:pStyle w:val="ListNumber"/>
        <w:rPr>
          <w:noProof/>
        </w:rPr>
      </w:pPr>
      <w:r>
        <w:rPr>
          <w:noProof/>
        </w:rPr>
        <w:t>Artikel 11.3 första meningen ska ändras på följande sätt:</w:t>
      </w:r>
    </w:p>
    <w:p>
      <w:pPr>
        <w:ind w:left="851"/>
        <w:rPr>
          <w:noProof/>
        </w:rPr>
      </w:pPr>
      <w:r>
        <w:rPr>
          <w:noProof/>
        </w:rPr>
        <w:t>”3.</w:t>
      </w:r>
      <w:r>
        <w:rPr>
          <w:noProof/>
        </w:rPr>
        <w:tab/>
        <w:t>Om EIB tillhandahåller finansiering eller garantier under tjänsten för små och medelstora företag till EIF för att genomföra EIB:s finansierings- och investeringstransaktioner ska EU-garantin tillhandahålla en heltäckande garanti för sådan finansiering eller garantier upp till ett första belopp på 6 500 000 000 EUR, förutsatt att ett belopp för finansiering eller garantier på minst 4 000 000 000 EUR gradvis tillhandahålls av EIB utan täckning av EU-garantin.”</w:t>
      </w:r>
    </w:p>
    <w:p>
      <w:pPr>
        <w:pStyle w:val="ListNumber"/>
        <w:rPr>
          <w:noProof/>
        </w:rPr>
      </w:pPr>
      <w:r>
        <w:rPr>
          <w:noProof/>
        </w:rPr>
        <w:t>Artikel 11.6 andra stycket ska ändras på följande sätt:</w:t>
      </w:r>
    </w:p>
    <w:p>
      <w:pPr>
        <w:pStyle w:val="Text1"/>
        <w:rPr>
          <w:noProof/>
        </w:rPr>
      </w:pPr>
      <w:r>
        <w:rPr>
          <w:noProof/>
        </w:rPr>
        <w:t>”EU-garantin ska även täcka de belopp som avses i artikel 9.6 andra, tredje och fjärde stycket.”</w:t>
      </w:r>
    </w:p>
    <w:p>
      <w:pPr>
        <w:pStyle w:val="ListNumber"/>
        <w:rPr>
          <w:noProof/>
        </w:rPr>
      </w:pPr>
      <w:r>
        <w:rPr>
          <w:noProof/>
        </w:rPr>
        <w:t>Artikel 12 ska ändras på följande sätt:</w:t>
      </w:r>
    </w:p>
    <w:p>
      <w:pPr>
        <w:pStyle w:val="ListNumberLevel2"/>
        <w:ind w:hanging="566"/>
        <w:rPr>
          <w:noProof/>
        </w:rPr>
      </w:pPr>
      <w:r>
        <w:rPr>
          <w:noProof/>
        </w:rPr>
        <w:t xml:space="preserve">I punkt 2 ska följande led läggas till som led e: </w:t>
      </w:r>
    </w:p>
    <w:p>
      <w:pPr>
        <w:ind w:left="851"/>
        <w:rPr>
          <w:noProof/>
        </w:rPr>
      </w:pPr>
      <w:r>
        <w:rPr>
          <w:noProof/>
        </w:rPr>
        <w:t>”e)</w:t>
      </w:r>
      <w:r>
        <w:rPr>
          <w:noProof/>
        </w:rPr>
        <w:tab/>
        <w:t xml:space="preserve">ett belopp på 28 238 160 000 EUR av det belopp som avses i artikel 3.2 c ii i förordning [EURI].” </w:t>
      </w:r>
    </w:p>
    <w:p>
      <w:pPr>
        <w:pStyle w:val="ListNumberLevel2"/>
        <w:ind w:hanging="566"/>
        <w:rPr>
          <w:noProof/>
        </w:rPr>
      </w:pPr>
      <w:r>
        <w:rPr>
          <w:noProof/>
        </w:rPr>
        <w:t xml:space="preserve">I punkt 3 ska ett andra stycke infogas: </w:t>
      </w:r>
    </w:p>
    <w:p>
      <w:pPr>
        <w:ind w:left="851"/>
        <w:rPr>
          <w:noProof/>
        </w:rPr>
      </w:pPr>
      <w:r>
        <w:rPr>
          <w:noProof/>
        </w:rPr>
        <w:t>Den finansiering av garantifonden som avses i led e i punkt 2 i denna artikel ska utgöra en extern inkomst avsatt för särskilda ändamål i enlighet med artikel 21.5 i budgetförordningen.</w:t>
      </w:r>
    </w:p>
    <w:p>
      <w:pPr>
        <w:pStyle w:val="ListNumberLevel2"/>
        <w:ind w:hanging="566"/>
        <w:rPr>
          <w:noProof/>
        </w:rPr>
      </w:pPr>
      <w:r>
        <w:rPr>
          <w:noProof/>
        </w:rPr>
        <w:lastRenderedPageBreak/>
        <w:t xml:space="preserve"> Punkt 5 ska ändras på följande sätt:</w:t>
      </w:r>
    </w:p>
    <w:p>
      <w:pPr>
        <w:ind w:left="851"/>
        <w:rPr>
          <w:noProof/>
        </w:rPr>
      </w:pPr>
      <w:r>
        <w:rPr>
          <w:noProof/>
        </w:rPr>
        <w:t>”5.</w:t>
      </w:r>
      <w:r>
        <w:rPr>
          <w:noProof/>
        </w:rPr>
        <w:tab/>
        <w:t xml:space="preserve">Den finansiering av garantifonden som avses i punkt 2 a–d i och den finansiering som avses i punkt 2 e ska användas för att uppnå en lämplig nivå (nedan kallat </w:t>
      </w:r>
      <w:r>
        <w:rPr>
          <w:i/>
          <w:iCs/>
          <w:noProof/>
        </w:rPr>
        <w:t>målbeloppet</w:t>
      </w:r>
      <w:r>
        <w:rPr>
          <w:noProof/>
        </w:rPr>
        <w:t>) som avspeglar EU:s totala garantiförpliktelser. Målbeloppet ska fastställas till 45,8 % av EU:s totala garantiförpliktelser.”</w:t>
      </w:r>
    </w:p>
    <w:p>
      <w:pPr>
        <w:pStyle w:val="ListNumberLevel2"/>
        <w:tabs>
          <w:tab w:val="clear" w:pos="1417"/>
        </w:tabs>
        <w:ind w:hanging="566"/>
        <w:rPr>
          <w:noProof/>
        </w:rPr>
      </w:pPr>
      <w:r>
        <w:rPr>
          <w:noProof/>
        </w:rPr>
        <w:t>Punkt 7 ska ändras på följande sätt:</w:t>
      </w:r>
    </w:p>
    <w:p>
      <w:pPr>
        <w:ind w:left="851"/>
        <w:rPr>
          <w:noProof/>
        </w:rPr>
      </w:pPr>
      <w:r>
        <w:rPr>
          <w:noProof/>
        </w:rPr>
        <w:t>”7.</w:t>
      </w:r>
      <w:r>
        <w:rPr>
          <w:noProof/>
        </w:rPr>
        <w:tab/>
        <w:t>Från och med den 1 januari 2028 ska kommissionen, om nivån i garantifonden till följd av anspråk på EU-garantin sjunker under 50 % av målbeloppet eller enligt kommissionens riskbedömning kan sjunka under denna nivå inom ett år, överlämna en rapport om eventuella exceptionella åtgärder som kan krävas.”</w:t>
      </w:r>
    </w:p>
    <w:p>
      <w:pPr>
        <w:pStyle w:val="ListNumberLevel2"/>
        <w:ind w:hanging="566"/>
        <w:rPr>
          <w:noProof/>
        </w:rPr>
      </w:pPr>
      <w:r>
        <w:rPr>
          <w:noProof/>
        </w:rPr>
        <w:t>Punkt 10 ska ändras på följande sätt:</w:t>
      </w:r>
    </w:p>
    <w:p>
      <w:pPr>
        <w:ind w:left="851"/>
        <w:rPr>
          <w:noProof/>
        </w:rPr>
      </w:pPr>
      <w:r>
        <w:rPr>
          <w:noProof/>
        </w:rPr>
        <w:t>”10.</w:t>
      </w:r>
      <w:r>
        <w:rPr>
          <w:noProof/>
        </w:rPr>
        <w:tab/>
        <w:t>Om EU-garantin till fullo skulle återställas till ett belopp på 92 436 320 000 EUR ska eventuella belopp i garantifonden utöver målbeloppet betalas in till unionens allmänna budget.”</w:t>
      </w:r>
    </w:p>
    <w:p>
      <w:pPr>
        <w:pStyle w:val="ListNumber"/>
        <w:rPr>
          <w:noProof/>
        </w:rPr>
      </w:pPr>
      <w:r>
        <w:rPr>
          <w:noProof/>
        </w:rPr>
        <w:t>Artikel 13 andra stycket ska ändras på följande sätt:</w:t>
      </w:r>
    </w:p>
    <w:p>
      <w:pPr>
        <w:pStyle w:val="Text1"/>
        <w:rPr>
          <w:noProof/>
        </w:rPr>
      </w:pPr>
      <w:r>
        <w:rPr>
          <w:noProof/>
        </w:rPr>
        <w:t>Vid behov kan betalningsbemyndiganden föras in i unionens allmänna budget efter 2020, fram till och med budgetåret 2027 för att uppfylla de skyldigheter som följer av artikel 12.5.”</w:t>
      </w:r>
    </w:p>
    <w:p>
      <w:pPr>
        <w:pStyle w:val="ListNumber"/>
        <w:rPr>
          <w:noProof/>
        </w:rPr>
      </w:pPr>
      <w:r>
        <w:rPr>
          <w:noProof/>
        </w:rPr>
        <w:t>Kapitel IIIa ska införas på följande sätt:</w:t>
      </w:r>
    </w:p>
    <w:p>
      <w:pPr>
        <w:jc w:val="center"/>
        <w:rPr>
          <w:noProof/>
        </w:rPr>
      </w:pPr>
      <w:r>
        <w:rPr>
          <w:noProof/>
        </w:rPr>
        <w:t>”Artikel 13a</w:t>
      </w:r>
    </w:p>
    <w:p>
      <w:pPr>
        <w:jc w:val="center"/>
        <w:rPr>
          <w:noProof/>
        </w:rPr>
      </w:pPr>
      <w:r>
        <w:rPr>
          <w:noProof/>
        </w:rPr>
        <w:t>Deltagande i en kapitalökning för Europeiska investeringsfonden</w:t>
      </w:r>
    </w:p>
    <w:p>
      <w:pPr>
        <w:autoSpaceDE w:val="0"/>
        <w:autoSpaceDN w:val="0"/>
        <w:adjustRightInd w:val="0"/>
        <w:spacing w:before="0" w:after="0"/>
        <w:rPr>
          <w:noProof/>
        </w:rPr>
      </w:pPr>
      <w:r>
        <w:rPr>
          <w:noProof/>
        </w:rPr>
        <w:t>Unionen ska teckna aktier i kommande kapitalökningar för Europeiska investeringsfonden så att dess relativa andel av kapitalet kvarstår på nuvarande nivå. Tecknandet av aktier och betalningen av upp till 500 000 000 EUR av den inbetalade delen av aktierna ska genomföras i enlighet med villkor som ska godkännas av fondens bolagsstämma.’</w:t>
      </w:r>
    </w:p>
    <w:p>
      <w:pPr>
        <w:pStyle w:val="ListNumber"/>
        <w:rPr>
          <w:noProof/>
        </w:rPr>
      </w:pPr>
      <w:r>
        <w:rPr>
          <w:noProof/>
        </w:rPr>
        <w:t>Artikel 14 ska ändras på följande sätt:</w:t>
      </w:r>
    </w:p>
    <w:p>
      <w:pPr>
        <w:ind w:left="851"/>
        <w:rPr>
          <w:noProof/>
        </w:rPr>
      </w:pPr>
      <w:r>
        <w:rPr>
          <w:noProof/>
        </w:rPr>
        <w:t>a) I punkt 2 ska följande led läggas till som led i:</w:t>
      </w:r>
    </w:p>
    <w:p>
      <w:pPr>
        <w:ind w:left="851"/>
        <w:rPr>
          <w:noProof/>
        </w:rPr>
      </w:pPr>
      <w:r>
        <w:rPr>
          <w:noProof/>
        </w:rPr>
        <w:t>”i) Stöd till finansierings- och investeringstransaktioner under solvensstödtjänsten.”</w:t>
      </w:r>
    </w:p>
    <w:p>
      <w:pPr>
        <w:ind w:left="851"/>
        <w:rPr>
          <w:noProof/>
        </w:rPr>
      </w:pPr>
      <w:r>
        <w:rPr>
          <w:noProof/>
        </w:rPr>
        <w:t>b) Punkt 3 ska ändras på följande sätt:</w:t>
      </w:r>
    </w:p>
    <w:p>
      <w:pPr>
        <w:ind w:left="851"/>
        <w:rPr>
          <w:noProof/>
        </w:rPr>
      </w:pPr>
      <w:r>
        <w:rPr>
          <w:noProof/>
        </w:rPr>
        <w:t>”EIAH-tjänsterna ska vara tillgängliga för offentliga och privata projektansvariga, inbegripet nationella utvecklingsbanker eller -institutioner och investeringsplattformar, fonder, företag för särskilda ändamål samt regionala och lokala offentliga enheter.”</w:t>
      </w:r>
    </w:p>
    <w:p>
      <w:pPr>
        <w:pStyle w:val="ListNumber"/>
        <w:rPr>
          <w:noProof/>
        </w:rPr>
      </w:pPr>
      <w:r>
        <w:rPr>
          <w:noProof/>
        </w:rPr>
        <w:t>Artikel 14a ska införas enligt följande:</w:t>
      </w:r>
    </w:p>
    <w:p>
      <w:pPr>
        <w:jc w:val="center"/>
        <w:rPr>
          <w:noProof/>
        </w:rPr>
      </w:pPr>
      <w:r>
        <w:rPr>
          <w:noProof/>
        </w:rPr>
        <w:t>”Artikel 14a</w:t>
      </w:r>
    </w:p>
    <w:p>
      <w:pPr>
        <w:jc w:val="center"/>
        <w:rPr>
          <w:noProof/>
        </w:rPr>
      </w:pPr>
      <w:r>
        <w:rPr>
          <w:noProof/>
        </w:rPr>
        <w:t xml:space="preserve">Finansiering av rådgivningstjänster och tekniskt stöd </w:t>
      </w:r>
    </w:p>
    <w:p>
      <w:pPr>
        <w:autoSpaceDE w:val="0"/>
        <w:autoSpaceDN w:val="0"/>
        <w:adjustRightInd w:val="0"/>
        <w:spacing w:before="0" w:after="0"/>
        <w:rPr>
          <w:noProof/>
        </w:rPr>
      </w:pPr>
      <w:r>
        <w:rPr>
          <w:noProof/>
        </w:rPr>
        <w:t xml:space="preserve">Ett belopp på upp till 100 000 000 EUR ska göras tillgängligt för att täcka kostnader, rådgivningstjänster och tekniskt och administrativt stöd i samband med etablering och förvaltning av fonder, företag för särskilda ändamål, investeringsplattformar och andra företag för solvensstödtjänsten, inbegripet för det stöd som avses i artikel 14.2 i och med särskild inriktning på medlemsstater med mindre utvecklade aktiemarknader. Tekniskt stöd ska även </w:t>
      </w:r>
      <w:r>
        <w:rPr>
          <w:noProof/>
        </w:rPr>
        <w:lastRenderedPageBreak/>
        <w:t xml:space="preserve">vara tillgängligt för att stödja en grön och digital omställning i företag som finansieras under denna tjänst. </w:t>
      </w:r>
    </w:p>
    <w:p>
      <w:pPr>
        <w:autoSpaceDE w:val="0"/>
        <w:autoSpaceDN w:val="0"/>
        <w:adjustRightInd w:val="0"/>
        <w:spacing w:before="0" w:after="0"/>
        <w:rPr>
          <w:noProof/>
        </w:rPr>
      </w:pPr>
    </w:p>
    <w:p>
      <w:pPr>
        <w:autoSpaceDE w:val="0"/>
        <w:autoSpaceDN w:val="0"/>
        <w:adjustRightInd w:val="0"/>
        <w:spacing w:before="0" w:after="0"/>
        <w:rPr>
          <w:noProof/>
        </w:rPr>
      </w:pPr>
      <w:r>
        <w:rPr>
          <w:noProof/>
        </w:rPr>
        <w:t>Kommissionen ska genomföra detta belopp inom ramen för den direkta eller indirekta förvaltning som avses i artikel 62.1 a och c i budgetförordningen.</w:t>
      </w:r>
    </w:p>
    <w:p>
      <w:pPr>
        <w:autoSpaceDE w:val="0"/>
        <w:autoSpaceDN w:val="0"/>
        <w:adjustRightInd w:val="0"/>
        <w:spacing w:before="0" w:after="0"/>
        <w:rPr>
          <w:noProof/>
        </w:rPr>
      </w:pPr>
    </w:p>
    <w:p>
      <w:pPr>
        <w:autoSpaceDE w:val="0"/>
        <w:autoSpaceDN w:val="0"/>
        <w:adjustRightInd w:val="0"/>
        <w:spacing w:before="0" w:after="0"/>
        <w:rPr>
          <w:noProof/>
        </w:rPr>
      </w:pPr>
      <w:r>
        <w:rPr>
          <w:noProof/>
        </w:rPr>
        <w:t>Av det belopp som avses i första stycket ska 80 000 000 EUR utgöra externa inkomster avsatta för särskilda ändamål i enlighet med artikel 21.5 i budgetförordningen och om inte annat följer av artikel 4.4 och 4.8 i [EURI] förordningen.</w:t>
      </w:r>
    </w:p>
    <w:p>
      <w:pPr>
        <w:pStyle w:val="ListNumber"/>
        <w:rPr>
          <w:noProof/>
        </w:rPr>
      </w:pPr>
      <w:r>
        <w:rPr>
          <w:noProof/>
        </w:rPr>
        <w:t>I artikel 16.2 ska ett nytt andra stycke läggas till enligt följande:</w:t>
      </w:r>
    </w:p>
    <w:p>
      <w:pPr>
        <w:ind w:left="851"/>
        <w:rPr>
          <w:noProof/>
        </w:rPr>
      </w:pPr>
      <w:r>
        <w:rPr>
          <w:noProof/>
        </w:rPr>
        <w:t>”Transaktioner under solvensstödtjänsten ska i förekommande fall rapporteras separat och på det sätt som anges i garantiavtalet.”</w:t>
      </w:r>
    </w:p>
    <w:p>
      <w:pPr>
        <w:pStyle w:val="ListNumber"/>
        <w:rPr>
          <w:noProof/>
        </w:rPr>
      </w:pPr>
      <w:r>
        <w:rPr>
          <w:noProof/>
        </w:rPr>
        <w:t>I artikel 16.3 ska ett nytt andra stycke läggas till enligt följande:</w:t>
      </w:r>
    </w:p>
    <w:p>
      <w:pPr>
        <w:ind w:left="851"/>
        <w:rPr>
          <w:noProof/>
        </w:rPr>
      </w:pPr>
      <w:r>
        <w:rPr>
          <w:noProof/>
        </w:rPr>
        <w:t>”Årsredovisningar för EU-garantin, upprättade i enlighet med de redovisningsregler som antagits av kommissionens räkenskapsförare enligt artikel 80 i Europaparlamentets och rådets förordning (EU, Euratom) 2018/1046 av den 18 juli 2018 om finansiella regler för unionens allmänna budget. EIB-gruppen ska överlämna den oreviderade redovisningen och all information som är nödvändig för att upprätta unionens räkenskaper senast den 15 februari påföljande budgetår och den reviderade redovisningen senast den 31 mars påföljande budgetår.”</w:t>
      </w:r>
    </w:p>
    <w:p>
      <w:pPr>
        <w:pStyle w:val="ListNumber"/>
        <w:rPr>
          <w:noProof/>
        </w:rPr>
      </w:pPr>
      <w:r>
        <w:rPr>
          <w:noProof/>
        </w:rPr>
        <w:t xml:space="preserve">Artikel 18.3 första meningen ska ändras på följande sätt: </w:t>
      </w:r>
    </w:p>
    <w:p>
      <w:pPr>
        <w:ind w:left="851"/>
        <w:rPr>
          <w:noProof/>
        </w:rPr>
      </w:pPr>
      <w:r>
        <w:rPr>
          <w:noProof/>
        </w:rPr>
        <w:t>”3.</w:t>
      </w:r>
      <w:r>
        <w:rPr>
          <w:noProof/>
        </w:rPr>
        <w:tab/>
        <w:t>Senast den 30 juni 2018, senast den 30 december 2021 och vart tredje år därefter ska”</w:t>
      </w:r>
    </w:p>
    <w:p>
      <w:pPr>
        <w:pStyle w:val="ListNumber"/>
        <w:rPr>
          <w:noProof/>
        </w:rPr>
      </w:pPr>
      <w:r>
        <w:rPr>
          <w:noProof/>
        </w:rPr>
        <w:t>I artikel 24 ska följande punkter läggas till som punkterna 3 och 4:</w:t>
      </w:r>
    </w:p>
    <w:p>
      <w:pPr>
        <w:ind w:left="851"/>
        <w:rPr>
          <w:noProof/>
        </w:rPr>
      </w:pPr>
      <w:r>
        <w:rPr>
          <w:noProof/>
        </w:rPr>
        <w:t>”3.</w:t>
      </w:r>
      <w:r>
        <w:rPr>
          <w:noProof/>
        </w:rPr>
        <w:tab/>
        <w:t>EIB får, efter denna förordnings ikraftträdande, till investeringskommittén överlämna finansierings- och investeringstransaktioner som godkänts av dess styrande organ under perioden från och med antagandet av kommissionens förslag om ändring av förordning (EU) 2015/2017 till och med undertecknandet av det ändrade garantiavtal som följer av den ändrade förordningen, förutsatt att transaktionerna uppfyller kraven för stöd under solvensstödinstrumentet. Transaktioner som överlämnas till investeringskommittén får inte tidigare ha fått stöd från EU-garantin.</w:t>
      </w:r>
    </w:p>
    <w:p>
      <w:pPr>
        <w:ind w:left="851"/>
        <w:rPr>
          <w:noProof/>
        </w:rPr>
      </w:pPr>
      <w:r>
        <w:rPr>
          <w:noProof/>
        </w:rPr>
        <w:t>4.</w:t>
      </w:r>
      <w:r>
        <w:rPr>
          <w:noProof/>
        </w:rPr>
        <w:tab/>
        <w:t>Så snart den investeringskommitté som förutses i InvestEU-förordningen har blivit operativ kommer den även att ansvara för beviljande av EU-garantin enligt denna förordning.”</w:t>
      </w:r>
    </w:p>
    <w:p>
      <w:pPr>
        <w:pStyle w:val="ListNumber"/>
        <w:rPr>
          <w:noProof/>
        </w:rPr>
      </w:pPr>
      <w:r>
        <w:rPr>
          <w:noProof/>
        </w:rPr>
        <w:t>Bilaga II till förordning (EU) 2015/1017 ska ändras på följande sätt:</w:t>
      </w:r>
    </w:p>
    <w:p>
      <w:pPr>
        <w:pStyle w:val="Point1"/>
        <w:rPr>
          <w:noProof/>
        </w:rPr>
      </w:pPr>
      <w:r>
        <w:rPr>
          <w:noProof/>
        </w:rPr>
        <w:t>(1)</w:t>
      </w:r>
      <w:r>
        <w:rPr>
          <w:noProof/>
        </w:rPr>
        <w:tab/>
        <w:t>Punkt 1 tredje stycket ska ersättas med följande:</w:t>
      </w:r>
    </w:p>
    <w:p>
      <w:pPr>
        <w:pStyle w:val="Text2"/>
        <w:rPr>
          <w:noProof/>
        </w:rPr>
      </w:pPr>
      <w:r>
        <w:rPr>
          <w:noProof/>
        </w:rPr>
        <w:t>”Dessa investeringsriktlinjer gäller endast för de Efsitransaktioner som rör de skuld- och kapitalinstrument som avses i artikel 10.2 a i denna förordning och för de Efsitransaktioner under solvensstödtjänsten som avses i artikel 10.2 b och c. Riktlinjerna är följaktligen inte tillämpliga på Efsitransaktioner som rör de instrument som avses i artikel 10.2 b, med undantag för de som stöds under solvensstödtjänsten.”</w:t>
      </w:r>
    </w:p>
    <w:p>
      <w:pPr>
        <w:pStyle w:val="Point1"/>
        <w:rPr>
          <w:noProof/>
        </w:rPr>
      </w:pPr>
      <w:r>
        <w:rPr>
          <w:noProof/>
        </w:rPr>
        <w:t>(2)</w:t>
      </w:r>
      <w:r>
        <w:rPr>
          <w:noProof/>
        </w:rPr>
        <w:tab/>
        <w:t>Punkt 2 ska ändras på följande sätt:</w:t>
      </w:r>
    </w:p>
    <w:p>
      <w:pPr>
        <w:pStyle w:val="Point2"/>
        <w:rPr>
          <w:noProof/>
        </w:rPr>
      </w:pPr>
      <w:r>
        <w:rPr>
          <w:noProof/>
        </w:rPr>
        <w:lastRenderedPageBreak/>
        <w:t>(a)</w:t>
      </w:r>
      <w:r>
        <w:rPr>
          <w:noProof/>
        </w:rPr>
        <w:tab/>
        <w:t>Led b första stycket ska ersättas med följande:</w:t>
      </w:r>
    </w:p>
    <w:p>
      <w:pPr>
        <w:pStyle w:val="Text3"/>
        <w:rPr>
          <w:noProof/>
        </w:rPr>
      </w:pPr>
      <w:r>
        <w:rPr>
          <w:noProof/>
        </w:rPr>
        <w:t>”b) EU-garantin ska beviljas för att direkt eller indirekt stödja finansieringen av nya transaktioner. På infrastrukturområdet, bör investeringar som skapar nya tillgångar (</w:t>
      </w:r>
      <w:r>
        <w:rPr>
          <w:i/>
          <w:iCs/>
          <w:noProof/>
        </w:rPr>
        <w:t>greenfield</w:t>
      </w:r>
      <w:r>
        <w:rPr>
          <w:noProof/>
        </w:rPr>
        <w:t>) uppmuntras. Investeringar i utvidgning och modernisering av befintliga tillgångar (</w:t>
      </w:r>
      <w:r>
        <w:rPr>
          <w:i/>
          <w:iCs/>
          <w:noProof/>
        </w:rPr>
        <w:t>brownfield</w:t>
      </w:r>
      <w:r>
        <w:rPr>
          <w:noProof/>
        </w:rPr>
        <w:t>) får också stödjas. Under solvensstödtjänsten ska finansieringen syfta till att förbättra företags egna kapital och solvens. Villkoren för finansieringen bör undvika att snedvrida konkurrensen mellan företag. EU-garantin ska i regel inte beviljas för att stödja refinansieringstransaktioner (till exempel för att ersätta befintliga låneavtal eller andra former av finansiellt stöd till projekt som redan helt eller delvis har förverkligats), utom under solvensstödtjänsten eller under exceptionella och väl motiverade omständigheter där det har påvisats att en sådan transaktion kommer att möjliggöra en ny investering för ett minst lika högt belopp som beloppet för transaktionen och som skulle uppfylla de kriterier för godtagbarhet och allmänna mål som fastställs i artikel 6 respektive artikel 9.2.”</w:t>
      </w:r>
    </w:p>
    <w:p>
      <w:pPr>
        <w:pStyle w:val="Point2"/>
        <w:rPr>
          <w:noProof/>
        </w:rPr>
      </w:pPr>
      <w:r>
        <w:rPr>
          <w:noProof/>
        </w:rPr>
        <w:t>b)</w:t>
      </w:r>
      <w:r>
        <w:rPr>
          <w:noProof/>
        </w:rPr>
        <w:tab/>
        <w:t>Led c ska ändras på följande sätt:</w:t>
      </w:r>
    </w:p>
    <w:p>
      <w:pPr>
        <w:pStyle w:val="Text3"/>
        <w:rPr>
          <w:noProof/>
        </w:rPr>
      </w:pPr>
      <w:r>
        <w:rPr>
          <w:noProof/>
        </w:rPr>
        <w:t xml:space="preserve">”c) EU-garantin ska stödja många olika produkter för att göra det möjligt för Efsi att anpassa sig till marknadens behov och samtidigt uppmuntra privata investeringar i projekt, utan att tränga ut privat marknadsfinansiering. EIB förväntas i detta sammanhang tillhandahålla finansiering inom ramen för Efsi i syfte att uppnå ett mål på totalt minst 500 000 000 000 EUR i offentliga eller privata investeringar under infrastruktur- och innovationstjänsten och under tjänsten för små och medelstora företag, vilket inbegriper finansiering som mobiliseras genom EIF inom ramen för Efsitransaktioner som rör de instrument som avses i artikel 10.2 b, nationella utvecklingsbanker eller -institutioner och genom ökad tillgång till finansiering för enheter som har upp till 3 000 anställda. De stödberättigade produkterna ska innefatta bland annat </w:t>
      </w:r>
      <w:r>
        <w:rPr>
          <w:rStyle w:val="FootnoteReference"/>
          <w:noProof/>
        </w:rPr>
        <w:footnoteReference w:id="12"/>
      </w:r>
      <w:r>
        <w:rPr>
          <w:noProof/>
        </w:rPr>
        <w:t xml:space="preserve"> lån, garantier/motgarantier, mezzaninfinansiering och efterställda lån, kapitalmarknadsinstrument inbegripet kreditförstärkningsinstrument, samt investeringar i aktiekapital eller kapital likställt med eget kapital, inbegripet genom nationella utvecklingsbanker eller -institutioner, investeringsplattformar, fonder eller företag för särskilda ändamål. För att göra det möjligt för många olika investerare att investera i Efsiprojekt ska EIB i detta sammanhang få strukturera lämpliga portföljer. Under solvensstödtjänsten ska stödberättigade produkter utgöras av produkter som leder till investeringar och förmedlar aktiekapital eller kapital likställt med eget kapital till företag, med undantag för enheter som är inriktade på företagsuppköp (eller ersättningskapital) i syfte att sälja av tillgångar. EIB och EIF förväntas tillhandahålla finansiering i syfte att nå ett mål på upp till 300 000 000 000 EUR i investeringar under solvensstödtjänsten.</w:t>
      </w:r>
    </w:p>
    <w:p>
      <w:pPr>
        <w:pStyle w:val="Point2"/>
        <w:rPr>
          <w:noProof/>
        </w:rPr>
      </w:pPr>
      <w:r>
        <w:rPr>
          <w:noProof/>
        </w:rPr>
        <w:t>c)</w:t>
      </w:r>
      <w:r>
        <w:rPr>
          <w:noProof/>
        </w:rPr>
        <w:tab/>
        <w:t>Led d första meningen ska ändras på följande sätt:</w:t>
      </w:r>
    </w:p>
    <w:p>
      <w:pPr>
        <w:pStyle w:val="Text3"/>
        <w:rPr>
          <w:noProof/>
        </w:rPr>
      </w:pPr>
      <w:r>
        <w:rPr>
          <w:noProof/>
        </w:rPr>
        <w:lastRenderedPageBreak/>
        <w:t>”d) Nationella utvecklingsbanker eller -institutioner, investeringsplattformar, fonder och företag för särskilda ändamål ska vara berättigade till täckning av EIB-garantin mot en motgaranti från EU-garantin i enlighet med artikel 10.2 c.”</w:t>
      </w:r>
    </w:p>
    <w:p>
      <w:pPr>
        <w:pStyle w:val="Point1"/>
        <w:rPr>
          <w:noProof/>
        </w:rPr>
      </w:pPr>
      <w:r>
        <w:rPr>
          <w:noProof/>
        </w:rPr>
        <w:t>(3)</w:t>
      </w:r>
      <w:r>
        <w:rPr>
          <w:noProof/>
        </w:rPr>
        <w:tab/>
        <w:t>I punkt 6 ska följande led läggas till som led d:</w:t>
      </w:r>
    </w:p>
    <w:p>
      <w:pPr>
        <w:pStyle w:val="PointDouble2"/>
        <w:rPr>
          <w:noProof/>
        </w:rPr>
      </w:pPr>
      <w:r>
        <w:rPr>
          <w:noProof/>
        </w:rPr>
        <w:t>”d) Solvensstödtjänst</w:t>
      </w:r>
    </w:p>
    <w:p>
      <w:pPr>
        <w:pStyle w:val="ListNumberLevel3"/>
        <w:rPr>
          <w:noProof/>
        </w:rPr>
      </w:pPr>
      <w:r>
        <w:rPr>
          <w:noProof/>
        </w:rPr>
        <w:t>EU-garantin får användas för att stödja EIB:s eller EIF:s finansiering, eller garantier till, eller investeringar i fonder, företag för särskilda ändamål eller andra investeringsplattformar, inbegripet genom nationella utvecklingsbanker eller -institutioner eller andra relevanta arrangemang, som investerar i aktiekapital och kapital likställt med eget kapital i företag.</w:t>
      </w:r>
    </w:p>
    <w:p>
      <w:pPr>
        <w:pStyle w:val="ListNumberLevel3"/>
        <w:rPr>
          <w:noProof/>
        </w:rPr>
      </w:pPr>
      <w:r>
        <w:rPr>
          <w:noProof/>
        </w:rPr>
        <w:t xml:space="preserve">Särskilt fonder, företag för särskilda ändamål eller investeringsplattformar som är inriktade på företag som bedriver gränsöverskridande verksamhet inom unionen och/eller företag som har stor potential i fråga om grön eller digital omställning ska stå i fokus under solvensstödtjänsten. </w:t>
      </w:r>
    </w:p>
    <w:p>
      <w:pPr>
        <w:pStyle w:val="ListNumberLevel3"/>
        <w:rPr>
          <w:noProof/>
        </w:rPr>
      </w:pPr>
      <w:r>
        <w:rPr>
          <w:noProof/>
        </w:rPr>
        <w:t>Fonder, företag för särskilda ändamål eller investeringsplattformar ska tillhandahålla finansiering på affärsmässiga villkor eller på villkor som överensstämmer med den tillfälliga ramen för statligt stöd</w:t>
      </w:r>
      <w:r>
        <w:rPr>
          <w:rStyle w:val="FootnoteReference"/>
          <w:noProof/>
        </w:rPr>
        <w:footnoteReference w:id="13"/>
      </w:r>
      <w:r>
        <w:rPr>
          <w:noProof/>
        </w:rPr>
        <w:t xml:space="preserve">, med vederbörlig hänsyn till solvensstödinstrumentets europeiska karaktär och till fondernas och andra företags oberoende verksamhetsledning. </w:t>
      </w:r>
    </w:p>
    <w:p>
      <w:pPr>
        <w:pStyle w:val="ListNumberLevel3"/>
        <w:rPr>
          <w:noProof/>
        </w:rPr>
      </w:pPr>
      <w:r>
        <w:rPr>
          <w:noProof/>
        </w:rPr>
        <w:t xml:space="preserve">Fonder, företag för särskilda ändamål eller investeringsplattformar ska ha en affärsmässig ledning som fattar investeringsbeslut eller en ledning som är oberoende i förhållande till alla investerare.  </w:t>
      </w:r>
    </w:p>
    <w:p>
      <w:pPr>
        <w:pStyle w:val="ListNumberLevel3"/>
        <w:rPr>
          <w:noProof/>
        </w:rPr>
      </w:pPr>
      <w:r>
        <w:rPr>
          <w:noProof/>
        </w:rPr>
        <w:t>De företag som stöds av fonder, företag för särskilda ändamål eller investeringsplattformar ska uppmuntras att så långt det är möjligt uppfylla högt ställda minimikrav vad gäller sociala och miljömässiga skyddsbestämmelser i enlighet med vägledning från styrelsen. Sådan vägledning bör omfatta adekvata bestämmelser för att undvika onödiga administrativa bördor, varvid hänsyn ska tas till företagens storlek och till att bestämmelserna bör vara mindre stränga för små och medelstora företag. Företag med en viss exponering mot ett antal på förhand fastställda miljöskadliga verksamheter, i synnerhet mot sektorer som omfattas av EU:s system för utsläppshandel, ska uppmuntras att upprätta planer för en framtida grön omställning. De ska även uppmuntras att fortsätta sin digitala omvandling. Tekniskt stöd ska vara tillgängligt för att bistå företagen i dessa omställningar.</w:t>
      </w:r>
    </w:p>
    <w:p>
      <w:pPr>
        <w:pStyle w:val="ListNumberLevel3"/>
        <w:rPr>
          <w:noProof/>
        </w:rPr>
      </w:pPr>
      <w:r>
        <w:rPr>
          <w:noProof/>
        </w:rPr>
        <w:t xml:space="preserve">Transaktionerna enligt denna tjänst ska utföras i överensstämmelse med EIB:s eller EIF:s interna regler och förfaranden. All relevant information för bedömningen av transaktionen ska göras tillgänglig för styrelsen och investeringskommittén. </w:t>
      </w:r>
    </w:p>
    <w:p>
      <w:pPr>
        <w:pStyle w:val="ListNumberLevel3"/>
        <w:rPr>
          <w:noProof/>
        </w:rPr>
      </w:pPr>
      <w:r>
        <w:rPr>
          <w:noProof/>
        </w:rPr>
        <w:lastRenderedPageBreak/>
        <w:t>EIB- eller EIF-garantier eller -investeringar ska prissättas i enlighet med artikel 4.2 a iv eller artikel 4.2 a v.</w:t>
      </w:r>
    </w:p>
    <w:p>
      <w:pPr>
        <w:pStyle w:val="Point1"/>
        <w:rPr>
          <w:noProof/>
        </w:rPr>
      </w:pPr>
      <w:r>
        <w:rPr>
          <w:noProof/>
        </w:rPr>
        <w:t>(4)</w:t>
      </w:r>
      <w:r>
        <w:rPr>
          <w:noProof/>
        </w:rPr>
        <w:tab/>
        <w:t>Punkt 8 led b ska ändras på följande sätt:</w:t>
      </w:r>
    </w:p>
    <w:p>
      <w:pPr>
        <w:pStyle w:val="Text2"/>
        <w:rPr>
          <w:noProof/>
        </w:rPr>
      </w:pPr>
      <w:r>
        <w:rPr>
          <w:noProof/>
        </w:rPr>
        <w:t>b) Geografisk koncentration</w:t>
      </w:r>
    </w:p>
    <w:p>
      <w:pPr>
        <w:pStyle w:val="Text2"/>
        <w:rPr>
          <w:noProof/>
        </w:rPr>
      </w:pPr>
      <w:r>
        <w:rPr>
          <w:noProof/>
        </w:rPr>
        <w:t>Transaktioner som stöds av Efsi ska inte vara koncentrerade till något särskilt territorium i slutet av den berörda investeringsperioden. Styrelsen ska därför anta vägledande riktlinjer för geografisk diversifiering och koncentration. Styrelsen får besluta att ändra dessa vägledande gränser efter samråd med investeringskommittén.</w:t>
      </w:r>
    </w:p>
    <w:p>
      <w:pPr>
        <w:pStyle w:val="Text2"/>
        <w:rPr>
          <w:noProof/>
        </w:rPr>
      </w:pPr>
      <w:r>
        <w:rPr>
          <w:noProof/>
        </w:rPr>
        <w:t xml:space="preserve">Styrelsen ska ange särskilda diversifierings- och koncentrationsgränser under solvensstödtjänsten för att säkerställa att kraven i artikel 9.2a b och c uppfylls och samtidigt undvika en alltför stor koncentration till ett begränsat antal medlemsstater. Styrelsen ska regelbundet bedöma covid-19-pandemins ekonomiska följdverkningar för medlemsstater och sektorer. På denna grundval får styrelsen besluta att ändra dessa gränser efter samråd med investeringskommittén. </w:t>
      </w:r>
    </w:p>
    <w:p>
      <w:pPr>
        <w:pStyle w:val="Text2"/>
        <w:rPr>
          <w:noProof/>
        </w:rPr>
      </w:pPr>
      <w:r>
        <w:rPr>
          <w:noProof/>
        </w:rPr>
        <w:t>Styrelsen ska skriftligen redogöra för sina beslut avseende de vägledande gränserna och de specifika gränserna för solvensstödtjänsten för Europaparlamentet och rådet. Efsi bör ha som mål att täcka alla medlemsstater.</w:t>
      </w:r>
    </w:p>
    <w:p>
      <w:pPr>
        <w:pStyle w:val="Titrearticle"/>
        <w:rPr>
          <w:noProof/>
        </w:rPr>
      </w:pPr>
      <w:r>
        <w:rPr>
          <w:noProof/>
        </w:rPr>
        <w:t>Artikel 2</w:t>
      </w:r>
    </w:p>
    <w:p>
      <w:pPr>
        <w:rPr>
          <w:noProof/>
        </w:rPr>
      </w:pPr>
      <w:r>
        <w:rPr>
          <w:noProof/>
        </w:rPr>
        <w:t xml:space="preserve">Denna förordning träder i kraft den tredje dagen efter det att den har offentliggjorts i </w:t>
      </w:r>
      <w:r>
        <w:rPr>
          <w:i/>
          <w:noProof/>
        </w:rPr>
        <w:t>Europeiska unionens officiella tidning</w:t>
      </w:r>
      <w:r>
        <w:rPr>
          <w:noProof/>
        </w:rPr>
        <w:t>.</w:t>
      </w:r>
    </w:p>
    <w:p>
      <w:pPr>
        <w:pStyle w:val="Applicationdirecte"/>
        <w:rPr>
          <w:noProof/>
        </w:rPr>
      </w:pPr>
      <w:r>
        <w:rPr>
          <w:noProof/>
        </w:rPr>
        <w:t>Denna förordning är till alla delar bindande och direkt tillämplig i alla medlemsstater.</w:t>
      </w:r>
    </w:p>
    <w:p>
      <w:pPr>
        <w:pStyle w:val="Fait"/>
        <w:rPr>
          <w:noProof/>
        </w:rPr>
      </w:pPr>
      <w: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FINANSIERINGSÖVERSIKT FÖR RÄTTSAKT</w:t>
      </w:r>
    </w:p>
    <w:p>
      <w:pPr>
        <w:pStyle w:val="ManualHeading1"/>
        <w:rPr>
          <w:noProof/>
        </w:rPr>
      </w:pPr>
      <w:r>
        <w:rPr>
          <w:noProof/>
        </w:rPr>
        <w:t>1.</w:t>
      </w:r>
      <w:r>
        <w:rPr>
          <w:noProof/>
        </w:rPr>
        <w:tab/>
        <w:t xml:space="preserve">GRUNDLÄGGANDE UPPGIFTER OM FÖRSLAGET ELLER INITIATIVET </w:t>
      </w:r>
    </w:p>
    <w:p>
      <w:pPr>
        <w:pStyle w:val="ManualHeading2"/>
        <w:rPr>
          <w:noProof/>
        </w:rPr>
      </w:pPr>
      <w:r>
        <w:rPr>
          <w:noProof/>
        </w:rPr>
        <w:t>1.1.</w:t>
      </w:r>
      <w:r>
        <w:rPr>
          <w:noProof/>
        </w:rPr>
        <w:tab/>
        <w:t xml:space="preserve">Förslagets eller initiativets titel </w:t>
      </w:r>
    </w:p>
    <w:p>
      <w:pPr>
        <w:pStyle w:val="Text1"/>
        <w:pBdr>
          <w:top w:val="single" w:sz="4" w:space="1" w:color="auto"/>
          <w:left w:val="single" w:sz="4" w:space="4" w:color="auto"/>
          <w:bottom w:val="single" w:sz="4" w:space="1" w:color="auto"/>
          <w:right w:val="single" w:sz="4" w:space="4" w:color="auto"/>
        </w:pBdr>
        <w:rPr>
          <w:noProof/>
        </w:rPr>
      </w:pPr>
      <w:r>
        <w:rPr>
          <w:noProof/>
        </w:rPr>
        <w:t>Europaparlamentets och rådets förordning om ändring av förordning (EU) 2015/1017 vad gäller inrättandet av ett instrument för solvensstöd</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Berörda politikområden i den verksamhetsbaserade förvaltningen och budgeteringen</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Politikområde: Ekonomiska och finansiella frågor</w:t>
      </w:r>
    </w:p>
    <w:p>
      <w:pPr>
        <w:pStyle w:val="Text1"/>
        <w:pBdr>
          <w:top w:val="single" w:sz="4" w:space="1" w:color="auto"/>
          <w:left w:val="single" w:sz="4" w:space="4" w:color="auto"/>
          <w:bottom w:val="single" w:sz="4" w:space="1" w:color="auto"/>
          <w:right w:val="single" w:sz="4" w:space="4" w:color="auto"/>
        </w:pBdr>
        <w:rPr>
          <w:noProof/>
        </w:rPr>
      </w:pPr>
      <w:r>
        <w:rPr>
          <w:noProof/>
        </w:rPr>
        <w:t>Verksamhet inom den verksamhetsbaserade budgeteringen: Finansiella transaktioner och instrument</w:t>
      </w:r>
    </w:p>
    <w:p>
      <w:pPr>
        <w:pStyle w:val="Text1"/>
        <w:pBdr>
          <w:top w:val="single" w:sz="4" w:space="1" w:color="auto"/>
          <w:left w:val="single" w:sz="4" w:space="4" w:color="auto"/>
          <w:bottom w:val="single" w:sz="4" w:space="1" w:color="auto"/>
          <w:right w:val="single" w:sz="4" w:space="4" w:color="auto"/>
        </w:pBdr>
        <w:rPr>
          <w:noProof/>
        </w:rPr>
      </w:pPr>
      <w:r>
        <w:rPr>
          <w:noProof/>
        </w:rPr>
        <w:t>För en detaljerad redogörelse för verksamheten inom verksamhetsbaserad förvaltning, se avsnitt 1.4.2.</w:t>
      </w:r>
    </w:p>
    <w:p>
      <w:pPr>
        <w:pStyle w:val="ManualHeading2"/>
        <w:rPr>
          <w:noProof/>
          <w:szCs w:val="24"/>
        </w:rPr>
      </w:pPr>
      <w:r>
        <w:rPr>
          <w:noProof/>
        </w:rPr>
        <w:t>1.3.</w:t>
      </w:r>
      <w:r>
        <w:rPr>
          <w:noProof/>
        </w:rPr>
        <w:tab/>
        <w:t xml:space="preserve">Typ av förslag eller initiativ </w:t>
      </w:r>
    </w:p>
    <w:p>
      <w:pPr>
        <w:pStyle w:val="Text1"/>
        <w:rPr>
          <w:b/>
          <w:noProof/>
          <w:sz w:val="22"/>
        </w:rPr>
      </w:pPr>
      <w:r>
        <w:rPr>
          <w:noProof/>
          <w:sz w:val="22"/>
        </w:rPr>
        <w:sym w:font="Wingdings" w:char="F0A8"/>
      </w:r>
      <w:r>
        <w:rPr>
          <w:b/>
          <w:i/>
          <w:noProof/>
          <w:sz w:val="22"/>
        </w:rPr>
        <w:t xml:space="preserve"> </w:t>
      </w:r>
      <w:r>
        <w:rPr>
          <w:b/>
          <w:noProof/>
        </w:rPr>
        <w:t>Ny åtgärd</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Ny åtgärd som bygger på ett pilotprojekt eller en förberedande åtgärd</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Befintlig åtgärd </w:t>
      </w:r>
      <w:r>
        <w:rPr>
          <w:b/>
          <w:noProof/>
        </w:rPr>
        <w:t>vars genomförande förlängs i tiden</w:t>
      </w:r>
      <w:r>
        <w:rPr>
          <w:noProof/>
          <w:sz w:val="22"/>
        </w:rPr>
        <w:t xml:space="preserve"> </w:t>
      </w:r>
    </w:p>
    <w:p>
      <w:pPr>
        <w:pStyle w:val="Text1"/>
        <w:rPr>
          <w:noProof/>
        </w:rPr>
      </w:pPr>
      <w:r>
        <w:rPr>
          <w:noProof/>
          <w:sz w:val="22"/>
        </w:rPr>
        <w:sym w:font="Wingdings" w:char="F0A8"/>
      </w:r>
      <w:r>
        <w:rPr>
          <w:i/>
          <w:noProof/>
          <w:sz w:val="22"/>
        </w:rPr>
        <w:t xml:space="preserve"> </w:t>
      </w:r>
      <w:r>
        <w:rPr>
          <w:b/>
          <w:noProof/>
        </w:rPr>
        <w:t>Tidigare åtgärd som omformas till eller ersätts av en ny</w:t>
      </w:r>
      <w:r>
        <w:rPr>
          <w:noProof/>
        </w:rPr>
        <w:t xml:space="preserve"> </w:t>
      </w:r>
    </w:p>
    <w:p>
      <w:pPr>
        <w:pStyle w:val="ManualHeading2"/>
        <w:rPr>
          <w:noProof/>
          <w:szCs w:val="24"/>
        </w:rPr>
      </w:pPr>
      <w:r>
        <w:rPr>
          <w:noProof/>
        </w:rPr>
        <w:t>1.4.</w:t>
      </w:r>
      <w:r>
        <w:rPr>
          <w:noProof/>
        </w:rPr>
        <w:tab/>
        <w:t>Mål</w:t>
      </w:r>
    </w:p>
    <w:p>
      <w:pPr>
        <w:pStyle w:val="ManualHeading3"/>
        <w:rPr>
          <w:noProof/>
        </w:rPr>
      </w:pPr>
      <w:r>
        <w:rPr>
          <w:noProof/>
        </w:rPr>
        <w:t>1.4.1.</w:t>
      </w:r>
      <w:r>
        <w:rPr>
          <w:noProof/>
        </w:rPr>
        <w:tab/>
        <w:t xml:space="preserve">Fleråriga strategiska mål för kommissionen som förslaget eller initiativet är avsett att bidra till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Stöd till tillväxtfrämjande investeringar och solvensstöd i linje med unionens prioriteringar, t.ex. den europeiska gröna given, investeringsplanen för ett hållbart Europa och de sektorsövergripande strategier som rör investeringsstöd. </w:t>
      </w:r>
    </w:p>
    <w:p>
      <w:pPr>
        <w:pStyle w:val="ManualHeading3"/>
        <w:rPr>
          <w:noProof/>
          <w:szCs w:val="24"/>
        </w:rPr>
      </w:pPr>
      <w:r>
        <w:rPr>
          <w:noProof/>
        </w:rPr>
        <w:t>1.4.2.</w:t>
      </w:r>
      <w:r>
        <w:rPr>
          <w:noProof/>
        </w:rPr>
        <w:tab/>
        <w:t xml:space="preserve">Specifika mål eller verksamheter inom den verksamhetsbaserade förvaltningen och budgeteringen som berörs </w:t>
      </w:r>
    </w:p>
    <w:p>
      <w:pPr>
        <w:pStyle w:val="Text1"/>
        <w:pBdr>
          <w:top w:val="single" w:sz="4" w:space="1" w:color="auto"/>
          <w:left w:val="single" w:sz="4" w:space="4" w:color="auto"/>
          <w:bottom w:val="single" w:sz="4" w:space="1" w:color="auto"/>
          <w:right w:val="single" w:sz="4" w:space="4" w:color="auto"/>
        </w:pBdr>
        <w:rPr>
          <w:noProof/>
        </w:rPr>
      </w:pPr>
      <w:r>
        <w:rPr>
          <w:b/>
          <w:noProof/>
        </w:rPr>
        <w:t>Specifikt mål 1</w:t>
      </w:r>
      <w:r>
        <w:rPr>
          <w:noProof/>
        </w:rPr>
        <w:t>: Öka volymen av EIB-gruppens finansierings- och investeringstransaktioner inom prioriterade områden</w:t>
      </w:r>
    </w:p>
    <w:p>
      <w:pPr>
        <w:pStyle w:val="Text1"/>
        <w:pBdr>
          <w:top w:val="single" w:sz="4" w:space="1" w:color="auto"/>
          <w:left w:val="single" w:sz="4" w:space="4" w:color="auto"/>
          <w:bottom w:val="single" w:sz="4" w:space="1" w:color="auto"/>
          <w:right w:val="single" w:sz="4" w:space="4" w:color="auto"/>
        </w:pBdr>
        <w:rPr>
          <w:noProof/>
        </w:rPr>
      </w:pPr>
      <w:r>
        <w:rPr>
          <w:b/>
          <w:noProof/>
        </w:rPr>
        <w:t>Specifikt mål 2</w:t>
      </w:r>
      <w:r>
        <w:rPr>
          <w:noProof/>
        </w:rPr>
        <w:t>: Att tillhandahålla rådgivningsstöd för offentliga och privata motparter för att identifiera, förbereda och utveckla projekt eller stödja etablering och förvaltning av fonder och andra företag för utnyttjande av solvensstödinstrumentet.</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Berörd verksamhet inom den verksamhetsbaserade förvaltningen och budgeteringen</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Finansiella transaktioner och instrument</w:t>
      </w:r>
    </w:p>
    <w:p>
      <w:pPr>
        <w:pStyle w:val="ManualHeading3"/>
        <w:rPr>
          <w:noProof/>
        </w:rPr>
      </w:pPr>
      <w:r>
        <w:rPr>
          <w:noProof/>
        </w:rPr>
        <w:t>1.4.3.</w:t>
      </w:r>
      <w:r>
        <w:rPr>
          <w:noProof/>
        </w:rPr>
        <w:tab/>
        <w:t>Verkan eller resultat som förväntas</w:t>
      </w:r>
    </w:p>
    <w:p>
      <w:pPr>
        <w:pStyle w:val="Text1"/>
        <w:pBdr>
          <w:top w:val="single" w:sz="4" w:space="1" w:color="auto"/>
          <w:left w:val="single" w:sz="4" w:space="4" w:color="auto"/>
          <w:bottom w:val="single" w:sz="4" w:space="1" w:color="auto"/>
          <w:right w:val="single" w:sz="4" w:space="4" w:color="auto"/>
        </w:pBdr>
        <w:rPr>
          <w:noProof/>
        </w:rPr>
      </w:pPr>
      <w:r>
        <w:rPr>
          <w:noProof/>
        </w:rPr>
        <w:t>Förslaget förväntas mobilisera 300 000 000 000 EUR i investeringar i den reala ekonomin genom att stödja företag som hamnat i ekonomiska svårigheter på grund av den kris som covid-19-pandemin orsakat i unionen.</w:t>
      </w:r>
    </w:p>
    <w:p>
      <w:pPr>
        <w:pStyle w:val="ManualHeading3"/>
        <w:rPr>
          <w:noProof/>
          <w:szCs w:val="24"/>
        </w:rPr>
      </w:pPr>
      <w:r>
        <w:rPr>
          <w:noProof/>
        </w:rPr>
        <w:t>1.4.4.</w:t>
      </w:r>
      <w:r>
        <w:rPr>
          <w:noProof/>
        </w:rPr>
        <w:tab/>
        <w:t xml:space="preserve">Indikatorer för bedömning av resultat eller verkan </w:t>
      </w:r>
    </w:p>
    <w:p>
      <w:pPr>
        <w:pStyle w:val="Text1"/>
        <w:pBdr>
          <w:top w:val="single" w:sz="4" w:space="1" w:color="auto"/>
          <w:left w:val="single" w:sz="4" w:space="4" w:color="auto"/>
          <w:bottom w:val="single" w:sz="4" w:space="1" w:color="auto"/>
          <w:right w:val="single" w:sz="4" w:space="4" w:color="auto"/>
        </w:pBdr>
        <w:rPr>
          <w:noProof/>
        </w:rPr>
      </w:pPr>
      <w:r>
        <w:rPr>
          <w:noProof/>
        </w:rPr>
        <w:t>Uppnåendet av förslagets mål kommer att övervakas genom centrala resultatindikatorer och centrala övervakningsindikatorer i enlighet med befintliga arrangemang som rör infrastruktur- och innovationstjänsten och tjänsten för små och medelstora företag enligt Efsi-förordningen. Särskilda indikatorer kommer i förekommande fall att fastställas för solvensstödtjänsten.</w:t>
      </w:r>
    </w:p>
    <w:p>
      <w:pPr>
        <w:pStyle w:val="ManualHeading2"/>
        <w:rPr>
          <w:noProof/>
          <w:szCs w:val="24"/>
        </w:rPr>
      </w:pPr>
      <w:r>
        <w:rPr>
          <w:noProof/>
        </w:rPr>
        <w:t>1.5.</w:t>
      </w:r>
      <w:r>
        <w:rPr>
          <w:noProof/>
        </w:rPr>
        <w:tab/>
        <w:t xml:space="preserve">Grunder för förslaget eller initiativet </w:t>
      </w:r>
    </w:p>
    <w:p>
      <w:pPr>
        <w:pStyle w:val="ManualHeading3"/>
        <w:rPr>
          <w:noProof/>
        </w:rPr>
      </w:pPr>
      <w:r>
        <w:rPr>
          <w:noProof/>
        </w:rPr>
        <w:t>1.5.1.</w:t>
      </w:r>
      <w:r>
        <w:rPr>
          <w:noProof/>
        </w:rPr>
        <w:tab/>
        <w:t xml:space="preserve">Behov som ska tillgodoses på kort eller lång sikt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Kommissionen föreslår att förslaget till flerårig budgetram ska förstärkas för att hantera covid-19-pandemins negativa ekonomiska konsekvenser för företag och projekt i unionen. Många av dem har redan solvenssvårigheter på grund av krisen och problemen kommer att förvärras så länge nedstängningsperioden fortsätter och distanseringsreglerna kommer att fortsätta att påverka affärsverksamheten inom många sektorer. Svårigheterna kan bli långvariga och finnas kvar även efter den nuvarande nedstängningen. </w:t>
      </w:r>
    </w:p>
    <w:p>
      <w:pPr>
        <w:pStyle w:val="Text1"/>
        <w:pBdr>
          <w:top w:val="single" w:sz="4" w:space="1" w:color="auto"/>
          <w:left w:val="single" w:sz="4" w:space="4" w:color="auto"/>
          <w:bottom w:val="single" w:sz="4" w:space="1" w:color="auto"/>
          <w:right w:val="single" w:sz="4" w:space="4" w:color="auto"/>
        </w:pBdr>
        <w:rPr>
          <w:noProof/>
        </w:rPr>
      </w:pPr>
      <w:r>
        <w:rPr>
          <w:noProof/>
        </w:rPr>
        <w:t>De företag som ska få stöd är de som hade en bärkraftig affärsmodell före krisen, men som har solvensproblem på grund av covid-19-krisen. Syftet är att hjälpa dem att ta sig igenom denna svåra period så att de finns kvar och kan bidra till återhämtningen.</w:t>
      </w:r>
    </w:p>
    <w:p>
      <w:pPr>
        <w:pStyle w:val="ManualHeading3"/>
        <w:rPr>
          <w:noProof/>
          <w:szCs w:val="24"/>
        </w:rPr>
      </w:pPr>
      <w:r>
        <w:rPr>
          <w:noProof/>
        </w:rPr>
        <w:t>1.5.2.</w:t>
      </w:r>
      <w:r>
        <w:rPr>
          <w:noProof/>
        </w:rPr>
        <w:tab/>
        <w:t>Mervärdet av en åtgärd på unionsnivå</w:t>
      </w:r>
    </w:p>
    <w:p>
      <w:pPr>
        <w:pStyle w:val="Text1"/>
        <w:pBdr>
          <w:top w:val="single" w:sz="4" w:space="1" w:color="auto"/>
          <w:left w:val="single" w:sz="4" w:space="4" w:color="auto"/>
          <w:bottom w:val="single" w:sz="4" w:space="1" w:color="auto"/>
          <w:right w:val="single" w:sz="4" w:space="4" w:color="auto"/>
        </w:pBdr>
        <w:rPr>
          <w:noProof/>
        </w:rPr>
      </w:pPr>
      <w:r>
        <w:rPr>
          <w:noProof/>
        </w:rPr>
        <w:t xml:space="preserve">Syftet med förslaget är att motverka förväntade snedvridningar på den inre marknaden, med tanke på att solvensstödåtgärderna för företag kan skilja sig väsentligt mellan medlemsstaterna och leda till ojämlika konkurrensvillkor. </w:t>
      </w:r>
    </w:p>
    <w:p>
      <w:pPr>
        <w:pStyle w:val="ManualHeading3"/>
        <w:rPr>
          <w:noProof/>
          <w:szCs w:val="24"/>
        </w:rPr>
      </w:pPr>
      <w:r>
        <w:rPr>
          <w:noProof/>
        </w:rPr>
        <w:t>1.5.3.</w:t>
      </w:r>
      <w:r>
        <w:rPr>
          <w:noProof/>
        </w:rPr>
        <w:tab/>
        <w:t>Huvudsakliga erfarenheter från liknande försök eller åtgärder</w:t>
      </w:r>
    </w:p>
    <w:p>
      <w:pPr>
        <w:pStyle w:val="Text1"/>
        <w:pBdr>
          <w:top w:val="single" w:sz="4" w:space="1" w:color="auto"/>
          <w:left w:val="single" w:sz="4" w:space="4" w:color="auto"/>
          <w:bottom w:val="single" w:sz="4" w:space="1" w:color="auto"/>
          <w:right w:val="single" w:sz="4" w:space="4" w:color="auto"/>
        </w:pBdr>
        <w:rPr>
          <w:noProof/>
        </w:rPr>
      </w:pPr>
      <w:r>
        <w:rPr>
          <w:noProof/>
        </w:rPr>
        <w:t>Förslaget innebär att budgetutgifter ska användas som hävstång genom att en EU-garanti ställs som kan locka privat finansiering för att stödja företag i unionen, något som redan har gjorts genom Efsi-förordningen med goda resultat.</w:t>
      </w:r>
    </w:p>
    <w:p>
      <w:pPr>
        <w:pStyle w:val="ManualHeading3"/>
        <w:rPr>
          <w:noProof/>
          <w:szCs w:val="24"/>
        </w:rPr>
      </w:pPr>
      <w:r>
        <w:rPr>
          <w:noProof/>
        </w:rPr>
        <w:t>1.5.4.</w:t>
      </w:r>
      <w:r>
        <w:rPr>
          <w:noProof/>
        </w:rPr>
        <w:tab/>
        <w:t>Förenlighet med andra finansieringsformer och eventuella synergieffekter</w:t>
      </w:r>
    </w:p>
    <w:p>
      <w:pPr>
        <w:pStyle w:val="Text1"/>
        <w:pBdr>
          <w:top w:val="single" w:sz="4" w:space="1" w:color="auto"/>
          <w:left w:val="single" w:sz="4" w:space="4" w:color="auto"/>
          <w:bottom w:val="single" w:sz="4" w:space="1" w:color="auto"/>
          <w:right w:val="single" w:sz="4" w:space="4" w:color="auto"/>
        </w:pBdr>
        <w:rPr>
          <w:noProof/>
        </w:rPr>
      </w:pPr>
      <w:r>
        <w:rPr>
          <w:noProof/>
        </w:rPr>
        <w:t>Förslaget är förenligt med unionens politik på relevanta områden, så som den europeiska gröna given, investeringsplanen för ett hållbart Europa och med politiken avseende de sektorer som berörs av investeringsstödet.</w:t>
      </w:r>
    </w:p>
    <w:p>
      <w:pPr>
        <w:pStyle w:val="Text1"/>
        <w:pBdr>
          <w:top w:val="single" w:sz="4" w:space="1" w:color="auto"/>
          <w:left w:val="single" w:sz="4" w:space="4" w:color="auto"/>
          <w:bottom w:val="single" w:sz="4" w:space="1" w:color="auto"/>
          <w:right w:val="single" w:sz="4" w:space="4" w:color="auto"/>
        </w:pBdr>
        <w:rPr>
          <w:noProof/>
        </w:rPr>
      </w:pPr>
      <w:r>
        <w:rPr>
          <w:noProof/>
        </w:rPr>
        <w:t>Solvensstödinstrumentet kompletterar andra unionsprogram som är inriktade på att mildra covid-19-krisens följdverkningar eller få igång ekonomin när covid-19-krisen avtar. Det kompletterar särskilt det stöd till små och medelstora företag som ska ges genom i) återhämtningsstödet för sammanhållning (React-EU), varav merparten ska ges i början av stödperioden. och ii) den alleuropeiska garantifond för att hantera covid-19-krisen som ska inrättas av EIB och underbyggas med en garanti av medlemsstaterna. Tjänsten för små och medelstora företag som förstärks under InvestEU kommer dessutom kommer ge ytterligare stöd från och med 2021.</w:t>
      </w:r>
    </w:p>
    <w:p>
      <w:pPr>
        <w:pStyle w:val="ManualHeading2"/>
        <w:rPr>
          <w:noProof/>
          <w:szCs w:val="24"/>
        </w:rPr>
      </w:pPr>
      <w:r>
        <w:rPr>
          <w:noProof/>
        </w:rPr>
        <w:br w:type="page"/>
        <w:t>1.6.</w:t>
      </w:r>
      <w:r>
        <w:rPr>
          <w:noProof/>
        </w:rPr>
        <w:tab/>
        <w:t xml:space="preserve">Tid under vilken åtgärden kommer att pågå respektive påverka resursanvändningen </w:t>
      </w:r>
    </w:p>
    <w:p>
      <w:pPr>
        <w:pStyle w:val="Text1"/>
        <w:rPr>
          <w:noProof/>
        </w:rPr>
      </w:pPr>
      <w:r>
        <w:rPr>
          <w:noProof/>
        </w:rPr>
        <w:t>x</w:t>
      </w:r>
      <w:r>
        <w:rPr>
          <w:b/>
          <w:i/>
          <w:noProof/>
        </w:rPr>
        <w:t xml:space="preserve"> </w:t>
      </w:r>
      <w:r>
        <w:rPr>
          <w:noProof/>
        </w:rPr>
        <w:t xml:space="preserve">Förslag eller initiativ som pågår under </w:t>
      </w:r>
      <w:r>
        <w:rPr>
          <w:b/>
          <w:noProof/>
        </w:rPr>
        <w:t xml:space="preserve">begränsad tid </w:t>
      </w:r>
    </w:p>
    <w:p>
      <w:pPr>
        <w:pStyle w:val="ListDash2"/>
        <w:rPr>
          <w:noProof/>
        </w:rPr>
      </w:pPr>
      <w:r>
        <w:rPr>
          <w:noProof/>
        </w:rPr>
        <w:sym w:font="Wingdings" w:char="F0A8"/>
      </w:r>
      <w:r>
        <w:rPr>
          <w:noProof/>
        </w:rPr>
        <w:tab/>
        <w:t xml:space="preserve">Förslaget eller initiativet ska gälla från 2020 till 2026 </w:t>
      </w:r>
    </w:p>
    <w:p>
      <w:pPr>
        <w:pStyle w:val="ListDash2"/>
        <w:rPr>
          <w:noProof/>
        </w:rPr>
      </w:pPr>
      <w:r>
        <w:rPr>
          <w:noProof/>
        </w:rPr>
        <w:t>x</w:t>
      </w:r>
      <w:r>
        <w:rPr>
          <w:noProof/>
        </w:rPr>
        <w:tab/>
        <w:t>Det påverkar resursanvändningen från 2020 till 2027</w:t>
      </w:r>
    </w:p>
    <w:p>
      <w:pPr>
        <w:pStyle w:val="ManualHeading2"/>
        <w:rPr>
          <w:noProof/>
          <w:szCs w:val="24"/>
        </w:rPr>
      </w:pPr>
      <w:r>
        <w:rPr>
          <w:noProof/>
        </w:rPr>
        <w:t>1.7.</w:t>
      </w:r>
      <w:r>
        <w:rPr>
          <w:noProof/>
        </w:rPr>
        <w:tab/>
        <w:t>Planerad metod för genomförandet</w:t>
      </w:r>
      <w:r>
        <w:rPr>
          <w:rStyle w:val="FootnoteReference"/>
          <w:noProof/>
        </w:rPr>
        <w:footnoteReference w:id="16"/>
      </w:r>
      <w:r>
        <w:rPr>
          <w:rStyle w:val="FootnoteReference"/>
          <w:noProof/>
        </w:rPr>
        <w:t xml:space="preserve">  </w:t>
      </w:r>
    </w:p>
    <w:p>
      <w:pPr>
        <w:pStyle w:val="Text1"/>
        <w:rPr>
          <w:noProof/>
        </w:rPr>
      </w:pPr>
      <w:r>
        <w:rPr>
          <w:noProof/>
        </w:rPr>
        <w:t>x</w:t>
      </w:r>
      <w:r>
        <w:rPr>
          <w:b/>
          <w:noProof/>
        </w:rPr>
        <w:t>Direkt förvaltning</w:t>
      </w:r>
      <w:r>
        <w:rPr>
          <w:noProof/>
        </w:rPr>
        <w:t xml:space="preserve"> som sköts av kommissionen</w:t>
      </w:r>
    </w:p>
    <w:p>
      <w:pPr>
        <w:pStyle w:val="ListDash2"/>
        <w:rPr>
          <w:rFonts w:cs="EUAlbertina"/>
          <w:noProof/>
        </w:rPr>
      </w:pPr>
      <w:r>
        <w:rPr>
          <w:noProof/>
        </w:rPr>
        <w:t xml:space="preserve">x inom dess tjänstegrenar, vilket också inbegriper personalen vid unionens delegationer </w:t>
      </w:r>
    </w:p>
    <w:p>
      <w:pPr>
        <w:pStyle w:val="ListDash2"/>
        <w:rPr>
          <w:noProof/>
        </w:rPr>
      </w:pPr>
      <w:r>
        <w:rPr>
          <w:noProof/>
        </w:rPr>
        <w:sym w:font="Wingdings" w:char="F0A8"/>
      </w:r>
      <w:r>
        <w:rPr>
          <w:noProof/>
        </w:rPr>
        <w:tab/>
        <w:t xml:space="preserve">av genomförandeorgan </w:t>
      </w:r>
    </w:p>
    <w:p>
      <w:pPr>
        <w:pStyle w:val="Text1"/>
        <w:rPr>
          <w:noProof/>
        </w:rPr>
      </w:pPr>
      <w:r>
        <w:rPr>
          <w:noProof/>
        </w:rPr>
        <w:sym w:font="Wingdings" w:char="F0A8"/>
      </w:r>
      <w:r>
        <w:rPr>
          <w:b/>
          <w:i/>
          <w:noProof/>
        </w:rPr>
        <w:t xml:space="preserve"> </w:t>
      </w:r>
      <w:r>
        <w:rPr>
          <w:b/>
          <w:noProof/>
        </w:rPr>
        <w:t>Delad förvaltning</w:t>
      </w:r>
      <w:r>
        <w:rPr>
          <w:noProof/>
        </w:rPr>
        <w:t xml:space="preserve"> med medlemsstaterna </w:t>
      </w:r>
    </w:p>
    <w:p>
      <w:pPr>
        <w:pStyle w:val="Text1"/>
        <w:rPr>
          <w:noProof/>
        </w:rPr>
      </w:pPr>
      <w:r>
        <w:rPr>
          <w:b/>
          <w:noProof/>
        </w:rPr>
        <w:t>Indirekt förvaltning</w:t>
      </w:r>
      <w:r>
        <w:rPr>
          <w:noProof/>
        </w:rPr>
        <w:t xml:space="preserve"> genom delegering av budgetgenomförandet till</w:t>
      </w:r>
    </w:p>
    <w:p>
      <w:pPr>
        <w:pStyle w:val="ListDash2"/>
        <w:rPr>
          <w:noProof/>
        </w:rPr>
      </w:pPr>
      <w:r>
        <w:rPr>
          <w:noProof/>
        </w:rPr>
        <w:sym w:font="Wingdings" w:char="F0A8"/>
      </w:r>
      <w:r>
        <w:rPr>
          <w:noProof/>
        </w:rPr>
        <w:t xml:space="preserve"> tredjeländer eller organ som de har utsett,</w:t>
      </w:r>
    </w:p>
    <w:p>
      <w:pPr>
        <w:pStyle w:val="ListDash2"/>
        <w:rPr>
          <w:noProof/>
        </w:rPr>
      </w:pPr>
      <w:r>
        <w:rPr>
          <w:noProof/>
        </w:rPr>
        <w:sym w:font="Wingdings" w:char="F0A8"/>
      </w:r>
      <w:r>
        <w:rPr>
          <w:noProof/>
        </w:rPr>
        <w:t xml:space="preserve"> internationella organisationer och organ kopplade till dem (ange vilka)</w:t>
      </w:r>
    </w:p>
    <w:p>
      <w:pPr>
        <w:pStyle w:val="ListDash2"/>
        <w:rPr>
          <w:noProof/>
        </w:rPr>
      </w:pPr>
      <w:r>
        <w:rPr>
          <w:noProof/>
        </w:rPr>
        <w:t>X EIB och Europeiska investeringsfonden</w:t>
      </w:r>
    </w:p>
    <w:p>
      <w:pPr>
        <w:pStyle w:val="ListDash2"/>
        <w:rPr>
          <w:noProof/>
        </w:rPr>
      </w:pPr>
      <w:r>
        <w:rPr>
          <w:noProof/>
        </w:rPr>
        <w:sym w:font="Wingdings" w:char="F0A8"/>
      </w:r>
      <w:r>
        <w:rPr>
          <w:noProof/>
        </w:rPr>
        <w:t xml:space="preserve"> organ som avses i artiklarna 208 och 209 i budgetförordningen,</w:t>
      </w:r>
    </w:p>
    <w:p>
      <w:pPr>
        <w:pStyle w:val="ListDash2"/>
        <w:rPr>
          <w:noProof/>
        </w:rPr>
      </w:pPr>
      <w:r>
        <w:rPr>
          <w:noProof/>
        </w:rPr>
        <w:sym w:font="Wingdings" w:char="F0A8"/>
      </w:r>
      <w:r>
        <w:rPr>
          <w:noProof/>
        </w:rPr>
        <w:t xml:space="preserve"> offentligrättsliga organ,</w:t>
      </w:r>
    </w:p>
    <w:p>
      <w:pPr>
        <w:pStyle w:val="ListDash2"/>
        <w:rPr>
          <w:noProof/>
        </w:rPr>
      </w:pPr>
      <w:r>
        <w:rPr>
          <w:noProof/>
        </w:rPr>
        <w:sym w:font="Wingdings" w:char="F0A8"/>
      </w:r>
      <w:r>
        <w:rPr>
          <w:noProof/>
        </w:rPr>
        <w:t xml:space="preserve"> privaträttsliga organ som anförtrotts uppgifter som faller inom offentlig förvaltning och som lämnat tillräckliga ekonomiska garantier</w:t>
      </w:r>
    </w:p>
    <w:p>
      <w:pPr>
        <w:pStyle w:val="ListDash2"/>
        <w:rPr>
          <w:noProof/>
        </w:rPr>
      </w:pPr>
      <w:r>
        <w:rPr>
          <w:noProof/>
        </w:rPr>
        <w:sym w:font="Wingdings" w:char="F0A8"/>
      </w:r>
      <w:r>
        <w:rPr>
          <w:noProof/>
        </w:rPr>
        <w:t xml:space="preserve"> organ som omfattas av privaträtten i en medlemsstat, som anförtrotts genomförandeuppgifter inom ramen av ett offentlig-privat partnerskap och som lämnat tillräckliga ekonomiska garantier,</w:t>
      </w:r>
    </w:p>
    <w:p>
      <w:pPr>
        <w:pStyle w:val="ListDash2"/>
        <w:rPr>
          <w:noProof/>
        </w:rPr>
      </w:pPr>
      <w:r>
        <w:rPr>
          <w:noProof/>
        </w:rPr>
        <w:sym w:font="Wingdings" w:char="F0A8"/>
      </w:r>
      <w:r>
        <w:rPr>
          <w:noProof/>
        </w:rPr>
        <w:t xml:space="preserve"> personer som anförtrotts ansvaret för genomförandet av särskilda åtgärder inom Gusp som följer av avdelning V i fördraget om Europeiska unionen och som anges i den grundläggande rättsakten</w:t>
      </w:r>
    </w:p>
    <w:p>
      <w:pPr>
        <w:rPr>
          <w:noProof/>
        </w:rPr>
      </w:pPr>
      <w:r>
        <w:rPr>
          <w:noProof/>
        </w:rPr>
        <w:t xml:space="preserve">Anmärkningar </w:t>
      </w:r>
    </w:p>
    <w:p>
      <w:pPr>
        <w:pBdr>
          <w:top w:val="single" w:sz="4" w:space="1" w:color="auto"/>
          <w:left w:val="single" w:sz="4" w:space="4" w:color="auto"/>
          <w:bottom w:val="single" w:sz="4" w:space="1" w:color="auto"/>
          <w:right w:val="single" w:sz="4" w:space="4" w:color="auto"/>
        </w:pBdr>
        <w:rPr>
          <w:noProof/>
        </w:rPr>
      </w:pPr>
      <w:r>
        <w:rPr>
          <w:noProof/>
        </w:rPr>
        <w:t>Efsi-garantifonden förvaltas direkt av kommissionen. Europeiska centrumet för investeringsrådgivning förvaltas indirekt genom EIB Rådgivningstjänster och tekniskt stöd får förvaltas direkt eller indirekt av kommissionen, även genom EIB.</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FÖRVALTNING </w:t>
      </w:r>
    </w:p>
    <w:p>
      <w:pPr>
        <w:pStyle w:val="ManualHeading2"/>
        <w:rPr>
          <w:noProof/>
        </w:rPr>
      </w:pPr>
      <w:r>
        <w:rPr>
          <w:noProof/>
        </w:rPr>
        <w:t>2.1.</w:t>
      </w:r>
      <w:r>
        <w:rPr>
          <w:noProof/>
        </w:rPr>
        <w:tab/>
        <w:t xml:space="preserve">Regler om uppföljning och rapportering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I enlighet med artikel 10 i Efsi-förordningen ska EIB, i förekommande fall i samarbete med EIF, rapportera halvårsvis till kommissionen om EIB:s finansierings- och investeringstransaktioner. Dessutom ska EIB, i förekommande fall i samarbete med EIF, årligen rapportera till Europaparlamentet och rådet om EIB:s finansierings- och investeringstransaktioner.  Senast den 31 mars varje år ska kommissionen överlämna en årsrapport till Europaparlamentet, rådet och revisionsrätten om garantifondens situation och förvaltning under det föregående året.</w:t>
      </w:r>
    </w:p>
    <w:p>
      <w:pPr>
        <w:pBdr>
          <w:top w:val="single" w:sz="4" w:space="1" w:color="auto"/>
          <w:left w:val="single" w:sz="4" w:space="4" w:color="auto"/>
          <w:bottom w:val="single" w:sz="4" w:space="1" w:color="auto"/>
          <w:right w:val="single" w:sz="4" w:space="4" w:color="auto"/>
        </w:pBdr>
        <w:ind w:left="850"/>
        <w:rPr>
          <w:noProof/>
        </w:rPr>
      </w:pPr>
      <w:r>
        <w:rPr>
          <w:noProof/>
        </w:rPr>
        <w:t>I enlighet med artikel 12 i Efsi-förordningen ska EIB utvärdera Efsis funktion och överlämna sin utvärdering till Europaparlamentet, rådet och kommissionen. Dessutom ska kommissionen utvärdera användningen av EU-garantin och garantifondens funktion och överlämna utvärderingen till Europaparlamentet och rådet. En heltäckande rapport om Efsis funktion krävs vart tredje år (nästa gång år 2021), samt en heltäckande rapport om användningen av EU-garantin och garantifondens funktion.</w:t>
      </w:r>
    </w:p>
    <w:p>
      <w:pPr>
        <w:pStyle w:val="ManualHeading2"/>
        <w:rPr>
          <w:noProof/>
          <w:szCs w:val="24"/>
        </w:rPr>
      </w:pPr>
      <w:r>
        <w:rPr>
          <w:noProof/>
        </w:rPr>
        <w:t>2.2.</w:t>
      </w:r>
      <w:r>
        <w:rPr>
          <w:noProof/>
        </w:rPr>
        <w:tab/>
        <w:t xml:space="preserve">Administrations- och kontrollsystem </w:t>
      </w:r>
    </w:p>
    <w:p>
      <w:pPr>
        <w:pStyle w:val="ManualHeading3"/>
        <w:rPr>
          <w:noProof/>
        </w:rPr>
      </w:pPr>
      <w:r>
        <w:rPr>
          <w:noProof/>
        </w:rPr>
        <w:t>2.2.1.</w:t>
      </w:r>
      <w:r>
        <w:rPr>
          <w:noProof/>
        </w:rPr>
        <w:tab/>
        <w:t xml:space="preserve">Risker som identifierats </w:t>
      </w:r>
    </w:p>
    <w:p>
      <w:pPr>
        <w:pStyle w:val="Text1"/>
        <w:pBdr>
          <w:top w:val="single" w:sz="4" w:space="1" w:color="auto"/>
          <w:left w:val="single" w:sz="4" w:space="4" w:color="auto"/>
          <w:bottom w:val="single" w:sz="4" w:space="1" w:color="auto"/>
          <w:right w:val="single" w:sz="4" w:space="4" w:color="auto"/>
        </w:pBdr>
        <w:rPr>
          <w:noProof/>
        </w:rPr>
      </w:pPr>
      <w:r>
        <w:rPr>
          <w:noProof/>
        </w:rPr>
        <w:t>EIB:s finansierings- och investeringstransaktioner som omfattas av EU-garantin medför en icke-försumbar finansiell risk. Det finns en påtaglig sannolikhet för att garantin kan komma att tas i anspråk. Det bedöms dock att garantifonden ger det skydd som krävs för unionens budget. Projekten i sig kan bli föremål för förseningar i genomförandet och kostnadsöverskridanden.</w:t>
      </w:r>
    </w:p>
    <w:p>
      <w:pPr>
        <w:pBdr>
          <w:top w:val="single" w:sz="4" w:space="1" w:color="auto"/>
          <w:left w:val="single" w:sz="4" w:space="4" w:color="auto"/>
          <w:bottom w:val="single" w:sz="4" w:space="1" w:color="auto"/>
          <w:right w:val="single" w:sz="4" w:space="4" w:color="auto"/>
        </w:pBdr>
        <w:ind w:left="850"/>
        <w:rPr>
          <w:noProof/>
        </w:rPr>
      </w:pPr>
      <w:r>
        <w:rPr>
          <w:noProof/>
        </w:rPr>
        <w:t>Även med försiktiga antaganden kan initiativets kostnadseffektivitet påverkas negativt av otillräckligt marknadsupptag av instrumenten och förändrade marknadsförhållanden som minskar den antagna multiplikatoreffekten.</w:t>
      </w:r>
    </w:p>
    <w:p>
      <w:pPr>
        <w:pBdr>
          <w:top w:val="single" w:sz="4" w:space="1" w:color="auto"/>
          <w:left w:val="single" w:sz="4" w:space="4" w:color="auto"/>
          <w:bottom w:val="single" w:sz="4" w:space="1" w:color="auto"/>
          <w:right w:val="single" w:sz="4" w:space="4" w:color="auto"/>
        </w:pBdr>
        <w:ind w:left="850"/>
        <w:rPr>
          <w:noProof/>
        </w:rPr>
      </w:pPr>
      <w:r>
        <w:rPr>
          <w:noProof/>
        </w:rPr>
        <w:t>I enlighet med artikel 8.4 i Efsi-förordningen ska garantifondens resurser investeras. Dessa investeringar kommer att ha en investeringsrisk (t.ex. marknads- och kreditrisk) och viss operativ risk.</w:t>
      </w:r>
    </w:p>
    <w:p>
      <w:pPr>
        <w:pStyle w:val="ManualHeading3"/>
        <w:rPr>
          <w:noProof/>
          <w:szCs w:val="24"/>
        </w:rPr>
      </w:pPr>
      <w:r>
        <w:rPr>
          <w:noProof/>
        </w:rPr>
        <w:t>2.2.2.</w:t>
      </w:r>
      <w:r>
        <w:rPr>
          <w:noProof/>
        </w:rPr>
        <w:tab/>
        <w:t>Uppgifter om det interna kontrollsystemet</w:t>
      </w:r>
    </w:p>
    <w:p>
      <w:pPr>
        <w:pStyle w:val="Text1"/>
        <w:pBdr>
          <w:top w:val="single" w:sz="4" w:space="1" w:color="auto"/>
          <w:left w:val="single" w:sz="4" w:space="4" w:color="auto"/>
          <w:bottom w:val="single" w:sz="4" w:space="1" w:color="auto"/>
          <w:right w:val="single" w:sz="4" w:space="4" w:color="auto"/>
        </w:pBdr>
        <w:rPr>
          <w:noProof/>
        </w:rPr>
      </w:pPr>
      <w:r>
        <w:rPr>
          <w:noProof/>
        </w:rPr>
        <w:t xml:space="preserve">Efsi leds av en styrelse som bestämmer Efsis strategiska inriktning, verksamhetspolicy och förfaranden, regler för transaktioner med investeringsplattformar och nationella utvecklingsbanker samt Efsis riskprofil.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Beslut om användningen av Efsi-stöd under solvensstödtjänsten ska fattas av investeringskommittén på samma sätt som redan sker i fråga om de andra två tjänsterna. När det gäller transaktioner som genomförs av EIF ska investeringskommittén rådfrågas om de finansiella produkterna. Investeringskommittén består av oberoende experter som är kunniga och erfarna inom områdena investeringsprojekt och är ansvariga inför styrelsen, som övervakar uppfyllandet av Efsis mål.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Efsis verkställande direktör ansvarar för den dagliga förvaltningen av Efsi och förbereder möten i investeringskommittén. Den verkställande direktören är direkt ansvarig inför styrelsen och rapporterar varje kvartal om Efsis verksamhet till styrelsen. Den verkställande direktören utnämndes av EIB:s ordförande efter godkännande av Europaparlamentet av den kandidat som valts av styrelsen.  </w:t>
      </w:r>
    </w:p>
    <w:p>
      <w:pPr>
        <w:pStyle w:val="Text1"/>
        <w:pBdr>
          <w:top w:val="single" w:sz="4" w:space="1" w:color="auto"/>
          <w:left w:val="single" w:sz="4" w:space="4" w:color="auto"/>
          <w:bottom w:val="single" w:sz="4" w:space="1" w:color="auto"/>
          <w:right w:val="single" w:sz="4" w:space="4" w:color="auto"/>
        </w:pBdr>
        <w:rPr>
          <w:noProof/>
        </w:rPr>
      </w:pPr>
      <w:r>
        <w:rPr>
          <w:noProof/>
        </w:rPr>
        <w:t>Kommissionen förvaltar tillgångarna i garantifonden i enlighet med Efsi-förordningen och dess gällande interna regler och förfaranden.</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Åtgärder för att förebygga bedrägeri och oriktigheter </w:t>
      </w:r>
    </w:p>
    <w:p>
      <w:pPr>
        <w:pStyle w:val="Text1"/>
        <w:pBdr>
          <w:top w:val="single" w:sz="4" w:space="1" w:color="auto"/>
          <w:left w:val="single" w:sz="4" w:space="4" w:color="auto"/>
          <w:bottom w:val="single" w:sz="4" w:space="1" w:color="auto"/>
          <w:right w:val="single" w:sz="4" w:space="4" w:color="auto"/>
        </w:pBdr>
        <w:rPr>
          <w:noProof/>
        </w:rPr>
      </w:pPr>
      <w:r>
        <w:rPr>
          <w:noProof/>
        </w:rPr>
        <w:t>I artikel 21 i Efsi-förordningen fastställs behörigheten för Europeiska byrån för bedrägeribekämpning (Olaf) att utföra utredningar om transaktioner som får stöd under detta initiativ. EIB-gruppen har fastställt särskilda regler för samarbete med Olaf i samband med eventuella fall av bedrägeri, korruption eller annan olaglig verksamhet som skadar gemenskapens ekonomiska intressen.</w:t>
      </w:r>
    </w:p>
    <w:p>
      <w:pPr>
        <w:pBdr>
          <w:top w:val="single" w:sz="4" w:space="1" w:color="auto"/>
          <w:left w:val="single" w:sz="4" w:space="4" w:color="auto"/>
          <w:bottom w:val="single" w:sz="4" w:space="1" w:color="auto"/>
          <w:right w:val="single" w:sz="4" w:space="4" w:color="auto"/>
        </w:pBdr>
        <w:ind w:left="850"/>
        <w:rPr>
          <w:noProof/>
        </w:rPr>
      </w:pPr>
      <w:r>
        <w:rPr>
          <w:noProof/>
        </w:rPr>
        <w:t>Utöver detta är EIB:s regler och förfaranden tillämpliga, inbegripet EIB:s policy för bedrägeribekämpning.</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BERÄKNADE BUDGETKONSEKVENSER AV FÖRSLAGET ELLER INITIATIVET </w:t>
      </w:r>
    </w:p>
    <w:p>
      <w:pPr>
        <w:pStyle w:val="ManualHeading2"/>
        <w:rPr>
          <w:noProof/>
        </w:rPr>
      </w:pPr>
      <w:r>
        <w:rPr>
          <w:noProof/>
        </w:rPr>
        <w:t>3.1.</w:t>
      </w:r>
      <w:r>
        <w:rPr>
          <w:noProof/>
        </w:rPr>
        <w:tab/>
        <w:t xml:space="preserve">Berörda rubriker i den fleråriga budgetramen och budgetrubriker i den årliga budgetens utgiftsdel </w:t>
      </w:r>
    </w:p>
    <w:p>
      <w:pPr>
        <w:pStyle w:val="ListBullet1"/>
        <w:rPr>
          <w:noProof/>
        </w:rPr>
      </w:pPr>
      <w:r>
        <w:rPr>
          <w:noProof/>
        </w:rPr>
        <w:t xml:space="preserve">Befintliga budgetrubriker (även kallade ”budgetposter”) </w:t>
      </w:r>
    </w:p>
    <w:p>
      <w:pPr>
        <w:pStyle w:val="Text1"/>
        <w:rPr>
          <w:noProof/>
        </w:rPr>
      </w:pPr>
      <w:r>
        <w:rPr>
          <w:noProof/>
        </w:rPr>
        <w:t>Redovisa enligt de berörda rubrikerna i den fleråriga budgetramen 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Rubrik i den fleråriga budgetramen</w:t>
            </w:r>
          </w:p>
        </w:tc>
        <w:tc>
          <w:tcPr>
            <w:tcW w:w="3960" w:type="dxa"/>
            <w:vAlign w:val="center"/>
          </w:tcPr>
          <w:p>
            <w:pPr>
              <w:spacing w:before="60" w:after="60"/>
              <w:jc w:val="center"/>
              <w:rPr>
                <w:noProof/>
                <w:sz w:val="22"/>
              </w:rPr>
            </w:pPr>
            <w:r>
              <w:rPr>
                <w:noProof/>
                <w:sz w:val="20"/>
              </w:rPr>
              <w:t>Budgetrubrik</w:t>
            </w:r>
          </w:p>
        </w:tc>
        <w:tc>
          <w:tcPr>
            <w:tcW w:w="1080" w:type="dxa"/>
            <w:vAlign w:val="center"/>
          </w:tcPr>
          <w:p>
            <w:pPr>
              <w:spacing w:before="60" w:after="60"/>
              <w:jc w:val="center"/>
              <w:rPr>
                <w:noProof/>
                <w:sz w:val="22"/>
              </w:rPr>
            </w:pPr>
            <w:r>
              <w:rPr>
                <w:noProof/>
                <w:sz w:val="18"/>
              </w:rPr>
              <w:t xml:space="preserve">Typ av </w:t>
            </w:r>
            <w:r>
              <w:rPr>
                <w:noProof/>
              </w:rPr>
              <w:t xml:space="preserve"> </w:t>
            </w:r>
            <w:r>
              <w:rPr>
                <w:noProof/>
              </w:rPr>
              <w:br/>
            </w:r>
            <w:r>
              <w:rPr>
                <w:noProof/>
                <w:sz w:val="18"/>
              </w:rPr>
              <w:t>anslag</w:t>
            </w:r>
          </w:p>
        </w:tc>
        <w:tc>
          <w:tcPr>
            <w:tcW w:w="4440" w:type="dxa"/>
            <w:gridSpan w:val="4"/>
            <w:vAlign w:val="center"/>
          </w:tcPr>
          <w:p>
            <w:pPr>
              <w:spacing w:before="60" w:after="60"/>
              <w:jc w:val="center"/>
              <w:rPr>
                <w:noProof/>
                <w:sz w:val="22"/>
              </w:rPr>
            </w:pPr>
            <w:r>
              <w:rPr>
                <w:noProof/>
                <w:sz w:val="20"/>
              </w:rPr>
              <w:t xml:space="preserve">Bidrag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r>
              <w:rPr>
                <w:noProof/>
                <w:sz w:val="20"/>
              </w:rPr>
              <w:t>Rubrik 1a (FBR 2014–2020) ………………………...……………]</w:t>
            </w:r>
          </w:p>
        </w:tc>
        <w:tc>
          <w:tcPr>
            <w:tcW w:w="1080" w:type="dxa"/>
            <w:vAlign w:val="center"/>
          </w:tcPr>
          <w:p>
            <w:pPr>
              <w:jc w:val="center"/>
              <w:rPr>
                <w:noProof/>
                <w:sz w:val="22"/>
              </w:rPr>
            </w:pPr>
            <w:r>
              <w:rPr>
                <w:noProof/>
                <w:sz w:val="18"/>
              </w:rPr>
              <w:t>Diff./Icke-diff.</w:t>
            </w:r>
            <w:r>
              <w:rPr>
                <w:rStyle w:val="FootnoteReference"/>
                <w:noProof/>
                <w:sz w:val="18"/>
              </w:rPr>
              <w:footnoteReference w:id="17"/>
            </w:r>
            <w:r>
              <w:rPr>
                <w:noProof/>
              </w:rPr>
              <w:t>.</w:t>
            </w:r>
          </w:p>
        </w:tc>
        <w:tc>
          <w:tcPr>
            <w:tcW w:w="956" w:type="dxa"/>
            <w:vAlign w:val="center"/>
          </w:tcPr>
          <w:p>
            <w:pPr>
              <w:jc w:val="center"/>
              <w:rPr>
                <w:noProof/>
                <w:sz w:val="22"/>
              </w:rPr>
            </w:pPr>
            <w:r>
              <w:rPr>
                <w:noProof/>
                <w:sz w:val="18"/>
              </w:rPr>
              <w:t>från Efta-länder</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från kandidatländer</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från tredje-länder</w:t>
            </w:r>
          </w:p>
        </w:tc>
        <w:tc>
          <w:tcPr>
            <w:tcW w:w="1448" w:type="dxa"/>
            <w:vAlign w:val="center"/>
          </w:tcPr>
          <w:p>
            <w:pPr>
              <w:jc w:val="center"/>
              <w:rPr>
                <w:noProof/>
                <w:sz w:val="22"/>
              </w:rPr>
            </w:pPr>
            <w:r>
              <w:rPr>
                <w:noProof/>
                <w:sz w:val="16"/>
              </w:rPr>
              <w:t xml:space="preserve">enligt artikel 21.2 b i budgetförordningen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Stödutgifter för Europeiska fonden för strategiska investeringar (Efsi)</w:t>
            </w:r>
          </w:p>
        </w:tc>
        <w:tc>
          <w:tcPr>
            <w:tcW w:w="1080" w:type="dxa"/>
            <w:vAlign w:val="center"/>
          </w:tcPr>
          <w:p>
            <w:pPr>
              <w:jc w:val="center"/>
              <w:rPr>
                <w:noProof/>
                <w:sz w:val="22"/>
              </w:rPr>
            </w:pPr>
            <w:r>
              <w:rPr>
                <w:noProof/>
                <w:sz w:val="22"/>
              </w:rPr>
              <w:t>Icke-diff.</w:t>
            </w:r>
          </w:p>
        </w:tc>
        <w:tc>
          <w:tcPr>
            <w:tcW w:w="956" w:type="dxa"/>
            <w:vAlign w:val="center"/>
          </w:tcPr>
          <w:p>
            <w:pPr>
              <w:jc w:val="center"/>
              <w:rPr>
                <w:noProof/>
                <w:sz w:val="22"/>
              </w:rPr>
            </w:pPr>
            <w:r>
              <w:rPr>
                <w:noProof/>
                <w:sz w:val="22"/>
              </w:rPr>
              <w:t>NEJ</w:t>
            </w:r>
          </w:p>
        </w:tc>
        <w:tc>
          <w:tcPr>
            <w:tcW w:w="1080" w:type="dxa"/>
            <w:vAlign w:val="center"/>
          </w:tcPr>
          <w:p>
            <w:pPr>
              <w:jc w:val="center"/>
              <w:rPr>
                <w:noProof/>
                <w:sz w:val="22"/>
              </w:rPr>
            </w:pPr>
            <w:r>
              <w:rPr>
                <w:noProof/>
                <w:sz w:val="22"/>
              </w:rPr>
              <w:t>NEJ</w:t>
            </w:r>
          </w:p>
        </w:tc>
        <w:tc>
          <w:tcPr>
            <w:tcW w:w="956" w:type="dxa"/>
            <w:vAlign w:val="center"/>
          </w:tcPr>
          <w:p>
            <w:pPr>
              <w:jc w:val="center"/>
              <w:rPr>
                <w:noProof/>
                <w:sz w:val="22"/>
              </w:rPr>
            </w:pPr>
            <w:r>
              <w:rPr>
                <w:noProof/>
                <w:sz w:val="22"/>
              </w:rPr>
              <w:t>NEJ</w:t>
            </w:r>
          </w:p>
        </w:tc>
        <w:tc>
          <w:tcPr>
            <w:tcW w:w="1448" w:type="dxa"/>
            <w:vAlign w:val="center"/>
          </w:tcPr>
          <w:p>
            <w:pPr>
              <w:jc w:val="center"/>
              <w:rPr>
                <w:noProof/>
                <w:sz w:val="22"/>
              </w:rPr>
            </w:pPr>
            <w:r>
              <w:rPr>
                <w:noProof/>
                <w:sz w:val="22"/>
              </w:rPr>
              <w:t>NEJ</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Europeiska investeringsfonden – Tillhandahållande av de inbetalda andelarna av det tecknade kapitalet</w:t>
            </w:r>
          </w:p>
          <w:p>
            <w:pPr>
              <w:spacing w:before="60"/>
              <w:rPr>
                <w:noProof/>
              </w:rPr>
            </w:pPr>
            <w:r>
              <w:rPr>
                <w:noProof/>
              </w:rPr>
              <w:t>01.0404 Garanti för Europeiska fonden för strategiska investeringar (Efsi)</w:t>
            </w:r>
          </w:p>
          <w:p>
            <w:pPr>
              <w:spacing w:before="60"/>
              <w:rPr>
                <w:noProof/>
              </w:rPr>
            </w:pPr>
            <w:r>
              <w:rPr>
                <w:noProof/>
              </w:rPr>
              <w:t>01.040502 Avsättningar för garantin för Europeiska fonden för strategiska investeringar (Efsi) – solvensstödtjänsten</w:t>
            </w:r>
          </w:p>
          <w:p>
            <w:pPr>
              <w:spacing w:after="60"/>
              <w:rPr>
                <w:noProof/>
                <w:sz w:val="22"/>
              </w:rPr>
            </w:pPr>
            <w:r>
              <w:rPr>
                <w:noProof/>
              </w:rPr>
              <w:t>01.040602 Europeiska centrumet för investeringsrådgivning (EIAH) och portalen för investeringsprojekt på europeisk nivå (EIPP) – (Tekniskt stöd) – solvensstödtjänsten</w:t>
            </w: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NEJ</w:t>
            </w:r>
          </w:p>
        </w:tc>
        <w:tc>
          <w:tcPr>
            <w:tcW w:w="1080" w:type="dxa"/>
            <w:vAlign w:val="center"/>
          </w:tcPr>
          <w:p>
            <w:pPr>
              <w:jc w:val="center"/>
              <w:rPr>
                <w:noProof/>
                <w:sz w:val="22"/>
              </w:rPr>
            </w:pPr>
            <w:r>
              <w:rPr>
                <w:noProof/>
                <w:sz w:val="22"/>
              </w:rPr>
              <w:t>NEJ</w:t>
            </w:r>
          </w:p>
        </w:tc>
        <w:tc>
          <w:tcPr>
            <w:tcW w:w="956" w:type="dxa"/>
            <w:vAlign w:val="center"/>
          </w:tcPr>
          <w:p>
            <w:pPr>
              <w:jc w:val="center"/>
              <w:rPr>
                <w:noProof/>
                <w:sz w:val="22"/>
              </w:rPr>
            </w:pPr>
            <w:r>
              <w:rPr>
                <w:noProof/>
                <w:sz w:val="22"/>
              </w:rPr>
              <w:t>NEJ</w:t>
            </w:r>
          </w:p>
        </w:tc>
        <w:tc>
          <w:tcPr>
            <w:tcW w:w="1448" w:type="dxa"/>
            <w:vAlign w:val="center"/>
          </w:tcPr>
          <w:p>
            <w:pPr>
              <w:jc w:val="center"/>
              <w:rPr>
                <w:noProof/>
                <w:sz w:val="22"/>
              </w:rPr>
            </w:pPr>
            <w:r>
              <w:rPr>
                <w:noProof/>
                <w:sz w:val="22"/>
              </w:rPr>
              <w:t>NEJ</w:t>
            </w:r>
          </w:p>
        </w:tc>
      </w:tr>
    </w:tbl>
    <w:p>
      <w:pPr>
        <w:pStyle w:val="ListBullet1"/>
        <w:rPr>
          <w:noProof/>
        </w:rPr>
      </w:pPr>
      <w:r>
        <w:rPr>
          <w:noProof/>
        </w:rPr>
        <w:t xml:space="preserve">Nya budgetrubriker som föreslås </w:t>
      </w:r>
    </w:p>
    <w:p>
      <w:pPr>
        <w:pStyle w:val="Text1"/>
        <w:rPr>
          <w:i/>
          <w:noProof/>
          <w:sz w:val="20"/>
        </w:rPr>
      </w:pPr>
      <w:r>
        <w:rPr>
          <w:i/>
          <w:noProof/>
        </w:rPr>
        <w:t>Redovisa enligt de berörda rubrikerna i den fleråriga budgetramen 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Rubrik i den fleråriga budgetramen</w:t>
            </w:r>
          </w:p>
        </w:tc>
        <w:tc>
          <w:tcPr>
            <w:tcW w:w="3960" w:type="dxa"/>
            <w:vAlign w:val="center"/>
          </w:tcPr>
          <w:p>
            <w:pPr>
              <w:spacing w:before="60" w:after="60"/>
              <w:jc w:val="center"/>
              <w:rPr>
                <w:noProof/>
                <w:sz w:val="22"/>
              </w:rPr>
            </w:pPr>
            <w:r>
              <w:rPr>
                <w:noProof/>
                <w:sz w:val="20"/>
              </w:rPr>
              <w:t>Budgetrubrik</w:t>
            </w:r>
          </w:p>
        </w:tc>
        <w:tc>
          <w:tcPr>
            <w:tcW w:w="1080" w:type="dxa"/>
            <w:vAlign w:val="center"/>
          </w:tcPr>
          <w:p>
            <w:pPr>
              <w:spacing w:before="60" w:after="60"/>
              <w:jc w:val="center"/>
              <w:rPr>
                <w:noProof/>
                <w:sz w:val="22"/>
              </w:rPr>
            </w:pPr>
            <w:r>
              <w:rPr>
                <w:noProof/>
                <w:sz w:val="18"/>
              </w:rPr>
              <w:t>Typ av</w:t>
            </w:r>
            <w:r>
              <w:rPr>
                <w:noProof/>
              </w:rPr>
              <w:t xml:space="preserve"> </w:t>
            </w:r>
            <w:r>
              <w:rPr>
                <w:noProof/>
              </w:rPr>
              <w:br/>
            </w:r>
            <w:r>
              <w:rPr>
                <w:noProof/>
                <w:sz w:val="18"/>
              </w:rPr>
              <w:t>anslag</w:t>
            </w:r>
          </w:p>
        </w:tc>
        <w:tc>
          <w:tcPr>
            <w:tcW w:w="4440" w:type="dxa"/>
            <w:gridSpan w:val="4"/>
            <w:vAlign w:val="center"/>
          </w:tcPr>
          <w:p>
            <w:pPr>
              <w:spacing w:before="60" w:after="60"/>
              <w:jc w:val="center"/>
              <w:rPr>
                <w:noProof/>
                <w:sz w:val="22"/>
              </w:rPr>
            </w:pPr>
            <w:r>
              <w:rPr>
                <w:noProof/>
                <w:sz w:val="20"/>
              </w:rPr>
              <w:t xml:space="preserve">Bidrag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r>
              <w:rPr>
                <w:noProof/>
                <w:sz w:val="20"/>
              </w:rPr>
              <w:t>Rubrik 1 (FBR 2021–2027)</w:t>
            </w:r>
          </w:p>
        </w:tc>
        <w:tc>
          <w:tcPr>
            <w:tcW w:w="1080" w:type="dxa"/>
            <w:vAlign w:val="center"/>
          </w:tcPr>
          <w:p>
            <w:pPr>
              <w:jc w:val="center"/>
              <w:rPr>
                <w:noProof/>
                <w:sz w:val="22"/>
              </w:rPr>
            </w:pPr>
            <w:r>
              <w:rPr>
                <w:noProof/>
                <w:sz w:val="18"/>
              </w:rPr>
              <w:t>Diff./Icke-diff.</w:t>
            </w:r>
          </w:p>
        </w:tc>
        <w:tc>
          <w:tcPr>
            <w:tcW w:w="956" w:type="dxa"/>
            <w:vAlign w:val="center"/>
          </w:tcPr>
          <w:p>
            <w:pPr>
              <w:jc w:val="center"/>
              <w:rPr>
                <w:noProof/>
                <w:sz w:val="18"/>
              </w:rPr>
            </w:pPr>
            <w:r>
              <w:rPr>
                <w:noProof/>
                <w:sz w:val="18"/>
              </w:rPr>
              <w:t>från Efta-länder</w:t>
            </w:r>
          </w:p>
        </w:tc>
        <w:tc>
          <w:tcPr>
            <w:tcW w:w="1080" w:type="dxa"/>
            <w:vAlign w:val="center"/>
          </w:tcPr>
          <w:p>
            <w:pPr>
              <w:jc w:val="center"/>
              <w:rPr>
                <w:noProof/>
                <w:sz w:val="18"/>
              </w:rPr>
            </w:pPr>
            <w:r>
              <w:rPr>
                <w:noProof/>
                <w:sz w:val="18"/>
              </w:rPr>
              <w:t>från kandidat-länder</w:t>
            </w:r>
          </w:p>
        </w:tc>
        <w:tc>
          <w:tcPr>
            <w:tcW w:w="956" w:type="dxa"/>
            <w:vAlign w:val="center"/>
          </w:tcPr>
          <w:p>
            <w:pPr>
              <w:jc w:val="center"/>
              <w:rPr>
                <w:noProof/>
                <w:sz w:val="18"/>
              </w:rPr>
            </w:pPr>
            <w:r>
              <w:rPr>
                <w:noProof/>
                <w:sz w:val="18"/>
              </w:rPr>
              <w:t>från tredje-länder</w:t>
            </w:r>
          </w:p>
        </w:tc>
        <w:tc>
          <w:tcPr>
            <w:tcW w:w="1448" w:type="dxa"/>
            <w:vAlign w:val="center"/>
          </w:tcPr>
          <w:p>
            <w:pPr>
              <w:jc w:val="center"/>
              <w:rPr>
                <w:noProof/>
                <w:sz w:val="22"/>
              </w:rPr>
            </w:pPr>
            <w:r>
              <w:rPr>
                <w:noProof/>
                <w:sz w:val="16"/>
              </w:rPr>
              <w:t xml:space="preserve">enligt artikel 21.2 b i budgetförordningen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Stödutgifter för Europeiska fonden för strategiska investeringar (Efsi)</w:t>
            </w:r>
          </w:p>
        </w:tc>
        <w:tc>
          <w:tcPr>
            <w:tcW w:w="1080" w:type="dxa"/>
            <w:vAlign w:val="center"/>
          </w:tcPr>
          <w:p>
            <w:pPr>
              <w:jc w:val="center"/>
              <w:rPr>
                <w:noProof/>
                <w:sz w:val="22"/>
              </w:rPr>
            </w:pPr>
            <w:r>
              <w:rPr>
                <w:noProof/>
                <w:sz w:val="22"/>
              </w:rPr>
              <w:t>Icke-diff.</w:t>
            </w:r>
          </w:p>
        </w:tc>
        <w:tc>
          <w:tcPr>
            <w:tcW w:w="956" w:type="dxa"/>
            <w:vAlign w:val="center"/>
          </w:tcPr>
          <w:p>
            <w:pPr>
              <w:jc w:val="center"/>
              <w:rPr>
                <w:noProof/>
                <w:sz w:val="22"/>
              </w:rPr>
            </w:pPr>
            <w:r>
              <w:rPr>
                <w:noProof/>
                <w:sz w:val="22"/>
              </w:rPr>
              <w:t>NEJ</w:t>
            </w:r>
          </w:p>
        </w:tc>
        <w:tc>
          <w:tcPr>
            <w:tcW w:w="1080" w:type="dxa"/>
            <w:vAlign w:val="center"/>
          </w:tcPr>
          <w:p>
            <w:pPr>
              <w:jc w:val="center"/>
              <w:rPr>
                <w:noProof/>
                <w:sz w:val="22"/>
              </w:rPr>
            </w:pPr>
            <w:r>
              <w:rPr>
                <w:noProof/>
                <w:sz w:val="22"/>
              </w:rPr>
              <w:t>NEJ</w:t>
            </w:r>
          </w:p>
        </w:tc>
        <w:tc>
          <w:tcPr>
            <w:tcW w:w="956" w:type="dxa"/>
            <w:vAlign w:val="center"/>
          </w:tcPr>
          <w:p>
            <w:pPr>
              <w:jc w:val="center"/>
              <w:rPr>
                <w:noProof/>
                <w:sz w:val="22"/>
              </w:rPr>
            </w:pPr>
            <w:r>
              <w:rPr>
                <w:noProof/>
                <w:sz w:val="22"/>
              </w:rPr>
              <w:t>NEJ</w:t>
            </w:r>
          </w:p>
        </w:tc>
        <w:tc>
          <w:tcPr>
            <w:tcW w:w="1448" w:type="dxa"/>
            <w:vAlign w:val="center"/>
          </w:tcPr>
          <w:p>
            <w:pPr>
              <w:jc w:val="center"/>
              <w:rPr>
                <w:noProof/>
                <w:sz w:val="22"/>
              </w:rPr>
            </w:pPr>
            <w:r>
              <w:rPr>
                <w:noProof/>
                <w:sz w:val="22"/>
              </w:rPr>
              <w:t>NEJ</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Garanti för Europeiska fonden för strategiska investeringar (Efsi)</w:t>
            </w:r>
          </w:p>
          <w:p>
            <w:pPr>
              <w:spacing w:before="60"/>
              <w:rPr>
                <w:noProof/>
              </w:rPr>
            </w:pPr>
            <w:r>
              <w:rPr>
                <w:noProof/>
              </w:rPr>
              <w:t>02.050202 Avsättningar för garantin för Europeiska fonden för strategiska investeringar (Efsi) – solvensstödtjänsten</w:t>
            </w:r>
          </w:p>
          <w:p>
            <w:pPr>
              <w:spacing w:before="60"/>
              <w:rPr>
                <w:noProof/>
                <w:sz w:val="22"/>
              </w:rPr>
            </w:pPr>
            <w:r>
              <w:rPr>
                <w:noProof/>
                <w:sz w:val="22"/>
              </w:rPr>
              <w:t xml:space="preserve">02.050302 </w:t>
            </w:r>
            <w:r>
              <w:rPr>
                <w:noProof/>
              </w:rPr>
              <w:t>Europeiska centrumet för investeringsrådgivning (EIAH) och portalen för investeringsprojekt på europeisk nivå (EIPP) – (Tekniskt stöd) – solvensstödtjänsten</w:t>
            </w:r>
          </w:p>
          <w:p>
            <w:pPr>
              <w:spacing w:after="60"/>
              <w:rPr>
                <w:noProof/>
                <w:sz w:val="22"/>
              </w:rPr>
            </w:pP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NEJ</w:t>
            </w:r>
          </w:p>
        </w:tc>
        <w:tc>
          <w:tcPr>
            <w:tcW w:w="1080" w:type="dxa"/>
            <w:vAlign w:val="center"/>
          </w:tcPr>
          <w:p>
            <w:pPr>
              <w:jc w:val="center"/>
              <w:rPr>
                <w:noProof/>
                <w:sz w:val="18"/>
              </w:rPr>
            </w:pPr>
            <w:r>
              <w:rPr>
                <w:noProof/>
                <w:sz w:val="22"/>
              </w:rPr>
              <w:t>NEJ</w:t>
            </w:r>
          </w:p>
        </w:tc>
        <w:tc>
          <w:tcPr>
            <w:tcW w:w="956" w:type="dxa"/>
            <w:vAlign w:val="center"/>
          </w:tcPr>
          <w:p>
            <w:pPr>
              <w:jc w:val="center"/>
              <w:rPr>
                <w:noProof/>
                <w:sz w:val="18"/>
              </w:rPr>
            </w:pPr>
            <w:r>
              <w:rPr>
                <w:noProof/>
                <w:sz w:val="22"/>
              </w:rPr>
              <w:t>NEJ</w:t>
            </w:r>
          </w:p>
        </w:tc>
        <w:tc>
          <w:tcPr>
            <w:tcW w:w="1448" w:type="dxa"/>
            <w:vAlign w:val="center"/>
          </w:tcPr>
          <w:p>
            <w:pPr>
              <w:jc w:val="center"/>
              <w:rPr>
                <w:noProof/>
                <w:sz w:val="22"/>
              </w:rPr>
            </w:pPr>
            <w:r>
              <w:rPr>
                <w:noProof/>
                <w:sz w:val="22"/>
              </w:rPr>
              <w:t>NEJ</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Beräknad inverkan på utgifterna </w:t>
      </w:r>
    </w:p>
    <w:p>
      <w:pPr>
        <w:pStyle w:val="ManualHeading3"/>
        <w:rPr>
          <w:noProof/>
          <w:u w:val="single"/>
        </w:rPr>
      </w:pPr>
      <w:r>
        <w:rPr>
          <w:noProof/>
        </w:rPr>
        <w:t>3.2.1.</w:t>
      </w:r>
      <w:r>
        <w:rPr>
          <w:noProof/>
        </w:rPr>
        <w:tab/>
        <w:t xml:space="preserve">Sammanfattning av den beräknade inverkan på utgifterna </w:t>
      </w:r>
    </w:p>
    <w:p>
      <w:pPr>
        <w:jc w:val="right"/>
        <w:rPr>
          <w:noProof/>
          <w:sz w:val="20"/>
        </w:rPr>
      </w:pPr>
      <w:r>
        <w:rPr>
          <w:noProof/>
          <w:sz w:val="20"/>
        </w:rPr>
        <w:t>Miljoner EUR (avrundat till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Rubrik i den fleråriga</w:t>
            </w:r>
            <w:r>
              <w:rPr>
                <w:noProof/>
              </w:rPr>
              <w:t xml:space="preserve"> </w:t>
            </w:r>
            <w:r>
              <w:rPr>
                <w:noProof/>
              </w:rPr>
              <w:br/>
            </w:r>
            <w:r>
              <w:rPr>
                <w:b/>
                <w:noProof/>
                <w:sz w:val="22"/>
              </w:rPr>
              <w:t xml:space="preserve">budgetramen </w:t>
            </w:r>
          </w:p>
        </w:tc>
        <w:tc>
          <w:tcPr>
            <w:tcW w:w="1080" w:type="dxa"/>
            <w:vAlign w:val="center"/>
          </w:tcPr>
          <w:p>
            <w:pPr>
              <w:spacing w:before="60" w:after="60"/>
              <w:jc w:val="center"/>
              <w:rPr>
                <w:noProof/>
                <w:sz w:val="22"/>
              </w:rPr>
            </w:pPr>
            <w:r>
              <w:rPr>
                <w:noProof/>
                <w:sz w:val="22"/>
              </w:rPr>
              <w:t>Nummer</w:t>
            </w:r>
          </w:p>
        </w:tc>
        <w:tc>
          <w:tcPr>
            <w:tcW w:w="7817" w:type="dxa"/>
            <w:vAlign w:val="center"/>
          </w:tcPr>
          <w:p>
            <w:pPr>
              <w:spacing w:before="60" w:after="60"/>
              <w:rPr>
                <w:noProof/>
                <w:sz w:val="22"/>
              </w:rPr>
            </w:pPr>
            <w:r>
              <w:rPr>
                <w:noProof/>
                <w:sz w:val="22"/>
              </w:rPr>
              <w:t>Rubrik 1a (FBR 2014–2020) sedan rubrik 1 (FBR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TOTALT</w:t>
            </w:r>
          </w:p>
        </w:tc>
      </w:tr>
      <w:tr>
        <w:trPr>
          <w:trHeight w:val="433"/>
          <w:jc w:val="center"/>
        </w:trPr>
        <w:tc>
          <w:tcPr>
            <w:tcW w:w="4103" w:type="dxa"/>
            <w:vMerge w:val="restart"/>
            <w:vAlign w:val="center"/>
          </w:tcPr>
          <w:p>
            <w:pPr>
              <w:rPr>
                <w:noProof/>
                <w:sz w:val="20"/>
              </w:rPr>
            </w:pPr>
            <w:r>
              <w:rPr>
                <w:noProof/>
                <w:sz w:val="20"/>
              </w:rPr>
              <w:t>01.010401 (2020) därefter 02.0104 Stödutgifter för Europeiska fonden för strategiska investeringar (Efsi)</w:t>
            </w:r>
          </w:p>
        </w:tc>
        <w:tc>
          <w:tcPr>
            <w:tcW w:w="1440" w:type="dxa"/>
            <w:vMerge w:val="restart"/>
            <w:vAlign w:val="center"/>
          </w:tcPr>
          <w:p>
            <w:pPr>
              <w:spacing w:before="20" w:after="20"/>
              <w:jc w:val="left"/>
              <w:rPr>
                <w:noProof/>
                <w:sz w:val="18"/>
              </w:rPr>
            </w:pPr>
            <w:r>
              <w:rPr>
                <w:noProof/>
                <w:sz w:val="18"/>
              </w:rPr>
              <w:t>Åtaganden =</w:t>
            </w:r>
          </w:p>
          <w:p>
            <w:pPr>
              <w:spacing w:before="20" w:after="20"/>
              <w:jc w:val="left"/>
              <w:rPr>
                <w:noProof/>
                <w:sz w:val="18"/>
              </w:rPr>
            </w:pPr>
            <w:r>
              <w:rPr>
                <w:noProof/>
                <w:sz w:val="18"/>
              </w:rPr>
              <w:t>Betalningar</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33"/>
          <w:jc w:val="center"/>
        </w:trPr>
        <w:tc>
          <w:tcPr>
            <w:tcW w:w="4103" w:type="dxa"/>
            <w:vMerge w:val="restart"/>
            <w:vAlign w:val="center"/>
          </w:tcPr>
          <w:p>
            <w:pPr>
              <w:spacing w:before="60"/>
              <w:rPr>
                <w:noProof/>
              </w:rPr>
            </w:pPr>
            <w:r>
              <w:rPr>
                <w:noProof/>
                <w:sz w:val="20"/>
              </w:rPr>
              <w:t>01.040101 Europeiska investeringsfonden – Tillhandahållande av de inbetalda andelarna av det tecknade kapitalet</w:t>
            </w:r>
          </w:p>
        </w:tc>
        <w:tc>
          <w:tcPr>
            <w:tcW w:w="1440" w:type="dxa"/>
            <w:vAlign w:val="center"/>
          </w:tcPr>
          <w:p>
            <w:pPr>
              <w:spacing w:before="20" w:after="20"/>
              <w:jc w:val="left"/>
              <w:rPr>
                <w:noProof/>
                <w:sz w:val="18"/>
              </w:rPr>
            </w:pPr>
            <w:r>
              <w:rPr>
                <w:noProof/>
                <w:sz w:val="18"/>
              </w:rPr>
              <w:t>Åtaganden</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Betalningar</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restart"/>
            <w:vAlign w:val="center"/>
          </w:tcPr>
          <w:p>
            <w:pPr>
              <w:rPr>
                <w:noProof/>
                <w:sz w:val="20"/>
              </w:rPr>
            </w:pPr>
            <w:r>
              <w:rPr>
                <w:noProof/>
                <w:sz w:val="20"/>
              </w:rPr>
              <w:t>01.0404 (2020) därefter 02.0501 Garanti för Europeiska fonden för strategiska investeringar (Efsi)</w:t>
            </w:r>
          </w:p>
        </w:tc>
        <w:tc>
          <w:tcPr>
            <w:tcW w:w="1440" w:type="dxa"/>
            <w:vAlign w:val="center"/>
          </w:tcPr>
          <w:p>
            <w:pPr>
              <w:spacing w:before="20" w:after="20"/>
              <w:jc w:val="left"/>
              <w:rPr>
                <w:noProof/>
                <w:sz w:val="18"/>
              </w:rPr>
            </w:pPr>
            <w:r>
              <w:rPr>
                <w:noProof/>
                <w:sz w:val="18"/>
              </w:rPr>
              <w:t>Åtaganden</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Betalningar</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därefter 02.050202 Avsättningar för garantin för Europeiska fonden för strategiska investeringar (Efsi) – solvensstödtjänsten</w:t>
            </w:r>
          </w:p>
        </w:tc>
        <w:tc>
          <w:tcPr>
            <w:tcW w:w="1440" w:type="dxa"/>
            <w:vAlign w:val="center"/>
          </w:tcPr>
          <w:p>
            <w:pPr>
              <w:spacing w:before="20" w:after="20"/>
              <w:jc w:val="left"/>
              <w:rPr>
                <w:noProof/>
                <w:sz w:val="18"/>
              </w:rPr>
            </w:pPr>
            <w:r>
              <w:rPr>
                <w:noProof/>
                <w:sz w:val="18"/>
              </w:rPr>
              <w:t>Åtaganden</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Betalningar</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33"/>
          <w:jc w:val="center"/>
        </w:trPr>
        <w:tc>
          <w:tcPr>
            <w:tcW w:w="4103" w:type="dxa"/>
            <w:vMerge w:val="restart"/>
            <w:vAlign w:val="center"/>
          </w:tcPr>
          <w:p>
            <w:pPr>
              <w:rPr>
                <w:noProof/>
                <w:sz w:val="20"/>
              </w:rPr>
            </w:pPr>
            <w:r>
              <w:rPr>
                <w:noProof/>
                <w:sz w:val="20"/>
              </w:rPr>
              <w:t>01.040602 (2020) därefter 02.050302 Europeiska centrumet för investeringsrådgivning (EIAH) och portalen för investeringsprojekt på europeisk nivå (EIPP) – (tekniskt stöd) – solvensstödtjänst</w:t>
            </w:r>
          </w:p>
        </w:tc>
        <w:tc>
          <w:tcPr>
            <w:tcW w:w="1440" w:type="dxa"/>
            <w:vAlign w:val="center"/>
          </w:tcPr>
          <w:p>
            <w:pPr>
              <w:spacing w:before="20" w:after="20"/>
              <w:jc w:val="left"/>
              <w:rPr>
                <w:noProof/>
                <w:sz w:val="18"/>
              </w:rPr>
            </w:pPr>
            <w:r>
              <w:rPr>
                <w:noProof/>
                <w:sz w:val="18"/>
              </w:rPr>
              <w:t>Åtaganden</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Betalningar</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jc w:val="center"/>
        </w:trPr>
        <w:tc>
          <w:tcPr>
            <w:tcW w:w="4103" w:type="dxa"/>
            <w:vMerge w:val="restart"/>
          </w:tcPr>
          <w:p>
            <w:pPr>
              <w:jc w:val="left"/>
              <w:rPr>
                <w:b/>
                <w:noProof/>
              </w:rPr>
            </w:pPr>
            <w:r>
              <w:rPr>
                <w:b/>
                <w:noProof/>
                <w:sz w:val="22"/>
              </w:rPr>
              <w:t>TOTALA anslag för ramanslagen för programmet</w:t>
            </w:r>
          </w:p>
        </w:tc>
        <w:tc>
          <w:tcPr>
            <w:tcW w:w="1440" w:type="dxa"/>
            <w:vAlign w:val="center"/>
          </w:tcPr>
          <w:p>
            <w:pPr>
              <w:jc w:val="left"/>
              <w:rPr>
                <w:noProof/>
                <w:sz w:val="18"/>
              </w:rPr>
            </w:pPr>
            <w:r>
              <w:rPr>
                <w:noProof/>
                <w:sz w:val="18"/>
              </w:rPr>
              <w:t>Åtaganden</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Betalningar</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3.000,000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bl>
    <w:p>
      <w:pPr>
        <w:rPr>
          <w:iCs/>
          <w:noProof/>
        </w:rPr>
      </w:pPr>
      <w:r>
        <w:rPr>
          <w:noProof/>
        </w:rPr>
        <w:t xml:space="preserve"> </w:t>
      </w:r>
      <w:r>
        <w:rPr>
          <w:noProof/>
        </w:rPr>
        <w:br/>
        <w:t xml:space="preserve"> </w:t>
      </w:r>
      <w:r>
        <w:rPr>
          <w:noProof/>
        </w:rPr>
        <w:br/>
        <w:t>Utöver finansieringsramen för EFSI-garantin enligt förordning (EU) 2015/1017 (EFSI-förordningen), kommer 28 318 160 miljoner euro (i löpande priser) att vara tillgängliga som externa inkomster avsatta för särskilda ändamål, i den mening som avses i artikel 21.5 i budgetförordningen, från Europeiska unionens återhämtningsinstrument. Av detta får upp till 6 520 miljoner EUR avsättas för administrativa utgifter, inbegripet externa personalkostnader.</w:t>
      </w:r>
    </w:p>
    <w:p>
      <w:pPr>
        <w:rPr>
          <w:iCs/>
          <w:noProof/>
        </w:rPr>
      </w:pPr>
    </w:p>
    <w:p>
      <w:pPr>
        <w:rPr>
          <w:noProof/>
        </w:rPr>
      </w:pPr>
      <w:r>
        <w:rPr>
          <w:noProof/>
        </w:rPr>
        <w:t xml:space="preserve">Ett särskilt belopp på 80 miljoner EUR kommer att behövas för att täcka kostnader för att etablera och förvalta de strukturer (aktiefonder, företag för särskilda ändamål, investeringsplattformar och andra) genom vilka stödet under solvensstödtjänsten ska tillhandahållas och för rådgivningstjänster och tekniskt stöd, inbegripet administrativt stöd, i anslutning till detta stöd. I enlighet med bestämmelserna i EURI-förordningen ska de rättsliga åtaganden som täcks av externa inkomster avsatta för särskilda ändamål som kommer från upplåning ingås senast den 31 december 2024. </w:t>
      </w:r>
    </w:p>
    <w:p>
      <w:pPr>
        <w:rPr>
          <w:noProof/>
        </w:rPr>
      </w:pPr>
      <w:r>
        <w:rPr>
          <w:noProof/>
        </w:rPr>
        <w:t>Den preliminära fördelningen av utgifterna från externa inkomster avsatta för särskilda ändamål är följande: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Efsi – solvensstödinstrumentet</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Efter 2027</w:t>
            </w:r>
          </w:p>
        </w:tc>
        <w:tc>
          <w:tcPr>
            <w:tcW w:w="1045" w:type="dxa"/>
            <w:vAlign w:val="center"/>
          </w:tcPr>
          <w:p>
            <w:pPr>
              <w:jc w:val="center"/>
              <w:rPr>
                <w:b/>
                <w:noProof/>
                <w:sz w:val="20"/>
              </w:rPr>
            </w:pPr>
            <w:r>
              <w:rPr>
                <w:b/>
                <w:noProof/>
                <w:sz w:val="20"/>
              </w:rPr>
              <w:t>TOTALT</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Driftskostnader från externa inkomster avsatta för särskilda ändamål under EURI</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Åtaganden</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Betalningar</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Utgifter för administrativt stöd från externa inkomster avsatta för särskilda ändamål från EURI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Åtaganden = Betalningar</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1 880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0 720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6 520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Externa inkomster avsatta för särskilda ändamål, totalt</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Åtaganden</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Betalningar</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Rubrik i den fleråriga</w:t>
            </w:r>
            <w:r>
              <w:rPr>
                <w:noProof/>
              </w:rPr>
              <w:t xml:space="preserve"> </w:t>
            </w:r>
            <w:r>
              <w:rPr>
                <w:noProof/>
              </w:rPr>
              <w:br/>
            </w:r>
            <w:r>
              <w:rPr>
                <w:b/>
                <w:noProof/>
                <w:sz w:val="22"/>
              </w:rPr>
              <w:t xml:space="preserve">budgetramen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”Administrativa utgifter”</w:t>
            </w:r>
          </w:p>
        </w:tc>
      </w:tr>
    </w:tbl>
    <w:p>
      <w:pPr>
        <w:jc w:val="right"/>
        <w:rPr>
          <w:noProof/>
          <w:sz w:val="20"/>
        </w:rPr>
      </w:pPr>
      <w:r>
        <w:rPr>
          <w:noProof/>
          <w:sz w:val="20"/>
        </w:rPr>
        <w:t>Miljoner EUR (avrundat till tre decimaler)</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År</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År</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År</w:t>
            </w:r>
            <w:r>
              <w:rPr>
                <w:noProof/>
              </w:rPr>
              <w:t xml:space="preserve"> </w:t>
            </w:r>
            <w:r>
              <w:rPr>
                <w:noProof/>
              </w:rPr>
              <w:br/>
            </w:r>
            <w:r>
              <w:rPr>
                <w:b/>
                <w:noProof/>
                <w:sz w:val="20"/>
              </w:rPr>
              <w:t>2022</w:t>
            </w:r>
          </w:p>
        </w:tc>
        <w:tc>
          <w:tcPr>
            <w:tcW w:w="868" w:type="dxa"/>
          </w:tcPr>
          <w:p>
            <w:pPr>
              <w:jc w:val="center"/>
              <w:rPr>
                <w:noProof/>
                <w:sz w:val="20"/>
              </w:rPr>
            </w:pPr>
            <w:r>
              <w:rPr>
                <w:noProof/>
                <w:sz w:val="20"/>
              </w:rPr>
              <w:t>År 2023</w:t>
            </w:r>
          </w:p>
        </w:tc>
        <w:tc>
          <w:tcPr>
            <w:tcW w:w="868" w:type="dxa"/>
            <w:vAlign w:val="center"/>
          </w:tcPr>
          <w:p>
            <w:pPr>
              <w:jc w:val="center"/>
              <w:rPr>
                <w:noProof/>
                <w:sz w:val="20"/>
              </w:rPr>
            </w:pPr>
            <w:r>
              <w:rPr>
                <w:noProof/>
                <w:sz w:val="20"/>
              </w:rPr>
              <w:t>År</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År 2025</w:t>
            </w:r>
          </w:p>
        </w:tc>
        <w:tc>
          <w:tcPr>
            <w:tcW w:w="868" w:type="dxa"/>
            <w:vAlign w:val="center"/>
          </w:tcPr>
          <w:p>
            <w:pPr>
              <w:jc w:val="center"/>
              <w:rPr>
                <w:b/>
                <w:noProof/>
                <w:sz w:val="18"/>
              </w:rPr>
            </w:pPr>
            <w:r>
              <w:rPr>
                <w:noProof/>
                <w:sz w:val="18"/>
              </w:rPr>
              <w:t>År 2026</w:t>
            </w:r>
          </w:p>
        </w:tc>
        <w:tc>
          <w:tcPr>
            <w:tcW w:w="868" w:type="dxa"/>
            <w:vAlign w:val="center"/>
          </w:tcPr>
          <w:p>
            <w:pPr>
              <w:jc w:val="center"/>
              <w:rPr>
                <w:b/>
                <w:noProof/>
                <w:sz w:val="18"/>
              </w:rPr>
            </w:pPr>
            <w:r>
              <w:rPr>
                <w:noProof/>
                <w:sz w:val="18"/>
              </w:rPr>
              <w:t>År 2027</w:t>
            </w:r>
          </w:p>
        </w:tc>
        <w:tc>
          <w:tcPr>
            <w:tcW w:w="1777" w:type="dxa"/>
            <w:vAlign w:val="center"/>
          </w:tcPr>
          <w:p>
            <w:pPr>
              <w:jc w:val="center"/>
              <w:rPr>
                <w:b/>
                <w:noProof/>
                <w:sz w:val="20"/>
              </w:rPr>
            </w:pPr>
            <w:r>
              <w:rPr>
                <w:b/>
                <w:noProof/>
                <w:sz w:val="20"/>
              </w:rPr>
              <w:t>TOTALT</w:t>
            </w:r>
          </w:p>
        </w:tc>
      </w:tr>
      <w:tr>
        <w:trPr>
          <w:gridAfter w:val="11"/>
          <w:wAfter w:w="9947" w:type="dxa"/>
        </w:trPr>
        <w:tc>
          <w:tcPr>
            <w:tcW w:w="3960" w:type="dxa"/>
            <w:vAlign w:val="center"/>
          </w:tcPr>
          <w:p>
            <w:pPr>
              <w:spacing w:before="60" w:after="60"/>
              <w:jc w:val="center"/>
              <w:rPr>
                <w:noProof/>
                <w:sz w:val="22"/>
              </w:rPr>
            </w:pPr>
            <w:r>
              <w:rPr>
                <w:noProof/>
                <w:sz w:val="22"/>
              </w:rPr>
              <w:t>GD: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Personalresurser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Övriga administrativa utgifter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GD ECFIN, TOTALT</w:t>
            </w:r>
          </w:p>
        </w:tc>
        <w:tc>
          <w:tcPr>
            <w:tcW w:w="2094" w:type="dxa"/>
            <w:gridSpan w:val="3"/>
            <w:vAlign w:val="center"/>
          </w:tcPr>
          <w:p>
            <w:pPr>
              <w:rPr>
                <w:noProof/>
                <w:sz w:val="14"/>
              </w:rPr>
            </w:pPr>
            <w:r>
              <w:rPr>
                <w:noProof/>
                <w:sz w:val="18"/>
              </w:rPr>
              <w:t xml:space="preserve">Anslag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TOTALA anslag</w:t>
            </w:r>
            <w:r>
              <w:rPr>
                <w:noProof/>
              </w:rPr>
              <w:t xml:space="preserve"> </w:t>
            </w:r>
            <w:r>
              <w:rPr>
                <w:noProof/>
              </w:rPr>
              <w:br/>
            </w:r>
            <w:r>
              <w:rPr>
                <w:b/>
                <w:noProof/>
                <w:sz w:val="22"/>
              </w:rPr>
              <w:t xml:space="preserve">under RUBRIK 5 (2020) / </w:t>
            </w:r>
          </w:p>
          <w:p>
            <w:pPr>
              <w:spacing w:before="0"/>
              <w:jc w:val="center"/>
              <w:rPr>
                <w:b/>
                <w:noProof/>
                <w:sz w:val="22"/>
              </w:rPr>
            </w:pPr>
            <w:r>
              <w:rPr>
                <w:b/>
                <w:noProof/>
                <w:sz w:val="22"/>
              </w:rPr>
              <w:t>RUBRIK 7 (2021–2027)</w:t>
            </w:r>
            <w:r>
              <w:rPr>
                <w:noProof/>
              </w:rPr>
              <w:t xml:space="preserve"> </w:t>
            </w:r>
            <w:r>
              <w:rPr>
                <w:noProof/>
              </w:rPr>
              <w:br/>
            </w:r>
            <w:r>
              <w:rPr>
                <w:noProof/>
                <w:sz w:val="22"/>
              </w:rPr>
              <w:t>i den fleråriga budgetramen</w:t>
            </w:r>
            <w:r>
              <w:rPr>
                <w:b/>
                <w:noProof/>
                <w:sz w:val="22"/>
              </w:rPr>
              <w:t xml:space="preserve"> </w:t>
            </w:r>
          </w:p>
        </w:tc>
        <w:tc>
          <w:tcPr>
            <w:tcW w:w="2094" w:type="dxa"/>
            <w:vAlign w:val="center"/>
          </w:tcPr>
          <w:p>
            <w:pPr>
              <w:spacing w:before="40" w:after="40"/>
              <w:rPr>
                <w:noProof/>
                <w:sz w:val="22"/>
              </w:rPr>
            </w:pPr>
            <w:r>
              <w:rPr>
                <w:noProof/>
                <w:sz w:val="18"/>
              </w:rPr>
              <w:t>(summa åtaganden = summa betalningar)</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TOTALA anslag </w:t>
            </w:r>
            <w:r>
              <w:rPr>
                <w:noProof/>
              </w:rPr>
              <w:t xml:space="preserve"> </w:t>
            </w:r>
            <w:r>
              <w:rPr>
                <w:noProof/>
              </w:rPr>
              <w:br/>
            </w:r>
            <w:r>
              <w:rPr>
                <w:b/>
                <w:noProof/>
                <w:sz w:val="22"/>
              </w:rPr>
              <w:t xml:space="preserve">över alla RUBRIKER </w:t>
            </w:r>
            <w:r>
              <w:rPr>
                <w:noProof/>
              </w:rPr>
              <w:t xml:space="preserve"> </w:t>
            </w:r>
            <w:r>
              <w:rPr>
                <w:noProof/>
              </w:rPr>
              <w:br/>
            </w:r>
            <w:r>
              <w:rPr>
                <w:noProof/>
                <w:sz w:val="22"/>
              </w:rPr>
              <w:t>i den fleråriga budgetramen</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Efter 2027</w:t>
            </w:r>
          </w:p>
        </w:tc>
        <w:tc>
          <w:tcPr>
            <w:tcW w:w="1779" w:type="dxa"/>
            <w:vAlign w:val="center"/>
          </w:tcPr>
          <w:p>
            <w:pPr>
              <w:spacing w:before="20" w:after="20"/>
              <w:ind w:left="-111"/>
              <w:jc w:val="center"/>
              <w:rPr>
                <w:noProof/>
                <w:sz w:val="20"/>
              </w:rPr>
            </w:pPr>
            <w:r>
              <w:rPr>
                <w:noProof/>
                <w:sz w:val="20"/>
              </w:rPr>
              <w:t>Totalt</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Åtaganden</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Betalningar</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Beräknad inverkan på anslag av administrativ natur</w:t>
      </w:r>
    </w:p>
    <w:p>
      <w:pPr>
        <w:pStyle w:val="ManualHeading4"/>
        <w:rPr>
          <w:noProof/>
        </w:rPr>
      </w:pPr>
      <w:r>
        <w:rPr>
          <w:noProof/>
        </w:rPr>
        <w:t>3.2.2.1.</w:t>
      </w:r>
      <w:r>
        <w:rPr>
          <w:noProof/>
        </w:rPr>
        <w:tab/>
        <w:t xml:space="preserve">Sammanfattning </w:t>
      </w:r>
    </w:p>
    <w:p>
      <w:pPr>
        <w:pStyle w:val="ListDash1"/>
        <w:rPr>
          <w:noProof/>
        </w:rPr>
      </w:pPr>
      <w:r>
        <w:rPr>
          <w:noProof/>
        </w:rPr>
        <w:sym w:font="Wingdings" w:char="F0A8"/>
      </w:r>
      <w:r>
        <w:rPr>
          <w:noProof/>
        </w:rPr>
        <w:tab/>
        <w:t xml:space="preserve">Förslaget/initiativet kräver inte att anslag av administrativ natur tas i anspråk </w:t>
      </w:r>
    </w:p>
    <w:p>
      <w:pPr>
        <w:pStyle w:val="ListDash1"/>
        <w:rPr>
          <w:noProof/>
        </w:rPr>
      </w:pPr>
      <w:r>
        <w:rPr>
          <w:noProof/>
        </w:rPr>
        <w:t>X</w:t>
      </w:r>
      <w:r>
        <w:rPr>
          <w:noProof/>
        </w:rPr>
        <w:tab/>
        <w:t>Förslaget/initiativet kräver att anslag av administrativ natur tas i anspråk enligt följande:</w:t>
      </w:r>
    </w:p>
    <w:p>
      <w:pPr>
        <w:rPr>
          <w:noProof/>
          <w:sz w:val="20"/>
        </w:rPr>
      </w:pPr>
      <w:r>
        <w:rPr>
          <w:noProof/>
          <w:sz w:val="20"/>
        </w:rPr>
        <w:t>Miljoner EUR (avrundat till tre decimaler)</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År</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År</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År</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År</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År</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År</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År</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År</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TOTALT</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5/7</w:t>
            </w:r>
            <w:r>
              <w:rPr>
                <w:noProof/>
              </w:rPr>
              <w:t xml:space="preserve"> </w:t>
            </w:r>
            <w:r>
              <w:rPr>
                <w:noProof/>
              </w:rPr>
              <w:br/>
            </w:r>
            <w:r>
              <w:rPr>
                <w:b/>
                <w:noProof/>
                <w:sz w:val="16"/>
              </w:rPr>
              <w:t>i den fleråriga budgetramen</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Personalresurser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Övriga administrativa utgifter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Delsumma RUBRIK 5 (7)</w:t>
            </w:r>
            <w:r>
              <w:rPr>
                <w:noProof/>
              </w:rPr>
              <w:t xml:space="preserve"> </w:t>
            </w:r>
            <w:r>
              <w:rPr>
                <w:noProof/>
              </w:rPr>
              <w:br/>
            </w:r>
            <w:r>
              <w:rPr>
                <w:b/>
                <w:noProof/>
                <w:sz w:val="16"/>
              </w:rPr>
              <w:t xml:space="preserve">i den fleråriga budgetramen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Utanför RUBRIK 5/7</w:t>
            </w:r>
            <w:r>
              <w:rPr>
                <w:rStyle w:val="FootnoteReference"/>
                <w:b/>
                <w:noProof/>
                <w:sz w:val="16"/>
              </w:rPr>
              <w:footnoteReference w:id="20"/>
            </w:r>
            <w:r>
              <w:rPr>
                <w:noProof/>
              </w:rPr>
              <w:t xml:space="preserve"> </w:t>
            </w:r>
            <w:r>
              <w:rPr>
                <w:noProof/>
              </w:rPr>
              <w:br/>
            </w:r>
            <w:r>
              <w:rPr>
                <w:b/>
                <w:noProof/>
                <w:sz w:val="16"/>
              </w:rPr>
              <w:t>i den fleråriga budgetramen</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Personalresurser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0 880</w:t>
            </w:r>
          </w:p>
        </w:tc>
        <w:tc>
          <w:tcPr>
            <w:tcW w:w="992" w:type="dxa"/>
            <w:vAlign w:val="center"/>
          </w:tcPr>
          <w:p>
            <w:pPr>
              <w:spacing w:before="60" w:after="60" w:line="200" w:lineRule="exact"/>
              <w:jc w:val="right"/>
              <w:rPr>
                <w:noProof/>
                <w:sz w:val="16"/>
                <w:szCs w:val="16"/>
              </w:rPr>
            </w:pPr>
            <w:r>
              <w:rPr>
                <w:noProof/>
                <w:sz w:val="16"/>
                <w:szCs w:val="16"/>
              </w:rPr>
              <w:t>0 880</w:t>
            </w:r>
          </w:p>
        </w:tc>
        <w:tc>
          <w:tcPr>
            <w:tcW w:w="851" w:type="dxa"/>
            <w:vAlign w:val="center"/>
          </w:tcPr>
          <w:p>
            <w:pPr>
              <w:spacing w:before="60" w:after="60" w:line="200" w:lineRule="exact"/>
              <w:jc w:val="right"/>
              <w:rPr>
                <w:noProof/>
                <w:sz w:val="16"/>
                <w:szCs w:val="16"/>
              </w:rPr>
            </w:pPr>
            <w:r>
              <w:rPr>
                <w:noProof/>
                <w:sz w:val="16"/>
                <w:szCs w:val="16"/>
              </w:rPr>
              <w:t>0 880</w:t>
            </w:r>
          </w:p>
        </w:tc>
        <w:tc>
          <w:tcPr>
            <w:tcW w:w="850" w:type="dxa"/>
            <w:vAlign w:val="center"/>
          </w:tcPr>
          <w:p>
            <w:pPr>
              <w:spacing w:before="60" w:after="60" w:line="200" w:lineRule="exact"/>
              <w:jc w:val="right"/>
              <w:rPr>
                <w:noProof/>
                <w:sz w:val="16"/>
                <w:szCs w:val="16"/>
              </w:rPr>
            </w:pPr>
            <w:r>
              <w:rPr>
                <w:noProof/>
                <w:sz w:val="16"/>
                <w:szCs w:val="16"/>
              </w:rPr>
              <w:t>0 720</w:t>
            </w:r>
          </w:p>
        </w:tc>
        <w:tc>
          <w:tcPr>
            <w:tcW w:w="851" w:type="dxa"/>
            <w:vAlign w:val="center"/>
          </w:tcPr>
          <w:p>
            <w:pPr>
              <w:spacing w:before="60" w:after="60" w:line="200" w:lineRule="exact"/>
              <w:jc w:val="right"/>
              <w:rPr>
                <w:noProof/>
                <w:sz w:val="16"/>
                <w:szCs w:val="16"/>
              </w:rPr>
            </w:pPr>
            <w:r>
              <w:rPr>
                <w:noProof/>
                <w:sz w:val="16"/>
                <w:szCs w:val="16"/>
              </w:rPr>
              <w:t>0 720</w:t>
            </w:r>
          </w:p>
        </w:tc>
        <w:tc>
          <w:tcPr>
            <w:tcW w:w="850" w:type="dxa"/>
            <w:vAlign w:val="center"/>
          </w:tcPr>
          <w:p>
            <w:pPr>
              <w:spacing w:before="60" w:after="60" w:line="200" w:lineRule="exact"/>
              <w:jc w:val="right"/>
              <w:rPr>
                <w:noProof/>
                <w:sz w:val="16"/>
                <w:szCs w:val="16"/>
              </w:rPr>
            </w:pPr>
            <w:r>
              <w:rPr>
                <w:noProof/>
                <w:sz w:val="16"/>
                <w:szCs w:val="16"/>
              </w:rPr>
              <w:t>0 720</w:t>
            </w:r>
          </w:p>
        </w:tc>
        <w:tc>
          <w:tcPr>
            <w:tcW w:w="851" w:type="dxa"/>
            <w:vAlign w:val="center"/>
          </w:tcPr>
          <w:p>
            <w:pPr>
              <w:spacing w:before="60" w:after="60" w:line="200" w:lineRule="exact"/>
              <w:jc w:val="right"/>
              <w:rPr>
                <w:noProof/>
                <w:sz w:val="16"/>
                <w:szCs w:val="16"/>
              </w:rPr>
            </w:pPr>
            <w:r>
              <w:rPr>
                <w:noProof/>
                <w:sz w:val="16"/>
                <w:szCs w:val="16"/>
              </w:rPr>
              <w:t>0 720</w:t>
            </w:r>
          </w:p>
        </w:tc>
        <w:tc>
          <w:tcPr>
            <w:tcW w:w="1417" w:type="dxa"/>
            <w:vAlign w:val="center"/>
          </w:tcPr>
          <w:p>
            <w:pPr>
              <w:spacing w:before="60" w:after="60" w:line="200" w:lineRule="exact"/>
              <w:jc w:val="center"/>
              <w:rPr>
                <w:b/>
                <w:noProof/>
                <w:sz w:val="16"/>
                <w:szCs w:val="16"/>
              </w:rPr>
            </w:pPr>
            <w:r>
              <w:rPr>
                <w:b/>
                <w:noProof/>
                <w:sz w:val="16"/>
                <w:szCs w:val="16"/>
              </w:rPr>
              <w:t>5 520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Övriga utgifter </w:t>
            </w:r>
            <w:r>
              <w:rPr>
                <w:noProof/>
              </w:rPr>
              <w:t xml:space="preserve"> </w:t>
            </w:r>
            <w:r>
              <w:rPr>
                <w:noProof/>
              </w:rPr>
              <w:br/>
            </w:r>
            <w:r>
              <w:rPr>
                <w:noProof/>
                <w:sz w:val="16"/>
              </w:rPr>
              <w:t>av administrativ natur</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Delsumma </w:t>
            </w:r>
            <w:r>
              <w:rPr>
                <w:noProof/>
              </w:rPr>
              <w:t xml:space="preserve"> </w:t>
            </w:r>
            <w:r>
              <w:rPr>
                <w:noProof/>
              </w:rPr>
              <w:br/>
            </w:r>
            <w:r>
              <w:rPr>
                <w:b/>
                <w:noProof/>
                <w:sz w:val="16"/>
              </w:rPr>
              <w:t>utanför RUBRIK 7</w:t>
            </w:r>
            <w:r>
              <w:rPr>
                <w:noProof/>
              </w:rPr>
              <w:t xml:space="preserve"> </w:t>
            </w:r>
            <w:r>
              <w:rPr>
                <w:noProof/>
              </w:rPr>
              <w:br/>
            </w:r>
            <w:r>
              <w:rPr>
                <w:b/>
                <w:noProof/>
                <w:sz w:val="16"/>
              </w:rPr>
              <w:t xml:space="preserve">i den fleråriga budgetramen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TOTALT</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1 880</w:t>
            </w:r>
          </w:p>
        </w:tc>
        <w:tc>
          <w:tcPr>
            <w:tcW w:w="992" w:type="dxa"/>
            <w:vAlign w:val="center"/>
          </w:tcPr>
          <w:p>
            <w:pPr>
              <w:spacing w:before="60" w:after="60" w:line="200" w:lineRule="exact"/>
              <w:jc w:val="center"/>
              <w:rPr>
                <w:b/>
                <w:noProof/>
                <w:sz w:val="16"/>
                <w:szCs w:val="16"/>
              </w:rPr>
            </w:pPr>
            <w:r>
              <w:rPr>
                <w:noProof/>
                <w:sz w:val="16"/>
                <w:szCs w:val="16"/>
              </w:rPr>
              <w:t>0 880</w:t>
            </w:r>
          </w:p>
        </w:tc>
        <w:tc>
          <w:tcPr>
            <w:tcW w:w="851" w:type="dxa"/>
            <w:vAlign w:val="center"/>
          </w:tcPr>
          <w:p>
            <w:pPr>
              <w:spacing w:before="60" w:after="60" w:line="200" w:lineRule="exact"/>
              <w:jc w:val="center"/>
              <w:rPr>
                <w:b/>
                <w:noProof/>
                <w:sz w:val="16"/>
                <w:szCs w:val="16"/>
              </w:rPr>
            </w:pPr>
            <w:r>
              <w:rPr>
                <w:noProof/>
                <w:sz w:val="16"/>
                <w:szCs w:val="16"/>
              </w:rPr>
              <w:t>0 880</w:t>
            </w:r>
          </w:p>
        </w:tc>
        <w:tc>
          <w:tcPr>
            <w:tcW w:w="850" w:type="dxa"/>
            <w:vAlign w:val="center"/>
          </w:tcPr>
          <w:p>
            <w:pPr>
              <w:spacing w:before="60" w:after="60" w:line="200" w:lineRule="exact"/>
              <w:jc w:val="center"/>
              <w:rPr>
                <w:b/>
                <w:noProof/>
                <w:sz w:val="16"/>
                <w:szCs w:val="16"/>
              </w:rPr>
            </w:pPr>
            <w:r>
              <w:rPr>
                <w:noProof/>
                <w:sz w:val="16"/>
                <w:szCs w:val="16"/>
              </w:rPr>
              <w:t>0 720</w:t>
            </w:r>
          </w:p>
        </w:tc>
        <w:tc>
          <w:tcPr>
            <w:tcW w:w="851" w:type="dxa"/>
            <w:vAlign w:val="center"/>
          </w:tcPr>
          <w:p>
            <w:pPr>
              <w:spacing w:before="60" w:after="60" w:line="200" w:lineRule="exact"/>
              <w:jc w:val="center"/>
              <w:rPr>
                <w:b/>
                <w:noProof/>
                <w:sz w:val="16"/>
                <w:szCs w:val="16"/>
              </w:rPr>
            </w:pPr>
            <w:r>
              <w:rPr>
                <w:noProof/>
                <w:sz w:val="16"/>
                <w:szCs w:val="16"/>
              </w:rPr>
              <w:t>0 720</w:t>
            </w:r>
          </w:p>
        </w:tc>
        <w:tc>
          <w:tcPr>
            <w:tcW w:w="850" w:type="dxa"/>
            <w:vAlign w:val="center"/>
          </w:tcPr>
          <w:p>
            <w:pPr>
              <w:spacing w:before="60" w:after="60" w:line="200" w:lineRule="exact"/>
              <w:jc w:val="center"/>
              <w:rPr>
                <w:b/>
                <w:noProof/>
                <w:sz w:val="16"/>
                <w:szCs w:val="16"/>
              </w:rPr>
            </w:pPr>
            <w:r>
              <w:rPr>
                <w:noProof/>
                <w:sz w:val="16"/>
                <w:szCs w:val="16"/>
              </w:rPr>
              <w:t>0 720</w:t>
            </w:r>
          </w:p>
        </w:tc>
        <w:tc>
          <w:tcPr>
            <w:tcW w:w="851" w:type="dxa"/>
            <w:vAlign w:val="center"/>
          </w:tcPr>
          <w:p>
            <w:pPr>
              <w:spacing w:before="60" w:after="60" w:line="200" w:lineRule="exact"/>
              <w:jc w:val="center"/>
              <w:rPr>
                <w:b/>
                <w:noProof/>
                <w:sz w:val="16"/>
                <w:szCs w:val="16"/>
              </w:rPr>
            </w:pPr>
            <w:r>
              <w:rPr>
                <w:noProof/>
                <w:sz w:val="16"/>
                <w:szCs w:val="16"/>
              </w:rPr>
              <w:t>0 720</w:t>
            </w:r>
          </w:p>
        </w:tc>
        <w:tc>
          <w:tcPr>
            <w:tcW w:w="1417" w:type="dxa"/>
            <w:vAlign w:val="center"/>
          </w:tcPr>
          <w:p>
            <w:pPr>
              <w:spacing w:before="60" w:after="60" w:line="200" w:lineRule="exact"/>
              <w:jc w:val="center"/>
              <w:rPr>
                <w:b/>
                <w:noProof/>
                <w:sz w:val="16"/>
                <w:szCs w:val="16"/>
              </w:rPr>
            </w:pPr>
            <w:r>
              <w:rPr>
                <w:b/>
                <w:noProof/>
                <w:sz w:val="16"/>
                <w:szCs w:val="16"/>
              </w:rPr>
              <w:t>8 520</w:t>
            </w:r>
          </w:p>
        </w:tc>
      </w:tr>
    </w:tbl>
    <w:p>
      <w:pPr>
        <w:rPr>
          <w:noProof/>
          <w:sz w:val="18"/>
        </w:rPr>
      </w:pPr>
      <w:r>
        <w:rPr>
          <w:noProof/>
          <w:sz w:val="18"/>
        </w:rPr>
        <w:t>Personalbehov och andra administrativa kostnader ska täckas genom anslag inom generaldirektoratet vilka redan har avdelats för förvaltningen av åtgärden i fråga, eller genom en omfördelning av anslag inom generaldirektoratet, om så krävs kompletterad med ytterligare resurser som kan tilldelas det förvaltande generaldirektoratet som ett led i det årliga förfarandet för tilldelning av anslag och med hänsyn tagen till begränsningar i fråga om budgetmedel. Ytterligare extern personal kommer uteslutande att finansieras genom inkomster avsatta för särskilda ändamål.</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Beräknat personalbehov</w:t>
      </w:r>
    </w:p>
    <w:p>
      <w:pPr>
        <w:pStyle w:val="ListDash1"/>
        <w:rPr>
          <w:noProof/>
        </w:rPr>
      </w:pPr>
      <w:r>
        <w:rPr>
          <w:noProof/>
        </w:rPr>
        <w:sym w:font="Wingdings" w:char="F0A8"/>
      </w:r>
      <w:r>
        <w:rPr>
          <w:noProof/>
        </w:rPr>
        <w:tab/>
        <w:t xml:space="preserve">Förslaget/initiativet kräver inte att personalresurser tas i anspråk. </w:t>
      </w:r>
    </w:p>
    <w:p>
      <w:pPr>
        <w:pStyle w:val="ListDash1"/>
        <w:rPr>
          <w:noProof/>
        </w:rPr>
      </w:pPr>
      <w:r>
        <w:rPr>
          <w:noProof/>
        </w:rPr>
        <w:t>X</w:t>
      </w:r>
      <w:r>
        <w:rPr>
          <w:noProof/>
        </w:rPr>
        <w:tab/>
        <w:t>Förslaget/initiativet kräver att personalresurser tas i anspråk enligt följande:</w:t>
      </w:r>
    </w:p>
    <w:p>
      <w:pPr>
        <w:spacing w:after="60"/>
        <w:jc w:val="right"/>
        <w:rPr>
          <w:i/>
          <w:noProof/>
          <w:sz w:val="20"/>
        </w:rPr>
      </w:pPr>
      <w:r>
        <w:rPr>
          <w:i/>
          <w:noProof/>
          <w:sz w:val="20"/>
        </w:rPr>
        <w:t>Beräkningarna ska anges i heltidsekvivalenter</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År</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År</w:t>
            </w:r>
            <w:r>
              <w:rPr>
                <w:noProof/>
              </w:rPr>
              <w:t xml:space="preserve"> </w:t>
            </w:r>
            <w:r>
              <w:rPr>
                <w:noProof/>
              </w:rPr>
              <w:br/>
            </w:r>
            <w:r>
              <w:rPr>
                <w:noProof/>
                <w:sz w:val="16"/>
                <w:szCs w:val="16"/>
              </w:rPr>
              <w:t>2021</w:t>
            </w:r>
          </w:p>
        </w:tc>
        <w:tc>
          <w:tcPr>
            <w:tcW w:w="334" w:type="pct"/>
            <w:shd w:val="clear" w:color="auto" w:fill="auto"/>
            <w:vAlign w:val="center"/>
          </w:tcPr>
          <w:p>
            <w:pPr>
              <w:spacing w:before="20" w:after="20"/>
              <w:jc w:val="center"/>
              <w:rPr>
                <w:noProof/>
                <w:sz w:val="16"/>
                <w:szCs w:val="16"/>
              </w:rPr>
            </w:pPr>
            <w:r>
              <w:rPr>
                <w:noProof/>
                <w:sz w:val="16"/>
                <w:szCs w:val="16"/>
              </w:rPr>
              <w:t>År 2022</w:t>
            </w:r>
          </w:p>
        </w:tc>
        <w:tc>
          <w:tcPr>
            <w:tcW w:w="322" w:type="pct"/>
          </w:tcPr>
          <w:p>
            <w:pPr>
              <w:spacing w:before="20" w:after="20"/>
              <w:jc w:val="center"/>
              <w:rPr>
                <w:noProof/>
                <w:sz w:val="16"/>
                <w:szCs w:val="16"/>
              </w:rPr>
            </w:pPr>
            <w:r>
              <w:rPr>
                <w:noProof/>
                <w:sz w:val="16"/>
                <w:szCs w:val="16"/>
              </w:rPr>
              <w:t>År 2023</w:t>
            </w:r>
          </w:p>
        </w:tc>
        <w:tc>
          <w:tcPr>
            <w:tcW w:w="322" w:type="pct"/>
            <w:gridSpan w:val="2"/>
            <w:shd w:val="clear" w:color="auto" w:fill="auto"/>
            <w:vAlign w:val="center"/>
          </w:tcPr>
          <w:p>
            <w:pPr>
              <w:spacing w:before="20" w:after="20"/>
              <w:jc w:val="center"/>
              <w:rPr>
                <w:noProof/>
                <w:sz w:val="16"/>
                <w:szCs w:val="16"/>
              </w:rPr>
            </w:pPr>
            <w:r>
              <w:rPr>
                <w:noProof/>
                <w:sz w:val="16"/>
                <w:szCs w:val="16"/>
              </w:rPr>
              <w:t>År 2024</w:t>
            </w:r>
          </w:p>
        </w:tc>
        <w:tc>
          <w:tcPr>
            <w:tcW w:w="309" w:type="pct"/>
            <w:shd w:val="clear" w:color="auto" w:fill="auto"/>
            <w:vAlign w:val="center"/>
          </w:tcPr>
          <w:p>
            <w:pPr>
              <w:jc w:val="center"/>
              <w:rPr>
                <w:b/>
                <w:noProof/>
                <w:sz w:val="16"/>
                <w:szCs w:val="16"/>
              </w:rPr>
            </w:pPr>
            <w:r>
              <w:rPr>
                <w:noProof/>
                <w:sz w:val="16"/>
                <w:szCs w:val="16"/>
              </w:rPr>
              <w:t>År 2025</w:t>
            </w:r>
          </w:p>
        </w:tc>
        <w:tc>
          <w:tcPr>
            <w:tcW w:w="333" w:type="pct"/>
            <w:shd w:val="clear" w:color="auto" w:fill="auto"/>
            <w:vAlign w:val="center"/>
          </w:tcPr>
          <w:p>
            <w:pPr>
              <w:jc w:val="center"/>
              <w:rPr>
                <w:b/>
                <w:noProof/>
                <w:sz w:val="16"/>
                <w:szCs w:val="16"/>
              </w:rPr>
            </w:pPr>
            <w:r>
              <w:rPr>
                <w:noProof/>
                <w:sz w:val="16"/>
                <w:szCs w:val="16"/>
              </w:rPr>
              <w:t>År 2026</w:t>
            </w:r>
          </w:p>
        </w:tc>
        <w:tc>
          <w:tcPr>
            <w:tcW w:w="280" w:type="pct"/>
          </w:tcPr>
          <w:p>
            <w:pPr>
              <w:jc w:val="center"/>
              <w:rPr>
                <w:b/>
                <w:noProof/>
                <w:sz w:val="16"/>
                <w:szCs w:val="16"/>
              </w:rPr>
            </w:pPr>
            <w:r>
              <w:rPr>
                <w:noProof/>
                <w:sz w:val="16"/>
                <w:szCs w:val="16"/>
              </w:rPr>
              <w:t>År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Tjänster som tas upp i tjänsteförteckningen (tjänstemän och tillfälligt anställda)</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(vid huvudkontoret eller vid kommissionens kontor i medlemsstaterna)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(vid delegationer)</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(indirekta forskningsåtgärder)</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(direkta forskningsåtgärder)</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Extern personal (i heltidsekvivalenter)</w:t>
            </w:r>
            <w:r>
              <w:rPr>
                <w:rStyle w:val="FootnoteReference"/>
                <w:b/>
                <w:noProof/>
                <w:sz w:val="16"/>
              </w:rPr>
              <w:footnoteReference w:id="21"/>
            </w:r>
            <w:r>
              <w:rPr>
                <w:b/>
                <w:noProof/>
                <w:sz w:val="16"/>
              </w:rPr>
              <w:t>:</w:t>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(kontraktsanställda, nationella experter och vikarier finansierade genom ramanslaget)</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(kontraktsanställda, lokalanställda, nationella experter, vikarier och unga experter som tjänstgör vid delegationerna)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åå</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vid huvudkontoret</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vid delegationer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(kontraktsanställda, nationella experter och vikarier som arbetar med indirekta forskningsåtgärder)</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(kontraktsanställda, vikarier och nationella experter som arbetar med direkta forskningsåtgärder)</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Övriga budgetposter (inkomster avsatta för särskilda ändamål)</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TOTALT</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GD ECFIN, COMP och BUDG</w:t>
      </w:r>
      <w:r>
        <w:rPr>
          <w:noProof/>
          <w:sz w:val="18"/>
          <w:szCs w:val="18"/>
        </w:rPr>
        <w:t xml:space="preserve"> motsvarar det politikområde eller den avdelning i budgeten som avses.</w:t>
      </w:r>
    </w:p>
    <w:p>
      <w:pPr>
        <w:pStyle w:val="Text1"/>
        <w:rPr>
          <w:noProof/>
          <w:sz w:val="18"/>
          <w:szCs w:val="18"/>
        </w:rPr>
      </w:pPr>
      <w:r>
        <w:rPr>
          <w:noProof/>
          <w:sz w:val="18"/>
        </w:rPr>
        <w:t>Personalbehoven ska täckas med personal inom generaldirektoratet vilka redan har avdelats för förvaltningen av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r>
        <w:rPr>
          <w:noProof/>
        </w:rPr>
        <w:t xml:space="preserve"> </w:t>
      </w:r>
      <w:r>
        <w:rPr>
          <w:noProof/>
          <w:sz w:val="18"/>
        </w:rPr>
        <w:t>Ytterligare extern personal kommer uteslutande att finansieras genom inkomster avsatta för särskilda ändamål.</w:t>
      </w:r>
    </w:p>
    <w:p>
      <w:pPr>
        <w:rPr>
          <w:noProof/>
          <w:sz w:val="20"/>
        </w:rPr>
      </w:pPr>
      <w:r>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Tjänstemän och tillfälligt anställda</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Extern personal</w:t>
            </w:r>
          </w:p>
        </w:tc>
        <w:tc>
          <w:tcPr>
            <w:tcW w:w="7200" w:type="dxa"/>
          </w:tcPr>
          <w:p>
            <w:pPr>
              <w:rPr>
                <w:noProof/>
                <w:sz w:val="20"/>
              </w:rPr>
            </w:pPr>
            <w:r>
              <w:rPr>
                <w:noProof/>
                <w:sz w:val="20"/>
              </w:rPr>
              <w:t>Front office-funktioner (utarbetande av riktlinjer och vägledande dokument, handläggning och förhandling av garanti- och rådgivningsavtal, marknadsföring, operativ uppföljning och rapportering, administration av rådgivning och tekniskt stöd).</w:t>
            </w:r>
          </w:p>
          <w:p>
            <w:pPr>
              <w:rPr>
                <w:noProof/>
                <w:sz w:val="20"/>
              </w:rPr>
            </w:pPr>
            <w:r>
              <w:rPr>
                <w:noProof/>
                <w:sz w:val="20"/>
              </w:rPr>
              <w:t>Back office-funktioner (övervakning och uppföljning av programmet, inklusive garantianspråk, operativ och finansiell rapportering och andra aktiviteter som rör förvaltning av garantin, övervakning och rapportering när det gäller rådgivningstjänster och tekniskt stöd).</w:t>
            </w:r>
          </w:p>
          <w:p>
            <w:pPr>
              <w:rPr>
                <w:noProof/>
                <w:sz w:val="20"/>
              </w:rPr>
            </w:pPr>
            <w:r>
              <w:rPr>
                <w:noProof/>
                <w:sz w:val="20"/>
              </w:rPr>
              <w:t>Risk (övervakning av kreditriskprofilen för transaktionsportföljer inom ramen för EU-garantin, bedömning och rapportering).</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Beräknad inverkan på inkomsterna </w:t>
      </w:r>
    </w:p>
    <w:p>
      <w:pPr>
        <w:pStyle w:val="ListDash1"/>
        <w:rPr>
          <w:noProof/>
        </w:rPr>
      </w:pPr>
      <w:r>
        <w:rPr>
          <w:noProof/>
        </w:rPr>
        <w:t>X</w:t>
      </w:r>
      <w:r>
        <w:rPr>
          <w:noProof/>
        </w:rPr>
        <w:tab/>
        <w:t>Förslaget/initiativet påverkar inte budgetens inkomstsida.</w:t>
      </w:r>
    </w:p>
    <w:p>
      <w:pPr>
        <w:pStyle w:val="ListDash1"/>
        <w:rPr>
          <w:noProof/>
        </w:rPr>
      </w:pPr>
      <w:r>
        <w:rPr>
          <w:noProof/>
        </w:rPr>
        <w:tab/>
      </w:r>
      <w:r>
        <w:rPr>
          <w:noProof/>
        </w:rPr>
        <w:sym w:font="Wingdings" w:char="F0A8"/>
      </w:r>
      <w:r>
        <w:rPr>
          <w:noProof/>
        </w:rPr>
        <w:t>Förslaget/initiativet påverkar inkomsterna på följande sätt:</w:t>
      </w:r>
    </w:p>
    <w:p>
      <w:pPr>
        <w:pStyle w:val="ListNumberLevel3"/>
        <w:rPr>
          <w:noProof/>
        </w:rPr>
      </w:pPr>
      <w:r>
        <w:rPr>
          <w:noProof/>
        </w:rPr>
        <w:sym w:font="Wingdings" w:char="F0A8"/>
      </w:r>
      <w:r>
        <w:rPr>
          <w:noProof/>
        </w:rPr>
        <w:tab/>
        <w:t xml:space="preserve">påverkan på egna medel </w:t>
      </w:r>
    </w:p>
    <w:p>
      <w:pPr>
        <w:pStyle w:val="ListNumberLevel3"/>
        <w:rPr>
          <w:noProof/>
        </w:rPr>
      </w:pPr>
      <w:r>
        <w:rPr>
          <w:noProof/>
        </w:rPr>
        <w:sym w:font="Wingdings" w:char="F0A8"/>
      </w:r>
      <w:r>
        <w:rPr>
          <w:noProof/>
        </w:rPr>
        <w:tab/>
        <w:t xml:space="preserve">på diverse intäkter </w:t>
      </w:r>
    </w:p>
    <w:p>
      <w:pPr>
        <w:jc w:val="right"/>
        <w:rPr>
          <w:i/>
          <w:noProof/>
          <w:sz w:val="20"/>
        </w:rPr>
      </w:pPr>
      <w:r>
        <w:rPr>
          <w:noProof/>
        </w:rPr>
        <w:t>Miljoner EUR (avrundat till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Budgetrubrik i den årliga budgetens inkomstdel:</w:t>
            </w:r>
          </w:p>
        </w:tc>
        <w:tc>
          <w:tcPr>
            <w:tcW w:w="1276" w:type="dxa"/>
            <w:vMerge w:val="restart"/>
            <w:vAlign w:val="center"/>
          </w:tcPr>
          <w:p>
            <w:pPr>
              <w:jc w:val="center"/>
              <w:rPr>
                <w:noProof/>
                <w:sz w:val="18"/>
              </w:rPr>
            </w:pPr>
            <w:r>
              <w:rPr>
                <w:noProof/>
                <w:sz w:val="18"/>
              </w:rPr>
              <w:t>Belopp som förts in för det innevarande budgetåret</w:t>
            </w:r>
          </w:p>
        </w:tc>
        <w:tc>
          <w:tcPr>
            <w:tcW w:w="7200" w:type="dxa"/>
            <w:gridSpan w:val="7"/>
            <w:vAlign w:val="center"/>
          </w:tcPr>
          <w:p>
            <w:pPr>
              <w:jc w:val="center"/>
              <w:rPr>
                <w:noProof/>
                <w:sz w:val="18"/>
              </w:rPr>
            </w:pPr>
            <w:r>
              <w:rPr>
                <w:noProof/>
                <w:sz w:val="18"/>
              </w:rPr>
              <w:t>Förslagets/initiativets inverkan på inkomsterna</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År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År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År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År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För in så många år som behövs för att redovisa varaktigheten för inverkan på resursanvändningen (jfr punkt 1.6)</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tab/>
    </w:r>
    <w:r>
      <w:rPr>
        <w:rFonts w:ascii="Arial" w:hAnsi="Arial" w:cs="Arial"/>
        <w:b/>
        <w:sz w:val="48"/>
      </w:rPr>
      <w:t>SV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Europaparlamentets och rådets förordning (EU) 2015/1017 av den 25 juni 2015 om Europeiska fonden för strategiska investeringar, Europeiska centrumet för investeringsrådgivning och portalen för investeringsprojekt på europeisk nivå samt om ändring av förordningarna (EU) nr 1291/2013 och (EU) nr 1316/2013 – Europeiska fonden för strategiska investeringar (EUT L 169, 1.7.2015, s. 1).</w:t>
      </w:r>
    </w:p>
  </w:footnote>
  <w:footnote w:id="3">
    <w:p>
      <w:pPr>
        <w:pStyle w:val="FootnoteText"/>
      </w:pPr>
      <w:r>
        <w:rPr>
          <w:rStyle w:val="FootnoteReference"/>
        </w:rPr>
        <w:footnoteRef/>
      </w:r>
      <w:r>
        <w:tab/>
        <w:t>Kommissionens förslag till Europaparlamentets och rådets förordning om inrättande av InvestEU-programmet (COM(2018) 439), ett delavtal om Europaparlamentets och rådets lagstiftningsförslag i april 2019.</w:t>
      </w:r>
    </w:p>
  </w:footnote>
  <w:footnote w:id="4">
    <w:p>
      <w:pPr>
        <w:pStyle w:val="FootnoteText"/>
      </w:pPr>
      <w:r>
        <w:rPr>
          <w:rStyle w:val="FootnoteReference"/>
        </w:rPr>
        <w:footnoteRef/>
      </w:r>
      <w:r>
        <w:tab/>
        <w:t>Enligt definitionen i artikel 2.18 i kommissionens förordning (EU) nr 651/2014 av den 17 juni 2014 genom vilken vissa kategorier av stöd förklaras förenliga med den inre marknaden enligt artiklarna 107 och 108 i fördraget (EUT L 187, 26.6.2014, s. 1).</w:t>
      </w:r>
    </w:p>
  </w:footnote>
  <w:footnote w:id="5">
    <w:p>
      <w:pPr>
        <w:pStyle w:val="FootnoteText"/>
        <w:ind w:left="0" w:firstLine="0"/>
      </w:pPr>
      <w:r>
        <w:rPr>
          <w:rStyle w:val="FootnoteReference"/>
        </w:rPr>
        <w:footnoteRef/>
      </w:r>
      <w:r>
        <w:tab/>
        <w:t>C(2020) 1863 final, ändrat genom C(2020) 3156 final.</w:t>
      </w:r>
    </w:p>
  </w:footnote>
  <w:footnote w:id="6">
    <w:p>
      <w:pPr>
        <w:pStyle w:val="FootnoteText"/>
        <w:rPr>
          <w:lang w:val="fr-FR"/>
        </w:rPr>
      </w:pPr>
      <w:r>
        <w:rPr>
          <w:rStyle w:val="FootnoteReference"/>
        </w:rPr>
        <w:footnoteRef/>
      </w:r>
      <w:r>
        <w:rPr>
          <w:lang w:val="fr-FR"/>
        </w:rPr>
        <w:tab/>
        <w:t>EUT C […], […], s. […].</w:t>
      </w:r>
    </w:p>
  </w:footnote>
  <w:footnote w:id="7">
    <w:p>
      <w:pPr>
        <w:pStyle w:val="FootnoteText"/>
        <w:rPr>
          <w:lang w:val="fr-FR"/>
        </w:rPr>
      </w:pPr>
      <w:r>
        <w:rPr>
          <w:rStyle w:val="FootnoteReference"/>
        </w:rPr>
        <w:footnoteRef/>
      </w:r>
      <w:r>
        <w:rPr>
          <w:lang w:val="fr-FR"/>
        </w:rPr>
        <w:tab/>
        <w:t>EUT C […], […], s. […].</w:t>
      </w:r>
    </w:p>
  </w:footnote>
  <w:footnote w:id="8">
    <w:p>
      <w:pPr>
        <w:pStyle w:val="FootnoteText"/>
      </w:pPr>
      <w:r>
        <w:rPr>
          <w:rStyle w:val="FootnoteReference"/>
        </w:rPr>
        <w:footnoteRef/>
      </w:r>
      <w:r>
        <w:tab/>
        <w:t>Enligt definitionen i artikel 2.18 i kommissionens förordning (EU) nr 651/2014 av den 17 juni 2014 genom vilken vissa kategorier av stöd förklaras förenliga med den inre marknaden enligt artiklarna 107 och 108 i fördraget (EUT L 187, 26.6.2014, s. 1).</w:t>
      </w:r>
    </w:p>
  </w:footnote>
  <w:footnote w:id="9">
    <w:p>
      <w:pPr>
        <w:pStyle w:val="FootnoteText"/>
      </w:pPr>
      <w:r>
        <w:rPr>
          <w:rStyle w:val="FootnoteReference"/>
        </w:rPr>
        <w:footnoteRef/>
      </w:r>
      <w:r>
        <w:tab/>
        <w:t>Enligt definitionen i artikel 2.18 i kommissionens förordning (EU) nr 651/2014 av den 17 juni 2014 genom vilken vissa kategorier av stöd förklaras förenliga med den inre marknaden enligt artiklarna 107 och 108 i fördraget (EUT L 187, 26.6.2014, s. 1).</w:t>
      </w:r>
    </w:p>
  </w:footnote>
  <w:footnote w:id="10">
    <w:p>
      <w:pPr>
        <w:pStyle w:val="FootnoteText"/>
      </w:pPr>
      <w:r>
        <w:rPr>
          <w:rStyle w:val="FootnoteReference"/>
        </w:rPr>
        <w:footnoteRef/>
      </w:r>
      <w:r>
        <w:tab/>
        <w:t>COM(2019) 640 final.</w:t>
      </w:r>
    </w:p>
  </w:footnote>
  <w:footnote w:id="11">
    <w:p>
      <w:pPr>
        <w:pStyle w:val="FootnoteText"/>
      </w:pPr>
      <w:r>
        <w:rPr>
          <w:rStyle w:val="FootnoteReference"/>
        </w:rPr>
        <w:footnoteRef/>
      </w:r>
      <w:r>
        <w:tab/>
        <w:t>COM(2020) 67 final.</w:t>
      </w:r>
    </w:p>
  </w:footnote>
  <w:footnote w:id="12">
    <w:p>
      <w:pPr>
        <w:pStyle w:val="FootnoteText"/>
      </w:pPr>
      <w:r>
        <w:rPr>
          <w:rStyle w:val="FootnoteReference"/>
        </w:rPr>
        <w:footnoteRef/>
      </w:r>
      <w:r>
        <w:tab/>
        <w:t>Detta är en icke uttömmande uppräkning av produkter som kan erbjudas genom Efsi.</w:t>
      </w:r>
    </w:p>
  </w:footnote>
  <w:footnote w:id="13">
    <w:p>
      <w:pPr>
        <w:pStyle w:val="FootnoteText"/>
      </w:pPr>
      <w:r>
        <w:rPr>
          <w:rStyle w:val="FootnoteReference"/>
        </w:rPr>
        <w:footnoteRef/>
      </w:r>
      <w:r>
        <w:tab/>
        <w:t>Meddelande från kommissionen Tillfällig ram för statliga stödåtgärder till stöd för ekonomin under det pågående utbrottet av covid-19 (C(2020) 1863), ändrat genom C(2020) 3156 final.</w:t>
      </w:r>
    </w:p>
  </w:footnote>
  <w:footnote w:id="14">
    <w:p>
      <w:pPr>
        <w:pStyle w:val="FootnoteText"/>
        <w:rPr>
          <w:szCs w:val="24"/>
        </w:rPr>
      </w:pPr>
      <w:r>
        <w:rPr>
          <w:rStyle w:val="FootnoteReference"/>
        </w:rPr>
        <w:footnoteRef/>
      </w:r>
      <w:r>
        <w:tab/>
        <w:t>Verksamhetsbaserad förvaltning och verksamhetsbaserad budgetering benämns ibland med de interna förkortningarna ABM respektive ABB.</w:t>
      </w:r>
    </w:p>
  </w:footnote>
  <w:footnote w:id="15">
    <w:p>
      <w:pPr>
        <w:pStyle w:val="FootnoteText"/>
        <w:rPr>
          <w:szCs w:val="24"/>
        </w:rPr>
      </w:pPr>
      <w:r>
        <w:rPr>
          <w:rStyle w:val="FootnoteReference"/>
        </w:rPr>
        <w:footnoteRef/>
      </w:r>
      <w:r>
        <w:tab/>
        <w:t>I den mening som avses i artikel 54.2 a eller b i budgetförordningen.</w:t>
      </w:r>
    </w:p>
  </w:footnote>
  <w:footnote w:id="16">
    <w:p>
      <w:pPr>
        <w:pStyle w:val="FootnoteText"/>
        <w:rPr>
          <w:szCs w:val="24"/>
        </w:rPr>
      </w:pPr>
      <w:r>
        <w:rPr>
          <w:rStyle w:val="FootnoteReference"/>
        </w:rPr>
        <w:footnoteRef/>
      </w:r>
      <w:r>
        <w:tab/>
        <w:t xml:space="preserve">Närmare förklaringar av de olika metoderna för genomförande med hänvisningar till respektive bestämmelser i budgetförordningen återfinns på BudgWeb: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Diff. = Differentierade anslag/icke-diff. = Icke-differentierade anslag.</w:t>
      </w:r>
    </w:p>
  </w:footnote>
  <w:footnote w:id="18">
    <w:p>
      <w:pPr>
        <w:pStyle w:val="FootnoteText"/>
        <w:rPr>
          <w:szCs w:val="24"/>
        </w:rPr>
      </w:pPr>
      <w:r>
        <w:rPr>
          <w:rStyle w:val="FootnoteReference"/>
        </w:rPr>
        <w:footnoteRef/>
      </w:r>
      <w:r>
        <w:tab/>
        <w:t xml:space="preserve">Efta: Europeiska frihandelssammanslutningen. </w:t>
      </w:r>
    </w:p>
  </w:footnote>
  <w:footnote w:id="19">
    <w:p>
      <w:pPr>
        <w:pStyle w:val="FootnoteText"/>
        <w:rPr>
          <w:szCs w:val="24"/>
        </w:rPr>
      </w:pPr>
      <w:r>
        <w:rPr>
          <w:rStyle w:val="FootnoteReference"/>
        </w:rPr>
        <w:footnoteRef/>
      </w:r>
      <w:r>
        <w:tab/>
        <w:t>Kandidatländer och i förekommande fall potentiella kandidatländer i västra Balkan.</w:t>
      </w:r>
    </w:p>
  </w:footnote>
  <w:footnote w:id="20">
    <w:p>
      <w:pPr>
        <w:pStyle w:val="FootnoteText"/>
        <w:rPr>
          <w:szCs w:val="24"/>
        </w:rPr>
      </w:pPr>
      <w:r>
        <w:rPr>
          <w:rStyle w:val="FootnoteReference"/>
        </w:rPr>
        <w:footnoteRef/>
      </w:r>
      <w:r>
        <w:tab/>
        <w:t>För 2020: Detta avser tekniskt eller administrativt stöd för genomförandet av vissa av Europeiska unionens program och åtgärder (tidigare s.k. BA-poster) samt indirekta och direkta forskningsåtgärder. Från och med 2021: Externa inkomster avsatta för särskilda ändamål.</w:t>
      </w:r>
    </w:p>
  </w:footnote>
  <w:footnote w:id="21">
    <w:p>
      <w:pPr>
        <w:pStyle w:val="FootnoteText"/>
        <w:rPr>
          <w:szCs w:val="24"/>
        </w:rPr>
      </w:pPr>
      <w:r>
        <w:rPr>
          <w:rStyle w:val="FootnoteReference"/>
        </w:rPr>
        <w:footnoteRef/>
      </w:r>
      <w:r>
        <w:tab/>
        <w:t xml:space="preserve">[Denna fotnot förklarar vissa initialförkortningar som inte används i den svenska versionen]. </w:t>
      </w:r>
    </w:p>
  </w:footnote>
  <w:footnote w:id="22">
    <w:p>
      <w:pPr>
        <w:pStyle w:val="FootnoteText"/>
        <w:rPr>
          <w:szCs w:val="24"/>
        </w:rPr>
      </w:pPr>
      <w:r>
        <w:rPr>
          <w:rStyle w:val="FootnoteReference"/>
        </w:rPr>
        <w:footnoteRef/>
      </w:r>
      <w:r>
        <w:tab/>
        <w:t>Särskilt tak för finansiering av extern personal genom driftsanslag (tidigare s.k. BA-poster).</w:t>
      </w:r>
    </w:p>
  </w:footnote>
  <w:footnote w:id="23">
    <w:p>
      <w:pPr>
        <w:pStyle w:val="FootnoteText"/>
        <w:rPr>
          <w:szCs w:val="24"/>
        </w:rPr>
      </w:pPr>
      <w:r>
        <w:rPr>
          <w:rStyle w:val="FootnoteReference"/>
        </w:rPr>
        <w:footnoteRef/>
      </w:r>
      <w:r>
        <w:tab/>
        <w:t>Vad gäller traditionella egna medel (tullar, sockeravgifter) ska nettobeloppen anges, dvs. bruttobeloppen minus 25 % avdrag för uppbördskostnader.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 w:numId="32">
    <w:abstractNumId w:val="22"/>
  </w:num>
  <w:num w:numId="33">
    <w:abstractNumId w:val="12"/>
  </w:num>
  <w:num w:numId="34">
    <w:abstractNumId w:val="25"/>
  </w:num>
  <w:num w:numId="35">
    <w:abstractNumId w:val="6"/>
  </w:num>
  <w:num w:numId="36">
    <w:abstractNumId w:val="13"/>
  </w:num>
  <w:num w:numId="37">
    <w:abstractNumId w:val="4"/>
  </w:num>
  <w:num w:numId="38">
    <w:abstractNumId w:val="24"/>
  </w:num>
  <w:num w:numId="39">
    <w:abstractNumId w:val="3"/>
  </w:num>
  <w:num w:numId="40">
    <w:abstractNumId w:val="14"/>
  </w:num>
  <w:num w:numId="41">
    <w:abstractNumId w:val="20"/>
  </w:num>
  <w:num w:numId="42">
    <w:abstractNumId w:val="21"/>
  </w:num>
  <w:num w:numId="43">
    <w:abstractNumId w:val="5"/>
  </w:num>
  <w:num w:numId="44">
    <w:abstractNumId w:val="18"/>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3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461BF84-2986-4F5A-8204-FDC96B786A17"/>
    <w:docVar w:name="LW_COVERPAGE_TYPE" w:val="1"/>
    <w:docVar w:name="LW_CROSSREFERENCE" w:val="&lt;UNUSED&gt;"/>
    <w:docVar w:name="LW_DocType" w:val="COM"/>
    <w:docVar w:name="LW_EMISSION" w:val="29.5.2020"/>
    <w:docVar w:name="LW_EMISSION_ISODATE" w:val="2020-05-29"/>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2015/1017 vad gäller inrättandet av ett instrument för solvensstöd"/>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sv-S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sv-S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1E5C-062D-4925-8049-D411DE33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34</Pages>
  <Words>10201</Words>
  <Characters>64269</Characters>
  <Application>Microsoft Office Word</Application>
  <DocSecurity>0</DocSecurity>
  <Lines>1836</Lines>
  <Paragraphs>818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2020-06-01T20:49:00Z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