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997" w:rsidRDefault="00D070F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6602E9E-D5D5-4991-9DFA-992C2320DB19" style="width:450.75pt;height:321pt">
            <v:imagedata r:id="rId8" o:title=""/>
          </v:shape>
        </w:pict>
      </w:r>
    </w:p>
    <w:bookmarkEnd w:id="0"/>
    <w:p w:rsidR="007C1997" w:rsidRDefault="007C1997">
      <w:pPr>
        <w:rPr>
          <w:noProof/>
        </w:rPr>
        <w:sectPr w:rsidR="007C199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7C1997" w:rsidRDefault="00D070FC">
      <w:pPr>
        <w:spacing w:after="120" w:line="240" w:lineRule="auto"/>
        <w:jc w:val="center"/>
        <w:rPr>
          <w:rFonts w:ascii="Times New Roman" w:hAnsi="Times New Roman" w:cs="Times New Roman"/>
          <w:b/>
          <w:noProof/>
          <w:sz w:val="24"/>
          <w:szCs w:val="24"/>
        </w:rPr>
      </w:pPr>
      <w:r>
        <w:rPr>
          <w:rFonts w:ascii="Times New Roman" w:hAnsi="Times New Roman"/>
          <w:b/>
          <w:noProof/>
        </w:rPr>
        <w:lastRenderedPageBreak/>
        <w:t xml:space="preserve">Förbättra anslutningsprocessen – Ett trovärdigt EU-perspektiv för västra Balkan  </w:t>
      </w:r>
    </w:p>
    <w:p w:rsidR="007C1997" w:rsidRDefault="007C1997">
      <w:pPr>
        <w:spacing w:after="120" w:line="240" w:lineRule="auto"/>
        <w:rPr>
          <w:rFonts w:ascii="Times New Roman" w:hAnsi="Times New Roman" w:cs="Times New Roman"/>
          <w:b/>
          <w:noProof/>
          <w:sz w:val="24"/>
          <w:szCs w:val="24"/>
          <w:u w:val="single"/>
        </w:rPr>
      </w:pPr>
    </w:p>
    <w:p w:rsidR="007C1997" w:rsidRDefault="00D070FC">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rPr>
        <w:t>Inledning</w:t>
      </w:r>
    </w:p>
    <w:p w:rsidR="007C1997" w:rsidRDefault="007C1997">
      <w:pPr>
        <w:spacing w:after="120" w:line="240" w:lineRule="auto"/>
        <w:jc w:val="both"/>
        <w:rPr>
          <w:rFonts w:ascii="Times New Roman" w:hAnsi="Times New Roman" w:cs="Times New Roman"/>
          <w:noProof/>
          <w:sz w:val="24"/>
          <w:szCs w:val="24"/>
        </w:rPr>
      </w:pPr>
    </w:p>
    <w:p w:rsidR="007C1997" w:rsidRDefault="00D070FC">
      <w:pPr>
        <w:spacing w:after="120" w:line="240" w:lineRule="auto"/>
        <w:jc w:val="both"/>
        <w:rPr>
          <w:rFonts w:ascii="Times New Roman" w:eastAsia="Calibri" w:hAnsi="Times New Roman" w:cs="Times New Roman"/>
          <w:iCs/>
          <w:noProof/>
          <w:sz w:val="24"/>
          <w:szCs w:val="24"/>
        </w:rPr>
      </w:pPr>
      <w:r>
        <w:rPr>
          <w:rFonts w:ascii="Times New Roman" w:hAnsi="Times New Roman"/>
          <w:noProof/>
        </w:rPr>
        <w:t xml:space="preserve">Europeiska unionen och dess medlemsstater har sedan toppmötena i Feira och Thessaloniki 2000 och 2003 konsekvent uttryckt sitt </w:t>
      </w:r>
      <w:r>
        <w:rPr>
          <w:rFonts w:ascii="Times New Roman" w:hAnsi="Times New Roman"/>
          <w:b/>
          <w:bCs/>
          <w:noProof/>
        </w:rPr>
        <w:t>entydiga stöd för det europeiska perspektivet för västra Balkan</w:t>
      </w:r>
      <w:r>
        <w:rPr>
          <w:rFonts w:ascii="Times New Roman" w:hAnsi="Times New Roman"/>
          <w:noProof/>
        </w:rPr>
        <w:t>. Rådet (allmänna frågor) bekräftade i slutsatserna från sitt möte</w:t>
      </w:r>
      <w:r>
        <w:rPr>
          <w:rFonts w:ascii="Times New Roman" w:hAnsi="Times New Roman"/>
          <w:noProof/>
        </w:rPr>
        <w:t xml:space="preserve"> i juni 2019 </w:t>
      </w:r>
      <w:r>
        <w:rPr>
          <w:rFonts w:ascii="Times New Roman" w:hAnsi="Times New Roman"/>
          <w:iCs/>
          <w:noProof/>
        </w:rPr>
        <w:t xml:space="preserve">”sitt </w:t>
      </w:r>
      <w:r>
        <w:rPr>
          <w:rFonts w:ascii="Times New Roman" w:hAnsi="Times New Roman"/>
          <w:b/>
          <w:bCs/>
          <w:iCs/>
          <w:noProof/>
        </w:rPr>
        <w:t>engagemang för utvidgningen</w:t>
      </w:r>
      <w:r>
        <w:rPr>
          <w:rFonts w:ascii="Times New Roman" w:hAnsi="Times New Roman"/>
          <w:iCs/>
          <w:noProof/>
        </w:rPr>
        <w:t>, som fortsätter att vara ett centralt politikområde för Europeiska unionen, i linje med den förnyade konsensus om utvidgning som godkändes av Europeiska rådet den 14–15 december 2006 och i rådets därpå följand</w:t>
      </w:r>
      <w:r>
        <w:rPr>
          <w:rFonts w:ascii="Times New Roman" w:hAnsi="Times New Roman"/>
          <w:iCs/>
          <w:noProof/>
        </w:rPr>
        <w:t>e slutsatser”</w:t>
      </w:r>
      <w:r>
        <w:rPr>
          <w:rFonts w:ascii="Times New Roman" w:hAnsi="Times New Roman"/>
          <w:noProof/>
        </w:rPr>
        <w:t>.</w:t>
      </w:r>
      <w:r>
        <w:rPr>
          <w:rFonts w:ascii="Times New Roman" w:hAnsi="Times New Roman"/>
          <w:iCs/>
          <w:noProof/>
        </w:rPr>
        <w:t xml:space="preserve"> Vid rådets möte i november 2019 rådde en samsyn om nyttan av att granska effektiviteten i anslutningsprocessen.</w:t>
      </w:r>
    </w:p>
    <w:p w:rsidR="007C1997" w:rsidRDefault="00D070FC">
      <w:pPr>
        <w:spacing w:after="120" w:line="240" w:lineRule="auto"/>
        <w:jc w:val="both"/>
        <w:rPr>
          <w:rFonts w:ascii="Times New Roman" w:eastAsia="Calibri" w:hAnsi="Times New Roman" w:cs="Times New Roman"/>
          <w:noProof/>
          <w:sz w:val="24"/>
          <w:szCs w:val="24"/>
        </w:rPr>
      </w:pPr>
      <w:r>
        <w:rPr>
          <w:rFonts w:ascii="Times New Roman" w:hAnsi="Times New Roman"/>
          <w:noProof/>
        </w:rPr>
        <w:t xml:space="preserve">Dessa </w:t>
      </w:r>
      <w:r>
        <w:rPr>
          <w:rFonts w:ascii="Times New Roman" w:hAnsi="Times New Roman"/>
          <w:b/>
          <w:bCs/>
          <w:noProof/>
        </w:rPr>
        <w:t>konkreta meritbaserade utsikter till fullvärdigt EU-medlemskap för västra Balkan</w:t>
      </w:r>
      <w:r>
        <w:rPr>
          <w:rFonts w:ascii="Times New Roman" w:hAnsi="Times New Roman"/>
          <w:noProof/>
        </w:rPr>
        <w:t xml:space="preserve"> ligger i unionens eget politiska, säkerhetsmässiga och ekonomiska intresse. I en tid av ökande globala utmaningar och motsättningar är detta mer än någonsin tidigare </w:t>
      </w:r>
      <w:r>
        <w:rPr>
          <w:rFonts w:ascii="Times New Roman" w:hAnsi="Times New Roman"/>
          <w:b/>
          <w:bCs/>
          <w:noProof/>
        </w:rPr>
        <w:t>en geostrategisk investering</w:t>
      </w:r>
      <w:r>
        <w:rPr>
          <w:rFonts w:ascii="Times New Roman" w:hAnsi="Times New Roman"/>
          <w:noProof/>
        </w:rPr>
        <w:t xml:space="preserve"> i ett stabilt, starkt och enat Europa. Reella utsikter till </w:t>
      </w:r>
      <w:r>
        <w:rPr>
          <w:rFonts w:ascii="Times New Roman" w:hAnsi="Times New Roman"/>
          <w:noProof/>
        </w:rPr>
        <w:t>EU-medlemskap är det viktigaste incitamentet och den viktigaste drivkraften för omvandlingsprocessen i regionen, och de ökar därigenom EU-medborgarnas kollektiva säkerhet och välstånd. Det är ett viktigt verktyg för att främja demokrati, rättsstatsprincipe</w:t>
      </w:r>
      <w:r>
        <w:rPr>
          <w:rFonts w:ascii="Times New Roman" w:hAnsi="Times New Roman"/>
          <w:noProof/>
        </w:rPr>
        <w:t>n och respekten för de grundläggande rättigheterna, som också är de viktigaste drivkrafterna för ekonomisk integration och det viktigaste ankaret för att främja försoning och stabilitet i regionerna. Att upprätthålla och stärka denna politik är därför oumb</w:t>
      </w:r>
      <w:r>
        <w:rPr>
          <w:rFonts w:ascii="Times New Roman" w:hAnsi="Times New Roman"/>
          <w:noProof/>
        </w:rPr>
        <w:t xml:space="preserve">ärligt för </w:t>
      </w:r>
      <w:r>
        <w:rPr>
          <w:rFonts w:ascii="Times New Roman" w:hAnsi="Times New Roman"/>
          <w:b/>
          <w:bCs/>
          <w:noProof/>
        </w:rPr>
        <w:t>EU:s trovärdighet, framgång och inflytande i och utanför regionen</w:t>
      </w:r>
      <w:r>
        <w:rPr>
          <w:rFonts w:ascii="Times New Roman" w:hAnsi="Times New Roman"/>
          <w:noProof/>
        </w:rPr>
        <w:t xml:space="preserve"> – särskilt i tider av ökad geopolitisk konkurrens. </w:t>
      </w:r>
    </w:p>
    <w:p w:rsidR="007C1997" w:rsidRDefault="00D070FC">
      <w:pPr>
        <w:spacing w:after="120" w:line="240" w:lineRule="auto"/>
        <w:jc w:val="both"/>
        <w:rPr>
          <w:rFonts w:ascii="Times New Roman" w:eastAsia="Calibri" w:hAnsi="Times New Roman" w:cs="Times New Roman"/>
          <w:noProof/>
          <w:sz w:val="24"/>
          <w:szCs w:val="24"/>
        </w:rPr>
      </w:pPr>
      <w:r>
        <w:rPr>
          <w:rFonts w:ascii="Times New Roman" w:hAnsi="Times New Roman"/>
          <w:noProof/>
        </w:rPr>
        <w:t xml:space="preserve">Men det står också klart att </w:t>
      </w:r>
      <w:r>
        <w:rPr>
          <w:rFonts w:ascii="Times New Roman" w:hAnsi="Times New Roman"/>
          <w:b/>
          <w:noProof/>
        </w:rPr>
        <w:t>effektiviteten i den</w:t>
      </w:r>
      <w:r>
        <w:rPr>
          <w:rFonts w:ascii="Times New Roman" w:hAnsi="Times New Roman"/>
          <w:noProof/>
        </w:rPr>
        <w:t xml:space="preserve"> </w:t>
      </w:r>
      <w:r>
        <w:rPr>
          <w:rFonts w:ascii="Times New Roman" w:hAnsi="Times New Roman"/>
          <w:b/>
          <w:bCs/>
          <w:noProof/>
        </w:rPr>
        <w:t>övergripande anslutningsprocessen och i genomförandet av den</w:t>
      </w:r>
      <w:r>
        <w:rPr>
          <w:rFonts w:ascii="Times New Roman" w:hAnsi="Times New Roman"/>
          <w:noProof/>
        </w:rPr>
        <w:t xml:space="preserve"> </w:t>
      </w:r>
      <w:r>
        <w:rPr>
          <w:rFonts w:ascii="Times New Roman" w:hAnsi="Times New Roman"/>
          <w:b/>
          <w:noProof/>
        </w:rPr>
        <w:t>måste förbättras</w:t>
      </w:r>
      <w:r>
        <w:rPr>
          <w:rFonts w:ascii="Times New Roman" w:hAnsi="Times New Roman"/>
          <w:b/>
          <w:noProof/>
        </w:rPr>
        <w:t xml:space="preserve"> ytterligare</w:t>
      </w:r>
      <w:r>
        <w:rPr>
          <w:rFonts w:ascii="Times New Roman" w:hAnsi="Times New Roman"/>
          <w:noProof/>
        </w:rPr>
        <w:t xml:space="preserve">. Även om den strategiska ledningen av politiken är mer aktuell än någonsin, måste den få betydligt bättre genomslag på fältet. </w:t>
      </w:r>
    </w:p>
    <w:p w:rsidR="007C1997" w:rsidRDefault="00D070FC">
      <w:pPr>
        <w:spacing w:after="120" w:line="240" w:lineRule="auto"/>
        <w:jc w:val="both"/>
        <w:rPr>
          <w:rFonts w:ascii="Times New Roman" w:eastAsia="Calibri" w:hAnsi="Times New Roman" w:cs="Times New Roman"/>
          <w:noProof/>
          <w:sz w:val="24"/>
          <w:szCs w:val="24"/>
        </w:rPr>
      </w:pPr>
      <w:r>
        <w:rPr>
          <w:rFonts w:ascii="Times New Roman" w:hAnsi="Times New Roman"/>
          <w:noProof/>
        </w:rPr>
        <w:t>Trots successiva reformer, såsom det nya upplägget för rättsstatsprincipen, fokus på de grundläggande principerna o</w:t>
      </w:r>
      <w:r>
        <w:rPr>
          <w:rFonts w:ascii="Times New Roman" w:hAnsi="Times New Roman"/>
          <w:noProof/>
        </w:rPr>
        <w:t>ch förbättringarna inom ramen för kommissionens strategi för västra Balkan 2018</w:t>
      </w:r>
      <w:r>
        <w:rPr>
          <w:rStyle w:val="FootnoteReference"/>
          <w:noProof/>
        </w:rPr>
        <w:footnoteReference w:id="2"/>
      </w:r>
      <w:r>
        <w:rPr>
          <w:rFonts w:ascii="Times New Roman" w:hAnsi="Times New Roman"/>
          <w:noProof/>
        </w:rPr>
        <w:t xml:space="preserve">, måste processen vara bättre rustad att hantera </w:t>
      </w:r>
      <w:r>
        <w:rPr>
          <w:rFonts w:ascii="Times New Roman" w:hAnsi="Times New Roman"/>
          <w:b/>
          <w:bCs/>
          <w:noProof/>
        </w:rPr>
        <w:t>strukturella svagheter</w:t>
      </w:r>
      <w:r>
        <w:rPr>
          <w:rFonts w:ascii="Times New Roman" w:hAnsi="Times New Roman"/>
          <w:noProof/>
        </w:rPr>
        <w:t xml:space="preserve"> i länderna, särskilt de som avser de grundläggande principerna. </w:t>
      </w:r>
    </w:p>
    <w:p w:rsidR="007C1997" w:rsidRDefault="00D070FC">
      <w:pPr>
        <w:spacing w:after="120" w:line="240" w:lineRule="auto"/>
        <w:jc w:val="both"/>
        <w:rPr>
          <w:rFonts w:ascii="Times New Roman" w:eastAsia="Calibri" w:hAnsi="Times New Roman" w:cs="Times New Roman"/>
          <w:noProof/>
          <w:sz w:val="24"/>
          <w:szCs w:val="24"/>
        </w:rPr>
      </w:pPr>
      <w:r>
        <w:rPr>
          <w:rFonts w:ascii="Times New Roman" w:hAnsi="Times New Roman"/>
          <w:noProof/>
        </w:rPr>
        <w:t>Det är av största vikt att</w:t>
      </w:r>
      <w:r>
        <w:rPr>
          <w:rFonts w:ascii="Times New Roman" w:hAnsi="Times New Roman"/>
          <w:b/>
          <w:noProof/>
        </w:rPr>
        <w:t xml:space="preserve"> bygga upp et</w:t>
      </w:r>
      <w:r>
        <w:rPr>
          <w:rFonts w:ascii="Times New Roman" w:hAnsi="Times New Roman"/>
          <w:b/>
          <w:noProof/>
        </w:rPr>
        <w:t>t större förtroende mellan alla aktörer</w:t>
      </w:r>
      <w:r>
        <w:rPr>
          <w:rFonts w:ascii="Times New Roman" w:hAnsi="Times New Roman"/>
          <w:noProof/>
        </w:rPr>
        <w:t xml:space="preserve"> och att stärka </w:t>
      </w:r>
      <w:r>
        <w:rPr>
          <w:rFonts w:ascii="Times New Roman" w:hAnsi="Times New Roman"/>
          <w:b/>
          <w:noProof/>
        </w:rPr>
        <w:t xml:space="preserve">anslutningsprocessen och göra den effektivare. </w:t>
      </w:r>
      <w:r>
        <w:rPr>
          <w:rFonts w:ascii="Times New Roman" w:hAnsi="Times New Roman"/>
          <w:noProof/>
        </w:rPr>
        <w:t>Den måste bli</w:t>
      </w:r>
      <w:r>
        <w:rPr>
          <w:rFonts w:ascii="Times New Roman" w:hAnsi="Times New Roman"/>
          <w:b/>
          <w:noProof/>
        </w:rPr>
        <w:t xml:space="preserve"> mer förutsägbar, trovärdig – </w:t>
      </w:r>
      <w:r>
        <w:rPr>
          <w:rFonts w:ascii="Times New Roman" w:hAnsi="Times New Roman"/>
          <w:noProof/>
        </w:rPr>
        <w:t xml:space="preserve">bygga på objektiva kriterier och strikt positiv och negativ villkorlighet samt reversibilitet – och </w:t>
      </w:r>
      <w:r>
        <w:rPr>
          <w:rFonts w:ascii="Times New Roman" w:hAnsi="Times New Roman"/>
          <w:b/>
          <w:noProof/>
        </w:rPr>
        <w:t>dynamisk, o</w:t>
      </w:r>
      <w:r>
        <w:rPr>
          <w:rFonts w:ascii="Times New Roman" w:hAnsi="Times New Roman"/>
          <w:b/>
          <w:noProof/>
        </w:rPr>
        <w:t>ch underställas starkare politisk styrning.</w:t>
      </w:r>
    </w:p>
    <w:p w:rsidR="007C1997" w:rsidRDefault="00D070FC">
      <w:pPr>
        <w:spacing w:after="120" w:line="240" w:lineRule="auto"/>
        <w:jc w:val="both"/>
        <w:rPr>
          <w:rFonts w:ascii="Times New Roman" w:eastAsia="Calibri" w:hAnsi="Times New Roman" w:cs="Times New Roman"/>
          <w:b/>
          <w:bCs/>
          <w:noProof/>
          <w:sz w:val="24"/>
          <w:szCs w:val="24"/>
        </w:rPr>
      </w:pPr>
      <w:r>
        <w:rPr>
          <w:rFonts w:ascii="Times New Roman" w:hAnsi="Times New Roman"/>
          <w:b/>
          <w:bCs/>
          <w:noProof/>
        </w:rPr>
        <w:t>I detta meddelande presenterar</w:t>
      </w:r>
      <w:r>
        <w:rPr>
          <w:rFonts w:ascii="Times New Roman" w:hAnsi="Times New Roman"/>
          <w:noProof/>
        </w:rPr>
        <w:t xml:space="preserve"> </w:t>
      </w:r>
      <w:r>
        <w:rPr>
          <w:rFonts w:ascii="Times New Roman" w:hAnsi="Times New Roman"/>
          <w:b/>
          <w:bCs/>
          <w:noProof/>
        </w:rPr>
        <w:t xml:space="preserve">kommissionen konkreta </w:t>
      </w:r>
      <w:r>
        <w:rPr>
          <w:rFonts w:ascii="Times New Roman" w:hAnsi="Times New Roman"/>
          <w:b/>
          <w:noProof/>
        </w:rPr>
        <w:t>förslag</w:t>
      </w:r>
      <w:r>
        <w:rPr>
          <w:rFonts w:ascii="Times New Roman" w:hAnsi="Times New Roman"/>
          <w:noProof/>
        </w:rPr>
        <w:t xml:space="preserve"> på hur hela anslutningsprocessen ska stärkas. Det övergripande målet är att öka bägge parters trovärdighet och förtroende och ge bättre resultat på fäl</w:t>
      </w:r>
      <w:r>
        <w:rPr>
          <w:rFonts w:ascii="Times New Roman" w:hAnsi="Times New Roman"/>
          <w:noProof/>
        </w:rPr>
        <w:t>tet. De föreslagna ändringarna ryms inom de befintliga förhandlingsramarna och säkerställer lika villkor i regionen. Detta innebär att förhandlingsramarna för Serbien och Montenegro inte kommer att ändras, utan de föreslagna ändringarna skulle kunna tillgo</w:t>
      </w:r>
      <w:r>
        <w:rPr>
          <w:rFonts w:ascii="Times New Roman" w:hAnsi="Times New Roman"/>
          <w:noProof/>
        </w:rPr>
        <w:t>doses inom de befintliga ramarna med dessa båda länders samtycke.</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Ett centralt mål för Europeiska unionens engagemang för västra Balkan är att förbereda dem på att uppfylla alla krav som ställs för medlemskap. Detta inbegriper stöd till </w:t>
      </w:r>
      <w:r>
        <w:rPr>
          <w:rFonts w:ascii="Times New Roman" w:hAnsi="Times New Roman"/>
          <w:b/>
          <w:bCs/>
          <w:noProof/>
        </w:rPr>
        <w:t>grundläggande demok</w:t>
      </w:r>
      <w:r>
        <w:rPr>
          <w:rFonts w:ascii="Times New Roman" w:hAnsi="Times New Roman"/>
          <w:b/>
          <w:bCs/>
          <w:noProof/>
        </w:rPr>
        <w:t>ratiska, rättsstatliga och ekonomiska reformer</w:t>
      </w:r>
      <w:r>
        <w:rPr>
          <w:rFonts w:ascii="Times New Roman" w:hAnsi="Times New Roman"/>
          <w:noProof/>
        </w:rPr>
        <w:t xml:space="preserve"> och anpassning till de grundläggande europeiska värdena. Detta kommer i sin tur att främja stabil och accelererad </w:t>
      </w:r>
      <w:r>
        <w:rPr>
          <w:rFonts w:ascii="Times New Roman" w:hAnsi="Times New Roman"/>
          <w:b/>
          <w:bCs/>
          <w:noProof/>
        </w:rPr>
        <w:t>ekonomisk tillväxt och social konvergens</w:t>
      </w:r>
      <w:r>
        <w:rPr>
          <w:rFonts w:ascii="Times New Roman" w:hAnsi="Times New Roman"/>
          <w:noProof/>
        </w:rPr>
        <w:t xml:space="preserve">. </w:t>
      </w:r>
    </w:p>
    <w:p w:rsidR="007C1997" w:rsidRDefault="00D070FC">
      <w:pPr>
        <w:pStyle w:val="Briefingtext"/>
        <w:spacing w:after="120"/>
        <w:rPr>
          <w:rFonts w:ascii="Times New Roman" w:eastAsia="Calibri" w:hAnsi="Times New Roman" w:cs="Times New Roman"/>
          <w:noProof/>
          <w:sz w:val="24"/>
        </w:rPr>
      </w:pPr>
      <w:r>
        <w:rPr>
          <w:rFonts w:ascii="Times New Roman" w:hAnsi="Times New Roman"/>
          <w:noProof/>
        </w:rPr>
        <w:t>För att anslutningsprocessen ska bli effektivare kom</w:t>
      </w:r>
      <w:r>
        <w:rPr>
          <w:rFonts w:ascii="Times New Roman" w:hAnsi="Times New Roman"/>
          <w:noProof/>
        </w:rPr>
        <w:t xml:space="preserve">mer </w:t>
      </w:r>
      <w:r>
        <w:rPr>
          <w:rFonts w:ascii="Times New Roman" w:hAnsi="Times New Roman"/>
          <w:b/>
          <w:bCs/>
          <w:noProof/>
        </w:rPr>
        <w:t>strategisk kommunikation</w:t>
      </w:r>
      <w:r>
        <w:rPr>
          <w:rFonts w:ascii="Times New Roman" w:hAnsi="Times New Roman"/>
          <w:noProof/>
        </w:rPr>
        <w:t xml:space="preserve"> dessutom att vara avgörande. Det är mycket viktigt att öka medvetenheten i regionen om de möjligheter som ökad </w:t>
      </w:r>
      <w:r>
        <w:rPr>
          <w:rFonts w:ascii="Times New Roman" w:hAnsi="Times New Roman"/>
          <w:noProof/>
        </w:rPr>
        <w:lastRenderedPageBreak/>
        <w:t>integration och reformer medför, och att motverka fientlig påverkan från tredjeländer. Detta kräver också mer trovär</w:t>
      </w:r>
      <w:r>
        <w:rPr>
          <w:rFonts w:ascii="Times New Roman" w:hAnsi="Times New Roman"/>
          <w:noProof/>
        </w:rPr>
        <w:t xml:space="preserve">diga insatser av länderna själva. Deras myndigheters politiska åtaganden för det strategiska målet om EU-anslutning kommer att bedömas noggrannare i årsrapporterna.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Detta politiska angreppssätt kommer därför att utgöra hörnstenen i </w:t>
      </w:r>
      <w:r>
        <w:rPr>
          <w:rFonts w:ascii="Times New Roman" w:hAnsi="Times New Roman"/>
          <w:b/>
          <w:bCs/>
          <w:noProof/>
        </w:rPr>
        <w:t>en framåtblickande agen</w:t>
      </w:r>
      <w:r>
        <w:rPr>
          <w:rFonts w:ascii="Times New Roman" w:hAnsi="Times New Roman"/>
          <w:b/>
          <w:bCs/>
          <w:noProof/>
        </w:rPr>
        <w:t>da</w:t>
      </w:r>
      <w:r>
        <w:rPr>
          <w:rFonts w:ascii="Times New Roman" w:hAnsi="Times New Roman"/>
          <w:noProof/>
        </w:rPr>
        <w:t>. Den agendan kommer att stödja omvandlingen av västra Balkan till fungerande marknadsekonomier som kan integreras fullt ut i EU:s inre marknad, skapa arbetstillfällen och möjligheter till företagande, förbättra företags- och investeringsklimatet, främja</w:t>
      </w:r>
      <w:r>
        <w:rPr>
          <w:rFonts w:ascii="Times New Roman" w:hAnsi="Times New Roman"/>
          <w:noProof/>
        </w:rPr>
        <w:t xml:space="preserve"> rättsstatsprincipen och stoppa kunskapsflykten från regionen. Dessa reformer är nödvändiga för att stärka ekonomierna på Balkan och förankra dem i EU:s marknader genom att påskynda den nödvändiga konvergensen med EU. Kommissionen kommer särskilt att överv</w:t>
      </w:r>
      <w:r>
        <w:rPr>
          <w:rFonts w:ascii="Times New Roman" w:hAnsi="Times New Roman"/>
          <w:noProof/>
        </w:rPr>
        <w:t>äga hur man kan främja investeringar, socioekonomisk integration och rättsstatsprincipen, förbättra tillträdet till EU:s inre marknad, stärka konnektiviteten och välkomna de möjligheter som den gröna ekonomin innebär. Kommissionen kommer att lägga fram ett</w:t>
      </w:r>
      <w:r>
        <w:rPr>
          <w:rFonts w:ascii="Times New Roman" w:hAnsi="Times New Roman"/>
          <w:noProof/>
        </w:rPr>
        <w:t xml:space="preserve"> meddelande om detta före toppmötet i Zagreb i maj 2020. </w:t>
      </w:r>
    </w:p>
    <w:p w:rsidR="007C1997" w:rsidRDefault="007C1997">
      <w:pPr>
        <w:spacing w:after="120" w:line="240" w:lineRule="auto"/>
        <w:jc w:val="both"/>
        <w:rPr>
          <w:rFonts w:ascii="Times New Roman" w:hAnsi="Times New Roman" w:cs="Times New Roman"/>
          <w:noProof/>
          <w:sz w:val="24"/>
          <w:szCs w:val="24"/>
        </w:rPr>
      </w:pPr>
    </w:p>
    <w:p w:rsidR="007C1997" w:rsidRDefault="00D070FC">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rPr>
        <w:t>Blåsa nytt liv i anslutningsprocessen</w:t>
      </w:r>
    </w:p>
    <w:p w:rsidR="007C1997" w:rsidRDefault="007C1997">
      <w:pPr>
        <w:pStyle w:val="ListParagraph"/>
        <w:spacing w:after="120" w:line="240" w:lineRule="auto"/>
        <w:ind w:left="1080"/>
        <w:contextualSpacing w:val="0"/>
        <w:rPr>
          <w:rFonts w:ascii="Times New Roman" w:hAnsi="Times New Roman" w:cs="Times New Roman"/>
          <w:b/>
          <w:noProof/>
          <w:sz w:val="24"/>
          <w:szCs w:val="24"/>
          <w:u w:val="single"/>
        </w:rPr>
      </w:pPr>
    </w:p>
    <w:p w:rsidR="007C1997" w:rsidRDefault="00D070FC">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rPr>
        <w:t>Ökad trovärdighet</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För att anslutningsprocessen ska kunna återfå trovärdigheten på båda sidor och nå sin fulla potential, måste den vila på grundmurad </w:t>
      </w:r>
      <w:r>
        <w:rPr>
          <w:rFonts w:ascii="Times New Roman" w:hAnsi="Times New Roman"/>
          <w:b/>
          <w:bCs/>
          <w:noProof/>
        </w:rPr>
        <w:t xml:space="preserve">tillit, </w:t>
      </w:r>
      <w:r>
        <w:rPr>
          <w:rFonts w:ascii="Times New Roman" w:hAnsi="Times New Roman"/>
          <w:b/>
          <w:bCs/>
          <w:noProof/>
        </w:rPr>
        <w:t>ömsesidigt förtroende och tydliga åtaganden på båda sidor</w:t>
      </w:r>
      <w:r>
        <w:rPr>
          <w:rFonts w:ascii="Times New Roman" w:hAnsi="Times New Roman"/>
          <w:noProof/>
        </w:rPr>
        <w:t xml:space="preserve">.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Det </w:t>
      </w:r>
      <w:r>
        <w:rPr>
          <w:rFonts w:ascii="Times New Roman" w:hAnsi="Times New Roman"/>
          <w:b/>
          <w:bCs/>
          <w:noProof/>
        </w:rPr>
        <w:t>innebär att ledarna på västra Balkan måste ge mer trovärdighet åt sitt åtagande</w:t>
      </w:r>
      <w:r>
        <w:rPr>
          <w:rFonts w:ascii="Times New Roman" w:hAnsi="Times New Roman"/>
          <w:noProof/>
        </w:rPr>
        <w:t xml:space="preserve"> att genomföra de grundläggande reformer som krävs, vare sig det gäller rättsstatsprincipen, kampen mot korruptio</w:t>
      </w:r>
      <w:r>
        <w:rPr>
          <w:rFonts w:ascii="Times New Roman" w:hAnsi="Times New Roman"/>
          <w:noProof/>
        </w:rPr>
        <w:t>n, ekonomin eller säkerställandet av välfungerande demokratiska institutioner och offentlig förvaltning, och när det gäller anpassningen av utrikespolitiken. EU:s medlemsstater och deras invånare hyser befogade farhågor och behöver ges försäkran om det fin</w:t>
      </w:r>
      <w:r>
        <w:rPr>
          <w:rFonts w:ascii="Times New Roman" w:hAnsi="Times New Roman"/>
          <w:noProof/>
        </w:rPr>
        <w:t xml:space="preserve">ns en otvetydiga politisk viljan hos länderna som framgår av strukturella och konkreta reformer. Ledarna på västra Balkan måste också visa att ytterligare ansträngningar att stärka det regionala samarbetet och de goda grannförbindelserna i syfte att skapa </w:t>
      </w:r>
      <w:r>
        <w:rPr>
          <w:rFonts w:ascii="Times New Roman" w:hAnsi="Times New Roman"/>
          <w:noProof/>
        </w:rPr>
        <w:t>stabilitet och välstånd för sina medborgare, samtidigt som man inger EU förtroende att Balkan tar itu med arvet från det förflutna.</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Det innebär också att </w:t>
      </w:r>
      <w:r>
        <w:rPr>
          <w:rFonts w:ascii="Times New Roman" w:hAnsi="Times New Roman"/>
          <w:b/>
          <w:bCs/>
          <w:noProof/>
        </w:rPr>
        <w:t>Europeiska unionen fullgör sitt orubbliga åtagande om en meritbaserad process</w:t>
      </w:r>
      <w:r>
        <w:rPr>
          <w:rFonts w:ascii="Times New Roman" w:hAnsi="Times New Roman"/>
          <w:noProof/>
        </w:rPr>
        <w:t>. Om ett partnerland uppf</w:t>
      </w:r>
      <w:r>
        <w:rPr>
          <w:rFonts w:ascii="Times New Roman" w:hAnsi="Times New Roman"/>
          <w:noProof/>
        </w:rPr>
        <w:t xml:space="preserve">yller de objektiva kriterierna och de fastställda objektiva kraven, ska EU-länderna godta att man går vidare med nästa steg i processen. Alla parter måste undvika att i negativt syfte utnyttja olösta frågor i processen för anslutning till EU. I samma anda </w:t>
      </w:r>
      <w:r>
        <w:rPr>
          <w:rFonts w:ascii="Times New Roman" w:hAnsi="Times New Roman"/>
          <w:noProof/>
        </w:rPr>
        <w:t xml:space="preserve">måste medlemsstaterna och institutionerna tala med en röst i regionen, ge tydliga signaler om stöd och uppmuntran och tala tydligt ärligt om brister när sådana uppstår.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Trovärdigheten bör stärkas genom en </w:t>
      </w:r>
      <w:r>
        <w:rPr>
          <w:rFonts w:ascii="Times New Roman" w:hAnsi="Times New Roman"/>
          <w:b/>
          <w:bCs/>
          <w:noProof/>
        </w:rPr>
        <w:t>ännu tydligare inriktning på de grundläggande ref</w:t>
      </w:r>
      <w:r>
        <w:rPr>
          <w:rFonts w:ascii="Times New Roman" w:hAnsi="Times New Roman"/>
          <w:b/>
          <w:bCs/>
          <w:noProof/>
        </w:rPr>
        <w:t>ormer</w:t>
      </w:r>
      <w:r>
        <w:rPr>
          <w:rFonts w:ascii="Times New Roman" w:hAnsi="Times New Roman"/>
          <w:noProof/>
        </w:rPr>
        <w:t xml:space="preserve"> som är avgörande för att vägen mot EU ska bli framgångsrik. Dessa grundläggande principer kommer att bli ännu mer centrala i anslutningsförhandlingarna. </w:t>
      </w:r>
      <w:r>
        <w:rPr>
          <w:rFonts w:ascii="Times New Roman" w:hAnsi="Times New Roman"/>
          <w:b/>
          <w:bCs/>
          <w:noProof/>
        </w:rPr>
        <w:t>Förhandlingarna om de grundläggande principerna kommer att inledas först och avslutas sist</w:t>
      </w:r>
      <w:r>
        <w:rPr>
          <w:rFonts w:ascii="Times New Roman" w:hAnsi="Times New Roman"/>
          <w:noProof/>
        </w:rPr>
        <w:t xml:space="preserve"> och fr</w:t>
      </w:r>
      <w:r>
        <w:rPr>
          <w:rFonts w:ascii="Times New Roman" w:hAnsi="Times New Roman"/>
          <w:noProof/>
        </w:rPr>
        <w:t>amstegen när det gäller dessa kommer att bestämma den övergripande takten för förhandlingarna. Följande kommer att utgöra vägledning för förhandlingarna om de grundläggande principerna:</w:t>
      </w:r>
    </w:p>
    <w:p w:rsidR="007C1997" w:rsidRDefault="00D070FC">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En färdplan för rättsstatskapitlen motsvarande de tidigare handlingspl</w:t>
      </w:r>
      <w:r>
        <w:rPr>
          <w:rFonts w:ascii="Times New Roman" w:hAnsi="Times New Roman"/>
          <w:noProof/>
        </w:rPr>
        <w:t>anerna kommer att utgöra öppningsriktmärke. Interimistiska riktmärken kommer att fortsätta att fastställas. Inget annat kapitel kommer preliminärt att stängas innan dessa riktmärken har uppnåtts.</w:t>
      </w:r>
    </w:p>
    <w:p w:rsidR="007C1997" w:rsidRDefault="00D070FC">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En </w:t>
      </w:r>
      <w:r>
        <w:rPr>
          <w:rFonts w:ascii="Times New Roman" w:hAnsi="Times New Roman"/>
          <w:b/>
          <w:bCs/>
          <w:noProof/>
        </w:rPr>
        <w:t>färdplan för fungerande demokratiska institutioner</w:t>
      </w:r>
      <w:r>
        <w:rPr>
          <w:rFonts w:ascii="Times New Roman" w:hAnsi="Times New Roman"/>
          <w:noProof/>
        </w:rPr>
        <w:t xml:space="preserve"> och re</w:t>
      </w:r>
      <w:r>
        <w:rPr>
          <w:rFonts w:ascii="Times New Roman" w:hAnsi="Times New Roman"/>
          <w:noProof/>
        </w:rPr>
        <w:t xml:space="preserve">form av den offentliga förvaltningen.  </w:t>
      </w:r>
    </w:p>
    <w:p w:rsidR="007C1997" w:rsidRDefault="00D070FC">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En starkare </w:t>
      </w:r>
      <w:r>
        <w:rPr>
          <w:rFonts w:ascii="Times New Roman" w:hAnsi="Times New Roman"/>
          <w:b/>
          <w:bCs/>
          <w:noProof/>
        </w:rPr>
        <w:t>koppling till det ekonomiska reformprogrammet</w:t>
      </w:r>
      <w:r>
        <w:rPr>
          <w:rFonts w:ascii="Times New Roman" w:hAnsi="Times New Roman"/>
          <w:noProof/>
        </w:rPr>
        <w:t xml:space="preserve"> för att hjälpa länderna att uppfylla de ekonomiska kriterierna.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lastRenderedPageBreak/>
        <w:t>Kommissionen kommer också att ytterligare stärka de åtgärder som rör rättsstaten och institut</w:t>
      </w:r>
      <w:r>
        <w:rPr>
          <w:rFonts w:ascii="Times New Roman" w:hAnsi="Times New Roman"/>
          <w:noProof/>
        </w:rPr>
        <w:t>ionsuppbyggnad. Resultaten av dessa reformer kommer att vara ett krav på fördjupad sektoriell integration och framsteg i stort. Dessutom kommer korruptionsbekämpningen att integreras genom ett tydlig inriktning på denna i lämpliga kapitel. Stöd till region</w:t>
      </w:r>
      <w:r>
        <w:rPr>
          <w:rFonts w:ascii="Times New Roman" w:hAnsi="Times New Roman"/>
          <w:noProof/>
        </w:rPr>
        <w:t>alt samarbete kommer att fortsätta ges i oförminskad omfattning. Alla ansträngningar måste göras för att lösa bilaterala tvister, med särskild tonvikt på den EU-understödda dialogen mellan Belgrad och Pristina, som bör slutföras med ett omfattande, rättsli</w:t>
      </w:r>
      <w:r>
        <w:rPr>
          <w:rFonts w:ascii="Times New Roman" w:hAnsi="Times New Roman"/>
          <w:noProof/>
        </w:rPr>
        <w:t xml:space="preserve">gt bindande normaliseringsavtal. </w:t>
      </w:r>
    </w:p>
    <w:p w:rsidR="007C1997" w:rsidRDefault="007C1997">
      <w:pPr>
        <w:spacing w:after="120" w:line="240" w:lineRule="auto"/>
        <w:jc w:val="both"/>
        <w:rPr>
          <w:rFonts w:ascii="Times New Roman" w:hAnsi="Times New Roman" w:cs="Times New Roman"/>
          <w:noProof/>
          <w:sz w:val="24"/>
          <w:szCs w:val="24"/>
        </w:rPr>
      </w:pPr>
    </w:p>
    <w:p w:rsidR="007C1997" w:rsidRDefault="00D070FC">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rPr>
        <w:t>Starkare politisk styrning</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Anslutningen till Europeiska unionen är en process som kräver och stöder grundläggande reformer och politiska och ekonomiska förändringar i de länder som vill ansluta sig, samt att det visas för</w:t>
      </w:r>
      <w:r>
        <w:rPr>
          <w:rFonts w:ascii="Times New Roman" w:hAnsi="Times New Roman"/>
          <w:noProof/>
        </w:rPr>
        <w:t xml:space="preserve">måga att ta delat ansvar som medlemsstat i EU. Den går inte framåt av sig själv, utan måste återspegla </w:t>
      </w:r>
      <w:r>
        <w:rPr>
          <w:rFonts w:ascii="Times New Roman" w:hAnsi="Times New Roman"/>
          <w:b/>
          <w:bCs/>
          <w:noProof/>
        </w:rPr>
        <w:t>ett aktivt samhällspolitiskt val</w:t>
      </w:r>
      <w:r>
        <w:rPr>
          <w:rFonts w:ascii="Times New Roman" w:hAnsi="Times New Roman"/>
          <w:noProof/>
        </w:rPr>
        <w:t xml:space="preserve"> från deras sida för att nå och iaktta de högsta europeiska normerna och värderingarna. Likaså är medlemsstaternas åtagan</w:t>
      </w:r>
      <w:r>
        <w:rPr>
          <w:rFonts w:ascii="Times New Roman" w:hAnsi="Times New Roman"/>
          <w:noProof/>
        </w:rPr>
        <w:t xml:space="preserve">de att dela en gemensam framtid med västra Balkan som fullvärdiga medlemmar av unionen inte endast ett tekniskt men även ett betydande politiskt åtagande.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Detta innebär att båda sidor bör </w:t>
      </w:r>
      <w:r>
        <w:rPr>
          <w:rFonts w:ascii="Times New Roman" w:hAnsi="Times New Roman"/>
          <w:b/>
          <w:bCs/>
          <w:noProof/>
        </w:rPr>
        <w:t>visa större ledarskap</w:t>
      </w:r>
      <w:r>
        <w:rPr>
          <w:rFonts w:ascii="Times New Roman" w:hAnsi="Times New Roman"/>
          <w:noProof/>
        </w:rPr>
        <w:t xml:space="preserve"> och leva upp till sina respektive åtaganden offentligt och samtidigt mer direkt engagera sig i frågor som ger anledning till oro. Med tanke på vad som står på spel är det hög tid att </w:t>
      </w:r>
      <w:r>
        <w:rPr>
          <w:rFonts w:ascii="Times New Roman" w:hAnsi="Times New Roman"/>
          <w:b/>
          <w:bCs/>
          <w:noProof/>
        </w:rPr>
        <w:t>sätta den politiska karaktären hos processen i centrum</w:t>
      </w:r>
      <w:r>
        <w:rPr>
          <w:rFonts w:ascii="Times New Roman" w:hAnsi="Times New Roman"/>
          <w:noProof/>
        </w:rPr>
        <w:t xml:space="preserve"> och säkerställa s</w:t>
      </w:r>
      <w:r>
        <w:rPr>
          <w:rFonts w:ascii="Times New Roman" w:hAnsi="Times New Roman"/>
          <w:noProof/>
        </w:rPr>
        <w:t xml:space="preserve">tarkare styrning och engagemang på hög nivå från medlemsstaternas sida.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Detta bör inbegripa att skapa nya möjligheter till </w:t>
      </w:r>
      <w:r>
        <w:rPr>
          <w:rFonts w:ascii="Times New Roman" w:hAnsi="Times New Roman"/>
          <w:b/>
          <w:bCs/>
          <w:noProof/>
        </w:rPr>
        <w:t>politisk och politisk dialog på hög nivå</w:t>
      </w:r>
      <w:r>
        <w:rPr>
          <w:rFonts w:ascii="Times New Roman" w:hAnsi="Times New Roman"/>
          <w:noProof/>
        </w:rPr>
        <w:t xml:space="preserve"> med länderna, </w:t>
      </w:r>
      <w:r>
        <w:rPr>
          <w:rFonts w:ascii="Times New Roman" w:hAnsi="Times New Roman"/>
          <w:b/>
          <w:bCs/>
          <w:noProof/>
        </w:rPr>
        <w:t>genom regelbundna toppmöten mellan EU och västra Balkan och intensifierade mi</w:t>
      </w:r>
      <w:r>
        <w:rPr>
          <w:rFonts w:ascii="Times New Roman" w:hAnsi="Times New Roman"/>
          <w:b/>
          <w:bCs/>
          <w:noProof/>
        </w:rPr>
        <w:t>nisterkontakter</w:t>
      </w:r>
      <w:r>
        <w:rPr>
          <w:rFonts w:ascii="Times New Roman" w:hAnsi="Times New Roman"/>
          <w:noProof/>
        </w:rPr>
        <w:t xml:space="preserve">, särskilt på områden där anpassningen fortskrider väl och nyckelkriterierna uppfylls. Sådant ökat engagemang skulle kunna leda till att länderna deltar som </w:t>
      </w:r>
      <w:r>
        <w:rPr>
          <w:rFonts w:ascii="Times New Roman" w:hAnsi="Times New Roman"/>
          <w:b/>
          <w:bCs/>
          <w:noProof/>
        </w:rPr>
        <w:t>observatörer</w:t>
      </w:r>
      <w:r>
        <w:rPr>
          <w:rFonts w:ascii="Times New Roman" w:hAnsi="Times New Roman"/>
          <w:noProof/>
        </w:rPr>
        <w:t xml:space="preserve"> vid viktiga EU-möten i frågor av väsentlig betydelse för dem.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Det är v</w:t>
      </w:r>
      <w:r>
        <w:rPr>
          <w:rFonts w:ascii="Times New Roman" w:hAnsi="Times New Roman"/>
          <w:noProof/>
        </w:rPr>
        <w:t xml:space="preserve">iktigt att se till att </w:t>
      </w:r>
      <w:r>
        <w:rPr>
          <w:rFonts w:ascii="Times New Roman" w:hAnsi="Times New Roman"/>
          <w:b/>
          <w:bCs/>
          <w:noProof/>
        </w:rPr>
        <w:t>alla organ inom ramen för stabiliserings- och associeringsavtalet inriktar sig mycket mer på de viktigaste politiska frågorna</w:t>
      </w:r>
      <w:r>
        <w:rPr>
          <w:rFonts w:ascii="Times New Roman" w:hAnsi="Times New Roman"/>
          <w:noProof/>
        </w:rPr>
        <w:t xml:space="preserve"> </w:t>
      </w:r>
      <w:r>
        <w:rPr>
          <w:rFonts w:ascii="Times New Roman" w:hAnsi="Times New Roman"/>
          <w:b/>
          <w:bCs/>
          <w:noProof/>
        </w:rPr>
        <w:t>och reformerna</w:t>
      </w:r>
      <w:r>
        <w:rPr>
          <w:rFonts w:ascii="Times New Roman" w:hAnsi="Times New Roman"/>
          <w:noProof/>
        </w:rPr>
        <w:t xml:space="preserve"> samt möjliggör en verklig politisk dialog. Regeringskonferenser bör möjliggöra en starkare p</w:t>
      </w:r>
      <w:r>
        <w:rPr>
          <w:rFonts w:ascii="Times New Roman" w:hAnsi="Times New Roman"/>
          <w:noProof/>
        </w:rPr>
        <w:t xml:space="preserve">olitisk styrning av anslutningsförhandlingarna.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b/>
          <w:bCs/>
          <w:noProof/>
          <w:u w:val="single"/>
        </w:rPr>
        <w:t>Medlemsstaterna</w:t>
      </w:r>
      <w:r>
        <w:rPr>
          <w:rFonts w:ascii="Times New Roman" w:hAnsi="Times New Roman"/>
          <w:b/>
          <w:bCs/>
          <w:noProof/>
        </w:rPr>
        <w:t xml:space="preserve"> uppmanas bidra mer systematiskt till anslutningsprocessen</w:t>
      </w:r>
      <w:r>
        <w:rPr>
          <w:rFonts w:ascii="Times New Roman" w:hAnsi="Times New Roman"/>
          <w:noProof/>
        </w:rPr>
        <w:t xml:space="preserve">, bland annat genom övervakning på plats genom sina experter, genom direkta bidrag till årsrapporterna och genom sektorsspecifik expertis. Medlemsstaterna får också möjlighet att se över och övervaka de övergripande framstegen mer regelbundet.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b/>
          <w:bCs/>
          <w:noProof/>
          <w:u w:val="single"/>
        </w:rPr>
        <w:t>Kommissio</w:t>
      </w:r>
      <w:r>
        <w:rPr>
          <w:rFonts w:ascii="Times New Roman" w:hAnsi="Times New Roman"/>
          <w:b/>
          <w:bCs/>
          <w:noProof/>
          <w:u w:val="single"/>
        </w:rPr>
        <w:t>nen</w:t>
      </w:r>
      <w:r>
        <w:rPr>
          <w:rFonts w:ascii="Times New Roman" w:hAnsi="Times New Roman"/>
          <w:noProof/>
        </w:rPr>
        <w:t xml:space="preserve"> kommer att fortsätta att utvärdera de övergripande framstegen i förhandlingarna. I sitt årliga utvidgningspaket </w:t>
      </w:r>
      <w:r>
        <w:rPr>
          <w:rFonts w:ascii="Times New Roman" w:hAnsi="Times New Roman"/>
          <w:b/>
          <w:bCs/>
          <w:noProof/>
        </w:rPr>
        <w:t>lägger den fram förslag på reformarbetet under det kommande året</w:t>
      </w:r>
      <w:r>
        <w:rPr>
          <w:rFonts w:ascii="Times New Roman" w:hAnsi="Times New Roman"/>
          <w:noProof/>
        </w:rPr>
        <w:t xml:space="preserve"> mer i detalj, för godkännande av medlemsstaterna, </w:t>
      </w:r>
      <w:r>
        <w:rPr>
          <w:rFonts w:ascii="Times New Roman" w:hAnsi="Times New Roman"/>
          <w:b/>
          <w:bCs/>
          <w:noProof/>
        </w:rPr>
        <w:t>inbegripet förslag till k</w:t>
      </w:r>
      <w:r>
        <w:rPr>
          <w:rFonts w:ascii="Times New Roman" w:hAnsi="Times New Roman"/>
          <w:b/>
          <w:bCs/>
          <w:noProof/>
        </w:rPr>
        <w:t>orrigerande åtgärder</w:t>
      </w:r>
      <w:r>
        <w:rPr>
          <w:rFonts w:ascii="Times New Roman" w:hAnsi="Times New Roman"/>
          <w:noProof/>
        </w:rPr>
        <w:t xml:space="preserve">.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b/>
          <w:bCs/>
          <w:noProof/>
          <w:u w:val="single"/>
        </w:rPr>
        <w:t>Landspecifika regeringskonferenser</w:t>
      </w:r>
      <w:r>
        <w:rPr>
          <w:rFonts w:ascii="Times New Roman" w:hAnsi="Times New Roman"/>
          <w:b/>
          <w:bCs/>
          <w:noProof/>
        </w:rPr>
        <w:t xml:space="preserve"> bör äga rum efter offentliggörandet av kommissionens årliga rapport</w:t>
      </w:r>
      <w:r>
        <w:rPr>
          <w:rFonts w:ascii="Times New Roman" w:hAnsi="Times New Roman"/>
          <w:noProof/>
        </w:rPr>
        <w:t xml:space="preserve"> om varje land och </w:t>
      </w:r>
      <w:r>
        <w:rPr>
          <w:rFonts w:ascii="Times New Roman" w:hAnsi="Times New Roman"/>
          <w:b/>
          <w:bCs/>
          <w:noProof/>
        </w:rPr>
        <w:t>fungera som forum för politisk dialog</w:t>
      </w:r>
      <w:r>
        <w:rPr>
          <w:rFonts w:ascii="Times New Roman" w:hAnsi="Times New Roman"/>
          <w:noProof/>
        </w:rPr>
        <w:t xml:space="preserve"> om reformer , utvärdera det övergripande anslutningsprocessen och faststäl</w:t>
      </w:r>
      <w:r>
        <w:rPr>
          <w:rFonts w:ascii="Times New Roman" w:hAnsi="Times New Roman"/>
          <w:noProof/>
        </w:rPr>
        <w:t xml:space="preserve">la planeringen för det kommande året, inbegripet öppning och stängning av kapitel/kluster av kapitel och eventuella korrigerande åtgärder. Alla sidor måste se till att de företräds i regeringskonferensen </w:t>
      </w:r>
      <w:r>
        <w:rPr>
          <w:rFonts w:ascii="Times New Roman" w:hAnsi="Times New Roman"/>
          <w:b/>
          <w:bCs/>
          <w:noProof/>
        </w:rPr>
        <w:t>på lämplig nivå för att möjliggöra en givande politi</w:t>
      </w:r>
      <w:r>
        <w:rPr>
          <w:rFonts w:ascii="Times New Roman" w:hAnsi="Times New Roman"/>
          <w:b/>
          <w:bCs/>
          <w:noProof/>
        </w:rPr>
        <w:t>sk dialog</w:t>
      </w:r>
      <w:r>
        <w:rPr>
          <w:rFonts w:ascii="Times New Roman" w:hAnsi="Times New Roman"/>
          <w:noProof/>
        </w:rPr>
        <w:t>.</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b/>
          <w:bCs/>
          <w:noProof/>
          <w:u w:val="single"/>
        </w:rPr>
        <w:t>Stabiliserings- och associeringsrådet</w:t>
      </w:r>
      <w:r>
        <w:rPr>
          <w:rFonts w:ascii="Times New Roman" w:hAnsi="Times New Roman"/>
          <w:noProof/>
        </w:rPr>
        <w:t xml:space="preserve"> ger också ett viktigt och kompletterande tillfälle till politisk dialog om reformer. Tillsammans med stabiliserings- och associeringskommittéerna och underkommittéerna kan de dessutom göra det möjligt att </w:t>
      </w:r>
      <w:r>
        <w:rPr>
          <w:rFonts w:ascii="Times New Roman" w:hAnsi="Times New Roman"/>
          <w:b/>
          <w:bCs/>
          <w:noProof/>
        </w:rPr>
        <w:t>bä</w:t>
      </w:r>
      <w:r>
        <w:rPr>
          <w:rFonts w:ascii="Times New Roman" w:hAnsi="Times New Roman"/>
          <w:b/>
          <w:bCs/>
          <w:noProof/>
        </w:rPr>
        <w:t>ttre övervaka framstegen och ta itu med vissa aspekter av den påskyndade integrationen</w:t>
      </w:r>
      <w:r>
        <w:rPr>
          <w:rFonts w:ascii="Times New Roman" w:hAnsi="Times New Roman"/>
          <w:noProof/>
        </w:rPr>
        <w:t xml:space="preserve"> i de respektive klustren (se nedan).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En fördjupad politisk inventering bör ske vid avgörande tillfällen i samband med varje partners anslutningsprocess, till exempel nä</w:t>
      </w:r>
      <w:r>
        <w:rPr>
          <w:rFonts w:ascii="Times New Roman" w:hAnsi="Times New Roman"/>
          <w:noProof/>
        </w:rPr>
        <w:t>r interimistiska riktmärken för grundläggande reformer har uppnåtts, vid varje tidpunkt då rådet fattar beslut om huruvida villkoren för att öppna ett kluster är uppfyllda, och när de övergripande förhandlingarna tekniskt sett är redo att avslutas.</w:t>
      </w:r>
    </w:p>
    <w:p w:rsidR="007C1997" w:rsidRDefault="007C1997">
      <w:pPr>
        <w:spacing w:after="120" w:line="240" w:lineRule="auto"/>
        <w:jc w:val="both"/>
        <w:rPr>
          <w:rFonts w:ascii="Times New Roman" w:hAnsi="Times New Roman" w:cs="Times New Roman"/>
          <w:noProof/>
          <w:sz w:val="24"/>
          <w:szCs w:val="24"/>
        </w:rPr>
      </w:pPr>
    </w:p>
    <w:p w:rsidR="007C1997" w:rsidRDefault="00D070FC">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rPr>
        <w:t>En mer</w:t>
      </w:r>
      <w:r>
        <w:rPr>
          <w:rFonts w:ascii="Times New Roman" w:hAnsi="Times New Roman"/>
          <w:b/>
          <w:noProof/>
        </w:rPr>
        <w:t xml:space="preserve"> dynamisk process </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I syfte att göra förhandlingsprocessen mer dynamisk och främja ett ömsesidigt utbyte av insatser utöver enskilda kapitel kommer </w:t>
      </w:r>
      <w:r>
        <w:rPr>
          <w:rFonts w:ascii="Times New Roman" w:hAnsi="Times New Roman"/>
          <w:b/>
          <w:bCs/>
          <w:noProof/>
        </w:rPr>
        <w:t>förhandlingskapitlen att ordnas i tematiska kluster</w:t>
      </w:r>
      <w:r>
        <w:rPr>
          <w:rFonts w:ascii="Times New Roman" w:hAnsi="Times New Roman"/>
          <w:noProof/>
        </w:rPr>
        <w:t>. Dessa kluster följer breda teman såsom goda styrelseform</w:t>
      </w:r>
      <w:r>
        <w:rPr>
          <w:rFonts w:ascii="Times New Roman" w:hAnsi="Times New Roman"/>
          <w:noProof/>
        </w:rPr>
        <w:t xml:space="preserve">er, den inre marknaden, ekonomisk konkurrenskraft och konnektivitet. </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En indelning av kapitlen i kluster kommer att möjliggöra </w:t>
      </w:r>
      <w:r>
        <w:rPr>
          <w:rFonts w:ascii="Times New Roman" w:hAnsi="Times New Roman"/>
          <w:b/>
          <w:bCs/>
          <w:noProof/>
        </w:rPr>
        <w:t>en tydligare</w:t>
      </w:r>
      <w:r>
        <w:rPr>
          <w:rFonts w:ascii="Times New Roman" w:hAnsi="Times New Roman"/>
          <w:noProof/>
        </w:rPr>
        <w:t xml:space="preserve"> </w:t>
      </w:r>
      <w:r>
        <w:rPr>
          <w:rFonts w:ascii="Times New Roman" w:hAnsi="Times New Roman"/>
          <w:b/>
          <w:bCs/>
          <w:noProof/>
        </w:rPr>
        <w:t>inriktning på kärnsektorer i den politiska dialogen</w:t>
      </w:r>
      <w:r>
        <w:rPr>
          <w:rFonts w:ascii="Times New Roman" w:hAnsi="Times New Roman"/>
          <w:noProof/>
        </w:rPr>
        <w:t xml:space="preserve"> och ge en förbättrad ram för politiskt engagemang på högre nivå.</w:t>
      </w:r>
      <w:r>
        <w:rPr>
          <w:rFonts w:ascii="Times New Roman" w:hAnsi="Times New Roman"/>
          <w:noProof/>
        </w:rPr>
        <w:t xml:space="preserve"> Det kommer att göra det möjligt att identifiera </w:t>
      </w:r>
      <w:r>
        <w:rPr>
          <w:rFonts w:ascii="Times New Roman" w:hAnsi="Times New Roman"/>
          <w:b/>
          <w:bCs/>
          <w:noProof/>
        </w:rPr>
        <w:t>de viktigaste och mest brådskande reformerna per sektor</w:t>
      </w:r>
      <w:r>
        <w:rPr>
          <w:rFonts w:ascii="Times New Roman" w:hAnsi="Times New Roman"/>
          <w:noProof/>
        </w:rPr>
        <w:t>.  Detta kommer att ge övergripande reformprocesser större genomslag på fältet, genom bättre incitament till sektorsvisa reformer i medborgarnas och för</w:t>
      </w:r>
      <w:r>
        <w:rPr>
          <w:rFonts w:ascii="Times New Roman" w:hAnsi="Times New Roman"/>
          <w:noProof/>
        </w:rPr>
        <w:t>etagens intresse.</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b/>
          <w:bCs/>
          <w:noProof/>
        </w:rPr>
        <w:t>Förhandlingarna om varje kluster kommer att öppnas som en helhet</w:t>
      </w:r>
      <w:r>
        <w:rPr>
          <w:rFonts w:ascii="Times New Roman" w:hAnsi="Times New Roman"/>
          <w:noProof/>
        </w:rPr>
        <w:t xml:space="preserve"> </w:t>
      </w:r>
      <w:r>
        <w:rPr>
          <w:rFonts w:ascii="Times New Roman" w:hAnsi="Times New Roman"/>
          <w:b/>
          <w:bCs/>
          <w:noProof/>
        </w:rPr>
        <w:t>– efter att öppningsriktmärkena har uppnåtts –</w:t>
      </w:r>
      <w:r>
        <w:rPr>
          <w:rFonts w:ascii="Times New Roman" w:hAnsi="Times New Roman"/>
          <w:noProof/>
        </w:rPr>
        <w:t xml:space="preserve"> i stället för att föras kapitel för kapitel. Som ett resultat av genomgången, som utförts per kluster, kommer EU och kandidatl</w:t>
      </w:r>
      <w:r>
        <w:rPr>
          <w:rFonts w:ascii="Times New Roman" w:hAnsi="Times New Roman"/>
          <w:noProof/>
        </w:rPr>
        <w:t>andet att komma överens om prioriteringar för snabbare integration och viktiga reformer. När dessa prioriteringar har behandlats tillräckligt ingående öppnas klustret (som omfattar alla tillhörande kapitel) utan ytterligare villkor och stängningsriktmärken</w:t>
      </w:r>
      <w:r>
        <w:rPr>
          <w:rFonts w:ascii="Times New Roman" w:hAnsi="Times New Roman"/>
          <w:noProof/>
        </w:rPr>
        <w:t xml:space="preserve"> fastställs för varje kapitel. Om viktiga reformer redan har genomförts före öppnandet bör tidsfristen mellan öppnandet av klustret och avslutandet av enskilda kapitel begränsas, helst inom ett år, beroende på hur reformerna fortskrider, med fokus på de åt</w:t>
      </w:r>
      <w:r>
        <w:rPr>
          <w:rFonts w:ascii="Times New Roman" w:hAnsi="Times New Roman"/>
          <w:noProof/>
        </w:rPr>
        <w:t xml:space="preserve">erstående åtgärder som krävs för att säkerställa full anpassning. </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b/>
          <w:bCs/>
          <w:noProof/>
        </w:rPr>
        <w:t>Klustren kommer att anpassas till underkommittéer inom ramen för stabiliserings- och associeringsavtalet</w:t>
      </w:r>
      <w:r>
        <w:rPr>
          <w:rFonts w:ascii="Times New Roman" w:hAnsi="Times New Roman"/>
          <w:noProof/>
        </w:rPr>
        <w:t>, så att framstegen i klustret kan övervakas och särskilda åtgärder vidtas för att på</w:t>
      </w:r>
      <w:r>
        <w:rPr>
          <w:rFonts w:ascii="Times New Roman" w:hAnsi="Times New Roman"/>
          <w:noProof/>
        </w:rPr>
        <w:t xml:space="preserve">skynda anpassningen inom ramen för strukturerna i stabiliserings- och associeringsavtalet. Detta kommer att möjliggöra riktade dialoger och fastställande av </w:t>
      </w:r>
      <w:r>
        <w:rPr>
          <w:rFonts w:ascii="Times New Roman" w:hAnsi="Times New Roman"/>
          <w:b/>
          <w:bCs/>
          <w:noProof/>
        </w:rPr>
        <w:t>möjligheter till snabbare anpassning</w:t>
      </w:r>
      <w:r>
        <w:rPr>
          <w:rFonts w:ascii="Times New Roman" w:hAnsi="Times New Roman"/>
          <w:noProof/>
        </w:rPr>
        <w:t xml:space="preserve"> och integrering i alla EU:s politikområden, med tydliga fördel</w:t>
      </w:r>
      <w:r>
        <w:rPr>
          <w:rFonts w:ascii="Times New Roman" w:hAnsi="Times New Roman"/>
          <w:noProof/>
        </w:rPr>
        <w:t>ar för Europeiska unionen och kandidatländerna.</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För att öka dynamiken i </w:t>
      </w:r>
      <w:r>
        <w:rPr>
          <w:rFonts w:ascii="Times New Roman" w:hAnsi="Times New Roman"/>
          <w:b/>
          <w:bCs/>
          <w:noProof/>
        </w:rPr>
        <w:t>förhandlingarna med Serbien och Montenegro</w:t>
      </w:r>
      <w:r>
        <w:rPr>
          <w:rFonts w:ascii="Times New Roman" w:hAnsi="Times New Roman"/>
          <w:noProof/>
        </w:rPr>
        <w:t xml:space="preserve"> kan arbetet med kapitel också ordnas i kluster, samtidigt som man respekterar de befintliga förhandlingsramarna och med dessa länders samtyck</w:t>
      </w:r>
      <w:r>
        <w:rPr>
          <w:rFonts w:ascii="Times New Roman" w:hAnsi="Times New Roman"/>
          <w:noProof/>
        </w:rPr>
        <w:t>e. Detta möjliggör också ökad politisk inriktning på viktiga sektorer och skapa politisk dynamik i länderna kring centrala frågor för anpassning. Möjlighet att inleda ett förfarande för att identifiera områden av intresse för en snabbare anpassning och int</w:t>
      </w:r>
      <w:r>
        <w:rPr>
          <w:rFonts w:ascii="Times New Roman" w:hAnsi="Times New Roman"/>
          <w:noProof/>
        </w:rPr>
        <w:t>egration av sektorerna erbjuds också, tillsammans med gemensamma färdplaner som ska godkännas och följas upp i strukturerna för stabiliserings- och associeringsavtalet.</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 </w:t>
      </w:r>
    </w:p>
    <w:p w:rsidR="007C1997" w:rsidRDefault="00D070FC">
      <w:pPr>
        <w:pStyle w:val="ListParagraph"/>
        <w:numPr>
          <w:ilvl w:val="0"/>
          <w:numId w:val="32"/>
        </w:numPr>
        <w:spacing w:after="120" w:line="240" w:lineRule="auto"/>
        <w:jc w:val="both"/>
        <w:rPr>
          <w:rFonts w:ascii="Times New Roman" w:hAnsi="Times New Roman" w:cs="Times New Roman"/>
          <w:b/>
          <w:noProof/>
          <w:sz w:val="24"/>
          <w:szCs w:val="24"/>
          <w:u w:val="single"/>
        </w:rPr>
      </w:pPr>
      <w:r>
        <w:rPr>
          <w:rFonts w:ascii="Times New Roman" w:hAnsi="Times New Roman"/>
          <w:b/>
          <w:noProof/>
        </w:rPr>
        <w:t xml:space="preserve">Förutsebarhet, positiv och negativ villkorlighet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Det finns starka krav från medlemss</w:t>
      </w:r>
      <w:r>
        <w:rPr>
          <w:rFonts w:ascii="Times New Roman" w:hAnsi="Times New Roman"/>
          <w:noProof/>
        </w:rPr>
        <w:t xml:space="preserve">taterna och länderna på västra Balkan på en process som är mer förutsägbar och ger </w:t>
      </w:r>
      <w:r>
        <w:rPr>
          <w:rFonts w:ascii="Times New Roman" w:hAnsi="Times New Roman"/>
          <w:b/>
          <w:bCs/>
          <w:noProof/>
        </w:rPr>
        <w:t>större klarhet om vad unionen förväntar sig</w:t>
      </w:r>
      <w:r>
        <w:rPr>
          <w:rFonts w:ascii="Times New Roman" w:hAnsi="Times New Roman"/>
          <w:noProof/>
        </w:rPr>
        <w:t xml:space="preserve"> av utvidgningsländerna i olika skeden av processen, och om vilka </w:t>
      </w:r>
      <w:r>
        <w:rPr>
          <w:rFonts w:ascii="Times New Roman" w:hAnsi="Times New Roman"/>
          <w:b/>
          <w:bCs/>
          <w:noProof/>
        </w:rPr>
        <w:t xml:space="preserve">positiva och negativa konsekvenser </w:t>
      </w:r>
      <w:r>
        <w:rPr>
          <w:rFonts w:ascii="Times New Roman" w:hAnsi="Times New Roman"/>
          <w:noProof/>
        </w:rPr>
        <w:t xml:space="preserve"> framsteg</w:t>
      </w:r>
      <w:r>
        <w:rPr>
          <w:rFonts w:ascii="Times New Roman" w:hAnsi="Times New Roman"/>
          <w:b/>
          <w:noProof/>
        </w:rPr>
        <w:t xml:space="preserve"> </w:t>
      </w:r>
      <w:r>
        <w:rPr>
          <w:rFonts w:ascii="Times New Roman" w:hAnsi="Times New Roman"/>
          <w:noProof/>
        </w:rPr>
        <w:t xml:space="preserve">eller brist på framsteg får. </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 xml:space="preserve">Kommissionen kommer att använda </w:t>
      </w:r>
      <w:r>
        <w:rPr>
          <w:rFonts w:ascii="Times New Roman" w:hAnsi="Times New Roman"/>
          <w:b/>
          <w:bCs/>
          <w:noProof/>
        </w:rPr>
        <w:t>utvidgningspaketet för att kontrollera kandidatländernas efterlevnad av kraven</w:t>
      </w:r>
      <w:r>
        <w:rPr>
          <w:rFonts w:ascii="Times New Roman" w:hAnsi="Times New Roman"/>
          <w:noProof/>
        </w:rPr>
        <w:t xml:space="preserve"> i gemenskapens regelverk och </w:t>
      </w:r>
      <w:r>
        <w:rPr>
          <w:rFonts w:ascii="Times New Roman" w:hAnsi="Times New Roman"/>
          <w:b/>
          <w:bCs/>
          <w:noProof/>
        </w:rPr>
        <w:t>ge</w:t>
      </w:r>
      <w:r>
        <w:rPr>
          <w:rFonts w:ascii="Times New Roman" w:hAnsi="Times New Roman"/>
          <w:noProof/>
        </w:rPr>
        <w:t xml:space="preserve"> </w:t>
      </w:r>
      <w:r>
        <w:rPr>
          <w:rFonts w:ascii="Times New Roman" w:hAnsi="Times New Roman"/>
          <w:b/>
          <w:bCs/>
          <w:noProof/>
        </w:rPr>
        <w:t>tydligare vägledning</w:t>
      </w:r>
      <w:r>
        <w:rPr>
          <w:rFonts w:ascii="Times New Roman" w:hAnsi="Times New Roman"/>
          <w:noProof/>
        </w:rPr>
        <w:t xml:space="preserve"> om särskilda reformprioriteringar och anpassningskriterier sam</w:t>
      </w:r>
      <w:r>
        <w:rPr>
          <w:rFonts w:ascii="Times New Roman" w:hAnsi="Times New Roman"/>
          <w:noProof/>
        </w:rPr>
        <w:t>t förväntningar om nästa steg i processen. En starkare politisk styrning och regeringskonferenser med nya inriktningar kommer att öka förutsägbarheten, med tydligare</w:t>
      </w:r>
      <w:r>
        <w:rPr>
          <w:rFonts w:ascii="Times New Roman" w:hAnsi="Times New Roman"/>
          <w:b/>
          <w:noProof/>
        </w:rPr>
        <w:t xml:space="preserve"> </w:t>
      </w:r>
      <w:r>
        <w:rPr>
          <w:rFonts w:ascii="Times New Roman" w:hAnsi="Times New Roman"/>
          <w:noProof/>
        </w:rPr>
        <w:t>planering för det kommande året. De politiska aktörerna i länderna får därmed en tydligare</w:t>
      </w:r>
      <w:r>
        <w:rPr>
          <w:rFonts w:ascii="Times New Roman" w:hAnsi="Times New Roman"/>
          <w:noProof/>
        </w:rPr>
        <w:t xml:space="preserve"> bild av vad som måste göras för att gå vidare. Detta kommer att inbegripa uppgifter om vilka kluster/kapitel som eventuellt kan öppnas eller stängas och, i förekommande fall, vilka villkor som fortfarande måste uppfyllas för att detta ska ske. </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b/>
          <w:noProof/>
        </w:rPr>
        <w:t>Det centra</w:t>
      </w:r>
      <w:r>
        <w:rPr>
          <w:rFonts w:ascii="Times New Roman" w:hAnsi="Times New Roman"/>
          <w:b/>
          <w:noProof/>
        </w:rPr>
        <w:t xml:space="preserve">la inslaget i anslutningsprocessen på grundval av meriter är dess villkorlighet. </w:t>
      </w:r>
      <w:r>
        <w:rPr>
          <w:rFonts w:ascii="Times New Roman" w:hAnsi="Times New Roman"/>
          <w:noProof/>
        </w:rPr>
        <w:t xml:space="preserve">Emellertid </w:t>
      </w:r>
      <w:r>
        <w:rPr>
          <w:rFonts w:ascii="Times New Roman" w:hAnsi="Times New Roman"/>
          <w:b/>
          <w:bCs/>
          <w:noProof/>
        </w:rPr>
        <w:t>måste villkoren vara tydliga</w:t>
      </w:r>
      <w:r>
        <w:rPr>
          <w:rFonts w:ascii="Times New Roman" w:hAnsi="Times New Roman"/>
          <w:noProof/>
        </w:rPr>
        <w:t xml:space="preserve"> från början för att åstadkomma detta. Det är viktigt att kandidatländerna känner till de riktmärken som deras resultat kommer att mätas</w:t>
      </w:r>
      <w:r>
        <w:rPr>
          <w:rFonts w:ascii="Times New Roman" w:hAnsi="Times New Roman"/>
          <w:noProof/>
        </w:rPr>
        <w:t xml:space="preserve"> mot, och att medlemsstaterna delar en tydlig förståelse av exakt vad som förväntas av de sökande. </w:t>
      </w:r>
      <w:r>
        <w:rPr>
          <w:rFonts w:ascii="Times New Roman" w:hAnsi="Times New Roman"/>
          <w:b/>
          <w:bCs/>
          <w:noProof/>
        </w:rPr>
        <w:t>Kommissionen kommer att bättre definiera de villkor som uppställs för anslutningskandidaternas</w:t>
      </w:r>
      <w:r>
        <w:rPr>
          <w:rFonts w:ascii="Times New Roman" w:hAnsi="Times New Roman"/>
          <w:noProof/>
        </w:rPr>
        <w:t xml:space="preserve"> framsteg, särskilt genom sina årsrapporter. Dessa villkor ska </w:t>
      </w:r>
      <w:r>
        <w:rPr>
          <w:rFonts w:ascii="Times New Roman" w:hAnsi="Times New Roman"/>
          <w:noProof/>
        </w:rPr>
        <w:t xml:space="preserve">vara objektiva, precisa, detaljerade, strikta och kontrollerbara. Kommissionen kommer också att använda indikatorer från tredje part, när detta är relevant, för att ge medlemsstaterna största möjliga underlag för sina beslut. </w:t>
      </w:r>
    </w:p>
    <w:p w:rsidR="007C1997" w:rsidRDefault="00D070FC">
      <w:pPr>
        <w:spacing w:after="120" w:line="240" w:lineRule="auto"/>
        <w:jc w:val="both"/>
        <w:rPr>
          <w:rFonts w:ascii="Times New Roman" w:hAnsi="Times New Roman" w:cs="Times New Roman"/>
          <w:b/>
          <w:noProof/>
          <w:sz w:val="24"/>
          <w:szCs w:val="24"/>
          <w:u w:val="single"/>
        </w:rPr>
      </w:pPr>
      <w:r>
        <w:rPr>
          <w:rFonts w:ascii="Times New Roman" w:hAnsi="Times New Roman"/>
          <w:noProof/>
        </w:rPr>
        <w:t xml:space="preserve">Genom att tillhandahålla </w:t>
      </w:r>
      <w:r>
        <w:rPr>
          <w:rFonts w:ascii="Times New Roman" w:hAnsi="Times New Roman"/>
          <w:b/>
          <w:bCs/>
          <w:noProof/>
        </w:rPr>
        <w:t>tydl</w:t>
      </w:r>
      <w:r>
        <w:rPr>
          <w:rFonts w:ascii="Times New Roman" w:hAnsi="Times New Roman"/>
          <w:b/>
          <w:bCs/>
          <w:noProof/>
        </w:rPr>
        <w:t>iga och konkreta incitament av direkt intresse för invånarna kan EU främja verklig politisk vilja</w:t>
      </w:r>
      <w:r>
        <w:rPr>
          <w:rFonts w:ascii="Times New Roman" w:hAnsi="Times New Roman"/>
          <w:noProof/>
        </w:rPr>
        <w:t xml:space="preserve"> och belöna resultat som uppstår genom krävande reformer och politiska, ekonomiska och samhälleliga förändringar. </w:t>
      </w:r>
      <w:r>
        <w:rPr>
          <w:rFonts w:ascii="Times New Roman" w:hAnsi="Times New Roman"/>
          <w:b/>
          <w:noProof/>
        </w:rPr>
        <w:t xml:space="preserve">Om länderna i tillräckligt hög grad genomför </w:t>
      </w:r>
      <w:r>
        <w:rPr>
          <w:rFonts w:ascii="Times New Roman" w:hAnsi="Times New Roman"/>
          <w:b/>
          <w:noProof/>
        </w:rPr>
        <w:t xml:space="preserve">de reformprioriteringar som man enats om i förhandlingarna bör detta leda till följande: </w:t>
      </w:r>
    </w:p>
    <w:p w:rsidR="007C1997" w:rsidRDefault="00D070FC">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u w:val="single"/>
        </w:rPr>
        <w:t>Ökad integrering</w:t>
      </w:r>
      <w:r>
        <w:rPr>
          <w:rFonts w:ascii="Times New Roman" w:hAnsi="Times New Roman"/>
          <w:noProof/>
        </w:rPr>
        <w:t xml:space="preserve"> av landet med Europeiska unionen, </w:t>
      </w:r>
      <w:r>
        <w:rPr>
          <w:rFonts w:ascii="Times New Roman" w:hAnsi="Times New Roman"/>
          <w:noProof/>
          <w:u w:val="single"/>
        </w:rPr>
        <w:t>arbete med att påskynda integreringen och ”fasa in” enskilda EU-politikområden</w:t>
      </w:r>
      <w:r>
        <w:rPr>
          <w:rFonts w:ascii="Times New Roman" w:hAnsi="Times New Roman"/>
          <w:noProof/>
        </w:rPr>
        <w:t>, EU:s marknad och EU-program, samtid</w:t>
      </w:r>
      <w:r>
        <w:rPr>
          <w:rFonts w:ascii="Times New Roman" w:hAnsi="Times New Roman"/>
          <w:noProof/>
        </w:rPr>
        <w:t xml:space="preserve">igt som lika villkor säkerställs. </w:t>
      </w:r>
    </w:p>
    <w:p w:rsidR="007C1997" w:rsidRDefault="00D070FC">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u w:val="single"/>
        </w:rPr>
        <w:t>Ökad finansiering och ökade investeringar</w:t>
      </w:r>
      <w:r>
        <w:rPr>
          <w:rFonts w:ascii="Times New Roman" w:hAnsi="Times New Roman"/>
          <w:noProof/>
        </w:rPr>
        <w:t xml:space="preserve"> — bland annat genom ett resultatbaserat och reforminriktat instrument för stöd inför anslutningen och närmare samarbete med internationella finansinstitut för att öka stödet.</w:t>
      </w:r>
    </w:p>
    <w:p w:rsidR="007C1997" w:rsidRDefault="00D070FC">
      <w:pPr>
        <w:spacing w:after="120" w:line="240" w:lineRule="auto"/>
        <w:jc w:val="both"/>
        <w:rPr>
          <w:rFonts w:ascii="Times New Roman" w:hAnsi="Times New Roman" w:cs="Times New Roman"/>
          <w:noProof/>
          <w:sz w:val="24"/>
          <w:szCs w:val="24"/>
        </w:rPr>
      </w:pPr>
      <w:r>
        <w:rPr>
          <w:rFonts w:ascii="Times New Roman" w:hAnsi="Times New Roman"/>
          <w:noProof/>
        </w:rPr>
        <w:t>Dess</w:t>
      </w:r>
      <w:r>
        <w:rPr>
          <w:rFonts w:ascii="Times New Roman" w:hAnsi="Times New Roman"/>
          <w:noProof/>
        </w:rPr>
        <w:t xml:space="preserve">a åtgärder bör, genom användningen av EU-medel, bidra till att skapa en stark europeisk preferens som är förenlig med WTO:s bestämmelser, samtidigt som en stark lokal ekonomi skapas. </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Samtidigt som reformer måste uppmuntras och belönas mer konkret, finns det ett behov av </w:t>
      </w:r>
      <w:r>
        <w:rPr>
          <w:rFonts w:ascii="Times New Roman" w:hAnsi="Times New Roman"/>
          <w:b/>
          <w:bCs/>
          <w:noProof/>
        </w:rPr>
        <w:t>mer kraftfulla åtgärder som proportionellt sanktionerar allvarlig eller långvarig stagnation, eller tillbakagång</w:t>
      </w:r>
      <w:r>
        <w:rPr>
          <w:rFonts w:ascii="Times New Roman" w:hAnsi="Times New Roman"/>
          <w:noProof/>
        </w:rPr>
        <w:t>, i att genomföra reformer och uppfylla anslutningsproce</w:t>
      </w:r>
      <w:r>
        <w:rPr>
          <w:rFonts w:ascii="Times New Roman" w:hAnsi="Times New Roman"/>
          <w:noProof/>
        </w:rPr>
        <w:t>ssens krav.</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Sådana beslut om att stoppa eller till och med upphäva processen bör grundas på </w:t>
      </w:r>
      <w:r>
        <w:rPr>
          <w:rFonts w:ascii="Times New Roman" w:hAnsi="Times New Roman"/>
          <w:b/>
          <w:bCs/>
          <w:noProof/>
        </w:rPr>
        <w:t>kommissionens årliga bedömning</w:t>
      </w:r>
      <w:r>
        <w:rPr>
          <w:rFonts w:ascii="Times New Roman" w:hAnsi="Times New Roman"/>
          <w:noProof/>
        </w:rPr>
        <w:t xml:space="preserve"> i utvidgningspaketet om det totala saldot i anslutningsförhandlingarna och om i vilken utsträckning grundläggande reformer, särskilt </w:t>
      </w:r>
      <w:r>
        <w:rPr>
          <w:rFonts w:ascii="Times New Roman" w:hAnsi="Times New Roman"/>
          <w:noProof/>
        </w:rPr>
        <w:t xml:space="preserve">när det gäller rättsstatsprincipen, håller på att genomföras. Medlemsstaterna fortsätter kunna bidra till denna process genom att underrätta kommissionen om eventuell stagnation eller allvarlig tillbakagång i reformprocessen. </w:t>
      </w:r>
    </w:p>
    <w:p w:rsidR="007C1997" w:rsidRDefault="00D070FC">
      <w:pPr>
        <w:widowControl w:val="0"/>
        <w:spacing w:after="120" w:line="240" w:lineRule="auto"/>
        <w:jc w:val="both"/>
        <w:rPr>
          <w:rFonts w:ascii="Times New Roman" w:hAnsi="Times New Roman" w:cs="Times New Roman"/>
          <w:noProof/>
          <w:sz w:val="24"/>
          <w:szCs w:val="24"/>
        </w:rPr>
      </w:pPr>
      <w:r>
        <w:rPr>
          <w:rFonts w:ascii="Times New Roman" w:hAnsi="Times New Roman"/>
          <w:noProof/>
        </w:rPr>
        <w:t>I allvarliga fall kan kommiss</w:t>
      </w:r>
      <w:r>
        <w:rPr>
          <w:rFonts w:ascii="Times New Roman" w:hAnsi="Times New Roman"/>
          <w:noProof/>
        </w:rPr>
        <w:t xml:space="preserve">ionen när som helst lägga fram förslag, antingen på egen hand eller på motiverad begäran av en medlemsstat, för att säkerställa snabbt åtgärdande av situationen genom, när så är lämpligt, förenklade förfaranden, inbegripet omröstning via omvänd majoritet. </w:t>
      </w:r>
      <w:r>
        <w:rPr>
          <w:rFonts w:ascii="Times New Roman" w:hAnsi="Times New Roman"/>
          <w:noProof/>
        </w:rPr>
        <w:t xml:space="preserve">  </w:t>
      </w:r>
    </w:p>
    <w:p w:rsidR="007C1997" w:rsidRDefault="00D070FC">
      <w:pPr>
        <w:widowControl w:val="0"/>
        <w:spacing w:after="120" w:line="240" w:lineRule="auto"/>
        <w:jc w:val="both"/>
        <w:rPr>
          <w:rFonts w:ascii="Times New Roman" w:hAnsi="Times New Roman" w:cs="Times New Roman"/>
          <w:noProof/>
          <w:sz w:val="24"/>
          <w:szCs w:val="24"/>
        </w:rPr>
      </w:pPr>
      <w:bookmarkStart w:id="1" w:name="_GoBack"/>
      <w:bookmarkEnd w:id="1"/>
      <w:r>
        <w:rPr>
          <w:rFonts w:ascii="Times New Roman" w:hAnsi="Times New Roman"/>
          <w:b/>
          <w:bCs/>
          <w:noProof/>
        </w:rPr>
        <w:t>EU kan hantera potentiella problem på flera olika sätt:</w:t>
      </w:r>
      <w:r>
        <w:rPr>
          <w:rFonts w:ascii="Times New Roman" w:hAnsi="Times New Roman"/>
          <w:b/>
          <w:noProof/>
        </w:rPr>
        <w:t xml:space="preserve"> </w:t>
      </w:r>
    </w:p>
    <w:p w:rsidR="007C1997" w:rsidRDefault="00D070FC">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Medlemsstaterna kan besluta att </w:t>
      </w:r>
      <w:r>
        <w:rPr>
          <w:rFonts w:ascii="Times New Roman" w:hAnsi="Times New Roman"/>
          <w:noProof/>
          <w:u w:val="single"/>
        </w:rPr>
        <w:t>förhandlingar</w:t>
      </w:r>
      <w:r>
        <w:rPr>
          <w:rFonts w:ascii="Times New Roman" w:hAnsi="Times New Roman"/>
          <w:noProof/>
        </w:rPr>
        <w:t xml:space="preserve"> kan </w:t>
      </w:r>
      <w:r>
        <w:rPr>
          <w:rFonts w:ascii="Times New Roman" w:hAnsi="Times New Roman"/>
          <w:noProof/>
          <w:u w:val="single"/>
        </w:rPr>
        <w:t>uppskjutas</w:t>
      </w:r>
      <w:r>
        <w:rPr>
          <w:rFonts w:ascii="Times New Roman" w:hAnsi="Times New Roman"/>
          <w:noProof/>
        </w:rPr>
        <w:t xml:space="preserve"> på vissa områden eller, i de allvarligaste fallen, </w:t>
      </w:r>
      <w:r>
        <w:rPr>
          <w:rFonts w:ascii="Times New Roman" w:hAnsi="Times New Roman"/>
          <w:noProof/>
          <w:u w:val="single"/>
        </w:rPr>
        <w:t>avbrytas</w:t>
      </w:r>
      <w:r>
        <w:rPr>
          <w:rFonts w:ascii="Times New Roman" w:hAnsi="Times New Roman"/>
          <w:noProof/>
        </w:rPr>
        <w:t xml:space="preserve"> helt. </w:t>
      </w:r>
      <w:r>
        <w:rPr>
          <w:rFonts w:ascii="Times New Roman" w:hAnsi="Times New Roman"/>
          <w:noProof/>
          <w:u w:val="single"/>
        </w:rPr>
        <w:t>Redan avslutade kapitel kan öppnas på nytt</w:t>
      </w:r>
      <w:r>
        <w:rPr>
          <w:rFonts w:ascii="Times New Roman" w:hAnsi="Times New Roman"/>
          <w:noProof/>
        </w:rPr>
        <w:t xml:space="preserve"> eller återställas om frå</w:t>
      </w:r>
      <w:r>
        <w:rPr>
          <w:rFonts w:ascii="Times New Roman" w:hAnsi="Times New Roman"/>
          <w:noProof/>
        </w:rPr>
        <w:t>gorna måste bedömas på nytt.</w:t>
      </w:r>
    </w:p>
    <w:p w:rsidR="007C1997" w:rsidRDefault="00D070FC">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EU-finansieringens </w:t>
      </w:r>
      <w:r>
        <w:rPr>
          <w:rFonts w:ascii="Times New Roman" w:hAnsi="Times New Roman"/>
          <w:noProof/>
          <w:u w:val="single"/>
        </w:rPr>
        <w:t>omfattning och nivå skulle kunna justeras nedåt, med undantag för stöd till det civila samhället</w:t>
      </w:r>
      <w:r>
        <w:rPr>
          <w:rFonts w:ascii="Times New Roman" w:hAnsi="Times New Roman"/>
          <w:noProof/>
        </w:rPr>
        <w:t xml:space="preserve">. </w:t>
      </w:r>
    </w:p>
    <w:p w:rsidR="007C1997" w:rsidRDefault="00D070FC">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u w:val="single"/>
        </w:rPr>
        <w:t>Fördelarna med en ökad integration</w:t>
      </w:r>
      <w:r>
        <w:rPr>
          <w:rFonts w:ascii="Times New Roman" w:hAnsi="Times New Roman"/>
          <w:noProof/>
        </w:rPr>
        <w:t>, t.ex. tillgång till EU-program, ensidiga koncessioner för marknadstillträ</w:t>
      </w:r>
      <w:r>
        <w:rPr>
          <w:rFonts w:ascii="Times New Roman" w:hAnsi="Times New Roman"/>
          <w:noProof/>
        </w:rPr>
        <w:t xml:space="preserve">de, </w:t>
      </w:r>
      <w:r>
        <w:rPr>
          <w:rFonts w:ascii="Times New Roman" w:hAnsi="Times New Roman"/>
          <w:noProof/>
          <w:u w:val="single"/>
        </w:rPr>
        <w:t>kan pausas eller dras tillbaka</w:t>
      </w:r>
      <w:r>
        <w:rPr>
          <w:rFonts w:ascii="Times New Roman" w:hAnsi="Times New Roman"/>
          <w:noProof/>
        </w:rPr>
        <w:t>.</w:t>
      </w:r>
    </w:p>
    <w:p w:rsidR="007C1997" w:rsidRDefault="00D070FC">
      <w:pPr>
        <w:widowControl w:val="0"/>
        <w:spacing w:after="120" w:line="240" w:lineRule="auto"/>
        <w:jc w:val="both"/>
        <w:rPr>
          <w:rFonts w:ascii="Times New Roman" w:hAnsi="Times New Roman" w:cs="Times New Roman"/>
          <w:noProof/>
          <w:sz w:val="24"/>
          <w:szCs w:val="24"/>
          <w:u w:val="single"/>
        </w:rPr>
      </w:pPr>
      <w:r>
        <w:rPr>
          <w:rFonts w:ascii="Times New Roman" w:hAnsi="Times New Roman"/>
          <w:noProof/>
        </w:rPr>
        <w:t xml:space="preserve">Förutsägbarheten och villkorligheten kommer också att förbättras genom </w:t>
      </w:r>
      <w:r>
        <w:rPr>
          <w:rFonts w:ascii="Times New Roman" w:hAnsi="Times New Roman"/>
          <w:b/>
          <w:bCs/>
          <w:noProof/>
        </w:rPr>
        <w:t>ökad öppenhet</w:t>
      </w:r>
      <w:r>
        <w:rPr>
          <w:rFonts w:ascii="Times New Roman" w:hAnsi="Times New Roman"/>
          <w:noProof/>
        </w:rPr>
        <w:t xml:space="preserve">. För att säkerställa reformernas hållbarhet och underlätta övervakningen av genomförandet bör alla viktiga reformer i länderna </w:t>
      </w:r>
      <w:r>
        <w:rPr>
          <w:rFonts w:ascii="Times New Roman" w:hAnsi="Times New Roman"/>
          <w:noProof/>
        </w:rPr>
        <w:t>genomföras på ett fullständigt öppet och inkluderande sätt, med deltagande av viktiga aktörer. Europeiska unionen bör å sin sida sträva efter att göra processen mer öppen, med mer omfattande offentliggörande av viktiga dokument.</w:t>
      </w:r>
      <w:r>
        <w:rPr>
          <w:rFonts w:ascii="Times New Roman" w:hAnsi="Times New Roman"/>
          <w:noProof/>
          <w:u w:val="single"/>
        </w:rPr>
        <w:t xml:space="preserve"> </w:t>
      </w:r>
    </w:p>
    <w:p w:rsidR="007C1997" w:rsidRDefault="00D070FC">
      <w:pPr>
        <w:pStyle w:val="Briefingtext"/>
        <w:spacing w:after="120"/>
        <w:rPr>
          <w:rFonts w:ascii="Times New Roman" w:eastAsia="Calibri" w:hAnsi="Times New Roman" w:cs="Times New Roman"/>
          <w:noProof/>
          <w:sz w:val="24"/>
        </w:rPr>
      </w:pPr>
      <w:r>
        <w:rPr>
          <w:rFonts w:ascii="Times New Roman" w:hAnsi="Times New Roman"/>
          <w:noProof/>
        </w:rPr>
        <w:t xml:space="preserve">Kommissionen kommer också </w:t>
      </w:r>
      <w:r>
        <w:rPr>
          <w:rFonts w:ascii="Times New Roman" w:hAnsi="Times New Roman"/>
          <w:noProof/>
        </w:rPr>
        <w:t xml:space="preserve">att fortsätta sin kommunikations- och informationsverksamhet, även i EU-länderna, där det i första hand är medlemsstaternas uppgift att informera sina medborgare och ge dem fakta om processens strategiska möjligheter och utmaningar. </w:t>
      </w:r>
    </w:p>
    <w:p w:rsidR="007C1997" w:rsidRDefault="00D070FC">
      <w:pPr>
        <w:pStyle w:val="Briefingtext"/>
        <w:spacing w:after="120"/>
        <w:rPr>
          <w:rFonts w:ascii="Times New Roman" w:hAnsi="Times New Roman" w:cs="Times New Roman"/>
          <w:noProof/>
          <w:sz w:val="24"/>
        </w:rPr>
      </w:pPr>
      <w:r>
        <w:rPr>
          <w:rFonts w:ascii="Times New Roman" w:hAnsi="Times New Roman"/>
          <w:noProof/>
        </w:rPr>
        <w:t>En tabell med de föres</w:t>
      </w:r>
      <w:r>
        <w:rPr>
          <w:rFonts w:ascii="Times New Roman" w:hAnsi="Times New Roman"/>
          <w:noProof/>
        </w:rPr>
        <w:t xml:space="preserve">lagna kapitelklustren återfinns i bilagan. Kapitel 34 ” Institutioner ” och kapitel 35 ” Övriga frågor ” kommer att behandlas separat. </w:t>
      </w:r>
      <w:r>
        <w:rPr>
          <w:rFonts w:ascii="Times New Roman" w:hAnsi="Times New Roman"/>
          <w:noProof/>
        </w:rPr>
        <w:br w:type="page"/>
      </w:r>
    </w:p>
    <w:p w:rsidR="007C1997" w:rsidRDefault="00D070FC">
      <w:pPr>
        <w:pageBreakBefore/>
        <w:spacing w:after="120" w:line="240" w:lineRule="auto"/>
        <w:jc w:val="both"/>
        <w:rPr>
          <w:rFonts w:ascii="Times New Roman" w:hAnsi="Times New Roman"/>
          <w:b/>
          <w:noProof/>
          <w:sz w:val="24"/>
          <w:u w:val="single"/>
        </w:rPr>
      </w:pPr>
      <w:r>
        <w:rPr>
          <w:rFonts w:ascii="Times New Roman" w:hAnsi="Times New Roman"/>
          <w:b/>
          <w:noProof/>
          <w:u w:val="single"/>
        </w:rPr>
        <w:t>Teknisk bilaga: kluster av förhandlingskapitel</w:t>
      </w:r>
    </w:p>
    <w:p w:rsidR="007C1997" w:rsidRDefault="007C1997">
      <w:pPr>
        <w:spacing w:after="120" w:line="240" w:lineRule="auto"/>
        <w:jc w:val="both"/>
        <w:rPr>
          <w:rFonts w:ascii="Times New Roman" w:hAnsi="Times New Roman" w:cs="Times New Roman"/>
          <w:b/>
          <w:noProof/>
          <w:sz w:val="24"/>
          <w:szCs w:val="24"/>
          <w:u w:val="single"/>
        </w:rPr>
      </w:pPr>
    </w:p>
    <w:tbl>
      <w:tblPr>
        <w:tblStyle w:val="TableGrid1"/>
        <w:tblW w:w="0" w:type="auto"/>
        <w:tblLook w:val="04A0" w:firstRow="1" w:lastRow="0" w:firstColumn="1" w:lastColumn="0" w:noHBand="0" w:noVBand="1"/>
      </w:tblPr>
      <w:tblGrid>
        <w:gridCol w:w="4656"/>
        <w:gridCol w:w="4630"/>
      </w:tblGrid>
      <w:tr w:rsidR="007C1997">
        <w:tc>
          <w:tcPr>
            <w:tcW w:w="4656" w:type="dxa"/>
          </w:tcPr>
          <w:p w:rsidR="007C1997" w:rsidRDefault="00D070FC">
            <w:pPr>
              <w:numPr>
                <w:ilvl w:val="0"/>
                <w:numId w:val="20"/>
              </w:numPr>
              <w:spacing w:after="120"/>
              <w:ind w:left="284" w:hanging="284"/>
              <w:rPr>
                <w:rFonts w:ascii="Times New Roman" w:hAnsi="Times New Roman" w:cs="Times New Roman"/>
                <w:b/>
                <w:noProof/>
                <w:color w:val="000000" w:themeColor="text1"/>
                <w:sz w:val="24"/>
                <w:szCs w:val="24"/>
              </w:rPr>
            </w:pPr>
            <w:r>
              <w:rPr>
                <w:rFonts w:ascii="Times New Roman" w:hAnsi="Times New Roman"/>
                <w:b/>
                <w:noProof/>
              </w:rPr>
              <w:t xml:space="preserve">Grundläggande principer </w:t>
            </w:r>
          </w:p>
        </w:tc>
        <w:tc>
          <w:tcPr>
            <w:tcW w:w="4630" w:type="dxa"/>
          </w:tcPr>
          <w:p w:rsidR="007C1997" w:rsidRDefault="00D070FC">
            <w:pPr>
              <w:rPr>
                <w:rFonts w:ascii="Times New Roman" w:hAnsi="Times New Roman" w:cs="Times New Roman"/>
                <w:noProof/>
                <w:sz w:val="24"/>
                <w:szCs w:val="24"/>
              </w:rPr>
            </w:pPr>
            <w:r>
              <w:rPr>
                <w:rFonts w:ascii="Times New Roman" w:hAnsi="Times New Roman"/>
                <w:noProof/>
              </w:rPr>
              <w:t xml:space="preserve">23 - Rättsväsen och grundläggande rättigheter </w:t>
            </w:r>
          </w:p>
          <w:p w:rsidR="007C1997" w:rsidRDefault="00D070FC">
            <w:pPr>
              <w:rPr>
                <w:rFonts w:ascii="Times New Roman" w:hAnsi="Times New Roman" w:cs="Times New Roman"/>
                <w:noProof/>
                <w:sz w:val="24"/>
                <w:szCs w:val="24"/>
              </w:rPr>
            </w:pPr>
            <w:r>
              <w:rPr>
                <w:rFonts w:ascii="Times New Roman" w:hAnsi="Times New Roman"/>
                <w:noProof/>
              </w:rPr>
              <w:t>24 - Rättvisa, frihet och säkerhet</w:t>
            </w:r>
          </w:p>
          <w:p w:rsidR="007C1997" w:rsidRDefault="00D070FC">
            <w:pPr>
              <w:rPr>
                <w:rFonts w:ascii="Times New Roman" w:hAnsi="Times New Roman" w:cs="Times New Roman"/>
                <w:noProof/>
                <w:sz w:val="24"/>
                <w:szCs w:val="24"/>
              </w:rPr>
            </w:pPr>
            <w:r>
              <w:rPr>
                <w:rFonts w:ascii="Times New Roman" w:hAnsi="Times New Roman"/>
                <w:noProof/>
              </w:rPr>
              <w:t>Ekonomiska kriterier</w:t>
            </w:r>
          </w:p>
          <w:p w:rsidR="007C1997" w:rsidRDefault="00D070FC">
            <w:pPr>
              <w:rPr>
                <w:rFonts w:ascii="Times New Roman" w:hAnsi="Times New Roman" w:cs="Times New Roman"/>
                <w:noProof/>
                <w:sz w:val="24"/>
                <w:szCs w:val="24"/>
              </w:rPr>
            </w:pPr>
            <w:r>
              <w:rPr>
                <w:rFonts w:ascii="Times New Roman" w:hAnsi="Times New Roman"/>
                <w:noProof/>
              </w:rPr>
              <w:t xml:space="preserve">Fungerande demokratiska institutioner </w:t>
            </w:r>
          </w:p>
          <w:p w:rsidR="007C1997" w:rsidRDefault="00D070FC">
            <w:pPr>
              <w:rPr>
                <w:rFonts w:ascii="Times New Roman" w:hAnsi="Times New Roman" w:cs="Times New Roman"/>
                <w:noProof/>
                <w:sz w:val="24"/>
                <w:szCs w:val="24"/>
              </w:rPr>
            </w:pPr>
            <w:r>
              <w:rPr>
                <w:rFonts w:ascii="Times New Roman" w:hAnsi="Times New Roman"/>
                <w:noProof/>
              </w:rPr>
              <w:t xml:space="preserve">Reform av den offentliga förvaltningen </w:t>
            </w:r>
          </w:p>
          <w:p w:rsidR="007C1997" w:rsidRDefault="00D070FC">
            <w:pPr>
              <w:rPr>
                <w:rFonts w:ascii="Times New Roman" w:hAnsi="Times New Roman" w:cs="Times New Roman"/>
                <w:noProof/>
                <w:sz w:val="24"/>
                <w:szCs w:val="24"/>
              </w:rPr>
            </w:pPr>
            <w:r>
              <w:rPr>
                <w:rFonts w:ascii="Times New Roman" w:hAnsi="Times New Roman"/>
                <w:noProof/>
              </w:rPr>
              <w:t xml:space="preserve">5 - Offentlig upphandling </w:t>
            </w:r>
          </w:p>
          <w:p w:rsidR="007C1997" w:rsidRDefault="00D070FC">
            <w:pPr>
              <w:rPr>
                <w:rFonts w:ascii="Times New Roman" w:hAnsi="Times New Roman" w:cs="Times New Roman"/>
                <w:noProof/>
                <w:sz w:val="24"/>
                <w:szCs w:val="24"/>
              </w:rPr>
            </w:pPr>
            <w:r>
              <w:rPr>
                <w:rFonts w:ascii="Times New Roman" w:hAnsi="Times New Roman"/>
                <w:noProof/>
              </w:rPr>
              <w:t>18 - Statistik</w:t>
            </w:r>
          </w:p>
          <w:p w:rsidR="007C1997" w:rsidRDefault="00D070FC">
            <w:pPr>
              <w:rPr>
                <w:rFonts w:ascii="Times New Roman" w:hAnsi="Times New Roman" w:cs="Times New Roman"/>
                <w:noProof/>
                <w:sz w:val="24"/>
                <w:szCs w:val="24"/>
              </w:rPr>
            </w:pPr>
            <w:r>
              <w:rPr>
                <w:rFonts w:ascii="Times New Roman" w:hAnsi="Times New Roman"/>
                <w:noProof/>
              </w:rPr>
              <w:t>32 - Finansiell kontroll</w:t>
            </w:r>
          </w:p>
        </w:tc>
      </w:tr>
      <w:tr w:rsidR="007C1997">
        <w:tc>
          <w:tcPr>
            <w:tcW w:w="4656" w:type="dxa"/>
          </w:tcPr>
          <w:p w:rsidR="007C1997" w:rsidRDefault="00D070FC">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Inre marknaden</w:t>
            </w:r>
          </w:p>
        </w:tc>
        <w:tc>
          <w:tcPr>
            <w:tcW w:w="4630" w:type="dxa"/>
          </w:tcPr>
          <w:p w:rsidR="007C1997" w:rsidRDefault="00D070FC">
            <w:pPr>
              <w:rPr>
                <w:rFonts w:ascii="Times New Roman" w:hAnsi="Times New Roman" w:cs="Times New Roman"/>
                <w:noProof/>
                <w:sz w:val="24"/>
                <w:szCs w:val="24"/>
              </w:rPr>
            </w:pPr>
            <w:r>
              <w:rPr>
                <w:rFonts w:ascii="Times New Roman" w:hAnsi="Times New Roman"/>
                <w:noProof/>
              </w:rPr>
              <w:t xml:space="preserve">1 - Fri rörlighet för varor </w:t>
            </w:r>
          </w:p>
          <w:p w:rsidR="007C1997" w:rsidRDefault="00D070FC">
            <w:pPr>
              <w:rPr>
                <w:rFonts w:ascii="Times New Roman" w:hAnsi="Times New Roman" w:cs="Times New Roman"/>
                <w:noProof/>
                <w:sz w:val="24"/>
                <w:szCs w:val="24"/>
              </w:rPr>
            </w:pPr>
            <w:r>
              <w:rPr>
                <w:rFonts w:ascii="Times New Roman" w:hAnsi="Times New Roman"/>
                <w:noProof/>
              </w:rPr>
              <w:t xml:space="preserve">2 - Fri rörlighet för arbetstagare </w:t>
            </w:r>
          </w:p>
          <w:p w:rsidR="007C1997" w:rsidRDefault="00D070FC">
            <w:pPr>
              <w:rPr>
                <w:rFonts w:ascii="Times New Roman" w:hAnsi="Times New Roman" w:cs="Times New Roman"/>
                <w:noProof/>
                <w:sz w:val="24"/>
                <w:szCs w:val="24"/>
              </w:rPr>
            </w:pPr>
            <w:r>
              <w:rPr>
                <w:rFonts w:ascii="Times New Roman" w:hAnsi="Times New Roman"/>
                <w:noProof/>
              </w:rPr>
              <w:t xml:space="preserve">3 - Etableringsfrihet och frihet att tillhandahålla tjänster </w:t>
            </w:r>
          </w:p>
          <w:p w:rsidR="007C1997" w:rsidRDefault="00D070FC">
            <w:pPr>
              <w:rPr>
                <w:rFonts w:ascii="Times New Roman" w:hAnsi="Times New Roman" w:cs="Times New Roman"/>
                <w:noProof/>
                <w:sz w:val="24"/>
                <w:szCs w:val="24"/>
              </w:rPr>
            </w:pPr>
            <w:r>
              <w:rPr>
                <w:rFonts w:ascii="Times New Roman" w:hAnsi="Times New Roman"/>
                <w:noProof/>
              </w:rPr>
              <w:t>4 - Fri rörlighet för kapital</w:t>
            </w:r>
          </w:p>
          <w:p w:rsidR="007C1997" w:rsidRDefault="00D070FC">
            <w:pPr>
              <w:rPr>
                <w:rFonts w:ascii="Times New Roman" w:hAnsi="Times New Roman" w:cs="Times New Roman"/>
                <w:noProof/>
                <w:sz w:val="24"/>
                <w:szCs w:val="24"/>
              </w:rPr>
            </w:pPr>
            <w:r>
              <w:rPr>
                <w:rFonts w:ascii="Times New Roman" w:hAnsi="Times New Roman"/>
                <w:noProof/>
              </w:rPr>
              <w:t>6 - Bolagsrätt</w:t>
            </w:r>
          </w:p>
          <w:p w:rsidR="007C1997" w:rsidRDefault="00D070FC">
            <w:pPr>
              <w:rPr>
                <w:rFonts w:ascii="Times New Roman" w:hAnsi="Times New Roman" w:cs="Times New Roman"/>
                <w:noProof/>
                <w:sz w:val="24"/>
                <w:szCs w:val="24"/>
              </w:rPr>
            </w:pPr>
            <w:r>
              <w:rPr>
                <w:rFonts w:ascii="Times New Roman" w:hAnsi="Times New Roman"/>
                <w:noProof/>
              </w:rPr>
              <w:t>7 - Immaterialrätt</w:t>
            </w:r>
          </w:p>
          <w:p w:rsidR="007C1997" w:rsidRDefault="00D070FC">
            <w:pPr>
              <w:rPr>
                <w:rFonts w:ascii="Times New Roman" w:hAnsi="Times New Roman" w:cs="Times New Roman"/>
                <w:noProof/>
                <w:sz w:val="24"/>
                <w:szCs w:val="24"/>
              </w:rPr>
            </w:pPr>
            <w:r>
              <w:rPr>
                <w:rFonts w:ascii="Times New Roman" w:hAnsi="Times New Roman"/>
                <w:noProof/>
              </w:rPr>
              <w:t>8 - Konkurrenspolitik</w:t>
            </w:r>
          </w:p>
          <w:p w:rsidR="007C1997" w:rsidRDefault="00D070FC">
            <w:pPr>
              <w:rPr>
                <w:rFonts w:ascii="Times New Roman" w:hAnsi="Times New Roman" w:cs="Times New Roman"/>
                <w:noProof/>
                <w:sz w:val="24"/>
                <w:szCs w:val="24"/>
              </w:rPr>
            </w:pPr>
            <w:r>
              <w:rPr>
                <w:rFonts w:ascii="Times New Roman" w:hAnsi="Times New Roman"/>
                <w:noProof/>
              </w:rPr>
              <w:t xml:space="preserve">9 - Finansiella tjänster </w:t>
            </w:r>
          </w:p>
          <w:p w:rsidR="007C1997" w:rsidRDefault="00D070FC">
            <w:pPr>
              <w:rPr>
                <w:rFonts w:ascii="Times New Roman" w:hAnsi="Times New Roman" w:cs="Times New Roman"/>
                <w:noProof/>
                <w:sz w:val="24"/>
                <w:szCs w:val="24"/>
              </w:rPr>
            </w:pPr>
            <w:r>
              <w:rPr>
                <w:rFonts w:ascii="Times New Roman" w:hAnsi="Times New Roman"/>
                <w:noProof/>
              </w:rPr>
              <w:t>28 - Konsumentskydd och hälsoskydd</w:t>
            </w:r>
          </w:p>
        </w:tc>
      </w:tr>
      <w:tr w:rsidR="007C1997">
        <w:tc>
          <w:tcPr>
            <w:tcW w:w="4656" w:type="dxa"/>
          </w:tcPr>
          <w:p w:rsidR="007C1997" w:rsidRDefault="00D070FC">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Konkurrens</w:t>
            </w:r>
            <w:r>
              <w:rPr>
                <w:rFonts w:ascii="Times New Roman" w:hAnsi="Times New Roman"/>
                <w:b/>
                <w:noProof/>
              </w:rPr>
              <w:t>kraft och inkluderande tillväxt</w:t>
            </w:r>
          </w:p>
        </w:tc>
        <w:tc>
          <w:tcPr>
            <w:tcW w:w="4630" w:type="dxa"/>
          </w:tcPr>
          <w:p w:rsidR="007C1997" w:rsidRDefault="00D070FC">
            <w:pPr>
              <w:rPr>
                <w:rFonts w:ascii="Times New Roman" w:hAnsi="Times New Roman" w:cs="Times New Roman"/>
                <w:noProof/>
                <w:sz w:val="24"/>
                <w:szCs w:val="24"/>
              </w:rPr>
            </w:pPr>
            <w:r>
              <w:rPr>
                <w:rFonts w:ascii="Times New Roman" w:hAnsi="Times New Roman"/>
                <w:noProof/>
              </w:rPr>
              <w:t xml:space="preserve">10 - Informationssamhället och medier </w:t>
            </w:r>
          </w:p>
          <w:p w:rsidR="007C1997" w:rsidRDefault="00D070FC">
            <w:pPr>
              <w:rPr>
                <w:rFonts w:ascii="Times New Roman" w:hAnsi="Times New Roman" w:cs="Times New Roman"/>
                <w:noProof/>
                <w:sz w:val="24"/>
                <w:szCs w:val="24"/>
              </w:rPr>
            </w:pPr>
            <w:r>
              <w:rPr>
                <w:rFonts w:ascii="Times New Roman" w:hAnsi="Times New Roman"/>
                <w:noProof/>
              </w:rPr>
              <w:t xml:space="preserve">16 - Beskattning </w:t>
            </w:r>
          </w:p>
          <w:p w:rsidR="007C1997" w:rsidRDefault="00D070FC">
            <w:pPr>
              <w:rPr>
                <w:rFonts w:ascii="Times New Roman" w:hAnsi="Times New Roman" w:cs="Times New Roman"/>
                <w:noProof/>
                <w:sz w:val="24"/>
                <w:szCs w:val="24"/>
              </w:rPr>
            </w:pPr>
            <w:r>
              <w:rPr>
                <w:rFonts w:ascii="Times New Roman" w:hAnsi="Times New Roman"/>
                <w:noProof/>
              </w:rPr>
              <w:t xml:space="preserve">17 - Ekonomisk och monetär politik </w:t>
            </w:r>
          </w:p>
          <w:p w:rsidR="007C1997" w:rsidRDefault="00D070FC">
            <w:pPr>
              <w:rPr>
                <w:rFonts w:ascii="Times New Roman" w:hAnsi="Times New Roman" w:cs="Times New Roman"/>
                <w:noProof/>
                <w:sz w:val="24"/>
                <w:szCs w:val="24"/>
              </w:rPr>
            </w:pPr>
            <w:r>
              <w:rPr>
                <w:rFonts w:ascii="Times New Roman" w:hAnsi="Times New Roman"/>
                <w:noProof/>
              </w:rPr>
              <w:t xml:space="preserve">19 - Socialpolitik och sysselsättning </w:t>
            </w:r>
          </w:p>
          <w:p w:rsidR="007C1997" w:rsidRDefault="00D070FC">
            <w:pPr>
              <w:rPr>
                <w:rFonts w:ascii="Times New Roman" w:hAnsi="Times New Roman" w:cs="Times New Roman"/>
                <w:noProof/>
                <w:sz w:val="24"/>
                <w:szCs w:val="24"/>
              </w:rPr>
            </w:pPr>
            <w:r>
              <w:rPr>
                <w:rFonts w:ascii="Times New Roman" w:hAnsi="Times New Roman"/>
                <w:noProof/>
              </w:rPr>
              <w:t>20 - Företagspolitik och industripolitik</w:t>
            </w:r>
          </w:p>
          <w:p w:rsidR="007C1997" w:rsidRDefault="00D070FC">
            <w:pPr>
              <w:rPr>
                <w:rFonts w:ascii="Times New Roman" w:hAnsi="Times New Roman" w:cs="Times New Roman"/>
                <w:noProof/>
                <w:sz w:val="24"/>
                <w:szCs w:val="24"/>
              </w:rPr>
            </w:pPr>
            <w:r>
              <w:rPr>
                <w:rFonts w:ascii="Times New Roman" w:hAnsi="Times New Roman"/>
                <w:noProof/>
              </w:rPr>
              <w:t xml:space="preserve">25 - Vetenskap och forskning </w:t>
            </w:r>
          </w:p>
          <w:p w:rsidR="007C1997" w:rsidRDefault="00D070FC">
            <w:pPr>
              <w:rPr>
                <w:rFonts w:ascii="Times New Roman" w:hAnsi="Times New Roman" w:cs="Times New Roman"/>
                <w:noProof/>
                <w:sz w:val="24"/>
                <w:szCs w:val="24"/>
              </w:rPr>
            </w:pPr>
            <w:r>
              <w:rPr>
                <w:rFonts w:ascii="Times New Roman" w:hAnsi="Times New Roman"/>
                <w:noProof/>
              </w:rPr>
              <w:t xml:space="preserve">26 - Utbildning och </w:t>
            </w:r>
            <w:r>
              <w:rPr>
                <w:rFonts w:ascii="Times New Roman" w:hAnsi="Times New Roman"/>
                <w:noProof/>
              </w:rPr>
              <w:t>kultur</w:t>
            </w:r>
          </w:p>
          <w:p w:rsidR="007C1997" w:rsidRDefault="00D070FC">
            <w:pPr>
              <w:rPr>
                <w:rFonts w:ascii="Times New Roman" w:hAnsi="Times New Roman" w:cs="Times New Roman"/>
                <w:b/>
                <w:noProof/>
                <w:color w:val="C00000"/>
                <w:sz w:val="24"/>
                <w:szCs w:val="24"/>
              </w:rPr>
            </w:pPr>
            <w:r>
              <w:rPr>
                <w:rFonts w:ascii="Times New Roman" w:hAnsi="Times New Roman"/>
                <w:noProof/>
              </w:rPr>
              <w:t>29 - Tullunionen</w:t>
            </w:r>
          </w:p>
        </w:tc>
      </w:tr>
      <w:tr w:rsidR="007C1997">
        <w:tc>
          <w:tcPr>
            <w:tcW w:w="4656" w:type="dxa"/>
          </w:tcPr>
          <w:p w:rsidR="007C1997" w:rsidRDefault="00D070FC">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Den gröna agendan och hållbar konnektivitet</w:t>
            </w:r>
          </w:p>
        </w:tc>
        <w:tc>
          <w:tcPr>
            <w:tcW w:w="4630" w:type="dxa"/>
          </w:tcPr>
          <w:p w:rsidR="007C1997" w:rsidRDefault="00D070FC">
            <w:pPr>
              <w:rPr>
                <w:rFonts w:ascii="Times New Roman" w:hAnsi="Times New Roman" w:cs="Times New Roman"/>
                <w:noProof/>
                <w:sz w:val="24"/>
                <w:szCs w:val="24"/>
              </w:rPr>
            </w:pPr>
            <w:r>
              <w:rPr>
                <w:rFonts w:ascii="Times New Roman" w:hAnsi="Times New Roman"/>
                <w:noProof/>
              </w:rPr>
              <w:t xml:space="preserve">14 - Transportpolitik </w:t>
            </w:r>
          </w:p>
          <w:p w:rsidR="007C1997" w:rsidRDefault="00D070FC">
            <w:pPr>
              <w:rPr>
                <w:rFonts w:ascii="Times New Roman" w:hAnsi="Times New Roman" w:cs="Times New Roman"/>
                <w:noProof/>
                <w:sz w:val="24"/>
                <w:szCs w:val="24"/>
              </w:rPr>
            </w:pPr>
            <w:r>
              <w:rPr>
                <w:rFonts w:ascii="Times New Roman" w:hAnsi="Times New Roman"/>
                <w:noProof/>
              </w:rPr>
              <w:t xml:space="preserve">15 - Energi </w:t>
            </w:r>
          </w:p>
          <w:p w:rsidR="007C1997" w:rsidRDefault="00D070FC">
            <w:pPr>
              <w:rPr>
                <w:rFonts w:ascii="Times New Roman" w:hAnsi="Times New Roman" w:cs="Times New Roman"/>
                <w:noProof/>
                <w:sz w:val="24"/>
                <w:szCs w:val="24"/>
              </w:rPr>
            </w:pPr>
            <w:r>
              <w:rPr>
                <w:rFonts w:ascii="Times New Roman" w:hAnsi="Times New Roman"/>
                <w:noProof/>
              </w:rPr>
              <w:t xml:space="preserve">21 - Transeuropeiska nät </w:t>
            </w:r>
          </w:p>
          <w:p w:rsidR="007C1997" w:rsidRDefault="00D070FC">
            <w:pPr>
              <w:rPr>
                <w:rFonts w:ascii="Times New Roman" w:hAnsi="Times New Roman" w:cs="Times New Roman"/>
                <w:b/>
                <w:noProof/>
                <w:color w:val="C00000"/>
                <w:sz w:val="24"/>
                <w:szCs w:val="24"/>
              </w:rPr>
            </w:pPr>
            <w:r>
              <w:rPr>
                <w:rFonts w:ascii="Times New Roman" w:hAnsi="Times New Roman"/>
                <w:noProof/>
              </w:rPr>
              <w:t>27 - Miljö och klimatförändring</w:t>
            </w:r>
          </w:p>
        </w:tc>
      </w:tr>
      <w:tr w:rsidR="007C1997">
        <w:tc>
          <w:tcPr>
            <w:tcW w:w="4656" w:type="dxa"/>
          </w:tcPr>
          <w:p w:rsidR="007C1997" w:rsidRDefault="00D070FC">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Resurser, jordbruk och sammanhållning</w:t>
            </w:r>
          </w:p>
        </w:tc>
        <w:tc>
          <w:tcPr>
            <w:tcW w:w="4630" w:type="dxa"/>
          </w:tcPr>
          <w:p w:rsidR="007C1997" w:rsidRDefault="00D070FC">
            <w:pPr>
              <w:rPr>
                <w:rFonts w:ascii="Times New Roman" w:hAnsi="Times New Roman" w:cs="Times New Roman"/>
                <w:noProof/>
                <w:sz w:val="24"/>
                <w:szCs w:val="24"/>
              </w:rPr>
            </w:pPr>
            <w:r>
              <w:rPr>
                <w:rFonts w:ascii="Times New Roman" w:hAnsi="Times New Roman"/>
                <w:noProof/>
              </w:rPr>
              <w:t>11 - Jordbruk och landsbygdsutveckling</w:t>
            </w:r>
          </w:p>
          <w:p w:rsidR="007C1997" w:rsidRDefault="00D070FC">
            <w:pPr>
              <w:rPr>
                <w:rFonts w:ascii="Times New Roman" w:hAnsi="Times New Roman" w:cs="Times New Roman"/>
                <w:noProof/>
                <w:sz w:val="24"/>
                <w:szCs w:val="24"/>
              </w:rPr>
            </w:pPr>
            <w:r>
              <w:rPr>
                <w:rFonts w:ascii="Times New Roman" w:hAnsi="Times New Roman"/>
                <w:noProof/>
              </w:rPr>
              <w:t>12 - Livsmedels</w:t>
            </w:r>
            <w:r>
              <w:rPr>
                <w:rFonts w:ascii="Times New Roman" w:hAnsi="Times New Roman"/>
                <w:noProof/>
              </w:rPr>
              <w:t xml:space="preserve">säkerhet, veterinära frågor och växtskydd </w:t>
            </w:r>
          </w:p>
          <w:p w:rsidR="007C1997" w:rsidRDefault="00D070FC">
            <w:pPr>
              <w:rPr>
                <w:rFonts w:ascii="Times New Roman" w:hAnsi="Times New Roman" w:cs="Times New Roman"/>
                <w:noProof/>
                <w:sz w:val="24"/>
                <w:szCs w:val="24"/>
              </w:rPr>
            </w:pPr>
            <w:r>
              <w:rPr>
                <w:rFonts w:ascii="Times New Roman" w:hAnsi="Times New Roman"/>
                <w:noProof/>
              </w:rPr>
              <w:t xml:space="preserve">13 - Fiske </w:t>
            </w:r>
          </w:p>
          <w:p w:rsidR="007C1997" w:rsidRDefault="00D070FC">
            <w:pPr>
              <w:rPr>
                <w:rFonts w:ascii="Times New Roman" w:hAnsi="Times New Roman" w:cs="Times New Roman"/>
                <w:noProof/>
                <w:sz w:val="24"/>
                <w:szCs w:val="24"/>
              </w:rPr>
            </w:pPr>
            <w:r>
              <w:rPr>
                <w:rFonts w:ascii="Times New Roman" w:hAnsi="Times New Roman"/>
                <w:noProof/>
              </w:rPr>
              <w:t xml:space="preserve">22 - Regionalpolitik och samordning av strukturinstrument </w:t>
            </w:r>
          </w:p>
          <w:p w:rsidR="007C1997" w:rsidRDefault="00D070FC">
            <w:pPr>
              <w:rPr>
                <w:rFonts w:ascii="Times New Roman" w:hAnsi="Times New Roman" w:cs="Times New Roman"/>
                <w:b/>
                <w:noProof/>
                <w:color w:val="C00000"/>
                <w:sz w:val="24"/>
                <w:szCs w:val="24"/>
              </w:rPr>
            </w:pPr>
            <w:r>
              <w:rPr>
                <w:rFonts w:ascii="Times New Roman" w:hAnsi="Times New Roman"/>
                <w:noProof/>
              </w:rPr>
              <w:t>33 - Finansiella och budgetmässiga bestämmelser</w:t>
            </w:r>
          </w:p>
        </w:tc>
      </w:tr>
      <w:tr w:rsidR="007C1997">
        <w:tc>
          <w:tcPr>
            <w:tcW w:w="4656" w:type="dxa"/>
          </w:tcPr>
          <w:p w:rsidR="007C1997" w:rsidRDefault="00D070FC">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Yttre förbindelser</w:t>
            </w:r>
          </w:p>
        </w:tc>
        <w:tc>
          <w:tcPr>
            <w:tcW w:w="4630" w:type="dxa"/>
          </w:tcPr>
          <w:p w:rsidR="007C1997" w:rsidRDefault="00D070FC">
            <w:pPr>
              <w:rPr>
                <w:rFonts w:ascii="Times New Roman" w:hAnsi="Times New Roman" w:cs="Times New Roman"/>
                <w:noProof/>
                <w:sz w:val="24"/>
                <w:szCs w:val="24"/>
              </w:rPr>
            </w:pPr>
            <w:r>
              <w:rPr>
                <w:rFonts w:ascii="Times New Roman" w:hAnsi="Times New Roman"/>
                <w:noProof/>
              </w:rPr>
              <w:t xml:space="preserve">30 - Yttre förbindelser </w:t>
            </w:r>
          </w:p>
          <w:p w:rsidR="007C1997" w:rsidRDefault="00D070FC">
            <w:pPr>
              <w:rPr>
                <w:rFonts w:ascii="Times New Roman" w:hAnsi="Times New Roman" w:cs="Times New Roman"/>
                <w:b/>
                <w:noProof/>
                <w:color w:val="C00000"/>
                <w:sz w:val="24"/>
                <w:szCs w:val="24"/>
              </w:rPr>
            </w:pPr>
            <w:r>
              <w:rPr>
                <w:rFonts w:ascii="Times New Roman" w:hAnsi="Times New Roman"/>
                <w:noProof/>
              </w:rPr>
              <w:t>31 - Utrikes-, säkerhets- och försvarspolitik</w:t>
            </w:r>
          </w:p>
        </w:tc>
      </w:tr>
    </w:tbl>
    <w:p w:rsidR="007C1997" w:rsidRDefault="007C1997">
      <w:pPr>
        <w:spacing w:after="120" w:line="240" w:lineRule="auto"/>
        <w:rPr>
          <w:noProof/>
        </w:rPr>
      </w:pPr>
    </w:p>
    <w:p w:rsidR="007C1997" w:rsidRDefault="00D070FC">
      <w:pPr>
        <w:spacing w:before="100" w:beforeAutospacing="1" w:after="100" w:afterAutospacing="1"/>
        <w:rPr>
          <w:noProof/>
          <w:color w:val="1F497D"/>
        </w:rPr>
      </w:pPr>
      <w:r>
        <w:rPr>
          <w:noProof/>
          <w:color w:val="1F497D"/>
        </w:rPr>
        <w:t xml:space="preserve"> </w:t>
      </w:r>
    </w:p>
    <w:p w:rsidR="007C1997" w:rsidRDefault="007C1997">
      <w:pPr>
        <w:rPr>
          <w:noProof/>
        </w:rPr>
      </w:pPr>
    </w:p>
    <w:sectPr w:rsidR="007C1997">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997" w:rsidRDefault="00D070FC">
      <w:pPr>
        <w:spacing w:after="0" w:line="240" w:lineRule="auto"/>
      </w:pPr>
      <w:r>
        <w:separator/>
      </w:r>
    </w:p>
  </w:endnote>
  <w:endnote w:type="continuationSeparator" w:id="0">
    <w:p w:rsidR="007C1997" w:rsidRDefault="00D070FC">
      <w:pPr>
        <w:spacing w:after="0" w:line="240" w:lineRule="auto"/>
      </w:pPr>
      <w:r>
        <w:continuationSeparator/>
      </w:r>
    </w:p>
  </w:endnote>
  <w:endnote w:type="continuationNotice" w:id="1">
    <w:p w:rsidR="007C1997" w:rsidRDefault="007C1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D070FC">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924416"/>
      <w:docPartObj>
        <w:docPartGallery w:val="Page Numbers (Bottom of Page)"/>
        <w:docPartUnique/>
      </w:docPartObj>
    </w:sdtPr>
    <w:sdtEndPr>
      <w:rPr>
        <w:rFonts w:ascii="Times New Roman" w:hAnsi="Times New Roman"/>
      </w:rPr>
    </w:sdtEndPr>
    <w:sdtContent>
      <w:p w:rsidR="007C1997" w:rsidRDefault="00D070FC">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noProof/>
          </w:rPr>
          <w:t>6</w:t>
        </w:r>
        <w:r>
          <w:rPr>
            <w:rFonts w:ascii="Times New Roman" w:hAnsi="Times New Roman"/>
          </w:rPr>
          <w:fldChar w:fldCharType="end"/>
        </w:r>
      </w:p>
    </w:sdtContent>
  </w:sdt>
  <w:p w:rsidR="007C1997" w:rsidRDefault="007C19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997" w:rsidRDefault="00D070FC">
      <w:pPr>
        <w:spacing w:after="0" w:line="240" w:lineRule="auto"/>
      </w:pPr>
      <w:r>
        <w:separator/>
      </w:r>
    </w:p>
  </w:footnote>
  <w:footnote w:type="continuationSeparator" w:id="0">
    <w:p w:rsidR="007C1997" w:rsidRDefault="00D070FC">
      <w:pPr>
        <w:spacing w:after="0" w:line="240" w:lineRule="auto"/>
      </w:pPr>
      <w:r>
        <w:continuationSeparator/>
      </w:r>
    </w:p>
  </w:footnote>
  <w:footnote w:type="continuationNotice" w:id="1">
    <w:p w:rsidR="007C1997" w:rsidRDefault="007C1997">
      <w:pPr>
        <w:spacing w:after="0" w:line="240" w:lineRule="auto"/>
      </w:pPr>
    </w:p>
  </w:footnote>
  <w:footnote w:id="2">
    <w:p w:rsidR="007C1997" w:rsidRDefault="00D070F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Trovärdiga utsikter till EU-medlemskap och ett ökat EU-engagemang för västra Balkan, COM(2018) 65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7" w:rsidRDefault="007C1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16E"/>
    <w:multiLevelType w:val="hybridMultilevel"/>
    <w:tmpl w:val="A1EA29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7712D"/>
    <w:multiLevelType w:val="hybridMultilevel"/>
    <w:tmpl w:val="87149E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52AB7"/>
    <w:multiLevelType w:val="hybridMultilevel"/>
    <w:tmpl w:val="DD4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D110A"/>
    <w:multiLevelType w:val="hybridMultilevel"/>
    <w:tmpl w:val="BD92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3B20"/>
    <w:multiLevelType w:val="hybridMultilevel"/>
    <w:tmpl w:val="64243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20FF1"/>
    <w:multiLevelType w:val="hybridMultilevel"/>
    <w:tmpl w:val="45261496"/>
    <w:lvl w:ilvl="0" w:tplc="1D1648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1763A"/>
    <w:multiLevelType w:val="hybridMultilevel"/>
    <w:tmpl w:val="945C378E"/>
    <w:lvl w:ilvl="0" w:tplc="4ACCDF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D343D"/>
    <w:multiLevelType w:val="hybridMultilevel"/>
    <w:tmpl w:val="50A4FC54"/>
    <w:lvl w:ilvl="0" w:tplc="BA480F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3514C"/>
    <w:multiLevelType w:val="multilevel"/>
    <w:tmpl w:val="224C14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345CF"/>
    <w:multiLevelType w:val="hybridMultilevel"/>
    <w:tmpl w:val="D7961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A2BFA"/>
    <w:multiLevelType w:val="hybridMultilevel"/>
    <w:tmpl w:val="7788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C4FCB"/>
    <w:multiLevelType w:val="hybridMultilevel"/>
    <w:tmpl w:val="D21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401E6"/>
    <w:multiLevelType w:val="hybridMultilevel"/>
    <w:tmpl w:val="257417F8"/>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8FC"/>
    <w:multiLevelType w:val="hybridMultilevel"/>
    <w:tmpl w:val="E196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E686E"/>
    <w:multiLevelType w:val="hybridMultilevel"/>
    <w:tmpl w:val="CF38284C"/>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97028"/>
    <w:multiLevelType w:val="hybridMultilevel"/>
    <w:tmpl w:val="91784AC0"/>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12096"/>
    <w:multiLevelType w:val="hybridMultilevel"/>
    <w:tmpl w:val="95B81AB6"/>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47A4B"/>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B3521"/>
    <w:multiLevelType w:val="hybridMultilevel"/>
    <w:tmpl w:val="01649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DC2FE5"/>
    <w:multiLevelType w:val="hybridMultilevel"/>
    <w:tmpl w:val="190A1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D077E"/>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D17E87"/>
    <w:multiLevelType w:val="hybridMultilevel"/>
    <w:tmpl w:val="14B6008A"/>
    <w:lvl w:ilvl="0" w:tplc="6128C87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E142F"/>
    <w:multiLevelType w:val="hybridMultilevel"/>
    <w:tmpl w:val="A6849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4D2DC3"/>
    <w:multiLevelType w:val="hybridMultilevel"/>
    <w:tmpl w:val="A37C7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C1E0A"/>
    <w:multiLevelType w:val="hybridMultilevel"/>
    <w:tmpl w:val="219A8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9792E"/>
    <w:multiLevelType w:val="hybridMultilevel"/>
    <w:tmpl w:val="6AA84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B4A79"/>
    <w:multiLevelType w:val="hybridMultilevel"/>
    <w:tmpl w:val="B9A684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5782E"/>
    <w:multiLevelType w:val="hybridMultilevel"/>
    <w:tmpl w:val="8514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71342"/>
    <w:multiLevelType w:val="hybridMultilevel"/>
    <w:tmpl w:val="DCFE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11540"/>
    <w:multiLevelType w:val="hybridMultilevel"/>
    <w:tmpl w:val="42A8909C"/>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2730A"/>
    <w:multiLevelType w:val="hybridMultilevel"/>
    <w:tmpl w:val="19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1"/>
  </w:num>
  <w:num w:numId="4">
    <w:abstractNumId w:val="28"/>
  </w:num>
  <w:num w:numId="5">
    <w:abstractNumId w:val="12"/>
  </w:num>
  <w:num w:numId="6">
    <w:abstractNumId w:val="16"/>
  </w:num>
  <w:num w:numId="7">
    <w:abstractNumId w:val="17"/>
  </w:num>
  <w:num w:numId="8">
    <w:abstractNumId w:val="5"/>
  </w:num>
  <w:num w:numId="9">
    <w:abstractNumId w:val="13"/>
  </w:num>
  <w:num w:numId="10">
    <w:abstractNumId w:val="7"/>
  </w:num>
  <w:num w:numId="11">
    <w:abstractNumId w:val="1"/>
  </w:num>
  <w:num w:numId="12">
    <w:abstractNumId w:val="11"/>
  </w:num>
  <w:num w:numId="13">
    <w:abstractNumId w:val="8"/>
  </w:num>
  <w:num w:numId="14">
    <w:abstractNumId w:val="19"/>
  </w:num>
  <w:num w:numId="15">
    <w:abstractNumId w:val="21"/>
  </w:num>
  <w:num w:numId="16">
    <w:abstractNumId w:val="4"/>
  </w:num>
  <w:num w:numId="17">
    <w:abstractNumId w:val="9"/>
  </w:num>
  <w:num w:numId="18">
    <w:abstractNumId w:val="30"/>
  </w:num>
  <w:num w:numId="19">
    <w:abstractNumId w:val="10"/>
  </w:num>
  <w:num w:numId="20">
    <w:abstractNumId w:val="22"/>
  </w:num>
  <w:num w:numId="21">
    <w:abstractNumId w:val="0"/>
  </w:num>
  <w:num w:numId="22">
    <w:abstractNumId w:val="23"/>
  </w:num>
  <w:num w:numId="23">
    <w:abstractNumId w:val="26"/>
  </w:num>
  <w:num w:numId="24">
    <w:abstractNumId w:val="6"/>
  </w:num>
  <w:num w:numId="25">
    <w:abstractNumId w:val="24"/>
  </w:num>
  <w:num w:numId="26">
    <w:abstractNumId w:val="14"/>
  </w:num>
  <w:num w:numId="27">
    <w:abstractNumId w:val="29"/>
  </w:num>
  <w:num w:numId="28">
    <w:abstractNumId w:val="27"/>
  </w:num>
  <w:num w:numId="29">
    <w:abstractNumId w:val="15"/>
  </w:num>
  <w:num w:numId="30">
    <w:abstractNumId w:val="18"/>
  </w:num>
  <w:num w:numId="31">
    <w:abstractNumId w:val="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6602E9E-D5D5-4991-9DFA-992C2320DB19"/>
    <w:docVar w:name="LW_COVERPAGE_TYPE" w:val="1"/>
    <w:docVar w:name="LW_CROSSREFERENCE" w:val="&lt;UNUSED&gt;"/>
    <w:docVar w:name="LW_DocType" w:val="NORMAL"/>
    <w:docVar w:name="LW_EMISSION" w:val="5.2.2020"/>
    <w:docVar w:name="LW_EMISSION_ISODATE" w:val="2020-02-05"/>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0)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Förbättra anslutningsprocessen \u8211? Ett trovärdigt EU-perspektiv för västra Balkan&lt;/FMT&gt;"/>
    <w:docVar w:name="LW_TYPE.DOC.CP" w:val="MEDDELANDE FRÅN KOMMISSIONEN TILL EUROPAPARLAMENTET, RÅDET, EUROPEISKA EKONOMISKA OCH SOCIALA KOMMITTÉN SAMT REGIONKOMMITTÉN"/>
    <w:docVar w:name="LW_TYPE.DOC.CP.USERTEXT" w:val="&lt;EMPTY&gt;"/>
  </w:docVars>
  <w:rsids>
    <w:rsidRoot w:val="007C1997"/>
    <w:rsid w:val="007C1997"/>
    <w:rsid w:val="00D0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3303">
      <w:bodyDiv w:val="1"/>
      <w:marLeft w:val="0"/>
      <w:marRight w:val="0"/>
      <w:marTop w:val="0"/>
      <w:marBottom w:val="0"/>
      <w:divBdr>
        <w:top w:val="none" w:sz="0" w:space="0" w:color="auto"/>
        <w:left w:val="none" w:sz="0" w:space="0" w:color="auto"/>
        <w:bottom w:val="none" w:sz="0" w:space="0" w:color="auto"/>
        <w:right w:val="none" w:sz="0" w:space="0" w:color="auto"/>
      </w:divBdr>
    </w:div>
    <w:div w:id="437482872">
      <w:bodyDiv w:val="1"/>
      <w:marLeft w:val="0"/>
      <w:marRight w:val="0"/>
      <w:marTop w:val="0"/>
      <w:marBottom w:val="0"/>
      <w:divBdr>
        <w:top w:val="none" w:sz="0" w:space="0" w:color="auto"/>
        <w:left w:val="none" w:sz="0" w:space="0" w:color="auto"/>
        <w:bottom w:val="none" w:sz="0" w:space="0" w:color="auto"/>
        <w:right w:val="none" w:sz="0" w:space="0" w:color="auto"/>
      </w:divBdr>
    </w:div>
    <w:div w:id="486939901">
      <w:bodyDiv w:val="1"/>
      <w:marLeft w:val="0"/>
      <w:marRight w:val="0"/>
      <w:marTop w:val="0"/>
      <w:marBottom w:val="0"/>
      <w:divBdr>
        <w:top w:val="none" w:sz="0" w:space="0" w:color="auto"/>
        <w:left w:val="none" w:sz="0" w:space="0" w:color="auto"/>
        <w:bottom w:val="none" w:sz="0" w:space="0" w:color="auto"/>
        <w:right w:val="none" w:sz="0" w:space="0" w:color="auto"/>
      </w:divBdr>
    </w:div>
    <w:div w:id="609237200">
      <w:bodyDiv w:val="1"/>
      <w:marLeft w:val="0"/>
      <w:marRight w:val="0"/>
      <w:marTop w:val="0"/>
      <w:marBottom w:val="0"/>
      <w:divBdr>
        <w:top w:val="none" w:sz="0" w:space="0" w:color="auto"/>
        <w:left w:val="none" w:sz="0" w:space="0" w:color="auto"/>
        <w:bottom w:val="none" w:sz="0" w:space="0" w:color="auto"/>
        <w:right w:val="none" w:sz="0" w:space="0" w:color="auto"/>
      </w:divBdr>
    </w:div>
    <w:div w:id="684552790">
      <w:bodyDiv w:val="1"/>
      <w:marLeft w:val="0"/>
      <w:marRight w:val="0"/>
      <w:marTop w:val="0"/>
      <w:marBottom w:val="0"/>
      <w:divBdr>
        <w:top w:val="none" w:sz="0" w:space="0" w:color="auto"/>
        <w:left w:val="none" w:sz="0" w:space="0" w:color="auto"/>
        <w:bottom w:val="none" w:sz="0" w:space="0" w:color="auto"/>
        <w:right w:val="none" w:sz="0" w:space="0" w:color="auto"/>
      </w:divBdr>
    </w:div>
    <w:div w:id="1092967175">
      <w:bodyDiv w:val="1"/>
      <w:marLeft w:val="0"/>
      <w:marRight w:val="0"/>
      <w:marTop w:val="0"/>
      <w:marBottom w:val="0"/>
      <w:divBdr>
        <w:top w:val="none" w:sz="0" w:space="0" w:color="auto"/>
        <w:left w:val="none" w:sz="0" w:space="0" w:color="auto"/>
        <w:bottom w:val="none" w:sz="0" w:space="0" w:color="auto"/>
        <w:right w:val="none" w:sz="0" w:space="0" w:color="auto"/>
      </w:divBdr>
    </w:div>
    <w:div w:id="1127041799">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329476042">
      <w:bodyDiv w:val="1"/>
      <w:marLeft w:val="0"/>
      <w:marRight w:val="0"/>
      <w:marTop w:val="0"/>
      <w:marBottom w:val="0"/>
      <w:divBdr>
        <w:top w:val="none" w:sz="0" w:space="0" w:color="auto"/>
        <w:left w:val="none" w:sz="0" w:space="0" w:color="auto"/>
        <w:bottom w:val="none" w:sz="0" w:space="0" w:color="auto"/>
        <w:right w:val="none" w:sz="0" w:space="0" w:color="auto"/>
      </w:divBdr>
    </w:div>
    <w:div w:id="1690524797">
      <w:bodyDiv w:val="1"/>
      <w:marLeft w:val="0"/>
      <w:marRight w:val="0"/>
      <w:marTop w:val="0"/>
      <w:marBottom w:val="0"/>
      <w:divBdr>
        <w:top w:val="none" w:sz="0" w:space="0" w:color="auto"/>
        <w:left w:val="none" w:sz="0" w:space="0" w:color="auto"/>
        <w:bottom w:val="none" w:sz="0" w:space="0" w:color="auto"/>
        <w:right w:val="none" w:sz="0" w:space="0" w:color="auto"/>
      </w:divBdr>
    </w:div>
    <w:div w:id="1777023546">
      <w:bodyDiv w:val="1"/>
      <w:marLeft w:val="0"/>
      <w:marRight w:val="0"/>
      <w:marTop w:val="0"/>
      <w:marBottom w:val="0"/>
      <w:divBdr>
        <w:top w:val="none" w:sz="0" w:space="0" w:color="auto"/>
        <w:left w:val="none" w:sz="0" w:space="0" w:color="auto"/>
        <w:bottom w:val="none" w:sz="0" w:space="0" w:color="auto"/>
        <w:right w:val="none" w:sz="0" w:space="0" w:color="auto"/>
      </w:divBdr>
    </w:div>
    <w:div w:id="1976325368">
      <w:bodyDiv w:val="1"/>
      <w:marLeft w:val="0"/>
      <w:marRight w:val="0"/>
      <w:marTop w:val="0"/>
      <w:marBottom w:val="0"/>
      <w:divBdr>
        <w:top w:val="none" w:sz="0" w:space="0" w:color="auto"/>
        <w:left w:val="none" w:sz="0" w:space="0" w:color="auto"/>
        <w:bottom w:val="none" w:sz="0" w:space="0" w:color="auto"/>
        <w:right w:val="none" w:sz="0" w:space="0" w:color="auto"/>
      </w:divBdr>
    </w:div>
    <w:div w:id="2142796223">
      <w:bodyDiv w:val="1"/>
      <w:marLeft w:val="0"/>
      <w:marRight w:val="0"/>
      <w:marTop w:val="0"/>
      <w:marBottom w:val="0"/>
      <w:divBdr>
        <w:top w:val="none" w:sz="0" w:space="0" w:color="auto"/>
        <w:left w:val="none" w:sz="0" w:space="0" w:color="auto"/>
        <w:bottom w:val="none" w:sz="0" w:space="0" w:color="auto"/>
        <w:right w:val="none" w:sz="0" w:space="0" w:color="auto"/>
      </w:divBdr>
    </w:div>
    <w:div w:id="2146852635">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0"/>
          <w:marRight w:val="0"/>
          <w:marTop w:val="0"/>
          <w:marBottom w:val="0"/>
          <w:divBdr>
            <w:top w:val="none" w:sz="0" w:space="0" w:color="auto"/>
            <w:left w:val="none" w:sz="0" w:space="0" w:color="auto"/>
            <w:bottom w:val="none" w:sz="0" w:space="0" w:color="auto"/>
            <w:right w:val="none" w:sz="0" w:space="0" w:color="auto"/>
          </w:divBdr>
          <w:divsChild>
            <w:div w:id="735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13C7-0381-4CDA-A5E9-2A51E93A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2929</Words>
  <Characters>18341</Characters>
  <Application>Microsoft Office Word</Application>
  <DocSecurity>0</DocSecurity>
  <Lines>295</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2020-02-05T07:16:00Z</dcterms:created>
  <dcterms:modified xsi:type="dcterms:W3CDTF">2020-02-17T11:07:00Z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