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2C7EC0ED-FF92-417B-9A85-784EC55084FB" style="width:450.55pt;height:6in">
            <v:imagedata r:id="rId12" o:title=""/>
          </v:shape>
        </w:pict>
      </w:r>
    </w:p>
    <w:bookmarkEnd w:id="0"/>
    <w:p>
      <w:pPr>
        <w:rPr>
          <w:rFonts w:ascii="Times New Roman" w:hAnsi="Times New Roman" w:cs="Times New Roman"/>
          <w:noProof/>
          <w:lang w:val="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smallCaps/>
          <w:noProof/>
          <w:sz w:val="24"/>
          <w:szCs w:val="24"/>
        </w:rPr>
      </w:pPr>
      <w:bookmarkStart w:id="1" w:name="_GoBack"/>
      <w:bookmarkEnd w:id="1"/>
      <w:r>
        <w:rPr>
          <w:rFonts w:ascii="Times New Roman" w:hAnsi="Times New Roman"/>
          <w:b/>
          <w:smallCaps/>
          <w:noProof/>
          <w:sz w:val="24"/>
        </w:rPr>
        <w:lastRenderedPageBreak/>
        <w:t xml:space="preserve">Kommissionens vägledning om tillämpningen av EU:s dataskyddslagstiftning i ett valsammanhang </w:t>
      </w:r>
    </w:p>
    <w:p>
      <w:pPr>
        <w:jc w:val="both"/>
        <w:rPr>
          <w:rFonts w:ascii="Times New Roman" w:hAnsi="Times New Roman" w:cs="Times New Roman"/>
          <w:noProof/>
          <w:sz w:val="24"/>
          <w:szCs w:val="24"/>
          <w:lang w:val="en-GB"/>
        </w:rPr>
      </w:pPr>
    </w:p>
    <w:p>
      <w:pPr>
        <w:jc w:val="both"/>
        <w:rPr>
          <w:rFonts w:ascii="Times New Roman" w:hAnsi="Times New Roman" w:cs="Times New Roman"/>
          <w:noProof/>
          <w:sz w:val="24"/>
          <w:szCs w:val="24"/>
        </w:rPr>
      </w:pPr>
      <w:r>
        <w:rPr>
          <w:rFonts w:ascii="Times New Roman" w:hAnsi="Times New Roman"/>
          <w:noProof/>
          <w:sz w:val="24"/>
          <w:szCs w:val="24"/>
        </w:rPr>
        <w:t>Kontakterna med valmanskåren är själva grunden för den demokratiska processen. Det är sedan länge praxis bland de politiska partierna att skräddarsy valbudskap till olika målgrupper, med hänsyn till deras särskilda intressen. Därför är det naturligt för aktörer som deltar i val att undersöka möjligheterna att använda data för att vinna röster. Uppkomsten av digitala verktyg och onlineplattformar har skapat många nya möjligheter att komma i kontakt med människor i den politiska debatten.</w:t>
      </w:r>
    </w:p>
    <w:p>
      <w:pPr>
        <w:jc w:val="both"/>
        <w:rPr>
          <w:rFonts w:ascii="Times New Roman" w:hAnsi="Times New Roman" w:cs="Times New Roman"/>
          <w:noProof/>
          <w:sz w:val="24"/>
          <w:szCs w:val="24"/>
        </w:rPr>
      </w:pPr>
      <w:r>
        <w:rPr>
          <w:rFonts w:ascii="Times New Roman" w:hAnsi="Times New Roman"/>
          <w:noProof/>
          <w:sz w:val="24"/>
          <w:szCs w:val="24"/>
        </w:rPr>
        <w:t>Utvecklingen av riktade budskap till väljare på individnivå (</w:t>
      </w:r>
      <w:r>
        <w:rPr>
          <w:rFonts w:ascii="Times New Roman" w:hAnsi="Times New Roman"/>
          <w:i/>
          <w:noProof/>
          <w:sz w:val="24"/>
          <w:szCs w:val="24"/>
        </w:rPr>
        <w:t>micro-targeting</w:t>
      </w:r>
      <w:r>
        <w:rPr>
          <w:rFonts w:ascii="Times New Roman" w:hAnsi="Times New Roman"/>
          <w:noProof/>
          <w:sz w:val="24"/>
          <w:szCs w:val="24"/>
        </w:rPr>
        <w:t xml:space="preserve">) på grundval av olaglig behandling av personuppgifter är dock en annan sak, vilket framgår av avslöjandena kring Cambridge Analytica. </w:t>
      </w:r>
      <w:r>
        <w:rPr>
          <w:rFonts w:ascii="Times New Roman" w:hAnsi="Times New Roman"/>
          <w:noProof/>
          <w:sz w:val="24"/>
        </w:rPr>
        <w:t>Detta illustrerar vilka utmaningar som modern teknik ger upphov till, men det visar också hur särskilt viktig datasskyddet är i valsammanhang.</w:t>
      </w:r>
      <w:r>
        <w:rPr>
          <w:rFonts w:ascii="Times New Roman" w:hAnsi="Times New Roman"/>
          <w:noProof/>
          <w:sz w:val="24"/>
          <w:szCs w:val="24"/>
        </w:rPr>
        <w:t xml:space="preserve"> Det har blivit en central fråga inte bara gäller den enskilde utan också hur våra demokratier fungerar, eftersom dessa utmaningar utgör ett allvarligt hot mot en rättvis, demokratisk valprocess. Dessutom kan de potentiellt undergräva öppen debatt, rättvisa och insyn som är grundläggande inslag i en demokrati. För kommissionen är det av yttersta vikt att ta itu med denna fråga för att återupprätta allmänhetens förtroende för valprocessen sker på ett rättvist rätt.</w:t>
      </w:r>
    </w:p>
    <w:p>
      <w:pPr>
        <w:jc w:val="both"/>
        <w:rPr>
          <w:rFonts w:ascii="Times New Roman" w:hAnsi="Times New Roman" w:cs="Times New Roman"/>
          <w:noProof/>
          <w:sz w:val="24"/>
          <w:szCs w:val="24"/>
        </w:rPr>
      </w:pPr>
      <w:r>
        <w:rPr>
          <w:rFonts w:ascii="Times New Roman" w:hAnsi="Times New Roman"/>
          <w:noProof/>
          <w:sz w:val="24"/>
          <w:szCs w:val="24"/>
        </w:rPr>
        <w:t>De första rapporterna från den brittiska dataskyddsmyndigheten (</w:t>
      </w:r>
      <w:r>
        <w:rPr>
          <w:rFonts w:ascii="Times New Roman" w:hAnsi="Times New Roman"/>
          <w:i/>
          <w:noProof/>
          <w:sz w:val="24"/>
          <w:szCs w:val="24"/>
        </w:rPr>
        <w:t>Information Commissioner’s Office</w:t>
      </w:r>
      <w:r>
        <w:rPr>
          <w:rFonts w:ascii="Times New Roman" w:hAnsi="Times New Roman"/>
          <w:noProof/>
          <w:sz w:val="24"/>
          <w:szCs w:val="24"/>
        </w:rPr>
        <w:t xml:space="preserve"> – ICO) om användningen av dataanalys i politiska kampanjer</w:t>
      </w:r>
      <w:r>
        <w:rPr>
          <w:rStyle w:val="FootnoteReference"/>
          <w:rFonts w:ascii="Times New Roman" w:hAnsi="Times New Roman" w:cs="Times New Roman"/>
          <w:noProof/>
          <w:sz w:val="24"/>
          <w:szCs w:val="24"/>
          <w:lang w:val="en-GB"/>
        </w:rPr>
        <w:footnoteReference w:id="2"/>
      </w:r>
      <w:r>
        <w:rPr>
          <w:rFonts w:ascii="Times New Roman" w:hAnsi="Times New Roman"/>
          <w:noProof/>
          <w:sz w:val="24"/>
          <w:szCs w:val="24"/>
        </w:rPr>
        <w:t xml:space="preserve"> och yttrandet från Europeiska datatillsynsmannen om manipulation och personuppgifter</w:t>
      </w:r>
      <w:r>
        <w:rPr>
          <w:rStyle w:val="FootnoteReference"/>
          <w:rFonts w:ascii="Times New Roman" w:hAnsi="Times New Roman" w:cs="Times New Roman"/>
          <w:noProof/>
          <w:sz w:val="24"/>
          <w:szCs w:val="24"/>
          <w:lang w:val="en-GB"/>
        </w:rPr>
        <w:footnoteReference w:id="3"/>
      </w:r>
      <w:r>
        <w:rPr>
          <w:rFonts w:ascii="Times New Roman" w:hAnsi="Times New Roman"/>
          <w:noProof/>
          <w:sz w:val="24"/>
          <w:szCs w:val="24"/>
        </w:rPr>
        <w:t xml:space="preserve"> bekräftar att riktade budskap på individnivå, som ursprungligen utvecklats för kommersiella ändamål inverkar altmer i valsammanhang.</w:t>
      </w:r>
    </w:p>
    <w:p>
      <w:pPr>
        <w:jc w:val="both"/>
        <w:rPr>
          <w:rFonts w:ascii="Times New Roman" w:hAnsi="Times New Roman" w:cs="Times New Roman"/>
          <w:noProof/>
          <w:sz w:val="24"/>
          <w:szCs w:val="24"/>
        </w:rPr>
      </w:pPr>
      <w:r>
        <w:rPr>
          <w:rFonts w:ascii="Times New Roman" w:hAnsi="Times New Roman"/>
          <w:noProof/>
          <w:sz w:val="24"/>
          <w:szCs w:val="24"/>
        </w:rPr>
        <w:t>Flera dataskyddsmyndigheter har mer allmänt tagit upp frågan om dataskydd i valsammanhang</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rPr>
        <w:t>Europaparlamentets och rådets förordning (EU) nr 2016/679 (allmänna dataskyddsförordningen)</w:t>
      </w:r>
      <w:r>
        <w:rPr>
          <w:rStyle w:val="FootnoteReference"/>
          <w:rFonts w:ascii="Times New Roman" w:hAnsi="Times New Roman" w:cs="Times New Roman"/>
          <w:noProof/>
          <w:sz w:val="24"/>
          <w:szCs w:val="24"/>
          <w:lang w:val="en-GB"/>
        </w:rPr>
        <w:footnoteReference w:id="5"/>
      </w:r>
      <w:r>
        <w:rPr>
          <w:rFonts w:ascii="Times New Roman" w:hAnsi="Times New Roman"/>
          <w:noProof/>
        </w:rPr>
        <w:t>, som blev direkt tillämplig i hela unionen den 25 maj 2018, ger unionen de verktyg som behövs för att hantera fall av olaglig användning av personuppgifter i ett valsammanhang.</w:t>
      </w:r>
      <w:r>
        <w:rPr>
          <w:rFonts w:ascii="Times New Roman" w:hAnsi="Times New Roman"/>
          <w:noProof/>
          <w:sz w:val="24"/>
          <w:szCs w:val="24"/>
        </w:rPr>
        <w:t xml:space="preserve"> Det enda sättet att bidra till skyddet av den demokratiska politikens integritet kommer att vara en fast och konsekvent tillämpning av reglerna. Eftersom det är första gången som de tillämpas i samband med val till Europaparlamentet, är det viktigt att skapa klarhet för de aktörer som deltar i valprocessena – t.ex. nationella valmyndigheter, partier, datamäklare och analytiker samt plattformar för sociala medier och onlinenätverk. Syftet med denna vägledning är därför att lyfta fram de dataskyddsrelaterade skyldigheter som är av betydelse i valsammanhang. Eftersom de nationella dataskyddsmyndigheterna ansvarar för verkställandet av allmänna dataskyddsförordningen, ska de till fullo utnyttja sina utökade befogenheter att åtgärda eventuella överträdelser, särskilt om de hänger samman med riktade budskap till väljare på individnivå.  </w:t>
      </w:r>
    </w:p>
    <w:p>
      <w:pPr>
        <w:pStyle w:val="Heading1"/>
        <w:numPr>
          <w:ilvl w:val="0"/>
          <w:numId w:val="1"/>
        </w:numPr>
        <w:spacing w:before="240" w:after="240"/>
        <w:rPr>
          <w:rFonts w:ascii="Times New Roman" w:hAnsi="Times New Roman" w:cs="Times New Roman"/>
          <w:noProof/>
          <w:color w:val="auto"/>
          <w:sz w:val="24"/>
        </w:rPr>
      </w:pPr>
      <w:r>
        <w:rPr>
          <w:rFonts w:ascii="Times New Roman" w:hAnsi="Times New Roman"/>
          <w:noProof/>
          <w:color w:val="auto"/>
          <w:sz w:val="24"/>
        </w:rPr>
        <w:t>Unionens dataskyddsram</w:t>
      </w:r>
    </w:p>
    <w:p>
      <w:pPr>
        <w:jc w:val="both"/>
        <w:rPr>
          <w:rFonts w:ascii="Times New Roman" w:hAnsi="Times New Roman" w:cs="Times New Roman"/>
          <w:noProof/>
          <w:sz w:val="24"/>
          <w:szCs w:val="24"/>
        </w:rPr>
      </w:pPr>
      <w:r>
        <w:rPr>
          <w:rFonts w:ascii="Times New Roman" w:hAnsi="Times New Roman"/>
          <w:noProof/>
          <w:sz w:val="24"/>
          <w:szCs w:val="24"/>
        </w:rPr>
        <w:t>Skyddet av personuppgifter är en grundläggande rättighet som fastställs i stadgan om de grundläggande rättigheterna (artikel 8) och i fördragen (artikel 16 i EUF-fördraget). Genom allmänna dataskyddsförordningen stärks ramen för dataskydd, vilket gör EU bättre rustat att hantera missbruk av personuppgifter i framtiden. Dessutom får samtliga aktörer en högre grad av ansvarsskyldighet och ett ökat ansvar för sin hantering av personuppgifter.</w:t>
      </w:r>
    </w:p>
    <w:p>
      <w:pPr>
        <w:jc w:val="both"/>
        <w:rPr>
          <w:rFonts w:ascii="Times New Roman" w:hAnsi="Times New Roman" w:cs="Times New Roman"/>
          <w:noProof/>
          <w:sz w:val="24"/>
          <w:szCs w:val="24"/>
        </w:rPr>
      </w:pPr>
      <w:r>
        <w:rPr>
          <w:rFonts w:ascii="Times New Roman" w:hAnsi="Times New Roman"/>
          <w:noProof/>
          <w:sz w:val="24"/>
        </w:rPr>
        <w:t>Förordningen ger människor i EU nya och förstärkta rättigheter, vilket är särskilt relevanta i ett valsammanhang:</w:t>
      </w:r>
      <w:r>
        <w:rPr>
          <w:rFonts w:ascii="Times New Roman" w:hAnsi="Times New Roman"/>
          <w:noProof/>
          <w:sz w:val="24"/>
          <w:szCs w:val="24"/>
        </w:rPr>
        <w:t xml:space="preserve"> De dataskyddsregler som har gällt i unionen de senaste 20 åren försvagades särskilt av medlemsstaternas splittrade tillämpning av dem, avsaknad av formaliserade mekanismer för samarbete mellan nationella dataskyddsmyndigheter och dessa myndigheters begränsade befogenheter att driva igenom reglerna. Detta är brister som nu avhjälps genom den allmänna dataskyddsförordningen. Den bygger vidare på beprövade dataskyddsprinciper harmoniseras i och med förordningen centrala begrepp som t.ex. ”samtycke”, stärker enskilda personers rätt att få information om behandlingen av deras personuppgifter, klargör villkoren för när personuppgifter får spridas vidare, inför bestämmelser om personuppgiftsincidenter, fastställer en mekanism för samarbete mellan uppgiftsskyddsmyndigheter i samband med gränsöverskridande ärenden och stärker deras befogenheter att driva igenom reglerna. </w:t>
      </w:r>
      <w:r>
        <w:rPr>
          <w:rFonts w:ascii="Times New Roman" w:hAnsi="Times New Roman"/>
          <w:noProof/>
        </w:rPr>
        <w:t>Om EU:s dataskyddsregler överträds har dataskyddsmyndigheterna befogenhet att utreda (t.ex. begära in information och utföra inspektioner hos personuppgiftsansvariga och personuppgiftsbiträden) och att korrigera beteenden (t.ex. utfärda varningar och reprimander, eller tillfälligt eller definitivt avbryta uppgiftsbehandlingen).</w:t>
      </w:r>
      <w:r>
        <w:rPr>
          <w:rFonts w:ascii="Times New Roman" w:hAnsi="Times New Roman"/>
          <w:noProof/>
          <w:sz w:val="24"/>
          <w:szCs w:val="24"/>
        </w:rPr>
        <w:t xml:space="preserve"> </w:t>
      </w:r>
      <w:r>
        <w:rPr>
          <w:rFonts w:ascii="Times New Roman" w:hAnsi="Times New Roman"/>
          <w:noProof/>
          <w:sz w:val="24"/>
        </w:rPr>
        <w:t>De har också befogenhet att fatta beslut om böter på högst 20 miljoner euro eller, om det gäller företag, på högst 4 % av omsättningen</w:t>
      </w:r>
      <w:r>
        <w:rPr>
          <w:rStyle w:val="FootnoteReference"/>
          <w:rFonts w:ascii="Times New Roman" w:hAnsi="Times New Roman" w:cs="Times New Roman"/>
          <w:noProof/>
          <w:sz w:val="24"/>
          <w:lang w:val="en-GB"/>
        </w:rPr>
        <w:footnoteReference w:id="6"/>
      </w:r>
      <w:r>
        <w:rPr>
          <w:rFonts w:ascii="Times New Roman" w:hAnsi="Times New Roman"/>
          <w:noProof/>
          <w:sz w:val="24"/>
        </w:rPr>
        <w:t>.</w:t>
      </w:r>
      <w:r>
        <w:rPr>
          <w:rFonts w:ascii="Times New Roman" w:hAnsi="Times New Roman"/>
          <w:noProof/>
        </w:rPr>
        <w:t xml:space="preserve"> </w:t>
      </w:r>
      <w:r>
        <w:rPr>
          <w:rFonts w:ascii="Times New Roman" w:hAnsi="Times New Roman"/>
          <w:noProof/>
          <w:sz w:val="24"/>
          <w:szCs w:val="24"/>
        </w:rPr>
        <w:t>Vid beslut om böter och bötesbeloppens storlek ska dataskyddsmyndigheterna beakta omständigheterna i det enskilda fallet och faktorer såsom uppgiftsbehandlingens karaktär, omfattning eller syfte samt antalet personerregistrerade som berörs och den skada som de har lidit</w:t>
      </w:r>
      <w:r>
        <w:rPr>
          <w:rStyle w:val="FootnoteReference"/>
          <w:rFonts w:ascii="Times New Roman" w:hAnsi="Times New Roman" w:cs="Times New Roman"/>
          <w:noProof/>
          <w:sz w:val="24"/>
          <w:szCs w:val="24"/>
          <w:lang w:val="en-GB"/>
        </w:rPr>
        <w:footnoteReference w:id="7"/>
      </w:r>
      <w:r>
        <w:rPr>
          <w:rFonts w:ascii="Times New Roman" w:hAnsi="Times New Roman"/>
          <w:noProof/>
          <w:sz w:val="24"/>
          <w:szCs w:val="24"/>
        </w:rPr>
        <w:t>. I ett valsammanhang är det troligt att överträdelsens svårighetsgrad och antalet berörda personer kommer att vara omfattande. Detta kan medföra höga böter, särskilt med tanke på frågans betydelse för medborgarnas förtroende för den demokratiska processen.</w:t>
      </w:r>
    </w:p>
    <w:p>
      <w:pPr>
        <w:jc w:val="both"/>
        <w:rPr>
          <w:rFonts w:ascii="Times New Roman" w:hAnsi="Times New Roman" w:cs="Times New Roman"/>
          <w:noProof/>
          <w:sz w:val="24"/>
          <w:szCs w:val="24"/>
        </w:rPr>
      </w:pPr>
      <w:r>
        <w:rPr>
          <w:rFonts w:ascii="Times New Roman" w:hAnsi="Times New Roman"/>
          <w:noProof/>
          <w:sz w:val="24"/>
          <w:szCs w:val="24"/>
        </w:rPr>
        <w:t>Den nyligen inrättade Europeiska dataskyddsstyrelsen, som sammanför alla nationella dataskyddsmyndigheter samt Europeiska datatillsynsmannen, spelar en nyckelroll i tillämpningen av allmänna dataskyddsförordningen genom att styrelsen utfärdar riktlinjer, rekommendationer och bästa praxis</w:t>
      </w:r>
      <w:r>
        <w:rPr>
          <w:rStyle w:val="FootnoteReference"/>
          <w:rFonts w:ascii="Times New Roman" w:hAnsi="Times New Roman" w:cs="Times New Roman"/>
          <w:noProof/>
          <w:sz w:val="24"/>
          <w:szCs w:val="24"/>
          <w:lang w:val="en-GB"/>
        </w:rPr>
        <w:footnoteReference w:id="8"/>
      </w:r>
      <w:r>
        <w:rPr>
          <w:rFonts w:ascii="Times New Roman" w:hAnsi="Times New Roman"/>
          <w:noProof/>
          <w:sz w:val="24"/>
          <w:szCs w:val="24"/>
        </w:rPr>
        <w:t>. Eftersom nationella dataskyddsmyndigheter både ansvarar för att allmänna dataskyddsförordningen verkställs och fungerar som direkta kontaktpunkter för intressenter är de väl lämpade att bidra till den rättsliga förutsebarheten i samband med tolkningen av den. Kommissionen stöder aktivt det arbetet.</w:t>
      </w:r>
    </w:p>
    <w:p>
      <w:pPr>
        <w:jc w:val="both"/>
        <w:rPr>
          <w:rFonts w:ascii="Times New Roman" w:hAnsi="Times New Roman" w:cs="Times New Roman"/>
          <w:noProof/>
          <w:sz w:val="24"/>
          <w:szCs w:val="24"/>
        </w:rPr>
      </w:pPr>
      <w:r>
        <w:rPr>
          <w:rFonts w:ascii="Times New Roman" w:hAnsi="Times New Roman"/>
          <w:noProof/>
          <w:sz w:val="24"/>
        </w:rPr>
        <w:t>Direktivet om integritet och elektronisk kommunikation (Europaparlamentets och rådets direktiv 2002/58/EG</w:t>
      </w:r>
      <w:r>
        <w:rPr>
          <w:rStyle w:val="FootnoteReference"/>
          <w:rFonts w:ascii="Times New Roman" w:hAnsi="Times New Roman" w:cs="Times New Roman"/>
          <w:noProof/>
          <w:sz w:val="24"/>
          <w:lang w:val="en-GB"/>
        </w:rPr>
        <w:footnoteReference w:id="9"/>
      </w:r>
      <w:r>
        <w:rPr>
          <w:rFonts w:ascii="Times New Roman" w:hAnsi="Times New Roman"/>
          <w:noProof/>
          <w:sz w:val="24"/>
        </w:rPr>
        <w:t>), kompletterar unionens ram för dataskydd, och är relevant i ett valsammanhang eftersom dess tillämpningsområde innefattar bestämmelser om elektroniska utskick av oönskade meddelanden för direkt marknadsföring.</w:t>
      </w:r>
      <w:r>
        <w:rPr>
          <w:rFonts w:ascii="Times New Roman" w:hAnsi="Times New Roman"/>
          <w:noProof/>
          <w:sz w:val="24"/>
          <w:szCs w:val="24"/>
        </w:rPr>
        <w:t xml:space="preserve"> Genom direktivet om integritet och elektronisk kommunikation fastställs också bestämmelser om lagring av uppgifter och tillgång till redan lagrade uppgifter, t.ex. kakor som kan användas för att spåra användarens beteende på nätet, i terminalutrustning, exempelvis smarta telefoner eller datorer. </w:t>
      </w:r>
      <w:r>
        <w:rPr>
          <w:rFonts w:ascii="Times New Roman" w:hAnsi="Times New Roman"/>
          <w:noProof/>
        </w:rPr>
        <w:t>Kommissionens förslag till förordning om integritet och elektronisk kommunikation</w:t>
      </w:r>
      <w:r>
        <w:rPr>
          <w:rStyle w:val="FootnoteReference"/>
          <w:rFonts w:ascii="Times New Roman" w:hAnsi="Times New Roman" w:cs="Times New Roman"/>
          <w:noProof/>
          <w:sz w:val="24"/>
          <w:szCs w:val="24"/>
          <w:lang w:val="en-GB"/>
        </w:rPr>
        <w:footnoteReference w:id="10"/>
      </w:r>
      <w:r>
        <w:rPr>
          <w:rFonts w:ascii="Times New Roman" w:hAnsi="Times New Roman"/>
          <w:noProof/>
        </w:rPr>
        <w:t>, som för närvarande är föremål för förhandling, bygger på samma principer som direktivet om integritet och elektronisk kommunikation.</w:t>
      </w:r>
      <w:r>
        <w:rPr>
          <w:rFonts w:ascii="Times New Roman" w:hAnsi="Times New Roman"/>
          <w:noProof/>
          <w:sz w:val="24"/>
          <w:szCs w:val="24"/>
        </w:rPr>
        <w:t xml:space="preserve"> Genom att den nya förordningen kommer att få större räckvidd kommer inte bara traditionella telekomoperatörer utan även internetbaserade kommunikationstjänster att omfattas. </w:t>
      </w:r>
    </w:p>
    <w:p>
      <w:pPr>
        <w:pStyle w:val="Heading1"/>
        <w:numPr>
          <w:ilvl w:val="0"/>
          <w:numId w:val="1"/>
        </w:numPr>
        <w:spacing w:before="240" w:after="240"/>
        <w:jc w:val="both"/>
        <w:rPr>
          <w:rFonts w:ascii="Times New Roman" w:hAnsi="Times New Roman" w:cs="Times New Roman"/>
          <w:noProof/>
          <w:color w:val="auto"/>
          <w:sz w:val="24"/>
          <w:szCs w:val="24"/>
        </w:rPr>
      </w:pPr>
      <w:r>
        <w:rPr>
          <w:rFonts w:ascii="Times New Roman" w:hAnsi="Times New Roman"/>
          <w:noProof/>
          <w:color w:val="auto"/>
          <w:sz w:val="24"/>
          <w:szCs w:val="24"/>
        </w:rPr>
        <w:t>Centrala skyligheter för de olika aktörerna</w:t>
      </w:r>
    </w:p>
    <w:p>
      <w:pPr>
        <w:jc w:val="both"/>
        <w:rPr>
          <w:rFonts w:ascii="Times New Roman" w:hAnsi="Times New Roman" w:cs="Times New Roman"/>
          <w:noProof/>
          <w:sz w:val="24"/>
          <w:szCs w:val="24"/>
        </w:rPr>
      </w:pPr>
      <w:r>
        <w:rPr>
          <w:rFonts w:ascii="Times New Roman" w:hAnsi="Times New Roman"/>
          <w:noProof/>
          <w:sz w:val="24"/>
        </w:rPr>
        <w:t>Allmänna dataskyddsförordningen är tillämplig på alla aktörer i ett valsammanhang, t.ex. europeiska och nationella politiska partier (nedan kallade</w:t>
      </w:r>
      <w:r>
        <w:rPr>
          <w:rFonts w:ascii="Times New Roman" w:hAnsi="Times New Roman"/>
          <w:noProof/>
          <w:sz w:val="24"/>
          <w:szCs w:val="24"/>
        </w:rPr>
        <w:t xml:space="preserve"> </w:t>
      </w:r>
      <w:r>
        <w:rPr>
          <w:rFonts w:ascii="Times New Roman" w:hAnsi="Times New Roman"/>
          <w:i/>
          <w:noProof/>
          <w:sz w:val="24"/>
          <w:szCs w:val="24"/>
        </w:rPr>
        <w:t>partier</w:t>
      </w:r>
      <w:r>
        <w:rPr>
          <w:rFonts w:ascii="Times New Roman" w:hAnsi="Times New Roman"/>
          <w:noProof/>
          <w:sz w:val="24"/>
          <w:szCs w:val="24"/>
        </w:rPr>
        <w:t xml:space="preserve">), europeiska och nationella politiska stiftelser (nedan kallad </w:t>
      </w:r>
      <w:r>
        <w:rPr>
          <w:rFonts w:ascii="Times New Roman" w:hAnsi="Times New Roman"/>
          <w:i/>
          <w:noProof/>
          <w:sz w:val="24"/>
        </w:rPr>
        <w:t>stiftelser</w:t>
      </w:r>
      <w:r>
        <w:rPr>
          <w:rFonts w:ascii="Times New Roman" w:hAnsi="Times New Roman"/>
          <w:noProof/>
          <w:sz w:val="24"/>
        </w:rPr>
        <w:t>), plattformar, dataanalysföretag och valmyndigheter.</w:t>
      </w:r>
      <w:r>
        <w:rPr>
          <w:rFonts w:ascii="Times New Roman" w:hAnsi="Times New Roman"/>
          <w:noProof/>
          <w:sz w:val="24"/>
          <w:szCs w:val="24"/>
        </w:rPr>
        <w:t xml:space="preserve"> Dessa måste behandla personuppgifter (t.ex. namn och adress) på ett lagligt, korrekt och öppet sätt, och endast för specifika ändamål. Uppgifterna får användas på ett sätt som är oförenligt med de ändamål som uppgifterna ursprungligen samlades in för. </w:t>
      </w:r>
      <w:r>
        <w:rPr>
          <w:rFonts w:ascii="Times New Roman" w:hAnsi="Times New Roman"/>
          <w:noProof/>
          <w:sz w:val="24"/>
        </w:rPr>
        <w:t>Behandling för journalistiska ändamål faller i princip också under allmänna dataskyddsförordningens tillämpningsområde, men kan omfattas av undantag enligt nationell lagstiftning, med tanke på hur viktig yttrandefriheten och informationsfriheten är i ett demokratiskt samhälle</w:t>
      </w:r>
      <w:r>
        <w:rPr>
          <w:rStyle w:val="FootnoteReference"/>
          <w:rFonts w:ascii="Times New Roman" w:hAnsi="Times New Roman" w:cs="Times New Roman"/>
          <w:noProof/>
          <w:sz w:val="24"/>
          <w:lang w:val="en-GB"/>
        </w:rPr>
        <w:footnoteReference w:id="11"/>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Begreppet ”personuppgifter” är vidsträckt. Personuppgifter är alla uppgifter med koppling till en identifierad eller identifierbar fysisk person. </w:t>
      </w:r>
      <w:r>
        <w:rPr>
          <w:rFonts w:ascii="Times New Roman" w:hAnsi="Times New Roman"/>
          <w:noProof/>
          <w:sz w:val="24"/>
        </w:rPr>
        <w:t>Uppgifter som behandlas i ett valsammanhang inbegriper ofta särskilda kategorier av personuppgifter (”känsliga uppgifter”), exempelvis politisk åskådning, medlemskap i fackförening, etniskt ursprung, sexualliv osv. som åtnjuter ett starkare skydd</w:t>
      </w:r>
      <w:r>
        <w:rPr>
          <w:rStyle w:val="FootnoteReference"/>
          <w:rFonts w:ascii="Times New Roman" w:hAnsi="Times New Roman" w:cs="Times New Roman"/>
          <w:noProof/>
          <w:sz w:val="24"/>
          <w:lang w:val="en-GB"/>
        </w:rPr>
        <w:footnoteReference w:id="12"/>
      </w:r>
      <w:r>
        <w:rPr>
          <w:rFonts w:ascii="Times New Roman" w:hAnsi="Times New Roman"/>
          <w:noProof/>
          <w:sz w:val="24"/>
        </w:rPr>
        <w:t>.</w:t>
      </w:r>
      <w:r>
        <w:rPr>
          <w:rFonts w:ascii="Times New Roman" w:hAnsi="Times New Roman"/>
          <w:noProof/>
          <w:sz w:val="24"/>
          <w:szCs w:val="24"/>
        </w:rPr>
        <w:t xml:space="preserve"> Genom dataanalys kan man utifrån dataset med icke känsliga uppgifter dessutom härleda ”känsliga uppgifter” (.t.ex. politiska åsikter, men även religiösa övertygelse eller sexuell läggning) från dataset av icke känsliga uppgifter. Behandling av sådana härledda uppgifter omfattas även av allmänna dataskyddsförordningen och bör därför uppfylla alla dataskyddsregler.</w:t>
      </w:r>
    </w:p>
    <w:p>
      <w:pPr>
        <w:jc w:val="both"/>
        <w:rPr>
          <w:rFonts w:ascii="Times New Roman" w:hAnsi="Times New Roman" w:cs="Times New Roman"/>
          <w:noProof/>
          <w:sz w:val="24"/>
          <w:szCs w:val="24"/>
        </w:rPr>
      </w:pPr>
      <w:r>
        <w:rPr>
          <w:rFonts w:ascii="Times New Roman" w:hAnsi="Times New Roman"/>
          <w:noProof/>
          <w:sz w:val="24"/>
          <w:szCs w:val="24"/>
        </w:rPr>
        <w:t>Sammanfattningsvis omfattas all uppgiftsbehandling i ett valsammanhang av allmänna dataskyddsförordningen.</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Med hänsyn till behovet av klarhet för aktörer i ett valsammanhang, och de första resultaten i fallet Cambridge Analytica, behandlas i följande avsnitt de skyldigheter avseende dataskydd som förefaller särskilt relevanta i ett valsammanhang.</w:t>
      </w:r>
      <w:r>
        <w:rPr>
          <w:rFonts w:ascii="Times New Roman" w:hAnsi="Times New Roman"/>
          <w:noProof/>
          <w:sz w:val="24"/>
          <w:szCs w:val="24"/>
        </w:rPr>
        <w:t xml:space="preserve"> De sammanfattas i bilagan. </w:t>
      </w:r>
    </w:p>
    <w:p>
      <w:pPr>
        <w:pStyle w:val="Heading2"/>
        <w:keepNext/>
        <w:keepLines/>
        <w:numPr>
          <w:ilvl w:val="1"/>
          <w:numId w:val="1"/>
        </w:numPr>
        <w:spacing w:before="0" w:beforeAutospacing="0" w:after="240" w:afterAutospacing="0" w:line="276" w:lineRule="auto"/>
        <w:jc w:val="both"/>
        <w:rPr>
          <w:noProof/>
          <w:sz w:val="24"/>
        </w:rPr>
      </w:pPr>
      <w:r>
        <w:rPr>
          <w:noProof/>
          <w:sz w:val="24"/>
        </w:rPr>
        <w:t>Personuppgiftsansvariga och personuppgiftsbiträden</w:t>
      </w:r>
    </w:p>
    <w:p>
      <w:pPr>
        <w:jc w:val="both"/>
        <w:rPr>
          <w:rFonts w:ascii="Times New Roman" w:hAnsi="Times New Roman" w:cs="Times New Roman"/>
          <w:noProof/>
          <w:sz w:val="24"/>
          <w:szCs w:val="24"/>
        </w:rPr>
      </w:pPr>
      <w:r>
        <w:rPr>
          <w:rFonts w:ascii="Times New Roman" w:hAnsi="Times New Roman"/>
          <w:noProof/>
          <w:sz w:val="24"/>
          <w:szCs w:val="24"/>
        </w:rPr>
        <w:t>Begreppet ansvarsskyldighet för personuppgiftsansvariga och personuppgiftsbiträden är centralt i den allmänna dataskyddsförordningen. Den personuppgiftsansvarige är den organisation som, på egen hand eller i samarbete med andra, beslutar om varför och hur personuppgifterna behandlas. Personuppgiftsbiträdet behandlar uppgifter enbart på den personuppgiftsansvarige vägnar eller enligt dennes instruktioner (varvid förhållandet mellan dem fastställs i ett avtal eller annan rättsligt bindande handling). Personuppgiftsansvariga ska vidta lämpliga åtgärder i förhållande till riskerna och implementera uppgiftsskydd som är inbyggt redan från början och kunna visa att behandlingen är förenlig med allmänna dataskyddsförordningen (principen om ansvarsskyldighet).</w:t>
      </w:r>
    </w:p>
    <w:p>
      <w:pPr>
        <w:jc w:val="both"/>
        <w:rPr>
          <w:rFonts w:ascii="Times New Roman" w:hAnsi="Times New Roman" w:cs="Times New Roman"/>
          <w:noProof/>
          <w:sz w:val="24"/>
          <w:szCs w:val="24"/>
        </w:rPr>
      </w:pPr>
      <w:r>
        <w:rPr>
          <w:rFonts w:ascii="Times New Roman" w:hAnsi="Times New Roman"/>
          <w:noProof/>
          <w:sz w:val="24"/>
          <w:szCs w:val="24"/>
        </w:rPr>
        <w:t xml:space="preserve">Den personuppgiftsansvariges eller personuppgiftsbiträdets roll måste bedömas i varje enskilt fall. I ett valsammanhang kan ett antal olika aktörer vara personuppgiftsansvariga: Politiska partier, enskilda kandidater och stiftelser är, i de flesta fall, personuppgiftsansvariga. </w:t>
      </w:r>
      <w:r>
        <w:rPr>
          <w:rFonts w:ascii="Times New Roman" w:hAnsi="Times New Roman"/>
          <w:noProof/>
          <w:sz w:val="24"/>
        </w:rPr>
        <w:t>Plattformar och dataanalysföretag kan vara (gemensamma) personuppgiftsansvariga eller personuppgiftsbiträden för en viss behandling beroende på vilken grad av kontroll som de har under behandlingen</w:t>
      </w:r>
      <w:r>
        <w:rPr>
          <w:rStyle w:val="FootnoteReference"/>
          <w:rFonts w:ascii="Times New Roman" w:hAnsi="Times New Roman" w:cs="Times New Roman"/>
          <w:noProof/>
          <w:sz w:val="24"/>
          <w:lang w:val="en-GB"/>
        </w:rPr>
        <w:footnoteReference w:id="13"/>
      </w:r>
      <w:r>
        <w:rPr>
          <w:rFonts w:ascii="Times New Roman" w:hAnsi="Times New Roman"/>
          <w:noProof/>
          <w:sz w:val="24"/>
        </w:rPr>
        <w:t>.</w:t>
      </w:r>
      <w:r>
        <w:rPr>
          <w:rFonts w:ascii="Times New Roman" w:hAnsi="Times New Roman"/>
          <w:noProof/>
          <w:sz w:val="24"/>
          <w:szCs w:val="24"/>
        </w:rPr>
        <w:t xml:space="preserve"> </w:t>
      </w:r>
      <w:r>
        <w:rPr>
          <w:rFonts w:ascii="Times New Roman" w:hAnsi="Times New Roman"/>
          <w:noProof/>
          <w:sz w:val="24"/>
        </w:rPr>
        <w:t>nationella valmyndigheter är personuppgiftsansvariga för röstlängderna.</w:t>
      </w:r>
    </w:p>
    <w:p>
      <w:pPr>
        <w:jc w:val="both"/>
        <w:rPr>
          <w:rFonts w:ascii="Times New Roman" w:hAnsi="Times New Roman" w:cs="Times New Roman"/>
          <w:noProof/>
          <w:sz w:val="24"/>
          <w:szCs w:val="24"/>
        </w:rPr>
      </w:pPr>
      <w:r>
        <w:rPr>
          <w:rFonts w:ascii="Times New Roman" w:hAnsi="Times New Roman"/>
          <w:noProof/>
          <w:sz w:val="24"/>
          <w:szCs w:val="24"/>
        </w:rPr>
        <w:t>Om deras uppgiftsbehandling avser utbjudande av varor och tjänster till personer i unionen eller övervakning av dessas beteende i unionen måste företag med säte utanför EU också följa allmänna dataskyddsförordningen. Detta är fallet i fråga om ett antal plattformar och dataanalysföretag.</w:t>
      </w:r>
    </w:p>
    <w:p>
      <w:pPr>
        <w:pStyle w:val="Heading2"/>
        <w:keepNext/>
        <w:keepLines/>
        <w:numPr>
          <w:ilvl w:val="1"/>
          <w:numId w:val="1"/>
        </w:numPr>
        <w:spacing w:before="0" w:beforeAutospacing="0" w:after="240" w:afterAutospacing="0" w:line="276" w:lineRule="auto"/>
        <w:jc w:val="both"/>
        <w:rPr>
          <w:noProof/>
          <w:sz w:val="24"/>
          <w:szCs w:val="24"/>
        </w:rPr>
      </w:pPr>
      <w:r>
        <w:rPr>
          <w:noProof/>
          <w:sz w:val="24"/>
          <w:szCs w:val="24"/>
        </w:rPr>
        <w:t>Principer, behandlingens laglighet och särskilda villkor för ”känsliga uppgifter”</w:t>
      </w:r>
    </w:p>
    <w:p>
      <w:pPr>
        <w:jc w:val="both"/>
        <w:rPr>
          <w:rFonts w:ascii="Times New Roman" w:hAnsi="Times New Roman" w:cs="Times New Roman"/>
          <w:noProof/>
          <w:sz w:val="24"/>
          <w:szCs w:val="24"/>
        </w:rPr>
      </w:pPr>
      <w:r>
        <w:rPr>
          <w:rFonts w:ascii="Times New Roman" w:hAnsi="Times New Roman"/>
          <w:noProof/>
          <w:sz w:val="24"/>
        </w:rPr>
        <w:t>Aktörer som deltar i ett valsammanhang får behandla personuppgifter, t.ex. sådana som erhållits från offentliga källor, endast i enlighet med principerna för behandling av personuppgifter och som grundas på ett begränsat antal grunder som tydligt anges i allmänna dataskyddsförordningen</w:t>
      </w:r>
      <w:r>
        <w:rPr>
          <w:rStyle w:val="FootnoteReference"/>
          <w:rFonts w:ascii="Times New Roman" w:hAnsi="Times New Roman" w:cs="Times New Roman"/>
          <w:noProof/>
          <w:sz w:val="24"/>
          <w:lang w:val="en-GB"/>
        </w:rPr>
        <w:footnoteReference w:id="14"/>
      </w:r>
      <w:r>
        <w:rPr>
          <w:rFonts w:ascii="Times New Roman" w:hAnsi="Times New Roman"/>
          <w:noProof/>
          <w:sz w:val="24"/>
        </w:rPr>
        <w:t>.</w:t>
      </w:r>
      <w:r>
        <w:rPr>
          <w:rFonts w:ascii="Times New Roman" w:hAnsi="Times New Roman"/>
          <w:noProof/>
          <w:sz w:val="24"/>
          <w:szCs w:val="24"/>
        </w:rPr>
        <w:t xml:space="preserve"> De mest relevanta grunderna för laglig behandling i ett valsammanhang torde vara en persons samtycke, fullgörandet av en rättslig förpliktelse enligt unionsrätten eller nationell rätt, utförande av ett uppdrag av allmänt intresse samt en av aktörernas berättigade intresse. Aktörerna i ett valsammanhang kan dock endast åberopa berättigat intresse som grund i de fall där de berörda personernas intresse eller grundläggande rättigheter och friheter väger tyngre. </w:t>
      </w:r>
    </w:p>
    <w:p>
      <w:pPr>
        <w:jc w:val="both"/>
        <w:rPr>
          <w:rFonts w:ascii="Times New Roman" w:hAnsi="Times New Roman" w:cs="Times New Roman"/>
          <w:noProof/>
          <w:sz w:val="24"/>
          <w:szCs w:val="24"/>
        </w:rPr>
      </w:pPr>
      <w:r>
        <w:rPr>
          <w:rFonts w:ascii="Times New Roman" w:hAnsi="Times New Roman"/>
          <w:noProof/>
          <w:sz w:val="24"/>
          <w:szCs w:val="24"/>
        </w:rPr>
        <w:t>Lagring av information eller tillgång till information som redan är lagrad i terminalutrustning (datorer, smarta telefoner, osv.) måste dessutom vara förenlig med de krav som finns i direktivet om integritet och elektronisk kommunikation angående skydd av terminalutrustning, vilket innebär att den berörda personen måste ge sitt samtycke.</w:t>
      </w:r>
    </w:p>
    <w:p>
      <w:pPr>
        <w:jc w:val="both"/>
        <w:rPr>
          <w:rFonts w:ascii="Times New Roman" w:hAnsi="Times New Roman" w:cs="Times New Roman"/>
          <w:noProof/>
          <w:sz w:val="24"/>
          <w:szCs w:val="24"/>
        </w:rPr>
      </w:pPr>
      <w:r>
        <w:rPr>
          <w:rFonts w:ascii="Times New Roman" w:hAnsi="Times New Roman"/>
          <w:noProof/>
          <w:sz w:val="24"/>
        </w:rPr>
        <w:t>När samtycke används som rättslig grund, krävs enligt allmänna dataskyddsförordningen att denna ges genom en tydlig och bekräftande handling som är frivillig och sker på välinformerad grund</w:t>
      </w:r>
      <w:r>
        <w:rPr>
          <w:rStyle w:val="FootnoteReference"/>
          <w:rFonts w:ascii="Times New Roman" w:hAnsi="Times New Roman" w:cs="Times New Roman"/>
          <w:noProof/>
          <w:sz w:val="24"/>
          <w:lang w:val="en-GB"/>
        </w:rPr>
        <w:footnoteReference w:id="15"/>
      </w:r>
      <w:r>
        <w:rPr>
          <w:rFonts w:ascii="Times New Roman" w:hAnsi="Times New Roman"/>
          <w:noProof/>
          <w:sz w:val="24"/>
        </w:rPr>
        <w:t>.</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rPr>
        <w:t>Myndigheter som medverkar i ett valsammanhang behandla personuppgifter för att fullgöra en rättslig förpliktelse eller för att utföra ett offentligt uppdrag.</w:t>
      </w:r>
      <w:r>
        <w:rPr>
          <w:rFonts w:ascii="Times New Roman" w:hAnsi="Times New Roman"/>
          <w:noProof/>
          <w:sz w:val="24"/>
          <w:szCs w:val="24"/>
        </w:rPr>
        <w:t xml:space="preserve"> </w:t>
      </w:r>
      <w:r>
        <w:rPr>
          <w:rFonts w:ascii="Times New Roman" w:hAnsi="Times New Roman"/>
          <w:noProof/>
          <w:sz w:val="24"/>
        </w:rPr>
        <w:t>Andra aktörer i ett valsammanhang kan behandla uppgifter på grundval av samtycke eller ett berättigat intresse</w:t>
      </w:r>
      <w:r>
        <w:rPr>
          <w:rStyle w:val="FootnoteReference"/>
          <w:rFonts w:ascii="Times New Roman" w:hAnsi="Times New Roman" w:cs="Times New Roman"/>
          <w:noProof/>
          <w:sz w:val="24"/>
          <w:lang w:val="en-GB"/>
        </w:rPr>
        <w:footnoteReference w:id="16"/>
      </w:r>
      <w:r>
        <w:rPr>
          <w:rFonts w:ascii="Times New Roman" w:hAnsi="Times New Roman"/>
          <w:noProof/>
          <w:sz w:val="24"/>
        </w:rPr>
        <w:t>.</w:t>
      </w:r>
      <w:r>
        <w:rPr>
          <w:rFonts w:ascii="Times New Roman" w:hAnsi="Times New Roman"/>
          <w:noProof/>
          <w:sz w:val="24"/>
          <w:szCs w:val="24"/>
        </w:rPr>
        <w:t xml:space="preserve"> Om så föreskrivs i den nationella lagstiftningen, kan politiska partier och stiftelser också behandla uppgifter på grundval av allmänt intresse</w:t>
      </w:r>
      <w:r>
        <w:rPr>
          <w:rStyle w:val="FootnoteReference"/>
          <w:rFonts w:ascii="Times New Roman" w:hAnsi="Times New Roman" w:cs="Times New Roman"/>
          <w:noProof/>
          <w:sz w:val="24"/>
          <w:szCs w:val="24"/>
          <w:lang w:val="en-GB"/>
        </w:rPr>
        <w:footnoteReference w:id="17"/>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Myndigheterna kan till politiska partier lämna ut vissa uppgifter om personer som ingår i röstlängder eller befolkningsregister, när så är uttryckligen tillåtet enligt medlemsstatens nationella rätt, och endast för annonsering i ett valsammanhang och i den utsträckning som krävs för detta ändamål, t.ex. namn och adress.</w:t>
      </w:r>
    </w:p>
    <w:p>
      <w:pPr>
        <w:jc w:val="both"/>
        <w:rPr>
          <w:rFonts w:ascii="Times New Roman" w:hAnsi="Times New Roman" w:cs="Times New Roman"/>
          <w:noProof/>
          <w:sz w:val="24"/>
          <w:szCs w:val="24"/>
        </w:rPr>
      </w:pPr>
      <w:r>
        <w:rPr>
          <w:rFonts w:ascii="Times New Roman" w:hAnsi="Times New Roman"/>
          <w:noProof/>
          <w:sz w:val="24"/>
          <w:szCs w:val="24"/>
        </w:rPr>
        <w:t xml:space="preserve">Uppgiftsbehandling i ett valsammanhang innefattar ofta ”känsliga uppgifter”. </w:t>
      </w:r>
      <w:r>
        <w:rPr>
          <w:rFonts w:ascii="Times New Roman" w:hAnsi="Times New Roman"/>
          <w:noProof/>
          <w:sz w:val="24"/>
        </w:rPr>
        <w:t>Behandlingen av sådana uppgifter, bl.a. härledda ”känsliga uppgifter”, är generellt förbjuden såvida inte någon av de särskilda motiveringarna som föreskrivs i allmänna dataskyddsförordningen är tillämplig</w:t>
      </w:r>
      <w:r>
        <w:rPr>
          <w:rStyle w:val="FootnoteReference"/>
          <w:rFonts w:ascii="Times New Roman" w:hAnsi="Times New Roman" w:cs="Times New Roman"/>
          <w:noProof/>
          <w:sz w:val="24"/>
          <w:lang w:val="en-GB"/>
        </w:rPr>
        <w:footnoteReference w:id="18"/>
      </w:r>
      <w:r>
        <w:rPr>
          <w:rFonts w:ascii="Times New Roman" w:hAnsi="Times New Roman"/>
          <w:noProof/>
          <w:sz w:val="24"/>
        </w:rPr>
        <w:t>.</w:t>
      </w:r>
      <w:r>
        <w:rPr>
          <w:rFonts w:ascii="Times New Roman" w:hAnsi="Times New Roman"/>
          <w:noProof/>
          <w:sz w:val="24"/>
          <w:szCs w:val="24"/>
        </w:rPr>
        <w:t xml:space="preserve"> </w:t>
      </w:r>
      <w:r>
        <w:rPr>
          <w:rFonts w:ascii="Times New Roman" w:hAnsi="Times New Roman"/>
          <w:noProof/>
          <w:sz w:val="24"/>
        </w:rPr>
        <w:t>Vid behandling av ”känsliga uppgifter” krävs att specifika, striktare villkor är uppfyllda: Personen ska ha lämnat sitt uttryckliga samtycke</w:t>
      </w:r>
      <w:r>
        <w:rPr>
          <w:rStyle w:val="FootnoteReference"/>
          <w:rFonts w:ascii="Times New Roman" w:hAnsi="Times New Roman" w:cs="Times New Roman"/>
          <w:noProof/>
          <w:sz w:val="24"/>
          <w:lang w:val="en-GB"/>
        </w:rPr>
        <w:footnoteReference w:id="19"/>
      </w:r>
      <w:r>
        <w:rPr>
          <w:rFonts w:ascii="Times New Roman" w:hAnsi="Times New Roman"/>
          <w:noProof/>
          <w:sz w:val="24"/>
        </w:rPr>
        <w:t xml:space="preserve"> eller ha offentliggjort de aktuella uppgifterna</w:t>
      </w:r>
      <w:r>
        <w:rPr>
          <w:rStyle w:val="FootnoteReference"/>
          <w:rFonts w:ascii="Times New Roman" w:hAnsi="Times New Roman" w:cs="Times New Roman"/>
          <w:noProof/>
          <w:sz w:val="24"/>
          <w:lang w:val="en-GB"/>
        </w:rPr>
        <w:footnoteReference w:id="20"/>
      </w:r>
      <w:r>
        <w:rPr>
          <w:rFonts w:ascii="Times New Roman" w:hAnsi="Times New Roman"/>
          <w:noProof/>
          <w:sz w:val="24"/>
        </w:rPr>
        <w:t>. Politiska partier och stiftelser kan också behandla ”känsliga uppgifter” om viktigt allmänt intresse föreligger på grundval av unionsrätten eller medlemsstaternas nationella rätt och lämpliga säkerställande åtgärder har vidtagits</w:t>
      </w:r>
      <w:r>
        <w:rPr>
          <w:rStyle w:val="FootnoteReference"/>
          <w:rFonts w:ascii="Times New Roman" w:hAnsi="Times New Roman" w:cs="Times New Roman"/>
          <w:noProof/>
          <w:sz w:val="24"/>
          <w:lang w:val="en-GB"/>
        </w:rPr>
        <w:footnoteReference w:id="21"/>
      </w:r>
      <w:r>
        <w:rPr>
          <w:rFonts w:ascii="Times New Roman" w:hAnsi="Times New Roman"/>
          <w:noProof/>
          <w:sz w:val="24"/>
        </w:rPr>
        <w:t>.</w:t>
      </w:r>
      <w:r>
        <w:rPr>
          <w:rFonts w:ascii="Times New Roman" w:hAnsi="Times New Roman"/>
          <w:noProof/>
          <w:sz w:val="24"/>
          <w:szCs w:val="24"/>
        </w:rPr>
        <w:t xml:space="preserve"> Enligt allmänna dataskyddsförordningen kan de även behandla ”känsliga uppgifter” i den mån dessa enbart avser egna medlemmar eller tidigare medlemmar eller personer som har regelbunden kontakt med dem – dock endast för spridning inom det egna politiska partiet eller stiftelsen</w:t>
      </w:r>
      <w:r>
        <w:rPr>
          <w:rStyle w:val="FootnoteReference"/>
          <w:rFonts w:ascii="Times New Roman" w:hAnsi="Times New Roman" w:cs="Times New Roman"/>
          <w:noProof/>
          <w:sz w:val="24"/>
          <w:szCs w:val="24"/>
          <w:lang w:val="en-GB"/>
        </w:rPr>
        <w:footnoteReference w:id="22"/>
      </w:r>
      <w:r>
        <w:rPr>
          <w:rFonts w:ascii="Times New Roman" w:hAnsi="Times New Roman"/>
          <w:noProof/>
          <w:sz w:val="24"/>
          <w:szCs w:val="24"/>
        </w:rPr>
        <w:t>. Ett politiskt parti kan dock inte använda denna särskilda bestämmelse för att behandla uppgifter om blivande medlemmar eller väljare.</w:t>
      </w:r>
    </w:p>
    <w:p>
      <w:pPr>
        <w:jc w:val="both"/>
        <w:rPr>
          <w:rFonts w:ascii="Times New Roman" w:hAnsi="Times New Roman" w:cs="Times New Roman"/>
          <w:noProof/>
          <w:sz w:val="24"/>
          <w:szCs w:val="24"/>
        </w:rPr>
      </w:pPr>
      <w:r>
        <w:rPr>
          <w:rFonts w:ascii="Times New Roman" w:hAnsi="Times New Roman"/>
          <w:noProof/>
          <w:sz w:val="24"/>
          <w:szCs w:val="24"/>
        </w:rPr>
        <w:t>Ändamålet med uppgiftsbehandlingen bör anges vid tidpunkten för insamlingen (principen om ändamålsbegränsning)</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xml:space="preserve">. Uppgifter som samlas in för ett ändamål får senare endast behandlas för ändamål som är förenliga, annars måste en ny rättslig grund, som föreskrivs i allmänna dataskyddsförordningen, t.ex. samtycke, sökas för behandlingen avseende det nya ändamålet. Särskilt när datamäklare med inriktning på livsstil eller plattformar samlar in uppgifter för kommersiella ändamål får uppgifterna inte behandlas vidare i ett valsammanhang. </w:t>
      </w:r>
    </w:p>
    <w:p>
      <w:pPr>
        <w:jc w:val="both"/>
        <w:rPr>
          <w:rFonts w:ascii="Times New Roman" w:hAnsi="Times New Roman" w:cs="Times New Roman"/>
          <w:noProof/>
          <w:sz w:val="24"/>
          <w:szCs w:val="24"/>
        </w:rPr>
      </w:pPr>
      <w:r>
        <w:rPr>
          <w:rFonts w:ascii="Times New Roman" w:hAnsi="Times New Roman"/>
          <w:noProof/>
          <w:sz w:val="24"/>
          <w:szCs w:val="24"/>
        </w:rPr>
        <w:t>Om partier och politiska stiftelser inte tillämpar tillbörlig aktsamhet och kontrollerar att uppgifterna erhållits på lagligt sätt får de inte använda uppgifter som erhållits från tredje part.</w:t>
      </w:r>
    </w:p>
    <w:p>
      <w:pPr>
        <w:pStyle w:val="Heading2"/>
        <w:keepNext/>
        <w:keepLines/>
        <w:numPr>
          <w:ilvl w:val="1"/>
          <w:numId w:val="1"/>
        </w:numPr>
        <w:spacing w:before="0" w:beforeAutospacing="0" w:after="240" w:afterAutospacing="0" w:line="276" w:lineRule="auto"/>
        <w:jc w:val="both"/>
        <w:rPr>
          <w:noProof/>
          <w:sz w:val="24"/>
        </w:rPr>
      </w:pPr>
      <w:r>
        <w:rPr>
          <w:noProof/>
          <w:sz w:val="24"/>
        </w:rPr>
        <w:t>Krav om öppenhet</w:t>
      </w:r>
    </w:p>
    <w:p>
      <w:pPr>
        <w:jc w:val="both"/>
        <w:rPr>
          <w:rFonts w:ascii="Times New Roman" w:hAnsi="Times New Roman" w:cs="Times New Roman"/>
          <w:noProof/>
          <w:sz w:val="24"/>
          <w:szCs w:val="24"/>
        </w:rPr>
      </w:pPr>
      <w:r>
        <w:rPr>
          <w:rFonts w:ascii="Times New Roman" w:hAnsi="Times New Roman"/>
          <w:noProof/>
          <w:sz w:val="24"/>
          <w:szCs w:val="24"/>
        </w:rPr>
        <w:t>Fallet med Cambridge Analytica har visat på vikten av att bekämpa otydlighet och att ordentligt informera berörda enskilda personer. Enskilda personer vet ofta inte vem som behandlar deras personuppgifter och för vilket ändamål. Principerna om rättvis och öppen behandling fordrar att de enskilda personerna informeras om att behandling sker och syftet med den</w:t>
      </w:r>
      <w:r>
        <w:rPr>
          <w:rStyle w:val="FootnoteReference"/>
          <w:rFonts w:ascii="Times New Roman" w:hAnsi="Times New Roman" w:cs="Times New Roman"/>
          <w:noProof/>
          <w:sz w:val="24"/>
          <w:szCs w:val="24"/>
          <w:lang w:val="en-GB"/>
        </w:rPr>
        <w:footnoteReference w:id="24"/>
      </w:r>
      <w:r>
        <w:rPr>
          <w:rFonts w:ascii="Times New Roman" w:hAnsi="Times New Roman"/>
          <w:noProof/>
          <w:sz w:val="24"/>
          <w:szCs w:val="24"/>
        </w:rPr>
        <w:t>. Genom allmänna dataskyddsförordningen klargörs de personuppgiftsansvarigas skyldigheter i detta avseende. De måste informera enskilda personer om centrala aspekter som rör behandlingen av deras personuppgifter, såsom:</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Den personuppgiftsansvariges identitet.</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Ändamålen med behandlingen.</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Mottagarna av personuppgifterna.</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Uppgifternas källa när dessa inte har samlats in direkt från personen i fråga,</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Förekomsten av automatiserat beslutsfattande.</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All ytterligare information som krävs för att säkerställa rättvis och öppen behandling</w:t>
      </w:r>
      <w:r>
        <w:rPr>
          <w:rStyle w:val="FootnoteReference"/>
          <w:rFonts w:ascii="Times New Roman" w:hAnsi="Times New Roman" w:cs="Times New Roman"/>
          <w:noProof/>
          <w:sz w:val="24"/>
          <w:lang w:val="en-GB"/>
        </w:rPr>
        <w:footnoteReference w:id="25"/>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Enligt allmänna dataskyddsförordningen krävs dessutom att informationen lämnas i koncis, klar och tydlig, begriplig och lätt tillgänglig form, med användning av klart och tydligt språk</w:t>
      </w:r>
      <w:r>
        <w:rPr>
          <w:rStyle w:val="FootnoteReference"/>
          <w:rFonts w:ascii="Times New Roman" w:hAnsi="Times New Roman" w:cs="Times New Roman"/>
          <w:noProof/>
          <w:sz w:val="24"/>
          <w:lang w:val="en-GB"/>
        </w:rPr>
        <w:footnoteReference w:id="26"/>
      </w:r>
      <w:r>
        <w:rPr>
          <w:rFonts w:ascii="Times New Roman" w:hAnsi="Times New Roman"/>
          <w:noProof/>
          <w:sz w:val="24"/>
        </w:rPr>
        <w:t>.</w:t>
      </w:r>
      <w:r>
        <w:rPr>
          <w:rFonts w:ascii="Times New Roman" w:hAnsi="Times New Roman"/>
          <w:noProof/>
          <w:sz w:val="24"/>
          <w:szCs w:val="24"/>
        </w:rPr>
        <w:t xml:space="preserve"> Till exempel knapphändig och otydlig dataskyddsinformation, endast tryckt i liten stil på valmaterialet, skulle inte uppfylla kraven på öppenhet.</w:t>
      </w:r>
    </w:p>
    <w:p>
      <w:pPr>
        <w:jc w:val="both"/>
        <w:rPr>
          <w:rFonts w:ascii="Times New Roman" w:hAnsi="Times New Roman" w:cs="Times New Roman"/>
          <w:noProof/>
          <w:sz w:val="24"/>
          <w:szCs w:val="24"/>
        </w:rPr>
      </w:pPr>
      <w:r>
        <w:rPr>
          <w:rFonts w:ascii="Times New Roman" w:hAnsi="Times New Roman"/>
          <w:noProof/>
          <w:sz w:val="24"/>
          <w:szCs w:val="24"/>
        </w:rPr>
        <w:t>Enligt de preliminära resultaten var ofullständig information om de ändamål som uppgifterna samlades in för en allvarlig brist i fallet Cambridge Analytica. Detta gör också att giltigheten i berörda personers samtycke kan ifrågasättas. Alla organisationer som behandlar personuppgifter i ett valsammanhang måste se till att enskilda personer verkligen förstår hur och för vilket syfte personuppgifterna ska användas, innan de får ge sitt samtycke eller den personuppgiftsansvarige inleder behandlingen på grundval av någon annan grund för behandling.</w:t>
      </w:r>
    </w:p>
    <w:p>
      <w:pPr>
        <w:jc w:val="both"/>
        <w:rPr>
          <w:rFonts w:ascii="Times New Roman" w:hAnsi="Times New Roman" w:cs="Times New Roman"/>
          <w:noProof/>
          <w:sz w:val="24"/>
          <w:szCs w:val="24"/>
        </w:rPr>
      </w:pPr>
      <w:r>
        <w:rPr>
          <w:rFonts w:ascii="Times New Roman" w:hAnsi="Times New Roman"/>
          <w:noProof/>
          <w:sz w:val="24"/>
          <w:szCs w:val="24"/>
        </w:rPr>
        <w:t xml:space="preserve">Enskilda personer ska informeras i varje skede av behandlingen, inte bara när uppgifterna samlas in. </w:t>
      </w:r>
    </w:p>
    <w:p>
      <w:pPr>
        <w:jc w:val="both"/>
        <w:rPr>
          <w:rFonts w:ascii="Times New Roman" w:hAnsi="Times New Roman" w:cs="Times New Roman"/>
          <w:noProof/>
          <w:sz w:val="24"/>
          <w:szCs w:val="24"/>
        </w:rPr>
      </w:pPr>
      <w:r>
        <w:rPr>
          <w:rFonts w:ascii="Times New Roman" w:hAnsi="Times New Roman"/>
          <w:noProof/>
          <w:sz w:val="24"/>
        </w:rPr>
        <w:t xml:space="preserve">Detta gäller särskilt när partier behandlar uppgifter som erhållits från tredje part (t.ex. uppgifter från röstlängder, datamäklare, dataanalytiker och andra källor). För att garantera skälig uppgiftsbehandling ska partierna normalt sett underrätta berörda personer och förklara hur man kombinerar och använder dessa uppgifter </w:t>
      </w:r>
      <w:r>
        <w:rPr>
          <w:rStyle w:val="FootnoteReference"/>
          <w:rFonts w:ascii="Times New Roman" w:hAnsi="Times New Roman" w:cs="Times New Roman"/>
          <w:noProof/>
          <w:sz w:val="24"/>
          <w:lang w:val="en-GB"/>
        </w:rPr>
        <w:footnoteReference w:id="27"/>
      </w:r>
      <w:r>
        <w:rPr>
          <w:rFonts w:ascii="Times New Roman" w:hAnsi="Times New Roman"/>
          <w:noProof/>
          <w:sz w:val="24"/>
        </w:rPr>
        <w:t>.</w:t>
      </w:r>
    </w:p>
    <w:p>
      <w:pPr>
        <w:pStyle w:val="Heading2"/>
        <w:keepNext/>
        <w:keepLines/>
        <w:numPr>
          <w:ilvl w:val="1"/>
          <w:numId w:val="1"/>
        </w:numPr>
        <w:spacing w:before="0" w:beforeAutospacing="0" w:after="240" w:afterAutospacing="0" w:line="276" w:lineRule="auto"/>
        <w:jc w:val="both"/>
        <w:rPr>
          <w:noProof/>
          <w:sz w:val="24"/>
        </w:rPr>
      </w:pPr>
      <w:r>
        <w:rPr>
          <w:noProof/>
          <w:sz w:val="24"/>
        </w:rPr>
        <w:t>Profilering, automatiserat beslutsfattande och riktade budskap på individnivå</w:t>
      </w:r>
    </w:p>
    <w:p>
      <w:pPr>
        <w:jc w:val="both"/>
        <w:rPr>
          <w:rFonts w:ascii="Times New Roman" w:hAnsi="Times New Roman" w:cs="Times New Roman"/>
          <w:noProof/>
          <w:sz w:val="24"/>
          <w:szCs w:val="24"/>
        </w:rPr>
      </w:pPr>
      <w:r>
        <w:rPr>
          <w:rFonts w:ascii="Times New Roman" w:hAnsi="Times New Roman"/>
          <w:noProof/>
          <w:sz w:val="24"/>
        </w:rPr>
        <w:t>Profilering är en form av automatiserad databehandling som används för att analysera eller förutsäga aspekter som rör exempelvis personliga preferenser, intressen, ekonomisk situation osv</w:t>
      </w:r>
      <w:r>
        <w:rPr>
          <w:rStyle w:val="FootnoteReference"/>
          <w:rFonts w:ascii="Times New Roman" w:hAnsi="Times New Roman" w:cs="Times New Roman"/>
          <w:noProof/>
          <w:sz w:val="24"/>
          <w:lang w:val="en-GB"/>
        </w:rPr>
        <w:footnoteReference w:id="28"/>
      </w:r>
      <w:r>
        <w:rPr>
          <w:rFonts w:ascii="Times New Roman" w:hAnsi="Times New Roman"/>
          <w:noProof/>
          <w:sz w:val="24"/>
        </w:rPr>
        <w:t xml:space="preserve">. </w:t>
      </w:r>
      <w:r>
        <w:rPr>
          <w:rFonts w:ascii="Times New Roman" w:hAnsi="Times New Roman"/>
          <w:noProof/>
          <w:sz w:val="24"/>
          <w:szCs w:val="24"/>
        </w:rPr>
        <w:t>Profilering kan användas för riktade budskap på individnivå, exempelvis för att analysera personuppgifter (t.ex. sökhistorien på internet) så att särskilda intressen hos en specifik målgrupp eller person kan ringas in i syfte att påverka deras agerande. Riktade budskap på individnivå kan användas för att skicka ett personanpassat meddelande till en enskild person eller målgrupp via en nättjänst, t.ex. sociala medier.</w:t>
      </w:r>
    </w:p>
    <w:p>
      <w:pPr>
        <w:jc w:val="both"/>
        <w:rPr>
          <w:rFonts w:ascii="Times New Roman" w:hAnsi="Times New Roman" w:cs="Times New Roman"/>
          <w:noProof/>
          <w:sz w:val="24"/>
          <w:szCs w:val="24"/>
        </w:rPr>
      </w:pPr>
      <w:r>
        <w:rPr>
          <w:rFonts w:ascii="Times New Roman" w:hAnsi="Times New Roman"/>
          <w:noProof/>
          <w:sz w:val="24"/>
          <w:szCs w:val="24"/>
        </w:rPr>
        <w:t>I fallet Cambridge Analytica blev det tydligt vilka särskilda utmaningar som förorsakas av metoderna med riktade budskap på individnivå i sociala medier. Organisationer kan utvinna uppgifter som samlas in via användare av sociala medier för att skapa väljarprofiler. På så sättskulle dessa organisationer kunna identifiera väljare som lättare kan påverkas och därigenom få möjligheter att påverka valresultat.</w:t>
      </w:r>
    </w:p>
    <w:p>
      <w:pPr>
        <w:jc w:val="both"/>
        <w:rPr>
          <w:rFonts w:ascii="Times New Roman" w:hAnsi="Times New Roman" w:cs="Times New Roman"/>
          <w:noProof/>
          <w:sz w:val="24"/>
          <w:szCs w:val="24"/>
        </w:rPr>
      </w:pPr>
      <w:r>
        <w:rPr>
          <w:rFonts w:ascii="Times New Roman" w:hAnsi="Times New Roman"/>
          <w:noProof/>
          <w:sz w:val="24"/>
          <w:szCs w:val="24"/>
        </w:rPr>
        <w:t>Samtliga allmänna principer och bestämmelser i allmänna dataskyddsförordningen är tillämpliga på denna typ av uppgiftsbehandling, t.ex. principerna om laglighet, rättvisa och öppenhet samt ändamålsbegränsning. Enskilda personer är mycket ofta inte medvetna om att de är föremål för profilering. De inser inte varför de får vissa annonser som så tydligt är kopplade till deras senaste sökningar, eller varför de får personanpassade meddelanden från olika organisationer. Genom allmänna dataskyddsförordningen åläggs alla personuppgiftsansvariga, exempelvis partier eller dataanalytiker, att informera enskilda personer när de använder sig av sådan teknik och om vilka konsekvenser detta har</w:t>
      </w:r>
      <w:r>
        <w:rPr>
          <w:rStyle w:val="FootnoteReference"/>
          <w:rFonts w:ascii="Times New Roman" w:hAnsi="Times New Roman" w:cs="Times New Roman"/>
          <w:noProof/>
          <w:sz w:val="24"/>
          <w:szCs w:val="24"/>
          <w:lang w:val="en-GB"/>
        </w:rPr>
        <w:footnoteReference w:id="29"/>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I allmänna dataskyddsförordningen medges att automatiserat beslutsfattande, bl.a. profilering, kan få allvarliga konsekvenser. </w:t>
      </w:r>
      <w:r>
        <w:rPr>
          <w:rFonts w:ascii="Times New Roman" w:hAnsi="Times New Roman"/>
          <w:noProof/>
          <w:sz w:val="24"/>
        </w:rPr>
        <w:t>I allmänna dataskyddsförordningen föreskrivs att en person har rätt att inte bli föremål för ett beslut som enbart är grundat på automatisk behandling och som får rättsliga följder för honom eller henne eller på liknande sätt i betydande grad påverkar honom eller henne, såvida inte denna typ av behandling utförs under strikta villkor, nämligen att de aktuella personerna har gett sitt uttryckliga samtycke, eller när det är tillåtet enligt unionsrätt eller en medlemsstats nationella rätt och lämpliga skyddsåtgärder har fastställts</w:t>
      </w:r>
      <w:r>
        <w:rPr>
          <w:rStyle w:val="FootnoteReference"/>
          <w:rFonts w:ascii="Times New Roman" w:hAnsi="Times New Roman" w:cs="Times New Roman"/>
          <w:noProof/>
          <w:sz w:val="24"/>
          <w:lang w:val="en-GB"/>
        </w:rPr>
        <w:footnoteReference w:id="30"/>
      </w:r>
      <w:r>
        <w:rPr>
          <w:rFonts w:ascii="Times New Roman" w:hAnsi="Times New Roman"/>
          <w:noProof/>
          <w:sz w:val="24"/>
        </w:rPr>
        <w:t>.</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Metoder med riktade budskap på individnivå i ett valsammanhang hör till denna kategori när de i tillräckligt betydande grad påverkar enskilda personer. Europeiska dataskyddsstyrelsen menar att så är fallet när beslutet i betydande grad kan påverka de enskilda personernas omständigheter, beteende och valmöjligheter eller få långvariga eller permanenta konsekvenser för den enskilde personen</w:t>
      </w:r>
      <w:r>
        <w:rPr>
          <w:rStyle w:val="FootnoteReference"/>
          <w:rFonts w:ascii="Times New Roman" w:hAnsi="Times New Roman" w:cs="Times New Roman"/>
          <w:noProof/>
          <w:sz w:val="24"/>
          <w:szCs w:val="24"/>
          <w:lang w:val="en-GB"/>
        </w:rPr>
        <w:footnoteReference w:id="31"/>
      </w:r>
      <w:r>
        <w:rPr>
          <w:rFonts w:ascii="Times New Roman" w:hAnsi="Times New Roman"/>
          <w:noProof/>
          <w:sz w:val="24"/>
          <w:szCs w:val="24"/>
        </w:rPr>
        <w:t xml:space="preserve">. Europeiska dataskyddsstyrelsen ansåg att riktad reklam på nätet i vissa fall kan påverka enskilda personer i tillräckligt betydande grad om den t.ex. är inträngande eller då kunskap används om enskilda personer sårbarheter. Med tanke på hur viktigt det är att utöva rösträtten, skulle personanpassade meddelanden, som t.ex. skulle kunna påverka enskilda personer att avstå ifrån att rösta eller att rösta på ett visst sätt, potentiellt kunna uppfylla kriteriet betydande grad av påverkan. </w:t>
      </w:r>
    </w:p>
    <w:p>
      <w:pPr>
        <w:jc w:val="both"/>
        <w:rPr>
          <w:rFonts w:ascii="Times New Roman" w:hAnsi="Times New Roman" w:cs="Times New Roman"/>
          <w:noProof/>
          <w:sz w:val="24"/>
          <w:szCs w:val="24"/>
        </w:rPr>
      </w:pPr>
      <w:r>
        <w:rPr>
          <w:rFonts w:ascii="Times New Roman" w:hAnsi="Times New Roman"/>
          <w:noProof/>
          <w:sz w:val="24"/>
          <w:szCs w:val="24"/>
        </w:rPr>
        <w:t>Personuppgiftsansvariga måste därför i ett valsammanhang se till att all behandling som utnyttjar sådana metoder är laglig i enlighet med ovan nämnda principer och de strikta villkoren i allmänna dataskyddsförordningen.</w:t>
      </w:r>
    </w:p>
    <w:p>
      <w:pPr>
        <w:pStyle w:val="Heading2"/>
        <w:keepNext/>
        <w:keepLines/>
        <w:numPr>
          <w:ilvl w:val="1"/>
          <w:numId w:val="1"/>
        </w:numPr>
        <w:spacing w:before="0" w:beforeAutospacing="0" w:after="240" w:afterAutospacing="0" w:line="276" w:lineRule="auto"/>
        <w:jc w:val="both"/>
        <w:rPr>
          <w:noProof/>
          <w:sz w:val="24"/>
          <w:szCs w:val="24"/>
        </w:rPr>
      </w:pPr>
      <w:r>
        <w:rPr>
          <w:noProof/>
          <w:sz w:val="24"/>
          <w:szCs w:val="24"/>
        </w:rPr>
        <w:t>Säkerhet och korrekthet avseende personuppgifter</w:t>
      </w:r>
    </w:p>
    <w:p>
      <w:pPr>
        <w:jc w:val="both"/>
        <w:rPr>
          <w:rFonts w:ascii="Times New Roman" w:hAnsi="Times New Roman" w:cs="Times New Roman"/>
          <w:noProof/>
          <w:sz w:val="24"/>
          <w:szCs w:val="24"/>
        </w:rPr>
      </w:pPr>
      <w:r>
        <w:rPr>
          <w:rFonts w:ascii="Times New Roman" w:hAnsi="Times New Roman"/>
          <w:noProof/>
          <w:sz w:val="24"/>
          <w:szCs w:val="24"/>
        </w:rPr>
        <w:t xml:space="preserve">Med tanke på datasetens omfattning och att dessa ofta innehåller ”känsliga uppgifter” är säkerheten av särskild betydelse i ett valsammanhang. </w:t>
      </w:r>
      <w:r>
        <w:rPr>
          <w:rFonts w:ascii="Times New Roman" w:hAnsi="Times New Roman"/>
          <w:noProof/>
          <w:sz w:val="24"/>
        </w:rPr>
        <w:t>Enligt allmänna dataskyddsförordningen ska verksamhetsutövare som behandlar personuppgifter (både personuppgiftsansvariga och personuppgiftsbiträden) vidta lämpliga tekniska och organisatoriska åtgärder för att uppnå en säkerhetsnivå som är lämplig i förhållande till de risker som behandlingen utgör för enskilda personers rättigheter och friheter</w:t>
      </w:r>
      <w:r>
        <w:rPr>
          <w:rStyle w:val="FootnoteReference"/>
          <w:rFonts w:ascii="Times New Roman" w:hAnsi="Times New Roman" w:cs="Times New Roman"/>
          <w:noProof/>
          <w:sz w:val="24"/>
          <w:lang w:val="en-GB"/>
        </w:rPr>
        <w:footnoteReference w:id="3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Genom allmänna dataskyddsförordningen åläggs personuppgiftsansvariga att utan onödigt dröjsmål anmäla personuppgiftsincidenter till behörig tillsynsmyndighet, och senast inom 72 timmar. </w:t>
      </w:r>
      <w:r>
        <w:rPr>
          <w:rFonts w:ascii="Times New Roman" w:hAnsi="Times New Roman"/>
          <w:noProof/>
          <w:sz w:val="24"/>
        </w:rPr>
        <w:t>Om personuppgiftsincidenten sannolikt leder till en förhöjd risk för enskilda personers rättigheter och friheter, ska den personuppgiftsansvarige också utan onödigt dröjsmål informera de beröra personerna om personuppgiftsincidenten</w:t>
      </w:r>
      <w:r>
        <w:rPr>
          <w:rStyle w:val="FootnoteReference"/>
          <w:rFonts w:ascii="Times New Roman" w:hAnsi="Times New Roman" w:cs="Times New Roman"/>
          <w:noProof/>
          <w:sz w:val="24"/>
          <w:lang w:val="en-GB"/>
        </w:rPr>
        <w:footnoteReference w:id="33"/>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Partier och andra aktörer i valprocessen måste med särskild omsorg se till att personuppgifterna är korrekta när det gäller stora dataset och när uppgifterna är sammanställda från olika heterogena källor. Inkorrekta uppgifter ska omedelbart raderas eller rättas och, när så är nödvändigt, uppdateras. </w:t>
      </w:r>
    </w:p>
    <w:p>
      <w:pPr>
        <w:pStyle w:val="Heading2"/>
        <w:keepNext/>
        <w:keepLines/>
        <w:numPr>
          <w:ilvl w:val="1"/>
          <w:numId w:val="1"/>
        </w:numPr>
        <w:spacing w:before="0" w:beforeAutospacing="0" w:after="240" w:afterAutospacing="0" w:line="276" w:lineRule="auto"/>
        <w:jc w:val="both"/>
        <w:rPr>
          <w:noProof/>
          <w:sz w:val="24"/>
          <w:szCs w:val="24"/>
        </w:rPr>
      </w:pPr>
      <w:r>
        <w:rPr>
          <w:noProof/>
          <w:sz w:val="24"/>
          <w:szCs w:val="24"/>
        </w:rPr>
        <w:t>Konsekvensbedömning avseende dataskydd</w:t>
      </w:r>
    </w:p>
    <w:p>
      <w:pPr>
        <w:jc w:val="both"/>
        <w:rPr>
          <w:rFonts w:ascii="Times New Roman" w:hAnsi="Times New Roman" w:cs="Times New Roman"/>
          <w:noProof/>
          <w:sz w:val="24"/>
          <w:szCs w:val="24"/>
        </w:rPr>
      </w:pPr>
      <w:r>
        <w:rPr>
          <w:rFonts w:ascii="Times New Roman" w:hAnsi="Times New Roman"/>
          <w:noProof/>
          <w:sz w:val="24"/>
          <w:szCs w:val="24"/>
        </w:rPr>
        <w:t xml:space="preserve">Genom allmänna dataskyddsförordningen införs ett nytt verktyg för riskbedömning innan behandlingen inleds: konsekvensbedömning avseende dataskydd. </w:t>
      </w:r>
      <w:r>
        <w:rPr>
          <w:rFonts w:ascii="Times New Roman" w:hAnsi="Times New Roman"/>
          <w:noProof/>
          <w:sz w:val="24"/>
        </w:rPr>
        <w:t>En konsekvensbedömning krävs om det är sannolikt att behandlingen leder till en hög risk för enskilda personers rättigheter och friheter</w:t>
      </w:r>
      <w:r>
        <w:rPr>
          <w:rStyle w:val="FootnoteReference"/>
          <w:rFonts w:ascii="Times New Roman" w:hAnsi="Times New Roman" w:cs="Times New Roman"/>
          <w:noProof/>
          <w:sz w:val="24"/>
          <w:lang w:val="en-GB"/>
        </w:rPr>
        <w:footnoteReference w:id="34"/>
      </w:r>
      <w:r>
        <w:rPr>
          <w:rFonts w:ascii="Times New Roman" w:hAnsi="Times New Roman"/>
          <w:noProof/>
          <w:sz w:val="24"/>
        </w:rPr>
        <w:t>.</w:t>
      </w:r>
      <w:r>
        <w:rPr>
          <w:rFonts w:ascii="Times New Roman" w:hAnsi="Times New Roman"/>
          <w:noProof/>
          <w:sz w:val="24"/>
          <w:szCs w:val="24"/>
        </w:rPr>
        <w:t xml:space="preserve"> Detta är fallet i ett valsammanhang när en personuppgiftsansvarig systematiskt och grundligt, utvärderar personliga aspekter rörande en enskild person (med bl.a. profilering), och därvid i betydande grad påverkar den enskilda personen, och när den personuppgiftsansvarige behandlar ”känsliga uppgifter” i stor skala. </w:t>
      </w:r>
      <w:r>
        <w:rPr>
          <w:rFonts w:ascii="Times New Roman" w:hAnsi="Times New Roman"/>
          <w:noProof/>
          <w:sz w:val="24"/>
        </w:rPr>
        <w:t>Nationella val</w:t>
      </w:r>
      <w:r>
        <w:rPr>
          <w:rFonts w:ascii="Times New Roman" w:hAnsi="Times New Roman"/>
          <w:noProof/>
          <w:sz w:val="24"/>
          <w:szCs w:val="24"/>
        </w:rPr>
        <w:t>myndigheter som</w:t>
      </w:r>
      <w:r>
        <w:rPr>
          <w:rFonts w:ascii="Times New Roman" w:hAnsi="Times New Roman"/>
          <w:noProof/>
          <w:sz w:val="24"/>
        </w:rPr>
        <w:t xml:space="preserve"> utför sina offentliga uppdrag</w:t>
      </w:r>
      <w:r>
        <w:rPr>
          <w:rFonts w:ascii="Times New Roman" w:hAnsi="Times New Roman"/>
          <w:noProof/>
          <w:sz w:val="24"/>
          <w:szCs w:val="24"/>
        </w:rPr>
        <w:t xml:space="preserve"> behöver eventuellt inte göra någon konsekvensbedömning avseende dataskydd, om en sådan bedömning redan genomförts i samband med antagandet av </w:t>
      </w:r>
      <w:r>
        <w:rPr>
          <w:rFonts w:ascii="Times New Roman" w:hAnsi="Times New Roman"/>
          <w:noProof/>
          <w:sz w:val="24"/>
        </w:rPr>
        <w:t>lagstiftningen</w:t>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rPr>
        <w:t>De konsekvensbedömningar som olika aktörer ska genomföra i ett valsammanhang bör inkludera de element som behövs för att handskas med risker som uppstår vid sådan uppgiftsbehandling, bl.a. att behandlingen är laglig också för dataset som erhållits från tredje part samt kraven om öppenhet.</w:t>
      </w:r>
    </w:p>
    <w:p>
      <w:pPr>
        <w:pStyle w:val="Heading1"/>
        <w:numPr>
          <w:ilvl w:val="0"/>
          <w:numId w:val="1"/>
        </w:numPr>
        <w:spacing w:before="240" w:after="240"/>
        <w:jc w:val="both"/>
        <w:rPr>
          <w:rFonts w:ascii="Times New Roman" w:hAnsi="Times New Roman" w:cs="Times New Roman"/>
          <w:noProof/>
          <w:color w:val="auto"/>
          <w:sz w:val="24"/>
          <w:szCs w:val="24"/>
        </w:rPr>
      </w:pPr>
      <w:r>
        <w:rPr>
          <w:rFonts w:ascii="Times New Roman" w:hAnsi="Times New Roman"/>
          <w:noProof/>
          <w:color w:val="auto"/>
          <w:sz w:val="24"/>
          <w:szCs w:val="24"/>
        </w:rPr>
        <w:t>Enskilda personers rättigheter</w:t>
      </w:r>
    </w:p>
    <w:p>
      <w:pPr>
        <w:jc w:val="both"/>
        <w:rPr>
          <w:rFonts w:ascii="Times New Roman" w:hAnsi="Times New Roman" w:cs="Times New Roman"/>
          <w:noProof/>
          <w:sz w:val="24"/>
          <w:szCs w:val="24"/>
        </w:rPr>
      </w:pPr>
      <w:r>
        <w:rPr>
          <w:rFonts w:ascii="Times New Roman" w:hAnsi="Times New Roman"/>
          <w:noProof/>
          <w:sz w:val="24"/>
          <w:szCs w:val="24"/>
        </w:rPr>
        <w:t xml:space="preserve">Genom allmänna dataskyddsförordningen ges människor nya och förstärkta rättigheter som är särskilt relevanta i ett valsammanhang: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Rätten att få tillgång till sina personuppgifter.</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 xml:space="preserve">Rätten att begära radering av egna personuppgifter om behandlingen grundar sig på samtycke och detta samtycke har återkallats, om uppgifterna inte längre behövs eller om behandlingen är olaglig.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Rätten att få felaktiga, inkorrekta eller ofullständiga personuppgifter rättade.</w:t>
      </w:r>
    </w:p>
    <w:p>
      <w:pPr>
        <w:jc w:val="both"/>
        <w:rPr>
          <w:rFonts w:ascii="Times New Roman" w:hAnsi="Times New Roman" w:cs="Times New Roman"/>
          <w:noProof/>
          <w:sz w:val="24"/>
          <w:szCs w:val="24"/>
        </w:rPr>
      </w:pPr>
      <w:r>
        <w:rPr>
          <w:rFonts w:ascii="Times New Roman" w:hAnsi="Times New Roman"/>
          <w:noProof/>
          <w:sz w:val="24"/>
          <w:szCs w:val="24"/>
        </w:rPr>
        <w:t>Enskilda personer har också rätt att invända mot uppgiftsbehandling (t.ex. av uppgifter som ingår i vallängder som överförs till partier) om behandlingen av deras personuppgifter grundar sig på ”berättigat intresse” eller ”allmänt intresse”.</w:t>
      </w:r>
    </w:p>
    <w:p>
      <w:pPr>
        <w:jc w:val="both"/>
        <w:rPr>
          <w:rFonts w:ascii="Times New Roman" w:hAnsi="Times New Roman" w:cs="Times New Roman"/>
          <w:noProof/>
          <w:sz w:val="24"/>
          <w:szCs w:val="24"/>
        </w:rPr>
      </w:pPr>
      <w:r>
        <w:rPr>
          <w:rFonts w:ascii="Times New Roman" w:hAnsi="Times New Roman"/>
          <w:noProof/>
          <w:sz w:val="24"/>
          <w:szCs w:val="24"/>
        </w:rPr>
        <w:t xml:space="preserve">Enskilda personer har rätt att inte bli föremål för beslut som är grundade enbart på automatisk behandling av deras personuppgifter. I sådana fall kan den enskilde begära att en fysisk person ingriper. Den enskilde har också rätt att framföra sina synpunkter och att bestrida beslutet. </w:t>
      </w:r>
    </w:p>
    <w:p>
      <w:pPr>
        <w:jc w:val="both"/>
        <w:rPr>
          <w:rFonts w:ascii="Times New Roman" w:hAnsi="Times New Roman" w:cs="Times New Roman"/>
          <w:noProof/>
          <w:sz w:val="24"/>
          <w:szCs w:val="24"/>
        </w:rPr>
      </w:pPr>
      <w:r>
        <w:rPr>
          <w:rFonts w:ascii="Times New Roman" w:hAnsi="Times New Roman"/>
          <w:noProof/>
          <w:sz w:val="24"/>
        </w:rPr>
        <w:t>För att enskilda personer ska kunna utöva dessa rättigheter måste samtliga berörda aktörer ge dem de verktyg och programinställningar som krävs.</w:t>
      </w:r>
      <w:r>
        <w:rPr>
          <w:rFonts w:ascii="Times New Roman" w:hAnsi="Times New Roman"/>
          <w:noProof/>
          <w:sz w:val="24"/>
          <w:szCs w:val="24"/>
        </w:rPr>
        <w:t xml:space="preserve"> </w:t>
      </w:r>
      <w:r>
        <w:rPr>
          <w:rFonts w:ascii="Times New Roman" w:hAnsi="Times New Roman"/>
          <w:noProof/>
          <w:sz w:val="24"/>
        </w:rPr>
        <w:t>I allmänna dataskyddsförordningen föreskrivs möjligheten att utarbeta en uppförandekod som godkänts av en dataskyddsmyndighet med specificering av förordningens tillämpning på specifika områden, exempelvis i ett valsammanhang.</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Genom allmänna dataskyddsförordningen ges enskilda personer rätt att inge klagomål till en tillsynsmyndighet och rätt att få sin sak rättsligt prövad. </w:t>
      </w:r>
      <w:r>
        <w:rPr>
          <w:rFonts w:ascii="Times New Roman" w:hAnsi="Times New Roman"/>
          <w:noProof/>
          <w:sz w:val="24"/>
        </w:rPr>
        <w:t>Däri ges även enskilda personer rätt att ge en icke-statlig organisation i uppdrag att inge klagomål för deras räkning</w:t>
      </w:r>
      <w:r>
        <w:rPr>
          <w:rStyle w:val="FootnoteReference"/>
          <w:rFonts w:ascii="Times New Roman" w:hAnsi="Times New Roman" w:cs="Times New Roman"/>
          <w:noProof/>
          <w:sz w:val="24"/>
          <w:lang w:val="en-GB"/>
        </w:rPr>
        <w:footnoteReference w:id="35"/>
      </w:r>
      <w:r>
        <w:rPr>
          <w:rFonts w:ascii="Times New Roman" w:hAnsi="Times New Roman"/>
          <w:noProof/>
          <w:sz w:val="24"/>
        </w:rPr>
        <w:t>.</w:t>
      </w:r>
      <w:r>
        <w:rPr>
          <w:rFonts w:ascii="Times New Roman" w:hAnsi="Times New Roman"/>
          <w:noProof/>
          <w:sz w:val="24"/>
          <w:szCs w:val="24"/>
        </w:rPr>
        <w:t xml:space="preserve"> </w:t>
      </w:r>
      <w:r>
        <w:rPr>
          <w:rFonts w:ascii="Times New Roman" w:hAnsi="Times New Roman"/>
          <w:noProof/>
          <w:sz w:val="24"/>
        </w:rPr>
        <w:t>Den nationella lagstiftningen i vissa medlemsstater tillåter att en icke-statlig organisation inger klagomål utan uppdrag från enskilda.</w:t>
      </w:r>
      <w:r>
        <w:rPr>
          <w:rFonts w:ascii="Times New Roman" w:hAnsi="Times New Roman"/>
          <w:noProof/>
          <w:sz w:val="24"/>
          <w:szCs w:val="24"/>
        </w:rPr>
        <w:t xml:space="preserve"> Detta är särskilt relevant i ett valsammanhang eftersom så många människor kan komma att beröras.</w:t>
      </w:r>
      <w:r>
        <w:rPr>
          <w:rFonts w:ascii="Times New Roman" w:hAnsi="Times New Roman"/>
          <w:noProof/>
          <w:sz w:val="24"/>
          <w:szCs w:val="24"/>
        </w:rPr>
        <w:br w:type="page"/>
      </w:r>
    </w:p>
    <w:p>
      <w:pPr>
        <w:jc w:val="center"/>
        <w:rPr>
          <w:rFonts w:ascii="Times New Roman" w:hAnsi="Times New Roman" w:cs="Times New Roman"/>
          <w:b/>
          <w:noProof/>
          <w:sz w:val="24"/>
          <w:szCs w:val="24"/>
        </w:rPr>
      </w:pPr>
      <w:r>
        <w:rPr>
          <w:rFonts w:ascii="Times New Roman" w:hAnsi="Times New Roman"/>
          <w:b/>
          <w:noProof/>
          <w:sz w:val="24"/>
          <w:szCs w:val="24"/>
        </w:rPr>
        <w:t>Centrala dataskyddsfrågor som är relevanta i valprocessen</w:t>
      </w:r>
      <w:r>
        <w:rPr>
          <w:rStyle w:val="FootnoteReference"/>
          <w:rFonts w:ascii="Times New Roman" w:hAnsi="Times New Roman" w:cs="Times New Roman"/>
          <w:b/>
          <w:noProof/>
          <w:sz w:val="24"/>
          <w:szCs w:val="24"/>
          <w:lang w:val="en-GB"/>
        </w:rPr>
        <w:footnoteReference w:id="36"/>
      </w:r>
      <w:r>
        <w:rPr>
          <w:rFonts w:ascii="Times New Roman" w:hAnsi="Times New Roman"/>
          <w:b/>
          <w:noProof/>
          <w:sz w:val="24"/>
          <w:szCs w:val="24"/>
        </w:rPr>
        <w:t xml:space="preserve"> </w:t>
      </w:r>
    </w:p>
    <w:p>
      <w:pPr>
        <w:jc w:val="both"/>
        <w:rPr>
          <w:rFonts w:ascii="Times New Roman" w:hAnsi="Times New Roman" w:cs="Times New Roman"/>
          <w:noProof/>
          <w:sz w:val="24"/>
          <w:szCs w:val="24"/>
          <w:lang w:val="en-GB"/>
        </w:rPr>
      </w:pPr>
    </w:p>
    <w:tbl>
      <w:tblPr>
        <w:tblStyle w:val="TableGrid"/>
        <w:tblW w:w="9296" w:type="dxa"/>
        <w:tblLook w:val="04A0" w:firstRow="1" w:lastRow="0" w:firstColumn="1" w:lastColumn="0" w:noHBand="0" w:noVBand="1"/>
      </w:tblPr>
      <w:tblGrid>
        <w:gridCol w:w="2056"/>
        <w:gridCol w:w="3986"/>
        <w:gridCol w:w="3254"/>
      </w:tblGrid>
      <w:tr>
        <w:tc>
          <w:tcPr>
            <w:tcW w:w="1526" w:type="dxa"/>
            <w:vMerge w:val="restart"/>
          </w:tcPr>
          <w:p>
            <w:pPr>
              <w:jc w:val="center"/>
              <w:rPr>
                <w:rFonts w:ascii="Times New Roman" w:hAnsi="Times New Roman" w:cs="Times New Roman"/>
                <w:b/>
                <w:noProof/>
                <w:sz w:val="24"/>
                <w:szCs w:val="24"/>
              </w:rPr>
            </w:pPr>
            <w:r>
              <w:rPr>
                <w:rFonts w:ascii="Times New Roman" w:hAnsi="Times New Roman"/>
                <w:b/>
                <w:noProof/>
                <w:sz w:val="24"/>
                <w:szCs w:val="24"/>
              </w:rPr>
              <w:t>Politiska partier och stiftelser</w:t>
            </w: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 xml:space="preserve">Politiska partier </w:t>
            </w:r>
            <w:r>
              <w:rPr>
                <w:rFonts w:ascii="Times New Roman" w:hAnsi="Times New Roman"/>
                <w:noProof/>
                <w:sz w:val="24"/>
                <w:szCs w:val="24"/>
              </w:rPr>
              <w:t xml:space="preserve">och stiftelser </w:t>
            </w:r>
            <w:r>
              <w:rPr>
                <w:rFonts w:ascii="Times New Roman" w:hAnsi="Times New Roman"/>
                <w:noProof/>
                <w:sz w:val="24"/>
              </w:rPr>
              <w:t>är personuppgiftsansvariga</w:t>
            </w:r>
          </w:p>
        </w:tc>
      </w:tr>
      <w:tr>
        <w:tc>
          <w:tcPr>
            <w:tcW w:w="1526" w:type="dxa"/>
            <w:vMerge/>
          </w:tcPr>
          <w:p>
            <w:pPr>
              <w:jc w:val="center"/>
              <w:rPr>
                <w:rFonts w:ascii="Times New Roman" w:hAnsi="Times New Roman" w:cs="Times New Roman"/>
                <w:b/>
                <w:noProof/>
                <w:sz w:val="24"/>
                <w:lang w:val="en-GB"/>
              </w:rPr>
            </w:pPr>
          </w:p>
        </w:tc>
        <w:tc>
          <w:tcPr>
            <w:tcW w:w="7770" w:type="dxa"/>
            <w:gridSpan w:val="2"/>
          </w:tcPr>
          <w:p>
            <w:pPr>
              <w:pStyle w:val="ListParagraph"/>
              <w:numPr>
                <w:ilvl w:val="0"/>
                <w:numId w:val="3"/>
              </w:numPr>
              <w:rPr>
                <w:rFonts w:ascii="Times New Roman" w:hAnsi="Times New Roman" w:cs="Times New Roman"/>
                <w:noProof/>
                <w:sz w:val="24"/>
              </w:rPr>
            </w:pPr>
            <w:r>
              <w:rPr>
                <w:rFonts w:ascii="Times New Roman" w:hAnsi="Times New Roman"/>
                <w:noProof/>
                <w:sz w:val="24"/>
              </w:rPr>
              <w:t>Respektera ändamålsbegränsningen, senare behandling endast för ändamål som är förenliga med bestämmelserna (t.ex. när uppgifter delas med plattformar).</w:t>
            </w:r>
          </w:p>
          <w:p>
            <w:pPr>
              <w:pStyle w:val="ListParagraph"/>
              <w:numPr>
                <w:ilvl w:val="0"/>
                <w:numId w:val="3"/>
              </w:numPr>
              <w:rPr>
                <w:rFonts w:ascii="Times New Roman" w:hAnsi="Times New Roman" w:cs="Times New Roman"/>
                <w:noProof/>
                <w:sz w:val="24"/>
              </w:rPr>
            </w:pPr>
            <w:r>
              <w:rPr>
                <w:rFonts w:ascii="Times New Roman" w:hAnsi="Times New Roman"/>
                <w:noProof/>
                <w:sz w:val="24"/>
              </w:rPr>
              <w:t>Välj lämplig rättslig grund för behandling (även för härledda uppgifter): samtycke, berättigat intresse, uppdrag av allmänt intresse (om detta föreskrivs i lag), särskilda villkor för ”känsliga uppgifter” (t.ex.: politisk åskådning).</w:t>
            </w:r>
          </w:p>
          <w:p>
            <w:pPr>
              <w:pStyle w:val="ListParagraph"/>
              <w:numPr>
                <w:ilvl w:val="0"/>
                <w:numId w:val="3"/>
              </w:numPr>
              <w:rPr>
                <w:rFonts w:ascii="Times New Roman" w:hAnsi="Times New Roman" w:cs="Times New Roman"/>
                <w:noProof/>
                <w:sz w:val="24"/>
              </w:rPr>
            </w:pPr>
            <w:r>
              <w:rPr>
                <w:rFonts w:ascii="Times New Roman" w:hAnsi="Times New Roman"/>
                <w:noProof/>
                <w:sz w:val="24"/>
              </w:rPr>
              <w:t>Gör en konsekvensbedömning avseende dataskydd.</w:t>
            </w:r>
          </w:p>
          <w:p>
            <w:pPr>
              <w:pStyle w:val="ListParagraph"/>
              <w:numPr>
                <w:ilvl w:val="0"/>
                <w:numId w:val="3"/>
              </w:numPr>
              <w:rPr>
                <w:rFonts w:ascii="Times New Roman" w:hAnsi="Times New Roman" w:cs="Times New Roman"/>
                <w:noProof/>
                <w:sz w:val="24"/>
              </w:rPr>
            </w:pPr>
            <w:r>
              <w:rPr>
                <w:rFonts w:ascii="Times New Roman" w:hAnsi="Times New Roman"/>
                <w:noProof/>
                <w:sz w:val="24"/>
              </w:rPr>
              <w:t>Informera enskilda om ändamålet med varje behandling (krav på öppenhet), antingen när uppgifterna samlas in direkt eller när de erhålls från tredje part.</w:t>
            </w:r>
          </w:p>
          <w:p>
            <w:pPr>
              <w:pStyle w:val="ListParagraph"/>
              <w:numPr>
                <w:ilvl w:val="0"/>
                <w:numId w:val="3"/>
              </w:numPr>
              <w:rPr>
                <w:rFonts w:ascii="Times New Roman" w:hAnsi="Times New Roman" w:cs="Times New Roman"/>
                <w:noProof/>
                <w:sz w:val="24"/>
              </w:rPr>
            </w:pPr>
            <w:r>
              <w:rPr>
                <w:rFonts w:ascii="Times New Roman" w:hAnsi="Times New Roman"/>
                <w:noProof/>
                <w:sz w:val="24"/>
              </w:rPr>
              <w:t>Säkerställ att uppgifterna är korrekta, särskilt i fråga om uppgifter från olika källor och härledda uppgifter.</w:t>
            </w:r>
          </w:p>
          <w:p>
            <w:pPr>
              <w:pStyle w:val="ListParagraph"/>
              <w:numPr>
                <w:ilvl w:val="0"/>
                <w:numId w:val="3"/>
              </w:numPr>
              <w:rPr>
                <w:rFonts w:ascii="Times New Roman" w:hAnsi="Times New Roman" w:cs="Times New Roman"/>
                <w:noProof/>
                <w:sz w:val="24"/>
              </w:rPr>
            </w:pPr>
            <w:r>
              <w:rPr>
                <w:rFonts w:ascii="Times New Roman" w:hAnsi="Times New Roman"/>
                <w:noProof/>
                <w:sz w:val="24"/>
              </w:rPr>
              <w:t>Kontrollera om uppgifter erhållna från tredje part har samlats in på lagligt sätt och för vilket ändamål (t.ex.: om de berörda personerna har gett sitt samtycke för ett visst ändamål).</w:t>
            </w:r>
          </w:p>
          <w:p>
            <w:pPr>
              <w:pStyle w:val="ListParagraph"/>
              <w:numPr>
                <w:ilvl w:val="0"/>
                <w:numId w:val="3"/>
              </w:numPr>
              <w:rPr>
                <w:rFonts w:ascii="Times New Roman" w:hAnsi="Times New Roman" w:cs="Times New Roman"/>
                <w:noProof/>
                <w:sz w:val="24"/>
              </w:rPr>
            </w:pPr>
            <w:r>
              <w:rPr>
                <w:rFonts w:ascii="Times New Roman" w:hAnsi="Times New Roman"/>
                <w:noProof/>
                <w:sz w:val="24"/>
              </w:rPr>
              <w:t>Ta hänsyn till de specifika riskerna med profilering och vidta lämpliga skyddsåtgärder.</w:t>
            </w:r>
          </w:p>
          <w:p>
            <w:pPr>
              <w:pStyle w:val="ListParagraph"/>
              <w:numPr>
                <w:ilvl w:val="0"/>
                <w:numId w:val="3"/>
              </w:numPr>
              <w:rPr>
                <w:rFonts w:ascii="Times New Roman" w:hAnsi="Times New Roman" w:cs="Times New Roman"/>
                <w:noProof/>
                <w:sz w:val="24"/>
              </w:rPr>
            </w:pPr>
            <w:r>
              <w:rPr>
                <w:rFonts w:ascii="Times New Roman" w:hAnsi="Times New Roman"/>
                <w:noProof/>
                <w:sz w:val="24"/>
              </w:rPr>
              <w:t>Se till att de särskilda kraven är uppfyllda vid användning av automatiserat beslutsfattande (t.ex. erhåll uttryckligt medgivande och genomför lämpliga skyddsåtgärder).</w:t>
            </w:r>
          </w:p>
          <w:p>
            <w:pPr>
              <w:pStyle w:val="ListParagraph"/>
              <w:numPr>
                <w:ilvl w:val="0"/>
                <w:numId w:val="3"/>
              </w:numPr>
              <w:rPr>
                <w:rFonts w:ascii="Times New Roman" w:hAnsi="Times New Roman" w:cs="Times New Roman"/>
                <w:noProof/>
                <w:sz w:val="24"/>
              </w:rPr>
            </w:pPr>
            <w:r>
              <w:rPr>
                <w:rFonts w:ascii="Times New Roman" w:hAnsi="Times New Roman"/>
                <w:noProof/>
                <w:sz w:val="24"/>
              </w:rPr>
              <w:t>Ange tydligt vem som har tillgång till uppgifterna.</w:t>
            </w:r>
          </w:p>
          <w:p>
            <w:pPr>
              <w:pStyle w:val="ListParagraph"/>
              <w:numPr>
                <w:ilvl w:val="0"/>
                <w:numId w:val="3"/>
              </w:numPr>
              <w:rPr>
                <w:rFonts w:ascii="Times New Roman" w:hAnsi="Times New Roman" w:cs="Times New Roman"/>
                <w:noProof/>
                <w:sz w:val="24"/>
              </w:rPr>
            </w:pPr>
            <w:r>
              <w:rPr>
                <w:rFonts w:ascii="Times New Roman" w:hAnsi="Times New Roman"/>
                <w:noProof/>
                <w:sz w:val="24"/>
              </w:rPr>
              <w:t>Säkerställ säkerheten vid uppgiftsbehandlingen genom tekniska och organisatoriska åtgärder. Rapportera incidenter.</w:t>
            </w:r>
          </w:p>
          <w:p>
            <w:pPr>
              <w:pStyle w:val="ListParagraph"/>
              <w:numPr>
                <w:ilvl w:val="0"/>
                <w:numId w:val="3"/>
              </w:numPr>
              <w:rPr>
                <w:rFonts w:ascii="Times New Roman" w:hAnsi="Times New Roman" w:cs="Times New Roman"/>
                <w:noProof/>
                <w:sz w:val="24"/>
              </w:rPr>
            </w:pPr>
            <w:r>
              <w:rPr>
                <w:rFonts w:ascii="Times New Roman" w:hAnsi="Times New Roman"/>
                <w:noProof/>
                <w:sz w:val="24"/>
              </w:rPr>
              <w:t>Klargör skyldigheter i avtal eller andra rättsligt bindande handlingar med personuppgiftsbiträden, som t.ex. dataanalysföretag.</w:t>
            </w:r>
          </w:p>
          <w:p>
            <w:pPr>
              <w:pStyle w:val="ListParagraph"/>
              <w:numPr>
                <w:ilvl w:val="0"/>
                <w:numId w:val="3"/>
              </w:numPr>
              <w:rPr>
                <w:rFonts w:ascii="Times New Roman" w:hAnsi="Times New Roman" w:cs="Times New Roman"/>
                <w:noProof/>
                <w:sz w:val="24"/>
              </w:rPr>
            </w:pPr>
            <w:r>
              <w:rPr>
                <w:rFonts w:ascii="Times New Roman" w:hAnsi="Times New Roman"/>
                <w:noProof/>
                <w:sz w:val="24"/>
              </w:rPr>
              <w:t>Radera uppgifterna när de inte längre är nödvändiga för det ändamål som de ursprungligen samlades in för.</w:t>
            </w:r>
          </w:p>
          <w:p>
            <w:pPr>
              <w:pStyle w:val="ListParagraph"/>
              <w:ind w:left="360"/>
              <w:rPr>
                <w:rFonts w:ascii="Times New Roman" w:hAnsi="Times New Roman" w:cs="Times New Roman"/>
                <w:noProof/>
                <w:sz w:val="24"/>
                <w:lang w:val="en-GB"/>
              </w:rPr>
            </w:pPr>
          </w:p>
        </w:tc>
      </w:tr>
      <w:tr>
        <w:tc>
          <w:tcPr>
            <w:tcW w:w="1526" w:type="dxa"/>
            <w:vMerge w:val="restart"/>
          </w:tcPr>
          <w:p>
            <w:pPr>
              <w:jc w:val="center"/>
              <w:rPr>
                <w:rFonts w:ascii="Times New Roman" w:hAnsi="Times New Roman" w:cs="Times New Roman"/>
                <w:b/>
                <w:noProof/>
                <w:sz w:val="24"/>
              </w:rPr>
            </w:pPr>
            <w:r>
              <w:rPr>
                <w:rFonts w:ascii="Times New Roman" w:hAnsi="Times New Roman"/>
                <w:b/>
                <w:noProof/>
                <w:sz w:val="24"/>
              </w:rPr>
              <w:t>Datamäklare och dataanalysföretag</w:t>
            </w: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Datamäklare och dataanalysföretag är antingen (gemensamma) personuppgiftsansvariga eller personuppgiftsbiträden beroende på hur stor kontroll de har över databehandlingen.</w:t>
            </w:r>
          </w:p>
        </w:tc>
      </w:tr>
      <w:tr>
        <w:tc>
          <w:tcPr>
            <w:tcW w:w="1526" w:type="dxa"/>
            <w:vMerge/>
          </w:tcPr>
          <w:p>
            <w:pPr>
              <w:jc w:val="center"/>
              <w:rPr>
                <w:rFonts w:ascii="Times New Roman" w:hAnsi="Times New Roman" w:cs="Times New Roman"/>
                <w:b/>
                <w:noProof/>
                <w:sz w:val="24"/>
                <w:lang w:val="en-GB"/>
              </w:rPr>
            </w:pPr>
          </w:p>
        </w:tc>
        <w:tc>
          <w:tcPr>
            <w:tcW w:w="4350" w:type="dxa"/>
          </w:tcPr>
          <w:p>
            <w:pPr>
              <w:ind w:left="255" w:hanging="201"/>
              <w:jc w:val="center"/>
              <w:rPr>
                <w:rFonts w:ascii="Times New Roman" w:hAnsi="Times New Roman" w:cs="Times New Roman"/>
                <w:noProof/>
                <w:sz w:val="24"/>
                <w:szCs w:val="24"/>
              </w:rPr>
            </w:pPr>
            <w:r>
              <w:rPr>
                <w:rFonts w:ascii="Times New Roman" w:hAnsi="Times New Roman"/>
                <w:noProof/>
                <w:sz w:val="24"/>
                <w:szCs w:val="24"/>
              </w:rPr>
              <w:t>Som personuppgiftsansvarig</w:t>
            </w:r>
          </w:p>
        </w:tc>
        <w:tc>
          <w:tcPr>
            <w:tcW w:w="3420" w:type="dxa"/>
          </w:tcPr>
          <w:p>
            <w:pPr>
              <w:pStyle w:val="ListParagraph"/>
              <w:ind w:left="225" w:hanging="225"/>
              <w:jc w:val="center"/>
              <w:rPr>
                <w:rFonts w:ascii="Times New Roman" w:hAnsi="Times New Roman" w:cs="Times New Roman"/>
                <w:noProof/>
                <w:sz w:val="24"/>
                <w:szCs w:val="24"/>
              </w:rPr>
            </w:pPr>
            <w:r>
              <w:rPr>
                <w:rFonts w:ascii="Times New Roman" w:hAnsi="Times New Roman"/>
                <w:noProof/>
                <w:sz w:val="24"/>
                <w:szCs w:val="24"/>
              </w:rPr>
              <w:t>Som personuppgiftsbiträde</w:t>
            </w:r>
          </w:p>
        </w:tc>
      </w:tr>
      <w:tr>
        <w:tc>
          <w:tcPr>
            <w:tcW w:w="1526" w:type="dxa"/>
            <w:vMerge/>
          </w:tcPr>
          <w:p>
            <w:pPr>
              <w:jc w:val="center"/>
              <w:rPr>
                <w:rFonts w:ascii="Times New Roman" w:hAnsi="Times New Roman" w:cs="Times New Roman"/>
                <w:b/>
                <w:noProof/>
                <w:sz w:val="24"/>
                <w:szCs w:val="24"/>
                <w:lang w:val="en-GB"/>
              </w:rPr>
            </w:pPr>
          </w:p>
        </w:tc>
        <w:tc>
          <w:tcPr>
            <w:tcW w:w="4350" w:type="dxa"/>
          </w:tcPr>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Respektera ändamålsbegränsningen, senare behandling endast för förenliga ändamål (särskilt när uppgifter delas med tredje part).</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Välj lämplig rättslig grund för behandlingen: samtycke, berättigat intresse. Om ”känsliga uppgifter” föreligger, är behandling möjlig endast med uttryckligt samtycke eller om uppgifterna på ett tydligt sätt har offentliggjorts.</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Gör en konsekvensbedömning avseende dataskydd.</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Informera enskilda om varje behandlingsändamål (krav på öppenhet) – särskilt när samtycke ska inhämtas eftersom uppgifterna vanligtvis kommer att säljas till tredje part.</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Se till att de särskilda kraven vid användning av automatiserat beslutsfattande är uppfyllda (t.ex. erhåll uttryckligt medgivande och genomför lämpliga skyddsåtgärder).</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Ge särskilt akt på behandlingens laglighet och korrekthet när olika dataset kombineras.</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Säkerställ säkerheten vid uppgiftsbehandlingen genom tekniska och organisatoriska åtgärder. Rapportera personuppgiftsincidenter.</w:t>
            </w:r>
          </w:p>
          <w:p>
            <w:pPr>
              <w:pStyle w:val="ListParagraph"/>
              <w:ind w:left="255"/>
              <w:rPr>
                <w:rFonts w:ascii="Times New Roman" w:hAnsi="Times New Roman" w:cs="Times New Roman"/>
                <w:noProof/>
                <w:sz w:val="24"/>
                <w:lang w:val="en-GB"/>
              </w:rPr>
            </w:pPr>
          </w:p>
        </w:tc>
        <w:tc>
          <w:tcPr>
            <w:tcW w:w="3420" w:type="dxa"/>
          </w:tcPr>
          <w:p>
            <w:pPr>
              <w:pStyle w:val="ListParagraph"/>
              <w:numPr>
                <w:ilvl w:val="0"/>
                <w:numId w:val="4"/>
              </w:numPr>
              <w:ind w:left="225" w:hanging="225"/>
              <w:rPr>
                <w:rFonts w:ascii="Times New Roman" w:hAnsi="Times New Roman" w:cs="Times New Roman"/>
                <w:noProof/>
                <w:sz w:val="24"/>
              </w:rPr>
            </w:pPr>
            <w:r>
              <w:rPr>
                <w:rFonts w:ascii="Times New Roman" w:hAnsi="Times New Roman"/>
                <w:noProof/>
                <w:sz w:val="24"/>
              </w:rPr>
              <w:t>Se till skyldigheterna enligt avtal eller annan rättsligt bindande handling med den personuppgiftsansvarige fullgörs.</w:t>
            </w:r>
          </w:p>
          <w:p>
            <w:pPr>
              <w:pStyle w:val="ListParagraph"/>
              <w:numPr>
                <w:ilvl w:val="0"/>
                <w:numId w:val="4"/>
              </w:numPr>
              <w:ind w:left="225" w:hanging="225"/>
              <w:rPr>
                <w:rFonts w:ascii="Times New Roman" w:hAnsi="Times New Roman" w:cs="Times New Roman"/>
                <w:noProof/>
                <w:sz w:val="24"/>
              </w:rPr>
            </w:pPr>
            <w:r>
              <w:rPr>
                <w:rFonts w:ascii="Times New Roman" w:hAnsi="Times New Roman"/>
                <w:noProof/>
                <w:sz w:val="24"/>
              </w:rPr>
              <w:t>Säkerställ säkerheten vid uppgiftsbehandlingen genom tekniska och organisatoriska åtgärder.</w:t>
            </w:r>
          </w:p>
          <w:p>
            <w:pPr>
              <w:pStyle w:val="ListParagraph"/>
              <w:numPr>
                <w:ilvl w:val="0"/>
                <w:numId w:val="4"/>
              </w:numPr>
              <w:ind w:left="225" w:hanging="219"/>
              <w:rPr>
                <w:rFonts w:ascii="Times New Roman" w:hAnsi="Times New Roman" w:cs="Times New Roman"/>
                <w:noProof/>
                <w:sz w:val="24"/>
              </w:rPr>
            </w:pPr>
            <w:r>
              <w:rPr>
                <w:rFonts w:ascii="Times New Roman" w:hAnsi="Times New Roman"/>
                <w:noProof/>
                <w:sz w:val="24"/>
              </w:rPr>
              <w:t>Stöd till den personuppgiftsansvarige i följande fall under konsekvensbedömningen avseende dataskydd, när registrerade utövar sin rättigheter eller när personuppgiftsincidenter som uppdagats utan dröjsmål meddelas den personuppgiftsansvarige.</w:t>
            </w:r>
          </w:p>
        </w:tc>
      </w:tr>
      <w:tr>
        <w:tc>
          <w:tcPr>
            <w:tcW w:w="1526" w:type="dxa"/>
          </w:tcPr>
          <w:p>
            <w:pPr>
              <w:jc w:val="center"/>
              <w:rPr>
                <w:rFonts w:ascii="Times New Roman" w:hAnsi="Times New Roman" w:cs="Times New Roman"/>
                <w:b/>
                <w:noProof/>
                <w:sz w:val="24"/>
                <w:lang w:val="en-GB"/>
              </w:rPr>
            </w:pPr>
          </w:p>
        </w:tc>
        <w:tc>
          <w:tcPr>
            <w:tcW w:w="7770" w:type="dxa"/>
            <w:gridSpan w:val="2"/>
          </w:tcPr>
          <w:p>
            <w:pPr>
              <w:pStyle w:val="ListParagraph"/>
              <w:ind w:left="255"/>
              <w:jc w:val="center"/>
              <w:rPr>
                <w:rFonts w:ascii="Times New Roman" w:hAnsi="Times New Roman" w:cs="Times New Roman"/>
                <w:noProof/>
                <w:sz w:val="24"/>
              </w:rPr>
            </w:pPr>
            <w:r>
              <w:rPr>
                <w:rFonts w:ascii="Times New Roman" w:hAnsi="Times New Roman"/>
                <w:noProof/>
                <w:sz w:val="24"/>
              </w:rPr>
              <w:t>Plattformar är vanligtvis personuppgiftsansvariga för uppgiftsbehandling som sker på plattformarna, och de är eventuellt gemensamma personuppgiftsansvariga med andra organisationer</w:t>
            </w:r>
          </w:p>
        </w:tc>
      </w:tr>
      <w:tr>
        <w:tc>
          <w:tcPr>
            <w:tcW w:w="1526" w:type="dxa"/>
          </w:tcPr>
          <w:p>
            <w:pPr>
              <w:jc w:val="center"/>
              <w:rPr>
                <w:rFonts w:ascii="Times New Roman" w:hAnsi="Times New Roman" w:cs="Times New Roman"/>
                <w:b/>
                <w:noProof/>
                <w:sz w:val="24"/>
                <w:szCs w:val="24"/>
              </w:rPr>
            </w:pPr>
            <w:r>
              <w:rPr>
                <w:rFonts w:ascii="Times New Roman" w:hAnsi="Times New Roman"/>
                <w:b/>
                <w:noProof/>
                <w:sz w:val="24"/>
                <w:szCs w:val="24"/>
              </w:rPr>
              <w:t>Sociala medieplattformar /annonsnätverk på nätet</w:t>
            </w:r>
          </w:p>
        </w:tc>
        <w:tc>
          <w:tcPr>
            <w:tcW w:w="7770" w:type="dxa"/>
            <w:gridSpan w:val="2"/>
          </w:tcPr>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Välj lämplig rättslig grund för behandlingen: Avtal med enskilda personer, samtycke, berättigat intresse. Om ”känsliga uppgifter” föreligger, är behandling möjlig endast med uttryckligt samtycke eller om uppgifterna på ett tydligt sätt har offentliggjorts.</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Använd endast uppgifter som är nödvändiga för det angivna syftet</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Gör en konsekvensbedömning avseende dataskydd.</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Säkerställ lagligheten när uppgifter om medlemmar delas med tredje part</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Se till att kraven på öppenhet är uppfyllda, särskilt avseende villkoren, i fall uppgifter sedan delas med en tredje part osv.</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Se till att de särskilda kraven vid användning av automatiserat beslutsfattande är uppfyllda (t.ex. erhåll uttryckligt medgivande och genomför lämpliga skyddsåtgärder).</w:t>
            </w:r>
          </w:p>
          <w:p>
            <w:pPr>
              <w:pStyle w:val="ListParagraph"/>
              <w:numPr>
                <w:ilvl w:val="0"/>
                <w:numId w:val="3"/>
              </w:numPr>
              <w:ind w:left="255" w:hanging="218"/>
              <w:rPr>
                <w:rFonts w:ascii="Times New Roman" w:hAnsi="Times New Roman" w:cs="Times New Roman"/>
                <w:b/>
                <w:noProof/>
                <w:sz w:val="24"/>
              </w:rPr>
            </w:pPr>
            <w:r>
              <w:rPr>
                <w:rFonts w:ascii="Times New Roman" w:hAnsi="Times New Roman"/>
                <w:noProof/>
                <w:sz w:val="24"/>
              </w:rPr>
              <w:t>Säkerställ säkerheten vid uppgiftsbehandlingen genom tekniska och organisatoriska åtgärder. Rapportera personuppgiftsincidenter.</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Se till att enskilda personer har kontroller och inställningar så att de verkligen kan utöva sina rättigheter, bl.a. rätten att inte bli föremål för ett beslut som enbart grundas på automatiserad uppgiftsbehandling, däribland profilering.</w:t>
            </w:r>
          </w:p>
        </w:tc>
      </w:tr>
      <w:tr>
        <w:tc>
          <w:tcPr>
            <w:tcW w:w="1526" w:type="dxa"/>
          </w:tcPr>
          <w:p>
            <w:pPr>
              <w:jc w:val="center"/>
              <w:rPr>
                <w:rFonts w:ascii="Times New Roman" w:hAnsi="Times New Roman" w:cs="Times New Roman"/>
                <w:b/>
                <w:noProof/>
                <w:sz w:val="24"/>
                <w:lang w:val="en-GB"/>
              </w:rPr>
            </w:pP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Nationella myndigheter är personuppgiftsansvariga</w:t>
            </w:r>
          </w:p>
        </w:tc>
      </w:tr>
      <w:tr>
        <w:tc>
          <w:tcPr>
            <w:tcW w:w="1526" w:type="dxa"/>
          </w:tcPr>
          <w:p>
            <w:pPr>
              <w:jc w:val="center"/>
              <w:rPr>
                <w:rFonts w:ascii="Times New Roman" w:hAnsi="Times New Roman" w:cs="Times New Roman"/>
                <w:b/>
                <w:noProof/>
                <w:sz w:val="24"/>
                <w:szCs w:val="24"/>
              </w:rPr>
            </w:pPr>
            <w:r>
              <w:rPr>
                <w:rFonts w:ascii="Times New Roman" w:hAnsi="Times New Roman"/>
                <w:b/>
                <w:noProof/>
                <w:sz w:val="24"/>
                <w:szCs w:val="24"/>
              </w:rPr>
              <w:t>Nationella valmyndigheter</w:t>
            </w:r>
          </w:p>
        </w:tc>
        <w:tc>
          <w:tcPr>
            <w:tcW w:w="7770" w:type="dxa"/>
            <w:gridSpan w:val="2"/>
          </w:tcPr>
          <w:p>
            <w:pPr>
              <w:pStyle w:val="ListParagraph"/>
              <w:numPr>
                <w:ilvl w:val="0"/>
                <w:numId w:val="5"/>
              </w:numPr>
              <w:ind w:left="320" w:hanging="283"/>
              <w:rPr>
                <w:rFonts w:ascii="Times New Roman" w:hAnsi="Times New Roman" w:cs="Times New Roman"/>
                <w:noProof/>
                <w:sz w:val="24"/>
              </w:rPr>
            </w:pPr>
            <w:r>
              <w:rPr>
                <w:rFonts w:ascii="Times New Roman" w:hAnsi="Times New Roman"/>
                <w:noProof/>
                <w:sz w:val="24"/>
              </w:rPr>
              <w:t>Rättslig grund för behandling: Rättslig skyldighet eller uppdrag av allmänt intresse på grundval av lagstiftning</w:t>
            </w:r>
          </w:p>
          <w:p>
            <w:pPr>
              <w:pStyle w:val="ListParagraph"/>
              <w:numPr>
                <w:ilvl w:val="0"/>
                <w:numId w:val="5"/>
              </w:numPr>
              <w:ind w:left="320" w:hanging="283"/>
              <w:rPr>
                <w:rFonts w:ascii="Times New Roman" w:hAnsi="Times New Roman" w:cs="Times New Roman"/>
                <w:noProof/>
                <w:sz w:val="24"/>
              </w:rPr>
            </w:pPr>
            <w:r>
              <w:rPr>
                <w:rFonts w:ascii="Times New Roman" w:hAnsi="Times New Roman"/>
                <w:noProof/>
                <w:sz w:val="24"/>
              </w:rPr>
              <w:t xml:space="preserve">Gör en konsekvensbedömning avseende dataskydd om konsekvenserna inte redan bedömts i lagstiftningen </w:t>
            </w:r>
          </w:p>
        </w:tc>
      </w:tr>
    </w:tbl>
    <w:p>
      <w:pPr>
        <w:rPr>
          <w:rFonts w:ascii="Times New Roman" w:hAnsi="Times New Roman" w:cs="Times New Roman"/>
          <w:noProof/>
          <w:lang w:val="en-GB"/>
        </w:rPr>
      </w:pPr>
    </w:p>
    <w:p>
      <w:pPr>
        <w:jc w:val="center"/>
        <w:rPr>
          <w:rFonts w:ascii="Times New Roman" w:hAnsi="Times New Roman" w:cs="Times New Roman"/>
          <w:b/>
          <w:noProof/>
          <w:sz w:val="24"/>
          <w:lang w:val="en-GB"/>
        </w:rPr>
      </w:pPr>
    </w:p>
    <w:p>
      <w:pPr>
        <w:jc w:val="center"/>
        <w:rPr>
          <w:rFonts w:ascii="Times New Roman" w:hAnsi="Times New Roman" w:cs="Times New Roman"/>
          <w:noProof/>
          <w:lang w:val="en-GB"/>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2931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Rapporter från den brittiska dataskyddsmyndigheten (</w:t>
      </w:r>
      <w:r>
        <w:rPr>
          <w:rFonts w:ascii="Times New Roman" w:hAnsi="Times New Roman"/>
          <w:i/>
          <w:sz w:val="18"/>
          <w:szCs w:val="18"/>
        </w:rPr>
        <w:t>Information Commissioner’s Office</w:t>
      </w:r>
      <w:r>
        <w:rPr>
          <w:rFonts w:ascii="Times New Roman" w:hAnsi="Times New Roman"/>
          <w:sz w:val="18"/>
          <w:szCs w:val="18"/>
        </w:rPr>
        <w:t xml:space="preserve"> – ICO), 10.7.2018: </w:t>
      </w:r>
      <w:r>
        <w:rPr>
          <w:rFonts w:ascii="Times New Roman" w:hAnsi="Times New Roman"/>
          <w:i/>
          <w:sz w:val="18"/>
          <w:szCs w:val="18"/>
        </w:rPr>
        <w:t>Investigation into the use of data analytics in political campaigns</w:t>
      </w:r>
      <w:r>
        <w:rPr>
          <w:rFonts w:ascii="Times New Roman" w:hAnsi="Times New Roman"/>
          <w:sz w:val="18"/>
          <w:szCs w:val="18"/>
        </w:rPr>
        <w:t xml:space="preserve"> – </w:t>
      </w:r>
      <w:r>
        <w:rPr>
          <w:rFonts w:ascii="Times New Roman" w:hAnsi="Times New Roman"/>
          <w:i/>
          <w:sz w:val="18"/>
          <w:szCs w:val="18"/>
        </w:rPr>
        <w:t>Investigation update</w:t>
      </w:r>
      <w:r>
        <w:rPr>
          <w:rFonts w:ascii="Times New Roman" w:hAnsi="Times New Roman"/>
          <w:sz w:val="18"/>
          <w:szCs w:val="18"/>
        </w:rPr>
        <w:t xml:space="preserve"> och </w:t>
      </w:r>
      <w:r>
        <w:rPr>
          <w:rFonts w:ascii="Times New Roman" w:hAnsi="Times New Roman"/>
          <w:i/>
          <w:sz w:val="18"/>
          <w:szCs w:val="18"/>
        </w:rPr>
        <w:t>Democracy Disrupted?</w:t>
      </w:r>
      <w:r>
        <w:rPr>
          <w:rFonts w:ascii="Times New Roman" w:hAnsi="Times New Roman"/>
          <w:sz w:val="18"/>
          <w:szCs w:val="18"/>
        </w:rPr>
        <w:t xml:space="preserve"> </w:t>
      </w:r>
      <w:r>
        <w:rPr>
          <w:rFonts w:ascii="Times New Roman" w:hAnsi="Times New Roman"/>
          <w:i/>
          <w:sz w:val="18"/>
          <w:szCs w:val="18"/>
        </w:rPr>
        <w:t>Personal information and political influence.</w:t>
      </w:r>
    </w:p>
  </w:footnote>
  <w:footnote w:id="3">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https://edps.europa.eu/sites/edp/files/publication/18-03-19_online_manipulation_en.pdf.</w:t>
      </w:r>
    </w:p>
  </w:footnote>
  <w:footnote w:id="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http://www.garanteprivacy.it/web/guest/home/docweb/-/docweb-display/docweb/3013267 </w:t>
      </w:r>
      <w:r>
        <w:rPr>
          <w:rFonts w:ascii="Times New Roman" w:hAnsi="Times New Roman"/>
          <w:i/>
          <w:sz w:val="18"/>
          <w:szCs w:val="18"/>
        </w:rPr>
        <w:t>Provvedimento in materia di trattamento di dati presso i partiti politici e di esonero dall’informativa per fini di propaganda elettorale</w:t>
      </w:r>
      <w:r>
        <w:rPr>
          <w:rFonts w:ascii="Times New Roman" w:hAnsi="Times New Roman"/>
          <w:sz w:val="18"/>
          <w:szCs w:val="18"/>
        </w:rPr>
        <w:t xml:space="preserve"> offentliggjord i den italienska dataskyddsmyndighetens officiella kungörelseorgan nr 71 den 26.3.2014 [doc. web n. 3013267]; </w:t>
      </w:r>
      <w:hyperlink r:id="rId1" w:history="1">
        <w:r>
          <w:rPr>
            <w:rFonts w:ascii="Times New Roman" w:hAnsi="Times New Roman"/>
            <w:sz w:val="18"/>
            <w:szCs w:val="18"/>
          </w:rPr>
          <w:t>https://www.cnil.fr/fr/communication-politique-quelles-sont-les-regles-pour-lutilisation-des-donnees-issues-des-reseaux</w:t>
        </w:r>
      </w:hyperlink>
      <w:r>
        <w:rPr>
          <w:rFonts w:ascii="Times New Roman" w:hAnsi="Times New Roman"/>
          <w:sz w:val="18"/>
          <w:szCs w:val="18"/>
        </w:rPr>
        <w:t xml:space="preserve"> </w:t>
      </w:r>
      <w:r>
        <w:rPr>
          <w:rFonts w:ascii="Times New Roman" w:hAnsi="Times New Roman"/>
          <w:i/>
          <w:sz w:val="18"/>
          <w:szCs w:val="18"/>
        </w:rPr>
        <w:t>Communication politique</w:t>
      </w:r>
      <w:r>
        <w:rPr>
          <w:rFonts w:ascii="Times New Roman" w:hAnsi="Times New Roman"/>
          <w:sz w:val="18"/>
          <w:szCs w:val="18"/>
        </w:rPr>
        <w:t xml:space="preserve">: </w:t>
      </w:r>
      <w:r>
        <w:rPr>
          <w:rFonts w:ascii="Times New Roman" w:hAnsi="Times New Roman"/>
          <w:i/>
          <w:sz w:val="18"/>
          <w:szCs w:val="18"/>
        </w:rPr>
        <w:t>quelles sont les règles pour l’utilisation des données issues des réseaux sociaux ?</w:t>
      </w:r>
      <w:r>
        <w:rPr>
          <w:rFonts w:ascii="Times New Roman" w:hAnsi="Times New Roman"/>
          <w:sz w:val="18"/>
          <w:szCs w:val="18"/>
        </w:rPr>
        <w:t xml:space="preserve"> , utgiven av Commission Nationale de l’informatique et des libertés (Frankrikes nationella kommission för informationsteknik och medborgerliga friheter) 08.11.2016 ; </w:t>
      </w:r>
      <w:hyperlink r:id="rId2" w:history="1">
        <w:r>
          <w:rPr>
            <w:rFonts w:ascii="Times New Roman" w:hAnsi="Times New Roman"/>
            <w:sz w:val="18"/>
            <w:szCs w:val="18"/>
          </w:rPr>
          <w:t>https://ico.org.uk/media/for-organisations/documents/1589/promotion_of_a_political_party.pdf</w:t>
        </w:r>
      </w:hyperlink>
      <w:r>
        <w:rPr>
          <w:rFonts w:ascii="Times New Roman" w:hAnsi="Times New Roman"/>
          <w:sz w:val="18"/>
          <w:szCs w:val="18"/>
        </w:rPr>
        <w:t xml:space="preserve"> Information Commissioner’s Office ‘Guidance on political campaigning’ [20170426].</w:t>
      </w:r>
    </w:p>
  </w:footnote>
  <w:footnote w:id="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6">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Kommissionens vägledning om allmänna dataskyddsförordningen: </w:t>
      </w:r>
      <w:r>
        <w:rPr>
          <w:rStyle w:val="Hyperlink"/>
          <w:rFonts w:ascii="Times New Roman" w:hAnsi="Times New Roman"/>
          <w:color w:val="auto"/>
          <w:sz w:val="18"/>
          <w:szCs w:val="18"/>
          <w:u w:val="none"/>
        </w:rPr>
        <w:t>https://ec.europa.eu/commission/priorities/justice-and-fundamental-rights/data-protection/2018-reform-eu-data-protection-rules_en.</w:t>
      </w:r>
    </w:p>
  </w:footnote>
  <w:footnote w:id="7">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83 i allmänna dataskyddsförordningen.</w:t>
      </w:r>
    </w:p>
  </w:footnote>
  <w:footnote w:id="8">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Europeiska datatillsynsmannen utfärdar också yttranden.</w:t>
      </w:r>
    </w:p>
  </w:footnote>
  <w:footnote w:id="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Europaparlamentets och rådets direktiv 2002/58/EG av den 12 juli 2002 om behandling av personuppgifter och integritetsskydd inom sektorn för elektronisk kommunikation (direktiv om integritet och elektronisk kommunikation) (EGT L 201, 31.7.2002, s. 37).</w:t>
      </w:r>
    </w:p>
  </w:footnote>
  <w:footnote w:id="10">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Förslag till Europaparlamentets och rådets förordning om respekt för privatlivet och skydd av personuppgifter i samband med elektronisk kommunikation och om upphävande av direktiv 2002/58/EG (förordning om integritet och elektronisk kommunikation), COM (2017) 10 final.</w:t>
      </w:r>
    </w:p>
  </w:footnote>
  <w:footnote w:id="11">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85.2 i allmänna dataskyddsförordningen.</w:t>
      </w:r>
    </w:p>
  </w:footnote>
  <w:footnote w:id="1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9.1 i allmänna dataskyddsförordningen.</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I senaste rättspraxis från Europeiska unionens domstol (Jehovas vittnen, mål C-25/17, dom av den 10 juli 2018) klargjordes att en organisation som utövar inflytande över insamling och behandling av personuppgifter, under vissa omständigheter kan betraktas som personuppgiftsansvarig.</w:t>
      </w:r>
    </w:p>
  </w:footnote>
  <w:footnote w:id="14">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Artiklarna 5 och 6 i allmänna dataskyddsförordningen.</w:t>
      </w:r>
    </w:p>
  </w:footnote>
  <w:footnote w:id="1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Artiklarna 7 och 4 .11 i allmänna dataskyddsförordningen.</w:t>
      </w:r>
    </w:p>
  </w:footnote>
  <w:footnote w:id="16">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Detta förutsätter dock att de berörda personernas rättigheter och friheter inte allvarligt påverkas.</w:t>
      </w:r>
    </w:p>
  </w:footnote>
  <w:footnote w:id="17">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Se skäl 56 i allmänna dataskyddsförordningen: ”[o]m det för att det demokratiska systemet ska fungera i samband med allmänna val är nödvändigt att politiska partier i vissa medlemsstater samlar in personuppgifter om fysiska personers politiska uppfattningar, får behandling av sådana uppgifter tillåtas med hänsyn till ett allmänt intresse, på villkor att lämpliga skyddsåtgärder fastställs”.</w:t>
      </w:r>
    </w:p>
  </w:footnote>
  <w:footnote w:id="18">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9 i allmänna dataskyddsförordningen.</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9.2 a i allmänna dataskyddsförordningen.</w:t>
      </w:r>
    </w:p>
  </w:footnote>
  <w:footnote w:id="20">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9.2 e i allmänna dataskyddsförordningen.</w:t>
      </w:r>
    </w:p>
  </w:footnote>
  <w:footnote w:id="21">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9.2 g i allmänna dataskyddsförordningen.</w:t>
      </w:r>
    </w:p>
  </w:footnote>
  <w:footnote w:id="22">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9.2 d i allmänna dataskyddsförordningen. Ett parti eller en politisk stiftelse får inte till tredje part dela med sig av uppgifter om medlemmar eller tidigare medlemmar eller personer som har regelbunden kontakt med dem, utan den berörda personens samtycke.</w:t>
      </w:r>
    </w:p>
  </w:footnote>
  <w:footnote w:id="23">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5.1 b i allmänna dataskyddsförordningen.</w:t>
      </w:r>
    </w:p>
  </w:footnote>
  <w:footnote w:id="2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5.1 a i allmänna dataskyddsförordningen.</w:t>
      </w:r>
    </w:p>
  </w:footnote>
  <w:footnote w:id="2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Artiklarna 13 och 14 i allmänna dataskyddsförordningen.</w:t>
      </w:r>
    </w:p>
  </w:footnote>
  <w:footnote w:id="26">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Riktlinjer från Europeiska dataskyddsstyrelsen om öppenhet.</w:t>
      </w:r>
    </w:p>
  </w:footnote>
  <w:footnote w:id="27">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14 i allmänna dataskyddsförordningen.</w:t>
      </w:r>
    </w:p>
  </w:footnote>
  <w:footnote w:id="28">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Enligt definition i artiklarna 4 .4 i allmänna dataskyddsförordningen.</w:t>
      </w:r>
    </w:p>
  </w:footnote>
  <w:footnote w:id="2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13.2 i allmänna dataskyddsförordningen.</w:t>
      </w:r>
    </w:p>
  </w:footnote>
  <w:footnote w:id="30">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22 i allmänna dataskyddsförordningen.</w:t>
      </w:r>
    </w:p>
  </w:footnote>
  <w:footnote w:id="31">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Riktlinjer från Europeiska dataskyddsstyrelsen om automatiserat beslutsfattande, WP251rev.01 senast reviderade och antagna den 6.2.2018.</w:t>
      </w:r>
    </w:p>
  </w:footnote>
  <w:footnote w:id="3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32 i allmänna dataskyddsförordningen.</w:t>
      </w:r>
    </w:p>
  </w:footnote>
  <w:footnote w:id="33">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Artiklarna 33 och 34 i allmänna dataskyddsförordningen, och riktlinjer från Europeiska dataskyddsstyrelsen om anmälan av personuppgiftsincidenter.</w:t>
      </w:r>
    </w:p>
  </w:footnote>
  <w:footnote w:id="34">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Artiklarna 35 och 36 i allmänna dataskyddsförordningen, och riktlinjer från Europeiska dataskyddsstyrelsen om konsekvensbedömning avseende uppgiftsskydd.</w:t>
      </w:r>
    </w:p>
  </w:footnote>
  <w:footnote w:id="3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Artikel 80.1 i allmänna dataskyddsförordningen.</w:t>
      </w:r>
    </w:p>
  </w:footnote>
  <w:footnote w:id="36">
    <w:p>
      <w:pPr>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Ovanstående information är på intet sätt uttömmande. Den syftar till att belysa ett antal centrala skyldigheter som i allmänna dataskyddsförordningen är kopplade till personuppgifter och som är relevanta i valprocessen. Skyldigheterna är tänkta att komma till användning när partier själva samlar in uppgifter (från offentliga källor, från sin närvaro på sociala medier, direkt från väljare m.m.) och anlitar datamäklare eller dataanalysföretag i syfte att rikta budskap till väljarna via sociala medier. Plattformar kan också vara en källa till personuppgifter för ovannämnda aktörer. Annan lagstiftning kan också vara tillämplig, t.ex. reglerna om utskick av icke begärd kommunikation och skydd av terminalutrustning i direktivet om integritet och elektronisk kommunikation.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550"/>
    <w:multiLevelType w:val="hybridMultilevel"/>
    <w:tmpl w:val="9BD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8A2E48"/>
    <w:multiLevelType w:val="hybridMultilevel"/>
    <w:tmpl w:val="9758B2F2"/>
    <w:lvl w:ilvl="0" w:tplc="32C41B2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D311D1"/>
    <w:multiLevelType w:val="multilevel"/>
    <w:tmpl w:val="415821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8EF4290"/>
    <w:multiLevelType w:val="hybridMultilevel"/>
    <w:tmpl w:val="AEA4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1D51B7"/>
    <w:multiLevelType w:val="hybridMultilevel"/>
    <w:tmpl w:val="4C0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2C69D5"/>
    <w:multiLevelType w:val="hybridMultilevel"/>
    <w:tmpl w:val="ECD2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57147C"/>
    <w:multiLevelType w:val="hybridMultilevel"/>
    <w:tmpl w:val="241C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F7154C"/>
    <w:multiLevelType w:val="hybridMultilevel"/>
    <w:tmpl w:val="6C42B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1"/>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C7EC0ED-FF92-417B-9A85-784EC55084FB"/>
    <w:docVar w:name="LW_COVERPAGE_TYPE" w:val="1"/>
    <w:docVar w:name="LW_CROSSREFERENCE" w:val="&lt;UNUSED&gt;"/>
    <w:docVar w:name="LW_DocType" w:val="NORMAL"/>
    <w:docVar w:name="LW_EMISSION" w:val="12.9.2018"/>
    <w:docVar w:name="LW_EMISSION_ISODATE" w:val="2018-09-12"/>
    <w:docVar w:name="LW_EMISSION_LOCATION" w:val="BRX"/>
    <w:docVar w:name="LW_EMISSION_PREFIX" w:val="Brussels, "/>
    <w:docVar w:name="LW_EMISSION_SUFFIX" w:val=" "/>
    <w:docVar w:name="LW_ID_DOCTYPE_NONLW" w:val="CP-035"/>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Free and Fair elections"/>
    <w:docVar w:name="LW_TITRE.OBJ.CP" w:val="Commission guidance on the application of Union data protection law in the electoral context_x000d__x000b__x000d__x000b_&lt;FMT:Italic&gt;The European Commission's contribution to the Leaders' meeting in _x000d__x000b_Salzburg, 20 September 2018&lt;/FMT&gt;_x000d__x000d__x000d__x000d__x000b__x000d__x000d__x000d__x000d__x000b__x000d__x000d__x000d__x000d__x000b_"/>
    <w:docVar w:name="LW_TYPE.DOC.CP" w:val="GUIDANCE DOCUMEN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sv-S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sv-SE" w:eastAsia="nl-B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BVI fnr,number,styl"/>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sv-S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sv-S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lang w:val="sv-SE"/>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val="sv-S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sv-S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sv-SE" w:eastAsia="nl-B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BVI fnr,number,styl"/>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sv-S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sv-S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lang w:val="sv-SE"/>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val="sv-S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47627">
      <w:bodyDiv w:val="1"/>
      <w:marLeft w:val="0"/>
      <w:marRight w:val="0"/>
      <w:marTop w:val="0"/>
      <w:marBottom w:val="0"/>
      <w:divBdr>
        <w:top w:val="none" w:sz="0" w:space="0" w:color="auto"/>
        <w:left w:val="none" w:sz="0" w:space="0" w:color="auto"/>
        <w:bottom w:val="none" w:sz="0" w:space="0" w:color="auto"/>
        <w:right w:val="none" w:sz="0" w:space="0" w:color="auto"/>
      </w:divBdr>
    </w:div>
    <w:div w:id="2013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ico.org.uk/media/for-organisations/documents/1589/promotion_of_a_political_party.pdf" TargetMode="External"/><Relationship Id="rId1" Type="http://schemas.openxmlformats.org/officeDocument/2006/relationships/hyperlink" Target="https://www.cnil.fr/fr/communication-politique-quelles-sont-les-regles-pour-lutilisation-des-donnees-issues-des-resea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9FA2-446D-4452-8306-DFF61280B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4F6BB-09FC-44B1-8E7D-5AEDA48FEB44}">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724151e2-140d-4670-8684-77a651b4f52a"/>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2BBE3E9-41C9-4778-90B7-3FBA78A4F897}">
  <ds:schemaRefs>
    <ds:schemaRef ds:uri="http://schemas.microsoft.com/sharepoint/v3/contenttype/forms"/>
  </ds:schemaRefs>
</ds:datastoreItem>
</file>

<file path=customXml/itemProps4.xml><?xml version="1.0" encoding="utf-8"?>
<ds:datastoreItem xmlns:ds="http://schemas.openxmlformats.org/officeDocument/2006/customXml" ds:itemID="{1642F022-A7E6-4987-BA69-41975B0A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3887</Words>
  <Characters>25888</Characters>
  <Application>Microsoft Office Word</Application>
  <DocSecurity>0</DocSecurity>
  <Lines>446</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2018-09-09T15:15:00Z</cp:lastPrinted>
  <dcterms:created xsi:type="dcterms:W3CDTF">2018-09-07T16:20:00Z</dcterms:created>
  <dcterms:modified xsi:type="dcterms:W3CDTF">2018-10-01T09:05:00Z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0x010100258AA79CEB83498886A3A086811232500017A1C524D8DBC041BAC361A7FA0BC3BA</vt:lpwstr>
  </property>
  <property name="OP_sanitized" fmtid="{D5CDD505-2E9C-101B-9397-08002B2CF9AE}" pid="9">
    <vt:lpwstr>True</vt:lpwstr>
  </property>
</Properties>
</file>