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8BFC3E9FA594CB4A5CD69D8EA5AA242" style="width:450.75pt;height:43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
        <w:tblW w:w="5000" w:type="pct"/>
        <w:tblLook w:val="01E0" w:firstRow="1" w:lastRow="1" w:firstColumn="1" w:lastColumn="1" w:noHBand="0" w:noVBand="0"/>
      </w:tblPr>
      <w:tblGrid>
        <w:gridCol w:w="9288"/>
      </w:tblGrid>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rPr>
              <w:lastRenderedPageBreak/>
              <w:t>Sammanfattning</w:t>
            </w:r>
          </w:p>
        </w:tc>
      </w:tr>
      <w:tr>
        <w:tc>
          <w:tcPr>
            <w:tcW w:w="5000" w:type="pct"/>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Konsekvensbedömning av förslaget till Europaparlamentets och rådets förordning om övervakning och rapportering av nya tunga fordons koldioxidutsläpp och bränsleförbrukning</w:t>
            </w: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Behov av åtgärder</w:t>
            </w:r>
          </w:p>
        </w:tc>
      </w:tr>
      <w:tr>
        <w:tc>
          <w:tcPr>
            <w:tcW w:w="5000" w:type="pct"/>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Varför? Vilket problem behöver åtgärdas?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När det gäller nya tunga fordon som släpps ut på marknaden i EU har koldioxidutsläpp och bränsleförbrukning hittills inte övervakats och rapporteras.</w:t>
            </w:r>
            <w:r>
              <w:rPr>
                <w:noProof/>
              </w:rPr>
              <w:t xml:space="preserve"> </w:t>
            </w:r>
            <w:r>
              <w:rPr>
                <w:rFonts w:ascii="Arial" w:hAnsi="Arial"/>
                <w:noProof/>
                <w:sz w:val="20"/>
              </w:rPr>
              <w:t>Sådan information har alltså inte samlats och i samband med detta kan ett antal problem konstateras: 1) Tillfällen att utforma politik för att sänka bränslekostnader för transportföretagen – ofta små och medelstora företag – har inte utnyttjats, 2) fordonstillverkare blir alltmer konkurrensutsatta, och 3) det är svårt för sektorn för tunga fordon att bidra till EU:s mål för växthusgasutsläpp.</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Vad förväntas initiativet leda till?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Genom övervakning och rapportering av tunga fordons specifika bränsleförbrukning och specifika koldioxidutsläpp skulle denna brist på marknaden avhjälpas; transparensen skulle öka och informationen skulle bli fullständig tack vare robusta och jämförbara uppgifter. Det skulle ge underlag till välgrundade köpbeslut, stimulera konkurrenskraften och främja utveckling av faktabaserad politik, vilket leder till ökad användning av bränsleeffektiva fordon.</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Vad är mervärdet med åtgärder på EU-nivå?</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Att ha flera olika övervakningssystem på nationell nivå skulle leda till ofullständig information med dålig jämförbarhet. Marknaden skulle bli fragmenterad och mindre transparent. En gemensam databas skulle däremot ge övervakningsdata som är tillgängliga för köpare och beslutsfattare på EU-nivå och nationell nivå.</w:t>
            </w:r>
          </w:p>
          <w:p>
            <w:pPr>
              <w:jc w:val="both"/>
              <w:rPr>
                <w:rFonts w:ascii="Arial" w:hAnsi="Arial" w:cs="Arial"/>
                <w:noProof/>
                <w:sz w:val="20"/>
                <w:szCs w:val="20"/>
              </w:rPr>
            </w:pP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Lösningar</w:t>
            </w: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Vilka alternativ, både lagstiftning och andra åtgärder, har övervägts? Finns det ett rekommenderat alternativ? Varför?</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I och med ikraftträdandet av certifieringsförordningen kommer koldioxidutsläpp och bränsleförbrukning att behöva beräknas för alla nya tunga fordon, med hjälp av simuleringsverktyget Vecto. Om och hur dessa uppgifter ska rapporteras och övervakas på EU-nivå har övervägts genom olika alternativ. Utgångspunkten är att ingen åtgärd vidtas på EU-nivå. Följande olika lagstiftningsåtgärder har beaktats: 1) Rapportering som görs av de nationella myndigheterna, 2) rapportering som görs av tillverkarna och 3) rapportering som delas mellan de nationella myndigheterna och tillverkarna.</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Alternativ 3 är det rekommenderade alternativet. Det är det mest effektiva alternativet, framförallt eftersom det säkerställer ett digitalt dataflöde och en datatäckning både på nationell nivå och på EU-nivå, och eftersom de administrativa kostnaderna är låga.</w:t>
            </w:r>
          </w:p>
          <w:p>
            <w:pPr>
              <w:jc w:val="both"/>
              <w:rPr>
                <w:rFonts w:ascii="Arial" w:hAnsi="Arial" w:cs="Arial"/>
                <w:noProof/>
                <w:sz w:val="20"/>
                <w:szCs w:val="20"/>
              </w:rPr>
            </w:pPr>
          </w:p>
        </w:tc>
      </w:tr>
      <w:tr>
        <w:tc>
          <w:tcPr>
            <w:tcW w:w="5000" w:type="pct"/>
            <w:shd w:val="clear" w:color="auto" w:fill="CCCCCC"/>
          </w:tcPr>
          <w:p>
            <w:pPr>
              <w:spacing w:before="60"/>
              <w:jc w:val="both"/>
              <w:rPr>
                <w:rFonts w:ascii="Tahoma" w:hAnsi="Tahoma" w:cs="Tahoma"/>
                <w:noProof/>
                <w:sz w:val="20"/>
                <w:szCs w:val="20"/>
              </w:rPr>
            </w:pPr>
            <w:r>
              <w:rPr>
                <w:rFonts w:ascii="Tahoma" w:hAnsi="Tahoma"/>
                <w:b/>
                <w:noProof/>
                <w:sz w:val="20"/>
              </w:rPr>
              <w:t>Vem stöder vilket alternativ?</w:t>
            </w:r>
            <w:r>
              <w:rPr>
                <w:rFonts w:ascii="Tahoma" w:hAnsi="Tahoma"/>
                <w:noProof/>
                <w:sz w:val="20"/>
              </w:rPr>
              <w:t xml:space="preserve"> </w:t>
            </w:r>
          </w:p>
        </w:tc>
      </w:tr>
      <w:tr>
        <w:tc>
          <w:tcPr>
            <w:tcW w:w="5000" w:type="pct"/>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Branschorganisationer, privata företag, civilsamhället och myndigheter ger sitt stöd till antingen alternativ 1 eller 3. Alternativ 3 föredras också av privatpersoner och internationella organisationer, och har stöd från flest berörda parter.</w:t>
            </w:r>
          </w:p>
          <w:p>
            <w:pPr>
              <w:jc w:val="both"/>
              <w:rPr>
                <w:rFonts w:ascii="Arial" w:hAnsi="Arial" w:cs="Arial"/>
                <w:noProof/>
                <w:sz w:val="20"/>
                <w:szCs w:val="20"/>
              </w:rPr>
            </w:pPr>
            <w:r>
              <w:rPr>
                <w:rFonts w:ascii="Arial" w:hAnsi="Arial"/>
                <w:noProof/>
                <w:sz w:val="20"/>
              </w:rPr>
              <w:t>Alternativ 2 stöds främst av vissa branschorganisationer.</w:t>
            </w:r>
          </w:p>
          <w:p>
            <w:pPr>
              <w:jc w:val="both"/>
              <w:rPr>
                <w:rFonts w:ascii="Arial" w:hAnsi="Arial" w:cs="Arial"/>
                <w:noProof/>
                <w:sz w:val="20"/>
                <w:szCs w:val="20"/>
              </w:rPr>
            </w:pP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De rekommenderade alternativens konsekvenser</w:t>
            </w: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Vad är nyttan med det rekommenderade alternativet (om sådant alternativ finns, annars anges för huvudsakliga alternativ)?</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bCs/>
                <w:iCs/>
                <w:noProof/>
                <w:sz w:val="20"/>
                <w:szCs w:val="20"/>
              </w:rPr>
            </w:pPr>
          </w:p>
          <w:p>
            <w:pPr>
              <w:jc w:val="both"/>
              <w:rPr>
                <w:rFonts w:ascii="Arial" w:hAnsi="Arial" w:cs="Arial"/>
                <w:bCs/>
                <w:iCs/>
                <w:noProof/>
                <w:sz w:val="20"/>
                <w:szCs w:val="20"/>
              </w:rPr>
            </w:pPr>
            <w:r>
              <w:rPr>
                <w:rFonts w:ascii="Arial" w:hAnsi="Arial"/>
                <w:noProof/>
                <w:sz w:val="20"/>
              </w:rPr>
              <w:t>Det rekommenderade alternativet förväntas främja konkurrens när det gäller att ta fram mer energieffektiva fordon, och ge incitament för innovation. Effekterna av mer energieffektiva godstransporter förväntas spridas, åtminstone delvis, till de flesta av EU:s ekonomiska sektorer: lägre driftskostnader tack vare bränsleekonomi leder till lägre priser på transport, och därigenom minskar kostnaderna inom andra sektorer och i slutändan gynnas EU:s konsumenter.</w:t>
            </w:r>
          </w:p>
          <w:p>
            <w:pPr>
              <w:jc w:val="both"/>
              <w:rPr>
                <w:rFonts w:ascii="Arial" w:hAnsi="Arial" w:cs="Arial"/>
                <w:noProof/>
                <w:sz w:val="20"/>
                <w:szCs w:val="20"/>
              </w:rPr>
            </w:pPr>
            <w:r>
              <w:rPr>
                <w:rFonts w:ascii="Arial" w:hAnsi="Arial"/>
                <w:noProof/>
                <w:sz w:val="20"/>
              </w:rPr>
              <w:t>Sysselsättningen förväntas gynnas på medellång till lång sikt.</w:t>
            </w:r>
          </w:p>
          <w:p>
            <w:pPr>
              <w:jc w:val="both"/>
              <w:rPr>
                <w:rFonts w:ascii="Arial" w:hAnsi="Arial" w:cs="Arial"/>
                <w:bCs/>
                <w:iCs/>
                <w:noProof/>
                <w:sz w:val="20"/>
                <w:szCs w:val="20"/>
              </w:rPr>
            </w:pPr>
            <w:r>
              <w:rPr>
                <w:rFonts w:ascii="Arial" w:hAnsi="Arial"/>
                <w:noProof/>
                <w:sz w:val="20"/>
              </w:rPr>
              <w:t>Efterhand som nya fordon blir alltmer effektiva bör detta leda till minskade koldioxidutsläpp. Andra utsläpp förväntas också minska, men endast i liten skala.</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Vad är kostnaderna för de rekommenderade alternativen (om sådant alternativ finns, annars anges för huvudsakliga alternativ)?</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 enda ekonomiska kostnaderna utgörs av administrativa kostnader. De förväntas bli försumbara: cirka 1 euro per fordon.</w:t>
            </w:r>
          </w:p>
          <w:p>
            <w:pPr>
              <w:jc w:val="both"/>
              <w:rPr>
                <w:rFonts w:ascii="Arial" w:hAnsi="Arial" w:cs="Arial"/>
                <w:i/>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Hur påverkas företagen, särskilt små och medelstora företag och mikroföretag?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 flesta av EU:s transportföretag är små och medelstora företag med verksamhet som endast omfattar ett fåtal fordon. De förväntas gynnas av den föreslagna övervakningen. Med bättre information om bränsleförbrukning för tunga fordon kan de fatta mer välgrundade köpbeslut och därmed göra bränslebesparingar.</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Påverkas medlemsstaternas budgetar och förvaltningar i betydande grad?</w:t>
            </w:r>
          </w:p>
        </w:tc>
      </w:tr>
      <w:tr>
        <w:tc>
          <w:tcPr>
            <w:tcW w:w="5000" w:type="pct"/>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Utöver de administrativa kostnaderna på cirka 3 500 euro per år förväntas medlemsstaterna kunna dra nytta av att det finns övervakningsdata för tunga fordon när de utformar politik för minskade utsläpp, såsom särskilda skatter eller incitament, till exempel vägavgifter och offentlig upphandling.</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Uppstår andra betydande konsekvenser?</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Konkurrenskraft och internationella effekter förväntas bli positiva på medellång till lång sikt.</w:t>
            </w:r>
          </w:p>
          <w:p>
            <w:pPr>
              <w:jc w:val="both"/>
              <w:rPr>
                <w:rFonts w:ascii="Arial" w:hAnsi="Arial" w:cs="Arial"/>
                <w:noProof/>
                <w:sz w:val="20"/>
                <w:szCs w:val="20"/>
              </w:rPr>
            </w:pPr>
          </w:p>
        </w:tc>
      </w:tr>
      <w:tr>
        <w:tc>
          <w:tcPr>
            <w:tcW w:w="5000" w:type="pct"/>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Uppföljning</w:t>
            </w: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När kommer åtgärderna att ses över? </w:t>
            </w:r>
          </w:p>
        </w:tc>
      </w:tr>
      <w:tr>
        <w:tc>
          <w:tcPr>
            <w:tcW w:w="5000" w:type="pct"/>
            <w:tcBorders>
              <w:bottom w:val="single" w:sz="4" w:space="0" w:color="auto"/>
            </w:tcBorders>
            <w:shd w:val="clear" w:color="auto" w:fill="auto"/>
          </w:tcPr>
          <w:p>
            <w:pPr>
              <w:jc w:val="both"/>
              <w:rPr>
                <w:rFonts w:ascii="Tahoma" w:hAnsi="Tahoma" w:cs="Tahoma"/>
                <w:noProof/>
                <w:sz w:val="20"/>
                <w:szCs w:val="20"/>
              </w:rPr>
            </w:pPr>
          </w:p>
          <w:p>
            <w:pPr>
              <w:jc w:val="both"/>
              <w:rPr>
                <w:rFonts w:ascii="Tahoma" w:hAnsi="Tahoma" w:cs="Tahoma"/>
                <w:noProof/>
                <w:sz w:val="20"/>
                <w:szCs w:val="20"/>
              </w:rPr>
            </w:pPr>
            <w:r>
              <w:rPr>
                <w:rFonts w:ascii="Tahoma" w:hAnsi="Tahoma"/>
                <w:noProof/>
                <w:sz w:val="20"/>
              </w:rPr>
              <w:t>Efter fem års tillämpning.</w:t>
            </w:r>
          </w:p>
          <w:p>
            <w:pPr>
              <w:jc w:val="both"/>
              <w:rPr>
                <w:rFonts w:ascii="Tahoma" w:hAnsi="Tahoma" w:cs="Tahoma"/>
                <w:noProof/>
                <w:sz w:val="20"/>
                <w:szCs w:val="20"/>
              </w:rPr>
            </w:pP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F451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D46499"/>
    <w:multiLevelType w:val="hybridMultilevel"/>
    <w:tmpl w:val="18E0989C"/>
    <w:lvl w:ilvl="0" w:tplc="962C9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3C1A4F"/>
    <w:multiLevelType w:val="hybridMultilevel"/>
    <w:tmpl w:val="5546D01C"/>
    <w:lvl w:ilvl="0" w:tplc="27EE2040">
      <w:start w:val="1"/>
      <w:numFmt w:val="decimal"/>
      <w:lvlText w:val="%1)"/>
      <w:lvlJc w:val="left"/>
      <w:pPr>
        <w:ind w:left="720" w:hanging="360"/>
      </w:pPr>
      <w:rPr>
        <w:rFonts w:ascii="Times New Roman" w:hAnsi="Times New Roman" w:hint="default"/>
        <w:sz w:val="24"/>
      </w:rPr>
    </w:lvl>
    <w:lvl w:ilvl="1" w:tplc="27EE2040">
      <w:start w:val="1"/>
      <w:numFmt w:val="decimal"/>
      <w:lvlText w:val="%2)"/>
      <w:lvlJc w:val="left"/>
      <w:pPr>
        <w:ind w:left="1800" w:hanging="720"/>
      </w:pPr>
      <w:rPr>
        <w:rFonts w:ascii="Times New Roman" w:hAnsi="Times New Roman" w:hint="default"/>
        <w:sz w:val="24"/>
        <w:u w:val="singl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7F4260"/>
    <w:multiLevelType w:val="hybridMultilevel"/>
    <w:tmpl w:val="2B2A5558"/>
    <w:lvl w:ilvl="0" w:tplc="27EE204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1D73EF"/>
    <w:multiLevelType w:val="hybridMultilevel"/>
    <w:tmpl w:val="D4EAD2B4"/>
    <w:lvl w:ilvl="0" w:tplc="D6201F3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Följedokument till"/>
    <w:docVar w:name="LW_CONFIDENCE" w:val=" "/>
    <w:docVar w:name="LW_CONST_RESTREINT_UE" w:val="RESTREINT UE"/>
    <w:docVar w:name="LW_CORRIGENDUM" w:val="&lt;UNUSED&gt;"/>
    <w:docVar w:name="LW_COVERPAGE_GUID" w:val="48BFC3E9FA594CB4A5CD69D8EA5AA242"/>
    <w:docVar w:name="LW_CROSSREFERENCE" w:val="{COM(2017) 279 final}_x000b_{SWD(2017) 188 final}"/>
    <w:docVar w:name="LW_DocType" w:val="NORMAL"/>
    <w:docVar w:name="LW_EMISSION" w:val="31.5.2017"/>
    <w:docVar w:name="LW_EMISSION_ISODATE" w:val="2017-05-31"/>
    <w:docVar w:name="LW_EMISSION_LOCATION" w:val="BRX"/>
    <w:docVar w:name="LW_EMISSION_PREFIX" w:val="Bryssel den "/>
    <w:docVar w:name="LW_EMISSION_SUFFIX" w:val=" "/>
    <w:docVar w:name="LW_ID_DOCTYPE_NONLW" w:val="CP-027"/>
    <w:docVar w:name="LW_LANGUE" w:val="SV"/>
    <w:docVar w:name="LW_MARKING" w:val="&lt;UNUSED&gt;"/>
    <w:docVar w:name="LW_NOM.INST" w:val="EUROPEISKA KOMMISSIONEN"/>
    <w:docVar w:name="LW_NOM.INST_JOINTDOC" w:val="&lt;EMPTY&gt;"/>
    <w:docVar w:name="LW_OBJETACTEPRINCIPAL.CP" w:val="om övervakning och rapportering av nya tunga fordons koldioxidutsläpp och bränsleförbrukning_x000b_"/>
    <w:docVar w:name="LW_PART_NBR" w:val="1"/>
    <w:docVar w:name="LW_PART_NBR_TOTAL" w:val="1"/>
    <w:docVar w:name="LW_REF.INST.NEW" w:val="SWD"/>
    <w:docVar w:name="LW_REF.INST.NEW_ADOPTED" w:val="final"/>
    <w:docVar w:name="LW_REF.INST.NEW_TEXT" w:val="(2017) 189"/>
    <w:docVar w:name="LW_REF.INTERNE" w:val="&lt;UNUSED&gt;"/>
    <w:docVar w:name="LW_SUPERTITRE" w:val="&lt;UNUSED&gt;"/>
    <w:docVar w:name="LW_TITRE.OBJ.CP" w:val="&lt;UNUSED&gt;"/>
    <w:docVar w:name="LW_TYPE.DOC.CP" w:val="ARBETSDOKUMENT FRÅN KOMMISSIONENS AVDELNINGAR_x000b__x000b_SAMMANFATTNING AV KONSEKVENSBEDÖMNINGEN_x000b_"/>
    <w:docVar w:name="LW_TYPEACTEPRINCIPAL.CP" w:val="Förslag till Europaparlamentets och rådets förordning_x000b_"/>
    <w:docVar w:name="Stamp" w:val="\\dossiers.dgt.cec.eu.int\dossiers\CLIMA\CLIMA-2017-00049\CLIMA-2017-00049-00-01-EN-REV-00.201704191349017931876.DOCX"/>
  </w:docVar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Bullet">
    <w:name w:val="List Bullet"/>
    <w:basedOn w:val="Normal"/>
    <w:uiPriority w:val="99"/>
    <w:semiHidden/>
    <w:unhideWhenUsed/>
    <w:pPr>
      <w:numPr>
        <w:numId w:val="1"/>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sv-S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Typedudocument">
    <w:name w:val="Type du document"/>
    <w:basedOn w:val="Normal"/>
    <w:next w:val="Normal"/>
    <w:pPr>
      <w:spacing w:before="360"/>
      <w:jc w:val="center"/>
    </w:pPr>
    <w:rPr>
      <w:rFonts w:eastAsiaTheme="minorHAnsi"/>
      <w:b/>
      <w:szCs w:val="22"/>
    </w:rPr>
  </w:style>
  <w:style w:type="paragraph" w:customStyle="1" w:styleId="Accompagnant">
    <w:name w:val="Accompagnant"/>
    <w:basedOn w:val="Normal"/>
    <w:next w:val="Normal"/>
    <w:pPr>
      <w:spacing w:after="240"/>
      <w:jc w:val="center"/>
    </w:pPr>
    <w:rPr>
      <w:rFonts w:eastAsiaTheme="minorHAnsi"/>
      <w:b/>
      <w:i/>
      <w:szCs w:val="22"/>
    </w:rPr>
  </w:style>
  <w:style w:type="paragraph" w:customStyle="1" w:styleId="Typeacteprincipal">
    <w:name w:val="Type acte principal"/>
    <w:basedOn w:val="Normal"/>
    <w:next w:val="Normal"/>
    <w:pPr>
      <w:spacing w:after="240"/>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Bullet">
    <w:name w:val="List Bullet"/>
    <w:basedOn w:val="Normal"/>
    <w:uiPriority w:val="99"/>
    <w:semiHidden/>
    <w:unhideWhenUsed/>
    <w:pPr>
      <w:numPr>
        <w:numId w:val="1"/>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sv-S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Typedudocument">
    <w:name w:val="Type du document"/>
    <w:basedOn w:val="Normal"/>
    <w:next w:val="Normal"/>
    <w:pPr>
      <w:spacing w:before="360"/>
      <w:jc w:val="center"/>
    </w:pPr>
    <w:rPr>
      <w:rFonts w:eastAsiaTheme="minorHAnsi"/>
      <w:b/>
      <w:szCs w:val="22"/>
    </w:rPr>
  </w:style>
  <w:style w:type="paragraph" w:customStyle="1" w:styleId="Accompagnant">
    <w:name w:val="Accompagnant"/>
    <w:basedOn w:val="Normal"/>
    <w:next w:val="Normal"/>
    <w:pPr>
      <w:spacing w:after="240"/>
      <w:jc w:val="center"/>
    </w:pPr>
    <w:rPr>
      <w:rFonts w:eastAsiaTheme="minorHAnsi"/>
      <w:b/>
      <w:i/>
      <w:szCs w:val="22"/>
    </w:rPr>
  </w:style>
  <w:style w:type="paragraph" w:customStyle="1" w:styleId="Typeacteprincipal">
    <w:name w:val="Type acte principal"/>
    <w:basedOn w:val="Normal"/>
    <w:next w:val="Normal"/>
    <w:pPr>
      <w:spacing w:after="240"/>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999FC-8DD0-4370-837C-372894C0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4407</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2017-04-21T13:14:00Z</cp:lastPrinted>
  <dcterms:created xsi:type="dcterms:W3CDTF">2017-05-03T10:17:00Z</dcterms:created>
  <dcterms:modified xsi:type="dcterms:W3CDTF">2017-06-07T11:14:00Z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