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F4693DB24325444B87F1D4F5757B4415" style="width:450.75pt;height:402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Rfrenceinterinstitutionnelle"/>
        <w:rPr>
          <w:noProof/>
        </w:rPr>
      </w:pPr>
      <w:bookmarkStart w:id="0" w:name="_GoBack"/>
      <w:bookmarkEnd w:id="0"/>
      <w:r>
        <w:rPr>
          <w:noProof/>
        </w:rPr>
        <w:lastRenderedPageBreak/>
        <w:t>2013/0304 (COD)</w:t>
      </w:r>
    </w:p>
    <w:p>
      <w:pPr>
        <w:pStyle w:val="Typedudocument"/>
        <w:rPr>
          <w:noProof/>
        </w:rPr>
      </w:pPr>
      <w:r>
        <w:rPr>
          <w:noProof/>
        </w:rPr>
        <w:t>MEDDELANDE FRÅN KOMMISSIONEN TILL EUROPAPARLAMENTET</w:t>
      </w:r>
      <w:r>
        <w:rPr>
          <w:noProof/>
        </w:rPr>
        <w:br/>
      </w:r>
      <w:r>
        <w:rPr>
          <w:noProof/>
        </w:rPr>
        <w:br/>
        <w:t>enligt artikel 294.6 i fördraget om Europeiska unionens funktionssätt</w:t>
      </w:r>
      <w:r>
        <w:rPr>
          <w:noProof/>
        </w:rPr>
        <w:br/>
      </w:r>
      <w:r>
        <w:rPr>
          <w:noProof/>
        </w:rPr>
        <w:br/>
        <w:t>om</w:t>
      </w:r>
    </w:p>
    <w:p>
      <w:pPr>
        <w:pStyle w:val="Titreobjet"/>
        <w:rPr>
          <w:noProof/>
        </w:rPr>
      </w:pPr>
      <w:r>
        <w:rPr>
          <w:noProof/>
        </w:rPr>
        <w:t>rådets ståndpunkt om antagandet av Europaparlamentets och rådets direktiv om ändring av rådets rambeslut 2004/757/JHA i syfte att inkludera nya psykoaktiva ämnen i definitionen av begreppet ”narkotika” och om upphävande av rådets beslut 2005/387/JHA</w:t>
      </w:r>
    </w:p>
    <w:p>
      <w:pPr>
        <w:pStyle w:val="ManualHeading1"/>
        <w:rPr>
          <w:noProof/>
          <w:sz w:val="22"/>
        </w:rPr>
      </w:pPr>
      <w:r>
        <w:rPr>
          <w:noProof/>
        </w:rPr>
        <w:t>1.</w:t>
      </w:r>
      <w:r>
        <w:rPr>
          <w:noProof/>
        </w:rPr>
        <w:tab/>
        <w:t>Bakgrund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04"/>
        <w:gridCol w:w="2483"/>
      </w:tblGrid>
      <w:tr>
        <w:tc>
          <w:tcPr>
            <w:tcW w:w="6804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Datum för överlämnande av förslaget till Europaparlamentet och rådet (dokument COM(2013) 618 final - 2013/0304 (COD):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17.9.2013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Datum för Europeiska ekonomiska och sociala kommitténs yttrande (EUT C 177, 11.6.2014, s. 52):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21.1.2014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Datum för Europaparlamentets ståndpunkt vid första behandlingen: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17.4.2014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Datum för överlämnande av det ändrade förslaget: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Ej tillämpligt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Datum för antagande av rådets ståndpunkt: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25.9.2017</w:t>
            </w:r>
          </w:p>
        </w:tc>
      </w:tr>
    </w:tbl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Syftet med kommissionens förslag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Direktivet är en del av ett paket med två lagstiftningsförslag om nya psykoaktiva ämnen som lades fram av kommissionen den 17 september 2013: ett förslag till en förordning om nya psykoaktiva ämnen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och ett direktiv om ändring av rådets rambeslut 2004/757/RIF av den 25 oktober 2004 om minimibestämmelser för brottsrekvisit och påföljder för olaglig narkotikahandel vad gäller definitionen av narkotika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Syftet med paketet var att minska tillgången till nya psykoaktiva ämnen som medför risker genom snabbare och effektivare åtgärder på unionsnivå i jämförelse med det nu gällande systemet som grundas på rådets beslut 2005/387/RIF av den 10 maj 2005 om informationsutbyte, riskbedömning och kontroll avseende nya psykoaktiva ämnen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Kommentarer till rådets ståndpunkt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Förhandlingar om detta lagstiftningspaket har pågått i över fyra år. Vid granskningen av förslagen i rådet uttryckte medlemsstaterna tvivel beträffande valet av artikel 114 i fördraget </w:t>
      </w:r>
      <w:r>
        <w:rPr>
          <w:noProof/>
        </w:rPr>
        <w:lastRenderedPageBreak/>
        <w:t>om Europeiska unionens funktionssätt (EUF-fördraget) som rättslig grund för den föreslagna förordningen. För att uppnå samma mål om snabbare och effektivare EU-åtgärder mot nya psykoaktiva ämnen enades därför Ständiga representanternas kommitté (Coreper) den 6 april 2016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om en ny strategi som föreslagits av ordförandeskapet.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Inom ramen för den nya strategin övergavs konceptet i kommissionens förslag från 2013 om en förordning om nya psykoaktiva ämnen som grundar sig på artikel 114 i EUF-fördraget. Bestämmelserna i kommissionens förslag från 2013 om en förordning om nya psykoaktiva ämnen inkluderades å ena sidan i texten till direktivet om ändring av rådets rambeslut 2004/757/JHA, och å andra sidan i texten till ett nytt förslag till ändring av förordningen om inrättandet av Europeiska centrumet för kontroll av narkotika och narkotikamissbruk (ECNN), förordning nr 1920/2006, som kommissionen uppmanades att lägga fram. Kommissionen antog den 29 augusti 2016 förslaget om ändring av förordning (EG) nr 1920/2006 vad gäller informationsutbyte, system för tidig varning och riskbedömningsförfarande avseende nya psykoaktiva ämnen</w:t>
      </w:r>
      <w:r>
        <w:rPr>
          <w:rStyle w:val="FootnoteReference"/>
          <w:noProof/>
        </w:rPr>
        <w:footnoteReference w:id="5"/>
      </w:r>
      <w:r>
        <w:rPr>
          <w:noProof/>
        </w:rPr>
        <w:t>. Förslaget från 2013 om en förordning om nya psykoaktiva ämnen drogs tillbaka inom ramen för kommissionens arbetsprogram för 2017.</w:t>
      </w:r>
    </w:p>
    <w:p>
      <w:pPr>
        <w:widowControl w:val="0"/>
        <w:rPr>
          <w:noProof/>
        </w:rPr>
      </w:pPr>
      <w:r>
        <w:rPr>
          <w:noProof/>
        </w:rPr>
        <w:t>Politisk överenskommelse om paketet nåddes vid trepartsmötet mellan lagstiftarna den 29 maj 2017 och det godkändes av Coreper den 31 maj 2017 och av utskottet för medborgerliga fri- och rättigheter samt rättsliga och inrikes frågor den 8 juni 2017.</w:t>
      </w:r>
    </w:p>
    <w:p>
      <w:pPr>
        <w:widowControl w:val="0"/>
        <w:rPr>
          <w:noProof/>
        </w:rPr>
      </w:pPr>
      <w:r>
        <w:rPr>
          <w:noProof/>
        </w:rPr>
        <w:t>I linje med den nya strategi som beskrivs ovan inkluderas i texten till direktivet väsentliga ändringar av kommissionens förslag från 2013 till ett direktiv om ändring av rådets rambeslut 2004/757/JHA av den 25 oktober 2004. Framförallt innehåller direktivet nu också bestämmelser om definitionen av nya psykoaktiva ämnen och om snabbt beslutsfattande på EU-nivå avseende nya psykoaktiva ämnen. Ämnen som kan klassas som nya psykoaktiva ämnen förtecknas i en ny bilaga till rambeslut 2004/757/JHA som kommissionen har befogenhet att ändra genom delegerade akter för att inkludera nya psykoaktiva ämnen i definitionen av begreppet ”narkotika”. Alla ämnen som anges i bilagan omfattas av de straffrättsliga bestämmelserna i rambeslutet i enlighet med dess rättsliga grund, artikel 83.1 i EUF-fördraget. Paketet uppfyller dock fortfarande kommissionens ursprungliga syfte att minska tillgången till nya psykoaktiva ämnen som medför risker genom snabbare och effektivare åtgärder på unionsnivå i jämförelse med det nu gällande systemet.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Slutsats</w:t>
      </w:r>
    </w:p>
    <w:p>
      <w:pPr>
        <w:rPr>
          <w:noProof/>
        </w:rPr>
      </w:pPr>
      <w:r>
        <w:rPr>
          <w:noProof/>
        </w:rPr>
        <w:t>Kommissionen stöder fullt ut rådets ståndpunkt, eftersom den fortfarande uppfyller kommissionens ursprungliga mål.</w:t>
      </w: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SV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SV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SV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SV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COM(2013) 619 final.</w:t>
      </w:r>
    </w:p>
  </w:footnote>
  <w:footnote w:id="2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COM(2013) 618 final.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 xml:space="preserve">EUT L 127, 10.5.2005, s. 32. </w:t>
      </w:r>
      <w:r>
        <w:t>De olika politiska alternativen har analyserats i den konsekvensbedömning som åtföljer förslagen, SWD (2013) 319 final.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Kortfattat referat, rådets dokument 7908/1/16 REV 1 av den 27 maj 2016.</w:t>
      </w:r>
    </w:p>
  </w:footnote>
  <w:footnote w:id="5">
    <w:p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ab/>
        <w:t>COM(2016) 547 final.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95AAD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F72CD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830AB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EBC3D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CBC15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1D0A3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DB6E1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72879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9-25 14:02:52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NFIDENCE" w:val=" "/>
    <w:docVar w:name="LW_CONST_RESTREINT_UE" w:val="RESTREINT UE"/>
    <w:docVar w:name="LW_CORRIGENDUM" w:val="&lt;UNUSED&gt;"/>
    <w:docVar w:name="LW_COVERPAGE_GUID" w:val="F4693DB24325444B87F1D4F5757B4415"/>
    <w:docVar w:name="LW_CROSSREFERENCE" w:val="&lt;UNUSED&gt;"/>
    <w:docVar w:name="LW_DocType" w:val="COM"/>
    <w:docVar w:name="LW_EMISSION" w:val="27.9.2017"/>
    <w:docVar w:name="LW_EMISSION_ISODATE" w:val="2017-09-27"/>
    <w:docVar w:name="LW_EMISSION_LOCATION" w:val="BRX"/>
    <w:docVar w:name="LW_EMISSION_PREFIX" w:val="Bryssel den "/>
    <w:docVar w:name="LW_EMISSION_SUFFIX" w:val=" "/>
    <w:docVar w:name="LW_ID_DOCMODEL" w:val="SJ-028"/>
    <w:docVar w:name="LW_ID_DOCSTRUCTURE" w:val="COM/PL/CODEC"/>
    <w:docVar w:name="LW_ID_DOCTYPE" w:val="SJ-028"/>
    <w:docVar w:name="LW_INTERETEEE.CP" w:val="&lt;UNUSED&gt;"/>
    <w:docVar w:name="LW_LANGUE" w:val="SV"/>
    <w:docVar w:name="LW_MARKING" w:val="&lt;UNUSED&gt;"/>
    <w:docVar w:name="LW_NOM.INST" w:val="EUROPEISKA KOMMISSIONEN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304"/>
    <w:docVar w:name="LW_REF.II.NEW.CP_YEAR" w:val="2013"/>
    <w:docVar w:name="LW_REF.INST.NEW" w:val="COM"/>
    <w:docVar w:name="LW_REF.INST.NEW_ADOPTED" w:val="final"/>
    <w:docVar w:name="LW_REF.INST.NEW_TEXT" w:val="(2017) 560"/>
    <w:docVar w:name="LW_REF.INTERNE" w:val="&lt;UNUSED&gt;"/>
    <w:docVar w:name="LW_SOUS.TITRE.OBJ.CP" w:val="&lt;UNUSED&gt;"/>
    <w:docVar w:name="LW_SUPERTITRE" w:val="&lt;UNUSED&gt;"/>
    <w:docVar w:name="LW_TITRE.OBJ.CP" w:val="rådets ståndpunkt om antagandet av Europaparlamentets och rådets direktiv om ändring av rådets rambeslut 2004/757/JHA i syfte att inkludera nya psykoaktiva ämnen i definitionen av begreppet \u8221?narkotika\u8221? och om upphävande av rådets beslut 2005/387/JHA"/>
    <w:docVar w:name="LW_TYPE.DOC.CP" w:val="MEDDELANDE FRÅN KOMMISSIONEN TILL EUROPAPARLAMENTET_x000b__x000b_enligt artikel 294.6 i fördraget om Europeiska unionens funktionssätt_x000b__x000b_om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sv-S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v-S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v-S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sv-S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v-S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v-S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5576-4564-4079-AC93-695C51AF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3</Pages>
  <Words>638</Words>
  <Characters>3876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16</cp:revision>
  <cp:lastPrinted>2017-09-11T09:24:00Z</cp:lastPrinted>
  <dcterms:created xsi:type="dcterms:W3CDTF">2017-09-20T13:56:00Z</dcterms:created>
  <dcterms:modified xsi:type="dcterms:W3CDTF">2017-09-25T12:02:00Z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COM/PL/CODEC</vt:lpwstr>
  </property>
  <property fmtid="{D5CDD505-2E9C-101B-9397-08002B2CF9AE}" pid="3" name="Classification">
    <vt:lpwstr> </vt:lpwstr>
  </property>
  <property fmtid="{D5CDD505-2E9C-101B-9397-08002B2CF9AE}" pid="4" name="Version">
    <vt:lpwstr>5.8.86.0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SJ-028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