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08CF6385B102411A86829EE8B5F8D2BF" style="width:450.75pt;height:408.75pt">
            <v:imagedata r:id="rId12" o:title=""/>
          </v:shape>
        </w:pict>
      </w:r>
    </w:p>
    <w:p>
      <w:pPr>
        <w:rPr>
          <w:noProof/>
        </w:rPr>
        <w:sectPr>
          <w:footerReference w:type="default" r:id="rId13"/>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lastRenderedPageBreak/>
        <w:t>MOTIVERING</w:t>
      </w:r>
    </w:p>
    <w:p>
      <w:pPr>
        <w:pStyle w:val="ManualHeading1"/>
        <w:rPr>
          <w:noProof/>
        </w:rPr>
      </w:pPr>
      <w:r>
        <w:rPr>
          <w:noProof/>
        </w:rPr>
        <w:t>1.</w:t>
      </w:r>
      <w:r>
        <w:rPr>
          <w:noProof/>
        </w:rPr>
        <w:tab/>
        <w:t>BAKGRUND TILL FÖRSLAGET</w:t>
      </w:r>
    </w:p>
    <w:p>
      <w:pPr>
        <w:pStyle w:val="ManualHeading2"/>
        <w:rPr>
          <w:rFonts w:eastAsia="Arial Unicode MS"/>
          <w:noProof/>
        </w:rPr>
      </w:pPr>
      <w:r>
        <w:rPr>
          <w:noProof/>
        </w:rPr>
        <w:t>•</w:t>
      </w:r>
      <w:r>
        <w:rPr>
          <w:noProof/>
        </w:rPr>
        <w:tab/>
        <w:t>Motiv och syfte med förslaget</w:t>
      </w:r>
    </w:p>
    <w:p>
      <w:pPr>
        <w:pBdr>
          <w:top w:val="nil"/>
          <w:left w:val="nil"/>
          <w:bottom w:val="nil"/>
          <w:right w:val="nil"/>
          <w:between w:val="nil"/>
          <w:bar w:val="nil"/>
        </w:pBdr>
        <w:spacing w:before="0" w:after="240"/>
        <w:rPr>
          <w:noProof/>
        </w:rPr>
      </w:pPr>
      <w:r>
        <w:rPr>
          <w:noProof/>
        </w:rPr>
        <w:t>Efter finanskrisen</w:t>
      </w:r>
      <w:r>
        <w:rPr>
          <w:rStyle w:val="FootnoteReference"/>
          <w:noProof/>
        </w:rPr>
        <w:footnoteReference w:id="2"/>
      </w:r>
      <w:r>
        <w:rPr>
          <w:noProof/>
        </w:rPr>
        <w:t xml:space="preserve"> inrättade EU det europeiska systemet för finansiell tillsyn (ESFS) med två pelare för makro- respektive mikrotillsyn. </w:t>
      </w:r>
    </w:p>
    <w:p>
      <w:pPr>
        <w:rPr>
          <w:noProof/>
        </w:rPr>
      </w:pPr>
      <w:r>
        <w:rPr>
          <w:noProof/>
        </w:rPr>
        <w:t>Europeiska systemrisknämnden (ESRB), som inrättades i december 2010, utgör ESFS:s makrotillsynspelare. ESRB ansvarar för makrotillsynen av det finansiella systemet i EU</w:t>
      </w:r>
      <w:r>
        <w:rPr>
          <w:b/>
          <w:noProof/>
        </w:rPr>
        <w:t xml:space="preserve"> </w:t>
      </w:r>
      <w:r>
        <w:rPr>
          <w:noProof/>
        </w:rPr>
        <w:t xml:space="preserve">och ska bland annat: i) med beaktande av den makroekonomiska utvecklingen bidra till att förhindra eller minska sådana systemrisker för den finansiella stabiliteten i unionen som kan uppstå inom det finansiella systemet, så att omfattande finansiella krissituationer kan undvikas, och ii) bidra till att den inre marknaden fungerar smidigt och därigenom säkerställa att finanssektorn på ett uthålligt sätt bidrar till den ekonomiska tillväxten. </w:t>
      </w:r>
    </w:p>
    <w:p>
      <w:pPr>
        <w:rPr>
          <w:noProof/>
        </w:rPr>
      </w:pPr>
      <w:r>
        <w:rPr>
          <w:noProof/>
        </w:rPr>
        <w:t>ESRB har en bred sammansättning och medlemmarna är nationella centralbanker, tillsynsmyndigheter och EU-institutioner. Nämnden har särskilda verktyg till sitt förfogande för att påverka makrotillsynspolitiken i EU, såsom rekommendationer och varningar. ESRB:s systemövergripande mandat är särskilt relevant när det gäller att övervaka och bedöma tvärsektoriella och gränsöverskridande risker och spridningseffekter, och dess samordnande funktion gör att spridningsrisker kan begränsas. Genom att underlätta erkännandet av nationella makrotillsynsåtgärder ser ESRB dessutom till att gränsöverskridande spridning och regelarbitrage minimeras. ESRB:s arbete har därmed en direkt inverkan på hur effektiva medlemsstaternas makrotillsynsgärder blir och därmed på den finansiella stabiliteten i EU. Mot bakgrund av detta väntas en förbättring av ESRB:s funktion göra makrotillsynspolitiken mer effektiv.</w:t>
      </w:r>
    </w:p>
    <w:p>
      <w:pPr>
        <w:pBdr>
          <w:top w:val="nil"/>
          <w:left w:val="nil"/>
          <w:bottom w:val="nil"/>
          <w:right w:val="nil"/>
          <w:between w:val="nil"/>
          <w:bar w:val="nil"/>
        </w:pBdr>
        <w:spacing w:before="0" w:after="240"/>
        <w:rPr>
          <w:noProof/>
        </w:rPr>
      </w:pPr>
      <w:r>
        <w:rPr>
          <w:noProof/>
        </w:rPr>
        <w:t xml:space="preserve">ESRB har sedan sitt inrättande </w:t>
      </w:r>
    </w:p>
    <w:p>
      <w:pPr>
        <w:pStyle w:val="Bullet1"/>
        <w:numPr>
          <w:ilvl w:val="0"/>
          <w:numId w:val="24"/>
        </w:numPr>
        <w:rPr>
          <w:noProof/>
        </w:rPr>
      </w:pPr>
      <w:r>
        <w:rPr>
          <w:noProof/>
        </w:rPr>
        <w:t xml:space="preserve">utfärdat rekommendationer och varningar till flera olika mottagare, </w:t>
      </w:r>
    </w:p>
    <w:p>
      <w:pPr>
        <w:pStyle w:val="Bullet1"/>
        <w:rPr>
          <w:noProof/>
        </w:rPr>
      </w:pPr>
      <w:r>
        <w:rPr>
          <w:noProof/>
        </w:rPr>
        <w:t xml:space="preserve">bidragit till det pågående arbetet med att ta fram en makrotillsynsram i EU, </w:t>
      </w:r>
    </w:p>
    <w:p>
      <w:pPr>
        <w:pStyle w:val="Bullet1"/>
        <w:rPr>
          <w:noProof/>
        </w:rPr>
      </w:pPr>
      <w:r>
        <w:rPr>
          <w:noProof/>
        </w:rPr>
        <w:t xml:space="preserve">på ett effektivt sätt använt sina resurser och expertisen hos de olika institutioner som är bland dess medlemmar, samt den oberoende akademiska rådgivningen från den vetenskapliga rådgivande kommittén, och </w:t>
      </w:r>
    </w:p>
    <w:p>
      <w:pPr>
        <w:pStyle w:val="Bullet1"/>
        <w:rPr>
          <w:noProof/>
        </w:rPr>
      </w:pPr>
      <w:r>
        <w:rPr>
          <w:noProof/>
        </w:rPr>
        <w:t xml:space="preserve">spelat en viktig roll i samordningen och bedömningen av anmälningar av makrotillsynsåtgärder i EU. </w:t>
      </w:r>
    </w:p>
    <w:p>
      <w:pPr>
        <w:pBdr>
          <w:top w:val="nil"/>
          <w:left w:val="nil"/>
          <w:bottom w:val="nil"/>
          <w:right w:val="nil"/>
          <w:between w:val="nil"/>
          <w:bar w:val="nil"/>
        </w:pBdr>
        <w:spacing w:before="0" w:after="240"/>
        <w:rPr>
          <w:noProof/>
        </w:rPr>
      </w:pPr>
      <w:r>
        <w:rPr>
          <w:noProof/>
        </w:rPr>
        <w:t xml:space="preserve">ESRB:s betydelse framgår av dess funktion som samordningsplattform och informationsnav i övervakningen av risker ur ett EU-perspektiv och i fastställandet av riktlinjer för användningen av makrotillsynsinstrument. </w:t>
      </w:r>
    </w:p>
    <w:p>
      <w:pPr>
        <w:pBdr>
          <w:top w:val="nil"/>
          <w:left w:val="nil"/>
          <w:bottom w:val="nil"/>
          <w:right w:val="nil"/>
          <w:between w:val="nil"/>
          <w:bar w:val="nil"/>
        </w:pBdr>
        <w:spacing w:before="0" w:after="240"/>
        <w:rPr>
          <w:noProof/>
        </w:rPr>
      </w:pPr>
      <w:r>
        <w:rPr>
          <w:noProof/>
        </w:rPr>
        <w:t xml:space="preserve">På senare tid har dock institutionella förändringar som har att göra med bankunionen och arbetet med att upprätta en kapitalmarknadsunion gjort att förutsättningarna är helt andra än när ESRB inrättades. Detta får följder främst när det gäller ESRB:s sammansättning men också för dess organisation. För att beakta de förändringar av makrotillsynsramen och den rättsliga utveckling som efterhand ägt rum behövs förbättringar av ESRB:s sammansättning och sättet på vilket nämnden samverkar med EU-institutionerna. </w:t>
      </w:r>
    </w:p>
    <w:p>
      <w:pPr>
        <w:pBdr>
          <w:top w:val="nil"/>
          <w:left w:val="nil"/>
          <w:bottom w:val="nil"/>
          <w:right w:val="nil"/>
          <w:between w:val="nil"/>
          <w:bar w:val="nil"/>
        </w:pBdr>
        <w:spacing w:before="0" w:after="240"/>
        <w:rPr>
          <w:noProof/>
        </w:rPr>
      </w:pPr>
      <w:r>
        <w:rPr>
          <w:noProof/>
        </w:rPr>
        <w:t xml:space="preserve">I takt med att marknadsbaserad finansiering blir allt viktigare, i synnerhet i och med upprättandet av kapitalmarknadsunionen, behövs dessutom förändringar för att säkerställa att ESRB har möjlighet att utöva makrotillsyn av hela det finansiella systemet. </w:t>
      </w:r>
    </w:p>
    <w:p>
      <w:pPr>
        <w:pBdr>
          <w:top w:val="nil"/>
          <w:left w:val="nil"/>
          <w:bottom w:val="nil"/>
          <w:right w:val="nil"/>
          <w:between w:val="nil"/>
          <w:bar w:val="nil"/>
        </w:pBdr>
        <w:spacing w:before="0" w:after="240"/>
        <w:rPr>
          <w:noProof/>
        </w:rPr>
      </w:pPr>
      <w:r>
        <w:rPr>
          <w:noProof/>
        </w:rPr>
        <w:t>Ett effektivare ESRB kommer att stärka samordningen av makrotillsynsopolitiken inom EU och göra det lättare för nämnden att fullgöra sitt uppdrag. En närmare beskrivning av förslaget finns i effektanalysen.</w:t>
      </w:r>
    </w:p>
    <w:p>
      <w:pPr>
        <w:pStyle w:val="ManualHeading2"/>
        <w:rPr>
          <w:rFonts w:eastAsia="Arial Unicode MS"/>
          <w:noProof/>
          <w:u w:color="000000"/>
          <w:bdr w:val="nil"/>
        </w:rPr>
      </w:pPr>
      <w:r>
        <w:rPr>
          <w:noProof/>
        </w:rPr>
        <w:t>•</w:t>
      </w:r>
      <w:r>
        <w:rPr>
          <w:noProof/>
        </w:rPr>
        <w:tab/>
        <w:t>Förenlighet med befintliga bestämmelser inom området</w:t>
      </w:r>
    </w:p>
    <w:p>
      <w:pPr>
        <w:pBdr>
          <w:top w:val="nil"/>
          <w:left w:val="nil"/>
          <w:bottom w:val="nil"/>
          <w:right w:val="nil"/>
          <w:between w:val="nil"/>
          <w:bar w:val="nil"/>
        </w:pBdr>
        <w:spacing w:before="0" w:after="240"/>
        <w:rPr>
          <w:noProof/>
        </w:rPr>
      </w:pPr>
      <w:r>
        <w:rPr>
          <w:noProof/>
        </w:rPr>
        <w:t xml:space="preserve">Förslaget bör ses inom ramen för den pågående översynen av de europeiska tillsynsmyndigheterna. ESRB och de europeiska tillsynsmyndigheterna utgör ESFS:s makro- respektive mikrotillsynspelare. </w:t>
      </w:r>
    </w:p>
    <w:p>
      <w:pPr>
        <w:pStyle w:val="ManualHeading2"/>
        <w:rPr>
          <w:rFonts w:eastAsia="Arial Unicode MS"/>
          <w:noProof/>
        </w:rPr>
      </w:pPr>
      <w:r>
        <w:rPr>
          <w:noProof/>
        </w:rPr>
        <w:t>•</w:t>
      </w:r>
      <w:r>
        <w:rPr>
          <w:noProof/>
        </w:rPr>
        <w:tab/>
        <w:t>Förenlighet med unionens politik inom andra områden</w:t>
      </w:r>
    </w:p>
    <w:p>
      <w:pPr>
        <w:pBdr>
          <w:top w:val="nil"/>
          <w:left w:val="nil"/>
          <w:bottom w:val="nil"/>
          <w:right w:val="nil"/>
          <w:between w:val="nil"/>
          <w:bar w:val="nil"/>
        </w:pBdr>
        <w:spacing w:before="0" w:after="240"/>
        <w:rPr>
          <w:rFonts w:eastAsia="Arial Unicode MS"/>
          <w:noProof/>
        </w:rPr>
      </w:pPr>
      <w:r>
        <w:rPr>
          <w:noProof/>
        </w:rPr>
        <w:t>Översynen av ESRB görs också i ljuset av den pågående processen med att upprätta en bankunion och en kapitalmarknadsunion. Den förväntade fördjupningen och ytterligare integrationen av EU:s kapitalmarknader kräver motsvarande anpassningar av regelverket för övervakning av systemrisker.</w:t>
      </w:r>
    </w:p>
    <w:p>
      <w:pPr>
        <w:pStyle w:val="ManualHeading1"/>
        <w:rPr>
          <w:noProof/>
        </w:rPr>
      </w:pPr>
      <w:r>
        <w:rPr>
          <w:noProof/>
        </w:rPr>
        <w:t>2.</w:t>
      </w:r>
      <w:r>
        <w:rPr>
          <w:noProof/>
        </w:rPr>
        <w:tab/>
        <w:t>RÄTTSLIG GRUND, SUBSIDIARITETSPRINCIPEN OCH PROPORTIONALITETSPRINCIPEN</w:t>
      </w:r>
    </w:p>
    <w:p>
      <w:pPr>
        <w:pStyle w:val="ManualHeading2"/>
        <w:rPr>
          <w:rFonts w:eastAsia="Arial Unicode MS"/>
          <w:noProof/>
          <w:u w:color="000000"/>
          <w:bdr w:val="nil"/>
        </w:rPr>
      </w:pPr>
      <w:r>
        <w:rPr>
          <w:noProof/>
        </w:rPr>
        <w:t>•</w:t>
      </w:r>
      <w:r>
        <w:rPr>
          <w:noProof/>
        </w:rPr>
        <w:tab/>
        <w:t>Rättslig grund</w:t>
      </w:r>
    </w:p>
    <w:p>
      <w:pPr>
        <w:pBdr>
          <w:top w:val="nil"/>
          <w:left w:val="nil"/>
          <w:bottom w:val="nil"/>
          <w:right w:val="nil"/>
          <w:between w:val="nil"/>
          <w:bar w:val="nil"/>
        </w:pBdr>
        <w:spacing w:before="0" w:after="240"/>
        <w:rPr>
          <w:noProof/>
        </w:rPr>
      </w:pPr>
      <w:r>
        <w:rPr>
          <w:noProof/>
        </w:rPr>
        <w:t xml:space="preserve">De föreslagna ändringarna bygger på samma rättsliga grund som den rättsakt som ändras, dvs. artikel 114 i EUF-fördraget. Förordningen om inrättande av ESRB kompletteras av en rådsförordning som ger Europeiska centralbanken (ECB) i uppgift att svara för ESRB:s sekretariatsfunktion. </w:t>
      </w:r>
    </w:p>
    <w:p>
      <w:pPr>
        <w:pStyle w:val="ManualHeading2"/>
        <w:rPr>
          <w:rFonts w:eastAsia="Arial Unicode MS"/>
          <w:noProof/>
          <w:u w:color="000000"/>
          <w:bdr w:val="nil"/>
        </w:rPr>
      </w:pPr>
      <w:r>
        <w:rPr>
          <w:noProof/>
        </w:rPr>
        <w:t>•</w:t>
      </w:r>
      <w:r>
        <w:rPr>
          <w:noProof/>
        </w:rPr>
        <w:tab/>
        <w:t xml:space="preserve">Subsidiaritetsprincipen (för icke-exklusiv befogenhet) </w:t>
      </w:r>
    </w:p>
    <w:p>
      <w:pPr>
        <w:spacing w:before="100" w:beforeAutospacing="1" w:after="100" w:afterAutospacing="1"/>
        <w:rPr>
          <w:noProof/>
        </w:rPr>
      </w:pPr>
      <w:r>
        <w:rPr>
          <w:noProof/>
        </w:rPr>
        <w:t xml:space="preserve">ESRB är ett organ utan juridisk personlighet som ansvarar för makroövervakning av det finansiella systemet i EU. Syftet med förslaget – att göra ESRB effektivare och stärka samordningen av makrotillsynen i EU – kan uppnås genom att den befintliga EU-lagstiftningen kompletteras. Syftet uppnås således bäst på EU-nivå jämfört med genom olika nationella initiativ. Eftersom ESRB i hög grad bidrar till reciprocitet mellan nationella tillsynsåtgärder hjälper nämnden myndigheterna att hantera systemrisker som uppstår på nationell nivå. </w:t>
      </w:r>
    </w:p>
    <w:p>
      <w:pPr>
        <w:pStyle w:val="ManualHeading2"/>
        <w:rPr>
          <w:rFonts w:eastAsia="Arial Unicode MS"/>
          <w:noProof/>
          <w:u w:color="000000"/>
          <w:bdr w:val="nil"/>
        </w:rPr>
      </w:pPr>
      <w:r>
        <w:rPr>
          <w:noProof/>
        </w:rPr>
        <w:t>•</w:t>
      </w:r>
      <w:r>
        <w:rPr>
          <w:noProof/>
        </w:rPr>
        <w:tab/>
        <w:t>Proportionalitetsprincipen</w:t>
      </w:r>
    </w:p>
    <w:p>
      <w:pPr>
        <w:pBdr>
          <w:top w:val="nil"/>
          <w:left w:val="nil"/>
          <w:bottom w:val="nil"/>
          <w:right w:val="nil"/>
          <w:between w:val="nil"/>
          <w:bar w:val="nil"/>
        </w:pBdr>
        <w:spacing w:before="0" w:after="240"/>
        <w:rPr>
          <w:rFonts w:eastAsia="Arial Unicode MS"/>
          <w:noProof/>
        </w:rPr>
      </w:pPr>
      <w:r>
        <w:rPr>
          <w:noProof/>
        </w:rPr>
        <w:t xml:space="preserve">Förslaget ändrar en befintlig förordning. Ändringarna är riktade och syftar till att förtydliga och skärpa befintliga bestämmelser och står därför i proportion till de identifierade problemen. ESRB:s grundstruktur kommer i stort sett att förbli oförändrad. </w:t>
      </w:r>
    </w:p>
    <w:p>
      <w:pPr>
        <w:pStyle w:val="ManualHeading2"/>
        <w:rPr>
          <w:rFonts w:eastAsia="Arial Unicode MS"/>
          <w:noProof/>
          <w:u w:color="000000"/>
          <w:bdr w:val="nil"/>
        </w:rPr>
      </w:pPr>
      <w:r>
        <w:rPr>
          <w:noProof/>
        </w:rPr>
        <w:t>•</w:t>
      </w:r>
      <w:r>
        <w:rPr>
          <w:noProof/>
        </w:rPr>
        <w:tab/>
        <w:t>Val av instrument</w:t>
      </w:r>
    </w:p>
    <w:p>
      <w:pPr>
        <w:pBdr>
          <w:top w:val="nil"/>
          <w:left w:val="nil"/>
          <w:bottom w:val="nil"/>
          <w:right w:val="nil"/>
          <w:between w:val="nil"/>
          <w:bar w:val="nil"/>
        </w:pBdr>
        <w:spacing w:before="0" w:after="240"/>
        <w:rPr>
          <w:rFonts w:eastAsia="Arial Unicode MS"/>
          <w:noProof/>
        </w:rPr>
      </w:pPr>
      <w:r>
        <w:rPr>
          <w:noProof/>
        </w:rPr>
        <w:t>Ändring av befintlig förordning</w:t>
      </w:r>
    </w:p>
    <w:p>
      <w:pPr>
        <w:pStyle w:val="ManualHeading1"/>
        <w:rPr>
          <w:noProof/>
        </w:rPr>
      </w:pPr>
      <w:r>
        <w:rPr>
          <w:noProof/>
        </w:rPr>
        <w:t>3.</w:t>
      </w:r>
      <w:r>
        <w:rPr>
          <w:noProof/>
        </w:rPr>
        <w:tab/>
        <w:t>RESULTAT AV EFTERHANDSUTVÄRDERINGAR, SAMRÅD MED BERÖRDA PARTER OCH KONSEKVENSBEDÖMNINGAR</w:t>
      </w:r>
    </w:p>
    <w:p>
      <w:pPr>
        <w:pStyle w:val="ManualHeading2"/>
        <w:rPr>
          <w:rFonts w:eastAsia="Arial Unicode MS"/>
          <w:noProof/>
          <w:u w:color="000000"/>
          <w:bdr w:val="nil"/>
        </w:rPr>
      </w:pPr>
      <w:r>
        <w:rPr>
          <w:noProof/>
        </w:rPr>
        <w:t>•</w:t>
      </w:r>
      <w:r>
        <w:rPr>
          <w:noProof/>
        </w:rPr>
        <w:tab/>
        <w:t>Efterhandsutvärderingar/kontroller av ändamålsenligheten med befintlig lagstiftning</w:t>
      </w:r>
    </w:p>
    <w:p>
      <w:pPr>
        <w:pBdr>
          <w:top w:val="nil"/>
          <w:left w:val="nil"/>
          <w:bottom w:val="nil"/>
          <w:right w:val="nil"/>
          <w:between w:val="nil"/>
          <w:bar w:val="nil"/>
        </w:pBdr>
        <w:spacing w:before="0" w:after="240"/>
        <w:rPr>
          <w:noProof/>
        </w:rPr>
      </w:pPr>
      <w:r>
        <w:rPr>
          <w:noProof/>
        </w:rPr>
        <w:t>Kommissionen har i enlighet med kraven i ESRB-förordningen genomfört en översyn för att avgöra om ESRB:s uppdrag och organisation behöver uppdateras. Den första översynen av ESRB-förordningen genomfördes 2014.</w:t>
      </w:r>
    </w:p>
    <w:p>
      <w:pPr>
        <w:pStyle w:val="ManualHeading2"/>
        <w:rPr>
          <w:rFonts w:eastAsia="Arial Unicode MS"/>
          <w:noProof/>
          <w:u w:color="000000"/>
          <w:bdr w:val="nil"/>
        </w:rPr>
      </w:pPr>
      <w:r>
        <w:rPr>
          <w:noProof/>
        </w:rPr>
        <w:t>•</w:t>
      </w:r>
      <w:r>
        <w:rPr>
          <w:noProof/>
        </w:rPr>
        <w:tab/>
        <w:t>Samråd med berörda parter</w:t>
      </w:r>
    </w:p>
    <w:p>
      <w:pPr>
        <w:pBdr>
          <w:top w:val="nil"/>
          <w:left w:val="nil"/>
          <w:bottom w:val="nil"/>
          <w:right w:val="nil"/>
          <w:between w:val="nil"/>
          <w:bar w:val="nil"/>
        </w:pBdr>
        <w:spacing w:before="0" w:after="240"/>
        <w:rPr>
          <w:noProof/>
        </w:rPr>
      </w:pPr>
      <w:r>
        <w:rPr>
          <w:noProof/>
        </w:rPr>
        <w:t xml:space="preserve">Ett offentligt samråd om makrotillsynsramen och en offentlig utfrågning anordnades under det andra halvåret 2016. Intressenterna ansåg överlag att ESRB:s uppdrag och uppgifter var lämpliga för att säkerställa en effektiv makrotillsynspolitik, men uttryckte visst stöd för att ESRB:s arbetsmetoder borde anpassas för att förbättra dess effektivitet. De flesta var positiva till att ECB:s ordförande skulle fortsätta att vara ordförande för ESRB. Vissa ansåg att den gemensamma tillsynsmekanismen och den gemensamma resolutionsnämnden borde vara representerade i styrelsen för att ta hänsyn till upprättandet av bankunionen, men de flesta ansåg inte att det behövdes några större förändringar av styrelsens sammansättning. En del respondenter var positiva till en förstärkning av ESRB:s sekretariat och en starkare roll för ESRB när det gäller att effektivisera anmälningsförfaranden på EU-nivå. </w:t>
      </w:r>
    </w:p>
    <w:p>
      <w:pPr>
        <w:pStyle w:val="ManualHeading2"/>
        <w:rPr>
          <w:rFonts w:eastAsia="Arial Unicode MS"/>
          <w:noProof/>
          <w:u w:color="000000"/>
          <w:bdr w:val="nil"/>
        </w:rPr>
      </w:pPr>
      <w:r>
        <w:rPr>
          <w:noProof/>
        </w:rPr>
        <w:t>•</w:t>
      </w:r>
      <w:r>
        <w:rPr>
          <w:noProof/>
        </w:rPr>
        <w:tab/>
        <w:t>Insamling och användning av sakkunnigutlåtanden</w:t>
      </w:r>
    </w:p>
    <w:p>
      <w:pPr>
        <w:pBdr>
          <w:top w:val="nil"/>
          <w:left w:val="nil"/>
          <w:bottom w:val="nil"/>
          <w:right w:val="nil"/>
          <w:between w:val="nil"/>
          <w:bar w:val="nil"/>
        </w:pBdr>
        <w:spacing w:before="0" w:after="240"/>
        <w:rPr>
          <w:rFonts w:eastAsia="Arial Unicode MS"/>
          <w:noProof/>
        </w:rPr>
      </w:pPr>
      <w:r>
        <w:rPr>
          <w:noProof/>
        </w:rPr>
        <w:t>Ej tillämpligt – via samråd med intressenter och offentliga utfrågningar, se ovan.</w:t>
      </w:r>
    </w:p>
    <w:p>
      <w:pPr>
        <w:pStyle w:val="ManualHeading2"/>
        <w:rPr>
          <w:rFonts w:eastAsia="Arial Unicode MS"/>
          <w:noProof/>
          <w:u w:color="000000"/>
          <w:bdr w:val="nil"/>
        </w:rPr>
      </w:pPr>
      <w:r>
        <w:rPr>
          <w:noProof/>
        </w:rPr>
        <w:t>•</w:t>
      </w:r>
      <w:r>
        <w:rPr>
          <w:noProof/>
        </w:rPr>
        <w:tab/>
        <w:t>Konsekvensbedömning</w:t>
      </w:r>
    </w:p>
    <w:p>
      <w:pPr>
        <w:pBdr>
          <w:top w:val="nil"/>
          <w:left w:val="nil"/>
          <w:bottom w:val="nil"/>
          <w:right w:val="nil"/>
          <w:between w:val="nil"/>
          <w:bar w:val="nil"/>
        </w:pBdr>
        <w:spacing w:before="0" w:after="240"/>
        <w:rPr>
          <w:rFonts w:eastAsia="Arial Unicode MS"/>
          <w:noProof/>
        </w:rPr>
      </w:pPr>
      <w:r>
        <w:rPr>
          <w:noProof/>
        </w:rPr>
        <w:t>Kommissionen har gjort en effektanalys av de föreslagna ändringarna av ESRB-förordningen. Någon formell konsekvensbedömning har inte gjorts eftersom de ändringar som införs genom lagstiftningsförslaget är riktade.</w:t>
      </w:r>
    </w:p>
    <w:p>
      <w:pPr>
        <w:pBdr>
          <w:top w:val="nil"/>
          <w:left w:val="nil"/>
          <w:bottom w:val="nil"/>
          <w:right w:val="nil"/>
          <w:between w:val="nil"/>
          <w:bar w:val="nil"/>
        </w:pBdr>
        <w:spacing w:before="0" w:after="240"/>
        <w:rPr>
          <w:rFonts w:eastAsia="Arial Unicode MS"/>
          <w:noProof/>
        </w:rPr>
      </w:pPr>
    </w:p>
    <w:p>
      <w:pPr>
        <w:pStyle w:val="ManualHeading2"/>
        <w:rPr>
          <w:rFonts w:eastAsia="Arial Unicode MS"/>
          <w:noProof/>
          <w:u w:color="000000"/>
          <w:bdr w:val="nil"/>
        </w:rPr>
      </w:pPr>
      <w:r>
        <w:rPr>
          <w:noProof/>
        </w:rPr>
        <w:t>•</w:t>
      </w:r>
      <w:r>
        <w:rPr>
          <w:noProof/>
        </w:rPr>
        <w:tab/>
        <w:t>Lagstiftningens ändamålsenlighet och förenkling</w:t>
      </w:r>
    </w:p>
    <w:p>
      <w:pPr>
        <w:pBdr>
          <w:top w:val="nil"/>
          <w:left w:val="nil"/>
          <w:bottom w:val="nil"/>
          <w:right w:val="nil"/>
          <w:between w:val="nil"/>
          <w:bar w:val="nil"/>
        </w:pBdr>
        <w:spacing w:before="0" w:after="240"/>
        <w:rPr>
          <w:rFonts w:eastAsia="Arial Unicode MS"/>
          <w:noProof/>
        </w:rPr>
      </w:pPr>
      <w:r>
        <w:rPr>
          <w:noProof/>
        </w:rPr>
        <w:t>[Ej tillämpligt]</w:t>
      </w:r>
    </w:p>
    <w:p>
      <w:pPr>
        <w:pStyle w:val="ManualHeading2"/>
        <w:rPr>
          <w:rFonts w:eastAsia="Arial Unicode MS"/>
          <w:noProof/>
          <w:u w:color="000000"/>
          <w:bdr w:val="nil"/>
        </w:rPr>
      </w:pPr>
      <w:r>
        <w:rPr>
          <w:noProof/>
        </w:rPr>
        <w:t>•</w:t>
      </w:r>
      <w:r>
        <w:rPr>
          <w:noProof/>
        </w:rPr>
        <w:tab/>
        <w:t>Grundläggande rättigheter</w:t>
      </w:r>
    </w:p>
    <w:p>
      <w:pPr>
        <w:pBdr>
          <w:top w:val="nil"/>
          <w:left w:val="nil"/>
          <w:bottom w:val="nil"/>
          <w:right w:val="nil"/>
          <w:between w:val="nil"/>
          <w:bar w:val="nil"/>
        </w:pBdr>
        <w:spacing w:before="0" w:after="240"/>
        <w:rPr>
          <w:rFonts w:eastAsia="Arial Unicode MS"/>
          <w:noProof/>
        </w:rPr>
      </w:pPr>
      <w:r>
        <w:rPr>
          <w:noProof/>
        </w:rPr>
        <w:t>[Ej tillämpligt]</w:t>
      </w:r>
    </w:p>
    <w:p>
      <w:pPr>
        <w:pStyle w:val="ManualHeading1"/>
        <w:rPr>
          <w:noProof/>
        </w:rPr>
      </w:pPr>
      <w:r>
        <w:rPr>
          <w:noProof/>
        </w:rPr>
        <w:t>4.</w:t>
      </w:r>
      <w:r>
        <w:rPr>
          <w:noProof/>
        </w:rPr>
        <w:tab/>
        <w:t>BUDGETKONSEKVENSER</w:t>
      </w:r>
    </w:p>
    <w:p>
      <w:pPr>
        <w:pBdr>
          <w:top w:val="nil"/>
          <w:left w:val="nil"/>
          <w:bottom w:val="nil"/>
          <w:right w:val="nil"/>
          <w:between w:val="nil"/>
          <w:bar w:val="nil"/>
        </w:pBdr>
        <w:spacing w:before="0" w:after="240"/>
        <w:rPr>
          <w:rFonts w:eastAsia="Arial Unicode MS"/>
          <w:noProof/>
        </w:rPr>
      </w:pPr>
      <w:r>
        <w:rPr>
          <w:noProof/>
        </w:rPr>
        <w:t>Budgetkostnaden för ESRB:s sekretariat bärs av ECB och har ingen direkt påverkan på unionsbudgeten.</w:t>
      </w:r>
    </w:p>
    <w:p>
      <w:pPr>
        <w:pStyle w:val="ManualHeading1"/>
        <w:rPr>
          <w:noProof/>
        </w:rPr>
      </w:pPr>
      <w:r>
        <w:rPr>
          <w:noProof/>
        </w:rPr>
        <w:t>5.</w:t>
      </w:r>
      <w:r>
        <w:rPr>
          <w:noProof/>
        </w:rPr>
        <w:tab/>
        <w:t>ÖVRIGA INSLAG</w:t>
      </w:r>
    </w:p>
    <w:p>
      <w:pPr>
        <w:pStyle w:val="ManualHeading2"/>
        <w:rPr>
          <w:rFonts w:eastAsia="Arial Unicode MS"/>
          <w:noProof/>
          <w:u w:color="000000"/>
          <w:bdr w:val="nil"/>
        </w:rPr>
      </w:pPr>
      <w:r>
        <w:rPr>
          <w:noProof/>
        </w:rPr>
        <w:t>•</w:t>
      </w:r>
      <w:r>
        <w:rPr>
          <w:noProof/>
        </w:rPr>
        <w:tab/>
        <w:t>Genomförandeplaner samt åtgärder för övervakning, utvärdering och rapportering</w:t>
      </w:r>
    </w:p>
    <w:p>
      <w:pPr>
        <w:pBdr>
          <w:top w:val="nil"/>
          <w:left w:val="nil"/>
          <w:bottom w:val="nil"/>
          <w:right w:val="nil"/>
          <w:between w:val="nil"/>
          <w:bar w:val="nil"/>
        </w:pBdr>
        <w:spacing w:before="0" w:after="240"/>
        <w:rPr>
          <w:rFonts w:eastAsia="Arial Unicode MS"/>
          <w:noProof/>
        </w:rPr>
      </w:pPr>
      <w:r>
        <w:rPr>
          <w:noProof/>
        </w:rPr>
        <w:t>Förordningen kommer att ses över om fem år.</w:t>
      </w:r>
    </w:p>
    <w:p>
      <w:pPr>
        <w:pStyle w:val="ManualHeading2"/>
        <w:rPr>
          <w:rFonts w:eastAsia="Arial Unicode MS"/>
          <w:noProof/>
          <w:u w:color="000000"/>
          <w:bdr w:val="nil"/>
        </w:rPr>
      </w:pPr>
      <w:r>
        <w:rPr>
          <w:noProof/>
        </w:rPr>
        <w:t>•</w:t>
      </w:r>
      <w:r>
        <w:rPr>
          <w:noProof/>
        </w:rPr>
        <w:tab/>
        <w:t>Förklarande dokument (för direktiv)</w:t>
      </w:r>
    </w:p>
    <w:p>
      <w:pPr>
        <w:pBdr>
          <w:top w:val="nil"/>
          <w:left w:val="nil"/>
          <w:bottom w:val="nil"/>
          <w:right w:val="nil"/>
          <w:between w:val="nil"/>
          <w:bar w:val="nil"/>
        </w:pBdr>
        <w:spacing w:before="0" w:after="240"/>
        <w:rPr>
          <w:rFonts w:eastAsia="Arial Unicode MS"/>
          <w:noProof/>
        </w:rPr>
      </w:pPr>
      <w:r>
        <w:rPr>
          <w:noProof/>
        </w:rPr>
        <w:t>[Ej tillämpligt]</w:t>
      </w:r>
    </w:p>
    <w:p>
      <w:pPr>
        <w:pStyle w:val="ManualHeading2"/>
        <w:rPr>
          <w:rFonts w:eastAsia="Arial Unicode MS"/>
          <w:noProof/>
          <w:u w:color="000000"/>
          <w:bdr w:val="nil"/>
        </w:rPr>
      </w:pPr>
      <w:r>
        <w:rPr>
          <w:noProof/>
        </w:rPr>
        <w:t>•</w:t>
      </w:r>
      <w:r>
        <w:rPr>
          <w:noProof/>
        </w:rPr>
        <w:tab/>
        <w:t>Ingående redogörelse för de specifika bestämmelserna i förslaget</w:t>
      </w:r>
    </w:p>
    <w:p>
      <w:pPr>
        <w:pBdr>
          <w:top w:val="nil"/>
          <w:left w:val="nil"/>
          <w:bottom w:val="nil"/>
          <w:right w:val="nil"/>
          <w:between w:val="nil"/>
          <w:bar w:val="nil"/>
        </w:pBdr>
        <w:spacing w:before="0" w:after="240"/>
        <w:rPr>
          <w:noProof/>
        </w:rPr>
      </w:pPr>
      <w:r>
        <w:rPr>
          <w:noProof/>
        </w:rPr>
        <w:t>Ordförande</w:t>
      </w:r>
    </w:p>
    <w:p>
      <w:pPr>
        <w:pBdr>
          <w:top w:val="nil"/>
          <w:left w:val="nil"/>
          <w:bottom w:val="nil"/>
          <w:right w:val="nil"/>
          <w:between w:val="nil"/>
          <w:bar w:val="nil"/>
        </w:pBdr>
        <w:spacing w:before="0" w:after="240"/>
        <w:rPr>
          <w:noProof/>
        </w:rPr>
      </w:pPr>
      <w:r>
        <w:rPr>
          <w:noProof/>
        </w:rPr>
        <w:t>Enligt nuvarande arrangemang innehas ESRB:s ordförandepost av ECB:s ordförande. Att ECB:s ordförande innehar denna post ger ESRB auktoritet och trovärdighet och säkerställer att nämnden kan bygga vidare på och dra nytta av ECB:s expertis på området finansiell stabilitet. Det föreslås därför att ECB:s ordförande ska vara ordförande för ESRB på permanent basis.</w:t>
      </w:r>
    </w:p>
    <w:p>
      <w:pPr>
        <w:pBdr>
          <w:top w:val="nil"/>
          <w:left w:val="nil"/>
          <w:bottom w:val="nil"/>
          <w:right w:val="nil"/>
          <w:between w:val="nil"/>
          <w:bar w:val="nil"/>
        </w:pBdr>
        <w:spacing w:before="0" w:after="240"/>
        <w:rPr>
          <w:noProof/>
        </w:rPr>
      </w:pPr>
      <w:r>
        <w:rPr>
          <w:noProof/>
        </w:rPr>
        <w:t>ESRB:s sekretariat</w:t>
      </w:r>
    </w:p>
    <w:p>
      <w:pPr>
        <w:pBdr>
          <w:top w:val="nil"/>
          <w:left w:val="nil"/>
          <w:bottom w:val="nil"/>
          <w:right w:val="nil"/>
          <w:between w:val="nil"/>
          <w:bar w:val="nil"/>
        </w:pBdr>
        <w:spacing w:before="0" w:after="240"/>
        <w:rPr>
          <w:noProof/>
        </w:rPr>
      </w:pPr>
      <w:r>
        <w:rPr>
          <w:noProof/>
        </w:rPr>
        <w:t xml:space="preserve">Eftersom ESRB:s styrelse inte har några heltidsledamöter, vilket även gäller ordföranden och vice ordförande, finns det ingen ledamot som kan ägna all sin tid åt ESRB-relaterade frågor och uppgifter. Dessutom är de officiella uppgifter som ESRB:s sekretariatschef har begränsade. Detta kan göra ESRB:s arbete mindre synligt, även om ESRB:s ordförande regelbundet deltar i parlamentets utfrågningar. En mer framskjuten roll för ESRB:s sekretariatschef skulle öka varningars och rekommendationers tyngd och genomslagskraft. </w:t>
      </w:r>
    </w:p>
    <w:p>
      <w:pPr>
        <w:pBdr>
          <w:top w:val="nil"/>
          <w:left w:val="nil"/>
          <w:bottom w:val="nil"/>
          <w:right w:val="nil"/>
          <w:between w:val="nil"/>
          <w:bar w:val="nil"/>
        </w:pBdr>
        <w:spacing w:before="0" w:after="240"/>
        <w:rPr>
          <w:noProof/>
        </w:rPr>
      </w:pPr>
      <w:r>
        <w:rPr>
          <w:noProof/>
        </w:rPr>
        <w:t>Här föreslås därför ett samrådsförfarande där styrelsen bedömer de kandidater som ECB föreslår för tjänsten som ESRB:s sekretariatschef med fokus på de egenskaper och den erfarenhet som krävs för att leda ESRB:s sekretariat. Parlamentet och rådet skulle informeras om förfarandet. På detta sätt upprätthålls kopplingen till ECB samtidigt som sekretariatschefen även fortsättningsvis skulle svara inför styrelsen. Det skulle även göra förfarandet mer transparent och höja sekretariatschefens profil. Vidare föreslås en precisering av sekretariatschefens uppgifter, bland annat en möjlighet för ordföranden att till sekretariatschefen delegera uppgiften att företräda ordföranden utåt.</w:t>
      </w:r>
    </w:p>
    <w:p>
      <w:pPr>
        <w:pBdr>
          <w:top w:val="nil"/>
          <w:left w:val="nil"/>
          <w:bottom w:val="nil"/>
          <w:right w:val="nil"/>
          <w:between w:val="nil"/>
          <w:bar w:val="nil"/>
        </w:pBdr>
        <w:spacing w:before="0" w:after="240"/>
        <w:rPr>
          <w:noProof/>
        </w:rPr>
      </w:pPr>
      <w:r>
        <w:rPr>
          <w:noProof/>
        </w:rPr>
        <w:t xml:space="preserve">ESRB:s sammansättning </w:t>
      </w:r>
    </w:p>
    <w:p>
      <w:pPr>
        <w:pBdr>
          <w:top w:val="nil"/>
          <w:left w:val="nil"/>
          <w:bottom w:val="nil"/>
          <w:right w:val="nil"/>
          <w:between w:val="nil"/>
          <w:bar w:val="nil"/>
        </w:pBdr>
        <w:spacing w:before="0" w:after="240"/>
        <w:rPr>
          <w:noProof/>
        </w:rPr>
      </w:pPr>
      <w:r>
        <w:rPr>
          <w:noProof/>
        </w:rPr>
        <w:t xml:space="preserve">Förslaget uppdaterar ESRB-förordningen för att ta hänsyn till upprättandet av bankunionen och se till att den gemensamma tillsynsmekanismen och den gemensamma resolutionsnämnden företräds med rösträtt i ESRB:s styrelse. Motsvarande justeringar bör också göras i den rådgivande tekniska kommittén och styrkommittén. </w:t>
      </w:r>
    </w:p>
    <w:p>
      <w:pPr>
        <w:pBdr>
          <w:top w:val="nil"/>
          <w:left w:val="nil"/>
          <w:bottom w:val="nil"/>
          <w:right w:val="nil"/>
          <w:between w:val="nil"/>
          <w:bar w:val="nil"/>
        </w:pBdr>
        <w:spacing w:before="0" w:after="240"/>
        <w:rPr>
          <w:noProof/>
        </w:rPr>
      </w:pPr>
      <w:r>
        <w:rPr>
          <w:noProof/>
        </w:rPr>
        <w:t>Mottagare av ESRB:s varningar och rekommendationer</w:t>
      </w:r>
    </w:p>
    <w:p>
      <w:pPr>
        <w:pBdr>
          <w:top w:val="nil"/>
          <w:left w:val="nil"/>
          <w:bottom w:val="nil"/>
          <w:right w:val="nil"/>
          <w:between w:val="nil"/>
          <w:bar w:val="nil"/>
        </w:pBdr>
        <w:spacing w:before="0" w:after="240"/>
        <w:rPr>
          <w:noProof/>
        </w:rPr>
      </w:pPr>
      <w:r>
        <w:rPr>
          <w:noProof/>
        </w:rPr>
        <w:t xml:space="preserve">Enligt förslaget ska ESRB även kunna rikta varningar och rekommendationer till ECB när det gäller de uppgifter som tilldelas ECB genom förordningen om den gemensamma tillsynsmekanismen (SSM) (förordning (EG) nr 1024/2013), dvs. tillsynsuppgifter som inte rör genomförandet av penningpolitiken. På detta sätt kan man komma åt den nuvarande asymmetrin, som innebär att nationella myndigheter som ingår i styrelsen kan få sådana varningar och rekommendationer, men inte ECB, trots att det är den behöriga eller utsedda myndigheten på bankunionsnivå. </w:t>
      </w:r>
    </w:p>
    <w:p>
      <w:pPr>
        <w:pBdr>
          <w:top w:val="nil"/>
          <w:left w:val="nil"/>
          <w:bottom w:val="nil"/>
          <w:right w:val="nil"/>
          <w:between w:val="nil"/>
          <w:bar w:val="nil"/>
        </w:pBdr>
        <w:spacing w:before="0" w:after="240"/>
        <w:rPr>
          <w:noProof/>
        </w:rPr>
      </w:pPr>
      <w:r>
        <w:rPr>
          <w:noProof/>
        </w:rPr>
        <w:t>Bättre lagstiftning</w:t>
      </w:r>
    </w:p>
    <w:p>
      <w:pPr>
        <w:rPr>
          <w:noProof/>
        </w:rPr>
      </w:pPr>
      <w:r>
        <w:rPr>
          <w:noProof/>
        </w:rPr>
        <w:t>ESRB:s rådgivande kommittéer förväntas, i linje med principerna om bättre lagstiftning och när det är lämpligt, samråda med intressenter såsom marknadsaktörer, konsumentorganisationer och experter om sina yttranden, rekommendationer och beslut.</w:t>
      </w:r>
    </w:p>
    <w:p>
      <w:pPr>
        <w:rPr>
          <w:noProof/>
        </w:rPr>
      </w:pPr>
    </w:p>
    <w:p>
      <w:pPr>
        <w:rPr>
          <w:noProof/>
        </w:rPr>
        <w:sectPr>
          <w:footerReference w:type="default" r:id="rId14"/>
          <w:footerReference w:type="first" r:id="rId15"/>
          <w:pgSz w:w="11907" w:h="16839"/>
          <w:pgMar w:top="1134" w:right="1417" w:bottom="1134" w:left="1417" w:header="709" w:footer="709" w:gutter="0"/>
          <w:cols w:space="708"/>
          <w:docGrid w:linePitch="360"/>
        </w:sectPr>
      </w:pPr>
    </w:p>
    <w:p>
      <w:pPr>
        <w:pStyle w:val="Rfrenceinterinstitutionnelle"/>
        <w:rPr>
          <w:noProof/>
        </w:rPr>
      </w:pPr>
      <w:r>
        <w:rPr>
          <w:noProof/>
        </w:rPr>
        <w:t>2017/0232 (COD)</w:t>
      </w:r>
    </w:p>
    <w:p>
      <w:pPr>
        <w:pStyle w:val="Statut"/>
        <w:rPr>
          <w:noProof/>
        </w:rPr>
      </w:pPr>
      <w:r>
        <w:rPr>
          <w:noProof/>
        </w:rPr>
        <w:t>Förslag till</w:t>
      </w:r>
    </w:p>
    <w:p>
      <w:pPr>
        <w:pStyle w:val="Typedudocument"/>
        <w:rPr>
          <w:noProof/>
        </w:rPr>
      </w:pPr>
      <w:r>
        <w:rPr>
          <w:noProof/>
        </w:rPr>
        <w:t>EUROPAPARLAMENTETS OCH RÅDETS FÖRORDNING</w:t>
      </w:r>
    </w:p>
    <w:p>
      <w:pPr>
        <w:pStyle w:val="Titreobjet"/>
        <w:rPr>
          <w:noProof/>
        </w:rPr>
      </w:pPr>
      <w:r>
        <w:rPr>
          <w:noProof/>
        </w:rPr>
        <w:t>om ändring av förordning (EU) nr 1092/2010 om makrotillsyn av det finansiella systemet på EU-nivå och om inrättande av en europeisk systemrisknämnd</w:t>
      </w:r>
    </w:p>
    <w:p>
      <w:pPr>
        <w:pStyle w:val="IntrtEEE"/>
        <w:rPr>
          <w:noProof/>
        </w:rPr>
      </w:pPr>
      <w:r>
        <w:rPr>
          <w:noProof/>
        </w:rPr>
        <w:t>(Text av betydelse för EES)</w:t>
      </w:r>
    </w:p>
    <w:p>
      <w:pPr>
        <w:pStyle w:val="Institutionquiagit"/>
        <w:rPr>
          <w:noProof/>
        </w:rPr>
      </w:pPr>
      <w:r>
        <w:rPr>
          <w:noProof/>
        </w:rPr>
        <w:t>EUROPAPARLAMENTET OCH EUROPEISKA UNIONENS RÅD HAR ANTAGIT DETTA BESLUT</w:t>
      </w:r>
    </w:p>
    <w:p>
      <w:pPr>
        <w:rPr>
          <w:noProof/>
        </w:rPr>
      </w:pPr>
      <w:r>
        <w:rPr>
          <w:noProof/>
        </w:rPr>
        <w:t>med beaktande av fördraget om Europeiska unionens funktionssätt, särskilt artikel 114,</w:t>
      </w:r>
    </w:p>
    <w:p>
      <w:pPr>
        <w:rPr>
          <w:noProof/>
        </w:rPr>
      </w:pPr>
      <w:r>
        <w:rPr>
          <w:noProof/>
        </w:rPr>
        <w:t>med beaktande av Europeiska kommissionens förslag,</w:t>
      </w:r>
    </w:p>
    <w:p>
      <w:pPr>
        <w:rPr>
          <w:noProof/>
        </w:rPr>
      </w:pPr>
      <w:r>
        <w:rPr>
          <w:noProof/>
        </w:rPr>
        <w:t>efter översändande av utkastet till lagstiftningsakt till de nationella parlamenten,</w:t>
      </w:r>
    </w:p>
    <w:p>
      <w:pPr>
        <w:rPr>
          <w:noProof/>
        </w:rPr>
      </w:pPr>
      <w:r>
        <w:rPr>
          <w:noProof/>
        </w:rPr>
        <w:t>med beaktande av Europeiska ekonomiska och sociala kommitténs yttrande</w:t>
      </w:r>
      <w:r>
        <w:rPr>
          <w:rStyle w:val="FootnoteReference"/>
          <w:noProof/>
        </w:rPr>
        <w:footnoteReference w:id="3"/>
      </w:r>
      <w:r>
        <w:rPr>
          <w:noProof/>
        </w:rPr>
        <w:t>,</w:t>
      </w:r>
    </w:p>
    <w:p>
      <w:pPr>
        <w:rPr>
          <w:noProof/>
        </w:rPr>
      </w:pPr>
      <w:r>
        <w:rPr>
          <w:noProof/>
        </w:rPr>
        <w:t>i enlighet med det ordinarie lagstiftningsförfarandet, och</w:t>
      </w:r>
    </w:p>
    <w:p>
      <w:pPr>
        <w:rPr>
          <w:noProof/>
        </w:rPr>
      </w:pPr>
    </w:p>
    <w:p>
      <w:pPr>
        <w:rPr>
          <w:noProof/>
        </w:rPr>
      </w:pPr>
      <w:r>
        <w:rPr>
          <w:noProof/>
        </w:rPr>
        <w:t>av följande skäl:</w:t>
      </w:r>
    </w:p>
    <w:p>
      <w:pPr>
        <w:pStyle w:val="ManualConsidrant"/>
        <w:rPr>
          <w:noProof/>
        </w:rPr>
      </w:pPr>
      <w:r>
        <w:rPr>
          <w:noProof/>
        </w:rPr>
        <w:t>1.</w:t>
      </w:r>
      <w:r>
        <w:rPr>
          <w:noProof/>
        </w:rPr>
        <w:tab/>
        <w:t>Europaparlamentet och rådet har i enlighet med artikel 20 i förordning (EU) nr 1092/2010</w:t>
      </w:r>
      <w:r>
        <w:rPr>
          <w:rStyle w:val="FootnoteReference"/>
          <w:noProof/>
        </w:rPr>
        <w:footnoteReference w:id="4"/>
      </w:r>
      <w:r>
        <w:rPr>
          <w:noProof/>
        </w:rPr>
        <w:t xml:space="preserve"> (nedan kallad </w:t>
      </w:r>
      <w:r>
        <w:rPr>
          <w:i/>
          <w:noProof/>
        </w:rPr>
        <w:t>ESRB-förordningen</w:t>
      </w:r>
      <w:r>
        <w:rPr>
          <w:noProof/>
        </w:rPr>
        <w:t>), och på grundval av en rapport från kommissionen</w:t>
      </w:r>
      <w:r>
        <w:rPr>
          <w:rStyle w:val="FootnoteReference"/>
          <w:noProof/>
        </w:rPr>
        <w:footnoteReference w:id="5"/>
      </w:r>
      <w:r>
        <w:rPr>
          <w:noProof/>
        </w:rPr>
        <w:t>, granskat ESRB-förordningen för att fastställa om ESRB:s uppdrag och organisation behöver ses över. Även förfarandena för att utse ESRB:s ordförande har setts över.</w:t>
      </w:r>
    </w:p>
    <w:p>
      <w:pPr>
        <w:pStyle w:val="ManualConsidrant"/>
        <w:rPr>
          <w:noProof/>
        </w:rPr>
      </w:pPr>
      <w:r>
        <w:rPr>
          <w:noProof/>
        </w:rPr>
        <w:t>2.</w:t>
      </w:r>
      <w:r>
        <w:rPr>
          <w:noProof/>
        </w:rPr>
        <w:tab/>
        <w:t>Enligt kommissionens rapport från 2017 om ESRB:s uppdrag och organisation</w:t>
      </w:r>
      <w:r>
        <w:rPr>
          <w:rStyle w:val="FootnoteReference"/>
          <w:noProof/>
        </w:rPr>
        <w:footnoteReference w:id="6"/>
      </w:r>
      <w:r>
        <w:rPr>
          <w:noProof/>
        </w:rPr>
        <w:t xml:space="preserve"> fungerar ESRB överlag väl, men det behövs förbättringar på vissa områden.</w:t>
      </w:r>
    </w:p>
    <w:p>
      <w:pPr>
        <w:pStyle w:val="ManualConsidrant"/>
        <w:rPr>
          <w:noProof/>
        </w:rPr>
      </w:pPr>
      <w:r>
        <w:rPr>
          <w:noProof/>
        </w:rPr>
        <w:t>3.</w:t>
      </w:r>
      <w:r>
        <w:rPr>
          <w:noProof/>
        </w:rPr>
        <w:tab/>
        <w:t>Det är en stor fördel att ESRB:s styrelse har en bred sammansättning. Den senaste tidens utveckling när det gäller unionens struktur för finansiell tillsyn, och i synnerhet upprättandet av bankunionen, avspeglas dock inte i styrelsens sammansättning. Därför bör ordföranden för ECB:s tillsynsnämnd och ordföranden för den gemensamma resolutionsnämnden bli styrelseledamöter med rösträtt. Motsvarande justeringar bör också göras i styrkommittén och den rådgivande tekniska kommittén.</w:t>
      </w:r>
    </w:p>
    <w:p>
      <w:pPr>
        <w:pStyle w:val="ManualConsidrant"/>
        <w:rPr>
          <w:noProof/>
        </w:rPr>
      </w:pPr>
      <w:r>
        <w:rPr>
          <w:noProof/>
        </w:rPr>
        <w:t>4.</w:t>
      </w:r>
      <w:r>
        <w:rPr>
          <w:noProof/>
        </w:rPr>
        <w:tab/>
        <w:t>ECB:s ordförande har varit ordförande för ESRB under de fem första åren och har därefter fortsatt som ordförande på interimsbasis. Under denna period har ECB:s ordförande gett ESRB auktoritet och trovärdighet och säkerställt att ESRB kan bygga vidare på och dra nytta av ECB:s expertis på området finansiell stabilitet. Det är därför lämpligt att ECB:s ordförande blir ordförande för ESRB på permanent basis.</w:t>
      </w:r>
    </w:p>
    <w:p>
      <w:pPr>
        <w:pStyle w:val="ManualConsidrant"/>
        <w:rPr>
          <w:noProof/>
        </w:rPr>
      </w:pPr>
      <w:r>
        <w:rPr>
          <w:noProof/>
        </w:rPr>
        <w:t>5.</w:t>
      </w:r>
      <w:r>
        <w:rPr>
          <w:noProof/>
        </w:rPr>
        <w:tab/>
        <w:t xml:space="preserve">För att öka ESRB:s synlighet som ett organ som är fristående från sina individuella medlemmar bör ESRB:s ordförande ha möjlighet att delegera uppgifter som gäller att företräda ESRB utåt till ESRB:s sekretariatschef. </w:t>
      </w:r>
    </w:p>
    <w:p>
      <w:pPr>
        <w:pStyle w:val="ManualConsidrant"/>
        <w:rPr>
          <w:noProof/>
        </w:rPr>
      </w:pPr>
      <w:r>
        <w:rPr>
          <w:noProof/>
        </w:rPr>
        <w:t>6.</w:t>
      </w:r>
      <w:r>
        <w:rPr>
          <w:noProof/>
        </w:rPr>
        <w:tab/>
        <w:t>Artikel 3.2 i rådets förordning (EU) nr 1096/2010</w:t>
      </w:r>
      <w:r>
        <w:rPr>
          <w:rStyle w:val="FootnoteReference"/>
          <w:noProof/>
        </w:rPr>
        <w:footnoteReference w:id="7"/>
      </w:r>
      <w:r>
        <w:rPr>
          <w:noProof/>
        </w:rPr>
        <w:t xml:space="preserve"> föreskriver att ESRB:s sekretariatschef ska utses av ECB i samråd med ESRB:s styrelse. För att höja sekretariatschefens profil bör styrelsen genom ett öppet och transparent förfarande bedöma om de utvalda kandidaterna till denna tjänst har de egenskaper och den erfarenhet som krävs för att leda ESRB:s sekretariat. Styrelsen bör hålla Europaparlamentet och rådet informerade om bedömningsförfarandet. Det bör vidare förtydligas vilka uppgifter ESRB:s sekretariatschef ska ha.</w:t>
      </w:r>
    </w:p>
    <w:p>
      <w:pPr>
        <w:pStyle w:val="ManualConsidrant"/>
        <w:rPr>
          <w:noProof/>
        </w:rPr>
      </w:pPr>
      <w:r>
        <w:rPr>
          <w:noProof/>
        </w:rPr>
        <w:t>7.</w:t>
      </w:r>
      <w:r>
        <w:rPr>
          <w:noProof/>
        </w:rPr>
        <w:tab/>
        <w:t>I enlighet med artikel 5.2 i förordning (EU) nr 1092/2010 har ESRB:s förste vice ordförande hittills valts av och bland ledamöterna i ECB:s allmänna råd, eftersom det har varit viktigt med en balanserad representation mellan medlemsstaterna generellt och mellan medlemsstater som har respektive inte har euron som valuta. Till följd av bankunionens upprättande är det lämpligt att ersätta hänvisningen till medlemsstater som har respektive inte har euron som valuta, med en hänvisning till medlemsstater som deltar respektive inte deltar i bankunionen.</w:t>
      </w:r>
    </w:p>
    <w:p>
      <w:pPr>
        <w:pStyle w:val="ManualConsidrant"/>
        <w:rPr>
          <w:noProof/>
        </w:rPr>
      </w:pPr>
      <w:r>
        <w:rPr>
          <w:noProof/>
        </w:rPr>
        <w:t>8.</w:t>
      </w:r>
      <w:r>
        <w:rPr>
          <w:noProof/>
        </w:rPr>
        <w:tab/>
        <w:t>Med tanke på ändringarna i avtalet om Europeiska ekonomiska samarbetsområdet (EES)</w:t>
      </w:r>
      <w:r>
        <w:rPr>
          <w:rStyle w:val="FootnoteReference"/>
          <w:noProof/>
        </w:rPr>
        <w:footnoteReference w:id="8"/>
      </w:r>
      <w:r>
        <w:rPr>
          <w:noProof/>
        </w:rPr>
        <w:t xml:space="preserve"> och i synnerhet det faktum att EES-medlemsstaterna antagit förordning (EU) nr 1092/2010, är artikel 9.5 i den förordningen inte längre relevant och bör därför utgå. </w:t>
      </w:r>
    </w:p>
    <w:p>
      <w:pPr>
        <w:pStyle w:val="ManualConsidrant"/>
        <w:rPr>
          <w:noProof/>
        </w:rPr>
      </w:pPr>
      <w:r>
        <w:rPr>
          <w:noProof/>
        </w:rPr>
        <w:t>9.</w:t>
      </w:r>
      <w:r>
        <w:rPr>
          <w:noProof/>
        </w:rPr>
        <w:tab/>
        <w:t>För att minska kostnaderna och effektivisera förfarandena bör antalet företrädare för kommissionen i ESRB:s tekniska rådgivande kommitté minskas från två till en.</w:t>
      </w:r>
    </w:p>
    <w:p>
      <w:pPr>
        <w:pStyle w:val="ManualConsidrant"/>
        <w:rPr>
          <w:noProof/>
        </w:rPr>
      </w:pPr>
      <w:r>
        <w:rPr>
          <w:noProof/>
        </w:rPr>
        <w:t>10.</w:t>
      </w:r>
      <w:r>
        <w:rPr>
          <w:noProof/>
        </w:rPr>
        <w:tab/>
        <w:t>Artikel 16.3 i förordning nr 1092/2010 föreskriver att ESRB:s varningar och rekommendationer ska skickas till rådet och kommissionen och, om de riktar sig till en eller flera nationella tillsynsmyndigheter, till de europeiska tillsynsmyndigheterna. För att stärka den demokratiska kontrollen och transparensen bör dessa varningar och rekommendationer även skickas till Europaparlamentet och till de europeiska tillsynsmyndigheterna.</w:t>
      </w:r>
    </w:p>
    <w:p>
      <w:pPr>
        <w:pStyle w:val="ManualConsidrant"/>
        <w:rPr>
          <w:noProof/>
        </w:rPr>
      </w:pPr>
      <w:r>
        <w:rPr>
          <w:noProof/>
        </w:rPr>
        <w:t>11.</w:t>
      </w:r>
      <w:r>
        <w:rPr>
          <w:noProof/>
        </w:rPr>
        <w:tab/>
        <w:t>För att säkerställa kvaliteten och relevansen i ESRB:s yttranden, rekommendationer och beslut förväntas den rådgivande tekniska kommittén och den rådgivande vetenskapliga kommittén vid behov i ett tidigt skede samråda med intressenter på ett öppet och transparent sätt.</w:t>
      </w:r>
    </w:p>
    <w:p>
      <w:pPr>
        <w:pStyle w:val="ManualConsidrant"/>
        <w:rPr>
          <w:noProof/>
        </w:rPr>
      </w:pPr>
      <w:r>
        <w:rPr>
          <w:noProof/>
        </w:rPr>
        <w:t>12.</w:t>
      </w:r>
      <w:r>
        <w:rPr>
          <w:noProof/>
        </w:rPr>
        <w:tab/>
        <w:t>Förordning (EU) nr 1092/2010 bör därför ändras i enlighet med detta.</w:t>
      </w:r>
    </w:p>
    <w:p>
      <w:pPr>
        <w:rPr>
          <w:noProof/>
        </w:rPr>
      </w:pPr>
    </w:p>
    <w:p>
      <w:pPr>
        <w:pStyle w:val="Formuledadoption"/>
        <w:rPr>
          <w:noProof/>
        </w:rPr>
      </w:pPr>
      <w:r>
        <w:rPr>
          <w:noProof/>
        </w:rPr>
        <w:t>HÄRIGENOM FÖRESKRIVS FÖLJANDE.</w:t>
      </w:r>
    </w:p>
    <w:p>
      <w:pPr>
        <w:pStyle w:val="Titrearticle"/>
        <w:rPr>
          <w:noProof/>
        </w:rPr>
      </w:pPr>
      <w:r>
        <w:rPr>
          <w:noProof/>
        </w:rPr>
        <w:t>Artikel 1</w:t>
      </w:r>
    </w:p>
    <w:p>
      <w:pPr>
        <w:rPr>
          <w:noProof/>
        </w:rPr>
      </w:pPr>
      <w:r>
        <w:rPr>
          <w:noProof/>
        </w:rPr>
        <w:t>Förordning (EU) nr 1092/2010 ska ändras på följande sätt:</w:t>
      </w:r>
    </w:p>
    <w:p>
      <w:pPr>
        <w:tabs>
          <w:tab w:val="left" w:pos="567"/>
        </w:tabs>
        <w:rPr>
          <w:noProof/>
        </w:rPr>
      </w:pPr>
      <w:r>
        <w:rPr>
          <w:noProof/>
        </w:rPr>
        <w:t>1.</w:t>
      </w:r>
      <w:r>
        <w:rPr>
          <w:noProof/>
        </w:rPr>
        <w:tab/>
        <w:t>Artikel 4 ska ändras på följande sätt:</w:t>
      </w:r>
    </w:p>
    <w:p>
      <w:pPr>
        <w:ind w:left="1134" w:hanging="567"/>
        <w:rPr>
          <w:noProof/>
        </w:rPr>
      </w:pPr>
      <w:r>
        <w:rPr>
          <w:noProof/>
        </w:rPr>
        <w:t>a)</w:t>
      </w:r>
      <w:r>
        <w:rPr>
          <w:noProof/>
        </w:rPr>
        <w:tab/>
        <w:t>Följande punkt ska införas som punkt 2a:</w:t>
      </w:r>
    </w:p>
    <w:p>
      <w:pPr>
        <w:tabs>
          <w:tab w:val="left" w:pos="1701"/>
        </w:tabs>
        <w:ind w:left="1134"/>
        <w:rPr>
          <w:noProof/>
        </w:rPr>
      </w:pPr>
      <w:r>
        <w:rPr>
          <w:noProof/>
        </w:rPr>
        <w:t>”2a</w:t>
      </w:r>
      <w:r>
        <w:rPr>
          <w:noProof/>
        </w:rPr>
        <w:tab/>
        <w:t>När styrelsen rådfrågas om utseende av ESRB:s sekretariatschef i enlighet med artikel 3.2 i rådets förordning (EU) nr 1096/2010*, ska den genom ett öppet och transparent förfarande bedöma om de utvalda kandidaterna till denna tjänst har de egenskaper och den erfarenhet som krävs för att leda ESRB:s sekretariat. Styrelsen ska informera Europaparlamentet och rådet om samrådsförfarandet.</w:t>
      </w:r>
    </w:p>
    <w:p>
      <w:pPr>
        <w:tabs>
          <w:tab w:val="left" w:pos="1701"/>
        </w:tabs>
        <w:ind w:left="1134"/>
        <w:rPr>
          <w:rFonts w:eastAsia="Times New Roman"/>
          <w:noProof/>
          <w:sz w:val="20"/>
          <w:szCs w:val="20"/>
        </w:rPr>
      </w:pPr>
      <w:r>
        <w:rPr>
          <w:noProof/>
          <w:sz w:val="20"/>
        </w:rPr>
        <w:t>*</w:t>
      </w:r>
      <w:r>
        <w:rPr>
          <w:noProof/>
        </w:rPr>
        <w:tab/>
      </w:r>
      <w:r>
        <w:rPr>
          <w:noProof/>
          <w:sz w:val="20"/>
        </w:rPr>
        <w:t>Rådets förordning (EU) nr 1096/2010 av den 17 november 2010 om tilldelning till Europeiska centralbanken av särskilda uppgifter angående Europeiska systemrisknämndens verksamhet (EUT L 331, 15.12.2010, s. 162).”.</w:t>
      </w:r>
    </w:p>
    <w:p>
      <w:pPr>
        <w:tabs>
          <w:tab w:val="left" w:pos="1701"/>
        </w:tabs>
        <w:ind w:left="1134"/>
        <w:rPr>
          <w:rFonts w:eastAsia="Times New Roman"/>
          <w:noProof/>
          <w:sz w:val="20"/>
          <w:szCs w:val="20"/>
        </w:rPr>
      </w:pPr>
      <w:r>
        <w:rPr>
          <w:noProof/>
          <w:sz w:val="20"/>
        </w:rPr>
        <w:t>_______________________________________________________________________________</w:t>
      </w:r>
    </w:p>
    <w:p>
      <w:pPr>
        <w:ind w:left="1134" w:hanging="567"/>
        <w:rPr>
          <w:noProof/>
        </w:rPr>
      </w:pPr>
      <w:r>
        <w:rPr>
          <w:noProof/>
        </w:rPr>
        <w:t>b)</w:t>
      </w:r>
      <w:r>
        <w:rPr>
          <w:noProof/>
        </w:rPr>
        <w:tab/>
        <w:t>Följande punkt ska införas som punkt 3a:</w:t>
      </w:r>
    </w:p>
    <w:p>
      <w:pPr>
        <w:tabs>
          <w:tab w:val="left" w:pos="1701"/>
        </w:tabs>
        <w:ind w:left="1134"/>
        <w:rPr>
          <w:noProof/>
        </w:rPr>
      </w:pPr>
      <w:r>
        <w:rPr>
          <w:noProof/>
        </w:rPr>
        <w:t>”3a</w:t>
      </w:r>
      <w:r>
        <w:rPr>
          <w:noProof/>
        </w:rPr>
        <w:tab/>
        <w:t>ESRB:s ordförande och styrkommittén kan i sina instruktioner till ESRB:s sekretariatschef i enlighet med artikel 4.1 i rådets förordning (EU) nr 1096/2010 särskilt inrikta sig på följande:</w:t>
      </w:r>
    </w:p>
    <w:p>
      <w:pPr>
        <w:ind w:left="1701" w:hanging="567"/>
        <w:rPr>
          <w:noProof/>
        </w:rPr>
      </w:pPr>
      <w:r>
        <w:rPr>
          <w:noProof/>
        </w:rPr>
        <w:t>a)</w:t>
      </w:r>
      <w:r>
        <w:rPr>
          <w:noProof/>
        </w:rPr>
        <w:tab/>
        <w:t>Den dagliga driften av ESRB:s sekretariat.</w:t>
      </w:r>
    </w:p>
    <w:p>
      <w:pPr>
        <w:ind w:left="1701" w:hanging="567"/>
        <w:rPr>
          <w:noProof/>
        </w:rPr>
      </w:pPr>
      <w:r>
        <w:rPr>
          <w:noProof/>
        </w:rPr>
        <w:t>b)</w:t>
      </w:r>
      <w:r>
        <w:rPr>
          <w:noProof/>
        </w:rPr>
        <w:tab/>
        <w:t>Alla administrativa frågor och budgetfrågor som rör ESRB:s sekretariat.</w:t>
      </w:r>
    </w:p>
    <w:p>
      <w:pPr>
        <w:ind w:left="1701" w:hanging="567"/>
        <w:rPr>
          <w:noProof/>
        </w:rPr>
      </w:pPr>
      <w:r>
        <w:rPr>
          <w:noProof/>
        </w:rPr>
        <w:t>c)</w:t>
      </w:r>
      <w:r>
        <w:rPr>
          <w:noProof/>
        </w:rPr>
        <w:tab/>
        <w:t>Samordning och beredning av styrelsens arbete och beslut.</w:t>
      </w:r>
    </w:p>
    <w:p>
      <w:pPr>
        <w:ind w:left="1701" w:hanging="567"/>
        <w:rPr>
          <w:noProof/>
        </w:rPr>
      </w:pPr>
      <w:r>
        <w:rPr>
          <w:noProof/>
        </w:rPr>
        <w:t>d)</w:t>
      </w:r>
      <w:r>
        <w:rPr>
          <w:noProof/>
        </w:rPr>
        <w:tab/>
        <w:t>Utarbetande av förslag till ESRB:s årliga program och dess genomförande.</w:t>
      </w:r>
    </w:p>
    <w:p>
      <w:pPr>
        <w:ind w:left="1701" w:hanging="567"/>
        <w:rPr>
          <w:noProof/>
        </w:rPr>
      </w:pPr>
      <w:r>
        <w:rPr>
          <w:noProof/>
        </w:rPr>
        <w:t>e)</w:t>
      </w:r>
      <w:r>
        <w:rPr>
          <w:noProof/>
        </w:rPr>
        <w:tab/>
        <w:t>Upprättande av ESRB:s årsrapport om verksamheten och rapportering till styrelsen om genomförandet av dess program.”.</w:t>
      </w:r>
    </w:p>
    <w:p>
      <w:pPr>
        <w:tabs>
          <w:tab w:val="left" w:pos="567"/>
        </w:tabs>
        <w:rPr>
          <w:noProof/>
        </w:rPr>
      </w:pPr>
      <w:r>
        <w:rPr>
          <w:noProof/>
        </w:rPr>
        <w:t>2.</w:t>
      </w:r>
      <w:r>
        <w:rPr>
          <w:noProof/>
        </w:rPr>
        <w:tab/>
        <w:t>Artikel 5 ska ändras på följande sätt:</w:t>
      </w:r>
    </w:p>
    <w:p>
      <w:pPr>
        <w:ind w:left="1134" w:hanging="567"/>
        <w:rPr>
          <w:noProof/>
        </w:rPr>
      </w:pPr>
      <w:r>
        <w:rPr>
          <w:noProof/>
        </w:rPr>
        <w:t>a)</w:t>
      </w:r>
      <w:r>
        <w:rPr>
          <w:noProof/>
        </w:rPr>
        <w:tab/>
        <w:t>Punkterna 1 och 2 ska ersättas med följande:</w:t>
      </w:r>
    </w:p>
    <w:p>
      <w:pPr>
        <w:tabs>
          <w:tab w:val="left" w:pos="1701"/>
        </w:tabs>
        <w:ind w:left="1134"/>
        <w:rPr>
          <w:noProof/>
        </w:rPr>
      </w:pPr>
      <w:r>
        <w:rPr>
          <w:noProof/>
        </w:rPr>
        <w:t>”1.</w:t>
      </w:r>
      <w:r>
        <w:rPr>
          <w:noProof/>
        </w:rPr>
        <w:tab/>
        <w:t>ECB:s ordförande ska vara ordförande i ESRB.</w:t>
      </w:r>
    </w:p>
    <w:p>
      <w:pPr>
        <w:tabs>
          <w:tab w:val="left" w:pos="1701"/>
        </w:tabs>
        <w:ind w:left="1134"/>
        <w:rPr>
          <w:rFonts w:eastAsia="Times New Roman"/>
          <w:noProof/>
          <w:szCs w:val="24"/>
        </w:rPr>
      </w:pPr>
      <w:r>
        <w:rPr>
          <w:noProof/>
        </w:rPr>
        <w:t>2.</w:t>
      </w:r>
      <w:r>
        <w:rPr>
          <w:noProof/>
        </w:rPr>
        <w:tab/>
        <w:t>Förste vice ordförande ska väljas av och bland ledamöterna i ECB:s allmänna råd för en mandatperiod på fem år, med beaktande av att medlemsstaterna generellt och de deltagande medlemsstaterna enligt artikel 2.1 i rådets förordning (EU) nr 1024/2013** respektive de icke deltagande medlemsstaterna bör vara företrädda på ett välavvägt sätt. Förste vice ordföranden får återväljas en gång.</w:t>
      </w:r>
    </w:p>
    <w:p>
      <w:pPr>
        <w:ind w:left="1134"/>
        <w:rPr>
          <w:rFonts w:eastAsia="Times New Roman"/>
          <w:noProof/>
          <w:szCs w:val="24"/>
        </w:rPr>
      </w:pPr>
      <w:r>
        <w:rPr>
          <w:noProof/>
        </w:rPr>
        <w:t>__________________________________________________________________</w:t>
      </w:r>
    </w:p>
    <w:p>
      <w:pPr>
        <w:ind w:left="1701" w:hanging="567"/>
        <w:rPr>
          <w:rFonts w:eastAsia="Times New Roman"/>
          <w:noProof/>
          <w:sz w:val="20"/>
          <w:szCs w:val="20"/>
        </w:rPr>
      </w:pPr>
      <w:r>
        <w:rPr>
          <w:noProof/>
          <w:sz w:val="20"/>
        </w:rPr>
        <w:t>**</w:t>
      </w:r>
      <w:r>
        <w:rPr>
          <w:noProof/>
        </w:rPr>
        <w:tab/>
      </w:r>
      <w:r>
        <w:rPr>
          <w:noProof/>
          <w:sz w:val="20"/>
        </w:rPr>
        <w:t>Rådets förordning (EU) nr 1024/2013 av den 15 oktober 2013 om tilldelning av särskilda uppgifter till Europeiska centralbanken i fråga om politiken för tillsyn över kreditinstitut (EUT L 287, 29.10.2013, s. 63).”.</w:t>
      </w:r>
    </w:p>
    <w:p>
      <w:pPr>
        <w:ind w:left="1134" w:hanging="567"/>
        <w:rPr>
          <w:rFonts w:eastAsia="Times New Roman"/>
          <w:noProof/>
          <w:szCs w:val="24"/>
        </w:rPr>
      </w:pPr>
      <w:r>
        <w:rPr>
          <w:noProof/>
        </w:rPr>
        <w:t>b)</w:t>
      </w:r>
      <w:r>
        <w:rPr>
          <w:noProof/>
        </w:rPr>
        <w:tab/>
        <w:t>Punkt 8 ska ersättas med följande:</w:t>
      </w:r>
    </w:p>
    <w:p>
      <w:pPr>
        <w:tabs>
          <w:tab w:val="left" w:pos="1701"/>
        </w:tabs>
        <w:ind w:left="1134"/>
        <w:rPr>
          <w:rFonts w:eastAsia="Times New Roman"/>
          <w:noProof/>
          <w:szCs w:val="24"/>
        </w:rPr>
      </w:pPr>
      <w:r>
        <w:rPr>
          <w:noProof/>
        </w:rPr>
        <w:t>”8.</w:t>
      </w:r>
      <w:r>
        <w:rPr>
          <w:noProof/>
        </w:rPr>
        <w:tab/>
        <w:t>Ordföranden ska företräda ESRB utåt. Ordföranden får delegera uppgifter som handlar om att företräda ESRB utåt till sekretariatschefen.”.</w:t>
      </w:r>
    </w:p>
    <w:p>
      <w:pPr>
        <w:tabs>
          <w:tab w:val="left" w:pos="567"/>
        </w:tabs>
        <w:rPr>
          <w:noProof/>
        </w:rPr>
      </w:pPr>
      <w:r>
        <w:rPr>
          <w:noProof/>
        </w:rPr>
        <w:t>3.</w:t>
      </w:r>
      <w:r>
        <w:rPr>
          <w:noProof/>
        </w:rPr>
        <w:tab/>
        <w:t>Artikel 6 ska ändras på följande sätt:</w:t>
      </w:r>
    </w:p>
    <w:p>
      <w:pPr>
        <w:ind w:left="1134" w:hanging="567"/>
        <w:rPr>
          <w:noProof/>
        </w:rPr>
      </w:pPr>
      <w:r>
        <w:rPr>
          <w:noProof/>
        </w:rPr>
        <w:t>a)</w:t>
      </w:r>
      <w:r>
        <w:rPr>
          <w:noProof/>
        </w:rPr>
        <w:tab/>
        <w:t>Punkt 1 ska ändras på följande sätt:</w:t>
      </w:r>
    </w:p>
    <w:p>
      <w:pPr>
        <w:ind w:left="1701" w:hanging="567"/>
        <w:rPr>
          <w:noProof/>
        </w:rPr>
      </w:pPr>
      <w:r>
        <w:rPr>
          <w:noProof/>
        </w:rPr>
        <w:t>i)</w:t>
      </w:r>
      <w:r>
        <w:rPr>
          <w:noProof/>
        </w:rPr>
        <w:tab/>
        <w:t>Följande led ska införas som leden fa och fb:</w:t>
      </w:r>
    </w:p>
    <w:p>
      <w:pPr>
        <w:ind w:left="2268" w:hanging="567"/>
        <w:rPr>
          <w:rFonts w:eastAsia="Times New Roman"/>
          <w:noProof/>
          <w:szCs w:val="24"/>
        </w:rPr>
      </w:pPr>
      <w:r>
        <w:rPr>
          <w:noProof/>
        </w:rPr>
        <w:t>”fa)</w:t>
      </w:r>
      <w:r>
        <w:rPr>
          <w:noProof/>
        </w:rPr>
        <w:tab/>
        <w:t>Ordföranden för ECB:s tillsynsnämnd.</w:t>
      </w:r>
    </w:p>
    <w:p>
      <w:pPr>
        <w:ind w:left="2268" w:hanging="567"/>
        <w:rPr>
          <w:rFonts w:eastAsia="Times New Roman"/>
          <w:noProof/>
          <w:szCs w:val="24"/>
        </w:rPr>
      </w:pPr>
      <w:r>
        <w:rPr>
          <w:noProof/>
        </w:rPr>
        <w:t>fb)</w:t>
      </w:r>
      <w:r>
        <w:rPr>
          <w:noProof/>
        </w:rPr>
        <w:tab/>
        <w:t>Ordföranden för den gemensamma resolutionsnämnden.”.</w:t>
      </w:r>
    </w:p>
    <w:p>
      <w:pPr>
        <w:ind w:left="1701" w:hanging="567"/>
        <w:rPr>
          <w:rFonts w:eastAsia="Times New Roman"/>
          <w:noProof/>
          <w:szCs w:val="24"/>
        </w:rPr>
      </w:pPr>
      <w:r>
        <w:rPr>
          <w:noProof/>
        </w:rPr>
        <w:t>ii)</w:t>
      </w:r>
      <w:r>
        <w:rPr>
          <w:noProof/>
        </w:rPr>
        <w:tab/>
        <w:t>Led g ska ersättas med följande:</w:t>
      </w:r>
    </w:p>
    <w:p>
      <w:pPr>
        <w:ind w:left="2268" w:hanging="567"/>
        <w:rPr>
          <w:rFonts w:eastAsia="Times New Roman"/>
          <w:noProof/>
          <w:szCs w:val="24"/>
        </w:rPr>
      </w:pPr>
      <w:r>
        <w:rPr>
          <w:noProof/>
        </w:rPr>
        <w:t>”g)</w:t>
      </w:r>
      <w:r>
        <w:rPr>
          <w:noProof/>
        </w:rPr>
        <w:tab/>
        <w:t>Ordföranden i den rådgivande vetenskapliga kommittén.”.</w:t>
      </w:r>
    </w:p>
    <w:p>
      <w:pPr>
        <w:ind w:left="1134" w:hanging="567"/>
        <w:rPr>
          <w:rFonts w:eastAsia="Times New Roman"/>
          <w:noProof/>
          <w:szCs w:val="24"/>
        </w:rPr>
      </w:pPr>
      <w:r>
        <w:rPr>
          <w:noProof/>
        </w:rPr>
        <w:t>b)</w:t>
      </w:r>
      <w:r>
        <w:rPr>
          <w:noProof/>
        </w:rPr>
        <w:tab/>
        <w:t>Punkt 2 ska ändras på följande sätt:</w:t>
      </w:r>
    </w:p>
    <w:p>
      <w:pPr>
        <w:ind w:left="1701" w:hanging="567"/>
        <w:rPr>
          <w:noProof/>
        </w:rPr>
      </w:pPr>
      <w:r>
        <w:rPr>
          <w:noProof/>
        </w:rPr>
        <w:t>i)</w:t>
      </w:r>
      <w:r>
        <w:rPr>
          <w:noProof/>
        </w:rPr>
        <w:tab/>
        <w:t>Led a ska ersättas med följande:</w:t>
      </w:r>
    </w:p>
    <w:p>
      <w:pPr>
        <w:ind w:left="2268" w:hanging="567"/>
        <w:rPr>
          <w:rFonts w:eastAsia="Times New Roman"/>
          <w:noProof/>
          <w:szCs w:val="24"/>
        </w:rPr>
      </w:pPr>
      <w:r>
        <w:rPr>
          <w:noProof/>
        </w:rPr>
        <w:t>a)</w:t>
      </w:r>
      <w:r>
        <w:rPr>
          <w:noProof/>
        </w:rPr>
        <w:tab/>
        <w:t>En företrädare på hög nivå per medlemsstat, antingen från nationella behöriga myndigheter eller från nationella myndigheter som utsetts för vidtagande av åtgärder för att motverka systemrisker eller makrorisker, i enlighet med punkt 3.”.</w:t>
      </w:r>
    </w:p>
    <w:p>
      <w:pPr>
        <w:ind w:left="1134" w:hanging="567"/>
        <w:rPr>
          <w:rFonts w:eastAsia="Times New Roman"/>
          <w:noProof/>
          <w:szCs w:val="24"/>
        </w:rPr>
      </w:pPr>
      <w:r>
        <w:rPr>
          <w:noProof/>
        </w:rPr>
        <w:t>c)</w:t>
      </w:r>
      <w:r>
        <w:rPr>
          <w:noProof/>
        </w:rPr>
        <w:tab/>
        <w:t>Punkt 3 ska ersättas med följande:</w:t>
      </w:r>
    </w:p>
    <w:p>
      <w:pPr>
        <w:tabs>
          <w:tab w:val="left" w:pos="1701"/>
        </w:tabs>
        <w:ind w:left="1134"/>
        <w:rPr>
          <w:rFonts w:eastAsia="Times New Roman"/>
          <w:noProof/>
          <w:szCs w:val="24"/>
        </w:rPr>
      </w:pPr>
      <w:r>
        <w:rPr>
          <w:noProof/>
        </w:rPr>
        <w:t>”3.</w:t>
      </w:r>
      <w:r>
        <w:rPr>
          <w:noProof/>
        </w:rPr>
        <w:tab/>
        <w:t>När det gäller de företrädare för de nationella myndigheterna som avses i punkt 2 a ska företrädarna på hög nivå rotera beroende på vilken fråga som diskuteras, såvida inte de nationella myndigheterna från en viss medlemsstat har enats om en gemensam företrädare.”.</w:t>
      </w:r>
    </w:p>
    <w:p>
      <w:pPr>
        <w:ind w:left="567" w:hanging="567"/>
        <w:rPr>
          <w:rFonts w:eastAsia="Times New Roman"/>
          <w:noProof/>
          <w:szCs w:val="24"/>
        </w:rPr>
      </w:pPr>
      <w:r>
        <w:rPr>
          <w:noProof/>
        </w:rPr>
        <w:t>4.</w:t>
      </w:r>
      <w:r>
        <w:rPr>
          <w:noProof/>
        </w:rPr>
        <w:tab/>
        <w:t xml:space="preserve">Artikel 9.5 ska utgå. </w:t>
      </w:r>
    </w:p>
    <w:p>
      <w:pPr>
        <w:ind w:left="567" w:hanging="567"/>
        <w:rPr>
          <w:rFonts w:eastAsia="Times New Roman"/>
          <w:noProof/>
          <w:szCs w:val="24"/>
        </w:rPr>
      </w:pPr>
      <w:r>
        <w:rPr>
          <w:noProof/>
        </w:rPr>
        <w:t>5.</w:t>
      </w:r>
      <w:r>
        <w:rPr>
          <w:noProof/>
        </w:rPr>
        <w:tab/>
        <w:t>Artikel 11 ska ändras på följande sätt:</w:t>
      </w:r>
    </w:p>
    <w:p>
      <w:pPr>
        <w:ind w:left="1134" w:hanging="567"/>
        <w:rPr>
          <w:rFonts w:eastAsia="Times New Roman"/>
          <w:noProof/>
          <w:szCs w:val="24"/>
        </w:rPr>
      </w:pPr>
      <w:r>
        <w:rPr>
          <w:noProof/>
        </w:rPr>
        <w:t>a)</w:t>
      </w:r>
      <w:r>
        <w:rPr>
          <w:noProof/>
        </w:rPr>
        <w:tab/>
        <w:t>Punkt 1 ska ändras på följande sätt:</w:t>
      </w:r>
    </w:p>
    <w:p>
      <w:pPr>
        <w:ind w:left="1701" w:hanging="567"/>
        <w:rPr>
          <w:rFonts w:eastAsia="Times New Roman"/>
          <w:noProof/>
          <w:szCs w:val="24"/>
        </w:rPr>
      </w:pPr>
      <w:r>
        <w:rPr>
          <w:noProof/>
        </w:rPr>
        <w:t>i)</w:t>
      </w:r>
      <w:r>
        <w:rPr>
          <w:noProof/>
        </w:rPr>
        <w:tab/>
        <w:t>Led c ska ersättas med följande:</w:t>
      </w:r>
    </w:p>
    <w:p>
      <w:pPr>
        <w:ind w:left="2268" w:hanging="567"/>
        <w:rPr>
          <w:rFonts w:eastAsia="Times New Roman"/>
          <w:noProof/>
          <w:szCs w:val="24"/>
        </w:rPr>
      </w:pPr>
      <w:r>
        <w:rPr>
          <w:noProof/>
        </w:rPr>
        <w:t>”c)</w:t>
      </w:r>
      <w:r>
        <w:rPr>
          <w:noProof/>
        </w:rPr>
        <w:tab/>
        <w:t>Fyra andra styrelseledamöter som samtidigt är ledamöter i ECB:s allmänna råd, med beaktande av att medlemsstaterna generellt och de deltagande medlemsstaterna enligt artikel 2.1 i rådets förordning (EU) nr 1024/2013 respektive de icke deltagande medlemsstaterna bör vara företrädda på ett välavvägt sätt. De ska väljas på tre år av och bland de styrelseledamöter som samtidigt är ledamöter i ECB:s allmänna råd.”.</w:t>
      </w:r>
    </w:p>
    <w:p>
      <w:pPr>
        <w:ind w:left="1701" w:hanging="567"/>
        <w:rPr>
          <w:rFonts w:eastAsia="Times New Roman"/>
          <w:noProof/>
          <w:szCs w:val="24"/>
        </w:rPr>
      </w:pPr>
      <w:r>
        <w:rPr>
          <w:noProof/>
        </w:rPr>
        <w:t>ii)</w:t>
      </w:r>
      <w:r>
        <w:rPr>
          <w:noProof/>
        </w:rPr>
        <w:tab/>
        <w:t>Följande led ska införas som leden ga och gb:</w:t>
      </w:r>
    </w:p>
    <w:p>
      <w:pPr>
        <w:ind w:left="2268" w:hanging="567"/>
        <w:rPr>
          <w:rFonts w:eastAsia="Times New Roman"/>
          <w:noProof/>
          <w:szCs w:val="24"/>
        </w:rPr>
      </w:pPr>
      <w:r>
        <w:rPr>
          <w:noProof/>
        </w:rPr>
        <w:t>ga)</w:t>
      </w:r>
      <w:r>
        <w:rPr>
          <w:noProof/>
        </w:rPr>
        <w:tab/>
        <w:t>Ordföranden för ECB:s tillsynsnämnd.</w:t>
      </w:r>
    </w:p>
    <w:p>
      <w:pPr>
        <w:ind w:left="2268" w:hanging="567"/>
        <w:rPr>
          <w:rFonts w:eastAsia="Times New Roman"/>
          <w:noProof/>
          <w:szCs w:val="24"/>
        </w:rPr>
      </w:pPr>
      <w:r>
        <w:rPr>
          <w:noProof/>
        </w:rPr>
        <w:t>gb)</w:t>
      </w:r>
      <w:r>
        <w:rPr>
          <w:noProof/>
        </w:rPr>
        <w:tab/>
        <w:t>Ordföranden för den gemensamma resolutionsnämnden.”.</w:t>
      </w:r>
    </w:p>
    <w:p>
      <w:pPr>
        <w:tabs>
          <w:tab w:val="left" w:pos="567"/>
        </w:tabs>
        <w:rPr>
          <w:rFonts w:eastAsia="Times New Roman"/>
          <w:noProof/>
          <w:szCs w:val="24"/>
        </w:rPr>
      </w:pPr>
      <w:r>
        <w:rPr>
          <w:noProof/>
        </w:rPr>
        <w:t>6.</w:t>
      </w:r>
      <w:r>
        <w:rPr>
          <w:noProof/>
        </w:rPr>
        <w:tab/>
        <w:t>Artikel 12 ska ändras på följande sätt:</w:t>
      </w:r>
    </w:p>
    <w:p>
      <w:pPr>
        <w:ind w:left="1134" w:hanging="567"/>
        <w:rPr>
          <w:rFonts w:eastAsia="Times New Roman"/>
          <w:noProof/>
          <w:szCs w:val="24"/>
        </w:rPr>
      </w:pPr>
      <w:r>
        <w:rPr>
          <w:noProof/>
        </w:rPr>
        <w:t>a)</w:t>
      </w:r>
      <w:r>
        <w:rPr>
          <w:noProof/>
        </w:rPr>
        <w:tab/>
        <w:t>Punkt 5 ska ersättas med följande:</w:t>
      </w:r>
    </w:p>
    <w:p>
      <w:pPr>
        <w:tabs>
          <w:tab w:val="left" w:pos="1701"/>
        </w:tabs>
        <w:ind w:left="1134"/>
        <w:rPr>
          <w:rFonts w:eastAsia="Times New Roman"/>
          <w:noProof/>
          <w:szCs w:val="24"/>
        </w:rPr>
      </w:pPr>
      <w:r>
        <w:rPr>
          <w:noProof/>
        </w:rPr>
        <w:t>”5.</w:t>
      </w:r>
      <w:r>
        <w:rPr>
          <w:noProof/>
        </w:rPr>
        <w:tab/>
        <w:t>Rådgivande vetenskapliga kommittén ska vid behov i ett tidigt skede organisera samråd med intressenter på ett öppet och transparent sätt, samtidigt som hänsyn tas till kravet på konfidentialitet.”.</w:t>
      </w:r>
    </w:p>
    <w:p>
      <w:pPr>
        <w:tabs>
          <w:tab w:val="left" w:pos="567"/>
        </w:tabs>
        <w:rPr>
          <w:rFonts w:eastAsia="Times New Roman"/>
          <w:noProof/>
          <w:szCs w:val="24"/>
        </w:rPr>
      </w:pPr>
      <w:r>
        <w:rPr>
          <w:noProof/>
        </w:rPr>
        <w:t xml:space="preserve"> 7.</w:t>
      </w:r>
      <w:r>
        <w:rPr>
          <w:noProof/>
        </w:rPr>
        <w:tab/>
        <w:t>Artikel 13 ska ändras på följande sätt:</w:t>
      </w:r>
    </w:p>
    <w:p>
      <w:pPr>
        <w:ind w:left="1134" w:hanging="567"/>
        <w:rPr>
          <w:rFonts w:eastAsia="Times New Roman"/>
          <w:noProof/>
          <w:szCs w:val="24"/>
        </w:rPr>
      </w:pPr>
      <w:r>
        <w:rPr>
          <w:noProof/>
        </w:rPr>
        <w:t>a)</w:t>
      </w:r>
      <w:r>
        <w:rPr>
          <w:noProof/>
        </w:rPr>
        <w:tab/>
        <w:t>Punkt 1 ska ändras på följande sätt:</w:t>
      </w:r>
    </w:p>
    <w:p>
      <w:pPr>
        <w:ind w:left="1701" w:hanging="567"/>
        <w:rPr>
          <w:rFonts w:eastAsia="Times New Roman"/>
          <w:noProof/>
          <w:szCs w:val="24"/>
        </w:rPr>
      </w:pPr>
      <w:r>
        <w:rPr>
          <w:noProof/>
        </w:rPr>
        <w:t>i)</w:t>
      </w:r>
      <w:r>
        <w:rPr>
          <w:noProof/>
        </w:rPr>
        <w:tab/>
        <w:t>Led f ska ersättas med följande:</w:t>
      </w:r>
    </w:p>
    <w:p>
      <w:pPr>
        <w:ind w:left="2268" w:hanging="567"/>
        <w:rPr>
          <w:rFonts w:eastAsia="Times New Roman"/>
          <w:noProof/>
          <w:szCs w:val="24"/>
        </w:rPr>
      </w:pPr>
      <w:r>
        <w:rPr>
          <w:noProof/>
        </w:rPr>
        <w:t>f)</w:t>
      </w:r>
      <w:r>
        <w:rPr>
          <w:noProof/>
        </w:rPr>
        <w:tab/>
        <w:t>En företrädare för kommissionen.”.</w:t>
      </w:r>
    </w:p>
    <w:p>
      <w:pPr>
        <w:ind w:left="1701" w:hanging="567"/>
        <w:rPr>
          <w:rFonts w:eastAsia="Times New Roman"/>
          <w:noProof/>
          <w:szCs w:val="24"/>
        </w:rPr>
      </w:pPr>
      <w:r>
        <w:rPr>
          <w:noProof/>
        </w:rPr>
        <w:t>ii)</w:t>
      </w:r>
      <w:r>
        <w:rPr>
          <w:noProof/>
        </w:rPr>
        <w:tab/>
        <w:t>Följande led ska införas som leden fa och fb:</w:t>
      </w:r>
    </w:p>
    <w:p>
      <w:pPr>
        <w:ind w:left="2268" w:hanging="567"/>
        <w:rPr>
          <w:rFonts w:eastAsia="Times New Roman"/>
          <w:noProof/>
          <w:szCs w:val="24"/>
        </w:rPr>
      </w:pPr>
      <w:r>
        <w:rPr>
          <w:noProof/>
        </w:rPr>
        <w:t>”fa)</w:t>
      </w:r>
      <w:r>
        <w:rPr>
          <w:noProof/>
        </w:rPr>
        <w:tab/>
        <w:t>En företrädare för ECB:s tillsynsnämnd.</w:t>
      </w:r>
    </w:p>
    <w:p>
      <w:pPr>
        <w:ind w:left="2268" w:hanging="567"/>
        <w:rPr>
          <w:rFonts w:eastAsia="Times New Roman"/>
          <w:noProof/>
          <w:szCs w:val="24"/>
        </w:rPr>
      </w:pPr>
      <w:r>
        <w:rPr>
          <w:noProof/>
        </w:rPr>
        <w:t>fb)</w:t>
      </w:r>
      <w:r>
        <w:rPr>
          <w:noProof/>
        </w:rPr>
        <w:tab/>
        <w:t>En företrädare för den gemensamma resolutionsnämnden.”.</w:t>
      </w:r>
    </w:p>
    <w:p>
      <w:pPr>
        <w:ind w:left="1134" w:hanging="567"/>
        <w:rPr>
          <w:rFonts w:eastAsia="Times New Roman"/>
          <w:noProof/>
          <w:szCs w:val="24"/>
        </w:rPr>
      </w:pPr>
      <w:r>
        <w:rPr>
          <w:noProof/>
        </w:rPr>
        <w:t>b)</w:t>
      </w:r>
      <w:r>
        <w:rPr>
          <w:noProof/>
        </w:rPr>
        <w:tab/>
        <w:t>Följande punkt ska införas som punkt 4 a:</w:t>
      </w:r>
    </w:p>
    <w:p>
      <w:pPr>
        <w:tabs>
          <w:tab w:val="left" w:pos="1701"/>
        </w:tabs>
        <w:ind w:left="1134"/>
        <w:rPr>
          <w:rFonts w:eastAsia="Times New Roman"/>
          <w:noProof/>
          <w:szCs w:val="24"/>
        </w:rPr>
      </w:pPr>
      <w:r>
        <w:rPr>
          <w:noProof/>
        </w:rPr>
        <w:t>”4 a</w:t>
      </w:r>
      <w:r>
        <w:rPr>
          <w:noProof/>
        </w:rPr>
        <w:tab/>
        <w:t>Rådgivande tekniska kommittén ska vid behov i ett tidigt skede organisera samråd med intressenter på ett öppet och transparent sätt, samtidigt som hänsyn tas till kravet på konfidentialitet.”.</w:t>
      </w:r>
    </w:p>
    <w:p>
      <w:pPr>
        <w:tabs>
          <w:tab w:val="left" w:pos="567"/>
        </w:tabs>
        <w:rPr>
          <w:rFonts w:eastAsia="Times New Roman"/>
          <w:noProof/>
          <w:szCs w:val="24"/>
        </w:rPr>
      </w:pPr>
      <w:r>
        <w:rPr>
          <w:noProof/>
        </w:rPr>
        <w:t>8.</w:t>
      </w:r>
      <w:r>
        <w:rPr>
          <w:noProof/>
        </w:rPr>
        <w:tab/>
        <w:t>Artikel 16 ska ändras på följande sätt:</w:t>
      </w:r>
    </w:p>
    <w:p>
      <w:pPr>
        <w:ind w:left="1134" w:hanging="567"/>
        <w:rPr>
          <w:rFonts w:eastAsia="Times New Roman"/>
          <w:noProof/>
          <w:szCs w:val="24"/>
        </w:rPr>
      </w:pPr>
      <w:r>
        <w:rPr>
          <w:noProof/>
        </w:rPr>
        <w:t>a)</w:t>
      </w:r>
      <w:r>
        <w:rPr>
          <w:noProof/>
        </w:rPr>
        <w:tab/>
        <w:t>I punkt 2 ska första meningen ersättas med följande:</w:t>
      </w:r>
    </w:p>
    <w:p>
      <w:pPr>
        <w:ind w:left="1134"/>
        <w:rPr>
          <w:rFonts w:eastAsia="Times New Roman"/>
          <w:noProof/>
          <w:szCs w:val="24"/>
        </w:rPr>
      </w:pPr>
      <w:r>
        <w:rPr>
          <w:noProof/>
        </w:rPr>
        <w:t>”Varningar och rekommendationer som ESRB utfärdar i enlighet med artikel 3.2 c och d får vara av allmän eller specifik natur och ska särskilt riktas till unionen, till en eller flera medlemsstater, till en eller flera europeiska tillsynsmyndigheter eller till en eller flera nationella behöriga myndigheter, eller till ECB för de uppgifter som tilldelats ECB i enlighet med artiklarna 4.1, 4.2 och 5.2 i förordning (EU) nr 1024/2013.”.</w:t>
      </w:r>
    </w:p>
    <w:p>
      <w:pPr>
        <w:ind w:left="1134" w:hanging="567"/>
        <w:rPr>
          <w:rFonts w:eastAsia="Times New Roman"/>
          <w:noProof/>
          <w:szCs w:val="24"/>
        </w:rPr>
      </w:pPr>
      <w:r>
        <w:rPr>
          <w:noProof/>
        </w:rPr>
        <w:t>b)</w:t>
      </w:r>
      <w:r>
        <w:rPr>
          <w:noProof/>
        </w:rPr>
        <w:tab/>
        <w:t>Punkt 3 ska ersättas med följande:</w:t>
      </w:r>
    </w:p>
    <w:p>
      <w:pPr>
        <w:tabs>
          <w:tab w:val="left" w:pos="1701"/>
        </w:tabs>
        <w:ind w:left="1134"/>
        <w:rPr>
          <w:rFonts w:eastAsia="Times New Roman"/>
          <w:noProof/>
          <w:szCs w:val="24"/>
        </w:rPr>
      </w:pPr>
      <w:r>
        <w:rPr>
          <w:noProof/>
        </w:rPr>
        <w:t>”3.</w:t>
      </w:r>
      <w:r>
        <w:rPr>
          <w:noProof/>
        </w:rPr>
        <w:tab/>
        <w:t xml:space="preserve">Samtidigt som varningarna eller rekommendationerna skickas till mottagarna i enlighet med punkt 2, ska de i enlighet med strikta regler om konfidentialitet skickas till rådet, Europaparlamentet, kommissionen och de europeiska tillsynsmyndigheterna. </w:t>
      </w:r>
    </w:p>
    <w:p>
      <w:pPr>
        <w:tabs>
          <w:tab w:val="left" w:pos="567"/>
        </w:tabs>
        <w:rPr>
          <w:rFonts w:eastAsia="Times New Roman"/>
          <w:noProof/>
          <w:szCs w:val="24"/>
        </w:rPr>
      </w:pPr>
      <w:r>
        <w:rPr>
          <w:noProof/>
        </w:rPr>
        <w:t>9.</w:t>
      </w:r>
      <w:r>
        <w:rPr>
          <w:noProof/>
        </w:rPr>
        <w:tab/>
        <w:t>I artikel 17 ska punkterna 1 och 2 ersättas med följande:</w:t>
      </w:r>
    </w:p>
    <w:p>
      <w:pPr>
        <w:tabs>
          <w:tab w:val="left" w:pos="1701"/>
        </w:tabs>
        <w:ind w:left="1134"/>
        <w:rPr>
          <w:rFonts w:eastAsia="Times New Roman"/>
          <w:noProof/>
          <w:szCs w:val="24"/>
        </w:rPr>
      </w:pPr>
      <w:r>
        <w:rPr>
          <w:noProof/>
        </w:rPr>
        <w:t>”1.</w:t>
      </w:r>
      <w:r>
        <w:rPr>
          <w:noProof/>
        </w:rPr>
        <w:tab/>
        <w:t>Om en rekommendation enligt artikel 3.2 d är ställd till kommissionen, till en eller flera medlemsstater, till en eller flera europeiska tillsynsmyndigheter eller till en eller flera nationella behöriga myndigheter, ska mottagarna underrätta Europaparlamentet, rådet och ESRB om vilka åtgärder som vidtagits med anledning av rekommendationen eller motivera varför inga åtgärder har vidtagits. Vid behov ska ESRB, omgående och i enlighet med strikta regler om konfidentialitet, informera de europeiska tillsynsmyndigheterna om de erhållna svaren.”.</w:t>
      </w:r>
    </w:p>
    <w:p>
      <w:pPr>
        <w:tabs>
          <w:tab w:val="left" w:pos="1701"/>
        </w:tabs>
        <w:ind w:left="1134"/>
        <w:rPr>
          <w:rFonts w:eastAsia="Times New Roman"/>
          <w:noProof/>
          <w:szCs w:val="24"/>
        </w:rPr>
      </w:pPr>
      <w:r>
        <w:rPr>
          <w:noProof/>
        </w:rPr>
        <w:t>2.</w:t>
      </w:r>
      <w:r>
        <w:rPr>
          <w:noProof/>
        </w:rPr>
        <w:tab/>
        <w:t>Om ESRB slår fast att dess rekommendation inte har följts eller att mottagarna inte lämnat godtagbara skäl för varför inga åtgärder har vidtagits, ska ESRB, i enlighet med strikta regler om konfidentialitet, informera mottagarna, Europaparlamentet, rådet och de berörda europeiska tillsynsmyndigheterna om detta.</w:t>
      </w:r>
    </w:p>
    <w:p>
      <w:pPr>
        <w:ind w:left="567" w:hanging="567"/>
        <w:rPr>
          <w:rFonts w:eastAsia="Times New Roman"/>
          <w:noProof/>
          <w:szCs w:val="24"/>
        </w:rPr>
      </w:pPr>
      <w:r>
        <w:rPr>
          <w:noProof/>
        </w:rPr>
        <w:t>10.</w:t>
      </w:r>
      <w:r>
        <w:rPr>
          <w:noProof/>
        </w:rPr>
        <w:tab/>
        <w:t>Artikel 20 ska ersättas med följande:</w:t>
      </w:r>
    </w:p>
    <w:p>
      <w:pPr>
        <w:ind w:left="567"/>
        <w:rPr>
          <w:rFonts w:eastAsia="Times New Roman"/>
          <w:noProof/>
          <w:szCs w:val="24"/>
        </w:rPr>
      </w:pPr>
      <w:r>
        <w:rPr>
          <w:noProof/>
        </w:rPr>
        <w:t xml:space="preserve">”Tidigast den [OJ, please insert the date of entering into force] ska kommissionen genomföra en utvärdering av denna förordning och lägga fram en rapport om de viktigaste resultaten för Europaparlamentet, rådet och Europeiska ekonomiska och sociala kommittén.”. </w:t>
      </w:r>
    </w:p>
    <w:p>
      <w:pPr>
        <w:pStyle w:val="Titrearticle"/>
        <w:rPr>
          <w:noProof/>
        </w:rPr>
      </w:pPr>
      <w:r>
        <w:rPr>
          <w:noProof/>
        </w:rPr>
        <w:t>Artikel 2</w:t>
      </w:r>
    </w:p>
    <w:p>
      <w:pPr>
        <w:rPr>
          <w:noProof/>
        </w:rPr>
      </w:pPr>
      <w:r>
        <w:rPr>
          <w:noProof/>
        </w:rPr>
        <w:t xml:space="preserve">Denna förordning träder i kraft den […] dagen efter det att den har offentliggjorts i </w:t>
      </w:r>
      <w:r>
        <w:rPr>
          <w:i/>
          <w:noProof/>
        </w:rPr>
        <w:t>Europeiska unionens officiella tidning</w:t>
      </w:r>
      <w:r>
        <w:rPr>
          <w:noProof/>
        </w:rPr>
        <w:t>.</w:t>
      </w:r>
    </w:p>
    <w:p>
      <w:pPr>
        <w:pStyle w:val="Applicationdirecte"/>
        <w:rPr>
          <w:noProof/>
        </w:rPr>
      </w:pPr>
      <w:r>
        <w:rPr>
          <w:noProof/>
        </w:rPr>
        <w:t>Denna förordning är till alla delar bindande och direkt tillämplig i alla medlemsstater</w:t>
      </w:r>
    </w:p>
    <w:p>
      <w:pPr>
        <w:pStyle w:val="Fait"/>
        <w:rPr>
          <w:noProof/>
        </w:rPr>
      </w:pPr>
      <w:r>
        <w:rPr>
          <w:noProof/>
        </w:rPr>
        <w:t>Utfärdad i Bryssel den</w:t>
      </w:r>
    </w:p>
    <w:p>
      <w:pPr>
        <w:pStyle w:val="Institutionquisigne"/>
        <w:rPr>
          <w:noProof/>
        </w:rPr>
      </w:pPr>
      <w:r>
        <w:rPr>
          <w:noProof/>
        </w:rPr>
        <w:t>På Europaparlaments vägnar</w:t>
      </w:r>
      <w:r>
        <w:rPr>
          <w:noProof/>
        </w:rPr>
        <w:tab/>
        <w:t>På rådets vägnar</w:t>
      </w:r>
    </w:p>
    <w:p>
      <w:pPr>
        <w:pStyle w:val="Personnequisigne"/>
        <w:rPr>
          <w:noProof/>
        </w:rPr>
      </w:pPr>
      <w:r>
        <w:rPr>
          <w:noProof/>
        </w:rPr>
        <w:t>Ordförande</w:t>
      </w:r>
      <w:r>
        <w:rPr>
          <w:noProof/>
        </w:rPr>
        <w:tab/>
        <w:t>Ordförande</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SV</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SV</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SV</w:t>
    </w:r>
    <w:r>
      <w:rPr>
        <w:rFonts w:ascii="Arial" w:hAnsi="Arial" w:cs="Arial"/>
        <w:b/>
        <w:sz w:val="48"/>
      </w:rPr>
      <w:tab/>
    </w:r>
    <w:r>
      <w:fldChar w:fldCharType="begin"/>
    </w:r>
    <w:r>
      <w:instrText xml:space="preserve"> PAGE  \* MERGEFORMAT </w:instrText>
    </w:r>
    <w:r>
      <w:fldChar w:fldCharType="separate"/>
    </w:r>
    <w:r>
      <w:rPr>
        <w:noProof/>
      </w:rPr>
      <w:t>12</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SV</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pPr>
      <w:r>
        <w:rPr>
          <w:rStyle w:val="FootnoteReference"/>
        </w:rPr>
        <w:footnoteRef/>
      </w:r>
      <w:r>
        <w:tab/>
        <w:t>De Larosière-rapporten (den slutliga rapporten lades fram den 25 februari 2009) rekommenderade att en union skulle upprättas för att se över riskerna i det finansiella systemet som helhet.</w:t>
      </w:r>
    </w:p>
  </w:footnote>
  <w:footnote w:id="3">
    <w:p>
      <w:pPr>
        <w:pStyle w:val="FootnoteText"/>
        <w:ind w:left="567" w:hanging="567"/>
      </w:pPr>
      <w:r>
        <w:rPr>
          <w:rStyle w:val="FootnoteReference"/>
        </w:rPr>
        <w:footnoteRef/>
      </w:r>
      <w:r>
        <w:tab/>
        <w:t>EUT C , , s. .</w:t>
      </w:r>
    </w:p>
  </w:footnote>
  <w:footnote w:id="4">
    <w:p>
      <w:pPr>
        <w:pStyle w:val="FootnoteText"/>
        <w:ind w:left="567" w:hanging="567"/>
      </w:pPr>
      <w:r>
        <w:rPr>
          <w:rStyle w:val="FootnoteReference"/>
        </w:rPr>
        <w:footnoteRef/>
      </w:r>
      <w:r>
        <w:tab/>
        <w:t>Europaparlamentets och rådets förordning (EU) nr 1092/2010 av den 24 november 2010 om makrotillsyn av det finansiella systemet på EU-nivå och om inrättande av en europeisk systemrisknämnd (EUT L 331, 15.12.2010, s. 1).</w:t>
      </w:r>
    </w:p>
  </w:footnote>
  <w:footnote w:id="5">
    <w:p>
      <w:pPr>
        <w:pStyle w:val="FootnoteText"/>
        <w:ind w:left="567" w:hanging="567"/>
      </w:pPr>
      <w:r>
        <w:rPr>
          <w:rStyle w:val="FootnoteReference"/>
        </w:rPr>
        <w:footnoteRef/>
      </w:r>
      <w:r>
        <w:tab/>
        <w:t>Rapport från kommissionen till Europaparlamentet och rådet om Europeiska systemrisknämndens (ESRB) uppdrag och organisation, COM(2014) 508 final.</w:t>
      </w:r>
    </w:p>
  </w:footnote>
  <w:footnote w:id="6">
    <w:p>
      <w:pPr>
        <w:pStyle w:val="FootnoteText"/>
        <w:ind w:left="567" w:hanging="567"/>
        <w:jc w:val="left"/>
      </w:pPr>
      <w:r>
        <w:rPr>
          <w:rStyle w:val="FootnoteReference"/>
        </w:rPr>
        <w:footnoteRef/>
      </w:r>
      <w:r>
        <w:tab/>
      </w:r>
      <w:r>
        <w:rPr>
          <w:i/>
        </w:rPr>
        <w:t>Commission Staff Working Document, Effect Analysis, Amendments to ESRB Regulation, COM(2017)</w:t>
      </w:r>
      <w:r>
        <w:t xml:space="preserve"> (ej översatt till svenska).</w:t>
      </w:r>
    </w:p>
  </w:footnote>
  <w:footnote w:id="7">
    <w:p>
      <w:pPr>
        <w:pStyle w:val="FootnoteText"/>
        <w:ind w:left="567" w:hanging="567"/>
      </w:pPr>
      <w:r>
        <w:rPr>
          <w:rStyle w:val="FootnoteReference"/>
        </w:rPr>
        <w:footnoteRef/>
      </w:r>
      <w:r>
        <w:tab/>
        <w:t>Rådets förordning (EU) nr 1096/2010 av den 17 november 2010 om tilldelning till Europeiska centralbanken av särskilda uppgifter angående Europeiska systemrisknämndens verksamhet (EUT L 331, 15.12.2010, s. 162).</w:t>
      </w:r>
    </w:p>
  </w:footnote>
  <w:footnote w:id="8">
    <w:p>
      <w:pPr>
        <w:pStyle w:val="FootnoteText"/>
        <w:ind w:left="567" w:hanging="567"/>
      </w:pPr>
      <w:r>
        <w:rPr>
          <w:rStyle w:val="FootnoteReference"/>
        </w:rPr>
        <w:footnoteRef/>
      </w:r>
      <w:r>
        <w:tab/>
        <w:t>Gemensamma EES-kommitténs beslut nr 198/2016 av den 30 september 2016 om ändring av bilaga IX (Finansiella tjänster) till EES-avtalet [2017/275] (EUT L 46, 23.2.2017, s. 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D4CC48DA"/>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28E2D6D8"/>
    <w:lvl w:ilvl="0">
      <w:start w:val="1"/>
      <w:numFmt w:val="decimal"/>
      <w:pStyle w:val="ListNumber3"/>
      <w:lvlText w:val="%1."/>
      <w:lvlJc w:val="left"/>
      <w:pPr>
        <w:tabs>
          <w:tab w:val="num" w:pos="926"/>
        </w:tabs>
        <w:ind w:left="926" w:hanging="360"/>
      </w:pPr>
    </w:lvl>
  </w:abstractNum>
  <w:abstractNum w:abstractNumId="2">
    <w:nsid w:val="FFFFFF7F"/>
    <w:multiLevelType w:val="singleLevel"/>
    <w:tmpl w:val="36B07E2E"/>
    <w:lvl w:ilvl="0">
      <w:start w:val="1"/>
      <w:numFmt w:val="decimal"/>
      <w:pStyle w:val="ListNumber2"/>
      <w:lvlText w:val="%1."/>
      <w:lvlJc w:val="left"/>
      <w:pPr>
        <w:tabs>
          <w:tab w:val="num" w:pos="643"/>
        </w:tabs>
        <w:ind w:left="643" w:hanging="360"/>
      </w:pPr>
    </w:lvl>
  </w:abstractNum>
  <w:abstractNum w:abstractNumId="3">
    <w:nsid w:val="FFFFFF81"/>
    <w:multiLevelType w:val="singleLevel"/>
    <w:tmpl w:val="EA369C92"/>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99B40E32"/>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CBF63D6E"/>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27EABF90"/>
    <w:lvl w:ilvl="0">
      <w:start w:val="1"/>
      <w:numFmt w:val="decimal"/>
      <w:pStyle w:val="ListNumber"/>
      <w:lvlText w:val="%1."/>
      <w:lvlJc w:val="left"/>
      <w:pPr>
        <w:tabs>
          <w:tab w:val="num" w:pos="360"/>
        </w:tabs>
        <w:ind w:left="360" w:hanging="360"/>
      </w:pPr>
    </w:lvl>
  </w:abstractNum>
  <w:abstractNum w:abstractNumId="7">
    <w:nsid w:val="FFFFFF89"/>
    <w:multiLevelType w:val="singleLevel"/>
    <w:tmpl w:val="67F6B66E"/>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4D0C058A"/>
    <w:multiLevelType w:val="singleLevel"/>
    <w:tmpl w:val="BAE8D90E"/>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6">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5"/>
  </w:num>
  <w:num w:numId="10">
    <w:abstractNumId w:val="19"/>
  </w:num>
  <w:num w:numId="11">
    <w:abstractNumId w:val="12"/>
  </w:num>
  <w:num w:numId="12">
    <w:abstractNumId w:val="21"/>
  </w:num>
  <w:num w:numId="13">
    <w:abstractNumId w:val="11"/>
  </w:num>
  <w:num w:numId="14">
    <w:abstractNumId w:val="13"/>
  </w:num>
  <w:num w:numId="15">
    <w:abstractNumId w:val="9"/>
  </w:num>
  <w:num w:numId="16">
    <w:abstractNumId w:val="20"/>
  </w:num>
  <w:num w:numId="17">
    <w:abstractNumId w:val="8"/>
  </w:num>
  <w:num w:numId="18">
    <w:abstractNumId w:val="14"/>
  </w:num>
  <w:num w:numId="19">
    <w:abstractNumId w:val="17"/>
  </w:num>
  <w:num w:numId="20">
    <w:abstractNumId w:val="18"/>
  </w:num>
  <w:num w:numId="21">
    <w:abstractNumId w:val="10"/>
  </w:num>
  <w:num w:numId="22">
    <w:abstractNumId w:val="16"/>
  </w:num>
  <w:num w:numId="23">
    <w:abstractNumId w:val="22"/>
  </w:num>
  <w:num w:numId="24">
    <w:abstractNumId w:val="17"/>
    <w:lvlOverride w:ilvl="0">
      <w:startOverride w:val="1"/>
    </w:lvlOverride>
  </w:num>
  <w:num w:numId="25">
    <w:abstractNumId w:val="19"/>
  </w:num>
  <w:num w:numId="26">
    <w:abstractNumId w:val="12"/>
  </w:num>
  <w:num w:numId="27">
    <w:abstractNumId w:val="21"/>
  </w:num>
  <w:num w:numId="28">
    <w:abstractNumId w:val="11"/>
  </w:num>
  <w:num w:numId="29">
    <w:abstractNumId w:val="13"/>
  </w:num>
  <w:num w:numId="30">
    <w:abstractNumId w:val="9"/>
  </w:num>
  <w:num w:numId="31">
    <w:abstractNumId w:val="20"/>
  </w:num>
  <w:num w:numId="32">
    <w:abstractNumId w:val="8"/>
  </w:num>
  <w:num w:numId="33">
    <w:abstractNumId w:val="14"/>
  </w:num>
  <w:num w:numId="34">
    <w:abstractNumId w:val="17"/>
  </w:num>
  <w:num w:numId="35">
    <w:abstractNumId w:val="18"/>
  </w:num>
  <w:num w:numId="36">
    <w:abstractNumId w:val="10"/>
  </w:num>
  <w:num w:numId="37">
    <w:abstractNumId w:val="16"/>
  </w:num>
  <w:num w:numId="38">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attachedTemplate r:id="rId1"/>
  <w:revisionView w:markup="0"/>
  <w:doNotTrackFormatting/>
  <w:defaultTabStop w:val="720"/>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7-10-17 10:19:05"/>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61"/>
    <w:docVar w:name="DQCResult_ModifiedMarkers" w:val="0;0"/>
    <w:docVar w:name="DQCResult_ModifiedNumbering" w:val="0;0"/>
    <w:docVar w:name="DQCResult_Objects" w:val="0;0"/>
    <w:docVar w:name="DQCResult_Sections" w:val="0;0"/>
    <w:docVar w:name="DQCResult_StructureCheck" w:val="0;0"/>
    <w:docVar w:name="DQCResult_SuperfluousWhitespace" w:val="0;5"/>
    <w:docVar w:name="DQCResult_UnknownFonts" w:val="0;0"/>
    <w:docVar w:name="DQCResult_UnknownStyles" w:val="0;0"/>
    <w:docVar w:name="DQCStatus" w:val="Green"/>
    <w:docVar w:name="DQCVersion" w:val="3"/>
    <w:docVar w:name="DQCWithWarnings" w:val="0"/>
    <w:docVar w:name="LW_CONFIDENCE" w:val=" "/>
    <w:docVar w:name="LW_CONST_RESTREINT_UE" w:val="RESTREINT UE"/>
    <w:docVar w:name="LW_CORRIGENDUM" w:val="&lt;UNUSED&gt;"/>
    <w:docVar w:name="LW_COVERPAGE_GUID" w:val="08CF6385B102411A86829EE8B5F8D2BF"/>
    <w:docVar w:name="LW_CROSSREFERENCE" w:val="{SWD(2017) 313 final}"/>
    <w:docVar w:name="LW_DocType" w:val="COM"/>
    <w:docVar w:name="LW_EMISSION" w:val="20.9.2017"/>
    <w:docVar w:name="LW_EMISSION_ISODATE" w:val="2017-09-20"/>
    <w:docVar w:name="LW_EMISSION_LOCATION" w:val="BRX"/>
    <w:docVar w:name="LW_EMISSION_PREFIX" w:val="Bryssel den "/>
    <w:docVar w:name="LW_EMISSION_SUFFIX" w:val=" "/>
    <w:docVar w:name="LW_ID_DOCMODEL" w:val="SJ-023"/>
    <w:docVar w:name="LW_ID_DOCSIGNATURE" w:val="SJ-023"/>
    <w:docVar w:name="LW_ID_DOCSTRUCTURE" w:val="COM/PL/ORG"/>
    <w:docVar w:name="LW_ID_DOCTYPE" w:val="SJ-023"/>
    <w:docVar w:name="LW_ID_STATUT" w:val="SJ-023"/>
    <w:docVar w:name="LW_INTERETEEE.CP" w:val="(Text av betydelse för EES)"/>
    <w:docVar w:name="LW_LANGUE" w:val="SV"/>
    <w:docVar w:name="LW_MARKING" w:val="&lt;UNUSED&gt;"/>
    <w:docVar w:name="LW_NOM.INST" w:val="EUROPEISKA KOMMISSIONEN"/>
    <w:docVar w:name="LW_NOM.INST_JOINTDOC" w:val="&lt;EMPTY&gt;"/>
    <w:docVar w:name="LW_PART_NBR" w:val="1"/>
    <w:docVar w:name="LW_PART_NBR_TOTAL" w:val="1"/>
    <w:docVar w:name="LW_REF.II.NEW.CP" w:val="COD"/>
    <w:docVar w:name="LW_REF.II.NEW.CP_NUMBER" w:val="0232"/>
    <w:docVar w:name="LW_REF.II.NEW.CP_YEAR" w:val="2017"/>
    <w:docVar w:name="LW_REF.INST.NEW" w:val="COM"/>
    <w:docVar w:name="LW_REF.INST.NEW_ADOPTED" w:val="final"/>
    <w:docVar w:name="LW_REF.INST.NEW_TEXT" w:val="(2017) 538"/>
    <w:docVar w:name="LW_REF.INTERNE" w:val="&lt;UNUSED&gt;"/>
    <w:docVar w:name="LW_SOUS.TITRE.OBJ.CP" w:val="&lt;UNUSED&gt;"/>
    <w:docVar w:name="LW_STATUT.CP" w:val="Förslag till"/>
    <w:docVar w:name="LW_SUPERTITRE" w:val="&lt;UNUSED&gt;"/>
    <w:docVar w:name="LW_TITRE.OBJ.CP" w:val="om ändring av förordning (EU) nr 1092/2010 om makrotillsyn av det finansiella systemet på EU-nivå och om inrättande av en europeisk systemrisknämnd"/>
    <w:docVar w:name="LW_TYPE.DOC.CP" w:val="EUROPAPARLAMENTETS OCH RÅDETS FÖRORDNING"/>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sv-SE" w:bidi="sv-SE"/>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footer"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1"/>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sv-S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sv-S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sv-SE"/>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Hyperlink">
    <w:name w:val="Hyperlink"/>
    <w:basedOn w:val="DefaultParagraphFont"/>
    <w:uiPriority w:val="99"/>
    <w:unhideWhenUsed/>
    <w:rPr>
      <w:color w:val="0000FF" w:themeColor="hyperlink"/>
      <w:u w:val="single"/>
    </w:rPr>
  </w:style>
  <w:style w:type="paragraph" w:customStyle="1" w:styleId="ListDash1">
    <w:name w:val="List Dash 1"/>
    <w:basedOn w:val="Normal"/>
    <w:qFormat/>
    <w:pPr>
      <w:numPr>
        <w:numId w:val="9"/>
      </w:numPr>
    </w:pPr>
    <w:rPr>
      <w:rFonts w:eastAsia="Times New Roman"/>
    </w:rPr>
  </w:style>
  <w:style w:type="paragraph" w:styleId="Caption">
    <w:name w:val="caption"/>
    <w:basedOn w:val="Normal"/>
    <w:next w:val="Normal"/>
    <w:uiPriority w:val="35"/>
    <w:unhideWhenUsed/>
    <w:qFormat/>
    <w:pPr>
      <w:spacing w:before="0" w:after="200"/>
    </w:pPr>
    <w:rPr>
      <w:b/>
      <w:bCs/>
      <w:color w:val="4F81BD" w:themeColor="accent1"/>
      <w:sz w:val="18"/>
      <w:szCs w:val="18"/>
    </w:rPr>
  </w:style>
  <w:style w:type="character" w:styleId="Strong">
    <w:name w:val="Strong"/>
    <w:basedOn w:val="DefaultParagraphFont"/>
    <w:uiPriority w:val="22"/>
    <w:qFormat/>
    <w:rPr>
      <w:b/>
      <w:bCs/>
    </w:rPr>
  </w:style>
  <w:style w:type="paragraph" w:styleId="ListParagraph">
    <w:name w:val="List Paragraph"/>
    <w:basedOn w:val="Normal"/>
    <w:link w:val="ListParagraphChar"/>
    <w:uiPriority w:val="34"/>
    <w:qFormat/>
    <w:pPr>
      <w:spacing w:before="0" w:after="0"/>
      <w:ind w:left="720"/>
      <w:jc w:val="left"/>
    </w:pPr>
    <w:rPr>
      <w:rFonts w:ascii="Calibri" w:eastAsia="Times New Roman" w:hAnsi="Calibri"/>
      <w:sz w:val="22"/>
    </w:rPr>
  </w:style>
  <w:style w:type="character" w:customStyle="1" w:styleId="ListParagraphChar">
    <w:name w:val="List Paragraph Char"/>
    <w:basedOn w:val="DefaultParagraphFont"/>
    <w:link w:val="ListParagraph"/>
    <w:uiPriority w:val="34"/>
    <w:locked/>
    <w:rPr>
      <w:rFonts w:ascii="Calibri" w:eastAsia="Times New Roman" w:hAnsi="Calibri" w:cs="Times New Roman"/>
      <w:lang w:val="sv-SE"/>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5"/>
      </w:numPr>
    </w:pPr>
  </w:style>
  <w:style w:type="paragraph" w:customStyle="1" w:styleId="Tiret1">
    <w:name w:val="Tiret 1"/>
    <w:basedOn w:val="Point1"/>
    <w:pPr>
      <w:numPr>
        <w:numId w:val="26"/>
      </w:numPr>
    </w:pPr>
  </w:style>
  <w:style w:type="paragraph" w:customStyle="1" w:styleId="Tiret2">
    <w:name w:val="Tiret 2"/>
    <w:basedOn w:val="Point2"/>
    <w:pPr>
      <w:numPr>
        <w:numId w:val="27"/>
      </w:numPr>
    </w:pPr>
  </w:style>
  <w:style w:type="paragraph" w:customStyle="1" w:styleId="Tiret3">
    <w:name w:val="Tiret 3"/>
    <w:basedOn w:val="Point3"/>
    <w:pPr>
      <w:numPr>
        <w:numId w:val="28"/>
      </w:numPr>
    </w:pPr>
  </w:style>
  <w:style w:type="paragraph" w:customStyle="1" w:styleId="Tiret4">
    <w:name w:val="Tiret 4"/>
    <w:basedOn w:val="Point4"/>
    <w:pPr>
      <w:numPr>
        <w:numId w:val="2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0"/>
      </w:numPr>
    </w:pPr>
  </w:style>
  <w:style w:type="paragraph" w:customStyle="1" w:styleId="NumPar2">
    <w:name w:val="NumPar 2"/>
    <w:basedOn w:val="Normal"/>
    <w:next w:val="Text1"/>
    <w:pPr>
      <w:numPr>
        <w:ilvl w:val="1"/>
        <w:numId w:val="30"/>
      </w:numPr>
    </w:pPr>
  </w:style>
  <w:style w:type="paragraph" w:customStyle="1" w:styleId="NumPar3">
    <w:name w:val="NumPar 3"/>
    <w:basedOn w:val="Normal"/>
    <w:next w:val="Text1"/>
    <w:pPr>
      <w:numPr>
        <w:ilvl w:val="2"/>
        <w:numId w:val="30"/>
      </w:numPr>
    </w:pPr>
  </w:style>
  <w:style w:type="paragraph" w:customStyle="1" w:styleId="NumPar4">
    <w:name w:val="NumPar 4"/>
    <w:basedOn w:val="Normal"/>
    <w:next w:val="Text1"/>
    <w:pPr>
      <w:numPr>
        <w:ilvl w:val="3"/>
        <w:numId w:val="3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2"/>
      </w:numPr>
    </w:pPr>
  </w:style>
  <w:style w:type="paragraph" w:customStyle="1" w:styleId="Point1number">
    <w:name w:val="Point 1 (number)"/>
    <w:basedOn w:val="Normal"/>
    <w:pPr>
      <w:numPr>
        <w:ilvl w:val="2"/>
        <w:numId w:val="32"/>
      </w:numPr>
    </w:pPr>
  </w:style>
  <w:style w:type="paragraph" w:customStyle="1" w:styleId="Point2number">
    <w:name w:val="Point 2 (number)"/>
    <w:basedOn w:val="Normal"/>
    <w:pPr>
      <w:numPr>
        <w:ilvl w:val="4"/>
        <w:numId w:val="32"/>
      </w:numPr>
    </w:pPr>
  </w:style>
  <w:style w:type="paragraph" w:customStyle="1" w:styleId="Point3number">
    <w:name w:val="Point 3 (number)"/>
    <w:basedOn w:val="Normal"/>
    <w:pPr>
      <w:numPr>
        <w:ilvl w:val="6"/>
        <w:numId w:val="32"/>
      </w:numPr>
    </w:pPr>
  </w:style>
  <w:style w:type="paragraph" w:customStyle="1" w:styleId="Point0letter">
    <w:name w:val="Point 0 (letter)"/>
    <w:basedOn w:val="Normal"/>
    <w:pPr>
      <w:numPr>
        <w:ilvl w:val="1"/>
        <w:numId w:val="32"/>
      </w:numPr>
    </w:pPr>
  </w:style>
  <w:style w:type="paragraph" w:customStyle="1" w:styleId="Point1letter">
    <w:name w:val="Point 1 (letter)"/>
    <w:basedOn w:val="Normal"/>
    <w:pPr>
      <w:numPr>
        <w:ilvl w:val="3"/>
        <w:numId w:val="32"/>
      </w:numPr>
    </w:pPr>
  </w:style>
  <w:style w:type="paragraph" w:customStyle="1" w:styleId="Point2letter">
    <w:name w:val="Point 2 (letter)"/>
    <w:basedOn w:val="Normal"/>
    <w:pPr>
      <w:numPr>
        <w:ilvl w:val="5"/>
        <w:numId w:val="32"/>
      </w:numPr>
    </w:pPr>
  </w:style>
  <w:style w:type="paragraph" w:customStyle="1" w:styleId="Point3letter">
    <w:name w:val="Point 3 (letter)"/>
    <w:basedOn w:val="Normal"/>
    <w:pPr>
      <w:numPr>
        <w:ilvl w:val="7"/>
        <w:numId w:val="32"/>
      </w:numPr>
    </w:pPr>
  </w:style>
  <w:style w:type="paragraph" w:customStyle="1" w:styleId="Point4letter">
    <w:name w:val="Point 4 (letter)"/>
    <w:basedOn w:val="Normal"/>
    <w:pPr>
      <w:numPr>
        <w:ilvl w:val="8"/>
        <w:numId w:val="32"/>
      </w:numPr>
    </w:pPr>
  </w:style>
  <w:style w:type="paragraph" w:customStyle="1" w:styleId="Bullet0">
    <w:name w:val="Bullet 0"/>
    <w:basedOn w:val="Normal"/>
    <w:pPr>
      <w:numPr>
        <w:numId w:val="33"/>
      </w:numPr>
    </w:pPr>
  </w:style>
  <w:style w:type="paragraph" w:customStyle="1" w:styleId="Bullet1">
    <w:name w:val="Bullet 1"/>
    <w:basedOn w:val="Normal"/>
    <w:pPr>
      <w:numPr>
        <w:numId w:val="34"/>
      </w:numPr>
    </w:pPr>
  </w:style>
  <w:style w:type="paragraph" w:customStyle="1" w:styleId="Bullet2">
    <w:name w:val="Bullet 2"/>
    <w:basedOn w:val="Normal"/>
    <w:pPr>
      <w:numPr>
        <w:numId w:val="35"/>
      </w:numPr>
    </w:pPr>
  </w:style>
  <w:style w:type="paragraph" w:customStyle="1" w:styleId="Bullet3">
    <w:name w:val="Bullet 3"/>
    <w:basedOn w:val="Normal"/>
    <w:pPr>
      <w:numPr>
        <w:numId w:val="36"/>
      </w:numPr>
    </w:pPr>
  </w:style>
  <w:style w:type="paragraph" w:customStyle="1" w:styleId="Bullet4">
    <w:name w:val="Bullet 4"/>
    <w:basedOn w:val="Normal"/>
    <w:pPr>
      <w:numPr>
        <w:numId w:val="37"/>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sv-SE" w:bidi="sv-SE"/>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footer"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1"/>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sv-S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sv-S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sv-SE"/>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Hyperlink">
    <w:name w:val="Hyperlink"/>
    <w:basedOn w:val="DefaultParagraphFont"/>
    <w:uiPriority w:val="99"/>
    <w:unhideWhenUsed/>
    <w:rPr>
      <w:color w:val="0000FF" w:themeColor="hyperlink"/>
      <w:u w:val="single"/>
    </w:rPr>
  </w:style>
  <w:style w:type="paragraph" w:customStyle="1" w:styleId="ListDash1">
    <w:name w:val="List Dash 1"/>
    <w:basedOn w:val="Normal"/>
    <w:qFormat/>
    <w:pPr>
      <w:numPr>
        <w:numId w:val="9"/>
      </w:numPr>
    </w:pPr>
    <w:rPr>
      <w:rFonts w:eastAsia="Times New Roman"/>
    </w:rPr>
  </w:style>
  <w:style w:type="paragraph" w:styleId="Caption">
    <w:name w:val="caption"/>
    <w:basedOn w:val="Normal"/>
    <w:next w:val="Normal"/>
    <w:uiPriority w:val="35"/>
    <w:unhideWhenUsed/>
    <w:qFormat/>
    <w:pPr>
      <w:spacing w:before="0" w:after="200"/>
    </w:pPr>
    <w:rPr>
      <w:b/>
      <w:bCs/>
      <w:color w:val="4F81BD" w:themeColor="accent1"/>
      <w:sz w:val="18"/>
      <w:szCs w:val="18"/>
    </w:rPr>
  </w:style>
  <w:style w:type="character" w:styleId="Strong">
    <w:name w:val="Strong"/>
    <w:basedOn w:val="DefaultParagraphFont"/>
    <w:uiPriority w:val="22"/>
    <w:qFormat/>
    <w:rPr>
      <w:b/>
      <w:bCs/>
    </w:rPr>
  </w:style>
  <w:style w:type="paragraph" w:styleId="ListParagraph">
    <w:name w:val="List Paragraph"/>
    <w:basedOn w:val="Normal"/>
    <w:link w:val="ListParagraphChar"/>
    <w:uiPriority w:val="34"/>
    <w:qFormat/>
    <w:pPr>
      <w:spacing w:before="0" w:after="0"/>
      <w:ind w:left="720"/>
      <w:jc w:val="left"/>
    </w:pPr>
    <w:rPr>
      <w:rFonts w:ascii="Calibri" w:eastAsia="Times New Roman" w:hAnsi="Calibri"/>
      <w:sz w:val="22"/>
    </w:rPr>
  </w:style>
  <w:style w:type="character" w:customStyle="1" w:styleId="ListParagraphChar">
    <w:name w:val="List Paragraph Char"/>
    <w:basedOn w:val="DefaultParagraphFont"/>
    <w:link w:val="ListParagraph"/>
    <w:uiPriority w:val="34"/>
    <w:locked/>
    <w:rPr>
      <w:rFonts w:ascii="Calibri" w:eastAsia="Times New Roman" w:hAnsi="Calibri" w:cs="Times New Roman"/>
      <w:lang w:val="sv-SE"/>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5"/>
      </w:numPr>
    </w:pPr>
  </w:style>
  <w:style w:type="paragraph" w:customStyle="1" w:styleId="Tiret1">
    <w:name w:val="Tiret 1"/>
    <w:basedOn w:val="Point1"/>
    <w:pPr>
      <w:numPr>
        <w:numId w:val="26"/>
      </w:numPr>
    </w:pPr>
  </w:style>
  <w:style w:type="paragraph" w:customStyle="1" w:styleId="Tiret2">
    <w:name w:val="Tiret 2"/>
    <w:basedOn w:val="Point2"/>
    <w:pPr>
      <w:numPr>
        <w:numId w:val="27"/>
      </w:numPr>
    </w:pPr>
  </w:style>
  <w:style w:type="paragraph" w:customStyle="1" w:styleId="Tiret3">
    <w:name w:val="Tiret 3"/>
    <w:basedOn w:val="Point3"/>
    <w:pPr>
      <w:numPr>
        <w:numId w:val="28"/>
      </w:numPr>
    </w:pPr>
  </w:style>
  <w:style w:type="paragraph" w:customStyle="1" w:styleId="Tiret4">
    <w:name w:val="Tiret 4"/>
    <w:basedOn w:val="Point4"/>
    <w:pPr>
      <w:numPr>
        <w:numId w:val="2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0"/>
      </w:numPr>
    </w:pPr>
  </w:style>
  <w:style w:type="paragraph" w:customStyle="1" w:styleId="NumPar2">
    <w:name w:val="NumPar 2"/>
    <w:basedOn w:val="Normal"/>
    <w:next w:val="Text1"/>
    <w:pPr>
      <w:numPr>
        <w:ilvl w:val="1"/>
        <w:numId w:val="30"/>
      </w:numPr>
    </w:pPr>
  </w:style>
  <w:style w:type="paragraph" w:customStyle="1" w:styleId="NumPar3">
    <w:name w:val="NumPar 3"/>
    <w:basedOn w:val="Normal"/>
    <w:next w:val="Text1"/>
    <w:pPr>
      <w:numPr>
        <w:ilvl w:val="2"/>
        <w:numId w:val="30"/>
      </w:numPr>
    </w:pPr>
  </w:style>
  <w:style w:type="paragraph" w:customStyle="1" w:styleId="NumPar4">
    <w:name w:val="NumPar 4"/>
    <w:basedOn w:val="Normal"/>
    <w:next w:val="Text1"/>
    <w:pPr>
      <w:numPr>
        <w:ilvl w:val="3"/>
        <w:numId w:val="3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2"/>
      </w:numPr>
    </w:pPr>
  </w:style>
  <w:style w:type="paragraph" w:customStyle="1" w:styleId="Point1number">
    <w:name w:val="Point 1 (number)"/>
    <w:basedOn w:val="Normal"/>
    <w:pPr>
      <w:numPr>
        <w:ilvl w:val="2"/>
        <w:numId w:val="32"/>
      </w:numPr>
    </w:pPr>
  </w:style>
  <w:style w:type="paragraph" w:customStyle="1" w:styleId="Point2number">
    <w:name w:val="Point 2 (number)"/>
    <w:basedOn w:val="Normal"/>
    <w:pPr>
      <w:numPr>
        <w:ilvl w:val="4"/>
        <w:numId w:val="32"/>
      </w:numPr>
    </w:pPr>
  </w:style>
  <w:style w:type="paragraph" w:customStyle="1" w:styleId="Point3number">
    <w:name w:val="Point 3 (number)"/>
    <w:basedOn w:val="Normal"/>
    <w:pPr>
      <w:numPr>
        <w:ilvl w:val="6"/>
        <w:numId w:val="32"/>
      </w:numPr>
    </w:pPr>
  </w:style>
  <w:style w:type="paragraph" w:customStyle="1" w:styleId="Point0letter">
    <w:name w:val="Point 0 (letter)"/>
    <w:basedOn w:val="Normal"/>
    <w:pPr>
      <w:numPr>
        <w:ilvl w:val="1"/>
        <w:numId w:val="32"/>
      </w:numPr>
    </w:pPr>
  </w:style>
  <w:style w:type="paragraph" w:customStyle="1" w:styleId="Point1letter">
    <w:name w:val="Point 1 (letter)"/>
    <w:basedOn w:val="Normal"/>
    <w:pPr>
      <w:numPr>
        <w:ilvl w:val="3"/>
        <w:numId w:val="32"/>
      </w:numPr>
    </w:pPr>
  </w:style>
  <w:style w:type="paragraph" w:customStyle="1" w:styleId="Point2letter">
    <w:name w:val="Point 2 (letter)"/>
    <w:basedOn w:val="Normal"/>
    <w:pPr>
      <w:numPr>
        <w:ilvl w:val="5"/>
        <w:numId w:val="32"/>
      </w:numPr>
    </w:pPr>
  </w:style>
  <w:style w:type="paragraph" w:customStyle="1" w:styleId="Point3letter">
    <w:name w:val="Point 3 (letter)"/>
    <w:basedOn w:val="Normal"/>
    <w:pPr>
      <w:numPr>
        <w:ilvl w:val="7"/>
        <w:numId w:val="32"/>
      </w:numPr>
    </w:pPr>
  </w:style>
  <w:style w:type="paragraph" w:customStyle="1" w:styleId="Point4letter">
    <w:name w:val="Point 4 (letter)"/>
    <w:basedOn w:val="Normal"/>
    <w:pPr>
      <w:numPr>
        <w:ilvl w:val="8"/>
        <w:numId w:val="32"/>
      </w:numPr>
    </w:pPr>
  </w:style>
  <w:style w:type="paragraph" w:customStyle="1" w:styleId="Bullet0">
    <w:name w:val="Bullet 0"/>
    <w:basedOn w:val="Normal"/>
    <w:pPr>
      <w:numPr>
        <w:numId w:val="33"/>
      </w:numPr>
    </w:pPr>
  </w:style>
  <w:style w:type="paragraph" w:customStyle="1" w:styleId="Bullet1">
    <w:name w:val="Bullet 1"/>
    <w:basedOn w:val="Normal"/>
    <w:pPr>
      <w:numPr>
        <w:numId w:val="34"/>
      </w:numPr>
    </w:pPr>
  </w:style>
  <w:style w:type="paragraph" w:customStyle="1" w:styleId="Bullet2">
    <w:name w:val="Bullet 2"/>
    <w:basedOn w:val="Normal"/>
    <w:pPr>
      <w:numPr>
        <w:numId w:val="35"/>
      </w:numPr>
    </w:pPr>
  </w:style>
  <w:style w:type="paragraph" w:customStyle="1" w:styleId="Bullet3">
    <w:name w:val="Bullet 3"/>
    <w:basedOn w:val="Normal"/>
    <w:pPr>
      <w:numPr>
        <w:numId w:val="36"/>
      </w:numPr>
    </w:pPr>
  </w:style>
  <w:style w:type="paragraph" w:customStyle="1" w:styleId="Bullet4">
    <w:name w:val="Bullet 4"/>
    <w:basedOn w:val="Normal"/>
    <w:pPr>
      <w:numPr>
        <w:numId w:val="37"/>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1108717">
      <w:bodyDiv w:val="1"/>
      <w:marLeft w:val="0"/>
      <w:marRight w:val="0"/>
      <w:marTop w:val="0"/>
      <w:marBottom w:val="0"/>
      <w:divBdr>
        <w:top w:val="none" w:sz="0" w:space="0" w:color="auto"/>
        <w:left w:val="none" w:sz="0" w:space="0" w:color="auto"/>
        <w:bottom w:val="none" w:sz="0" w:space="0" w:color="auto"/>
        <w:right w:val="none" w:sz="0" w:space="0" w:color="auto"/>
      </w:divBdr>
    </w:div>
    <w:div w:id="1915818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EEF55457B25D324AB5A962373D51122B" ma:contentTypeVersion="12" ma:contentTypeDescription="Create a new document in this library." ma:contentTypeScope="" ma:versionID="ce20a0fec3b8eca0de618e1f293e03d1">
  <xsd:schema xmlns:xsd="http://www.w3.org/2001/XMLSchema" xmlns:xs="http://www.w3.org/2001/XMLSchema" xmlns:p="http://schemas.microsoft.com/office/2006/metadata/properties" xmlns:ns3="9777fc59-4bfd-4309-88dc-a0c9db34825d" targetNamespace="http://schemas.microsoft.com/office/2006/metadata/properties" ma:root="true" ma:fieldsID="241a214c4651a1e2d4036c5aaa3854e7" ns3:_="">
    <xsd:import namespace="9777fc59-4bfd-4309-88dc-a0c9db34825d"/>
    <xsd:element name="properties">
      <xsd:complexType>
        <xsd:sequence>
          <xsd:element name="documentManagement">
            <xsd:complexType>
              <xsd:all>
                <xsd:element ref="ns3:EC_Collab_Status"/>
                <xsd:element ref="ns3:EC_Collab_DocumentLanguage"/>
                <xsd:element ref="ns3:EC_Collab_Referen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77fc59-4bfd-4309-88dc-a0c9db34825d" elementFormDefault="qualified">
    <xsd:import namespace="http://schemas.microsoft.com/office/2006/documentManagement/types"/>
    <xsd:import namespace="http://schemas.microsoft.com/office/infopath/2007/PartnerControls"/>
    <xsd:element name="EC_Collab_Status" ma:index="12"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Reference" ma:index="14" nillable="true" ma:displayName="Reference" ma:internalName="EC_Collab_Referenc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C_Collab_Status xmlns="9777fc59-4bfd-4309-88dc-a0c9db34825d">Not Started</EC_Collab_Status>
    <EC_Collab_DocumentLanguage xmlns="9777fc59-4bfd-4309-88dc-a0c9db34825d">EN</EC_Collab_DocumentLanguage>
    <EC_Collab_Reference xmlns="9777fc59-4bfd-4309-88dc-a0c9db34825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E6CBB-6688-41F2-8BA9-70E2548E3E15}">
  <ds:schemaRefs>
    <ds:schemaRef ds:uri="http://schemas.microsoft.com/sharepoint/v3/contenttype/forms"/>
  </ds:schemaRefs>
</ds:datastoreItem>
</file>

<file path=customXml/itemProps2.xml><?xml version="1.0" encoding="utf-8"?>
<ds:datastoreItem xmlns:ds="http://schemas.openxmlformats.org/officeDocument/2006/customXml" ds:itemID="{62CC6D82-41CF-47C2-A5DD-36AAB18454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77fc59-4bfd-4309-88dc-a0c9db3482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52CB00-DD17-40A9-A1BA-3A019C073B01}">
  <ds:schemaRefs>
    <ds:schemaRef ds:uri="http://schemas.microsoft.com/office/2006/metadata/properties"/>
    <ds:schemaRef ds:uri="http://schemas.microsoft.com/office/infopath/2007/PartnerControls"/>
    <ds:schemaRef ds:uri="9777fc59-4bfd-4309-88dc-a0c9db34825d"/>
  </ds:schemaRefs>
</ds:datastoreItem>
</file>

<file path=customXml/itemProps4.xml><?xml version="1.0" encoding="utf-8"?>
<ds:datastoreItem xmlns:ds="http://schemas.openxmlformats.org/officeDocument/2006/customXml" ds:itemID="{F84E4E1E-AC97-48E3-8FC5-CB9C60768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12</Pages>
  <Words>3083</Words>
  <Characters>19150</Characters>
  <Application>Microsoft Office Word</Application>
  <DocSecurity>0</DocSecurity>
  <Lines>354</Lines>
  <Paragraphs>179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19</cp:revision>
  <cp:lastPrinted>2017-09-13T13:58:00Z</cp:lastPrinted>
  <dcterms:created xsi:type="dcterms:W3CDTF">2017-10-16T12:14:00Z</dcterms:created>
  <dcterms:modified xsi:type="dcterms:W3CDTF">2017-10-17T08:19:00Z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SJ-023</vt:lpwstr>
  </property>
  <property fmtid="{D5CDD505-2E9C-101B-9397-08002B2CF9AE}" pid="10" name="ContentTypeId">
    <vt:lpwstr>0x010100258AA79CEB83498886A3A0868112325000EEF55457B25D324AB5A962373D51122B</vt:lpwstr>
  </property>
  <property fmtid="{D5CDD505-2E9C-101B-9397-08002B2CF9AE}" pid="11" name="DQCStatus">
    <vt:lpwstr>Green (DQC version 03)</vt:lpwstr>
  </property>
  <property name="OP_sanitized" fmtid="{D5CDD505-2E9C-101B-9397-08002B2CF9AE}" pid="12">
    <vt:lpwstr>True</vt:lpwstr>
  </property>
</Properties>
</file>