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075" w:rsidRDefault="0000066E">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C513D6022754DB08B159D3888706B10" style="width:451.5pt;height:348pt">
            <v:imagedata r:id="rId9" o:title=""/>
          </v:shape>
        </w:pict>
      </w:r>
    </w:p>
    <w:bookmarkEnd w:id="0"/>
    <w:p w:rsidR="00C91075" w:rsidRDefault="00C91075">
      <w:pPr>
        <w:pStyle w:val="CuerpoA"/>
        <w:ind w:left="0" w:firstLine="0"/>
        <w:rPr>
          <w:noProof/>
        </w:rPr>
        <w:sectPr w:rsidR="00C91075">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rsidR="00C91075" w:rsidRDefault="0000066E">
      <w:pPr>
        <w:pStyle w:val="EncabezamA"/>
        <w:numPr>
          <w:ilvl w:val="0"/>
          <w:numId w:val="2"/>
        </w:numPr>
        <w:rPr>
          <w:noProof/>
        </w:rPr>
      </w:pPr>
      <w:r>
        <w:rPr>
          <w:noProof/>
        </w:rPr>
        <w:lastRenderedPageBreak/>
        <w:t>Inledning</w:t>
      </w:r>
    </w:p>
    <w:p w:rsidR="00C91075" w:rsidRDefault="0000066E">
      <w:pPr>
        <w:pStyle w:val="CuerpoA"/>
        <w:ind w:left="0" w:firstLine="0"/>
        <w:rPr>
          <w:noProof/>
        </w:rPr>
      </w:pPr>
      <w:r>
        <w:rPr>
          <w:noProof/>
        </w:rPr>
        <w:t>Onlineplattformar är viktiga motorer för innovation och tillväxt i den digitala ekonomin.</w:t>
      </w:r>
      <w:r>
        <w:rPr>
          <w:noProof/>
        </w:rPr>
        <w:t xml:space="preserve"> De har möjliggjort en oöverträffad tillgång till information och utbyten samt nya marknadsmöjligheter, i synnerhet för små och medelstora företag. Onlineplattformar är dessutom den viktigaste platsen för tillgång till information och annat innehåll för de</w:t>
      </w:r>
      <w:r>
        <w:rPr>
          <w:noProof/>
        </w:rPr>
        <w:t xml:space="preserve"> flesta människor på internet i dag, oavsett om det är via sökmotorer, sociala nätverk, mikrobloggar eller videodelningsplattformar. Plattformarnas affärsmodeller har på senare tid också utvecklats till att etablera nära kopplingar mellan användare och inn</w:t>
      </w:r>
      <w:r>
        <w:rPr>
          <w:noProof/>
        </w:rPr>
        <w:t>ehåll – i synnerhet för riktad reklam. Dessa plattformar länkar miljarder användare till enorma mängder innehåll och information</w:t>
      </w:r>
      <w:r>
        <w:rPr>
          <w:noProof/>
          <w:vertAlign w:val="superscript"/>
        </w:rPr>
        <w:footnoteReference w:id="2"/>
      </w:r>
      <w:r>
        <w:rPr>
          <w:noProof/>
        </w:rPr>
        <w:t xml:space="preserve"> och de tillhandahåller innovativa tjänster till medborgare och företag. </w:t>
      </w:r>
    </w:p>
    <w:p w:rsidR="00C91075" w:rsidRDefault="0000066E">
      <w:pPr>
        <w:pStyle w:val="CuerpoA"/>
        <w:ind w:left="0" w:firstLine="0"/>
        <w:rPr>
          <w:noProof/>
        </w:rPr>
      </w:pPr>
      <w:r>
        <w:rPr>
          <w:noProof/>
        </w:rPr>
        <w:t>Den stora spridningen av olagligt innehåll som kan la</w:t>
      </w:r>
      <w:r>
        <w:rPr>
          <w:noProof/>
        </w:rPr>
        <w:t xml:space="preserve">ddas upp och därmed går att komma åt online ger dock upphov till allvarliga bekymmer som kräver kraftfulla och effektiva motåtgärder. </w:t>
      </w:r>
      <w:r>
        <w:rPr>
          <w:b/>
          <w:noProof/>
        </w:rPr>
        <w:t>Det som är olagligt offline är olagligt även online</w:t>
      </w:r>
      <w:r>
        <w:rPr>
          <w:noProof/>
        </w:rPr>
        <w:t>. Uppmaning till terrorism, främlingsfientligt och rasistiskt språk som</w:t>
      </w:r>
      <w:r>
        <w:rPr>
          <w:noProof/>
        </w:rPr>
        <w:t xml:space="preserve"> offentligt uppmuntrar till hat och våld samt barnpornografi är olagligt inom EU. Den ökande tillgången på terroristiskt material online och spridningen av sådant material är ett hot mot tryggheten och säkerheten samt mot offrens värdighet. Europeiska unio</w:t>
      </w:r>
      <w:r>
        <w:rPr>
          <w:noProof/>
        </w:rPr>
        <w:t>nen har agerat mot denna problematik genom ett antal åtgärder</w:t>
      </w:r>
      <w:r>
        <w:rPr>
          <w:rStyle w:val="FootnoteReference"/>
          <w:noProof/>
        </w:rPr>
        <w:footnoteReference w:id="3"/>
      </w:r>
      <w:r>
        <w:rPr>
          <w:noProof/>
        </w:rPr>
        <w:t xml:space="preserve">. Att ta itu med upptäckt och borttagning av olagligt innehåll online är emellertid en brådskande utmaning för dagens digitala samhälle.  </w:t>
      </w:r>
    </w:p>
    <w:p w:rsidR="00C91075" w:rsidRDefault="0000066E">
      <w:pPr>
        <w:pStyle w:val="CuerpoA"/>
        <w:ind w:left="0" w:firstLine="0"/>
        <w:rPr>
          <w:noProof/>
        </w:rPr>
      </w:pPr>
      <w:r>
        <w:rPr>
          <w:noProof/>
        </w:rPr>
        <w:t xml:space="preserve">Med anledning av ett flertal terroristattacker inom EU </w:t>
      </w:r>
      <w:r>
        <w:rPr>
          <w:noProof/>
        </w:rPr>
        <w:t>och spridningen av terroristpropaganda online framförde Europeiska rådet den 22–23 juni 2017 att det ”</w:t>
      </w:r>
      <w:r>
        <w:rPr>
          <w:i/>
          <w:noProof/>
        </w:rPr>
        <w:t xml:space="preserve">förväntar sig [...] att sektorn ska [...] utveckla nya tekniker och verktyg i syfte att förbättra den automatiska upptäckten av och raderingen av </w:t>
      </w:r>
      <w:r>
        <w:rPr>
          <w:b/>
          <w:i/>
          <w:noProof/>
        </w:rPr>
        <w:t>innehåll</w:t>
      </w:r>
      <w:r>
        <w:rPr>
          <w:b/>
          <w:i/>
          <w:noProof/>
        </w:rPr>
        <w:t xml:space="preserve"> som uppviglar till terrordåd</w:t>
      </w:r>
      <w:r>
        <w:rPr>
          <w:i/>
          <w:noProof/>
        </w:rPr>
        <w:t>. Detta bör vid behov kompletteras genom relevanta lagstiftningsåtgärder på EU-nivå</w:t>
      </w:r>
      <w:r>
        <w:rPr>
          <w:noProof/>
        </w:rPr>
        <w:t>”. Dessa krav var upprepningar av uttalanden av ledarna för G7 och G20 vid deras toppmöten nyligen</w:t>
      </w:r>
      <w:r>
        <w:rPr>
          <w:noProof/>
          <w:vertAlign w:val="superscript"/>
        </w:rPr>
        <w:footnoteReference w:id="4"/>
      </w:r>
      <w:r>
        <w:rPr>
          <w:noProof/>
        </w:rPr>
        <w:t>. På liknande sätt uppmanade Europaparlamente</w:t>
      </w:r>
      <w:r>
        <w:rPr>
          <w:noProof/>
        </w:rPr>
        <w:t>t i sin resolution om onlineplattformar från juni 2017  dessa plattformar ”</w:t>
      </w:r>
      <w:r>
        <w:rPr>
          <w:i/>
          <w:noProof/>
        </w:rPr>
        <w:t>att vidta kraftigare åtgärder mot olagligt och skadligt innehåll på internet</w:t>
      </w:r>
      <w:r>
        <w:rPr>
          <w:noProof/>
        </w:rPr>
        <w:t>”, samtidigt som kommissionen uppmanades att presentera förslag för att åtgärda dessa problem</w:t>
      </w:r>
      <w:r>
        <w:rPr>
          <w:noProof/>
          <w:vertAlign w:val="superscript"/>
        </w:rPr>
        <w:footnoteReference w:id="5"/>
      </w:r>
      <w:r>
        <w:rPr>
          <w:noProof/>
        </w:rPr>
        <w:t xml:space="preserve">. </w:t>
      </w:r>
    </w:p>
    <w:p w:rsidR="00C91075" w:rsidRDefault="0000066E">
      <w:pPr>
        <w:pStyle w:val="CuerpoA"/>
        <w:ind w:left="0" w:firstLine="0"/>
        <w:rPr>
          <w:noProof/>
        </w:rPr>
      </w:pPr>
      <w:r>
        <w:rPr>
          <w:noProof/>
        </w:rPr>
        <w:t>De onlin</w:t>
      </w:r>
      <w:r>
        <w:rPr>
          <w:noProof/>
        </w:rPr>
        <w:t>eplattformar som förmedlar tillgång till innehåll för de flesta internetanvändare har ett betydande samhällsansvar när det gäller att skydda användarna och samhället i sin helhet, och förhindra att brottslingar och andra personer som är involverade i onlin</w:t>
      </w:r>
      <w:r>
        <w:rPr>
          <w:noProof/>
        </w:rPr>
        <w:t>everksamhet som utgör en överträdelse utnyttjar deras tjänster. De öppna digitala områden som de tillhandahåller får inte bli grogrunder för exempelvis terror, olaglig hatpropaganda, övergrepp på barn eller människohandel, eller områden som håller sig unda</w:t>
      </w:r>
      <w:r>
        <w:rPr>
          <w:noProof/>
        </w:rPr>
        <w:t xml:space="preserve">n rättssamhället. Det är tydligt att spridning av olagligt innehåll på </w:t>
      </w:r>
      <w:r>
        <w:rPr>
          <w:noProof/>
        </w:rPr>
        <w:lastRenderedPageBreak/>
        <w:t>internet kan underminera allmänhetens tilltro till och förtroende för den digitala miljön, men en sådan spridning kan dessutom hota den fortsatta ekonomiska utvecklingen av plattformarn</w:t>
      </w:r>
      <w:r>
        <w:rPr>
          <w:noProof/>
        </w:rPr>
        <w:t>as ekosystem och den digitala inre marknaden. Onlineplattformarna bör på ett resolut sätt intensifiera sina åtgärder för att lösa detta problem, som en del av det ansvar som kommer från deras centrala roll i samhället.</w:t>
      </w:r>
    </w:p>
    <w:p w:rsidR="00C91075" w:rsidRDefault="0000066E">
      <w:pPr>
        <w:pStyle w:val="CuerpoA"/>
        <w:ind w:left="0" w:firstLine="0"/>
        <w:rPr>
          <w:noProof/>
        </w:rPr>
      </w:pPr>
      <w:r>
        <w:rPr>
          <w:noProof/>
        </w:rPr>
        <w:t>Kampen mot olagligt innehåll online m</w:t>
      </w:r>
      <w:r>
        <w:rPr>
          <w:noProof/>
        </w:rPr>
        <w:t>åste föras med korrekta och robusta skyddsmekanismer för att garantera skyddet av de olika grundläggande rättigheter som står på spel. Med hänsyn till deras allt viktigare roll vad gäller att ge tillgång till information spelar onlineplattformarna dessutom</w:t>
      </w:r>
      <w:r>
        <w:rPr>
          <w:noProof/>
        </w:rPr>
        <w:t xml:space="preserve"> en viktig roll när det gäller att uppnå en sådan balans. Kampen mot olagligt innehåll på internet inom EU bör bygga på och dessutom ta hänsyn till EU:s åtgärder på global nivå.</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b/>
          <w:noProof/>
          <w:sz w:val="22"/>
        </w:rPr>
        <w:t xml:space="preserve">I detta meddelande presenteras en uppsättning riktlinjer och principer för </w:t>
      </w:r>
      <w:r>
        <w:rPr>
          <w:rFonts w:ascii="Calibri" w:hAnsi="Calibri"/>
          <w:b/>
          <w:noProof/>
          <w:sz w:val="22"/>
        </w:rPr>
        <w:t>onlineplattformar, för hur de ska intensifiera kampen mot olagligt innehåll online</w:t>
      </w:r>
      <w:r>
        <w:rPr>
          <w:rStyle w:val="FootnoteReference"/>
          <w:rFonts w:ascii="Calibri" w:hAnsi="Calibri"/>
          <w:b/>
          <w:noProof/>
          <w:sz w:val="22"/>
        </w:rPr>
        <w:footnoteReference w:id="6"/>
      </w:r>
      <w:r>
        <w:rPr>
          <w:rFonts w:ascii="Calibri" w:hAnsi="Calibri"/>
          <w:b/>
          <w:noProof/>
          <w:sz w:val="22"/>
        </w:rPr>
        <w:t xml:space="preserve"> i samarbete med nationella myndigheter, medlemsstater och andra relevanta intressenter</w:t>
      </w:r>
      <w:r>
        <w:rPr>
          <w:rFonts w:ascii="Calibri" w:hAnsi="Calibri"/>
          <w:noProof/>
          <w:sz w:val="22"/>
        </w:rPr>
        <w:t>. Syftet med meddelandet är att underlätta och intensifiera genomförandet av god praxi</w:t>
      </w:r>
      <w:r>
        <w:rPr>
          <w:rFonts w:ascii="Calibri" w:hAnsi="Calibri"/>
          <w:noProof/>
          <w:sz w:val="22"/>
        </w:rPr>
        <w:t>s för att förhindra, upptäcka, undanröja och blockera tillgången till olagligt innehåll för att säkerställa en effektiv borttagning av olagligt innehåll, ökad transparens och skydd av grundläggande rättigheter online. Avsikten är också att ge plattformarna</w:t>
      </w:r>
      <w:r>
        <w:rPr>
          <w:rFonts w:ascii="Calibri" w:hAnsi="Calibri"/>
          <w:noProof/>
          <w:sz w:val="22"/>
        </w:rPr>
        <w:t xml:space="preserve"> förtydliganden om deras ansvar när de vidtar proaktiva åtgärder för att upptäcka, ta bort eller blockera tillgången till olagligt innehåll (de så kallade ”barmhärtiga samariten”-åtgärderna).</w:t>
      </w:r>
    </w:p>
    <w:p w:rsidR="00C91075" w:rsidRDefault="0000066E">
      <w:pPr>
        <w:pStyle w:val="EncabezamA"/>
        <w:numPr>
          <w:ilvl w:val="0"/>
          <w:numId w:val="2"/>
        </w:numPr>
        <w:rPr>
          <w:noProof/>
        </w:rPr>
      </w:pPr>
      <w:r>
        <w:rPr>
          <w:noProof/>
        </w:rPr>
        <w:t>Bakgrund</w:t>
      </w:r>
    </w:p>
    <w:p w:rsidR="00C91075" w:rsidRDefault="0000066E">
      <w:pPr>
        <w:pStyle w:val="CuerpoA"/>
        <w:ind w:left="0" w:firstLine="0"/>
        <w:rPr>
          <w:noProof/>
        </w:rPr>
      </w:pPr>
      <w:r>
        <w:rPr>
          <w:noProof/>
        </w:rPr>
        <w:t xml:space="preserve">Europeiska unionen har redan reagerat på den utmaning som olagligt innehåll online utgör, med både bindande och icke-bindande åtgärder. Dessa policygensvar innefattar direktivet om bekämpande av </w:t>
      </w:r>
      <w:r>
        <w:rPr>
          <w:b/>
          <w:noProof/>
        </w:rPr>
        <w:t>sexuella övergrepp mot barn, sexuell exploatering av barn och</w:t>
      </w:r>
      <w:r>
        <w:rPr>
          <w:b/>
          <w:noProof/>
        </w:rPr>
        <w:t xml:space="preserve"> barnpornografi</w:t>
      </w:r>
      <w:r>
        <w:rPr>
          <w:noProof/>
          <w:vertAlign w:val="superscript"/>
        </w:rPr>
        <w:footnoteReference w:id="7"/>
      </w:r>
      <w:r>
        <w:rPr>
          <w:noProof/>
        </w:rPr>
        <w:t xml:space="preserve">, </w:t>
      </w:r>
      <w:r>
        <w:rPr>
          <w:b/>
          <w:noProof/>
        </w:rPr>
        <w:t>terrorismdirektivet</w:t>
      </w:r>
      <w:r>
        <w:rPr>
          <w:noProof/>
          <w:vertAlign w:val="superscript"/>
        </w:rPr>
        <w:footnoteReference w:id="8"/>
      </w:r>
      <w:r>
        <w:rPr>
          <w:noProof/>
        </w:rPr>
        <w:t xml:space="preserve">, de föreslagna åtgärderna mot bakgrund av förändringarna av </w:t>
      </w:r>
      <w:r>
        <w:rPr>
          <w:b/>
          <w:noProof/>
        </w:rPr>
        <w:t>upphovsrätten</w:t>
      </w:r>
      <w:r>
        <w:rPr>
          <w:rStyle w:val="FootnoteReference"/>
          <w:b/>
          <w:noProof/>
        </w:rPr>
        <w:footnoteReference w:id="9"/>
      </w:r>
      <w:r>
        <w:rPr>
          <w:b/>
          <w:noProof/>
        </w:rPr>
        <w:t xml:space="preserve"> </w:t>
      </w:r>
      <w:r>
        <w:rPr>
          <w:noProof/>
        </w:rPr>
        <w:t xml:space="preserve">och direktivet om </w:t>
      </w:r>
      <w:r>
        <w:rPr>
          <w:b/>
          <w:noProof/>
        </w:rPr>
        <w:t>audiovisuella medietjänster</w:t>
      </w:r>
      <w:r>
        <w:rPr>
          <w:noProof/>
        </w:rPr>
        <w:t xml:space="preserve"> (AVMSD)</w:t>
      </w:r>
      <w:r>
        <w:rPr>
          <w:rStyle w:val="FootnoteReference"/>
          <w:noProof/>
        </w:rPr>
        <w:footnoteReference w:id="10"/>
      </w:r>
      <w:r>
        <w:rPr>
          <w:noProof/>
        </w:rPr>
        <w:t>.</w:t>
      </w:r>
    </w:p>
    <w:p w:rsidR="00C91075" w:rsidRDefault="0000066E">
      <w:pPr>
        <w:pStyle w:val="CuerpoA"/>
        <w:ind w:left="0" w:firstLine="0"/>
        <w:rPr>
          <w:noProof/>
        </w:rPr>
      </w:pPr>
      <w:r>
        <w:rPr>
          <w:noProof/>
        </w:rPr>
        <w:t>Dessa befintliga och förslagna lagstiftande åtgärder har kompletterats med en rad icke</w:t>
      </w:r>
      <w:r>
        <w:rPr>
          <w:noProof/>
        </w:rPr>
        <w:t xml:space="preserve"> lagstiftande åtgärder, till exempel uppförandekoden för att motverka </w:t>
      </w:r>
      <w:r>
        <w:rPr>
          <w:b/>
          <w:noProof/>
        </w:rPr>
        <w:t>olaglig hatpropaganda</w:t>
      </w:r>
      <w:r>
        <w:rPr>
          <w:noProof/>
        </w:rPr>
        <w:t xml:space="preserve"> online</w:t>
      </w:r>
      <w:r>
        <w:rPr>
          <w:rStyle w:val="FootnoteReference"/>
          <w:noProof/>
        </w:rPr>
        <w:footnoteReference w:id="11"/>
      </w:r>
      <w:r>
        <w:rPr>
          <w:noProof/>
        </w:rPr>
        <w:t>,</w:t>
      </w:r>
      <w:r>
        <w:rPr>
          <w:b/>
          <w:noProof/>
        </w:rPr>
        <w:t xml:space="preserve"> </w:t>
      </w:r>
      <w:r>
        <w:rPr>
          <w:noProof/>
        </w:rPr>
        <w:t xml:space="preserve">det arbete som utförs av </w:t>
      </w:r>
      <w:r>
        <w:rPr>
          <w:b/>
          <w:noProof/>
        </w:rPr>
        <w:t>EU:s internetforum</w:t>
      </w:r>
      <w:r>
        <w:rPr>
          <w:rStyle w:val="FootnoteReference"/>
          <w:b/>
          <w:noProof/>
        </w:rPr>
        <w:footnoteReference w:id="12"/>
      </w:r>
      <w:r>
        <w:rPr>
          <w:b/>
          <w:noProof/>
        </w:rPr>
        <w:t xml:space="preserve"> </w:t>
      </w:r>
      <w:r>
        <w:rPr>
          <w:noProof/>
        </w:rPr>
        <w:t xml:space="preserve">när det gäller </w:t>
      </w:r>
      <w:r>
        <w:rPr>
          <w:b/>
          <w:noProof/>
        </w:rPr>
        <w:t>terroristpropaganda</w:t>
      </w:r>
      <w:r>
        <w:rPr>
          <w:noProof/>
        </w:rPr>
        <w:t xml:space="preserve">, samförståndsavtalet om </w:t>
      </w:r>
      <w:r>
        <w:rPr>
          <w:noProof/>
        </w:rPr>
        <w:lastRenderedPageBreak/>
        <w:t xml:space="preserve">försäljning av </w:t>
      </w:r>
      <w:r>
        <w:rPr>
          <w:b/>
          <w:noProof/>
        </w:rPr>
        <w:t>varumärkesförfalskade varor</w:t>
      </w:r>
      <w:r>
        <w:rPr>
          <w:noProof/>
        </w:rPr>
        <w:t xml:space="preserve"> via inte</w:t>
      </w:r>
      <w:r>
        <w:rPr>
          <w:noProof/>
        </w:rPr>
        <w:t>rnet</w:t>
      </w:r>
      <w:r>
        <w:rPr>
          <w:rStyle w:val="FootnoteReference"/>
          <w:b/>
          <w:noProof/>
        </w:rPr>
        <w:footnoteReference w:id="13"/>
      </w:r>
      <w:r>
        <w:rPr>
          <w:noProof/>
        </w:rPr>
        <w:t xml:space="preserve">, kommissionens meddelande om </w:t>
      </w:r>
      <w:r>
        <w:rPr>
          <w:b/>
          <w:noProof/>
        </w:rPr>
        <w:t>marknadskontroll av produkter som säljs online</w:t>
      </w:r>
      <w:r>
        <w:rPr>
          <w:rStyle w:val="FootnoteReference"/>
          <w:noProof/>
        </w:rPr>
        <w:footnoteReference w:id="14"/>
      </w:r>
      <w:r>
        <w:rPr>
          <w:noProof/>
        </w:rPr>
        <w:t xml:space="preserve">, onlineförsäljning </w:t>
      </w:r>
      <w:r>
        <w:rPr>
          <w:b/>
          <w:noProof/>
        </w:rPr>
        <w:t>av produkter i näringskedjan</w:t>
      </w:r>
      <w:r>
        <w:rPr>
          <w:noProof/>
        </w:rPr>
        <w:t xml:space="preserve">, EU:s handlingsplan mot </w:t>
      </w:r>
      <w:r>
        <w:rPr>
          <w:b/>
          <w:noProof/>
        </w:rPr>
        <w:t>olaga handel med vilda djur</w:t>
      </w:r>
      <w:r>
        <w:rPr>
          <w:noProof/>
          <w:vertAlign w:val="superscript"/>
        </w:rPr>
        <w:footnoteReference w:id="15"/>
      </w:r>
      <w:r>
        <w:rPr>
          <w:noProof/>
        </w:rPr>
        <w:t xml:space="preserve">, vägledningen om direktivet </w:t>
      </w:r>
      <w:r>
        <w:rPr>
          <w:b/>
          <w:noProof/>
        </w:rPr>
        <w:t>om otillbörliga affärsmetoder</w:t>
      </w:r>
      <w:r>
        <w:rPr>
          <w:noProof/>
          <w:vertAlign w:val="superscript"/>
        </w:rPr>
        <w:footnoteReference w:id="16"/>
      </w:r>
      <w:r>
        <w:rPr>
          <w:noProof/>
        </w:rPr>
        <w:t xml:space="preserve"> och nationell</w:t>
      </w:r>
      <w:r>
        <w:rPr>
          <w:noProof/>
        </w:rPr>
        <w:t>a myndigheters gemensamma åtgärder inom samarbetsnätverket för konsumentskydd</w:t>
      </w:r>
      <w:r>
        <w:rPr>
          <w:rStyle w:val="FootnoteReference"/>
          <w:noProof/>
        </w:rPr>
        <w:footnoteReference w:id="17"/>
      </w:r>
      <w:r>
        <w:rPr>
          <w:noProof/>
        </w:rPr>
        <w:t xml:space="preserve">. Den europeiska strategin för ett </w:t>
      </w:r>
      <w:r>
        <w:rPr>
          <w:b/>
          <w:noProof/>
        </w:rPr>
        <w:t>bättre internet för barn</w:t>
      </w:r>
      <w:r>
        <w:rPr>
          <w:noProof/>
          <w:vertAlign w:val="superscript"/>
        </w:rPr>
        <w:footnoteReference w:id="18"/>
      </w:r>
      <w:r>
        <w:rPr>
          <w:noProof/>
        </w:rPr>
        <w:t xml:space="preserve"> är ett självreglerande initiativ som syftar till att förbättra onlinemiljön för barn och ungdomar med hänsyn till ris</w:t>
      </w:r>
      <w:r>
        <w:rPr>
          <w:noProof/>
        </w:rPr>
        <w:t>kerna för exponering för material som våldsamt eller sexuellt exploaterande innehåll eller nätmobbning.</w:t>
      </w:r>
    </w:p>
    <w:p w:rsidR="00C91075" w:rsidRDefault="0000066E">
      <w:pPr>
        <w:pStyle w:val="CuerpoA"/>
        <w:ind w:left="0" w:firstLine="0"/>
        <w:rPr>
          <w:noProof/>
        </w:rPr>
      </w:pPr>
      <w:r>
        <w:rPr>
          <w:noProof/>
        </w:rPr>
        <w:t>I sina meddelanden från 2016 och 2017</w:t>
      </w:r>
      <w:r>
        <w:rPr>
          <w:noProof/>
          <w:vertAlign w:val="superscript"/>
        </w:rPr>
        <w:footnoteReference w:id="19"/>
      </w:r>
      <w:r>
        <w:rPr>
          <w:noProof/>
        </w:rPr>
        <w:t xml:space="preserve"> betonade kommissionen behovet av att onlineplattformarna agerar mer ansvarsfullt och intensifierar självreglerand</w:t>
      </w:r>
      <w:r>
        <w:rPr>
          <w:noProof/>
        </w:rPr>
        <w:t>e satsningar i hela EU för att få bort olagligt innehåll. Dessutom förbinder sig kommissionen att förbättra samordningen av de olika sektorsspecifika dialogerna med plattformarna och att utforska behovet av vägledning när det gäller formella förfaranden fö</w:t>
      </w:r>
      <w:r>
        <w:rPr>
          <w:noProof/>
        </w:rPr>
        <w:t>r anmälan och åtgärd. Detta bör göras i samverkan med – och utan att det påverkar – de dialoger som redan pågår och det arbete som påbörjats på andra områden, till exempel enligt den europeiska säkerhetsagendan eller på området olaglig hatpropaganda.</w:t>
      </w:r>
    </w:p>
    <w:p w:rsidR="00C91075" w:rsidRDefault="0000066E">
      <w:pPr>
        <w:pStyle w:val="CuerpoA"/>
        <w:ind w:left="0" w:firstLine="0"/>
        <w:rPr>
          <w:noProof/>
        </w:rPr>
      </w:pPr>
      <w:r>
        <w:rPr>
          <w:noProof/>
        </w:rPr>
        <w:t>Nya r</w:t>
      </w:r>
      <w:r>
        <w:rPr>
          <w:noProof/>
        </w:rPr>
        <w:t>apporter om några av dessa sektorsspecifika initiativ har visat vissa framsteg. När det gäller olaglig hatpropaganda visar rapporter från juni 2017 en ökning från 28 % till 59 % avseende borttagning av ett urval anmält innehåll i vissa EU-länder under en s</w:t>
      </w:r>
      <w:r>
        <w:rPr>
          <w:noProof/>
        </w:rPr>
        <w:t>exmånadersperiod, men viktiga skillnader mellan olika plattformar konstateras</w:t>
      </w:r>
      <w:r>
        <w:rPr>
          <w:rStyle w:val="FootnoteReference"/>
          <w:noProof/>
        </w:rPr>
        <w:footnoteReference w:id="20"/>
      </w:r>
      <w:r>
        <w:rPr>
          <w:noProof/>
        </w:rPr>
        <w:t>. En del förbättringar vad gäller hastigheten av borttagningen registrerades under samma period, samtidigt som 28 % av borttagningen fortfarande inte gjordes förrän efter en veck</w:t>
      </w:r>
      <w:r>
        <w:rPr>
          <w:noProof/>
        </w:rPr>
        <w:t>a</w:t>
      </w:r>
      <w:r>
        <w:rPr>
          <w:noProof/>
          <w:vertAlign w:val="superscript"/>
        </w:rPr>
        <w:footnoteReference w:id="21"/>
      </w:r>
      <w:r>
        <w:rPr>
          <w:noProof/>
        </w:rPr>
        <w:t>. Detta visar att en icke lagstiftande strategi kan ge vissa resultat, i synnerhet om den åtföljs av åtgärder för att säkerställa att samarbetet mellan alla berörda operatörer underlättas. På liknande sätt har ungefär 80–90 % av det innehåll som flaggats</w:t>
      </w:r>
      <w:r>
        <w:rPr>
          <w:noProof/>
        </w:rPr>
        <w:t xml:space="preserve"> av Europol tagits bort inom ramen för EU:s internetforum mot terroristiskt innehåll sedan starten</w:t>
      </w:r>
      <w:r>
        <w:rPr>
          <w:rStyle w:val="FootnoteReference"/>
          <w:noProof/>
        </w:rPr>
        <w:footnoteReference w:id="22"/>
      </w:r>
      <w:r>
        <w:rPr>
          <w:noProof/>
        </w:rPr>
        <w:t>. När det gäller barnpornografi rapporterade INHOPE-systemet med jourtelefoner redan 2015 en effektivitet på 91 % när det gällde borttagning inom 72 timmar o</w:t>
      </w:r>
      <w:r>
        <w:rPr>
          <w:noProof/>
        </w:rPr>
        <w:t>ch 1 av 3 innehållsposter togs bort inom 24 timmar</w:t>
      </w:r>
      <w:r>
        <w:rPr>
          <w:rStyle w:val="FootnoteReference"/>
          <w:noProof/>
        </w:rPr>
        <w:footnoteReference w:id="23"/>
      </w:r>
      <w:r>
        <w:rPr>
          <w:noProof/>
        </w:rPr>
        <w:t xml:space="preserve">. </w:t>
      </w:r>
    </w:p>
    <w:p w:rsidR="00C91075" w:rsidRDefault="0000066E">
      <w:pPr>
        <w:pStyle w:val="CuerpoA"/>
        <w:ind w:left="0" w:firstLine="0"/>
        <w:rPr>
          <w:noProof/>
        </w:rPr>
      </w:pPr>
      <w:r>
        <w:rPr>
          <w:noProof/>
        </w:rPr>
        <w:t>De olika pågående sektorsspecifika dialogerna avslöjade dessutom en betydande grad av likhet när det gäller de förfaranden som bestämmer upptäckt, identifiering, borttagning och skydd mot återuppladdnin</w:t>
      </w:r>
      <w:r>
        <w:rPr>
          <w:noProof/>
        </w:rPr>
        <w:t xml:space="preserve">g i de olika sektorerna. Dessa slutsatser ligger till grund för detta meddelande. </w:t>
      </w:r>
    </w:p>
    <w:p w:rsidR="00C91075" w:rsidRDefault="0000066E">
      <w:pPr>
        <w:pStyle w:val="CuerpoA"/>
        <w:ind w:left="0" w:firstLine="0"/>
        <w:rPr>
          <w:noProof/>
        </w:rPr>
      </w:pPr>
      <w:r>
        <w:rPr>
          <w:noProof/>
        </w:rPr>
        <w:t>På EU-nivå består det allmänna juridiska ramverket för borttagning av olagligt innehåll av e-handelsdirektivet</w:t>
      </w:r>
      <w:r>
        <w:rPr>
          <w:noProof/>
          <w:vertAlign w:val="superscript"/>
        </w:rPr>
        <w:footnoteReference w:id="24"/>
      </w:r>
      <w:r>
        <w:rPr>
          <w:noProof/>
        </w:rPr>
        <w:t>, som bland annat harmoniserar de villkor enligt vilka vissa o</w:t>
      </w:r>
      <w:r>
        <w:rPr>
          <w:noProof/>
        </w:rPr>
        <w:t xml:space="preserve">nlineplattformar kan dra nytta av undantaget från ansvar för olagligt innehåll som de lagrar på den digitala inre marknaden. </w:t>
      </w:r>
    </w:p>
    <w:p w:rsidR="00C91075" w:rsidRDefault="0000066E">
      <w:pPr>
        <w:pStyle w:val="CuerpoA"/>
        <w:ind w:left="0" w:firstLine="0"/>
        <w:rPr>
          <w:noProof/>
        </w:rPr>
      </w:pPr>
      <w:r>
        <w:rPr>
          <w:noProof/>
        </w:rPr>
        <w:t>Olagligt innehåll på onlineplattformar kan spridas i synnerhet via onlinetjänster som tillåter uppladdning av innehåll från tredje</w:t>
      </w:r>
      <w:r>
        <w:rPr>
          <w:noProof/>
        </w:rPr>
        <w:t xml:space="preserve"> part. Sådana värdtjänster omfattas, under vissa villkor, av artikel 14 i e-handelsdirektivet</w:t>
      </w:r>
      <w:r>
        <w:rPr>
          <w:noProof/>
          <w:vertAlign w:val="superscript"/>
        </w:rPr>
        <w:footnoteReference w:id="25"/>
      </w:r>
      <w:r>
        <w:rPr>
          <w:noProof/>
        </w:rPr>
        <w:t>. Denna artikel slår fast att leverantörer av värdtjänster</w:t>
      </w:r>
      <w:r>
        <w:rPr>
          <w:noProof/>
          <w:vertAlign w:val="superscript"/>
        </w:rPr>
        <w:footnoteReference w:id="26"/>
      </w:r>
      <w:r>
        <w:rPr>
          <w:noProof/>
        </w:rPr>
        <w:t xml:space="preserve"> inte kan hållas ansvariga för den information som lagras på begäran av tredje part, under förutsättnin</w:t>
      </w:r>
      <w:r>
        <w:rPr>
          <w:noProof/>
        </w:rPr>
        <w:t>g att a) tjänsteleverantören inte hade kännedom om förekomsten av olaglig verksamhet eller olaglig information och, beträffande skadeståndsanspråk, inte var medveten om fakta eller omständigheter som gjort förekomsten av den olagliga verksamheten eller den</w:t>
      </w:r>
      <w:r>
        <w:rPr>
          <w:noProof/>
        </w:rPr>
        <w:t xml:space="preserve"> olagliga informationen uppenbar, eller b) tjänsteleverantören så snart han fått sådan kännedom eller blivit medveten om detta handlat utan dröjsmål för att avlägsna informationen eller göra den oåtkomlig. Samtidigt bör direktivet ”utgöra en tillämplig gru</w:t>
      </w:r>
      <w:r>
        <w:rPr>
          <w:noProof/>
        </w:rPr>
        <w:t xml:space="preserve">nd vid </w:t>
      </w:r>
      <w:r>
        <w:rPr>
          <w:b/>
          <w:noProof/>
        </w:rPr>
        <w:t>utarbetande av snabba och tillförlitliga förfaranden som syftar till att avlägsna olaglig information och göra den oåtkomlig”</w:t>
      </w:r>
      <w:r>
        <w:rPr>
          <w:noProof/>
          <w:vertAlign w:val="superscript"/>
        </w:rPr>
        <w:footnoteReference w:id="27"/>
      </w:r>
      <w:r>
        <w:rPr>
          <w:noProof/>
        </w:rPr>
        <w:t xml:space="preserve">. </w:t>
      </w:r>
    </w:p>
    <w:p w:rsidR="00C91075" w:rsidRDefault="0000066E">
      <w:pPr>
        <w:pStyle w:val="CuerpoA"/>
        <w:ind w:left="0" w:firstLine="0"/>
        <w:rPr>
          <w:noProof/>
        </w:rPr>
      </w:pPr>
      <w:r>
        <w:rPr>
          <w:noProof/>
        </w:rPr>
        <w:t>Enligt artikel 15 förbjuds medlemsstaterna dessutom att ålägga ”</w:t>
      </w:r>
      <w:r>
        <w:rPr>
          <w:i/>
          <w:noProof/>
        </w:rPr>
        <w:t xml:space="preserve">tjänsteleverantörerna en allmän skyldighet att, </w:t>
      </w:r>
      <w:r>
        <w:rPr>
          <w:b/>
          <w:i/>
          <w:noProof/>
        </w:rPr>
        <w:t>i samban</w:t>
      </w:r>
      <w:r>
        <w:rPr>
          <w:b/>
          <w:i/>
          <w:noProof/>
        </w:rPr>
        <w:t>d med tillhandahållande av sådana tjänster som avses i [artikel 14],</w:t>
      </w:r>
      <w:r>
        <w:rPr>
          <w:i/>
          <w:noProof/>
        </w:rPr>
        <w:t xml:space="preserve"> övervaka den information de överför eller lagrar, och inte heller någon allmän skyldighet att aktivt efterforska fakta eller omständigheter som kan tyda på olaglig verksamhet</w:t>
      </w:r>
      <w:r>
        <w:rPr>
          <w:noProof/>
        </w:rPr>
        <w:t xml:space="preserve">”. Samtidigt </w:t>
      </w:r>
      <w:r>
        <w:rPr>
          <w:noProof/>
        </w:rPr>
        <w:t>påminns i skäl 47 i direktivet om att detta endast gäller övervakningsskyldigheter av allmän natur och att det inte gäller ”</w:t>
      </w:r>
      <w:r>
        <w:rPr>
          <w:i/>
          <w:noProof/>
        </w:rPr>
        <w:t>övervakningsskyldigheter i ett speciellt fall och påverkar i synnerhet inte beslut från nationella myndigheter i enlighet med nation</w:t>
      </w:r>
      <w:r>
        <w:rPr>
          <w:i/>
          <w:noProof/>
        </w:rPr>
        <w:t>ell lagstiftning</w:t>
      </w:r>
      <w:r>
        <w:rPr>
          <w:noProof/>
        </w:rPr>
        <w:t>”.</w:t>
      </w:r>
    </w:p>
    <w:p w:rsidR="00C91075" w:rsidRDefault="0000066E">
      <w:pPr>
        <w:pStyle w:val="CuerpoA"/>
        <w:ind w:left="0" w:firstLine="0"/>
        <w:rPr>
          <w:noProof/>
        </w:rPr>
      </w:pPr>
      <w:r>
        <w:rPr>
          <w:noProof/>
        </w:rPr>
        <w:t>I detta sammanhang åtog sig kommissionen i sitt meddelande om onlineplattformar från 2016 att upprätthålla en balanserad och förutsägbar ansvarsordning för onlineplattformar, som ett viktigt reglerande ramverk till stöd för digital innov</w:t>
      </w:r>
      <w:r>
        <w:rPr>
          <w:noProof/>
        </w:rPr>
        <w:t>ation på den digitala inre marknaden.</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bCs/>
          <w:noProof/>
          <w:sz w:val="22"/>
          <w:szCs w:val="22"/>
        </w:rPr>
      </w:pPr>
      <w:r>
        <w:rPr>
          <w:rFonts w:ascii="Calibri" w:hAnsi="Calibri"/>
          <w:noProof/>
          <w:sz w:val="22"/>
        </w:rPr>
        <w:t>Vägledningen i detta meddelande påverkar inte EU:s regelverk utan avser verksamheten på onlineplattformarna, i synnerhet värdtjänster som tillhandahålls av dessa plattformar</w:t>
      </w:r>
      <w:r>
        <w:rPr>
          <w:rStyle w:val="FootnoteReference"/>
          <w:rFonts w:ascii="Calibri" w:hAnsi="Calibri"/>
          <w:noProof/>
          <w:sz w:val="22"/>
        </w:rPr>
        <w:footnoteReference w:id="28"/>
      </w:r>
      <w:r>
        <w:rPr>
          <w:rFonts w:ascii="Calibri" w:hAnsi="Calibri"/>
          <w:noProof/>
          <w:sz w:val="22"/>
        </w:rPr>
        <w:t xml:space="preserve"> i enlighet med artikel 14 i e-handelsdirekt</w:t>
      </w:r>
      <w:r>
        <w:rPr>
          <w:rFonts w:ascii="Calibri" w:hAnsi="Calibri"/>
          <w:noProof/>
          <w:sz w:val="22"/>
        </w:rPr>
        <w:t>ivet. Riktlinjerna täcker alla kategorier av olagligt innehåll och tar hänsyn till det faktum att olika typer av innehåll kan kräva olika sorters åtgärder.</w:t>
      </w:r>
    </w:p>
    <w:p w:rsidR="00C91075" w:rsidRDefault="0000066E">
      <w:pPr>
        <w:pStyle w:val="CuerpoA"/>
        <w:ind w:left="0" w:firstLine="0"/>
        <w:rPr>
          <w:noProof/>
        </w:rPr>
      </w:pPr>
      <w:r>
        <w:rPr>
          <w:noProof/>
        </w:rPr>
        <w:t>En harmoniserad och tydlig strategi för borttagning av olagligt innehåll finns för närvarande inte i</w:t>
      </w:r>
      <w:r>
        <w:rPr>
          <w:noProof/>
        </w:rPr>
        <w:t xml:space="preserve">nom EU. Vad som finns inom EU är olika metoder beroende på medlemsstat, innehållskategori och typ av onlineplattform. En </w:t>
      </w:r>
      <w:r>
        <w:rPr>
          <w:b/>
          <w:noProof/>
        </w:rPr>
        <w:t>mer anpassad metod skulle göra kampen mot olagligt innehåll effektivare. Den skulle dessutom gynna utvecklingen av den digitala inre ma</w:t>
      </w:r>
      <w:r>
        <w:rPr>
          <w:b/>
          <w:noProof/>
        </w:rPr>
        <w:t xml:space="preserve">rknaden </w:t>
      </w:r>
      <w:r>
        <w:rPr>
          <w:noProof/>
        </w:rPr>
        <w:t>och sänka efterlevnadskostnaderna med en mängd olika regler för onlineplattformar, inklusive för nya deltagare.</w:t>
      </w:r>
    </w:p>
    <w:p w:rsidR="00C91075" w:rsidRDefault="0000066E">
      <w:pPr>
        <w:pStyle w:val="CuerpoA"/>
        <w:ind w:left="0" w:firstLine="0"/>
        <w:rPr>
          <w:b/>
          <w:bCs/>
          <w:noProof/>
        </w:rPr>
      </w:pPr>
      <w:r>
        <w:rPr>
          <w:noProof/>
        </w:rPr>
        <w:t xml:space="preserve">Det är viktigt att betona att detta juridiska ramverk inte definierar, än mindre harmoniserar, vad som utgör ”olagligt” innehåll. </w:t>
      </w:r>
      <w:r>
        <w:rPr>
          <w:b/>
          <w:noProof/>
        </w:rPr>
        <w:t>Vad so</w:t>
      </w:r>
      <w:r>
        <w:rPr>
          <w:b/>
          <w:noProof/>
        </w:rPr>
        <w:t>m är olagligt bestäms av särskild lagstiftning på EU-nivå och av nationell lagstiftning.</w:t>
      </w:r>
      <w:r>
        <w:rPr>
          <w:noProof/>
          <w:vertAlign w:val="superscript"/>
        </w:rPr>
        <w:footnoteReference w:id="29"/>
      </w:r>
      <w:r>
        <w:rPr>
          <w:noProof/>
        </w:rPr>
        <w:t xml:space="preserve"> Exempelvis typ, egenskaper och skada som hänger samman med terrorismrelaterat material, olaglig hatpropaganda eller barnpornografi eller sådant material som rör männi</w:t>
      </w:r>
      <w:r>
        <w:rPr>
          <w:noProof/>
        </w:rPr>
        <w:t>skohandel skiljer sig väldigt mycket från kränkningar av immaterialrätt, produktsäkerhetsregler, otillbörliga affärsmetoder online eller onlineverksamhet av nedsättande slag, men alla dessa typer av olagligt innehåll är föremål för det övergripande juridis</w:t>
      </w:r>
      <w:r>
        <w:rPr>
          <w:noProof/>
        </w:rPr>
        <w:t xml:space="preserve">ka ramverk som anges av e-handelsdirektivet. Med hänsyn tagen till de betydande likheterna i </w:t>
      </w:r>
      <w:r>
        <w:rPr>
          <w:i/>
          <w:noProof/>
        </w:rPr>
        <w:t>processen för avlägsnande</w:t>
      </w:r>
      <w:r>
        <w:rPr>
          <w:noProof/>
        </w:rPr>
        <w:t xml:space="preserve"> av dessa olika typer av innehåll täcker detta meddelande dessutom hela vidden av olagligt innehåll på internet, samtidigt som det</w:t>
      </w:r>
      <w:r>
        <w:rPr>
          <w:b/>
          <w:noProof/>
        </w:rPr>
        <w:t xml:space="preserve"> möjligg</w:t>
      </w:r>
      <w:r>
        <w:rPr>
          <w:b/>
          <w:noProof/>
        </w:rPr>
        <w:t>ör sektorsspecifika skillnader där så är lämpligt och berättigat.</w:t>
      </w:r>
    </w:p>
    <w:p w:rsidR="00C91075" w:rsidRDefault="0000066E">
      <w:pPr>
        <w:pStyle w:val="CuerpoA"/>
        <w:ind w:left="0" w:firstLine="0"/>
        <w:rPr>
          <w:noProof/>
        </w:rPr>
      </w:pPr>
      <w:r>
        <w:rPr>
          <w:noProof/>
        </w:rPr>
        <w:t>Inom EU är domstolar och nationella behöriga myndigheter, inklusive brottsbekämpande myndigheter, behöriga att vidta åtgärder och besluta om straffrättsliga påföljder enligt lagenliga förfar</w:t>
      </w:r>
      <w:r>
        <w:rPr>
          <w:noProof/>
        </w:rPr>
        <w:t>anden när det gäller olagligheten i en given verksamhet eller information på internet. Samtidigt har onlineplattformar rätt att förhindra att deras infrastruktur och verksamhet används för att begå brott; de har ett ansvar att skydda sina användare och för</w:t>
      </w:r>
      <w:r>
        <w:rPr>
          <w:noProof/>
        </w:rPr>
        <w:t>hindra olagligt innehåll på sin plattform, och de har vanligtvis tekniska medel för att identifiera och ta bort sådant innehåll. Detta blir ännu viktigare med tanke på att onlineplattformarna har investerat stora summor för att utveckla avancerad teknik fö</w:t>
      </w:r>
      <w:r>
        <w:rPr>
          <w:noProof/>
        </w:rPr>
        <w:t>r aktiv insamling av information om det innehåll som sprids på deras domäner och om användarnas beteende. Samtidigt som det är viktigt med snabba beslut när det gäller borttagning av olagligt innehåll finns det också behov av att använda lämpliga skyddsmek</w:t>
      </w:r>
      <w:r>
        <w:rPr>
          <w:noProof/>
        </w:rPr>
        <w:t>anismer. Detta kräver balans mellan rollerna för offentliga och privata organ.</w:t>
      </w:r>
    </w:p>
    <w:p w:rsidR="00C91075" w:rsidRDefault="0000066E">
      <w:pPr>
        <w:pStyle w:val="CuerpoA"/>
        <w:ind w:left="0" w:firstLine="0"/>
        <w:rPr>
          <w:noProof/>
        </w:rPr>
      </w:pPr>
      <w:r>
        <w:rPr>
          <w:noProof/>
        </w:rPr>
        <w:t>De riktlinjer och principer som anges i detta meddelande är således inte enbart inriktade på upptäckt och borttagning av olagligt innehåll, utan strävar dessutom efter att ta it</w:t>
      </w:r>
      <w:r>
        <w:rPr>
          <w:noProof/>
        </w:rPr>
        <w:t xml:space="preserve">u med problemen när det gäller borttagning av </w:t>
      </w:r>
      <w:r>
        <w:rPr>
          <w:i/>
          <w:noProof/>
        </w:rPr>
        <w:t>lagligt</w:t>
      </w:r>
      <w:r>
        <w:rPr>
          <w:noProof/>
        </w:rPr>
        <w:t xml:space="preserve"> innehåll, vilket ibland kallas ”överborttagning”, som i sin tur påverkar yttrandefriheten och pluralismen inom media. Lämpliga skyddsmekanismer bör därför utvecklas och anpassas till den specifika typ a</w:t>
      </w:r>
      <w:r>
        <w:rPr>
          <w:noProof/>
        </w:rPr>
        <w:t>v olagligt innehåll som det är fråga om.</w:t>
      </w:r>
    </w:p>
    <w:p w:rsidR="00C91075" w:rsidRDefault="0000066E">
      <w:pPr>
        <w:pStyle w:val="CuerpoA"/>
        <w:ind w:left="0" w:firstLine="0"/>
        <w:rPr>
          <w:noProof/>
        </w:rPr>
      </w:pPr>
      <w:r>
        <w:rPr>
          <w:noProof/>
        </w:rPr>
        <w:t>Det finns otvivelaktigt ett allmänintresse och en oro för innehåll som inte nödvändigtvis är olagligt men som är potentiellt skadligt, såsom falska nyheter eller innehåll som är skadligt för minderåriga</w:t>
      </w:r>
      <w:r>
        <w:rPr>
          <w:noProof/>
          <w:vertAlign w:val="superscript"/>
        </w:rPr>
        <w:footnoteReference w:id="30"/>
      </w:r>
      <w:r>
        <w:rPr>
          <w:noProof/>
        </w:rPr>
        <w:t>. Fokus i de</w:t>
      </w:r>
      <w:r>
        <w:rPr>
          <w:noProof/>
        </w:rPr>
        <w:t xml:space="preserve">tta meddelande ligger emellertid på upptäckt och borttagning av </w:t>
      </w:r>
      <w:r>
        <w:rPr>
          <w:b/>
          <w:noProof/>
        </w:rPr>
        <w:t>olagligt innehåll</w:t>
      </w:r>
      <w:r>
        <w:rPr>
          <w:noProof/>
        </w:rPr>
        <w:t>.</w:t>
      </w:r>
    </w:p>
    <w:p w:rsidR="00C91075" w:rsidRDefault="0000066E">
      <w:pPr>
        <w:pStyle w:val="EncabezamA"/>
        <w:numPr>
          <w:ilvl w:val="0"/>
          <w:numId w:val="3"/>
        </w:numPr>
        <w:rPr>
          <w:noProof/>
        </w:rPr>
      </w:pPr>
      <w:r>
        <w:rPr>
          <w:noProof/>
        </w:rPr>
        <w:t>Upptäckt och anmälan av olagligt innehåll </w:t>
      </w:r>
    </w:p>
    <w:p w:rsidR="00C91075" w:rsidRDefault="0000066E">
      <w:pPr>
        <w:pStyle w:val="CuerpoA"/>
        <w:ind w:left="0" w:firstLine="0"/>
        <w:rPr>
          <w:noProof/>
        </w:rPr>
      </w:pPr>
      <w:r>
        <w:rPr>
          <w:noProof/>
        </w:rPr>
        <w:t xml:space="preserve">Målet med detta avsnitt är att </w:t>
      </w:r>
      <w:r>
        <w:rPr>
          <w:b/>
          <w:noProof/>
        </w:rPr>
        <w:t>visa vad onlineplattformar, behöriga myndigheter och användare bör göra för att snabbt och effektiv</w:t>
      </w:r>
      <w:r>
        <w:rPr>
          <w:b/>
          <w:noProof/>
        </w:rPr>
        <w:t>t upptäcka olagligt innehåll</w:t>
      </w:r>
      <w:r>
        <w:rPr>
          <w:noProof/>
        </w:rPr>
        <w:t>.</w:t>
      </w:r>
    </w:p>
    <w:p w:rsidR="00C91075" w:rsidRDefault="0000066E">
      <w:pPr>
        <w:pStyle w:val="CuerpoA"/>
        <w:ind w:left="0" w:firstLine="0"/>
        <w:rPr>
          <w:noProof/>
        </w:rPr>
      </w:pPr>
      <w:r>
        <w:rPr>
          <w:noProof/>
        </w:rPr>
        <w:t>Onlineplattformarna kan bli medvetna om att det finns olagligt innehåll på ett antal olika sätt och genom olika kanaler. Sådana anmälningskanaler omfattar i) domstolsbeslut eller administrativa beslut, ii) meddelanden från beh</w:t>
      </w:r>
      <w:r>
        <w:rPr>
          <w:noProof/>
        </w:rPr>
        <w:t xml:space="preserve">öriga myndigheter (t.ex. brottsbekämpande organ), specialiserade ”betrodda anmälare”, innehavare av immateriella rättigheter eller vanliga användare, eller iii) genom plattformarnas egna utredningar eller egen kännedom. </w:t>
      </w:r>
    </w:p>
    <w:p w:rsidR="00C91075" w:rsidRDefault="0000066E">
      <w:pPr>
        <w:pStyle w:val="CuerpoA"/>
        <w:ind w:left="0" w:firstLine="0"/>
        <w:rPr>
          <w:noProof/>
        </w:rPr>
      </w:pPr>
      <w:r>
        <w:rPr>
          <w:noProof/>
        </w:rPr>
        <w:t xml:space="preserve">Utöver de lagstadgade skyldigheter </w:t>
      </w:r>
      <w:r>
        <w:rPr>
          <w:noProof/>
        </w:rPr>
        <w:t>som härrör från europeisk och nationell lagstiftning och deras ”försiktighetsprincip”, som en del av deras ansvar, bör onlineplattformarna garantera en säker onlinemiljö för sina användare, som är fientligt sinnad mot brott och annan olaglig exploatering o</w:t>
      </w:r>
      <w:r>
        <w:rPr>
          <w:noProof/>
        </w:rPr>
        <w:t xml:space="preserve">ch som avskräcker från och förhindrar brottslig verksamhet online och annan onlineverksamhet som utgör en överträdelse. </w:t>
      </w:r>
    </w:p>
    <w:p w:rsidR="00C91075" w:rsidRDefault="00C91075">
      <w:pPr>
        <w:pStyle w:val="NoSpacing"/>
        <w:rPr>
          <w:noProof/>
        </w:rPr>
      </w:pPr>
    </w:p>
    <w:p w:rsidR="00C91075" w:rsidRDefault="0000066E">
      <w:pPr>
        <w:pStyle w:val="Encabezam2A"/>
        <w:numPr>
          <w:ilvl w:val="1"/>
          <w:numId w:val="3"/>
        </w:numPr>
        <w:rPr>
          <w:noProof/>
        </w:rPr>
      </w:pPr>
      <w:r>
        <w:rPr>
          <w:noProof/>
        </w:rPr>
        <w:t>Domstolar och behöriga myndigheter</w:t>
      </w:r>
    </w:p>
    <w:p w:rsidR="00C91075" w:rsidRDefault="0000066E">
      <w:pPr>
        <w:pStyle w:val="CuerpoA"/>
        <w:ind w:left="0" w:firstLine="0"/>
        <w:rPr>
          <w:noProof/>
        </w:rPr>
      </w:pPr>
      <w:r>
        <w:rPr>
          <w:noProof/>
        </w:rPr>
        <w:t xml:space="preserve">I enlighet med EU-lagstiftning och/eller nationell lagstiftning kan nationella domstolar och, i </w:t>
      </w:r>
      <w:r>
        <w:rPr>
          <w:noProof/>
        </w:rPr>
        <w:t>vissa fall, behöriga myndigheter utfärda bindande förelägganden eller administrativa beslut som riktar sig till onlineplattformar och kräver att de ska ta bort eller blockera tillgången till olagligt innehåll.</w:t>
      </w:r>
      <w:r>
        <w:rPr>
          <w:noProof/>
          <w:vertAlign w:val="superscript"/>
        </w:rPr>
        <w:footnoteReference w:id="31"/>
      </w:r>
      <w:r>
        <w:rPr>
          <w:noProof/>
        </w:rPr>
        <w:t xml:space="preserve"> </w:t>
      </w:r>
    </w:p>
    <w:p w:rsidR="00C91075" w:rsidRDefault="0000066E">
      <w:pPr>
        <w:pStyle w:val="CuerpoA"/>
        <w:ind w:left="0" w:firstLine="0"/>
        <w:rPr>
          <w:noProof/>
        </w:rPr>
      </w:pPr>
      <w:r>
        <w:rPr>
          <w:noProof/>
        </w:rPr>
        <w:t xml:space="preserve">Med hänsyn tagen till att snabb borttagning </w:t>
      </w:r>
      <w:r>
        <w:rPr>
          <w:noProof/>
        </w:rPr>
        <w:t>av olagligt material ofta är avgörande för att begränsa en mer omfattande spridning och skada bör onlineplattformarna också kunna fatta snabba beslut när det gäller möjliga åtgärder mot olagligt innehåll på internet, utan att de är tvungna att göra detta b</w:t>
      </w:r>
      <w:r>
        <w:rPr>
          <w:noProof/>
        </w:rPr>
        <w:t>aserat på ett domstolsbeslut eller ett administrativt beslut, i synnerhet om en brottsbekämpande myndighet identifierar och informerar dem om påstått olagligt innehåll. Samtidigt bör onlineplattformarna införa lämpliga säkerhetsmekanismer när de utövar sit</w:t>
      </w:r>
      <w:r>
        <w:rPr>
          <w:noProof/>
        </w:rPr>
        <w:t xml:space="preserve">t ansvar i detta avseende, för att garantera användarnas rätt till effektiva åtgärder. </w:t>
      </w:r>
    </w:p>
    <w:p w:rsidR="00C91075" w:rsidRDefault="0000066E">
      <w:pPr>
        <w:pStyle w:val="CuerpoA"/>
        <w:ind w:left="0" w:firstLine="0"/>
        <w:rPr>
          <w:noProof/>
        </w:rPr>
      </w:pPr>
      <w:r>
        <w:rPr>
          <w:noProof/>
        </w:rPr>
        <w:t xml:space="preserve">Onlineplattformarna bör därför ha nödvändiga resurser för att förstå de lagliga ramverk inom vilka de verkar. De bör dessutom </w:t>
      </w:r>
      <w:r>
        <w:rPr>
          <w:b/>
          <w:noProof/>
        </w:rPr>
        <w:t>ha ett nära samarbete med brottsbekämpande</w:t>
      </w:r>
      <w:r>
        <w:rPr>
          <w:b/>
          <w:noProof/>
        </w:rPr>
        <w:t xml:space="preserve"> myndigheter och andra behöriga myndigheter</w:t>
      </w:r>
      <w:r>
        <w:rPr>
          <w:noProof/>
        </w:rPr>
        <w:t>, i tillämpliga fall, särskilt genom att se till att de snabbt och effektivt kan kontaktas med begäranden om skyndsam borttagning av olagligt innehåll och även för att, om så är lämpligt, uppmärksamma brottsbekämp</w:t>
      </w:r>
      <w:r>
        <w:rPr>
          <w:noProof/>
        </w:rPr>
        <w:t>ande myndigheter på tecken på brottslig verksamhet på internet</w:t>
      </w:r>
      <w:r>
        <w:rPr>
          <w:rStyle w:val="FootnoteReference"/>
          <w:noProof/>
        </w:rPr>
        <w:footnoteReference w:id="32"/>
      </w:r>
      <w:r>
        <w:rPr>
          <w:noProof/>
        </w:rPr>
        <w:t>. För att undvika upprepning av insatser och anmälningar och en därmed minskad effektivitet i borttagningsprocessen bör brottsbekämpande myndigheter och andra behöriga myndigheter också göra va</w:t>
      </w:r>
      <w:r>
        <w:rPr>
          <w:noProof/>
        </w:rPr>
        <w:t>d de kan för att samarbeta med varandra för att definiera effektiva digitala gränssnitt som underlättar snabb och tillförlitlig inlämning av anmälningar, och för att garantera en effektiv identifiering och rapportering av olagligt innehåll. Att upprätta ko</w:t>
      </w:r>
      <w:r>
        <w:rPr>
          <w:noProof/>
        </w:rPr>
        <w:t xml:space="preserve">ntaktpunkter för plattformar och myndigheter är avgörande för att ett sådant samarbete ska fungera. </w:t>
      </w:r>
    </w:p>
    <w:p w:rsidR="00C91075" w:rsidRDefault="0000066E">
      <w:pPr>
        <w:pStyle w:val="CuerpoA"/>
        <w:ind w:left="0" w:firstLine="0"/>
        <w:rPr>
          <w:noProof/>
          <w:u w:color="FF0000"/>
        </w:rPr>
      </w:pPr>
      <w:r>
        <w:rPr>
          <w:noProof/>
        </w:rPr>
        <w:t>För terroristiskt innehåll</w:t>
      </w:r>
      <w:r>
        <w:rPr>
          <w:rStyle w:val="FootnoteReference"/>
          <w:noProof/>
        </w:rPr>
        <w:footnoteReference w:id="33"/>
      </w:r>
      <w:r>
        <w:rPr>
          <w:noProof/>
        </w:rPr>
        <w:t xml:space="preserve"> har en EU-enhet för anmälan av innehåll på internet inrättats inom Europol, med vars hjälp säkerhetsexperter bedömer och hänför terroristinnehåll till onlineplattformar (samtidigt som vissa medlemsstater har egna nationella enheter för anmälan av innehåll</w:t>
      </w:r>
      <w:r>
        <w:rPr>
          <w:noProof/>
        </w:rPr>
        <w:t xml:space="preserve"> på internet). </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b/>
          <w:bCs/>
          <w:noProof/>
          <w:sz w:val="22"/>
          <w:szCs w:val="22"/>
        </w:rPr>
      </w:pPr>
      <w:r>
        <w:rPr>
          <w:rFonts w:ascii="Calibri" w:hAnsi="Calibri"/>
          <w:noProof/>
          <w:sz w:val="22"/>
        </w:rPr>
        <w:t xml:space="preserve">Onlineplattformarna bör </w:t>
      </w:r>
      <w:r>
        <w:rPr>
          <w:rFonts w:ascii="Calibri" w:hAnsi="Calibri"/>
          <w:b/>
          <w:noProof/>
          <w:sz w:val="22"/>
        </w:rPr>
        <w:t xml:space="preserve">systematiskt förstärka sitt samarbete med de behöriga myndigheterna i medlemsstaterna, samtidigt som medlemsstaterna bör se till att domstolarna kan reagera effektivt mot olagligt innehåll på internet </w:t>
      </w:r>
      <w:r>
        <w:rPr>
          <w:rFonts w:ascii="Calibri" w:hAnsi="Calibri"/>
          <w:noProof/>
          <w:sz w:val="22"/>
        </w:rPr>
        <w:t>liksom</w:t>
      </w:r>
      <w:r>
        <w:rPr>
          <w:rFonts w:ascii="Calibri" w:hAnsi="Calibri"/>
          <w:b/>
          <w:noProof/>
          <w:sz w:val="22"/>
        </w:rPr>
        <w:t xml:space="preserve"> bättre (</w:t>
      </w:r>
      <w:r>
        <w:rPr>
          <w:rFonts w:ascii="Calibri" w:hAnsi="Calibri"/>
          <w:b/>
          <w:noProof/>
          <w:sz w:val="22"/>
        </w:rPr>
        <w:t>gränsöverskridande) samarbete mellan myndigheter.</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b/>
          <w:noProof/>
          <w:sz w:val="22"/>
        </w:rPr>
        <w:t>Onlineplattformarna och de brottsbekämpande och andra behöriga myndigheter</w:t>
      </w:r>
      <w:r>
        <w:rPr>
          <w:rFonts w:ascii="Calibri" w:hAnsi="Calibri"/>
          <w:noProof/>
          <w:sz w:val="22"/>
        </w:rPr>
        <w:t xml:space="preserve"> bör upprätta effektiva kontaktpunkter inom EU, och där så är lämpligt definiera effektiva digitala gränssnitt för att underlätta in</w:t>
      </w:r>
      <w:r>
        <w:rPr>
          <w:rFonts w:ascii="Calibri" w:hAnsi="Calibri"/>
          <w:noProof/>
          <w:sz w:val="22"/>
        </w:rPr>
        <w:t xml:space="preserve">teraktionen mellan dem. </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Plattformarna och de brottsbekämpande myndigheterna uppmanas också att utveckla </w:t>
      </w:r>
      <w:r>
        <w:rPr>
          <w:rFonts w:ascii="Calibri" w:hAnsi="Calibri"/>
          <w:b/>
          <w:noProof/>
          <w:sz w:val="22"/>
        </w:rPr>
        <w:t>tekniska gränssnitt som gör det möjligt för dem att samarbeta mer effektivt under hela förvaltningscykeln för innehållet</w:t>
      </w:r>
      <w:r>
        <w:rPr>
          <w:rFonts w:ascii="Calibri" w:hAnsi="Calibri"/>
          <w:noProof/>
          <w:sz w:val="22"/>
        </w:rPr>
        <w:t>. Det kan också vara fördelakti</w:t>
      </w:r>
      <w:r>
        <w:rPr>
          <w:rFonts w:ascii="Calibri" w:hAnsi="Calibri"/>
          <w:noProof/>
          <w:sz w:val="22"/>
        </w:rPr>
        <w:t>gt att samarbeta med det tekniska samfundet när det gäller framsteg i riktning mot effektiva och tekniskt problemfria lösningar på denna utmaning.</w:t>
      </w:r>
    </w:p>
    <w:p w:rsidR="00C91075" w:rsidRDefault="0000066E">
      <w:pPr>
        <w:pStyle w:val="Encabezam2A"/>
        <w:numPr>
          <w:ilvl w:val="1"/>
          <w:numId w:val="4"/>
        </w:numPr>
        <w:ind w:left="0" w:firstLine="0"/>
        <w:rPr>
          <w:noProof/>
        </w:rPr>
      </w:pPr>
      <w:r>
        <w:rPr>
          <w:noProof/>
        </w:rPr>
        <w:t>Anmälningar</w:t>
      </w:r>
    </w:p>
    <w:p w:rsidR="00C91075" w:rsidRDefault="0000066E">
      <w:pPr>
        <w:pStyle w:val="Encabezam3A"/>
        <w:numPr>
          <w:ilvl w:val="2"/>
          <w:numId w:val="3"/>
        </w:numPr>
        <w:rPr>
          <w:noProof/>
        </w:rPr>
      </w:pPr>
      <w:r>
        <w:rPr>
          <w:noProof/>
        </w:rPr>
        <w:t>Betrodda anmälare</w:t>
      </w:r>
    </w:p>
    <w:p w:rsidR="00C91075" w:rsidRDefault="0000066E">
      <w:pPr>
        <w:pStyle w:val="CuerpoA"/>
        <w:ind w:left="0" w:firstLine="0"/>
        <w:rPr>
          <w:noProof/>
        </w:rPr>
      </w:pPr>
      <w:r>
        <w:rPr>
          <w:noProof/>
        </w:rPr>
        <w:t>Borttagning av olagligt innehåll online sker mycket snabbare och på ett mer til</w:t>
      </w:r>
      <w:r>
        <w:rPr>
          <w:noProof/>
        </w:rPr>
        <w:t>lförlitligt sätt om onlineplattformarna inför mekanismer för en privilegierad kanal för sådana anmälare som erbjuder särskild expertis när det gäller att meddela förekomst av potentiellt olagligt innehåll på deras webbplats. De är så kallade ”betrodda anmä</w:t>
      </w:r>
      <w:r>
        <w:rPr>
          <w:noProof/>
        </w:rPr>
        <w:t xml:space="preserve">lare”, specialiserade enheter med specifik expertis när det gäller att identifiera olagligt innehåll och med anpassade strukturer för upptäckt och identifiering av sådant innehåll på internet. </w:t>
      </w:r>
    </w:p>
    <w:p w:rsidR="00C91075" w:rsidRDefault="0000066E">
      <w:pPr>
        <w:pStyle w:val="CuerpoA"/>
        <w:ind w:left="0" w:firstLine="0"/>
        <w:rPr>
          <w:noProof/>
        </w:rPr>
      </w:pPr>
      <w:r>
        <w:rPr>
          <w:noProof/>
        </w:rPr>
        <w:t xml:space="preserve">Jämfört med vanliga användare </w:t>
      </w:r>
      <w:r>
        <w:rPr>
          <w:b/>
          <w:noProof/>
        </w:rPr>
        <w:t xml:space="preserve">kan betrodda anmälare förväntas </w:t>
      </w:r>
      <w:r>
        <w:rPr>
          <w:b/>
          <w:noProof/>
        </w:rPr>
        <w:t>inneha expertis och arbeta med höga kvalitetsstandarder</w:t>
      </w:r>
      <w:r>
        <w:rPr>
          <w:noProof/>
        </w:rPr>
        <w:t>, vilket bör leda till anmälningar av högre kvalitet och snabbare borttagning. Onlineplattformarna uppmanas att använda sig av befintliga nätverk med betrodda anmälare. För terroristiskt innehåll har e</w:t>
      </w:r>
      <w:r>
        <w:rPr>
          <w:noProof/>
        </w:rPr>
        <w:t>xempelvis Europols enhet för anmälan av internetinnehåll nödvändig expertis för att bedöma om ett visst material har ett terroristiskt och våldsamt extremistiskt innehåll och använder denna expertis för att agera som en betrodd anmälare, utöver sin roll so</w:t>
      </w:r>
      <w:r>
        <w:rPr>
          <w:noProof/>
        </w:rPr>
        <w:t>m brottsbekämpare. INHOPE-nätverket med jourtelefoner för rapportering av barnpornografi är ett annat exempel på en betrodd anmälare. När det gäller olaglig hatpropaganda finns det organisationer inom det civila samhället och halvoffentliga organ som är sp</w:t>
      </w:r>
      <w:r>
        <w:rPr>
          <w:noProof/>
        </w:rPr>
        <w:t xml:space="preserve">ecialiserade på att identifiera och rapportera olagligt material på internet med rasistiskt och främlingsfientligt innehåll. </w:t>
      </w:r>
    </w:p>
    <w:p w:rsidR="00C91075" w:rsidRDefault="0000066E">
      <w:pPr>
        <w:pStyle w:val="CuerpoA"/>
        <w:ind w:left="0" w:firstLine="0"/>
        <w:rPr>
          <w:noProof/>
        </w:rPr>
      </w:pPr>
      <w:r>
        <w:rPr>
          <w:noProof/>
        </w:rPr>
        <w:t xml:space="preserve">För att säkerställa en hög kvalitet på anmälningar och en snabbare borttagning av olagligt innehåll </w:t>
      </w:r>
      <w:r>
        <w:rPr>
          <w:b/>
          <w:noProof/>
        </w:rPr>
        <w:t>kan branschen komma överens om</w:t>
      </w:r>
      <w:r>
        <w:rPr>
          <w:b/>
          <w:noProof/>
        </w:rPr>
        <w:t xml:space="preserve"> kriterier på EU-nivå, baserade på i synnerhet respekten för grundläggande rättigheter och demokratiska värderingar</w:t>
      </w:r>
      <w:r>
        <w:rPr>
          <w:noProof/>
        </w:rPr>
        <w:t xml:space="preserve">. Detta kan göras genom självreglerande mekanismer eller inom EU:s standardiseringsram, </w:t>
      </w:r>
      <w:r>
        <w:rPr>
          <w:b/>
          <w:noProof/>
        </w:rPr>
        <w:t>enligt vilken en viss enhet kan anses vara en betrodd</w:t>
      </w:r>
      <w:r>
        <w:rPr>
          <w:b/>
          <w:noProof/>
        </w:rPr>
        <w:t xml:space="preserve"> anmälare</w:t>
      </w:r>
      <w:r>
        <w:rPr>
          <w:noProof/>
        </w:rPr>
        <w:t>, vilket ger tillräcklig flexibilitet för att ta hänsyn till innehållsspecifika egenskaper och den betrodda anmälarens roll. Andra sådana kriterier skulle till exempel kunna innefatta interna utbildningsstandarder, processtandarder och kvalitetssä</w:t>
      </w:r>
      <w:r>
        <w:rPr>
          <w:noProof/>
        </w:rPr>
        <w:t>kring, liksom lagliga skyddsmekanismer avseende oberoende, intressekonflikter, integritetsskydd och personuppgiftsskydd. Dessa skyddsmekanismer är särskilt viktiga i det begränsade antal fall där plattformar kan avlägsna innehåll i samband med anmälan från</w:t>
      </w:r>
      <w:r>
        <w:rPr>
          <w:noProof/>
        </w:rPr>
        <w:t xml:space="preserve"> den betrodda anmälaren, utan att de själva behöver verifiera innehållets laglighet ytterligare. I dessa begränsade fall skulle betrodda anmälare även kunna granskas mot dessa kriterier, och ett certifieringsprogram skulle kunna intyga deras betrodda statu</w:t>
      </w:r>
      <w:r>
        <w:rPr>
          <w:noProof/>
        </w:rPr>
        <w:t xml:space="preserve">s. Tillräckliga skyddsmekanismer bör alltid finnas tillgängliga för att förhindra missbruk av systemet, enligt vad som anges i avsnitt </w:t>
      </w:r>
      <w:hyperlink w:anchor="Ref491179251" w:history="1">
        <w:r>
          <w:rPr>
            <w:noProof/>
          </w:rPr>
          <w:t>4.3</w:t>
        </w:r>
      </w:hyperlink>
      <w:r>
        <w:rPr>
          <w:noProof/>
        </w:rPr>
        <w:t>.</w:t>
      </w:r>
    </w:p>
    <w:p w:rsidR="00C91075" w:rsidRDefault="0000066E">
      <w:pPr>
        <w:pStyle w:val="CuerpoA"/>
        <w:ind w:left="0" w:firstLine="0"/>
        <w:rPr>
          <w:noProof/>
        </w:rPr>
      </w:pPr>
      <w:r>
        <w:rPr>
          <w:noProof/>
        </w:rPr>
        <w:t>Behöriga myndigheter bör ges möjlighet att delta i rapporteringsmekanismen för betro</w:t>
      </w:r>
      <w:r>
        <w:rPr>
          <w:noProof/>
        </w:rPr>
        <w:t xml:space="preserve">dda anmälare, i relevanta fall. </w:t>
      </w:r>
    </w:p>
    <w:p w:rsidR="00C91075" w:rsidRDefault="0000066E">
      <w:pPr>
        <w:pStyle w:val="CuerpoA"/>
        <w:ind w:left="0" w:firstLine="0"/>
        <w:rPr>
          <w:noProof/>
        </w:rPr>
      </w:pPr>
      <w:r>
        <w:rPr>
          <w:noProof/>
        </w:rPr>
        <w:t>Det är nödvändigt att göra en avvägning mellan att säkerställa en hög kvalitet på de anmälningar som kommer från betrodda anmälare, omfattningen av ytterligare åtgärder som företagen skulle vidta med avseende på betrodda an</w:t>
      </w:r>
      <w:r>
        <w:rPr>
          <w:noProof/>
        </w:rPr>
        <w:t>mälare och bördan av att upprätthålla dessa kvalitetsstandarder. Om det förekommer missbruk av mekanismen med betrodda anmälare mot etablerade standarder bör den privilegierade statusen som betrodd anmälare tas bort.</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Kommissionen </w:t>
      </w:r>
      <w:r>
        <w:rPr>
          <w:rFonts w:ascii="Calibri" w:hAnsi="Calibri"/>
          <w:b/>
          <w:noProof/>
          <w:sz w:val="22"/>
        </w:rPr>
        <w:t>uppmuntrar ett nära samarb</w:t>
      </w:r>
      <w:r>
        <w:rPr>
          <w:rFonts w:ascii="Calibri" w:hAnsi="Calibri"/>
          <w:b/>
          <w:noProof/>
          <w:sz w:val="22"/>
        </w:rPr>
        <w:t>ete mellan onlineplattformar och betrodda anmälare. Anmälningar från betrodda anmälare bör kunna spåras snabbt av plattformen.</w:t>
      </w:r>
      <w:r>
        <w:rPr>
          <w:rFonts w:ascii="Calibri" w:hAnsi="Calibri"/>
          <w:noProof/>
          <w:sz w:val="22"/>
        </w:rPr>
        <w:t xml:space="preserve"> Detta samarbete bör innehålla ett ömsesidigt informationsutbyte för att utvärdera och förbättra processen för borttagning över ti</w:t>
      </w:r>
      <w:r>
        <w:rPr>
          <w:rFonts w:ascii="Calibri" w:hAnsi="Calibri"/>
          <w:noProof/>
          <w:sz w:val="22"/>
        </w:rPr>
        <w:t>d.</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Kommissionen kommer att </w:t>
      </w:r>
      <w:r>
        <w:rPr>
          <w:rFonts w:ascii="Calibri" w:hAnsi="Calibri"/>
          <w:b/>
          <w:noProof/>
          <w:sz w:val="22"/>
        </w:rPr>
        <w:t>undersöka möjligheterna ytterligare att enas om kriterier på EU-nivå för betrodda anmälare</w:t>
      </w:r>
      <w:r>
        <w:rPr>
          <w:rFonts w:ascii="Calibri" w:hAnsi="Calibri"/>
          <w:noProof/>
          <w:sz w:val="22"/>
        </w:rPr>
        <w:t>, i synnerhet genom dialoger med relevanta intressenter.</w:t>
      </w:r>
    </w:p>
    <w:p w:rsidR="00C91075" w:rsidRDefault="0000066E">
      <w:pPr>
        <w:pStyle w:val="Encabezam3A"/>
        <w:numPr>
          <w:ilvl w:val="2"/>
          <w:numId w:val="3"/>
        </w:numPr>
        <w:rPr>
          <w:noProof/>
        </w:rPr>
      </w:pPr>
      <w:r>
        <w:rPr>
          <w:noProof/>
        </w:rPr>
        <w:t>Anmälningar från användare</w:t>
      </w:r>
    </w:p>
    <w:p w:rsidR="00C91075" w:rsidRDefault="0000066E">
      <w:pPr>
        <w:pStyle w:val="CuerpoA"/>
        <w:ind w:left="0" w:firstLine="0"/>
        <w:rPr>
          <w:noProof/>
        </w:rPr>
      </w:pPr>
      <w:r>
        <w:rPr>
          <w:noProof/>
        </w:rPr>
        <w:t>I en effektiv kamp mot olagligt innehåll på internet bö</w:t>
      </w:r>
      <w:r>
        <w:rPr>
          <w:noProof/>
        </w:rPr>
        <w:t>r vanliga användare få rätt att signalera olagligt innehåll till onlineplattformarna och kunna lita på att berättigade anmälningar kommer att övervägas och att skyndsamma åtgärder kommer att vidtas.</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Onlineplattformarna bör </w:t>
      </w:r>
      <w:r>
        <w:rPr>
          <w:rFonts w:ascii="Calibri" w:hAnsi="Calibri"/>
          <w:b/>
          <w:noProof/>
          <w:sz w:val="22"/>
        </w:rPr>
        <w:t xml:space="preserve">inrätta en lättåtkomlig och </w:t>
      </w:r>
      <w:r>
        <w:rPr>
          <w:rFonts w:ascii="Calibri" w:hAnsi="Calibri"/>
          <w:b/>
          <w:noProof/>
          <w:sz w:val="22"/>
        </w:rPr>
        <w:t>användarvänlig mekanism som gör det möjligt för användarna att anmäla</w:t>
      </w:r>
      <w:r>
        <w:rPr>
          <w:rFonts w:ascii="Calibri" w:hAnsi="Calibri"/>
          <w:noProof/>
          <w:sz w:val="22"/>
        </w:rPr>
        <w:t xml:space="preserve"> innehåll som de anser vara olagligt och som plattformarna är värd för. </w:t>
      </w:r>
    </w:p>
    <w:p w:rsidR="00C91075" w:rsidRDefault="0000066E">
      <w:pPr>
        <w:pStyle w:val="CuerpoA"/>
        <w:ind w:left="0" w:firstLine="0"/>
        <w:rPr>
          <w:noProof/>
        </w:rPr>
      </w:pPr>
      <w:r>
        <w:rPr>
          <w:noProof/>
        </w:rPr>
        <w:t xml:space="preserve">Om innehållet är allmänt tillgängligt bör sådana rapporteringsmekanismer vara tillgängliga också för allmänheten, </w:t>
      </w:r>
      <w:r>
        <w:rPr>
          <w:noProof/>
        </w:rPr>
        <w:t xml:space="preserve">utan att man behöver vara inloggad som användare. För att förbättra effektiviteten och noggrannheten i bedömningen av potentiellt olagligt innehåll bör sådana mekanismer möjliggöra en </w:t>
      </w:r>
      <w:r>
        <w:rPr>
          <w:b/>
          <w:noProof/>
        </w:rPr>
        <w:t>enkel anmälan med elektroniska medel</w:t>
      </w:r>
      <w:r>
        <w:rPr>
          <w:noProof/>
        </w:rPr>
        <w:t xml:space="preserve">. </w:t>
      </w:r>
    </w:p>
    <w:p w:rsidR="00C91075" w:rsidRDefault="0000066E">
      <w:pPr>
        <w:pStyle w:val="CuerpoA"/>
        <w:ind w:left="0" w:firstLine="0"/>
        <w:rPr>
          <w:noProof/>
        </w:rPr>
      </w:pPr>
      <w:r>
        <w:rPr>
          <w:noProof/>
        </w:rPr>
        <w:t>Kommissionens förslag om revideri</w:t>
      </w:r>
      <w:r>
        <w:rPr>
          <w:noProof/>
        </w:rPr>
        <w:t xml:space="preserve">ng av direktivet om audiovisuella medietjänster syftar till att införa en skyldighet för leverantörer av plattformar som delar videoinnehåll att inrätta och upprätthålla mekanismer för användare så att de kan rapportera eller flagga audiovisuellt innehåll </w:t>
      </w:r>
      <w:r>
        <w:rPr>
          <w:noProof/>
        </w:rPr>
        <w:t xml:space="preserve">som kan försämra minderårigas fysiska, mentala eller moraliska utveckling samt innehåll som innehåller uppmaning till våld eller hat. </w:t>
      </w:r>
    </w:p>
    <w:p w:rsidR="00C91075" w:rsidRDefault="0000066E">
      <w:pPr>
        <w:pStyle w:val="Encabezam3A"/>
        <w:numPr>
          <w:ilvl w:val="2"/>
          <w:numId w:val="3"/>
        </w:numPr>
        <w:rPr>
          <w:noProof/>
        </w:rPr>
      </w:pPr>
      <w:r>
        <w:rPr>
          <w:noProof/>
        </w:rPr>
        <w:t>Säkerställa anmälningar av hög kvalitet</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Onlineplattformarna bör </w:t>
      </w:r>
      <w:r>
        <w:rPr>
          <w:rFonts w:ascii="Calibri" w:hAnsi="Calibri"/>
          <w:b/>
          <w:noProof/>
          <w:sz w:val="22"/>
        </w:rPr>
        <w:t xml:space="preserve">införa effektiva mekanismer för att underlätta inlämning </w:t>
      </w:r>
      <w:r>
        <w:rPr>
          <w:rFonts w:ascii="Calibri" w:hAnsi="Calibri"/>
          <w:b/>
          <w:noProof/>
          <w:sz w:val="22"/>
        </w:rPr>
        <w:t>av anmälningar som är tillräckligt exakta och lämpligt underbyggda</w:t>
      </w:r>
      <w:r>
        <w:rPr>
          <w:rFonts w:ascii="Calibri" w:hAnsi="Calibri"/>
          <w:noProof/>
          <w:sz w:val="22"/>
        </w:rPr>
        <w:t xml:space="preserve">, för att göra det möjligt för plattformarna att fatta snabba och välgrundade beslut om uppföljningen. Detta bör underlätta tillhandahållandet av anmälningar som innehåller en </w:t>
      </w:r>
      <w:r>
        <w:rPr>
          <w:rFonts w:ascii="Calibri" w:hAnsi="Calibri"/>
          <w:b/>
          <w:noProof/>
          <w:sz w:val="22"/>
        </w:rPr>
        <w:t xml:space="preserve">förklaring av </w:t>
      </w:r>
      <w:r>
        <w:rPr>
          <w:rFonts w:ascii="Calibri" w:hAnsi="Calibri"/>
          <w:b/>
          <w:noProof/>
          <w:sz w:val="22"/>
        </w:rPr>
        <w:t>skälen</w:t>
      </w:r>
      <w:r>
        <w:rPr>
          <w:rFonts w:ascii="Calibri" w:hAnsi="Calibri"/>
          <w:noProof/>
          <w:sz w:val="22"/>
        </w:rPr>
        <w:t xml:space="preserve"> till att anmälaren anser att innehållet är olagligt och en tydlig indikering av </w:t>
      </w:r>
      <w:r>
        <w:rPr>
          <w:rFonts w:ascii="Calibri" w:hAnsi="Calibri"/>
          <w:b/>
          <w:noProof/>
          <w:sz w:val="22"/>
        </w:rPr>
        <w:t>platsen</w:t>
      </w:r>
      <w:r>
        <w:rPr>
          <w:rFonts w:ascii="Calibri" w:hAnsi="Calibri"/>
          <w:noProof/>
          <w:sz w:val="22"/>
        </w:rPr>
        <w:t xml:space="preserve"> för det potentiellt olagliga innehållet (t.ex. URL-adressen).</w:t>
      </w:r>
    </w:p>
    <w:p w:rsidR="00C91075" w:rsidRDefault="0000066E">
      <w:pPr>
        <w:pStyle w:val="CuerpoA"/>
        <w:ind w:left="0" w:firstLine="0"/>
        <w:rPr>
          <w:noProof/>
        </w:rPr>
      </w:pPr>
      <w:r>
        <w:rPr>
          <w:noProof/>
        </w:rPr>
        <w:t xml:space="preserve">Sådana rapporteringsmekanismer bör vara synliga, lättåtkomliga, </w:t>
      </w:r>
      <w:r>
        <w:rPr>
          <w:b/>
          <w:noProof/>
        </w:rPr>
        <w:t>användarvänliga och framgå av samma</w:t>
      </w:r>
      <w:r>
        <w:rPr>
          <w:b/>
          <w:noProof/>
        </w:rPr>
        <w:t>nhanget</w:t>
      </w:r>
      <w:r>
        <w:rPr>
          <w:noProof/>
        </w:rPr>
        <w:t xml:space="preserve">. De bör dessutom möjliggöra </w:t>
      </w:r>
      <w:r>
        <w:rPr>
          <w:b/>
          <w:noProof/>
        </w:rPr>
        <w:t>enkel rapportering</w:t>
      </w:r>
      <w:r>
        <w:rPr>
          <w:noProof/>
        </w:rPr>
        <w:t xml:space="preserve"> av olika typer av innehåll, till exempel genom val från en förteckning med kategorier av skäl till varför innehållet betraktas som olagligt. Om det är tekniskt möjligt kan element som möjliggör att anm</w:t>
      </w:r>
      <w:r>
        <w:rPr>
          <w:noProof/>
        </w:rPr>
        <w:t xml:space="preserve">älningar görs omedelbart i den kontext där materialet först upptäcks, eller som erbjuder återanvändning av inloggningsinformationen, användas. </w:t>
      </w:r>
    </w:p>
    <w:p w:rsidR="00C91075" w:rsidRDefault="0000066E">
      <w:pPr>
        <w:pStyle w:val="CuerpoA"/>
        <w:ind w:left="0" w:firstLine="0"/>
        <w:rPr>
          <w:noProof/>
        </w:rPr>
      </w:pPr>
      <w:r>
        <w:rPr>
          <w:noProof/>
        </w:rPr>
        <w:t>På detta sätt kan en tillräckligt väl underbyggd och detaljerad anmälan göra så att plattformen hittar det poten</w:t>
      </w:r>
      <w:r>
        <w:rPr>
          <w:noProof/>
        </w:rPr>
        <w:t xml:space="preserve">tiellt olagliga innehållet snabbt, gör en sund bedömning av hur olagligt innehållet är och agerar skyndsamt om så är lämpligt. Den exakta detaljnivå som krävs av plattformarna för att snabbt fatta väl underbyggda beslut kan variera avsevärt från en typ av </w:t>
      </w:r>
      <w:r>
        <w:rPr>
          <w:noProof/>
        </w:rPr>
        <w:t>innehåll till ett annat.</w:t>
      </w:r>
    </w:p>
    <w:p w:rsidR="00C91075" w:rsidRDefault="0000066E">
      <w:pPr>
        <w:pStyle w:val="CuerpoA"/>
        <w:ind w:left="0" w:firstLine="0"/>
        <w:rPr>
          <w:noProof/>
        </w:rPr>
      </w:pPr>
      <w:r>
        <w:rPr>
          <w:b/>
          <w:noProof/>
        </w:rPr>
        <w:t>Användare bör normalt inte vara tvungna att identifiera sig</w:t>
      </w:r>
      <w:r>
        <w:rPr>
          <w:noProof/>
        </w:rPr>
        <w:t xml:space="preserve"> när de rapporterar något som de anser vara olagligt innehåll, om inte denna information krävs för att avgöra innehållets laglighet (t.ex. fastställande av äganderätt till </w:t>
      </w:r>
      <w:r>
        <w:rPr>
          <w:noProof/>
        </w:rPr>
        <w:t>immateriella rättigheter). Detta är i synnerhet fallet om deras säkerhet kan äventyras eller om det kan få juridiska konsekvenser att avslöja sin identitet. Användarna bör uppmuntras att göra sin anmälan via betrodda anmälare, i förekommande fall, om de vi</w:t>
      </w:r>
      <w:r>
        <w:rPr>
          <w:noProof/>
        </w:rPr>
        <w:t>ll bevara sin anonymitet gentemot plattformarna.</w:t>
      </w:r>
    </w:p>
    <w:p w:rsidR="00C91075" w:rsidRDefault="0000066E">
      <w:pPr>
        <w:pStyle w:val="CuerpoA"/>
        <w:ind w:left="0" w:firstLine="0"/>
        <w:rPr>
          <w:noProof/>
        </w:rPr>
      </w:pPr>
      <w:r>
        <w:rPr>
          <w:b/>
          <w:noProof/>
        </w:rPr>
        <w:t>Anmälarna bör dock ha möjlighet att frivilligt lämna sina kontaktuppgifter</w:t>
      </w:r>
      <w:r>
        <w:rPr>
          <w:noProof/>
        </w:rPr>
        <w:t xml:space="preserve"> i en anmälan, för att onlineplattformen ska kunna be om ytterligare information eller för att informera anmälaren om en planerad upp</w:t>
      </w:r>
      <w:r>
        <w:rPr>
          <w:noProof/>
        </w:rPr>
        <w:t xml:space="preserve">följning. I detta fall bör anmälaren få en </w:t>
      </w:r>
      <w:r>
        <w:rPr>
          <w:b/>
          <w:noProof/>
        </w:rPr>
        <w:t>bekräftelse av mottagandet</w:t>
      </w:r>
      <w:r>
        <w:rPr>
          <w:noProof/>
        </w:rPr>
        <w:t xml:space="preserve"> och ett </w:t>
      </w:r>
      <w:r>
        <w:rPr>
          <w:b/>
          <w:noProof/>
        </w:rPr>
        <w:t>meddelande med information om den uppföljning som anmälan ger upphov till</w:t>
      </w:r>
      <w:r>
        <w:rPr>
          <w:noProof/>
        </w:rPr>
        <w:t xml:space="preserve">. </w:t>
      </w:r>
    </w:p>
    <w:p w:rsidR="00C91075" w:rsidRDefault="0000066E">
      <w:pPr>
        <w:pStyle w:val="CuerpoA"/>
        <w:ind w:left="0" w:firstLine="0"/>
        <w:rPr>
          <w:noProof/>
        </w:rPr>
      </w:pPr>
      <w:r>
        <w:rPr>
          <w:noProof/>
        </w:rPr>
        <w:t>En bekräftelse av mottagandet gör inte bara att anmälaren slipper kontrollera om hans/hennes begäran h</w:t>
      </w:r>
      <w:r>
        <w:rPr>
          <w:noProof/>
        </w:rPr>
        <w:t>ar följts upp, utan den kan också fungera som bevis i rättsliga eller utomrättsliga förfaranden i enlighet med de regler som gäller för sådana förfaranden.</w:t>
      </w:r>
    </w:p>
    <w:p w:rsidR="00C91075" w:rsidRDefault="0000066E">
      <w:pPr>
        <w:pStyle w:val="Encabezam2A"/>
        <w:numPr>
          <w:ilvl w:val="1"/>
          <w:numId w:val="5"/>
        </w:numPr>
        <w:rPr>
          <w:noProof/>
        </w:rPr>
      </w:pPr>
      <w:r>
        <w:rPr>
          <w:noProof/>
        </w:rPr>
        <w:t>Proaktiva åtgärder av onlineplattformar</w:t>
      </w:r>
    </w:p>
    <w:p w:rsidR="00C91075" w:rsidRDefault="0000066E">
      <w:pPr>
        <w:pStyle w:val="Encabezam3A"/>
        <w:numPr>
          <w:ilvl w:val="2"/>
          <w:numId w:val="5"/>
        </w:numPr>
        <w:rPr>
          <w:i w:val="0"/>
          <w:noProof/>
        </w:rPr>
      </w:pPr>
      <w:bookmarkStart w:id="1" w:name="_Ref491188044"/>
      <w:r>
        <w:rPr>
          <w:noProof/>
        </w:rPr>
        <w:t>Proaktiva åtgärder och undantag från ansvar</w:t>
      </w:r>
    </w:p>
    <w:p w:rsidR="00C91075" w:rsidRDefault="0000066E">
      <w:pPr>
        <w:rPr>
          <w:rFonts w:ascii="Calibri" w:eastAsia="Calibri" w:hAnsi="Calibri" w:cs="Calibri"/>
          <w:noProof/>
          <w:color w:val="000000"/>
          <w:sz w:val="22"/>
          <w:szCs w:val="22"/>
          <w:u w:color="000000"/>
        </w:rPr>
      </w:pPr>
      <w:r>
        <w:rPr>
          <w:rFonts w:ascii="Calibri" w:hAnsi="Calibri"/>
          <w:noProof/>
          <w:color w:val="000000"/>
          <w:sz w:val="22"/>
          <w:u w:color="000000"/>
        </w:rPr>
        <w:t>Onlineplattforma</w:t>
      </w:r>
      <w:r>
        <w:rPr>
          <w:rFonts w:ascii="Calibri" w:hAnsi="Calibri"/>
          <w:noProof/>
          <w:color w:val="000000"/>
          <w:sz w:val="22"/>
          <w:u w:color="000000"/>
        </w:rPr>
        <w:t xml:space="preserve">rna bör, mot bakgrund av deras centrala roll och förmåga med tillhörande ansvar, </w:t>
      </w:r>
      <w:r>
        <w:rPr>
          <w:rFonts w:ascii="Calibri" w:hAnsi="Calibri"/>
          <w:b/>
          <w:noProof/>
          <w:color w:val="000000"/>
          <w:sz w:val="22"/>
          <w:u w:color="000000"/>
        </w:rPr>
        <w:t>vidta effektiva och proaktiva åtgärder för att upptäcka och ta bort</w:t>
      </w:r>
      <w:r>
        <w:rPr>
          <w:rFonts w:ascii="Calibri" w:hAnsi="Calibri"/>
          <w:noProof/>
          <w:color w:val="000000"/>
          <w:sz w:val="22"/>
          <w:u w:color="000000"/>
        </w:rPr>
        <w:t xml:space="preserve"> olagligt innehåll på internet, och inte bara begränsa sig till att agera på de anmälningar som de tar emot.</w:t>
      </w:r>
      <w:r>
        <w:rPr>
          <w:rFonts w:ascii="Calibri" w:hAnsi="Calibri"/>
          <w:noProof/>
          <w:color w:val="000000"/>
          <w:sz w:val="22"/>
          <w:u w:color="000000"/>
        </w:rPr>
        <w:t xml:space="preserve">  För vissa kategorier av olagligt innehåll kanske det inte heller är möjligt att helt uppnå målet att minska risken för allvarlig skada om inte plattformarna vidtar sådana proaktiva åtgärder.</w:t>
      </w:r>
    </w:p>
    <w:p w:rsidR="00C91075" w:rsidRDefault="0000066E">
      <w:pPr>
        <w:rPr>
          <w:rFonts w:ascii="Calibri" w:eastAsia="Calibri" w:hAnsi="Calibri" w:cs="Calibri"/>
          <w:noProof/>
          <w:color w:val="000000"/>
          <w:sz w:val="22"/>
          <w:szCs w:val="22"/>
          <w:u w:color="000000"/>
        </w:rPr>
      </w:pPr>
      <w:r>
        <w:rPr>
          <w:rFonts w:ascii="Calibri" w:hAnsi="Calibri"/>
          <w:noProof/>
          <w:color w:val="000000"/>
          <w:sz w:val="22"/>
          <w:u w:color="000000"/>
        </w:rPr>
        <w:t>Kommissionen menar att vidtagande av sådana frivilliga, proakti</w:t>
      </w:r>
      <w:r>
        <w:rPr>
          <w:rFonts w:ascii="Calibri" w:hAnsi="Calibri"/>
          <w:noProof/>
          <w:color w:val="000000"/>
          <w:sz w:val="22"/>
          <w:u w:color="000000"/>
        </w:rPr>
        <w:t xml:space="preserve">va åtgärder </w:t>
      </w:r>
      <w:r>
        <w:rPr>
          <w:rFonts w:ascii="Calibri" w:hAnsi="Calibri"/>
          <w:b/>
          <w:noProof/>
          <w:color w:val="000000"/>
          <w:sz w:val="22"/>
          <w:u w:color="000000"/>
        </w:rPr>
        <w:t>inte automatiskt leder till att onlineplattformen förlorar fördelen med det undantag från ansvar</w:t>
      </w:r>
      <w:r>
        <w:rPr>
          <w:rFonts w:ascii="Calibri" w:hAnsi="Calibri"/>
          <w:noProof/>
          <w:color w:val="000000"/>
          <w:sz w:val="22"/>
          <w:u w:color="000000"/>
        </w:rPr>
        <w:t xml:space="preserve"> som föreskrivs i artikel 14 i e-handelsdirektivet. </w:t>
      </w:r>
    </w:p>
    <w:p w:rsidR="00C91075" w:rsidRDefault="0000066E">
      <w:pPr>
        <w:rPr>
          <w:rFonts w:ascii="Calibri" w:eastAsia="Calibri" w:hAnsi="Calibri" w:cs="Calibri"/>
          <w:bCs/>
          <w:i/>
          <w:noProof/>
          <w:color w:val="000000"/>
          <w:sz w:val="22"/>
          <w:szCs w:val="22"/>
          <w:u w:color="000000"/>
        </w:rPr>
      </w:pPr>
      <w:r>
        <w:rPr>
          <w:rFonts w:ascii="Calibri" w:hAnsi="Calibri"/>
          <w:noProof/>
          <w:color w:val="000000"/>
          <w:sz w:val="22"/>
          <w:u w:color="000000"/>
        </w:rPr>
        <w:t>För det första gäller detta undantag från ansvar endast de leverantörer av värdtjänster som upp</w:t>
      </w:r>
      <w:r>
        <w:rPr>
          <w:rFonts w:ascii="Calibri" w:hAnsi="Calibri"/>
          <w:noProof/>
          <w:color w:val="000000"/>
          <w:sz w:val="22"/>
          <w:u w:color="000000"/>
        </w:rPr>
        <w:t xml:space="preserve">fyller villkoren i artikel 14 i direktivet. Detta är tjänsteleverantörer vars verksamhet består av lagring av information på begäran av tredje part och som </w:t>
      </w:r>
      <w:r>
        <w:rPr>
          <w:rFonts w:ascii="Calibri" w:hAnsi="Calibri"/>
          <w:b/>
          <w:noProof/>
          <w:color w:val="000000"/>
          <w:sz w:val="22"/>
          <w:u w:color="000000"/>
        </w:rPr>
        <w:t>inte spelar någon aktiv roll</w:t>
      </w:r>
      <w:r>
        <w:rPr>
          <w:rFonts w:ascii="Calibri" w:hAnsi="Calibri"/>
          <w:noProof/>
          <w:color w:val="000000"/>
          <w:sz w:val="22"/>
          <w:u w:color="000000"/>
        </w:rPr>
        <w:t xml:space="preserve"> av ett sådant slag att de får kännedom om eller kan styra över denna in</w:t>
      </w:r>
      <w:r>
        <w:rPr>
          <w:rFonts w:ascii="Calibri" w:hAnsi="Calibri"/>
          <w:noProof/>
          <w:color w:val="000000"/>
          <w:sz w:val="22"/>
          <w:u w:color="000000"/>
        </w:rPr>
        <w:t>formation</w:t>
      </w:r>
      <w:r>
        <w:rPr>
          <w:rStyle w:val="FootnoteReference"/>
          <w:rFonts w:ascii="Calibri" w:hAnsi="Calibri"/>
          <w:noProof/>
          <w:color w:val="000000"/>
          <w:sz w:val="22"/>
          <w:u w:color="000000"/>
        </w:rPr>
        <w:footnoteReference w:id="34"/>
      </w:r>
      <w:r>
        <w:rPr>
          <w:noProof/>
        </w:rPr>
        <w:t>.</w:t>
      </w:r>
      <w:r>
        <w:rPr>
          <w:rFonts w:ascii="Calibri" w:hAnsi="Calibri"/>
          <w:i/>
          <w:noProof/>
          <w:color w:val="000000"/>
          <w:sz w:val="22"/>
          <w:u w:color="000000"/>
        </w:rPr>
        <w:t xml:space="preserve"> </w:t>
      </w:r>
    </w:p>
    <w:p w:rsidR="00C91075" w:rsidRDefault="0000066E">
      <w:pPr>
        <w:rPr>
          <w:rFonts w:ascii="Calibri" w:eastAsia="Calibri" w:hAnsi="Calibri" w:cs="Calibri"/>
          <w:bCs/>
          <w:noProof/>
          <w:color w:val="000000"/>
          <w:sz w:val="22"/>
          <w:szCs w:val="22"/>
          <w:u w:color="000000"/>
        </w:rPr>
      </w:pPr>
      <w:r>
        <w:rPr>
          <w:rFonts w:ascii="Calibri" w:hAnsi="Calibri"/>
          <w:noProof/>
          <w:color w:val="000000"/>
          <w:sz w:val="22"/>
          <w:u w:color="000000"/>
        </w:rPr>
        <w:t>I skäl 38 i kommissionens förslag till ett direktiv om upphovsrätt på den digitala inre marknaden av den 14 september 2016 anges följande i detta avseende: ”</w:t>
      </w:r>
      <w:r>
        <w:rPr>
          <w:rFonts w:ascii="Calibri" w:hAnsi="Calibri"/>
          <w:i/>
          <w:noProof/>
          <w:color w:val="000000"/>
          <w:sz w:val="22"/>
          <w:u w:color="000000"/>
        </w:rPr>
        <w:t xml:space="preserve">Vad gäller artikel 14 [i e-handelsdirektivet] är det nödvändigt att kontrollera om </w:t>
      </w:r>
      <w:r>
        <w:rPr>
          <w:rFonts w:ascii="Calibri" w:hAnsi="Calibri"/>
          <w:i/>
          <w:noProof/>
          <w:color w:val="000000"/>
          <w:sz w:val="22"/>
          <w:u w:color="000000"/>
        </w:rPr>
        <w:t>tjänsteleverantören spelar en aktiv roll, bl.a. genom att optimera presentationen av de uppladdade verken eller andra alstren eller genom att marknadsföra dem, oavsett vilken typ av medel som används för ändamålet</w:t>
      </w:r>
      <w:r>
        <w:rPr>
          <w:rFonts w:ascii="Calibri" w:hAnsi="Calibri"/>
          <w:noProof/>
          <w:color w:val="000000"/>
          <w:sz w:val="22"/>
          <w:u w:color="000000"/>
        </w:rPr>
        <w:t>.”</w:t>
      </w:r>
    </w:p>
    <w:p w:rsidR="00C91075" w:rsidRDefault="0000066E">
      <w:pPr>
        <w:rPr>
          <w:rFonts w:ascii="Calibri" w:eastAsia="Calibri" w:hAnsi="Calibri" w:cs="Calibri"/>
          <w:bCs/>
          <w:noProof/>
          <w:color w:val="000000"/>
          <w:sz w:val="22"/>
          <w:szCs w:val="22"/>
          <w:u w:color="000000"/>
        </w:rPr>
      </w:pPr>
      <w:r>
        <w:rPr>
          <w:rFonts w:ascii="Calibri" w:hAnsi="Calibri"/>
          <w:noProof/>
          <w:color w:val="000000"/>
          <w:sz w:val="22"/>
          <w:u w:color="000000"/>
        </w:rPr>
        <w:t>Särskilt vad gäller artikel 14 i e-hande</w:t>
      </w:r>
      <w:r>
        <w:rPr>
          <w:rFonts w:ascii="Calibri" w:hAnsi="Calibri"/>
          <w:noProof/>
          <w:color w:val="000000"/>
          <w:sz w:val="22"/>
          <w:u w:color="000000"/>
        </w:rPr>
        <w:t>lsdirektivet, i målet</w:t>
      </w:r>
      <w:r>
        <w:rPr>
          <w:rFonts w:ascii="Calibri" w:hAnsi="Calibri"/>
          <w:noProof/>
          <w:sz w:val="22"/>
        </w:rPr>
        <w:t xml:space="preserve"> </w:t>
      </w:r>
      <w:r>
        <w:rPr>
          <w:rFonts w:ascii="Calibri" w:hAnsi="Calibri"/>
          <w:noProof/>
          <w:color w:val="000000"/>
          <w:sz w:val="22"/>
          <w:u w:color="000000"/>
        </w:rPr>
        <w:t>L'Oréal mot eBay, klargjorde domstolen att ”</w:t>
      </w:r>
      <w:r>
        <w:rPr>
          <w:rFonts w:ascii="Calibri" w:hAnsi="Calibri"/>
          <w:i/>
          <w:noProof/>
          <w:color w:val="000000"/>
          <w:sz w:val="22"/>
          <w:u w:color="000000"/>
        </w:rPr>
        <w:t>enbart den omständigheten att [...] [en onlineplattform] lagrar försäljningserbjudandena på sin server, fastställer villkoren för sin tjänst, uppbär betalning för denna och ger allmänna uppl</w:t>
      </w:r>
      <w:r>
        <w:rPr>
          <w:rFonts w:ascii="Calibri" w:hAnsi="Calibri"/>
          <w:i/>
          <w:noProof/>
          <w:color w:val="000000"/>
          <w:sz w:val="22"/>
          <w:u w:color="000000"/>
        </w:rPr>
        <w:t>ysningar till sina kunder, inte kan innebära att [...] [den] ska nekas de undantag från ansvar som fastställts i [artikel 14 i e-handelsdirektivet]</w:t>
      </w:r>
      <w:r>
        <w:rPr>
          <w:rFonts w:ascii="Calibri" w:hAnsi="Calibri"/>
          <w:noProof/>
          <w:color w:val="000000"/>
          <w:sz w:val="22"/>
          <w:u w:color="000000"/>
        </w:rPr>
        <w:t>”</w:t>
      </w:r>
      <w:r>
        <w:rPr>
          <w:rStyle w:val="FootnoteReference"/>
          <w:rFonts w:ascii="Calibri" w:hAnsi="Calibri"/>
          <w:noProof/>
          <w:color w:val="000000"/>
          <w:sz w:val="22"/>
          <w:u w:color="000000"/>
        </w:rPr>
        <w:footnoteReference w:id="35"/>
      </w:r>
      <w:r>
        <w:rPr>
          <w:noProof/>
        </w:rPr>
        <w:t>.</w:t>
      </w:r>
      <w:r>
        <w:rPr>
          <w:rFonts w:ascii="Calibri" w:hAnsi="Calibri"/>
          <w:noProof/>
          <w:color w:val="000000"/>
          <w:sz w:val="22"/>
          <w:u w:color="000000"/>
        </w:rPr>
        <w:t xml:space="preserve"> Det finns dock en sådan effekt, menar domstolen, ”</w:t>
      </w:r>
      <w:r>
        <w:rPr>
          <w:rFonts w:ascii="Calibri" w:hAnsi="Calibri"/>
          <w:i/>
          <w:noProof/>
          <w:color w:val="000000"/>
          <w:sz w:val="22"/>
          <w:u w:color="000000"/>
        </w:rPr>
        <w:t>[o]m [...] [onlineplattformen] däremot lämnat hjälp som</w:t>
      </w:r>
      <w:r>
        <w:rPr>
          <w:rFonts w:ascii="Calibri" w:hAnsi="Calibri"/>
          <w:i/>
          <w:noProof/>
          <w:color w:val="000000"/>
          <w:sz w:val="22"/>
          <w:u w:color="000000"/>
        </w:rPr>
        <w:t xml:space="preserve"> bland annat bestått i att optimera presentationen av de aktuella försäljningserbjudandena eller att göra reklam för erbjudandena</w:t>
      </w:r>
      <w:r>
        <w:rPr>
          <w:rFonts w:ascii="Calibri" w:hAnsi="Calibri"/>
          <w:noProof/>
          <w:color w:val="000000"/>
          <w:sz w:val="22"/>
          <w:u w:color="000000"/>
        </w:rPr>
        <w:t>”</w:t>
      </w:r>
      <w:r>
        <w:rPr>
          <w:rStyle w:val="FootnoteReference"/>
          <w:rFonts w:ascii="Calibri" w:hAnsi="Calibri"/>
          <w:noProof/>
          <w:color w:val="000000"/>
          <w:sz w:val="22"/>
          <w:u w:color="000000"/>
        </w:rPr>
        <w:footnoteReference w:id="36"/>
      </w:r>
      <w:r>
        <w:rPr>
          <w:noProof/>
        </w:rPr>
        <w:t>.</w:t>
      </w:r>
      <w:r>
        <w:rPr>
          <w:rFonts w:ascii="Calibri" w:hAnsi="Calibri"/>
          <w:noProof/>
          <w:color w:val="000000"/>
          <w:sz w:val="22"/>
          <w:u w:color="000000"/>
        </w:rPr>
        <w:t xml:space="preserve">  </w:t>
      </w:r>
    </w:p>
    <w:p w:rsidR="00C91075" w:rsidRDefault="0000066E">
      <w:pPr>
        <w:rPr>
          <w:rFonts w:ascii="Calibri" w:eastAsia="Calibri" w:hAnsi="Calibri" w:cs="Calibri"/>
          <w:noProof/>
          <w:color w:val="000000"/>
          <w:sz w:val="22"/>
          <w:szCs w:val="22"/>
          <w:u w:color="000000"/>
        </w:rPr>
      </w:pPr>
      <w:r>
        <w:rPr>
          <w:rFonts w:ascii="Calibri" w:hAnsi="Calibri"/>
          <w:noProof/>
          <w:color w:val="000000"/>
          <w:sz w:val="22"/>
          <w:u w:color="000000"/>
        </w:rPr>
        <w:t>Detta visar att enbart det faktum att en onlineplattform vidtar vissa åtgärder kopplade till tillhandahållandet av sina t</w:t>
      </w:r>
      <w:r>
        <w:rPr>
          <w:rFonts w:ascii="Calibri" w:hAnsi="Calibri"/>
          <w:noProof/>
          <w:color w:val="000000"/>
          <w:sz w:val="22"/>
          <w:u w:color="000000"/>
        </w:rPr>
        <w:t xml:space="preserve">jänster på ett allmänt sätt inte nödvändigtvis innebär att den spelar en aktiv roll när det gäller innehållet i de olika poster som den lagrar, och att onlineplattformen inte kan dra fördel av undantaget från ansvar på grund av detta. Enligt kommissionens </w:t>
      </w:r>
      <w:r>
        <w:rPr>
          <w:rFonts w:ascii="Calibri" w:hAnsi="Calibri"/>
          <w:noProof/>
          <w:color w:val="000000"/>
          <w:sz w:val="22"/>
          <w:u w:color="000000"/>
        </w:rPr>
        <w:t>uppfattning kan – och bör – sådana åtgärder dessutom omfatta proaktiva åtgärder för att upptäcka och avlägsna olagligt innehåll på internet, i synnerhet om åtgärderna vidtas som en del av tillämpningen av onlineplattformens tjänstevillkor. Detta kommer att</w:t>
      </w:r>
      <w:r>
        <w:rPr>
          <w:rFonts w:ascii="Calibri" w:hAnsi="Calibri"/>
          <w:noProof/>
          <w:color w:val="000000"/>
          <w:sz w:val="22"/>
          <w:u w:color="000000"/>
        </w:rPr>
        <w:t xml:space="preserve"> vara i linje med den balans mellan olika intressen som e-handelsdirektivet strävar efter att uppnå</w:t>
      </w:r>
      <w:r>
        <w:rPr>
          <w:rStyle w:val="FootnoteReference"/>
          <w:rFonts w:ascii="Calibri" w:hAnsi="Calibri"/>
          <w:noProof/>
          <w:color w:val="000000"/>
          <w:sz w:val="22"/>
          <w:u w:color="000000"/>
        </w:rPr>
        <w:footnoteReference w:id="37"/>
      </w:r>
      <w:r>
        <w:rPr>
          <w:noProof/>
        </w:rPr>
        <w:t>.</w:t>
      </w:r>
      <w:r>
        <w:rPr>
          <w:rFonts w:ascii="Calibri" w:hAnsi="Calibri"/>
          <w:noProof/>
          <w:color w:val="000000"/>
          <w:sz w:val="22"/>
          <w:u w:color="000000"/>
        </w:rPr>
        <w:t xml:space="preserve"> Kommissionen påminner om att det är i alla berörda parters intresse att anta och genomföra snabba och tillförlitliga förfaranden för att ta bort olaglig i</w:t>
      </w:r>
      <w:r>
        <w:rPr>
          <w:rFonts w:ascii="Calibri" w:hAnsi="Calibri"/>
          <w:noProof/>
          <w:color w:val="000000"/>
          <w:sz w:val="22"/>
          <w:u w:color="000000"/>
        </w:rPr>
        <w:t>nformation och göra den oåtkomlig</w:t>
      </w:r>
      <w:r>
        <w:rPr>
          <w:rStyle w:val="FootnoteReference"/>
          <w:rFonts w:ascii="Calibri" w:hAnsi="Calibri"/>
          <w:noProof/>
          <w:color w:val="000000"/>
          <w:sz w:val="22"/>
          <w:u w:color="000000"/>
        </w:rPr>
        <w:footnoteReference w:id="38"/>
      </w:r>
      <w:r>
        <w:rPr>
          <w:noProof/>
        </w:rPr>
        <w:t>.</w:t>
      </w:r>
      <w:r>
        <w:rPr>
          <w:rFonts w:ascii="Calibri" w:hAnsi="Calibri"/>
          <w:noProof/>
          <w:color w:val="000000"/>
          <w:sz w:val="22"/>
          <w:u w:color="000000"/>
        </w:rPr>
        <w:t xml:space="preserve"> Även om direktivet utesluter att onlineplattformar är tvungna att delta i ett allmänt aktivt faktasökande</w:t>
      </w:r>
      <w:r>
        <w:rPr>
          <w:rStyle w:val="FootnoteReference"/>
          <w:rFonts w:ascii="Calibri" w:hAnsi="Calibri"/>
          <w:noProof/>
          <w:color w:val="000000"/>
          <w:sz w:val="22"/>
          <w:u w:color="000000"/>
        </w:rPr>
        <w:footnoteReference w:id="39"/>
      </w:r>
      <w:r>
        <w:rPr>
          <w:rFonts w:ascii="Calibri" w:hAnsi="Calibri"/>
          <w:noProof/>
          <w:color w:val="000000"/>
          <w:sz w:val="22"/>
          <w:u w:color="000000"/>
        </w:rPr>
        <w:t xml:space="preserve"> erkänner det också vikten av frivilliga åtgärder.</w:t>
      </w:r>
      <w:r>
        <w:rPr>
          <w:rFonts w:ascii="Calibri" w:hAnsi="Calibri"/>
          <w:noProof/>
          <w:color w:val="000000"/>
          <w:sz w:val="22"/>
          <w:u w:color="000000"/>
          <w:vertAlign w:val="superscript"/>
        </w:rPr>
        <w:footnoteReference w:id="40"/>
      </w:r>
      <w:r>
        <w:rPr>
          <w:rFonts w:ascii="Calibri" w:hAnsi="Calibri"/>
          <w:noProof/>
          <w:color w:val="000000"/>
          <w:sz w:val="22"/>
          <w:u w:color="000000"/>
        </w:rPr>
        <w:t xml:space="preserve"> </w:t>
      </w:r>
    </w:p>
    <w:p w:rsidR="00C91075" w:rsidRDefault="0000066E">
      <w:pPr>
        <w:rPr>
          <w:rFonts w:ascii="Calibri" w:eastAsia="Calibri" w:hAnsi="Calibri" w:cs="Calibri"/>
          <w:bCs/>
          <w:noProof/>
          <w:color w:val="000000"/>
          <w:sz w:val="22"/>
          <w:szCs w:val="22"/>
          <w:u w:color="000000"/>
        </w:rPr>
      </w:pPr>
      <w:r>
        <w:rPr>
          <w:rFonts w:ascii="Calibri" w:hAnsi="Calibri"/>
          <w:noProof/>
          <w:color w:val="000000"/>
          <w:sz w:val="22"/>
          <w:u w:color="000000"/>
        </w:rPr>
        <w:t>För det andra kan tjänsteleverantörer som omfattas av artikel</w:t>
      </w:r>
      <w:r>
        <w:rPr>
          <w:rFonts w:ascii="Calibri" w:hAnsi="Calibri"/>
          <w:noProof/>
          <w:color w:val="000000"/>
          <w:sz w:val="22"/>
          <w:u w:color="000000"/>
        </w:rPr>
        <w:t xml:space="preserve"> 14 i e-handelsdirektivet endast dra fördel av undantaget från ansvar på </w:t>
      </w:r>
      <w:r>
        <w:rPr>
          <w:rFonts w:ascii="Calibri" w:hAnsi="Calibri"/>
          <w:b/>
          <w:noProof/>
          <w:color w:val="000000"/>
          <w:sz w:val="22"/>
          <w:u w:color="000000"/>
        </w:rPr>
        <w:t>två villkor</w:t>
      </w:r>
      <w:r>
        <w:rPr>
          <w:rFonts w:ascii="Calibri" w:hAnsi="Calibri"/>
          <w:noProof/>
          <w:color w:val="000000"/>
          <w:sz w:val="22"/>
          <w:u w:color="000000"/>
        </w:rPr>
        <w:t>, nämligen att a) tjänsteleverantören inte hade kännedom om förekomsten av olaglig verksamhet eller olaglig information och, beträffande skadeståndsanspråk, inte var medvet</w:t>
      </w:r>
      <w:r>
        <w:rPr>
          <w:rFonts w:ascii="Calibri" w:hAnsi="Calibri"/>
          <w:noProof/>
          <w:color w:val="000000"/>
          <w:sz w:val="22"/>
          <w:u w:color="000000"/>
        </w:rPr>
        <w:t>en om fakta eller omständigheter som gjort förekomsten av den olagliga verksamheten eller den olagliga informationen uppenbar, eller b) tjänsteleverantören så snart han fått sådan kännedom eller blivit medveten om detta handlat utan dröjsmål för att avlägs</w:t>
      </w:r>
      <w:r>
        <w:rPr>
          <w:rFonts w:ascii="Calibri" w:hAnsi="Calibri"/>
          <w:noProof/>
          <w:color w:val="000000"/>
          <w:sz w:val="22"/>
          <w:u w:color="000000"/>
        </w:rPr>
        <w:t xml:space="preserve">na informationen eller göra den oåtkomlig. </w:t>
      </w:r>
    </w:p>
    <w:p w:rsidR="00C91075" w:rsidRDefault="0000066E">
      <w:pPr>
        <w:rPr>
          <w:rFonts w:ascii="Calibri" w:eastAsia="Calibri" w:hAnsi="Calibri" w:cs="Calibri"/>
          <w:bCs/>
          <w:noProof/>
          <w:color w:val="000000"/>
          <w:sz w:val="22"/>
          <w:szCs w:val="22"/>
          <w:u w:color="000000"/>
        </w:rPr>
      </w:pPr>
      <w:r>
        <w:rPr>
          <w:rFonts w:ascii="Calibri" w:hAnsi="Calibri"/>
          <w:noProof/>
          <w:color w:val="000000"/>
          <w:sz w:val="22"/>
          <w:u w:color="000000"/>
        </w:rPr>
        <w:t>Domstolen har förtydligat att dessa villkor avser</w:t>
      </w:r>
      <w:r>
        <w:rPr>
          <w:rFonts w:ascii="Calibri" w:hAnsi="Calibri"/>
          <w:i/>
          <w:noProof/>
          <w:color w:val="000000"/>
          <w:sz w:val="22"/>
          <w:u w:color="000000"/>
        </w:rPr>
        <w:t xml:space="preserve"> ”alla fall då [...] [onlineplattformen] på ett eller annat sätt blir medveten om sådana fakta eller omständigheter” [...] ”som borde ha föranlett en försiktig näringsidkare att inse att verksamheten var olaglig” </w:t>
      </w:r>
      <w:r>
        <w:rPr>
          <w:rFonts w:ascii="Calibri" w:hAnsi="Calibri"/>
          <w:noProof/>
          <w:color w:val="000000"/>
          <w:sz w:val="22"/>
          <w:u w:color="000000"/>
        </w:rPr>
        <w:t xml:space="preserve">och att detta inkluderar – förutom anmälan </w:t>
      </w:r>
      <w:r>
        <w:rPr>
          <w:rFonts w:ascii="Calibri" w:hAnsi="Calibri"/>
          <w:noProof/>
          <w:color w:val="000000"/>
          <w:sz w:val="22"/>
          <w:u w:color="000000"/>
        </w:rPr>
        <w:t>av en tredje part – den situation där plattformen ”</w:t>
      </w:r>
      <w:r>
        <w:rPr>
          <w:rFonts w:ascii="Calibri" w:hAnsi="Calibri"/>
          <w:i/>
          <w:noProof/>
          <w:color w:val="000000"/>
          <w:sz w:val="22"/>
          <w:u w:color="000000"/>
        </w:rPr>
        <w:t>upptäcker att det förekommer olaglig verksamhet eller olaglig information efter en undersökning som gjorts på eget initiativ, samt det fall då vederbörande upplysts om sådan verksamhet eller information</w:t>
      </w:r>
      <w:r>
        <w:rPr>
          <w:rFonts w:ascii="Calibri" w:hAnsi="Calibri"/>
          <w:noProof/>
          <w:color w:val="000000"/>
          <w:sz w:val="22"/>
          <w:u w:color="000000"/>
        </w:rPr>
        <w:t>”</w:t>
      </w:r>
      <w:r>
        <w:rPr>
          <w:rStyle w:val="FootnoteReference"/>
          <w:rFonts w:ascii="Calibri" w:hAnsi="Calibri"/>
          <w:noProof/>
          <w:color w:val="000000"/>
          <w:sz w:val="22"/>
          <w:u w:color="000000"/>
        </w:rPr>
        <w:footnoteReference w:id="41"/>
      </w:r>
      <w:r>
        <w:rPr>
          <w:noProof/>
        </w:rPr>
        <w:t>.</w:t>
      </w:r>
      <w:r>
        <w:rPr>
          <w:rFonts w:ascii="Calibri" w:hAnsi="Calibri"/>
          <w:noProof/>
          <w:color w:val="000000"/>
          <w:sz w:val="22"/>
          <w:u w:color="000000"/>
        </w:rPr>
        <w:t xml:space="preserve"> </w:t>
      </w:r>
    </w:p>
    <w:p w:rsidR="00C91075" w:rsidRDefault="0000066E">
      <w:pPr>
        <w:rPr>
          <w:rFonts w:ascii="Calibri" w:eastAsia="Calibri" w:hAnsi="Calibri" w:cs="Calibri"/>
          <w:noProof/>
          <w:color w:val="000000"/>
          <w:sz w:val="22"/>
          <w:szCs w:val="22"/>
          <w:u w:color="000000"/>
        </w:rPr>
      </w:pPr>
      <w:r>
        <w:rPr>
          <w:rFonts w:ascii="Calibri" w:hAnsi="Calibri"/>
          <w:noProof/>
          <w:color w:val="000000"/>
          <w:sz w:val="22"/>
          <w:u w:color="000000"/>
        </w:rPr>
        <w:t>Följden är att proaktiva åtgärder som vidtas av en onlineplattform för att upptäcka och avlägsna olagligt innehåll kan leda till att plattformen får kännedom eller blir medveten om olaglig verksamhet eller olaglig information, vilket skulle kunna leda ti</w:t>
      </w:r>
      <w:r>
        <w:rPr>
          <w:rFonts w:ascii="Calibri" w:hAnsi="Calibri"/>
          <w:noProof/>
          <w:color w:val="000000"/>
          <w:sz w:val="22"/>
          <w:u w:color="000000"/>
        </w:rPr>
        <w:t>ll förlust av undantaget från ansvar i enlighet med artikel 14.1 a i e-handelsdirektivet. I detta fall fortsätter dock onlineplattformen att kunna agera skyndsamt för att ta bort eller göra informationen i fråga oåtkomlig, i samband med att den får kännedo</w:t>
      </w:r>
      <w:r>
        <w:rPr>
          <w:rFonts w:ascii="Calibri" w:hAnsi="Calibri"/>
          <w:noProof/>
          <w:color w:val="000000"/>
          <w:sz w:val="22"/>
          <w:u w:color="000000"/>
        </w:rPr>
        <w:t>m om eller blir medveten om informationen. Om onlineplattformen gör detta fortsätter den att dra fördel av undantaget från ansvar enligt artikel 14.1 b. Därför bör oro för att förlora förmånen med undantag från ansvar inte avskräcka eller hindra vidtagande</w:t>
      </w:r>
      <w:r>
        <w:rPr>
          <w:rFonts w:ascii="Calibri" w:hAnsi="Calibri"/>
          <w:noProof/>
          <w:color w:val="000000"/>
          <w:sz w:val="22"/>
          <w:u w:color="000000"/>
        </w:rPr>
        <w:t xml:space="preserve"> av proaktiva, frivilliga åtgärder som detta meddelande strävar efter att uppmuntra.</w:t>
      </w:r>
    </w:p>
    <w:bookmarkEnd w:id="1"/>
    <w:p w:rsidR="00C91075" w:rsidRDefault="0000066E">
      <w:pPr>
        <w:pStyle w:val="Encabezam3A"/>
        <w:numPr>
          <w:ilvl w:val="2"/>
          <w:numId w:val="5"/>
        </w:numPr>
        <w:rPr>
          <w:noProof/>
        </w:rPr>
      </w:pPr>
      <w:r>
        <w:rPr>
          <w:noProof/>
        </w:rPr>
        <w:t>Användning av teknik för att upptäcka olagligt innehåll</w:t>
      </w:r>
    </w:p>
    <w:p w:rsidR="00C91075" w:rsidRDefault="0000066E">
      <w:pPr>
        <w:rPr>
          <w:rFonts w:ascii="Calibri" w:eastAsia="Calibri" w:hAnsi="Calibri" w:cs="Calibri"/>
          <w:noProof/>
          <w:color w:val="000000"/>
          <w:sz w:val="22"/>
          <w:szCs w:val="22"/>
          <w:u w:color="000000"/>
        </w:rPr>
      </w:pPr>
      <w:r>
        <w:rPr>
          <w:rFonts w:ascii="Calibri" w:hAnsi="Calibri"/>
          <w:noProof/>
          <w:color w:val="000000"/>
          <w:sz w:val="22"/>
          <w:u w:color="000000"/>
        </w:rPr>
        <w:t xml:space="preserve">Med hänsyn tagen till den mängd material som förmedlas av onlineplattformar, liksom den tekniska utvecklingen inom informationsbehandling och maskinintelligens, håller </w:t>
      </w:r>
      <w:r>
        <w:rPr>
          <w:rFonts w:ascii="Calibri" w:hAnsi="Calibri"/>
          <w:b/>
          <w:noProof/>
          <w:color w:val="000000"/>
          <w:sz w:val="22"/>
          <w:u w:color="000000"/>
        </w:rPr>
        <w:t>användning av teknik för automatisk upptäckt och filtrering</w:t>
      </w:r>
      <w:r>
        <w:rPr>
          <w:rFonts w:ascii="Calibri" w:hAnsi="Calibri"/>
          <w:noProof/>
          <w:color w:val="000000"/>
          <w:sz w:val="22"/>
          <w:u w:color="000000"/>
        </w:rPr>
        <w:t xml:space="preserve"> på att bli ett allt viktigar</w:t>
      </w:r>
      <w:r>
        <w:rPr>
          <w:rFonts w:ascii="Calibri" w:hAnsi="Calibri"/>
          <w:noProof/>
          <w:color w:val="000000"/>
          <w:sz w:val="22"/>
          <w:u w:color="000000"/>
        </w:rPr>
        <w:t xml:space="preserve">e verktyg i kampen mot olagligt innehåll på internet. Många stora plattformar använder nu någon typ av matchningsalgoritmer, baserade på flera olika sorters teknik, från enkel metadatafiltrering till att hasha och ta fingeravtryck på innehållet. </w:t>
      </w:r>
    </w:p>
    <w:p w:rsidR="00C91075" w:rsidRDefault="0000066E">
      <w:pPr>
        <w:rPr>
          <w:rFonts w:ascii="Calibri" w:eastAsia="Calibri" w:hAnsi="Calibri" w:cs="Calibri"/>
          <w:noProof/>
          <w:color w:val="000000"/>
          <w:sz w:val="22"/>
          <w:szCs w:val="22"/>
          <w:u w:color="000000"/>
        </w:rPr>
      </w:pPr>
      <w:r>
        <w:rPr>
          <w:rFonts w:ascii="Calibri" w:hAnsi="Calibri"/>
          <w:noProof/>
          <w:color w:val="000000"/>
          <w:sz w:val="22"/>
          <w:u w:color="000000"/>
        </w:rPr>
        <w:t>I e-hande</w:t>
      </w:r>
      <w:r>
        <w:rPr>
          <w:rFonts w:ascii="Calibri" w:hAnsi="Calibri"/>
          <w:noProof/>
          <w:color w:val="000000"/>
          <w:sz w:val="22"/>
          <w:u w:color="000000"/>
        </w:rPr>
        <w:t>lsdirektivet förtydligas att bestämmelserna om ansvar inte hindrar utveckling och effektiv drift av tekniska skydds- och identifieringssystem och av tekniska övervakningsinstrument som gjorts möjliga genom digital teknik.</w:t>
      </w:r>
      <w:r>
        <w:rPr>
          <w:rFonts w:ascii="Calibri" w:hAnsi="Calibri"/>
          <w:noProof/>
          <w:color w:val="000000"/>
          <w:sz w:val="22"/>
          <w:u w:color="000000"/>
          <w:vertAlign w:val="superscript"/>
        </w:rPr>
        <w:footnoteReference w:id="42"/>
      </w:r>
      <w:r>
        <w:rPr>
          <w:rFonts w:ascii="Calibri" w:hAnsi="Calibri"/>
          <w:noProof/>
          <w:color w:val="000000"/>
          <w:sz w:val="22"/>
          <w:u w:color="000000"/>
        </w:rPr>
        <w:t xml:space="preserve"> I direktivet klargörs också att s</w:t>
      </w:r>
      <w:r>
        <w:rPr>
          <w:rFonts w:ascii="Calibri" w:hAnsi="Calibri"/>
          <w:noProof/>
          <w:color w:val="000000"/>
          <w:sz w:val="22"/>
          <w:u w:color="000000"/>
        </w:rPr>
        <w:t>ådan verksamhet dock måste äga rum inom gränserna för EU:s och den nationella lagstiftningens tillämpliga regler, i synnerhet vad gäller skyddet av integritet och personuppgifter och förbudet för medlemsstaterna mot att införa allmänna övervakningsskyldigh</w:t>
      </w:r>
      <w:r>
        <w:rPr>
          <w:rFonts w:ascii="Calibri" w:hAnsi="Calibri"/>
          <w:noProof/>
          <w:color w:val="000000"/>
          <w:sz w:val="22"/>
          <w:u w:color="000000"/>
        </w:rPr>
        <w:t>eter</w:t>
      </w:r>
      <w:r>
        <w:rPr>
          <w:rStyle w:val="FootnoteReference"/>
          <w:rFonts w:ascii="Calibri" w:hAnsi="Calibri"/>
          <w:noProof/>
          <w:color w:val="000000"/>
          <w:sz w:val="22"/>
          <w:u w:color="000000"/>
        </w:rPr>
        <w:footnoteReference w:id="43"/>
      </w:r>
      <w:r>
        <w:rPr>
          <w:noProof/>
        </w:rPr>
        <w:t>.</w:t>
      </w:r>
    </w:p>
    <w:p w:rsidR="00C91075" w:rsidRDefault="0000066E">
      <w:pPr>
        <w:rPr>
          <w:rFonts w:ascii="Calibri" w:eastAsia="Calibri" w:hAnsi="Calibri" w:cs="Calibri"/>
          <w:noProof/>
          <w:color w:val="000000"/>
          <w:sz w:val="22"/>
          <w:szCs w:val="22"/>
          <w:u w:color="000000"/>
        </w:rPr>
      </w:pPr>
      <w:r>
        <w:rPr>
          <w:rFonts w:ascii="Calibri" w:hAnsi="Calibri"/>
          <w:noProof/>
          <w:sz w:val="22"/>
        </w:rPr>
        <w:t xml:space="preserve">Sektorsspecifik lagstiftning kan fastställa obligatoriska regler för onlineplattformar för vidtagande av åtgärder exempelvis angående upphovsrätt, för att bidra till upptäckt och borttagning av olagligt innehåll, också när de omfattas av undantaget </w:t>
      </w:r>
      <w:r>
        <w:rPr>
          <w:rFonts w:ascii="Calibri" w:hAnsi="Calibri"/>
          <w:noProof/>
          <w:sz w:val="22"/>
        </w:rPr>
        <w:t>från ansvar enligt artikel 14 i e-handelsdirektivet.</w:t>
      </w:r>
    </w:p>
    <w:p w:rsidR="00C91075" w:rsidRDefault="0000066E">
      <w:pPr>
        <w:rPr>
          <w:rFonts w:ascii="Calibri" w:eastAsia="Calibri" w:hAnsi="Calibri" w:cs="Calibri"/>
          <w:noProof/>
          <w:color w:val="000000"/>
          <w:sz w:val="22"/>
          <w:szCs w:val="22"/>
          <w:u w:color="000000"/>
        </w:rPr>
      </w:pPr>
      <w:r>
        <w:rPr>
          <w:rFonts w:ascii="Calibri" w:hAnsi="Calibri"/>
          <w:b/>
          <w:noProof/>
          <w:color w:val="000000"/>
          <w:sz w:val="22"/>
          <w:u w:color="000000"/>
        </w:rPr>
        <w:t xml:space="preserve">Mer generellt uppmuntras användning och ytterligare utveckling av sådan teknik i synnerhet </w:t>
      </w:r>
      <w:r>
        <w:rPr>
          <w:rFonts w:ascii="Calibri" w:hAnsi="Calibri"/>
          <w:noProof/>
          <w:color w:val="000000"/>
          <w:sz w:val="22"/>
          <w:u w:color="000000"/>
        </w:rPr>
        <w:t>om det finns risk för allvarlig skada, enligt Europeiska rådets slutsatser den 22 juni 2017</w:t>
      </w:r>
      <w:r>
        <w:rPr>
          <w:rStyle w:val="FootnoteReference"/>
          <w:rFonts w:ascii="Calibri" w:hAnsi="Calibri"/>
          <w:noProof/>
          <w:color w:val="000000"/>
          <w:sz w:val="22"/>
          <w:u w:color="000000"/>
        </w:rPr>
        <w:footnoteReference w:id="44"/>
      </w:r>
      <w:r>
        <w:rPr>
          <w:rFonts w:ascii="Calibri" w:hAnsi="Calibri"/>
          <w:noProof/>
          <w:color w:val="000000"/>
          <w:sz w:val="22"/>
          <w:u w:color="000000"/>
        </w:rPr>
        <w:t>. Automatiska verkty</w:t>
      </w:r>
      <w:r>
        <w:rPr>
          <w:rFonts w:ascii="Calibri" w:hAnsi="Calibri"/>
          <w:noProof/>
          <w:color w:val="000000"/>
          <w:sz w:val="22"/>
          <w:u w:color="000000"/>
        </w:rPr>
        <w:t>g och filter kan användas för att identifiera innehåll som potentiellt utgör överträdelser, och privat och offentlig forskning gör framsteg när det gäller utveckling av sådana verktyg. På området upphovsrätt har till exempel automatisk innehållsigenkänning</w:t>
      </w:r>
      <w:r>
        <w:rPr>
          <w:rFonts w:ascii="Calibri" w:hAnsi="Calibri"/>
          <w:noProof/>
          <w:color w:val="000000"/>
          <w:sz w:val="22"/>
          <w:u w:color="000000"/>
        </w:rPr>
        <w:t xml:space="preserve"> under flera år visat sig vara ett effektivt verktyg. </w:t>
      </w:r>
    </w:p>
    <w:p w:rsidR="00C91075" w:rsidRDefault="0000066E">
      <w:pPr>
        <w:rPr>
          <w:rFonts w:ascii="Calibri" w:eastAsia="Calibri" w:hAnsi="Calibri" w:cs="Calibri"/>
          <w:noProof/>
          <w:color w:val="000000"/>
          <w:sz w:val="22"/>
          <w:szCs w:val="22"/>
          <w:u w:color="000000"/>
        </w:rPr>
      </w:pPr>
      <w:r>
        <w:rPr>
          <w:rFonts w:ascii="Calibri" w:hAnsi="Calibri"/>
          <w:b/>
          <w:noProof/>
          <w:color w:val="000000"/>
          <w:sz w:val="22"/>
          <w:u w:color="000000"/>
        </w:rPr>
        <w:t xml:space="preserve">Kommissionen stödjer ytterligare forskning och innovativa strategier </w:t>
      </w:r>
      <w:r>
        <w:rPr>
          <w:rFonts w:ascii="Calibri" w:hAnsi="Calibri"/>
          <w:noProof/>
          <w:color w:val="000000"/>
          <w:sz w:val="22"/>
          <w:u w:color="000000"/>
        </w:rPr>
        <w:t>som går längre än den teknik som är känd i dag, med målet att förbättra noggrannheten för tekniska medel som identifierar olagligt i</w:t>
      </w:r>
      <w:r>
        <w:rPr>
          <w:rFonts w:ascii="Calibri" w:hAnsi="Calibri"/>
          <w:noProof/>
          <w:color w:val="000000"/>
          <w:sz w:val="22"/>
          <w:u w:color="000000"/>
        </w:rPr>
        <w:t>nnehåll</w:t>
      </w:r>
      <w:r>
        <w:rPr>
          <w:rFonts w:ascii="Calibri" w:hAnsi="Calibri"/>
          <w:noProof/>
          <w:color w:val="000000"/>
          <w:sz w:val="22"/>
          <w:u w:color="000000"/>
          <w:vertAlign w:val="superscript"/>
        </w:rPr>
        <w:footnoteReference w:id="45"/>
      </w:r>
      <w:r>
        <w:rPr>
          <w:rFonts w:ascii="Calibri" w:hAnsi="Calibri"/>
          <w:noProof/>
          <w:color w:val="000000"/>
          <w:sz w:val="22"/>
          <w:u w:color="000000"/>
        </w:rPr>
        <w:t xml:space="preserve">. Den </w:t>
      </w:r>
      <w:r>
        <w:rPr>
          <w:rFonts w:ascii="Calibri" w:hAnsi="Calibri"/>
          <w:b/>
          <w:noProof/>
          <w:color w:val="000000"/>
          <w:sz w:val="22"/>
          <w:u w:color="000000"/>
        </w:rPr>
        <w:t>uppmuntrar också branschen att säkerställa en effektiv användning av innovationer som kan bidra till ökad effektivitet för processer för automatisk upptäckt</w:t>
      </w:r>
      <w:r>
        <w:rPr>
          <w:rFonts w:ascii="Calibri" w:hAnsi="Calibri"/>
          <w:noProof/>
          <w:color w:val="000000"/>
          <w:sz w:val="22"/>
          <w:u w:color="000000"/>
        </w:rPr>
        <w:t xml:space="preserve">. </w:t>
      </w:r>
    </w:p>
    <w:p w:rsidR="00C91075" w:rsidRDefault="0000066E">
      <w:pPr>
        <w:rPr>
          <w:rFonts w:ascii="Calibri" w:eastAsia="Calibri" w:hAnsi="Calibri" w:cs="Calibri"/>
          <w:noProof/>
          <w:color w:val="000000"/>
          <w:sz w:val="22"/>
          <w:szCs w:val="22"/>
          <w:u w:color="000000"/>
        </w:rPr>
      </w:pPr>
      <w:r>
        <w:rPr>
          <w:rFonts w:ascii="Calibri" w:hAnsi="Calibri"/>
          <w:noProof/>
          <w:color w:val="000000"/>
          <w:sz w:val="22"/>
          <w:u w:color="000000"/>
        </w:rPr>
        <w:t>I de flesta fall är aktuell bästa praxis i branschen att använda automatiska verkty</w:t>
      </w:r>
      <w:r>
        <w:rPr>
          <w:rFonts w:ascii="Calibri" w:hAnsi="Calibri"/>
          <w:noProof/>
          <w:color w:val="000000"/>
          <w:sz w:val="22"/>
          <w:u w:color="000000"/>
        </w:rPr>
        <w:t>g för att begränsa mängden omtvistat innehåll för granskning av mänskliga experter, som sedan kan behöva bedöma om innehållet är olagligt. Denna princip om mänsklig inblandning är i allmänhet en viktig del i automatiska processer som söker fastställa olagl</w:t>
      </w:r>
      <w:r>
        <w:rPr>
          <w:rFonts w:ascii="Calibri" w:hAnsi="Calibri"/>
          <w:noProof/>
          <w:color w:val="000000"/>
          <w:sz w:val="22"/>
          <w:u w:color="000000"/>
        </w:rPr>
        <w:t>igheten i ett givet innehåll, särskilt på områden där felfrekvensen är hög eller där kontextualisering krävs.</w:t>
      </w:r>
      <w:r>
        <w:rPr>
          <w:rStyle w:val="FootnoteReference"/>
          <w:rFonts w:ascii="Calibri" w:hAnsi="Calibri"/>
          <w:noProof/>
          <w:color w:val="000000"/>
          <w:sz w:val="22"/>
          <w:u w:color="000000"/>
        </w:rPr>
        <w:t xml:space="preserve"> </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szCs w:val="22"/>
        </w:rPr>
      </w:pPr>
      <w:r>
        <w:rPr>
          <w:rFonts w:ascii="Calibri" w:hAnsi="Calibri"/>
          <w:noProof/>
          <w:sz w:val="22"/>
        </w:rPr>
        <w:t xml:space="preserve"> Kommissionen har uppfattningen att proaktiva åtgärder som vidtas av de onlineplattformar som omfattas av artikel 14 i e-handelsdirektivet för att upptäcka och ta bort olagligt innehåll som de står värd för – inklusive användning av automatiska verktyg och</w:t>
      </w:r>
      <w:r>
        <w:rPr>
          <w:rFonts w:ascii="Calibri" w:hAnsi="Calibri"/>
          <w:noProof/>
          <w:sz w:val="22"/>
        </w:rPr>
        <w:t xml:space="preserve"> verktyg som är avsedda att garantera att tidigare borttaget innehåll inte laddas upp igen – </w:t>
      </w:r>
      <w:r>
        <w:rPr>
          <w:rFonts w:ascii="Calibri" w:hAnsi="Calibri"/>
          <w:b/>
          <w:noProof/>
          <w:sz w:val="22"/>
        </w:rPr>
        <w:t>inte i sig själva eller av sig själva leder till en förlust av undantaget från ansvar</w:t>
      </w:r>
      <w:r>
        <w:rPr>
          <w:rFonts w:ascii="Calibri" w:hAnsi="Calibri"/>
          <w:noProof/>
          <w:sz w:val="22"/>
        </w:rPr>
        <w:t xml:space="preserve">. </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szCs w:val="22"/>
        </w:rPr>
      </w:pPr>
      <w:r>
        <w:rPr>
          <w:rFonts w:ascii="Calibri" w:hAnsi="Calibri"/>
          <w:noProof/>
          <w:sz w:val="22"/>
        </w:rPr>
        <w:t>I synnerhet, att vidta sådana åtgärder behöver inte innebära att den berörd</w:t>
      </w:r>
      <w:r>
        <w:rPr>
          <w:rFonts w:ascii="Calibri" w:hAnsi="Calibri"/>
          <w:noProof/>
          <w:sz w:val="22"/>
        </w:rPr>
        <w:t>a onlineplattformen spelar en aktiv roll som inte längre skulle låta den dra nytta av undantaget. Om vidtagandet av sådana åtgärder leder till att onlineplattformen får faktisk kännedom om eller blir medveten om olaglig verksamhet eller olaglig information</w:t>
      </w:r>
      <w:r>
        <w:rPr>
          <w:rFonts w:ascii="Calibri" w:hAnsi="Calibri"/>
          <w:noProof/>
          <w:sz w:val="22"/>
        </w:rPr>
        <w:t xml:space="preserve"> måste den agera skyndsamt för att avlägsna eller göra den olagliga informationen oåtkomlig, för att uppfylla villkoret för fortsatt tillgång till undantaget.</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b/>
          <w:noProof/>
          <w:sz w:val="22"/>
        </w:rPr>
        <w:t xml:space="preserve">Onlineplattformar bör göra sitt yttersta för att på ett proaktivt sätt upptäcka, identifiera och </w:t>
      </w:r>
      <w:r>
        <w:rPr>
          <w:rFonts w:ascii="Calibri" w:hAnsi="Calibri"/>
          <w:b/>
          <w:noProof/>
          <w:sz w:val="22"/>
        </w:rPr>
        <w:t>avlägsna olagligt innehåll online.</w:t>
      </w:r>
      <w:r>
        <w:rPr>
          <w:rFonts w:ascii="Calibri" w:hAnsi="Calibri"/>
          <w:noProof/>
          <w:sz w:val="22"/>
        </w:rPr>
        <w:t xml:space="preserve"> Kommissionen uppmuntrar starkt onlineplattformarna att vidta frivilliga, proaktiva åtgärder som syftar till upptäckt och borttagning av olagligt innehåll och att intensifiera samarbetet och investeringarna i, liksom använ</w:t>
      </w:r>
      <w:r>
        <w:rPr>
          <w:rFonts w:ascii="Calibri" w:hAnsi="Calibri"/>
          <w:noProof/>
          <w:sz w:val="22"/>
        </w:rPr>
        <w:t>dningen av, automatiska metoder för upptäckt.</w:t>
      </w:r>
    </w:p>
    <w:p w:rsidR="00C91075" w:rsidRDefault="0000066E">
      <w:pPr>
        <w:pStyle w:val="EncabezamA"/>
        <w:numPr>
          <w:ilvl w:val="0"/>
          <w:numId w:val="2"/>
        </w:numPr>
        <w:rPr>
          <w:noProof/>
        </w:rPr>
      </w:pPr>
      <w:r>
        <w:rPr>
          <w:noProof/>
        </w:rPr>
        <w:t>Borttagning av olagligt innehåll </w:t>
      </w:r>
    </w:p>
    <w:p w:rsidR="00C91075" w:rsidRDefault="0000066E">
      <w:pPr>
        <w:pStyle w:val="CuerpoA"/>
        <w:ind w:left="0" w:firstLine="0"/>
        <w:rPr>
          <w:noProof/>
        </w:rPr>
      </w:pPr>
      <w:r>
        <w:rPr>
          <w:noProof/>
        </w:rPr>
        <w:t xml:space="preserve">Det ligger i hela samhällets intresse att </w:t>
      </w:r>
      <w:r>
        <w:rPr>
          <w:b/>
          <w:noProof/>
        </w:rPr>
        <w:t>plattformarna tar bort olagligt innehåll så snart som möjligt.</w:t>
      </w:r>
      <w:r>
        <w:rPr>
          <w:noProof/>
        </w:rPr>
        <w:t xml:space="preserve"> Samtidigt bör borttagning av sådant innehåll </w:t>
      </w:r>
      <w:r>
        <w:rPr>
          <w:b/>
          <w:noProof/>
        </w:rPr>
        <w:t>inte hindra åtal eller ann</w:t>
      </w:r>
      <w:r>
        <w:rPr>
          <w:b/>
          <w:noProof/>
        </w:rPr>
        <w:t>an uppföljning av ett eventuellt underliggande lagbrott</w:t>
      </w:r>
      <w:r>
        <w:rPr>
          <w:noProof/>
        </w:rPr>
        <w:t>. Bevisdelning mellan offentliga myndigheter och onlineplattformar är en viktig princip i detta avseende. Gränsöverskridande åtkomst till bevis bör underlättas genom det förestående lagstiftningsinitia</w:t>
      </w:r>
      <w:r>
        <w:rPr>
          <w:noProof/>
        </w:rPr>
        <w:t>tivet i denna fråga</w:t>
      </w:r>
      <w:r>
        <w:rPr>
          <w:noProof/>
          <w:vertAlign w:val="superscript"/>
        </w:rPr>
        <w:footnoteReference w:id="46"/>
      </w:r>
      <w:r>
        <w:rPr>
          <w:noProof/>
        </w:rPr>
        <w:t>. Plattformarnas borttagning av olagligt innehåll bör inte påverka utredningar av eller åtal för överträdelser baserade på europeisk eller nationell lagstiftning.</w:t>
      </w:r>
    </w:p>
    <w:p w:rsidR="00C91075" w:rsidRDefault="0000066E">
      <w:pPr>
        <w:pStyle w:val="CuerpoA"/>
        <w:ind w:left="0" w:firstLine="0"/>
        <w:rPr>
          <w:noProof/>
        </w:rPr>
      </w:pPr>
      <w:r>
        <w:rPr>
          <w:b/>
          <w:noProof/>
        </w:rPr>
        <w:t>Robusta skyddsmekanismer för att begränsa risken för borttagning av lagli</w:t>
      </w:r>
      <w:r>
        <w:rPr>
          <w:b/>
          <w:noProof/>
        </w:rPr>
        <w:t>gt innehåll</w:t>
      </w:r>
      <w:r>
        <w:rPr>
          <w:noProof/>
        </w:rPr>
        <w:t xml:space="preserve"> bör också finnas, med stöd av meningsfulla transparenskrav för att öka ansvaret i borttagningsprocessen. </w:t>
      </w:r>
    </w:p>
    <w:p w:rsidR="00C91075" w:rsidRDefault="0000066E">
      <w:pPr>
        <w:pStyle w:val="Encabezam2A"/>
        <w:numPr>
          <w:ilvl w:val="1"/>
          <w:numId w:val="2"/>
        </w:numPr>
        <w:rPr>
          <w:noProof/>
        </w:rPr>
      </w:pPr>
      <w:r>
        <w:rPr>
          <w:noProof/>
        </w:rPr>
        <w:t>Säkerställande av skyndsam borttagning och rapportering av brott till brottsbekämpande myndigheter</w:t>
      </w:r>
    </w:p>
    <w:p w:rsidR="00C91075" w:rsidRDefault="0000066E">
      <w:pPr>
        <w:pStyle w:val="CuerpoA"/>
        <w:ind w:left="0" w:firstLine="0"/>
        <w:rPr>
          <w:noProof/>
        </w:rPr>
      </w:pPr>
      <w:r>
        <w:rPr>
          <w:noProof/>
        </w:rPr>
        <w:t>Enligt e-handelsdirektivet måste online</w:t>
      </w:r>
      <w:r>
        <w:rPr>
          <w:noProof/>
        </w:rPr>
        <w:t>plattformar agera ”skyndsamt” för att ta bort olagligt innehåll när de har fått kännedom om det, om de vill fortsätta att dra nytta av undantaget från ansvar. Vad detta innebär i praktiken beror på de närmare detaljerna i det aktuella fallet, i synnerhet t</w:t>
      </w:r>
      <w:r>
        <w:rPr>
          <w:noProof/>
        </w:rPr>
        <w:t xml:space="preserve">ypen av olagligt innehåll, riktigheten i anmälan och den skada som eventuellt orsakats. </w:t>
      </w:r>
    </w:p>
    <w:p w:rsidR="00C91075" w:rsidRDefault="0000066E">
      <w:pPr>
        <w:pStyle w:val="CuerpoA"/>
        <w:ind w:left="0" w:firstLine="0"/>
        <w:rPr>
          <w:noProof/>
        </w:rPr>
      </w:pPr>
      <w:r>
        <w:rPr>
          <w:noProof/>
        </w:rPr>
        <w:t>I praktiken kräver olika typer av innehåll olika mängd kontextuell information för att avgöra lagligheten i en given innehållspunkt. Samtidigt som det är enklare att a</w:t>
      </w:r>
      <w:r>
        <w:rPr>
          <w:noProof/>
        </w:rPr>
        <w:t xml:space="preserve">vgöra olagligheten i barnpornografi krävs det i allmänhet en noggrann analys av sammanhanget för att fastställa om nedsättande yttranden är olagliga. </w:t>
      </w:r>
    </w:p>
    <w:p w:rsidR="00C91075" w:rsidRDefault="0000066E">
      <w:pPr>
        <w:pStyle w:val="CuerpoA"/>
        <w:ind w:left="0" w:firstLine="0"/>
        <w:rPr>
          <w:noProof/>
        </w:rPr>
      </w:pPr>
      <w:r>
        <w:rPr>
          <w:noProof/>
        </w:rPr>
        <w:t xml:space="preserve">Om </w:t>
      </w:r>
      <w:r>
        <w:rPr>
          <w:b/>
          <w:noProof/>
        </w:rPr>
        <w:t xml:space="preserve">det finns risk för allvarliga skador, till exempel i fall med uppmaning till terrorhandlingar, är det </w:t>
      </w:r>
      <w:r>
        <w:rPr>
          <w:b/>
          <w:noProof/>
        </w:rPr>
        <w:t>särskilt viktigt med ett skyndsamt avlägsnande, vilket kan omfattas av särskilda tidsramar</w:t>
      </w:r>
      <w:r>
        <w:rPr>
          <w:noProof/>
        </w:rPr>
        <w:t xml:space="preserve">. </w:t>
      </w:r>
    </w:p>
    <w:p w:rsidR="00C91075" w:rsidRDefault="0000066E">
      <w:pPr>
        <w:pStyle w:val="CuerpoA"/>
        <w:ind w:left="0" w:firstLine="0"/>
        <w:rPr>
          <w:noProof/>
        </w:rPr>
      </w:pPr>
      <w:r>
        <w:rPr>
          <w:noProof/>
        </w:rPr>
        <w:t>En del frivilliga processer, som uppförandekoden för att motverka olaglig hatpropaganda online, ger vägledning om tiderna för borttagning. När det gäller denna upp</w:t>
      </w:r>
      <w:r>
        <w:rPr>
          <w:noProof/>
        </w:rPr>
        <w:t xml:space="preserve">förandekod anges 24 timmar i de flesta fall. </w:t>
      </w:r>
    </w:p>
    <w:p w:rsidR="00C91075" w:rsidRDefault="0000066E">
      <w:pPr>
        <w:pStyle w:val="CuerpoA"/>
        <w:ind w:left="0" w:firstLine="0"/>
        <w:rPr>
          <w:noProof/>
        </w:rPr>
      </w:pPr>
      <w:r>
        <w:rPr>
          <w:b/>
          <w:noProof/>
        </w:rPr>
        <w:t xml:space="preserve">Helt automatiserad radering eller bortkoppling av innehåll </w:t>
      </w:r>
      <w:r>
        <w:rPr>
          <w:noProof/>
        </w:rPr>
        <w:t>kan vara särskilt effektiv och bör tillämpas om omständigheterna gör att det knappast råder någon tvekan om materialets olaglighet, till exempel i fall</w:t>
      </w:r>
      <w:r>
        <w:rPr>
          <w:noProof/>
        </w:rPr>
        <w:t xml:space="preserve"> med material vars avlägsnande meddelas av brottsbekämpande myndigheter, eller där känt olagligt innehåll har avlägsnats tidigare på grund av de skyddsmekanismer som avses i avsnitt </w:t>
      </w:r>
      <w:hyperlink w:anchor="Ref4911792511" w:history="1">
        <w:r>
          <w:rPr>
            <w:noProof/>
          </w:rPr>
          <w:t>4.3</w:t>
        </w:r>
      </w:hyperlink>
      <w:r>
        <w:rPr>
          <w:noProof/>
        </w:rPr>
        <w:t>.</w:t>
      </w:r>
    </w:p>
    <w:p w:rsidR="00C91075" w:rsidRDefault="0000066E">
      <w:pPr>
        <w:pStyle w:val="CuerpoA"/>
        <w:ind w:left="0" w:firstLine="0"/>
        <w:rPr>
          <w:noProof/>
        </w:rPr>
      </w:pPr>
      <w:r>
        <w:rPr>
          <w:noProof/>
        </w:rPr>
        <w:t xml:space="preserve">Som en allmän regel gäller att </w:t>
      </w:r>
      <w:r>
        <w:rPr>
          <w:b/>
          <w:noProof/>
        </w:rPr>
        <w:t>bortt</w:t>
      </w:r>
      <w:r>
        <w:rPr>
          <w:b/>
          <w:noProof/>
        </w:rPr>
        <w:t>agning som härrör från anmälningar från betrodda anmälare bör göras snabbare</w:t>
      </w:r>
      <w:r>
        <w:rPr>
          <w:noProof/>
        </w:rPr>
        <w:t xml:space="preserve">, beroende på den lämnade informationens kvalitet och riktighet och de betrodda flaggarnas status. </w:t>
      </w:r>
    </w:p>
    <w:p w:rsidR="00C91075" w:rsidRDefault="0000066E">
      <w:pPr>
        <w:pStyle w:val="CuerpoA"/>
        <w:ind w:left="0" w:firstLine="0"/>
        <w:rPr>
          <w:noProof/>
        </w:rPr>
      </w:pPr>
      <w:r>
        <w:rPr>
          <w:noProof/>
        </w:rPr>
        <w:t>I fall där det finns risk för ekonomisk skada på grund av överträdelse av immate</w:t>
      </w:r>
      <w:r>
        <w:rPr>
          <w:noProof/>
        </w:rPr>
        <w:t xml:space="preserve">riella rättigheter kan den potentiella ekonomiska skadan som uppstår på grund av en sådan överträdelse vara nära relaterad till hur snabbt innehållet avlägsnas. </w:t>
      </w:r>
    </w:p>
    <w:p w:rsidR="00C91075" w:rsidRDefault="0000066E">
      <w:pPr>
        <w:pStyle w:val="CuerpoA"/>
        <w:ind w:left="0" w:firstLine="0"/>
        <w:rPr>
          <w:noProof/>
        </w:rPr>
      </w:pPr>
      <w:r>
        <w:rPr>
          <w:noProof/>
        </w:rPr>
        <w:t xml:space="preserve">Tydlig rapportering av plattformarna om den tid som det tar att behandla en begäran om </w:t>
      </w:r>
      <w:r>
        <w:rPr>
          <w:noProof/>
        </w:rPr>
        <w:t>borttagning, beroende på typen av innehåll, kommer att förenkla bedömningen av skyndsamheten för den vidtagna åtgärden och öka plattformarnas ansvar i vidare mening.</w:t>
      </w:r>
      <w:r>
        <w:rPr>
          <w:b/>
          <w:noProof/>
        </w:rPr>
        <w:t xml:space="preserve"> </w:t>
      </w:r>
    </w:p>
    <w:p w:rsidR="00C91075" w:rsidRDefault="0000066E">
      <w:pPr>
        <w:pStyle w:val="CuerpoA"/>
        <w:ind w:left="0" w:firstLine="0"/>
        <w:rPr>
          <w:noProof/>
        </w:rPr>
      </w:pPr>
      <w:r>
        <w:rPr>
          <w:noProof/>
        </w:rPr>
        <w:t>I vissa fall, i synnerhet om onlineplattformarna anser att det är svårt att bedöma laglig</w:t>
      </w:r>
      <w:r>
        <w:rPr>
          <w:noProof/>
        </w:rPr>
        <w:t xml:space="preserve">heten i ett visst innehåll och det gäller ett potentiellt omtvistat beslut, skulle de kunna gynnas av att lämna över </w:t>
      </w:r>
      <w:r>
        <w:rPr>
          <w:b/>
          <w:noProof/>
        </w:rPr>
        <w:t>tveksamma fall till en tredje part</w:t>
      </w:r>
      <w:r>
        <w:rPr>
          <w:noProof/>
        </w:rPr>
        <w:t xml:space="preserve"> för att få råd. Självreglerande organ eller behöriga myndigheter spelar denna roll i olika medlemsstater</w:t>
      </w:r>
      <w:r>
        <w:rPr>
          <w:noProof/>
        </w:rPr>
        <w:t>. Ett sådant samarbete uppmuntras starkt som en del av ett förstärkt samarbete mellan onlineplattformar och behöriga myndigheter.</w:t>
      </w:r>
    </w:p>
    <w:p w:rsidR="00C91075" w:rsidRDefault="0000066E">
      <w:pPr>
        <w:pStyle w:val="CuerpoA"/>
        <w:ind w:left="0" w:firstLine="0"/>
        <w:rPr>
          <w:noProof/>
          <w:u w:color="FF0000"/>
        </w:rPr>
      </w:pPr>
      <w:r>
        <w:rPr>
          <w:noProof/>
        </w:rPr>
        <w:t xml:space="preserve">Slutligen </w:t>
      </w:r>
      <w:r>
        <w:rPr>
          <w:b/>
          <w:noProof/>
        </w:rPr>
        <w:t xml:space="preserve">bör onlineplattformarna rapportera till brottsbekämpande myndigheter </w:t>
      </w:r>
      <w:r>
        <w:rPr>
          <w:noProof/>
        </w:rPr>
        <w:t>så snart de blir medvetna om eller stöter på be</w:t>
      </w:r>
      <w:r>
        <w:rPr>
          <w:noProof/>
        </w:rPr>
        <w:t>vis på brottsliga eller andra överträdelser för att varna och göra det möjligt för relevanta myndigheter att utreda och åtala de individer som genererar ett sådant innehåll,</w:t>
      </w:r>
      <w:r>
        <w:rPr>
          <w:rFonts w:ascii="Times New Roman" w:hAnsi="Times New Roman"/>
          <w:noProof/>
          <w:color w:val="auto"/>
          <w:sz w:val="24"/>
          <w:u w:color="FF0000"/>
        </w:rPr>
        <w:t xml:space="preserve"> </w:t>
      </w:r>
      <w:r>
        <w:rPr>
          <w:noProof/>
        </w:rPr>
        <w:t xml:space="preserve">eller missbruk av tjänsterna av organiserade kriminella grupper eller </w:t>
      </w:r>
      <w:r>
        <w:rPr>
          <w:noProof/>
        </w:rPr>
        <w:t>terroristgrupper. När de gör detta skulle de uppfylla tillämpliga rättsliga krav, inbegripet förordning (EU) 2016/679 om skydd av personuppgifter</w:t>
      </w:r>
      <w:r>
        <w:rPr>
          <w:rStyle w:val="FootnoteReference"/>
          <w:noProof/>
        </w:rPr>
        <w:footnoteReference w:id="47"/>
      </w:r>
      <w:r>
        <w:rPr>
          <w:noProof/>
        </w:rPr>
        <w:t xml:space="preserve">. Detta kan också vara lämpligt i fall med utbjudning och försäljning av produkter och affärsmetoder som inte </w:t>
      </w:r>
      <w:r>
        <w:rPr>
          <w:noProof/>
        </w:rPr>
        <w:t>uppfyller EU:s lagstiftning.</w:t>
      </w:r>
    </w:p>
    <w:p w:rsidR="00C91075" w:rsidRDefault="0000066E">
      <w:pPr>
        <w:pStyle w:val="CuerpoA"/>
        <w:ind w:left="0" w:firstLine="0"/>
        <w:rPr>
          <w:noProof/>
        </w:rPr>
      </w:pPr>
      <w:r>
        <w:rPr>
          <w:noProof/>
        </w:rPr>
        <w:t>Behovet att samarbeta med brottsbekämpande myndigheter vid utredning och lagföring av brott kan dessutom i vissa fall leda till att plattformar avstår från att ta bort olagligt innehåll, om detta krävs inom ramen för en särskil</w:t>
      </w:r>
      <w:r>
        <w:rPr>
          <w:noProof/>
        </w:rPr>
        <w:t>d pågående utredning, under nära överinseende av nationella myndigheter och helt i överensstämmelse med nationella regler för brottsmålsprocesser.</w:t>
      </w:r>
    </w:p>
    <w:p w:rsidR="00C91075" w:rsidRDefault="0000066E">
      <w:pPr>
        <w:pStyle w:val="CuerpoA"/>
        <w:ind w:left="0" w:firstLine="0"/>
        <w:rPr>
          <w:noProof/>
        </w:rPr>
      </w:pPr>
      <w:r>
        <w:rPr>
          <w:noProof/>
        </w:rPr>
        <w:t>Brottsbekämpande myndigheter bör bygga upp den kapacitet som krävs för att vidta lämpliga åtgärder till följd</w:t>
      </w:r>
      <w:r>
        <w:rPr>
          <w:noProof/>
        </w:rPr>
        <w:t xml:space="preserve"> av dessa rapporter.</w:t>
      </w:r>
      <w:r>
        <w:rPr>
          <w:noProof/>
          <w:vertAlign w:val="superscript"/>
        </w:rPr>
        <w:footnoteReference w:id="48"/>
      </w:r>
      <w:r>
        <w:rPr>
          <w:noProof/>
        </w:rPr>
        <w:t xml:space="preserve"> Ett exempel på bästa praxis när det gäller kontaktpunkter är SIRIUS-portalen</w:t>
      </w:r>
      <w:r>
        <w:rPr>
          <w:rStyle w:val="FootnoteReference"/>
          <w:noProof/>
          <w:u w:color="FF0000"/>
        </w:rPr>
        <w:footnoteReference w:id="49"/>
      </w:r>
      <w:r>
        <w:rPr>
          <w:noProof/>
        </w:rPr>
        <w:t xml:space="preserve"> som upprättats av Europol för att stödja medlemsstaterna i samband med utredningar om terrorismbekämpning online, inbegripet att underlätta samarbetet mella</w:t>
      </w:r>
      <w:r>
        <w:rPr>
          <w:noProof/>
        </w:rPr>
        <w:t>n plattformarna och EU:s brottsbekämpning.</w:t>
      </w:r>
      <w:r>
        <w:rPr>
          <w:noProof/>
          <w:vertAlign w:val="superscript"/>
        </w:rPr>
        <w:footnoteReference w:id="50"/>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I enlighet med artikel 14 i e-handelsdirektivet måste onlineplattformarna ta bort olagligt innehåll med skyndsamhet, så snart de har gjorts eller blivit medvetna om dess förekomst, om de vill undantas från ansvar</w:t>
      </w:r>
      <w:r>
        <w:rPr>
          <w:rFonts w:ascii="Calibri" w:hAnsi="Calibri"/>
          <w:noProof/>
          <w:sz w:val="22"/>
        </w:rPr>
        <w:t>. Särskild skyndsam borttagning är viktig om det rör sig om olagligt innehåll med risk för allvarlig skada, till exempel i fall med uppmaning till terrorhandlingar. Tiderna för avlägsnande och processerna för olika typer av olagligt innehåll bör tydligt fr</w:t>
      </w:r>
      <w:r>
        <w:rPr>
          <w:rFonts w:ascii="Calibri" w:hAnsi="Calibri"/>
          <w:noProof/>
          <w:sz w:val="22"/>
        </w:rPr>
        <w:t xml:space="preserve">amgå i rapporter om öppenhet och insyn. </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Frågan om fasta tidsramar för borttagning kommer att analyseras ytterligare av kommissionen. </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Bevis på straffbara gärningar som fås i samband med borttagning av olagligt innehåll bör skickas till de brottsbekämpande</w:t>
      </w:r>
      <w:r>
        <w:rPr>
          <w:rFonts w:ascii="Calibri" w:hAnsi="Calibri"/>
          <w:noProof/>
          <w:sz w:val="22"/>
        </w:rPr>
        <w:t xml:space="preserve"> myndigheterna, under förutsättning att detta är i överensstämmelse med i synnerhet kraven i förordning (EU) 2016/679, särskilt de lagenliga grunderna för behandling av personuppgifter.</w:t>
      </w:r>
    </w:p>
    <w:p w:rsidR="00C91075" w:rsidRDefault="0000066E">
      <w:pPr>
        <w:pStyle w:val="Encabezam2A"/>
        <w:numPr>
          <w:ilvl w:val="1"/>
          <w:numId w:val="6"/>
        </w:numPr>
        <w:rPr>
          <w:noProof/>
        </w:rPr>
      </w:pPr>
      <w:r>
        <w:rPr>
          <w:noProof/>
        </w:rPr>
        <w:t>Öka insynen </w:t>
      </w:r>
    </w:p>
    <w:p w:rsidR="00C91075" w:rsidRDefault="0000066E">
      <w:pPr>
        <w:pStyle w:val="Encabezam3A"/>
        <w:numPr>
          <w:ilvl w:val="2"/>
          <w:numId w:val="5"/>
        </w:numPr>
        <w:rPr>
          <w:noProof/>
        </w:rPr>
      </w:pPr>
      <w:r>
        <w:rPr>
          <w:noProof/>
        </w:rPr>
        <w:t xml:space="preserve">Insyn i onlineplattformarnas innehållspolicy </w:t>
      </w:r>
    </w:p>
    <w:p w:rsidR="00C91075" w:rsidRDefault="0000066E">
      <w:pPr>
        <w:pStyle w:val="CuerpoA"/>
        <w:ind w:left="0" w:firstLine="0"/>
        <w:rPr>
          <w:noProof/>
        </w:rPr>
      </w:pPr>
      <w:r>
        <w:rPr>
          <w:noProof/>
        </w:rPr>
        <w:t>Frågan om i</w:t>
      </w:r>
      <w:r>
        <w:rPr>
          <w:noProof/>
        </w:rPr>
        <w:t xml:space="preserve">nnehåll är lagligt eller olagligt regleras av EU-lagstiftning och nationell lagstiftning. Samtidigt kan onlineplattformarnas egna tjänstevillkor anse särskilda typer av innehåll vara oönskade eller tvivelaktiga. </w:t>
      </w:r>
    </w:p>
    <w:p w:rsidR="00C91075" w:rsidRDefault="0000066E">
      <w:pPr>
        <w:pStyle w:val="CuerpoA"/>
        <w:ind w:left="0" w:firstLine="0"/>
        <w:rPr>
          <w:noProof/>
        </w:rPr>
      </w:pPr>
      <w:r>
        <w:rPr>
          <w:noProof/>
        </w:rPr>
        <w:t xml:space="preserve">Onlineplattformarna bör offentliggöra sina </w:t>
      </w:r>
      <w:r>
        <w:rPr>
          <w:noProof/>
        </w:rPr>
        <w:t>detaljerade innehållspolicyer i tjänstevillkoren och tydligt informera sina användare om dem. Dessa villkor bör inte bara definiera policyn för borttagning eller bortkoppling av innehåll, utan också redogöra för de skyddsmekanismer som ser till att innehål</w:t>
      </w:r>
      <w:r>
        <w:rPr>
          <w:noProof/>
        </w:rPr>
        <w:t>lsrelaterade åtgärder inte leder till överborttagning. Onlineplattformarnas tjänstevillkor bör i synnerhet redogöra tydligt och detaljerat för eventuella möjligheter för användarna att bestrida beslut om borttagning, som en del av en utökad insyn i plattfo</w:t>
      </w:r>
      <w:r>
        <w:rPr>
          <w:noProof/>
        </w:rPr>
        <w:t>rmarnas allmänna policyer för borttagning. Detta bör bidra till att minska en eventuell negativ effekt på användarnas grundläggande rätt till yttrandefrihet och informationsfrihet.</w:t>
      </w:r>
      <w:r>
        <w:rPr>
          <w:noProof/>
          <w:vertAlign w:val="superscript"/>
        </w:rPr>
        <w:footnoteReference w:id="51"/>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eastAsia="Calibri" w:hAnsi="Calibri" w:cs="Calibri"/>
          <w:noProof/>
          <w:sz w:val="22"/>
          <w:szCs w:val="22"/>
        </w:rPr>
      </w:pPr>
      <w:r>
        <w:rPr>
          <w:rFonts w:ascii="Calibri" w:hAnsi="Calibri"/>
          <w:noProof/>
          <w:sz w:val="22"/>
        </w:rPr>
        <w:t xml:space="preserve">Onlineplattformarna bör tillhandahålla en </w:t>
      </w:r>
      <w:r>
        <w:rPr>
          <w:rFonts w:ascii="Calibri" w:hAnsi="Calibri"/>
          <w:b/>
          <w:noProof/>
          <w:sz w:val="22"/>
        </w:rPr>
        <w:t>tydlig, lättförståelig och tillr</w:t>
      </w:r>
      <w:r>
        <w:rPr>
          <w:rFonts w:ascii="Calibri" w:hAnsi="Calibri"/>
          <w:b/>
          <w:noProof/>
          <w:sz w:val="22"/>
        </w:rPr>
        <w:t>äckligt detaljerad förklaring av sin innehållspolicy i tjänstevillkoren</w:t>
      </w:r>
      <w:r>
        <w:rPr>
          <w:rFonts w:ascii="Calibri" w:hAnsi="Calibri"/>
          <w:noProof/>
          <w:sz w:val="22"/>
        </w:rPr>
        <w:t>. Förklaringen bör spegla både behandlingen av olagligt innehåll och innehåll som inte respekterar plattformens tjänstevillkor. Alla begränsningar när det gäller typen av innehåll som ä</w:t>
      </w:r>
      <w:r>
        <w:rPr>
          <w:rFonts w:ascii="Calibri" w:hAnsi="Calibri"/>
          <w:noProof/>
          <w:sz w:val="22"/>
        </w:rPr>
        <w:t>r tillåtet på en viss plattform bör anges tydligt och meddelas användarna. Denna förklaring bör också omfatta de förfaranden som finns för att bestrida beslut om borttagning, inbegripet sådana som initieras av betrodda anmälare.</w:t>
      </w:r>
    </w:p>
    <w:p w:rsidR="00C91075" w:rsidRDefault="0000066E">
      <w:pPr>
        <w:pStyle w:val="Encabezam3A"/>
        <w:numPr>
          <w:ilvl w:val="2"/>
          <w:numId w:val="5"/>
        </w:numPr>
        <w:rPr>
          <w:noProof/>
        </w:rPr>
      </w:pPr>
      <w:r>
        <w:rPr>
          <w:noProof/>
        </w:rPr>
        <w:t>Insyn i förfaranden för anm</w:t>
      </w:r>
      <w:r>
        <w:rPr>
          <w:noProof/>
        </w:rPr>
        <w:t>älan och åtgärd</w:t>
      </w:r>
    </w:p>
    <w:p w:rsidR="00C91075" w:rsidRDefault="0000066E">
      <w:pPr>
        <w:pStyle w:val="CuerpoA"/>
        <w:ind w:left="0" w:firstLine="0"/>
        <w:rPr>
          <w:noProof/>
        </w:rPr>
      </w:pPr>
      <w:r>
        <w:rPr>
          <w:noProof/>
        </w:rPr>
        <w:t xml:space="preserve">Rapporteringen om öppenhet och insyn bör dessutom omfatta </w:t>
      </w:r>
      <w:r>
        <w:rPr>
          <w:i/>
          <w:noProof/>
        </w:rPr>
        <w:t>resultatet</w:t>
      </w:r>
      <w:r>
        <w:rPr>
          <w:noProof/>
        </w:rPr>
        <w:t xml:space="preserve"> av tillämpningen av plattformarnas policyer för hantering av innehåll.</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rPr>
      </w:pPr>
      <w:r>
        <w:rPr>
          <w:rFonts w:ascii="Calibri" w:hAnsi="Calibri"/>
          <w:noProof/>
          <w:sz w:val="22"/>
        </w:rPr>
        <w:t xml:space="preserve">Onlineplattformarna bör </w:t>
      </w:r>
      <w:r>
        <w:rPr>
          <w:rFonts w:ascii="Calibri" w:hAnsi="Calibri"/>
          <w:b/>
          <w:noProof/>
          <w:sz w:val="22"/>
        </w:rPr>
        <w:t>publicera rapporter om öppenhet och insyn</w:t>
      </w:r>
      <w:r>
        <w:rPr>
          <w:rFonts w:ascii="Calibri" w:hAnsi="Calibri"/>
          <w:noProof/>
          <w:sz w:val="22"/>
        </w:rPr>
        <w:t xml:space="preserve"> med tillräckligt detaljerad </w:t>
      </w:r>
      <w:r>
        <w:rPr>
          <w:rFonts w:ascii="Calibri" w:hAnsi="Calibri"/>
          <w:b/>
          <w:noProof/>
          <w:sz w:val="22"/>
        </w:rPr>
        <w:t>inform</w:t>
      </w:r>
      <w:r>
        <w:rPr>
          <w:rFonts w:ascii="Calibri" w:hAnsi="Calibri"/>
          <w:b/>
          <w:noProof/>
          <w:sz w:val="22"/>
        </w:rPr>
        <w:t>ation om antal och typ av anmälningar som tagits emot och åtgärder som vidtagits</w:t>
      </w:r>
      <w:r>
        <w:rPr>
          <w:rFonts w:ascii="Calibri" w:hAnsi="Calibri"/>
          <w:noProof/>
          <w:sz w:val="22"/>
        </w:rPr>
        <w:t xml:space="preserve">, liksom den </w:t>
      </w:r>
      <w:r>
        <w:rPr>
          <w:rFonts w:ascii="Calibri" w:hAnsi="Calibri"/>
          <w:b/>
          <w:noProof/>
          <w:sz w:val="22"/>
        </w:rPr>
        <w:t>tid behandlingen tagit</w:t>
      </w:r>
      <w:r>
        <w:rPr>
          <w:rFonts w:ascii="Calibri" w:hAnsi="Calibri"/>
          <w:noProof/>
          <w:sz w:val="22"/>
        </w:rPr>
        <w:t xml:space="preserve"> och källorna till anmälningarna</w:t>
      </w:r>
      <w:r>
        <w:rPr>
          <w:rFonts w:ascii="Calibri" w:hAnsi="Calibri"/>
          <w:noProof/>
          <w:sz w:val="22"/>
          <w:vertAlign w:val="superscript"/>
        </w:rPr>
        <w:footnoteReference w:id="52"/>
      </w:r>
      <w:r>
        <w:rPr>
          <w:rFonts w:ascii="Calibri" w:hAnsi="Calibri"/>
          <w:noProof/>
          <w:sz w:val="22"/>
        </w:rPr>
        <w:t xml:space="preserve">. Dessa rapporter bör även innehålla information om </w:t>
      </w:r>
      <w:r>
        <w:rPr>
          <w:rFonts w:ascii="Calibri" w:hAnsi="Calibri"/>
          <w:b/>
          <w:noProof/>
          <w:sz w:val="22"/>
        </w:rPr>
        <w:t>motanmälningar</w:t>
      </w:r>
      <w:r>
        <w:rPr>
          <w:rFonts w:ascii="Calibri" w:hAnsi="Calibri"/>
          <w:noProof/>
          <w:sz w:val="22"/>
        </w:rPr>
        <w:t>, i förekommande fall, och det svar som ge</w:t>
      </w:r>
      <w:r>
        <w:rPr>
          <w:rFonts w:ascii="Calibri" w:hAnsi="Calibri"/>
          <w:noProof/>
          <w:sz w:val="22"/>
        </w:rPr>
        <w:t>tts på dessa. Kommissionen uppmuntrar publicering av denna information regelbundet och minst en gång om året.</w:t>
      </w:r>
    </w:p>
    <w:p w:rsidR="00C91075" w:rsidRDefault="0000066E">
      <w:pPr>
        <w:pStyle w:val="CuerpoA"/>
        <w:ind w:left="0" w:firstLine="0"/>
        <w:rPr>
          <w:noProof/>
        </w:rPr>
      </w:pPr>
      <w:r>
        <w:rPr>
          <w:noProof/>
        </w:rPr>
        <w:t xml:space="preserve">Med vederbörlig hänsyn tagen till innehållsspecifika skillnader skulle dessa rapporter om öppenhet och insyn gynnas av viss </w:t>
      </w:r>
      <w:r>
        <w:rPr>
          <w:b/>
          <w:noProof/>
        </w:rPr>
        <w:t>standardisering</w:t>
      </w:r>
      <w:r>
        <w:rPr>
          <w:noProof/>
        </w:rPr>
        <w:t xml:space="preserve"> över d</w:t>
      </w:r>
      <w:r>
        <w:rPr>
          <w:noProof/>
        </w:rPr>
        <w:t>en digitala inre marknaden. Detta skulle ge bättre övervakning, underlätta den elektroniska sammanställningen av sådan information och skulle kunna bidra till att undvika onödiga hinder för tillhandahållande över gränserna av värdtjänster.</w:t>
      </w:r>
    </w:p>
    <w:p w:rsidR="00C91075" w:rsidRDefault="0000066E">
      <w:pPr>
        <w:pStyle w:val="CuerpoA"/>
        <w:ind w:left="0" w:firstLine="0"/>
        <w:rPr>
          <w:noProof/>
        </w:rPr>
      </w:pPr>
      <w:r>
        <w:rPr>
          <w:noProof/>
        </w:rPr>
        <w:t>Särskild uppmärksamhet bör riktas mot att göra det möjligt för mindre onlineplattformar samt små och medelstora företag att tillhandahålla sådana uppgifter om öppenhet och insyn, och stödjande verksamhet som standardisering bör säkerställa att de administr</w:t>
      </w:r>
      <w:r>
        <w:rPr>
          <w:noProof/>
        </w:rPr>
        <w:t xml:space="preserve">ativa bördorna hålls till ett minimum. </w:t>
      </w:r>
    </w:p>
    <w:p w:rsidR="00C91075" w:rsidRDefault="0000066E">
      <w:pPr>
        <w:pStyle w:val="CuerpoA"/>
        <w:ind w:left="0" w:firstLine="0"/>
        <w:rPr>
          <w:noProof/>
        </w:rPr>
      </w:pPr>
      <w:r>
        <w:rPr>
          <w:noProof/>
        </w:rPr>
        <w:t xml:space="preserve">Kommissionen kommer, i strukturerade dialoger med branschen, att ytterligare </w:t>
      </w:r>
      <w:r>
        <w:rPr>
          <w:b/>
          <w:noProof/>
        </w:rPr>
        <w:t>undersöka möjligheterna till standardisering</w:t>
      </w:r>
      <w:r>
        <w:rPr>
          <w:noProof/>
        </w:rPr>
        <w:t xml:space="preserve"> med avseende på anmälningsrutiner och rapportering om transparens vad gäller system för och re</w:t>
      </w:r>
      <w:r>
        <w:rPr>
          <w:noProof/>
        </w:rPr>
        <w:t>sultat av borttagning.</w:t>
      </w:r>
    </w:p>
    <w:p w:rsidR="00C91075" w:rsidRDefault="0000066E">
      <w:pPr>
        <w:pStyle w:val="Encabezam2A"/>
        <w:numPr>
          <w:ilvl w:val="1"/>
          <w:numId w:val="6"/>
        </w:numPr>
        <w:rPr>
          <w:noProof/>
        </w:rPr>
      </w:pPr>
      <w:bookmarkStart w:id="2" w:name="_Ref4911792512"/>
      <w:r>
        <w:rPr>
          <w:noProof/>
        </w:rPr>
        <w:t>Skyddsmekanismer mot överborttagning och missbruk av systemet</w:t>
      </w:r>
      <w:bookmarkEnd w:id="2"/>
    </w:p>
    <w:p w:rsidR="00C91075" w:rsidRDefault="0000066E">
      <w:pPr>
        <w:pStyle w:val="CuerpoA"/>
        <w:ind w:left="0" w:firstLine="0"/>
        <w:rPr>
          <w:noProof/>
        </w:rPr>
      </w:pPr>
      <w:r>
        <w:rPr>
          <w:noProof/>
        </w:rPr>
        <w:t>Skyndsamma åtgärder, däribland filtreringsåtgärder vid uppladdning eller automatiserad upptäckt för att säkerställa att olagligt innehåll tas bort snabbt, i synnerhet om d</w:t>
      </w:r>
      <w:r>
        <w:rPr>
          <w:noProof/>
        </w:rPr>
        <w:t>et inte finns någon ”mänsklig inblandning”, kan påverka beslutets riktighet, inklusive risken att lagligt innehåll avlägsnas. Det är därför viktigt att se till att det finns tillräckliga skyddsmekanismer så att innehåll som tagits bort felaktigt kan återst</w:t>
      </w:r>
      <w:r>
        <w:rPr>
          <w:noProof/>
        </w:rPr>
        <w:t xml:space="preserve">ällas. </w:t>
      </w:r>
    </w:p>
    <w:p w:rsidR="00C91075" w:rsidRDefault="0000066E">
      <w:pPr>
        <w:pStyle w:val="Encabezam3A"/>
        <w:numPr>
          <w:ilvl w:val="2"/>
          <w:numId w:val="5"/>
        </w:numPr>
        <w:rPr>
          <w:noProof/>
        </w:rPr>
      </w:pPr>
      <w:r>
        <w:rPr>
          <w:noProof/>
        </w:rPr>
        <w:t>Bestrida en anmälan</w:t>
      </w:r>
    </w:p>
    <w:p w:rsidR="00C91075" w:rsidRDefault="0000066E">
      <w:pPr>
        <w:pStyle w:val="CuerpoA"/>
        <w:ind w:left="0" w:firstLine="0"/>
        <w:rPr>
          <w:noProof/>
        </w:rPr>
      </w:pPr>
      <w:r>
        <w:rPr>
          <w:noProof/>
        </w:rPr>
        <w:t>I allmänhet bör de som tillhandahåller innehållet</w:t>
      </w:r>
      <w:r>
        <w:rPr>
          <w:rStyle w:val="Ninguno"/>
          <w:b/>
          <w:noProof/>
        </w:rPr>
        <w:t xml:space="preserve"> ges möjlighet att bestrida detta beslut via en motanmälan</w:t>
      </w:r>
      <w:r>
        <w:rPr>
          <w:noProof/>
        </w:rPr>
        <w:t xml:space="preserve">. Detta gäller också om borttagningen av innehållet varit automatiserad. </w:t>
      </w:r>
    </w:p>
    <w:p w:rsidR="00C91075" w:rsidRDefault="0000066E">
      <w:pPr>
        <w:pStyle w:val="CuerpoA"/>
        <w:ind w:left="0" w:firstLine="0"/>
        <w:rPr>
          <w:noProof/>
        </w:rPr>
      </w:pPr>
      <w:r>
        <w:rPr>
          <w:noProof/>
        </w:rPr>
        <w:t xml:space="preserve">Enligt artikel 28a i förslaget till ändring av </w:t>
      </w:r>
      <w:r>
        <w:rPr>
          <w:noProof/>
        </w:rPr>
        <w:t>AVMSD måste medlemsstaterna exempelvis garantera att det finns klagomåls- och prövningsmekanismer för tvistlösning mellan användare och plattformar som delar videoinnehåll när det gäller tillämpning av lämpliga åtgärder som ska vidtas av dessa plattformar.</w:t>
      </w:r>
    </w:p>
    <w:p w:rsidR="00C91075" w:rsidRDefault="0000066E">
      <w:pPr>
        <w:pStyle w:val="CuerpoA"/>
        <w:ind w:left="0" w:firstLine="0"/>
        <w:rPr>
          <w:noProof/>
        </w:rPr>
      </w:pPr>
      <w:r>
        <w:rPr>
          <w:noProof/>
        </w:rPr>
        <w:t xml:space="preserve">Om det i en motanmälan tillhandahålls rimliga skäl för att anse att den anmälda verksamheten eller informationen inte är olaglig </w:t>
      </w:r>
      <w:r>
        <w:rPr>
          <w:rStyle w:val="Ninguno"/>
          <w:b/>
          <w:noProof/>
        </w:rPr>
        <w:t>bör leverantören av plattformen återställa det innehåll som tagits bort utan otillbörligt dröjsmål, eller låta användaren ladd</w:t>
      </w:r>
      <w:r>
        <w:rPr>
          <w:rStyle w:val="Ninguno"/>
          <w:b/>
          <w:noProof/>
        </w:rPr>
        <w:t>a upp innehållet på nytt, utan att detta påverkar tillämpningen av plattformens tjänstevillkor</w:t>
      </w:r>
      <w:r>
        <w:rPr>
          <w:noProof/>
        </w:rPr>
        <w:t xml:space="preserve">. </w:t>
      </w:r>
    </w:p>
    <w:p w:rsidR="00C91075" w:rsidRDefault="0000066E">
      <w:pPr>
        <w:pStyle w:val="CuerpoA"/>
        <w:ind w:left="0" w:firstLine="0"/>
        <w:rPr>
          <w:noProof/>
        </w:rPr>
      </w:pPr>
      <w:r>
        <w:rPr>
          <w:noProof/>
        </w:rPr>
        <w:t>Möjligheten att bestrida beslut bör leda till en minskning av antalet oberättigade borttagningar av lagligt innehåll och skulle också kunna fungera som skriftl</w:t>
      </w:r>
      <w:r>
        <w:rPr>
          <w:noProof/>
        </w:rPr>
        <w:t xml:space="preserve">iga bevis för mekanismer för tvistlösning utanför domstol eller för rättsliga överklagandeförfaranden. </w:t>
      </w:r>
    </w:p>
    <w:p w:rsidR="00C91075" w:rsidRDefault="0000066E">
      <w:pPr>
        <w:pStyle w:val="CuerpoA"/>
        <w:ind w:left="0" w:firstLine="0"/>
        <w:rPr>
          <w:noProof/>
        </w:rPr>
      </w:pPr>
      <w:r>
        <w:rPr>
          <w:noProof/>
        </w:rPr>
        <w:t>Under vissa omständigheter skulle det inte vara lämpligt att informera leverantören av innehållet och/eller att tillåta en motanmälan – i synnerhet om d</w:t>
      </w:r>
      <w:r>
        <w:rPr>
          <w:noProof/>
        </w:rPr>
        <w:t xml:space="preserve">etta skulle störa utredningsbefogenheterna för myndigheter i medlemsstaterna som är nödvändiga för att förhindra, upptäcka och lagföra straffbara gärningar, till exempel beträffande barnpornografi. </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Onlineplattformarna bör erbjuda enkla förfaranden för mot</w:t>
      </w:r>
      <w:r>
        <w:rPr>
          <w:rStyle w:val="Ninguno"/>
          <w:rFonts w:ascii="Calibri" w:hAnsi="Calibri"/>
          <w:noProof/>
          <w:sz w:val="22"/>
        </w:rPr>
        <w:t>anmälningar på internet. När en motanmälan registreras bör onlineplattformarna svara på den, och vid ett negativt beslut bör orsakerna anges. Om det är möjligt i den aktuella medlemsstaten uppmuntras plattformarna att tillåta användning av organ för tvistl</w:t>
      </w:r>
      <w:r>
        <w:rPr>
          <w:rStyle w:val="Ninguno"/>
          <w:rFonts w:ascii="Calibri" w:hAnsi="Calibri"/>
          <w:noProof/>
          <w:sz w:val="22"/>
        </w:rPr>
        <w:t>ösning utanför domstol för att lösa tvister angående motanmälningar.</w:t>
      </w:r>
    </w:p>
    <w:p w:rsidR="00C91075" w:rsidRDefault="0000066E">
      <w:pPr>
        <w:pStyle w:val="Encabezam3A"/>
        <w:numPr>
          <w:ilvl w:val="2"/>
          <w:numId w:val="5"/>
        </w:numPr>
        <w:rPr>
          <w:noProof/>
        </w:rPr>
      </w:pPr>
      <w:r>
        <w:rPr>
          <w:noProof/>
        </w:rPr>
        <w:t>Åtgärder mot anmälningar i ond tro och motanmälningar</w:t>
      </w:r>
    </w:p>
    <w:p w:rsidR="00C91075" w:rsidRDefault="0000066E">
      <w:pPr>
        <w:pStyle w:val="CuerpoA"/>
        <w:ind w:left="0" w:firstLine="0"/>
        <w:rPr>
          <w:noProof/>
        </w:rPr>
      </w:pPr>
      <w:r>
        <w:rPr>
          <w:noProof/>
        </w:rPr>
        <w:t>Ibland kan förfaranden för anmälan och åtgärd missbrukas med dålig praxis eller i ond tro</w:t>
      </w:r>
      <w:r>
        <w:rPr>
          <w:rStyle w:val="Ninguno"/>
          <w:noProof/>
          <w:vertAlign w:val="superscript"/>
        </w:rPr>
        <w:footnoteReference w:id="53"/>
      </w:r>
      <w:r>
        <w:rPr>
          <w:noProof/>
        </w:rPr>
        <w:t xml:space="preserve">. En sådan praxis bör motverkas till varje </w:t>
      </w:r>
      <w:r>
        <w:rPr>
          <w:noProof/>
        </w:rPr>
        <w:t>pris, till exempel genom att nedgradera prioriteten vid behandling av anmälningar från en leverantör som skickar en stor mängd ogiltiga anmälningar, eller tar emot ett stort antal motanmälningar, eller genom att återkalla statusen som betrodd anmälare enli</w:t>
      </w:r>
      <w:r>
        <w:rPr>
          <w:noProof/>
        </w:rPr>
        <w:t>gt väletablerade och transparenta kriterier. Dessa policyer bör beskrivas tydligt i onlineplattformarnas tjänstevillkor och vara en del av plattformarnas allmänna rapportering om öppenhet och insyn, för att öka det offentliga ansvaret. Liknande åtgärder bö</w:t>
      </w:r>
      <w:r>
        <w:rPr>
          <w:noProof/>
        </w:rPr>
        <w:t xml:space="preserve">r finnas när det gäller missbrukande motanmälningar. </w:t>
      </w:r>
    </w:p>
    <w:p w:rsidR="00C91075" w:rsidRDefault="0000066E">
      <w:pPr>
        <w:pStyle w:val="EncabezamA"/>
        <w:numPr>
          <w:ilvl w:val="0"/>
          <w:numId w:val="2"/>
        </w:numPr>
        <w:rPr>
          <w:rStyle w:val="Ninguno"/>
          <w:noProof/>
        </w:rPr>
      </w:pPr>
      <w:r>
        <w:rPr>
          <w:rStyle w:val="Ninguno"/>
          <w:noProof/>
        </w:rPr>
        <w:t>Förhindra att olagligt innehåll kommer tillbaka</w:t>
      </w:r>
    </w:p>
    <w:p w:rsidR="00C91075" w:rsidRDefault="0000066E">
      <w:pPr>
        <w:pStyle w:val="CuerpoA"/>
        <w:ind w:left="0" w:firstLine="0"/>
        <w:rPr>
          <w:noProof/>
        </w:rPr>
      </w:pPr>
      <w:r>
        <w:rPr>
          <w:noProof/>
        </w:rPr>
        <w:t>Olagligt innehåll bör inte komma tillbaka online när det har upptäckts och tagits bort. Det är mycket viktigt för ett välfungerande system att borttaget i</w:t>
      </w:r>
      <w:r>
        <w:rPr>
          <w:noProof/>
        </w:rPr>
        <w:t>nnehåll på ett effektivt sätt hindras från att komma tillbaka, med utgångspunkt i befintlig god praxis liksom lämpliga skyddsmekanismer. Att förhindra att olagligt material sprids över plattformar kräver närmare samarbete mellan tjänsteleverantörerna på in</w:t>
      </w:r>
      <w:r>
        <w:rPr>
          <w:noProof/>
        </w:rPr>
        <w:t>ternet, och att tillämpliga regler i konkurrenslagstiftningen följs till fullo. Det är också viktigt att öka brottsbekämpande myndigheters samarbete med små, mindre motståndskraftiga företag, som kan bli den plattform som föredras av brottslingar eller and</w:t>
      </w:r>
      <w:r>
        <w:rPr>
          <w:noProof/>
        </w:rPr>
        <w:t>ra personer som är involverade i onlineverksamhet som utgör en överträdelse, om dessa företag bedöms som mer sårbara än andra.</w:t>
      </w:r>
    </w:p>
    <w:p w:rsidR="00C91075" w:rsidRPr="0000066E" w:rsidRDefault="0000066E">
      <w:pPr>
        <w:pStyle w:val="Encabezam2A"/>
        <w:numPr>
          <w:ilvl w:val="1"/>
          <w:numId w:val="8"/>
        </w:numPr>
        <w:rPr>
          <w:rStyle w:val="Ninguno"/>
          <w:bCs w:val="0"/>
          <w:noProof/>
        </w:rPr>
      </w:pPr>
      <w:r w:rsidRPr="0000066E">
        <w:rPr>
          <w:rStyle w:val="Ninguno"/>
          <w:noProof/>
        </w:rPr>
        <w:t xml:space="preserve">Åtgärder mot användare som gör sig skyldiga till upprepade överträdelser </w:t>
      </w:r>
    </w:p>
    <w:p w:rsidR="00C91075" w:rsidRDefault="0000066E">
      <w:pPr>
        <w:pStyle w:val="CuerpoA"/>
        <w:ind w:left="0" w:firstLine="0"/>
        <w:rPr>
          <w:noProof/>
        </w:rPr>
      </w:pPr>
      <w:r>
        <w:rPr>
          <w:noProof/>
        </w:rPr>
        <w:t>För att undvika att olagligt innehåll kommer tillbaka g</w:t>
      </w:r>
      <w:r>
        <w:rPr>
          <w:noProof/>
        </w:rPr>
        <w:t>enom att användare postar innehåll som utgör en överträdelse och som är av samma typ om och om igen har många onlineplattformar redan vidtagit åtgärder mot sådana användare som gör sig skyldiga till upprepade överträdelser, till exempel att konton stängs a</w:t>
      </w:r>
      <w:r>
        <w:rPr>
          <w:noProof/>
        </w:rPr>
        <w:t>v tillfälligt eller avslutas eller genom åtgärder för shadow-banning.</w:t>
      </w:r>
      <w:r>
        <w:rPr>
          <w:rStyle w:val="Ninguno"/>
          <w:noProof/>
          <w:vertAlign w:val="superscript"/>
        </w:rPr>
        <w:footnoteReference w:id="54"/>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Onlineplattformarna bör vidta åtgärder som avråder användarna från att ladda upp olagligt innehåll av samma slag och med samma syfte upprepade gånger för att på ett effektivt sätt bryta</w:t>
      </w:r>
      <w:r>
        <w:rPr>
          <w:rStyle w:val="Ninguno"/>
          <w:rFonts w:ascii="Calibri" w:hAnsi="Calibri"/>
          <w:noProof/>
          <w:sz w:val="22"/>
        </w:rPr>
        <w:t xml:space="preserve"> spridningen av sådant olagligt innehåll.</w:t>
      </w:r>
    </w:p>
    <w:p w:rsidR="00C91075" w:rsidRDefault="0000066E">
      <w:pPr>
        <w:pStyle w:val="CuerpoA"/>
        <w:ind w:left="0" w:firstLine="0"/>
        <w:rPr>
          <w:noProof/>
        </w:rPr>
      </w:pPr>
      <w:r>
        <w:rPr>
          <w:noProof/>
        </w:rPr>
        <w:t>Detta bör även gälla om den person som gör sig skyldig till överträdelserna är densamma och substansen i innehållet i fråga är av samma slag och – om det är berättigat – användaren har underrättats utan dröjsmål om</w:t>
      </w:r>
      <w:r>
        <w:rPr>
          <w:noProof/>
        </w:rPr>
        <w:t xml:space="preserve"> anmälan/anmälningarna mot honom/henne och om den förestående avstängningen eller det förestående avslutandet. Detta skulle göra det möjligt för användaren att bestrida beslutet och underlätta möjligheten till rättslig prövning mot åtgärden, om detta är lä</w:t>
      </w:r>
      <w:r>
        <w:rPr>
          <w:noProof/>
        </w:rPr>
        <w:t xml:space="preserve">mpligt enligt avtalet mellan användaren och plattformen och gällande lagstiftning. I sådana fall måste dessutom eventuell behandling av personuppgifter till fullo följa relevanta dataskyddsregler. </w:t>
      </w:r>
    </w:p>
    <w:p w:rsidR="00C91075" w:rsidRDefault="0000066E">
      <w:pPr>
        <w:pStyle w:val="CuerpoA"/>
        <w:ind w:left="0" w:firstLine="0"/>
        <w:rPr>
          <w:noProof/>
        </w:rPr>
      </w:pPr>
      <w:r>
        <w:rPr>
          <w:noProof/>
        </w:rPr>
        <w:t>Återigen, ingen information bör lämnas och ingen anmälan b</w:t>
      </w:r>
      <w:r>
        <w:rPr>
          <w:noProof/>
        </w:rPr>
        <w:t>ör göras av leverantören av innehållet om detta skulle störa de utredningsbefogenheter i medlemsstaterna som krävs för att förhindra, upptäcka och lagföra straffbara gärningar, om det finns en nödvändig laglig grund.</w:t>
      </w:r>
    </w:p>
    <w:p w:rsidR="00C91075" w:rsidRPr="0000066E" w:rsidRDefault="0000066E">
      <w:pPr>
        <w:pStyle w:val="Encabezam2A"/>
        <w:numPr>
          <w:ilvl w:val="1"/>
          <w:numId w:val="9"/>
        </w:numPr>
        <w:rPr>
          <w:rStyle w:val="Ninguno"/>
          <w:bCs w:val="0"/>
          <w:noProof/>
        </w:rPr>
      </w:pPr>
      <w:bookmarkStart w:id="3" w:name="_Ref4911831031"/>
      <w:bookmarkStart w:id="4" w:name="_GoBack"/>
      <w:r w:rsidRPr="0000066E">
        <w:rPr>
          <w:rStyle w:val="Ninguno"/>
          <w:noProof/>
        </w:rPr>
        <w:t>Automatiska filter mot återuppladdning</w:t>
      </w:r>
      <w:bookmarkEnd w:id="3"/>
    </w:p>
    <w:bookmarkEnd w:id="4"/>
    <w:p w:rsidR="00C91075" w:rsidRDefault="0000066E">
      <w:pPr>
        <w:pStyle w:val="CuerpoA"/>
        <w:ind w:left="0" w:firstLine="0"/>
        <w:rPr>
          <w:noProof/>
        </w:rPr>
      </w:pPr>
      <w:r>
        <w:rPr>
          <w:noProof/>
        </w:rPr>
        <w:t>Vid sidan av den teknik som används för att identifiera potentiellt olagligt innehåll som nämns i avsnitt 3.3 kan tekniska verktyg användas med en högre grad av tillförlitlighet för att ta fingeravtryck på och filtrera bort (ta bort och hålla borta) innehå</w:t>
      </w:r>
      <w:r>
        <w:rPr>
          <w:noProof/>
        </w:rPr>
        <w:t>ll som redan har identifierats och bedömts vara olagligt. Kommissionen uppmuntrar därför starkt vidare användning av sådana verktyg med skyddsmekanismer som omvändbarhet och undantag enligt vad som anges nedan.</w:t>
      </w:r>
    </w:p>
    <w:p w:rsidR="00C91075" w:rsidRDefault="0000066E">
      <w:pPr>
        <w:pStyle w:val="CuerpoA"/>
        <w:ind w:left="0" w:firstLine="0"/>
        <w:rPr>
          <w:noProof/>
        </w:rPr>
      </w:pPr>
      <w:r>
        <w:rPr>
          <w:noProof/>
        </w:rPr>
        <w:t>Detta är vad som för närvarande sker med ”Dat</w:t>
      </w:r>
      <w:r>
        <w:rPr>
          <w:noProof/>
        </w:rPr>
        <w:t>abase of Hashes” som används med avseende på terroristiskt innehåll och som utvecklats inom ramen för EU:s internetforum, eller på upphovsrättsområdet, eller för barnpornografi, men också för produkter som har flaggats av brottsbekämpande myndigheter som i</w:t>
      </w:r>
      <w:r>
        <w:rPr>
          <w:noProof/>
        </w:rPr>
        <w:t xml:space="preserve">cke överensstämmande med relevant lagstiftning. Denna praxis har visat goda resultat. Dess effektivitet är dock beroende av ytterligare förbättringar för att begränsa felaktig identifiering av innehåll och för att underlätta kontextmedvetna beslut, liksom </w:t>
      </w:r>
      <w:r>
        <w:rPr>
          <w:noProof/>
        </w:rPr>
        <w:t>de nödvändiga skyddsmekanismerna för omvändbarhet.</w:t>
      </w:r>
    </w:p>
    <w:p w:rsidR="00C91075" w:rsidRDefault="0000066E">
      <w:pPr>
        <w:pStyle w:val="CuerpoA"/>
        <w:ind w:left="0" w:firstLine="0"/>
        <w:rPr>
          <w:noProof/>
        </w:rPr>
      </w:pPr>
      <w:r>
        <w:rPr>
          <w:noProof/>
        </w:rPr>
        <w:t xml:space="preserve">Kommissions förslag om upphovsrätt på den digitala inre marknaden, som bygger på praxis från upphovsrättsområdet inom automatisk igenkänning av innehåll, erkänner exempelvis sådan teknik – så länge den är </w:t>
      </w:r>
      <w:r>
        <w:rPr>
          <w:noProof/>
        </w:rPr>
        <w:t>lämplig och proportionerlig – som möjligt medel,</w:t>
      </w:r>
      <w:r>
        <w:rPr>
          <w:i/>
          <w:noProof/>
        </w:rPr>
        <w:t xml:space="preserve"> </w:t>
      </w:r>
      <w:r>
        <w:rPr>
          <w:noProof/>
        </w:rPr>
        <w:t>bland annat för att förhindra tillgången av icke licensierat innehåll på relevanta onlinetjänster.</w:t>
      </w:r>
    </w:p>
    <w:p w:rsidR="00C91075" w:rsidRDefault="0000066E">
      <w:pPr>
        <w:pStyle w:val="CuerpoA"/>
        <w:ind w:left="0" w:firstLine="0"/>
        <w:rPr>
          <w:noProof/>
        </w:rPr>
      </w:pPr>
      <w:r>
        <w:rPr>
          <w:noProof/>
        </w:rPr>
        <w:t>Automatiska processer för att hålla borta visst innehåll bör tillåta kontextrelaterade undantag och att inne</w:t>
      </w:r>
      <w:r>
        <w:rPr>
          <w:noProof/>
        </w:rPr>
        <w:t xml:space="preserve">håll som tagits bort ändras och görs överensstämmande med rättsliga eller andra krav. Omfattningen och valet av tidpunkt för kontextrelaterade undantag bör ta hänsyn till den specifika typen av innehåll och eventuella säkerhetshot, liksom till möjligheten </w:t>
      </w:r>
      <w:r>
        <w:rPr>
          <w:noProof/>
        </w:rPr>
        <w:t xml:space="preserve">att tillfälligt stänga av sådant innehåll i väntan på en mer djupgående bedömning. </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 xml:space="preserve">Kommissionen uppmuntrar starkt fortsatt </w:t>
      </w:r>
      <w:r>
        <w:rPr>
          <w:rStyle w:val="Ninguno"/>
          <w:rFonts w:ascii="Calibri" w:hAnsi="Calibri"/>
          <w:b/>
          <w:noProof/>
          <w:sz w:val="22"/>
        </w:rPr>
        <w:t xml:space="preserve">användning och utveckling av automatisk teknik för att förhindra att olagligt innehåll online kommer tillbaka. </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 xml:space="preserve">Om automatiska verktyg används för att förhindra att olagligt innehåll kommer tillbaka bör det finnas en skyddsmekanism för omvändbarhet för felaktiga beslut, och användningen och resultatet av denna teknik bör framgå av plattformarnas tjänstevillkor. </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Åtk</w:t>
      </w:r>
      <w:r>
        <w:rPr>
          <w:rStyle w:val="Ninguno"/>
          <w:rFonts w:ascii="Calibri" w:hAnsi="Calibri"/>
          <w:noProof/>
          <w:sz w:val="22"/>
        </w:rPr>
        <w:t>omst till databaser som används för att automatiskt matcha och identifiera återkommande olagligt innehåll bör finnas för alla onlineplattformar, och all bearbetning ska följa tillämplig lagstiftning om skydd av personuppgifter och konkurrens. I fall med så</w:t>
      </w:r>
      <w:r>
        <w:rPr>
          <w:rStyle w:val="Ninguno"/>
          <w:rFonts w:ascii="Calibri" w:hAnsi="Calibri"/>
          <w:noProof/>
          <w:sz w:val="22"/>
        </w:rPr>
        <w:t xml:space="preserve">dana databaser bör företagens sekretesspolicyer innehålla transparent information om behandling av personuppgifter. </w:t>
      </w:r>
    </w:p>
    <w:p w:rsidR="00C91075" w:rsidRDefault="0000066E">
      <w:pPr>
        <w:pStyle w:val="CuerpoA"/>
        <w:ind w:left="0" w:firstLine="0"/>
        <w:rPr>
          <w:noProof/>
        </w:rPr>
      </w:pPr>
      <w:r>
        <w:rPr>
          <w:noProof/>
        </w:rPr>
        <w:t>Onlineplattformarna bör dessutom säkerställa kontinuerlig uppdatering av sina verktyg för att garantera att allt olagligt innehåll fångas u</w:t>
      </w:r>
      <w:r>
        <w:rPr>
          <w:noProof/>
        </w:rPr>
        <w:t>pp, allt eftersom taktik och beteende ändras hos brottslingar och andra personer som deltar i onlineverksamhet som utgör en överträdelse. Om verktyg används för terroristiskt innehåll bör dessa anpassas för att fånga upp nytt och historiskt innehåll, för a</w:t>
      </w:r>
      <w:r>
        <w:rPr>
          <w:noProof/>
        </w:rPr>
        <w:t>tt säkerställa att det granskas och tas bort snabbt. Sådant innehåll bör läggas till plattformsöverskridande verktyg, till exempel den nämnda ”Database of Hashes” (som för närvarande används med avseende på terroristiskt innehåll). En sådan teknisk utveckl</w:t>
      </w:r>
      <w:r>
        <w:rPr>
          <w:noProof/>
        </w:rPr>
        <w:t xml:space="preserve">ing bör äga rum i samarbete mellan onlineplattformarna, behöriga myndigheter och andra intressenter, inklusive civila samhället. </w:t>
      </w:r>
    </w:p>
    <w:p w:rsidR="00C91075" w:rsidRDefault="0000066E">
      <w:pPr>
        <w:pStyle w:val="EncabezamA"/>
        <w:numPr>
          <w:ilvl w:val="0"/>
          <w:numId w:val="10"/>
        </w:numPr>
        <w:rPr>
          <w:rStyle w:val="Ninguno"/>
          <w:noProof/>
        </w:rPr>
      </w:pPr>
      <w:r>
        <w:rPr>
          <w:rStyle w:val="Ninguno"/>
          <w:noProof/>
        </w:rPr>
        <w:t>Slutsatser</w:t>
      </w:r>
    </w:p>
    <w:p w:rsidR="00C91075" w:rsidRDefault="0000066E">
      <w:pPr>
        <w:pStyle w:val="CuerpoA"/>
        <w:ind w:left="0" w:firstLine="0"/>
        <w:rPr>
          <w:noProof/>
        </w:rPr>
      </w:pPr>
      <w:r>
        <w:rPr>
          <w:noProof/>
        </w:rPr>
        <w:t xml:space="preserve">Ökningen av olagligt innehåll som lagras på onlineplattformar gör verklig skada i samhället, även i form av risker </w:t>
      </w:r>
      <w:r>
        <w:rPr>
          <w:noProof/>
        </w:rPr>
        <w:t>för våra medborgares integritet, värdighet och hälsa. Om vi inte tar itu med detta kommer dessa skador att underminera tilltron till digitala tjänster i vidare mening och till slut till den digitala inre marknaden – ett viktigt verktyg för innovation, till</w:t>
      </w:r>
      <w:r>
        <w:rPr>
          <w:noProof/>
        </w:rPr>
        <w:t>växt och sysselsättning. Även om sådant innehåll skapas och laddas upp av tredje part gör onlineplattformarnas ständigt ökande påverkan i samhället – som beror på deras roll som portvakt för innehåll och information – att deras ansvar ökar gentemot använda</w:t>
      </w:r>
      <w:r>
        <w:rPr>
          <w:noProof/>
        </w:rPr>
        <w:t>rna och samhället i stort. De bör därför vara proaktiva när det gäller att rensa ut olagligt innehåll, förhindra att det kommer tillbaka, införa effektiva processer för anmälan och åtgärd och välfungerande gränssnitt mot tredje part (t.ex. betrodda anmälar</w:t>
      </w:r>
      <w:r>
        <w:rPr>
          <w:noProof/>
        </w:rPr>
        <w:t>e), och ge särskild prioritet till anmälningar från nationella brottsbekämpande myndigheter. Om onlineplattformarna avgör vilket innehåll som bör betraktas som olagligt, i enlighet med lagstiftningen, bör lämpliga kontroller och avvägningar införas.</w:t>
      </w:r>
    </w:p>
    <w:p w:rsidR="00C91075" w:rsidRDefault="0000066E">
      <w:pPr>
        <w:pStyle w:val="CuerpoA"/>
        <w:ind w:left="0" w:firstLine="0"/>
        <w:rPr>
          <w:noProof/>
        </w:rPr>
      </w:pPr>
      <w:r>
        <w:rPr>
          <w:noProof/>
        </w:rPr>
        <w:t>I dett</w:t>
      </w:r>
      <w:r>
        <w:rPr>
          <w:noProof/>
        </w:rPr>
        <w:t>a meddelande ges vägledning. Det ändrar inte i sig det tillämpliga juridiska ramverket och det innehåller inga rättsligt bindande regler. Det huvudsakliga syftet med meddelandet är att vägleda onlineplattformarna i fråga om de olika sätt som de kan använda</w:t>
      </w:r>
      <w:r>
        <w:rPr>
          <w:noProof/>
        </w:rPr>
        <w:t xml:space="preserve"> för att leva upp till sitt ansvar när det gäller hantering av det olagliga innehåll som de står värd för. Det har också som syfte att främja god praxis vad gäller förfaranden för olika typer av olagligt innehåll, och att främja ett närmare samarbete mella</w:t>
      </w:r>
      <w:r>
        <w:rPr>
          <w:noProof/>
        </w:rPr>
        <w:t>n plattformar och behöriga myndigheter. I meddelandet anges huvuddragen för en europeisk strategi för onlineplattformars hantering av olagligt innehåll, vilken kombinerar behovet av snabba och effektiva borttagningar av olagligt innehåll och förhindrande o</w:t>
      </w:r>
      <w:r>
        <w:rPr>
          <w:noProof/>
        </w:rPr>
        <w:t>ch lagföring av brott med skyddsmekanismer för rätten till yttrandefrihet online. Denna vägledning kommer att komplettera och förstärka de pågående sektorsspecifika dialogerna.</w:t>
      </w:r>
    </w:p>
    <w:p w:rsidR="00C91075" w:rsidRDefault="0000066E">
      <w:pPr>
        <w:pStyle w:val="CuerpoA"/>
        <w:ind w:left="0" w:firstLine="0"/>
        <w:rPr>
          <w:noProof/>
        </w:rPr>
      </w:pPr>
      <w:r>
        <w:rPr>
          <w:noProof/>
        </w:rPr>
        <w:t>Särskild uppmärksamhet bör ägnas åt att säkerställa att mindre onlineplattforma</w:t>
      </w:r>
      <w:r>
        <w:rPr>
          <w:noProof/>
        </w:rPr>
        <w:t>r kan införa dessa förfaranden, och många delar i detta meddelande har kommit till med tanke på deras särskilda behov. Inte desto mindre kommer kommissionen att undersöka ytterligare medel för att stödja också mindre plattformars användning av vägledningen</w:t>
      </w:r>
      <w:r>
        <w:rPr>
          <w:noProof/>
        </w:rPr>
        <w:t>.</w:t>
      </w:r>
    </w:p>
    <w:p w:rsidR="00C91075" w:rsidRDefault="0000066E">
      <w:pPr>
        <w:pStyle w:val="CuerpoA"/>
        <w:ind w:left="0" w:firstLine="0"/>
        <w:rPr>
          <w:noProof/>
        </w:rPr>
      </w:pPr>
      <w:r>
        <w:rPr>
          <w:noProof/>
        </w:rPr>
        <w:t>Den digitala inre marknaden kräver större sammanhållning när det gäller offentligt policygensvar över geografiska gränser. Med detta meddelande tillhandahåller kommissionen således – som ett första steg – gemensamma verktyg för att hantera den kollektiva</w:t>
      </w:r>
      <w:r>
        <w:rPr>
          <w:noProof/>
        </w:rPr>
        <w:t xml:space="preserve"> utmaning som avlägsnande av olagligt innehåll innebär.</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Style w:val="Ninguno"/>
          <w:rFonts w:ascii="Calibri" w:eastAsia="Calibri" w:hAnsi="Calibri" w:cs="Calibri"/>
          <w:noProof/>
          <w:sz w:val="22"/>
          <w:szCs w:val="22"/>
        </w:rPr>
      </w:pPr>
      <w:r>
        <w:rPr>
          <w:rStyle w:val="Ninguno"/>
          <w:rFonts w:ascii="Calibri" w:hAnsi="Calibri"/>
          <w:noProof/>
          <w:sz w:val="22"/>
        </w:rPr>
        <w:t>I avsiktsförklaringen av den 13 september 2017 från Europeiska kommissionens ordförande, som riktades till Europaparlamentets talman och ordföranden för Europeiska unionens råd, för att säkerställa et</w:t>
      </w:r>
      <w:r>
        <w:rPr>
          <w:rStyle w:val="Ninguno"/>
          <w:rFonts w:ascii="Calibri" w:hAnsi="Calibri"/>
          <w:noProof/>
          <w:sz w:val="22"/>
        </w:rPr>
        <w:t>t område med rättvisa och grundläggande rättigheter som bygger på ömsesidigt förtroende, tillkännagavs ytterligare åtgärder för att garantera skyndsam och proaktiv upptäckt och borttagning av olagligt innehåll som uppmuntrar till hat, våld och terrorism. D</w:t>
      </w:r>
      <w:r>
        <w:rPr>
          <w:rStyle w:val="Ninguno"/>
          <w:rFonts w:ascii="Calibri" w:hAnsi="Calibri"/>
          <w:noProof/>
          <w:sz w:val="22"/>
        </w:rPr>
        <w:t>etta meddelande är den första delen av dessa åtgärder. Kommissionen förväntar sig att onlineplattformarna vidtar snabba åtgärder under de kommande månaderna, också beträffande relevanta dialoger, i synnerhet på området terrorism och olaglig hatpropaganda.</w:t>
      </w:r>
    </w:p>
    <w:p w:rsidR="00C91075" w:rsidRDefault="0000066E">
      <w:pPr>
        <w:pStyle w:val="Cuerpo"/>
        <w:pBdr>
          <w:top w:val="single" w:sz="4" w:space="0" w:color="000000"/>
          <w:left w:val="single" w:sz="4" w:space="0" w:color="000000"/>
          <w:bottom w:val="single" w:sz="4" w:space="0" w:color="000000"/>
          <w:right w:val="single" w:sz="4" w:space="0" w:color="000000"/>
        </w:pBdr>
        <w:shd w:val="clear" w:color="auto" w:fill="D9D9D9"/>
        <w:spacing w:after="240"/>
        <w:rPr>
          <w:rFonts w:ascii="Calibri" w:hAnsi="Calibri"/>
          <w:noProof/>
          <w:sz w:val="22"/>
        </w:rPr>
      </w:pPr>
      <w:r>
        <w:rPr>
          <w:rStyle w:val="Ninguno"/>
          <w:rFonts w:ascii="Calibri" w:hAnsi="Calibri"/>
          <w:noProof/>
          <w:sz w:val="22"/>
        </w:rPr>
        <w:t>Kommissionen kommer att fortsätta arbetet med utbyten och dialoger med onlineplattformar och andra relevanta intressenter. Den kommer att övervaka framstegen och bedöma om det behövs fler åtgärder för att garantera skyndsam och proaktiv upptäckt och bortta</w:t>
      </w:r>
      <w:r>
        <w:rPr>
          <w:rStyle w:val="Ninguno"/>
          <w:rFonts w:ascii="Calibri" w:hAnsi="Calibri"/>
          <w:noProof/>
          <w:sz w:val="22"/>
        </w:rPr>
        <w:t>gning av olagligt innehåll online, inbegripet möjliga lagstiftande åtgärder för att komplettera det befintliga regelverket. Detta arbete kommer att slutföras i maj 2018.</w:t>
      </w:r>
    </w:p>
    <w:sectPr w:rsidR="00C91075">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1417" w:left="1417" w:header="708" w:footer="708"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334C1D" w15:done="0"/>
  <w15:commentEx w15:paraId="1ACF26F2" w15:done="0"/>
  <w15:commentEx w15:paraId="17DB57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075" w:rsidRDefault="0000066E">
      <w:r>
        <w:separator/>
      </w:r>
    </w:p>
  </w:endnote>
  <w:endnote w:type="continuationSeparator" w:id="0">
    <w:p w:rsidR="00C91075" w:rsidRDefault="0000066E">
      <w:r>
        <w:continuationSeparator/>
      </w:r>
    </w:p>
  </w:endnote>
  <w:endnote w:type="continuationNotice" w:id="1">
    <w:p w:rsidR="00C91075" w:rsidRDefault="00C91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66E" w:rsidRDefault="00000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75" w:rsidRDefault="0000066E">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66E" w:rsidRDefault="000006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75" w:rsidRDefault="00C9107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75" w:rsidRDefault="0000066E">
    <w:pPr>
      <w:pStyle w:val="Footer"/>
      <w:tabs>
        <w:tab w:val="clear" w:pos="9071"/>
        <w:tab w:val="clear" w:pos="9921"/>
        <w:tab w:val="right" w:pos="9046"/>
      </w:tabs>
      <w:jc w:val="right"/>
    </w:pPr>
    <w:r>
      <w:fldChar w:fldCharType="begin"/>
    </w:r>
    <w:r>
      <w:instrText xml:space="preserve"> PAGE </w:instrText>
    </w:r>
    <w:r>
      <w:fldChar w:fldCharType="separate"/>
    </w:r>
    <w:r>
      <w:rPr>
        <w:noProof/>
      </w:rPr>
      <w:t>20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75" w:rsidRDefault="00C91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075" w:rsidRDefault="0000066E">
      <w:r>
        <w:separator/>
      </w:r>
    </w:p>
  </w:footnote>
  <w:footnote w:type="continuationSeparator" w:id="0">
    <w:p w:rsidR="00C91075" w:rsidRDefault="0000066E">
      <w:r>
        <w:continuationSeparator/>
      </w:r>
    </w:p>
  </w:footnote>
  <w:footnote w:type="continuationNotice" w:id="1">
    <w:p w:rsidR="00C91075" w:rsidRDefault="00C91075"/>
  </w:footnote>
  <w:footnote w:id="2">
    <w:p w:rsidR="00C91075" w:rsidRDefault="0000066E">
      <w:pPr>
        <w:pStyle w:val="FootnoteText"/>
        <w:spacing w:after="0" w:line="240" w:lineRule="auto"/>
      </w:pPr>
      <w:r>
        <w:rPr>
          <w:vertAlign w:val="superscript"/>
        </w:rPr>
        <w:footnoteRef/>
      </w:r>
      <w:r>
        <w:t xml:space="preserve"> För närvarande händer följande – varje sekund: ungefär 8 000 tweetar postas på Twitter, 1 000 fotografier läggs upp på Instagram, det görs 60 000 sökningar på Google och 70 000 YouTube-videor visas. Se http://www.internetlivestats.com/</w:t>
      </w:r>
      <w:r>
        <w:tab/>
      </w:r>
    </w:p>
  </w:footnote>
  <w:footnote w:id="3">
    <w:p w:rsidR="00C91075" w:rsidRDefault="0000066E">
      <w:pPr>
        <w:pStyle w:val="FootnoteText"/>
        <w:spacing w:after="0" w:line="240" w:lineRule="auto"/>
      </w:pPr>
      <w:r>
        <w:rPr>
          <w:rStyle w:val="FootnoteReference"/>
        </w:rPr>
        <w:footnoteRef/>
      </w:r>
      <w:r>
        <w:t xml:space="preserve"> Se avsnitt 2.</w:t>
      </w:r>
    </w:p>
  </w:footnote>
  <w:footnote w:id="4">
    <w:p w:rsidR="00C91075" w:rsidRDefault="0000066E">
      <w:pPr>
        <w:pStyle w:val="FootnoteText"/>
        <w:spacing w:after="0" w:line="240" w:lineRule="auto"/>
      </w:pPr>
      <w:r>
        <w:rPr>
          <w:vertAlign w:val="superscript"/>
        </w:rPr>
        <w:footnoteRef/>
      </w:r>
      <w:r>
        <w:t xml:space="preserve"> </w:t>
      </w:r>
      <w:r>
        <w:t>Europeiska rådets slutsatser, ST 8 2017 INIT, den 22 och 23 juni 2017, G7:s Taormina-uttalande, den 26 maj 2017 och G20-ledarnas deklaration, den 8 juli 2017.</w:t>
      </w:r>
    </w:p>
  </w:footnote>
  <w:footnote w:id="5">
    <w:p w:rsidR="00C91075" w:rsidRDefault="0000066E">
      <w:pPr>
        <w:pStyle w:val="FootnoteText"/>
        <w:spacing w:after="0" w:line="240" w:lineRule="auto"/>
      </w:pPr>
      <w:r>
        <w:rPr>
          <w:vertAlign w:val="superscript"/>
        </w:rPr>
        <w:footnoteRef/>
      </w:r>
      <w:r>
        <w:t xml:space="preserve"> Europaparlamentets resolution av den 15 juni 2017 om onlineplattformar (2016/2274(INI)).</w:t>
      </w:r>
    </w:p>
  </w:footnote>
  <w:footnote w:id="6">
    <w:p w:rsidR="00C91075" w:rsidRDefault="0000066E">
      <w:pPr>
        <w:pStyle w:val="FootnoteText"/>
        <w:spacing w:after="0" w:line="240" w:lineRule="auto"/>
      </w:pPr>
      <w:r>
        <w:rPr>
          <w:rStyle w:val="FootnoteReference"/>
        </w:rPr>
        <w:footnoteRef/>
      </w:r>
      <w:r>
        <w:t xml:space="preserve"> Info</w:t>
      </w:r>
      <w:r>
        <w:t xml:space="preserve">rmationen som presenteras här kommer från ett stort antal både offentliga och riktade samråd och seminarier med intressenter, </w:t>
      </w:r>
    </w:p>
  </w:footnote>
  <w:footnote w:id="7">
    <w:p w:rsidR="00C91075" w:rsidRDefault="0000066E">
      <w:pPr>
        <w:pStyle w:val="FootnoteText"/>
        <w:spacing w:after="0" w:line="240" w:lineRule="auto"/>
      </w:pPr>
      <w:r>
        <w:rPr>
          <w:vertAlign w:val="superscript"/>
        </w:rPr>
        <w:footnoteRef/>
      </w:r>
      <w:r>
        <w:t xml:space="preserve"> Se den nya rapporten från kommissionen till Europaparlamentet och rådet om bedömning av genomförandet av de åtgärder som avses </w:t>
      </w:r>
      <w:r>
        <w:t xml:space="preserve">i artikel 25 i direktiv 2011/93/EU av den 13 december 2011 om bekämpande av sexuella övergrepp mot barn, sexuell exploatering av barn och barnpornografi. </w:t>
      </w:r>
    </w:p>
  </w:footnote>
  <w:footnote w:id="8">
    <w:p w:rsidR="00C91075" w:rsidRDefault="0000066E">
      <w:pPr>
        <w:pStyle w:val="FootnoteText"/>
        <w:spacing w:after="0" w:line="240" w:lineRule="auto"/>
      </w:pPr>
      <w:r>
        <w:rPr>
          <w:vertAlign w:val="superscript"/>
        </w:rPr>
        <w:footnoteRef/>
      </w:r>
      <w:r>
        <w:t xml:space="preserve"> Terrorismdirektivet (EU) 2017/541 förpliktigar medlemsstaterna att vidta nödvändiga åtgärder för at</w:t>
      </w:r>
      <w:r>
        <w:t>t säkerställa snabb borttagning av onlineinnehåll som uppmanar till att begå terrorhandlingar (artikel 21). På detta område tar plattformarna, mot bakgrund av EU:s internetforum, frivilligt bort terroristiskt innehåll baserat på hänvisningar som skickas av</w:t>
      </w:r>
      <w:r>
        <w:t xml:space="preserve"> Europols enhet för anmälan av innehåll på internet (IRU).</w:t>
      </w:r>
    </w:p>
  </w:footnote>
  <w:footnote w:id="9">
    <w:p w:rsidR="00C91075" w:rsidRDefault="0000066E">
      <w:pPr>
        <w:pStyle w:val="FootnoteText"/>
        <w:spacing w:after="0" w:line="240" w:lineRule="auto"/>
        <w:rPr>
          <w:lang w:val="pt-PT"/>
        </w:rPr>
      </w:pPr>
      <w:r>
        <w:rPr>
          <w:rStyle w:val="FootnoteReference"/>
        </w:rPr>
        <w:footnoteRef/>
      </w:r>
      <w:r>
        <w:rPr>
          <w:lang w:val="pt-PT"/>
        </w:rPr>
        <w:t xml:space="preserve"> COM(2016) 593.</w:t>
      </w:r>
    </w:p>
  </w:footnote>
  <w:footnote w:id="10">
    <w:p w:rsidR="00C91075" w:rsidRDefault="0000066E">
      <w:pPr>
        <w:pStyle w:val="FootnoteText"/>
        <w:spacing w:after="0" w:line="240" w:lineRule="auto"/>
        <w:rPr>
          <w:lang w:val="pt-PT"/>
        </w:rPr>
      </w:pPr>
      <w:r>
        <w:rPr>
          <w:rStyle w:val="FootnoteReference"/>
        </w:rPr>
        <w:footnoteRef/>
      </w:r>
      <w:r>
        <w:rPr>
          <w:lang w:val="pt-PT"/>
        </w:rPr>
        <w:t xml:space="preserve"> COM(2016) 287.</w:t>
      </w:r>
    </w:p>
  </w:footnote>
  <w:footnote w:id="11">
    <w:p w:rsidR="00C91075" w:rsidRDefault="0000066E">
      <w:pPr>
        <w:pStyle w:val="FootnoteText"/>
        <w:spacing w:after="0" w:line="240" w:lineRule="auto"/>
        <w:rPr>
          <w:lang w:val="pt-PT"/>
        </w:rPr>
      </w:pPr>
      <w:r>
        <w:rPr>
          <w:rStyle w:val="FootnoteReference"/>
        </w:rPr>
        <w:footnoteRef/>
      </w:r>
      <w:r>
        <w:rPr>
          <w:lang w:val="pt-PT"/>
        </w:rPr>
        <w:t xml:space="preserve"> http://ec.europa.eu/justice/fundamental-rights/files/hate_speech_code_of_conduct_en.pdf</w:t>
      </w:r>
    </w:p>
  </w:footnote>
  <w:footnote w:id="12">
    <w:p w:rsidR="00C91075" w:rsidRDefault="0000066E">
      <w:pPr>
        <w:pStyle w:val="FootnoteText"/>
        <w:spacing w:after="0" w:line="240" w:lineRule="auto"/>
        <w:rPr>
          <w:lang w:val="pt-PT"/>
        </w:rPr>
      </w:pPr>
      <w:r>
        <w:rPr>
          <w:rStyle w:val="FootnoteReference"/>
        </w:rPr>
        <w:footnoteRef/>
      </w:r>
      <w:r>
        <w:rPr>
          <w:lang w:val="pt-PT"/>
        </w:rPr>
        <w:t xml:space="preserve"> http://europa.eu/rapid/press-release_IP-15-6243_en.htm</w:t>
      </w:r>
    </w:p>
  </w:footnote>
  <w:footnote w:id="13">
    <w:p w:rsidR="00C91075" w:rsidRDefault="0000066E">
      <w:pPr>
        <w:pStyle w:val="FootnoteText"/>
        <w:spacing w:after="0"/>
        <w:rPr>
          <w:lang w:val="pt-PT"/>
        </w:rPr>
      </w:pPr>
      <w:r>
        <w:rPr>
          <w:rStyle w:val="FootnoteReference"/>
        </w:rPr>
        <w:footnoteRef/>
      </w:r>
      <w:r>
        <w:rPr>
          <w:lang w:val="pt-PT"/>
        </w:rPr>
        <w:t xml:space="preserve"> http://ec.europa.eu/transparency/regdoc/rep/3/2016/EN/3-2016-3724-EN-F1-1.PDF</w:t>
      </w:r>
    </w:p>
  </w:footnote>
  <w:footnote w:id="14">
    <w:p w:rsidR="00C91075" w:rsidRDefault="0000066E">
      <w:pPr>
        <w:pStyle w:val="FootnoteText"/>
        <w:spacing w:after="0" w:line="240" w:lineRule="auto"/>
        <w:rPr>
          <w:lang w:val="nb-NO"/>
        </w:rPr>
      </w:pPr>
      <w:r>
        <w:rPr>
          <w:rStyle w:val="FootnoteReference"/>
        </w:rPr>
        <w:footnoteRef/>
      </w:r>
      <w:r>
        <w:rPr>
          <w:lang w:val="nb-NO"/>
        </w:rPr>
        <w:t xml:space="preserve"> EUT C 250, 1 augusti 2017.</w:t>
      </w:r>
    </w:p>
  </w:footnote>
  <w:footnote w:id="15">
    <w:p w:rsidR="00C91075" w:rsidRDefault="0000066E">
      <w:pPr>
        <w:spacing w:after="0" w:line="240" w:lineRule="auto"/>
        <w:rPr>
          <w:rFonts w:ascii="Calibri" w:eastAsia="Calibri" w:hAnsi="Calibri" w:cs="Calibri"/>
          <w:color w:val="000000"/>
          <w:sz w:val="18"/>
          <w:szCs w:val="18"/>
          <w:u w:color="000000"/>
          <w:lang w:val="nb-NO" w:eastAsia="en-GB"/>
        </w:rPr>
      </w:pPr>
      <w:r>
        <w:rPr>
          <w:rStyle w:val="FootnoteReference"/>
          <w:rFonts w:ascii="Calibri" w:hAnsi="Calibri"/>
          <w:color w:val="000000"/>
          <w:sz w:val="18"/>
          <w:u w:color="000000"/>
        </w:rPr>
        <w:footnoteRef/>
      </w:r>
      <w:r>
        <w:rPr>
          <w:lang w:val="nb-NO"/>
        </w:rPr>
        <w:t xml:space="preserve"> </w:t>
      </w:r>
      <w:hyperlink r:id="rId1">
        <w:r>
          <w:rPr>
            <w:rStyle w:val="Hyperlink"/>
            <w:rFonts w:ascii="Calibri" w:hAnsi="Calibri"/>
            <w:sz w:val="18"/>
            <w:u w:color="000000"/>
            <w:lang w:val="nb-NO"/>
          </w:rPr>
          <w:t>http://ec.europa.eu/environment/cites/pdf/WAP_EN_WEB.pdf</w:t>
        </w:r>
      </w:hyperlink>
      <w:r>
        <w:rPr>
          <w:rFonts w:ascii="Calibri" w:hAnsi="Calibri"/>
          <w:color w:val="000000"/>
          <w:sz w:val="18"/>
          <w:u w:color="000000"/>
          <w:lang w:val="nb-NO"/>
        </w:rPr>
        <w:t xml:space="preserve"> </w:t>
      </w:r>
    </w:p>
  </w:footnote>
  <w:footnote w:id="16">
    <w:p w:rsidR="00C91075" w:rsidRDefault="0000066E">
      <w:pPr>
        <w:pStyle w:val="FootnoteText"/>
        <w:spacing w:after="0" w:line="240" w:lineRule="auto"/>
        <w:rPr>
          <w:lang w:val="nb-NO"/>
        </w:rPr>
      </w:pPr>
      <w:r>
        <w:rPr>
          <w:rStyle w:val="FootnoteReference"/>
        </w:rPr>
        <w:footnoteRef/>
      </w:r>
      <w:r>
        <w:rPr>
          <w:lang w:val="nb-NO"/>
        </w:rPr>
        <w:t xml:space="preserve"> SWD(2016) </w:t>
      </w:r>
      <w:r>
        <w:rPr>
          <w:lang w:val="nb-NO"/>
        </w:rPr>
        <w:t>163 av den 25 maj 2016.</w:t>
      </w:r>
    </w:p>
  </w:footnote>
  <w:footnote w:id="17">
    <w:p w:rsidR="00C91075" w:rsidRDefault="0000066E">
      <w:pPr>
        <w:pStyle w:val="FootnoteText"/>
        <w:spacing w:after="0" w:line="240" w:lineRule="auto"/>
        <w:rPr>
          <w:lang w:val="nb-NO"/>
        </w:rPr>
      </w:pPr>
      <w:r>
        <w:rPr>
          <w:rStyle w:val="FootnoteReference"/>
        </w:rPr>
        <w:footnoteRef/>
      </w:r>
      <w:r>
        <w:rPr>
          <w:lang w:val="nb-NO"/>
        </w:rPr>
        <w:t>http://ec.europa.eu/internal_market/scoreboard/performance_by_governance_tool/consumer_protection_cooperation_network/index_en.htm</w:t>
      </w:r>
    </w:p>
  </w:footnote>
  <w:footnote w:id="18">
    <w:p w:rsidR="00C91075" w:rsidRDefault="0000066E">
      <w:pPr>
        <w:pStyle w:val="FootnoteText"/>
        <w:spacing w:after="0" w:line="240" w:lineRule="auto"/>
      </w:pPr>
      <w:r>
        <w:rPr>
          <w:vertAlign w:val="superscript"/>
        </w:rPr>
        <w:footnoteRef/>
      </w:r>
      <w:r>
        <w:t xml:space="preserve"> Meddelande COM(2012) 196 final (bättre internet för barn): </w:t>
      </w:r>
      <w:hyperlink r:id="rId2">
        <w:r>
          <w:rPr>
            <w:rStyle w:val="Hyperlink0"/>
          </w:rPr>
          <w:t>https://ec.europa.eu/digital-single-market/en/alliance-better-protect-minors-online</w:t>
        </w:r>
      </w:hyperlink>
      <w:r>
        <w:t xml:space="preserve"> </w:t>
      </w:r>
    </w:p>
  </w:footnote>
  <w:footnote w:id="19">
    <w:p w:rsidR="00C91075" w:rsidRDefault="0000066E">
      <w:pPr>
        <w:pStyle w:val="FootnoteText"/>
        <w:spacing w:after="0" w:line="240" w:lineRule="auto"/>
        <w:rPr>
          <w:lang w:val="pt-PT"/>
        </w:rPr>
      </w:pPr>
      <w:r>
        <w:rPr>
          <w:vertAlign w:val="superscript"/>
        </w:rPr>
        <w:footnoteRef/>
      </w:r>
      <w:r>
        <w:rPr>
          <w:lang w:val="pt-PT"/>
        </w:rPr>
        <w:t xml:space="preserve"> COM(2016) 288 och COM(2017) 228.</w:t>
      </w:r>
    </w:p>
  </w:footnote>
  <w:footnote w:id="20">
    <w:p w:rsidR="00C91075" w:rsidRDefault="0000066E">
      <w:pPr>
        <w:pStyle w:val="FootnoteText"/>
        <w:spacing w:after="0" w:line="240" w:lineRule="auto"/>
        <w:rPr>
          <w:vertAlign w:val="superscript"/>
          <w:lang w:val="pt-PT"/>
        </w:rPr>
      </w:pPr>
      <w:r>
        <w:footnoteRef/>
      </w:r>
      <w:r>
        <w:rPr>
          <w:vertAlign w:val="superscript"/>
          <w:lang w:val="pt-PT"/>
        </w:rPr>
        <w:t xml:space="preserve"> </w:t>
      </w:r>
      <w:hyperlink r:id="rId3">
        <w:r>
          <w:rPr>
            <w:lang w:val="pt-PT"/>
          </w:rPr>
          <w:t>http://europa.eu/rapid/press-release_IP-17-1471_sv.htm</w:t>
        </w:r>
      </w:hyperlink>
      <w:r>
        <w:rPr>
          <w:vertAlign w:val="superscript"/>
          <w:lang w:val="pt-PT"/>
        </w:rPr>
        <w:t xml:space="preserve"> </w:t>
      </w:r>
    </w:p>
  </w:footnote>
  <w:footnote w:id="21">
    <w:p w:rsidR="00C91075" w:rsidRDefault="0000066E">
      <w:pPr>
        <w:pStyle w:val="FootnoteText"/>
        <w:spacing w:after="0" w:line="240" w:lineRule="auto"/>
        <w:rPr>
          <w:lang w:val="pt-PT"/>
        </w:rPr>
      </w:pPr>
      <w:r>
        <w:rPr>
          <w:rStyle w:val="FootnoteReference"/>
        </w:rPr>
        <w:footnoteRef/>
      </w:r>
      <w:r>
        <w:rPr>
          <w:lang w:val="pt-PT"/>
        </w:rPr>
        <w:t xml:space="preserve"> http://ec.europa.eu/newsroom/just/item-detail.cfm?item_id=71674</w:t>
      </w:r>
    </w:p>
  </w:footnote>
  <w:footnote w:id="22">
    <w:p w:rsidR="00C91075" w:rsidRDefault="0000066E">
      <w:pPr>
        <w:pStyle w:val="FootnoteText"/>
        <w:spacing w:after="0" w:line="240" w:lineRule="auto"/>
        <w:rPr>
          <w:lang w:val="pt-PT"/>
        </w:rPr>
      </w:pPr>
      <w:r>
        <w:rPr>
          <w:rStyle w:val="FootnoteReference"/>
        </w:rPr>
        <w:footnoteRef/>
      </w:r>
      <w:r>
        <w:rPr>
          <w:lang w:val="pt-PT"/>
        </w:rPr>
        <w:t xml:space="preserve"> http://europa.eu/rapid/press-release_IP-17-544_en.htm</w:t>
      </w:r>
    </w:p>
  </w:footnote>
  <w:footnote w:id="23">
    <w:p w:rsidR="00C91075" w:rsidRDefault="0000066E">
      <w:pPr>
        <w:pStyle w:val="FootnoteText"/>
        <w:spacing w:after="0" w:line="240" w:lineRule="auto"/>
        <w:rPr>
          <w:lang w:val="pt-PT"/>
        </w:rPr>
      </w:pPr>
      <w:r>
        <w:rPr>
          <w:rStyle w:val="FootnoteReference"/>
        </w:rPr>
        <w:footnoteRef/>
      </w:r>
      <w:r>
        <w:rPr>
          <w:lang w:val="pt-PT"/>
        </w:rPr>
        <w:t xml:space="preserve"> http://www.inhope.org/Libraries/Annual_reports/INHOPE_Annual_Report_2015.sflb.ashx?download=true</w:t>
      </w:r>
    </w:p>
  </w:footnote>
  <w:footnote w:id="24">
    <w:p w:rsidR="00C91075" w:rsidRDefault="0000066E">
      <w:pPr>
        <w:pStyle w:val="FootnoteText"/>
        <w:spacing w:after="0" w:line="240" w:lineRule="auto"/>
        <w:rPr>
          <w:lang w:val="nn-NO"/>
        </w:rPr>
      </w:pPr>
      <w:r>
        <w:rPr>
          <w:vertAlign w:val="superscript"/>
        </w:rPr>
        <w:footnoteRef/>
      </w:r>
      <w:r>
        <w:rPr>
          <w:lang w:val="nn-NO"/>
        </w:rPr>
        <w:t xml:space="preserve"> E-handelsdirektivet 2000/31/EG av den 8 juni 2000.</w:t>
      </w:r>
    </w:p>
  </w:footnote>
  <w:footnote w:id="25">
    <w:p w:rsidR="00C91075" w:rsidRDefault="0000066E">
      <w:pPr>
        <w:pStyle w:val="FootnoteText"/>
        <w:spacing w:after="0" w:line="240" w:lineRule="auto"/>
      </w:pPr>
      <w:r>
        <w:rPr>
          <w:vertAlign w:val="superscript"/>
        </w:rPr>
        <w:footnoteRef/>
      </w:r>
      <w:r>
        <w:t xml:space="preserve"> Det bör observeras att enligt e-handelsdirektivet drar endast de leverantörer av informationssamhällets</w:t>
      </w:r>
      <w:r>
        <w:t xml:space="preserve"> tjänster fördel av undantaget från ansvar enligt artiklarna 12–14 som kvalificerar sig som tjänstelevererande mellanhänder (dvs. som tillhandahåller tjänster för vidarebefordran eller cachning eller värdtjänster). Skäl 42 klargör att för att verksamhet sk</w:t>
      </w:r>
      <w:r>
        <w:t>a omfattas av undantaget från ansvar måste den vara ”av rent teknisk, automatisk och passiv natur, vilket innebär att tjänsteleverantören varken har kännedom om eller kontroll över vidarebefordrad eller lagrad information”.</w:t>
      </w:r>
    </w:p>
  </w:footnote>
  <w:footnote w:id="26">
    <w:p w:rsidR="00C91075" w:rsidRDefault="0000066E">
      <w:pPr>
        <w:pStyle w:val="FootnoteText"/>
        <w:spacing w:after="0" w:line="240" w:lineRule="auto"/>
      </w:pPr>
      <w:r>
        <w:rPr>
          <w:vertAlign w:val="superscript"/>
        </w:rPr>
        <w:footnoteRef/>
      </w:r>
      <w:r>
        <w:t xml:space="preserve"> De flesta onlineplattformar er</w:t>
      </w:r>
      <w:r>
        <w:t>bjuder värdtjänster för innehåll som laddas upp av deras användare.</w:t>
      </w:r>
    </w:p>
  </w:footnote>
  <w:footnote w:id="27">
    <w:p w:rsidR="00C91075" w:rsidRDefault="0000066E">
      <w:pPr>
        <w:pStyle w:val="FootnoteText"/>
        <w:spacing w:after="0" w:line="240" w:lineRule="auto"/>
      </w:pPr>
      <w:r>
        <w:rPr>
          <w:vertAlign w:val="superscript"/>
        </w:rPr>
        <w:footnoteRef/>
      </w:r>
      <w:r>
        <w:t xml:space="preserve"> Skäl 40 i e-handelsdirektivet. Observera att detta meddelande fokuserar på leverantörer av värdtjänster, snarare än på tjänsteleverantörer av enbart vidarebefordran (artikel 12) eller cachning (artikel 13). </w:t>
      </w:r>
    </w:p>
  </w:footnote>
  <w:footnote w:id="28">
    <w:p w:rsidR="00C91075" w:rsidRDefault="0000066E">
      <w:pPr>
        <w:pStyle w:val="FootnoteText"/>
        <w:spacing w:after="0" w:line="240" w:lineRule="auto"/>
      </w:pPr>
      <w:r>
        <w:rPr>
          <w:rStyle w:val="FootnoteReference"/>
        </w:rPr>
        <w:footnoteRef/>
      </w:r>
      <w:r>
        <w:t xml:space="preserve"> En värdtjänst är en av informationssamhällets</w:t>
      </w:r>
      <w:r>
        <w:t xml:space="preserve"> tjänster som består av lagring av information som tillhandahålls av mottagaren av tjänsten. Denna kategori kan omfatta en mängd olika aktörer, från marknadsplatser online, videodelningsplattformar, sociala nätverk, bloggar eller recensionswebbplatser till</w:t>
      </w:r>
      <w:r>
        <w:t xml:space="preserve"> användares kommentarsavsnitt på nyhetssidor.</w:t>
      </w:r>
    </w:p>
  </w:footnote>
  <w:footnote w:id="29">
    <w:p w:rsidR="00C91075" w:rsidRDefault="0000066E">
      <w:pPr>
        <w:pStyle w:val="FootnoteText"/>
        <w:spacing w:after="0" w:line="240" w:lineRule="auto"/>
      </w:pPr>
      <w:r>
        <w:rPr>
          <w:vertAlign w:val="superscript"/>
        </w:rPr>
        <w:footnoteRef/>
      </w:r>
      <w:r>
        <w:t xml:space="preserve"> Exempel på områden som omfattas (eller föreslås) enligt EU:s lagstiftning är uppmaning till terrorism, olaglig hatpropaganda, sexuella övergrepp mot barn, immaterialrätt, produktsäkerhet, utbjudande och försä</w:t>
      </w:r>
      <w:r>
        <w:t>ljning av livsmedel och tobaksvaror och förfalskade mediciner, konsumentskyddsregler och produktsäkerhetsåtgärder etc. Kommissionen förtydligade dessutom 2016 onlineplattformarnas skyldigheter när det gäller transparens och god yrkessed enligt direktiv 200</w:t>
      </w:r>
      <w:r>
        <w:t xml:space="preserve">5/29/EG om otillbörliga affärsmetoder när plattformarna agerar som näringsidkare gentemot konsumenter. </w:t>
      </w:r>
    </w:p>
  </w:footnote>
  <w:footnote w:id="30">
    <w:p w:rsidR="00C91075" w:rsidRDefault="0000066E">
      <w:pPr>
        <w:pStyle w:val="FootnoteText"/>
        <w:spacing w:after="0" w:line="240" w:lineRule="auto"/>
      </w:pPr>
      <w:r>
        <w:rPr>
          <w:vertAlign w:val="superscript"/>
        </w:rPr>
        <w:footnoteRef/>
      </w:r>
      <w:r>
        <w:t xml:space="preserve"> I förslaget till revidering av direktivet om audiovisuella medietjänster hanteras i detta sammanhang audiovisuellt innehåll.</w:t>
      </w:r>
    </w:p>
  </w:footnote>
  <w:footnote w:id="31">
    <w:p w:rsidR="00C91075" w:rsidRDefault="0000066E">
      <w:pPr>
        <w:pStyle w:val="FootnoteText"/>
        <w:spacing w:after="0" w:line="240" w:lineRule="auto"/>
      </w:pPr>
      <w:r>
        <w:rPr>
          <w:vertAlign w:val="superscript"/>
        </w:rPr>
        <w:footnoteRef/>
      </w:r>
      <w:r>
        <w:t xml:space="preserve"> Artikel 14.3 i e-handel</w:t>
      </w:r>
      <w:r>
        <w:t>sdirektivet förtydligar att artikel 14 inte ska ”påverka möjligheten för en domstol eller administrativ myndighet att i enlighet med medlemsstaternas rättssystem kräva att tjänsteleverantören upphör med eller förhindrar en överträdelse”. I direktiv 2004/48</w:t>
      </w:r>
      <w:r>
        <w:t>/EG om säkerställande av skyddet för immateriella rättigheter fastställs till exempel i artikel 11 att ”[m]edlemsstaterna skall även se till att rättighetshavare har möjlighet att begära ett föreläggande mot mellanhänder vars tjänster utnyttjas av tredje m</w:t>
      </w:r>
      <w:r>
        <w:t>an för att göra intrång i en immateriell rättighet, utan att det påverkar tillämpningen av artikel 8.3 i direktiv 2001/29/EG”.</w:t>
      </w:r>
    </w:p>
  </w:footnote>
  <w:footnote w:id="32">
    <w:p w:rsidR="00C91075" w:rsidRDefault="0000066E">
      <w:pPr>
        <w:pStyle w:val="FootnoteText"/>
        <w:spacing w:after="0" w:line="240" w:lineRule="auto"/>
      </w:pPr>
      <w:r>
        <w:rPr>
          <w:rStyle w:val="FootnoteReference"/>
        </w:rPr>
        <w:footnoteRef/>
      </w:r>
      <w:r>
        <w:t xml:space="preserve"> I artikel 15.2 i e-handelsdirektivet slås fast att ”[m]edlemsstaterna kan fastställa skyldigheter för leverantörer av informati</w:t>
      </w:r>
      <w:r>
        <w:t>onssamhällets tjänster att omedelbart informera de behöriga myndigheterna om påstådda olagliga verksamheter som utförts eller olaglig information som tillhandahållits av mottagarna av deras tjänster eller att till behöriga myndigheter på deras begäran lämn</w:t>
      </w:r>
      <w:r>
        <w:t>a information som gör det möjligt att identifiera de mottagare av deras tjänster med vilka de ingått lagringsavtal”.</w:t>
      </w:r>
    </w:p>
  </w:footnote>
  <w:footnote w:id="33">
    <w:p w:rsidR="00C91075" w:rsidRDefault="0000066E">
      <w:pPr>
        <w:pStyle w:val="FootnoteText"/>
        <w:spacing w:after="0" w:line="240" w:lineRule="auto"/>
      </w:pPr>
      <w:r>
        <w:rPr>
          <w:rStyle w:val="FootnoteReference"/>
        </w:rPr>
        <w:footnoteRef/>
      </w:r>
      <w:r>
        <w:t xml:space="preserve"> I den mening som avses i artikel 5 i direktiv (EU) 2017/541 om bekämpande av terrorism.</w:t>
      </w:r>
    </w:p>
  </w:footnote>
  <w:footnote w:id="34">
    <w:p w:rsidR="00C91075" w:rsidRDefault="0000066E">
      <w:pPr>
        <w:pStyle w:val="FootnoteText"/>
        <w:spacing w:after="0" w:line="240" w:lineRule="auto"/>
      </w:pPr>
      <w:r>
        <w:rPr>
          <w:rStyle w:val="FootnoteReference"/>
        </w:rPr>
        <w:footnoteRef/>
      </w:r>
      <w:r>
        <w:t xml:space="preserve"> Skäl 42 i e-handelsdirektivet. Se Google France</w:t>
      </w:r>
      <w:r>
        <w:t>, 114 och 120, dom av den 12 juli 2011, mål C</w:t>
      </w:r>
      <w:r>
        <w:noBreakHyphen/>
        <w:t xml:space="preserve">324/09, L'Oréal mot eBay, par. 113. </w:t>
      </w:r>
    </w:p>
  </w:footnote>
  <w:footnote w:id="35">
    <w:p w:rsidR="00C91075" w:rsidRDefault="0000066E">
      <w:pPr>
        <w:pStyle w:val="FootnoteText"/>
        <w:spacing w:after="0" w:line="240" w:lineRule="auto"/>
      </w:pPr>
      <w:r>
        <w:rPr>
          <w:rStyle w:val="FootnoteReference"/>
        </w:rPr>
        <w:footnoteRef/>
      </w:r>
      <w:r>
        <w:t xml:space="preserve"> eBay 115.</w:t>
      </w:r>
    </w:p>
  </w:footnote>
  <w:footnote w:id="36">
    <w:p w:rsidR="00C91075" w:rsidRDefault="0000066E">
      <w:pPr>
        <w:pStyle w:val="FootnoteText"/>
        <w:spacing w:after="0" w:line="240" w:lineRule="auto"/>
      </w:pPr>
      <w:r>
        <w:rPr>
          <w:rStyle w:val="FootnoteReference"/>
        </w:rPr>
        <w:footnoteRef/>
      </w:r>
      <w:r>
        <w:t xml:space="preserve"> eBay 116.</w:t>
      </w:r>
    </w:p>
  </w:footnote>
  <w:footnote w:id="37">
    <w:p w:rsidR="00C91075" w:rsidRDefault="0000066E">
      <w:pPr>
        <w:pStyle w:val="FootnoteText"/>
        <w:spacing w:after="0" w:line="240" w:lineRule="auto"/>
      </w:pPr>
      <w:r>
        <w:rPr>
          <w:rStyle w:val="FootnoteReference"/>
        </w:rPr>
        <w:footnoteRef/>
      </w:r>
      <w:r>
        <w:t xml:space="preserve"> Skäl 41 i e-handelsdirektivet. </w:t>
      </w:r>
    </w:p>
  </w:footnote>
  <w:footnote w:id="38">
    <w:p w:rsidR="00C91075" w:rsidRDefault="0000066E">
      <w:pPr>
        <w:pStyle w:val="FootnoteText"/>
        <w:spacing w:after="0" w:line="240" w:lineRule="auto"/>
      </w:pPr>
      <w:r>
        <w:rPr>
          <w:rStyle w:val="FootnoteReference"/>
        </w:rPr>
        <w:footnoteRef/>
      </w:r>
      <w:r>
        <w:t xml:space="preserve"> Skäl 40 i e-handelsdirektivet. </w:t>
      </w:r>
    </w:p>
  </w:footnote>
  <w:footnote w:id="39">
    <w:p w:rsidR="00C91075" w:rsidRDefault="0000066E">
      <w:pPr>
        <w:pStyle w:val="FootnoteText"/>
        <w:spacing w:after="0" w:line="240" w:lineRule="auto"/>
      </w:pPr>
      <w:r>
        <w:rPr>
          <w:rStyle w:val="FootnoteReference"/>
        </w:rPr>
        <w:footnoteRef/>
      </w:r>
      <w:r>
        <w:t xml:space="preserve"> Artikel 15.1 i e-handelsdirektivet.</w:t>
      </w:r>
    </w:p>
  </w:footnote>
  <w:footnote w:id="40">
    <w:p w:rsidR="00C91075" w:rsidRDefault="0000066E">
      <w:pPr>
        <w:pStyle w:val="FootnoteText"/>
        <w:spacing w:after="0" w:line="240" w:lineRule="auto"/>
      </w:pPr>
      <w:r>
        <w:rPr>
          <w:rStyle w:val="FootnoteReference"/>
        </w:rPr>
        <w:footnoteRef/>
      </w:r>
      <w:r>
        <w:t xml:space="preserve"> Skäl 40 i e-handelsdirektivet. </w:t>
      </w:r>
    </w:p>
  </w:footnote>
  <w:footnote w:id="41">
    <w:p w:rsidR="00C91075" w:rsidRDefault="0000066E">
      <w:pPr>
        <w:pStyle w:val="FootnoteText"/>
        <w:spacing w:after="0" w:line="240" w:lineRule="auto"/>
      </w:pPr>
      <w:r>
        <w:rPr>
          <w:rStyle w:val="FootnoteReference"/>
        </w:rPr>
        <w:footnoteRef/>
      </w:r>
      <w:r>
        <w:t xml:space="preserve"> eBay 12</w:t>
      </w:r>
      <w:r>
        <w:t>0–121.</w:t>
      </w:r>
    </w:p>
  </w:footnote>
  <w:footnote w:id="42">
    <w:p w:rsidR="00C91075" w:rsidRDefault="0000066E">
      <w:pPr>
        <w:pStyle w:val="FootnoteText"/>
        <w:spacing w:after="0" w:line="240" w:lineRule="auto"/>
      </w:pPr>
      <w:r>
        <w:rPr>
          <w:rStyle w:val="FootnoteReference"/>
        </w:rPr>
        <w:footnoteRef/>
      </w:r>
      <w:r>
        <w:t xml:space="preserve"> Skäl 40 i e-handelsdirektivet. </w:t>
      </w:r>
    </w:p>
  </w:footnote>
  <w:footnote w:id="43">
    <w:p w:rsidR="00C91075" w:rsidRDefault="0000066E">
      <w:pPr>
        <w:pStyle w:val="FootnoteText"/>
        <w:spacing w:after="0" w:line="240" w:lineRule="auto"/>
      </w:pPr>
      <w:r>
        <w:rPr>
          <w:rStyle w:val="FootnoteReference"/>
        </w:rPr>
        <w:footnoteRef/>
      </w:r>
      <w:r>
        <w:t xml:space="preserve"> Skäl 40 och artikel 15.1 i e-handelsdirektivet.</w:t>
      </w:r>
    </w:p>
  </w:footnote>
  <w:footnote w:id="44">
    <w:p w:rsidR="00C91075" w:rsidRDefault="0000066E">
      <w:pPr>
        <w:pStyle w:val="FootnoteText"/>
        <w:spacing w:after="0"/>
      </w:pPr>
      <w:r>
        <w:rPr>
          <w:rStyle w:val="FootnoteReference"/>
        </w:rPr>
        <w:footnoteRef/>
      </w:r>
      <w:r>
        <w:t xml:space="preserve"> http://www.consilium.europa.eu/en/press/press-releases/2017/06/22-euco-security-defence/</w:t>
      </w:r>
    </w:p>
  </w:footnote>
  <w:footnote w:id="45">
    <w:p w:rsidR="00C91075" w:rsidRDefault="0000066E">
      <w:pPr>
        <w:pStyle w:val="FootnoteText"/>
        <w:spacing w:after="0" w:line="240" w:lineRule="auto"/>
      </w:pPr>
      <w:r>
        <w:rPr>
          <w:vertAlign w:val="superscript"/>
        </w:rPr>
        <w:footnoteRef/>
      </w:r>
      <w:r>
        <w:t xml:space="preserve"> Nuvarande FoI-satsningar som används i branschen är inriktade mot utveck</w:t>
      </w:r>
      <w:r>
        <w:t>ling av analytiska verktyg för en bättre förståelse av naturligt språk, informationskaskader i sociala nätverk, identifiering av informationskällor, spridningsmönster och falska identiteter. Kommissionen har också gett stöd till FoI inom detta område genom</w:t>
      </w:r>
      <w:r>
        <w:t xml:space="preserve"> finansiering av projekt som syftar till att utveckla automatiska verifieringsverktyg för kontroll av sanningshalten i användargenererat innehåll på sociala nätverk. Dessa verktyg kan hjälpa till att identifiera potentiella osanningar i texter, bilder elle</w:t>
      </w:r>
      <w:r>
        <w:t xml:space="preserve">r videor och stödja spårning av falska nyheter. Att fastställa om sådant innehåll är olagligt ligger dock utanför deras aktuella funktionella förmåga. </w:t>
      </w:r>
    </w:p>
  </w:footnote>
  <w:footnote w:id="46">
    <w:p w:rsidR="00C91075" w:rsidRDefault="0000066E">
      <w:pPr>
        <w:pStyle w:val="FootnoteText"/>
        <w:spacing w:after="0" w:line="240" w:lineRule="auto"/>
      </w:pPr>
      <w:r>
        <w:rPr>
          <w:vertAlign w:val="superscript"/>
        </w:rPr>
        <w:footnoteRef/>
      </w:r>
      <w:r>
        <w:t xml:space="preserve"> Se https://ec.europa.eu/info/law/better-regulation/initiatives/ares-2017-3896097_en och https://ec.eur</w:t>
      </w:r>
      <w:r>
        <w:t xml:space="preserve">opa.eu/home-affairs/what-we-do/policies/organized-crime-and-human-trafficking/e-evidence_en för mer information. </w:t>
      </w:r>
    </w:p>
  </w:footnote>
  <w:footnote w:id="47">
    <w:p w:rsidR="00C91075" w:rsidRDefault="0000066E">
      <w:pPr>
        <w:pStyle w:val="FootnoteText"/>
        <w:spacing w:after="0" w:line="240" w:lineRule="auto"/>
      </w:pPr>
      <w:r>
        <w:rPr>
          <w:rStyle w:val="FootnoteReference"/>
        </w:rPr>
        <w:footnoteRef/>
      </w:r>
      <w:r>
        <w:t xml:space="preserve"> Artikel 6.1 c jämförd med artikel 6.4.</w:t>
      </w:r>
    </w:p>
  </w:footnote>
  <w:footnote w:id="48">
    <w:p w:rsidR="00C91075" w:rsidRDefault="0000066E">
      <w:pPr>
        <w:pStyle w:val="FootnoteText"/>
        <w:spacing w:after="0" w:line="240" w:lineRule="auto"/>
      </w:pPr>
      <w:r>
        <w:rPr>
          <w:vertAlign w:val="superscript"/>
        </w:rPr>
        <w:footnoteRef/>
      </w:r>
      <w:r>
        <w:t xml:space="preserve"> Enligt artikel 15.2 i e-handelsdirektivet ”kan [medlemsstaterna] fastställa skyldigheter för leverantörer av informationssamhällets tjänster att omedelbart informera de behöriga myndigheterna om påstådda olagliga verksamheter som utförts eller olaglig inf</w:t>
      </w:r>
      <w:r>
        <w:t>ormation som tillhandahållits av mottagarna av deras tjänster eller att till behöriga myndigheter på deras begäran lämna information som gör det möjligt att identifiera de mottagare av deras tjänster med vilka de ingått lagringsavtal”.</w:t>
      </w:r>
    </w:p>
  </w:footnote>
  <w:footnote w:id="49">
    <w:p w:rsidR="00C91075" w:rsidRDefault="0000066E">
      <w:pPr>
        <w:pStyle w:val="FootnoteText"/>
        <w:spacing w:after="0" w:line="240" w:lineRule="auto"/>
        <w:rPr>
          <w:lang w:val="en-GB"/>
        </w:rPr>
      </w:pPr>
      <w:r>
        <w:rPr>
          <w:rStyle w:val="FootnoteReference"/>
        </w:rPr>
        <w:footnoteRef/>
      </w:r>
      <w:r>
        <w:rPr>
          <w:lang w:val="en-GB"/>
        </w:rPr>
        <w:t xml:space="preserve"> Shaping Internet R</w:t>
      </w:r>
      <w:r>
        <w:rPr>
          <w:lang w:val="en-GB"/>
        </w:rPr>
        <w:t>esearch Investigations Unified System.</w:t>
      </w:r>
    </w:p>
  </w:footnote>
  <w:footnote w:id="50">
    <w:p w:rsidR="00C91075" w:rsidRDefault="0000066E">
      <w:pPr>
        <w:pStyle w:val="FootnoteText"/>
        <w:spacing w:after="0" w:line="240" w:lineRule="auto"/>
      </w:pPr>
      <w:r>
        <w:rPr>
          <w:u w:color="FF0000"/>
          <w:vertAlign w:val="superscript"/>
        </w:rPr>
        <w:footnoteRef/>
      </w:r>
      <w:r>
        <w:t xml:space="preserve"> Europol kommer ytterligare att underlätta inrättandet av nya gemensamma kontaktpunkter genom att tillhandahålla relevant utbildning till brottsbekämpande myndigheter i länder där gemensamma kontaktpunkter ännu inte </w:t>
      </w:r>
      <w:r>
        <w:t>har etablerats.</w:t>
      </w:r>
    </w:p>
  </w:footnote>
  <w:footnote w:id="51">
    <w:p w:rsidR="00C91075" w:rsidRDefault="0000066E">
      <w:pPr>
        <w:pStyle w:val="FootnoteText"/>
        <w:spacing w:after="0" w:line="240" w:lineRule="auto"/>
      </w:pPr>
      <w:r>
        <w:rPr>
          <w:vertAlign w:val="superscript"/>
        </w:rPr>
        <w:footnoteRef/>
      </w:r>
      <w:r>
        <w:t xml:space="preserve"> Om personuppgifter behandlas ska plattformarna garantera transparenta sekretesspolicyer enligt artikel 12 i allmänna dataskyddsförordningen.</w:t>
      </w:r>
    </w:p>
  </w:footnote>
  <w:footnote w:id="52">
    <w:p w:rsidR="00C91075" w:rsidRDefault="0000066E">
      <w:pPr>
        <w:pStyle w:val="FootnoteText"/>
        <w:spacing w:after="0" w:line="240" w:lineRule="auto"/>
      </w:pPr>
      <w:r>
        <w:rPr>
          <w:sz w:val="22"/>
          <w:vertAlign w:val="superscript"/>
        </w:rPr>
        <w:footnoteRef/>
      </w:r>
      <w:r>
        <w:t xml:space="preserve"> Rapportering om egna utredningar, allmänna användaranmälningar, anmälningar av brottsbekämpande</w:t>
      </w:r>
      <w:r>
        <w:t xml:space="preserve"> myndigheter etc.</w:t>
      </w:r>
    </w:p>
  </w:footnote>
  <w:footnote w:id="53">
    <w:p w:rsidR="00C91075" w:rsidRDefault="0000066E">
      <w:pPr>
        <w:pStyle w:val="FootnoteText"/>
        <w:spacing w:after="0" w:line="240" w:lineRule="auto"/>
      </w:pPr>
      <w:r>
        <w:rPr>
          <w:rStyle w:val="Ninguno"/>
          <w:vertAlign w:val="superscript"/>
        </w:rPr>
        <w:footnoteRef/>
      </w:r>
      <w:r>
        <w:t xml:space="preserve"> Det finns belägg för att sådan information används av konkurrenter (</w:t>
      </w:r>
      <w:r>
        <w:rPr>
          <w:i/>
        </w:rPr>
        <w:t xml:space="preserve">Notice and Takedown in Everyday Practice, </w:t>
      </w:r>
      <w:r>
        <w:t>J Urban m.fl.</w:t>
      </w:r>
      <w:r>
        <w:rPr>
          <w:i/>
        </w:rPr>
        <w:t xml:space="preserve">, </w:t>
      </w:r>
      <w:r>
        <w:t>UC Berkeley, 2016) och att praxis med automatiserad generering av anmälningar har missbrukats för att länka til</w:t>
      </w:r>
      <w:r>
        <w:t>l artificiellt skapat innehåll (</w:t>
      </w:r>
      <w:r>
        <w:rPr>
          <w:i/>
        </w:rPr>
        <w:t>Google Transparency report</w:t>
      </w:r>
      <w:r>
        <w:t>).</w:t>
      </w:r>
    </w:p>
  </w:footnote>
  <w:footnote w:id="54">
    <w:p w:rsidR="00C91075" w:rsidRDefault="0000066E">
      <w:pPr>
        <w:pStyle w:val="FootnoteText"/>
        <w:spacing w:after="0" w:line="240" w:lineRule="auto"/>
      </w:pPr>
      <w:r>
        <w:rPr>
          <w:rStyle w:val="Ninguno"/>
          <w:vertAlign w:val="superscript"/>
        </w:rPr>
        <w:footnoteRef/>
      </w:r>
      <w:r>
        <w:t xml:space="preserve"> ”Shadow-banning” är blockering av en användare från ett onlinesamhälle på ett sådant sätt att användaren inte inser att han/hon har blivit blockerad.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66E" w:rsidRDefault="000006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75" w:rsidRDefault="00C91075" w:rsidP="0000066E">
    <w:pPr>
      <w:pStyle w:val="HeaderCoverPage"/>
      <w:numPr>
        <w:ilvl w:val="0"/>
        <w:numId w:val="0"/>
      </w:numPr>
      <w:ind w:left="-8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66E" w:rsidRDefault="000006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75" w:rsidRDefault="00C9107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75" w:rsidRDefault="00C91075">
    <w:pPr>
      <w:pStyle w:val="Cabeceraypie"/>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75" w:rsidRDefault="00C91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A574A"/>
    <w:multiLevelType w:val="multilevel"/>
    <w:tmpl w:val="6F3EFD10"/>
    <w:styleLink w:val="Estiloimportado1"/>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50" w:hanging="566"/>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35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63213733"/>
    <w:multiLevelType w:val="multilevel"/>
    <w:tmpl w:val="6F3EFD10"/>
    <w:numStyleLink w:val="Estiloimportado1"/>
  </w:abstractNum>
  <w:num w:numId="1">
    <w:abstractNumId w:val="0"/>
  </w:num>
  <w:num w:numId="2">
    <w:abstractNumId w:val="1"/>
  </w:num>
  <w:num w:numId="3">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50"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35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07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179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6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2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8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4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0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50" w:hanging="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34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06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06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178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1785" w:hanging="1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5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1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35" w:hanging="1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2995" w:hanging="1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lvl w:ilvl="0">
        <w:start w:val="1"/>
        <w:numFmt w:val="decimal"/>
        <w:pStyle w:val="HeaderCoverPage"/>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56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192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8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64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09" w:hanging="12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hideSpellingErrors/>
  <w:hideGrammaticalErrors/>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BC513D6022754DB08B159D3888706B10"/>
    <w:docVar w:name="LW_CROSSREFERENCE" w:val="&lt;UNUSED&gt;"/>
    <w:docVar w:name="LW_DocType" w:val="NORMAL"/>
    <w:docVar w:name="LW_EMISSION" w:val="28.9.2017"/>
    <w:docVar w:name="LW_EMISSION_ISODATE" w:val="2017-09-28"/>
    <w:docVar w:name="LW_EMISSION_LOCATION" w:val="BRX"/>
    <w:docVar w:name="LW_EMISSION_PREFIX" w:val="Bryssel den "/>
    <w:docVar w:name="LW_EMISSION_SUFFIX" w:val=" "/>
    <w:docVar w:name="LW_ID_DOCTYPE_NONLW" w:val="CP-014"/>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7) 555"/>
    <w:docVar w:name="LW_REF.INTERNE" w:val="&lt;UNUSED&gt;"/>
    <w:docVar w:name="LW_SOUS.TITRE.OBJ.CP" w:val="Mot ett ökat ansvar för onlineplattformar_x000b_"/>
    <w:docVar w:name="LW_SUPERTITRE" w:val="&lt;UNUSED&gt;"/>
    <w:docVar w:name="LW_TITRE.OBJ.CP" w:val="Hantering av olagligt innehåll online"/>
    <w:docVar w:name="LW_TYPE.DOC.CP" w:val="MEDDELANDE FRÅN KOMMISSIONEN TILL EUROPAPARLAMENTET, RÅDET, EUROPEISKA EKONOMISKA OCH SOCIALA KOMMITTÉN SAMT REGIONKOMMITTÉN"/>
    <w:docVar w:name="LW_TYPE.DOC.CP.USERTEXT" w:val="&lt;EMPTY&gt;"/>
  </w:docVars>
  <w:rsids>
    <w:rsidRoot w:val="00C91075"/>
    <w:rsid w:val="0000066E"/>
    <w:rsid w:val="00C91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v-SE" w:eastAsia="sv-SE" w:bidi="sv-SE"/>
      </w:rPr>
    </w:rPrDefault>
    <w:pPrDefault>
      <w:pPr>
        <w:pBdr>
          <w:top w:val="nil"/>
          <w:left w:val="nil"/>
          <w:bottom w:val="nil"/>
          <w:right w:val="nil"/>
          <w:between w:val="nil"/>
          <w:bar w:val="nil"/>
        </w:pBd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after="0" w:line="240" w:lineRule="auto"/>
      <w:ind w:left="-850" w:right="-850"/>
      <w:jc w:val="left"/>
    </w:pPr>
    <w:rPr>
      <w:rFonts w:cs="Arial Unicode MS"/>
      <w:color w:val="000000"/>
      <w:u w:color="000000"/>
    </w:rPr>
  </w:style>
  <w:style w:type="paragraph" w:customStyle="1" w:styleId="Pagedecouverture">
    <w:name w:val="Page de couverture"/>
    <w:next w:val="CuerpoA"/>
    <w:rPr>
      <w:rFonts w:eastAsia="Times New Roman"/>
      <w:color w:val="000000"/>
      <w:sz w:val="24"/>
      <w:szCs w:val="24"/>
      <w:u w:color="000000"/>
    </w:rPr>
  </w:style>
  <w:style w:type="paragraph" w:customStyle="1" w:styleId="CuerpoA">
    <w:name w:val="Cuerpo A"/>
    <w:pPr>
      <w:ind w:left="357" w:hanging="357"/>
    </w:pPr>
    <w:rPr>
      <w:rFonts w:ascii="Calibri" w:eastAsia="Calibri" w:hAnsi="Calibri" w:cs="Calibri"/>
      <w:color w:val="000000"/>
      <w:sz w:val="22"/>
      <w:szCs w:val="22"/>
      <w:u w:color="000000"/>
    </w:rPr>
  </w:style>
  <w:style w:type="paragraph" w:styleId="Footer">
    <w:name w:val="footer"/>
    <w:pPr>
      <w:tabs>
        <w:tab w:val="center" w:pos="4535"/>
        <w:tab w:val="right" w:pos="9071"/>
        <w:tab w:val="right" w:pos="9921"/>
      </w:tabs>
      <w:spacing w:before="360"/>
    </w:pPr>
    <w:rPr>
      <w:rFonts w:ascii="Calibri" w:eastAsia="Calibri" w:hAnsi="Calibri" w:cs="Calibri"/>
      <w:color w:val="000000"/>
      <w:sz w:val="22"/>
      <w:szCs w:val="22"/>
      <w:u w:color="000000"/>
    </w:rPr>
  </w:style>
  <w:style w:type="paragraph" w:customStyle="1" w:styleId="EncabezamA">
    <w:name w:val="Encabezam. A"/>
    <w:next w:val="CuerpoA"/>
    <w:link w:val="EncabezamAChar"/>
    <w:pPr>
      <w:keepNext/>
      <w:tabs>
        <w:tab w:val="left" w:pos="850"/>
      </w:tabs>
      <w:spacing w:before="360"/>
      <w:outlineLvl w:val="0"/>
    </w:pPr>
    <w:rPr>
      <w:rFonts w:ascii="Calibri" w:eastAsia="Calibri" w:hAnsi="Calibri" w:cs="Calibri"/>
      <w:b/>
      <w:bCs/>
      <w:smallCaps/>
      <w:color w:val="000000"/>
      <w:sz w:val="22"/>
      <w:szCs w:val="22"/>
      <w:u w:color="000000"/>
    </w:rPr>
  </w:style>
  <w:style w:type="numbering" w:customStyle="1" w:styleId="Estiloimportado1">
    <w:name w:val="Estilo importado 1"/>
    <w:pPr>
      <w:numPr>
        <w:numId w:val="1"/>
      </w:numPr>
    </w:pPr>
  </w:style>
  <w:style w:type="paragraph" w:styleId="FootnoteText">
    <w:name w:val="footnote text"/>
    <w:link w:val="FootnoteTextChar"/>
    <w:uiPriority w:val="99"/>
    <w:rPr>
      <w:rFonts w:ascii="Calibri" w:eastAsia="Calibri" w:hAnsi="Calibri" w:cs="Calibri"/>
      <w:color w:val="000000"/>
      <w:sz w:val="18"/>
      <w:szCs w:val="18"/>
      <w:u w:color="000000"/>
    </w:rPr>
  </w:style>
  <w:style w:type="paragraph" w:customStyle="1" w:styleId="Cuerpo">
    <w:name w:val="Cuerpo"/>
    <w:rPr>
      <w:rFonts w:cs="Arial Unicode MS"/>
      <w:color w:val="000000"/>
      <w:sz w:val="24"/>
      <w:szCs w:val="24"/>
      <w:u w:color="000000"/>
    </w:rPr>
  </w:style>
  <w:style w:type="character" w:customStyle="1" w:styleId="Hyperlink0">
    <w:name w:val="Hyperlink.0"/>
    <w:basedOn w:val="Hyperlink"/>
    <w:rPr>
      <w:color w:val="0000FF"/>
      <w:u w:val="single" w:color="0000FF"/>
    </w:rPr>
  </w:style>
  <w:style w:type="paragraph" w:customStyle="1" w:styleId="Poromisin">
    <w:name w:val="Por omisión"/>
    <w:rPr>
      <w:rFonts w:ascii="Helvetica Neue" w:eastAsia="Helvetica Neue" w:hAnsi="Helvetica Neue" w:cs="Helvetica Neue"/>
      <w:color w:val="000000"/>
      <w:sz w:val="22"/>
      <w:szCs w:val="22"/>
    </w:rPr>
  </w:style>
  <w:style w:type="paragraph" w:customStyle="1" w:styleId="Encabezam2A">
    <w:name w:val="Encabezam. 2 A"/>
    <w:next w:val="CuerpoA"/>
    <w:pPr>
      <w:keepNext/>
      <w:tabs>
        <w:tab w:val="left" w:pos="850"/>
      </w:tabs>
      <w:outlineLvl w:val="1"/>
    </w:pPr>
    <w:rPr>
      <w:rFonts w:ascii="Calibri" w:eastAsia="Calibri" w:hAnsi="Calibri" w:cs="Calibri"/>
      <w:b/>
      <w:bCs/>
      <w:color w:val="000000"/>
      <w:sz w:val="22"/>
      <w:szCs w:val="22"/>
      <w:u w:color="000000"/>
    </w:rPr>
  </w:style>
  <w:style w:type="paragraph" w:customStyle="1" w:styleId="Encabezam3A">
    <w:name w:val="Encabezam. 3 A"/>
    <w:next w:val="CuerpoA"/>
    <w:pPr>
      <w:keepNext/>
      <w:tabs>
        <w:tab w:val="left" w:pos="850"/>
      </w:tabs>
      <w:outlineLvl w:val="2"/>
    </w:pPr>
    <w:rPr>
      <w:rFonts w:ascii="Calibri" w:eastAsia="Calibri" w:hAnsi="Calibri" w:cs="Calibri"/>
      <w:i/>
      <w:iCs/>
      <w:color w:val="000000"/>
      <w:sz w:val="22"/>
      <w:szCs w:val="22"/>
      <w:u w:color="000000"/>
    </w:rPr>
  </w:style>
  <w:style w:type="character" w:customStyle="1" w:styleId="Ninguno">
    <w:name w:val="Ninguno"/>
  </w:style>
  <w:style w:type="character" w:customStyle="1" w:styleId="Hyperlink1">
    <w:name w:val="Hyperlink.1"/>
    <w:basedOn w:val="Ninguno"/>
    <w:rPr>
      <w:color w:val="0000FF"/>
      <w:u w:val="single" w:color="0000FF"/>
      <w:lang w:val="sv-S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sv-SE" w:eastAsia="sv-S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eastAsia="sv-SE"/>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eastAsia="sv-SE"/>
    </w:rPr>
  </w:style>
  <w:style w:type="paragraph" w:customStyle="1" w:styleId="HeaderCoverPage">
    <w:name w:val="Header Cover Page"/>
    <w:basedOn w:val="Normal"/>
    <w:link w:val="HeaderCoverPageChar"/>
    <w:pPr>
      <w:numPr>
        <w:numId w:val="2"/>
      </w:numPr>
      <w:tabs>
        <w:tab w:val="center" w:pos="4535"/>
        <w:tab w:val="right" w:pos="9071"/>
      </w:tabs>
      <w:spacing w:after="120" w:line="240" w:lineRule="auto"/>
      <w:ind w:left="0"/>
    </w:pPr>
    <w:rPr>
      <w:rFonts w:eastAsia="Calibri"/>
      <w:color w:val="000000"/>
      <w:u w:color="000000"/>
    </w:rPr>
  </w:style>
  <w:style w:type="character" w:customStyle="1" w:styleId="EncabezamAChar">
    <w:name w:val="Encabezam. A Char"/>
    <w:basedOn w:val="DefaultParagraphFont"/>
    <w:link w:val="EncabezamA"/>
    <w:rPr>
      <w:rFonts w:ascii="Calibri" w:eastAsia="Calibri" w:hAnsi="Calibri" w:cs="Calibri"/>
      <w:b/>
      <w:bCs/>
      <w:smallCaps/>
      <w:color w:val="000000"/>
      <w:sz w:val="22"/>
      <w:szCs w:val="22"/>
      <w:u w:color="000000"/>
      <w:lang w:val="sv-SE"/>
    </w:rPr>
  </w:style>
  <w:style w:type="character" w:customStyle="1" w:styleId="HeaderCoverPageChar">
    <w:name w:val="Header Cover Page Char"/>
    <w:basedOn w:val="EncabezamAChar"/>
    <w:link w:val="HeaderCoverPage"/>
    <w:rPr>
      <w:rFonts w:ascii="Calibri" w:eastAsia="Calibri" w:hAnsi="Calibri" w:cs="Calibri"/>
      <w:b w:val="0"/>
      <w:bCs w:val="0"/>
      <w:smallCaps w:val="0"/>
      <w:color w:val="000000"/>
      <w:sz w:val="24"/>
      <w:szCs w:val="24"/>
      <w:u w:color="00000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sv-SE" w:eastAsia="sv-SE"/>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FootnoteTextChar">
    <w:name w:val="Footnote Text Char"/>
    <w:basedOn w:val="DefaultParagraphFont"/>
    <w:link w:val="FootnoteText"/>
    <w:uiPriority w:val="99"/>
    <w:rPr>
      <w:rFonts w:ascii="Calibri" w:eastAsia="Calibri" w:hAnsi="Calibri" w:cs="Calibri"/>
      <w:color w:val="000000"/>
      <w:sz w:val="18"/>
      <w:szCs w:val="18"/>
      <w:u w:color="000000"/>
      <w:lang w:val="sv-SE"/>
    </w:rPr>
  </w:style>
  <w:style w:type="paragraph" w:styleId="NoSpacing">
    <w:name w:val="No Spacing"/>
    <w:uiPriority w:val="1"/>
    <w:qFormat/>
    <w:pPr>
      <w:spacing w:after="0" w:line="240" w:lineRule="auto"/>
    </w:pPr>
    <w:rPr>
      <w:sz w:val="24"/>
      <w:szCs w:val="24"/>
    </w:rPr>
  </w:style>
  <w:style w:type="character" w:customStyle="1" w:styleId="sup">
    <w:name w:val="sup"/>
    <w:basedOn w:val="DefaultParagraphFont"/>
  </w:style>
  <w:style w:type="character" w:customStyle="1" w:styleId="bumpedfont15">
    <w:name w:val="bumpedfont15"/>
    <w:basedOn w:val="DefaultParagraphFont"/>
  </w:style>
  <w:style w:type="paragraph" w:customStyle="1" w:styleId="Typedudocument">
    <w:name w:val="Type du documen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0" w:line="240" w:lineRule="auto"/>
      <w:jc w:val="center"/>
    </w:pPr>
    <w:rPr>
      <w:rFonts w:eastAsiaTheme="minorHAnsi"/>
      <w:b/>
      <w:szCs w:val="22"/>
      <w:bdr w:val="none" w:sz="0" w:space="0" w:color="auto"/>
      <w:lang w:eastAsia="en-US" w:bidi="ar-SA"/>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line="240" w:lineRule="auto"/>
      <w:jc w:val="center"/>
    </w:pPr>
    <w:rPr>
      <w:rFonts w:eastAsiaTheme="minorHAnsi"/>
      <w:b/>
      <w:szCs w:val="22"/>
      <w:bdr w:val="none" w:sz="0" w:space="0" w:color="auto"/>
      <w:lang w:eastAsia="en-US" w:bidi="ar-SA"/>
    </w:rPr>
  </w:style>
  <w:style w:type="paragraph" w:customStyle="1" w:styleId="Sous-titreobjet">
    <w:name w:val="Sous-titre objet"/>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Pr>
      <w:rFonts w:eastAsiaTheme="minorHAnsi"/>
      <w:b/>
      <w:szCs w:val="22"/>
      <w:bdr w:val="none" w:sz="0" w:space="0" w:color="auto"/>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v-SE" w:eastAsia="sv-SE" w:bidi="sv-SE"/>
      </w:rPr>
    </w:rPrDefault>
    <w:pPrDefault>
      <w:pPr>
        <w:pBdr>
          <w:top w:val="nil"/>
          <w:left w:val="nil"/>
          <w:bottom w:val="nil"/>
          <w:right w:val="nil"/>
          <w:between w:val="nil"/>
          <w:bar w:val="nil"/>
        </w:pBd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rPr>
  </w:style>
  <w:style w:type="paragraph" w:customStyle="1" w:styleId="FooterCoverPage">
    <w:name w:val="Footer Cover Page"/>
    <w:basedOn w:val="Normal"/>
    <w:pPr>
      <w:tabs>
        <w:tab w:val="center" w:pos="4535"/>
        <w:tab w:val="right" w:pos="9071"/>
        <w:tab w:val="right" w:pos="9921"/>
      </w:tabs>
      <w:spacing w:before="360" w:after="0" w:line="240" w:lineRule="auto"/>
      <w:ind w:left="-850" w:right="-850"/>
      <w:jc w:val="left"/>
    </w:pPr>
    <w:rPr>
      <w:rFonts w:cs="Arial Unicode MS"/>
      <w:color w:val="000000"/>
      <w:u w:color="000000"/>
    </w:rPr>
  </w:style>
  <w:style w:type="paragraph" w:customStyle="1" w:styleId="Pagedecouverture">
    <w:name w:val="Page de couverture"/>
    <w:next w:val="CuerpoA"/>
    <w:rPr>
      <w:rFonts w:eastAsia="Times New Roman"/>
      <w:color w:val="000000"/>
      <w:sz w:val="24"/>
      <w:szCs w:val="24"/>
      <w:u w:color="000000"/>
    </w:rPr>
  </w:style>
  <w:style w:type="paragraph" w:customStyle="1" w:styleId="CuerpoA">
    <w:name w:val="Cuerpo A"/>
    <w:pPr>
      <w:ind w:left="357" w:hanging="357"/>
    </w:pPr>
    <w:rPr>
      <w:rFonts w:ascii="Calibri" w:eastAsia="Calibri" w:hAnsi="Calibri" w:cs="Calibri"/>
      <w:color w:val="000000"/>
      <w:sz w:val="22"/>
      <w:szCs w:val="22"/>
      <w:u w:color="000000"/>
    </w:rPr>
  </w:style>
  <w:style w:type="paragraph" w:styleId="Footer">
    <w:name w:val="footer"/>
    <w:pPr>
      <w:tabs>
        <w:tab w:val="center" w:pos="4535"/>
        <w:tab w:val="right" w:pos="9071"/>
        <w:tab w:val="right" w:pos="9921"/>
      </w:tabs>
      <w:spacing w:before="360"/>
    </w:pPr>
    <w:rPr>
      <w:rFonts w:ascii="Calibri" w:eastAsia="Calibri" w:hAnsi="Calibri" w:cs="Calibri"/>
      <w:color w:val="000000"/>
      <w:sz w:val="22"/>
      <w:szCs w:val="22"/>
      <w:u w:color="000000"/>
    </w:rPr>
  </w:style>
  <w:style w:type="paragraph" w:customStyle="1" w:styleId="EncabezamA">
    <w:name w:val="Encabezam. A"/>
    <w:next w:val="CuerpoA"/>
    <w:link w:val="EncabezamAChar"/>
    <w:pPr>
      <w:keepNext/>
      <w:tabs>
        <w:tab w:val="left" w:pos="850"/>
      </w:tabs>
      <w:spacing w:before="360"/>
      <w:outlineLvl w:val="0"/>
    </w:pPr>
    <w:rPr>
      <w:rFonts w:ascii="Calibri" w:eastAsia="Calibri" w:hAnsi="Calibri" w:cs="Calibri"/>
      <w:b/>
      <w:bCs/>
      <w:smallCaps/>
      <w:color w:val="000000"/>
      <w:sz w:val="22"/>
      <w:szCs w:val="22"/>
      <w:u w:color="000000"/>
    </w:rPr>
  </w:style>
  <w:style w:type="numbering" w:customStyle="1" w:styleId="Estiloimportado1">
    <w:name w:val="Estilo importado 1"/>
    <w:pPr>
      <w:numPr>
        <w:numId w:val="1"/>
      </w:numPr>
    </w:pPr>
  </w:style>
  <w:style w:type="paragraph" w:styleId="FootnoteText">
    <w:name w:val="footnote text"/>
    <w:link w:val="FootnoteTextChar"/>
    <w:uiPriority w:val="99"/>
    <w:rPr>
      <w:rFonts w:ascii="Calibri" w:eastAsia="Calibri" w:hAnsi="Calibri" w:cs="Calibri"/>
      <w:color w:val="000000"/>
      <w:sz w:val="18"/>
      <w:szCs w:val="18"/>
      <w:u w:color="000000"/>
    </w:rPr>
  </w:style>
  <w:style w:type="paragraph" w:customStyle="1" w:styleId="Cuerpo">
    <w:name w:val="Cuerpo"/>
    <w:rPr>
      <w:rFonts w:cs="Arial Unicode MS"/>
      <w:color w:val="000000"/>
      <w:sz w:val="24"/>
      <w:szCs w:val="24"/>
      <w:u w:color="000000"/>
    </w:rPr>
  </w:style>
  <w:style w:type="character" w:customStyle="1" w:styleId="Hyperlink0">
    <w:name w:val="Hyperlink.0"/>
    <w:basedOn w:val="Hyperlink"/>
    <w:rPr>
      <w:color w:val="0000FF"/>
      <w:u w:val="single" w:color="0000FF"/>
    </w:rPr>
  </w:style>
  <w:style w:type="paragraph" w:customStyle="1" w:styleId="Poromisin">
    <w:name w:val="Por omisión"/>
    <w:rPr>
      <w:rFonts w:ascii="Helvetica Neue" w:eastAsia="Helvetica Neue" w:hAnsi="Helvetica Neue" w:cs="Helvetica Neue"/>
      <w:color w:val="000000"/>
      <w:sz w:val="22"/>
      <w:szCs w:val="22"/>
    </w:rPr>
  </w:style>
  <w:style w:type="paragraph" w:customStyle="1" w:styleId="Encabezam2A">
    <w:name w:val="Encabezam. 2 A"/>
    <w:next w:val="CuerpoA"/>
    <w:pPr>
      <w:keepNext/>
      <w:tabs>
        <w:tab w:val="left" w:pos="850"/>
      </w:tabs>
      <w:outlineLvl w:val="1"/>
    </w:pPr>
    <w:rPr>
      <w:rFonts w:ascii="Calibri" w:eastAsia="Calibri" w:hAnsi="Calibri" w:cs="Calibri"/>
      <w:b/>
      <w:bCs/>
      <w:color w:val="000000"/>
      <w:sz w:val="22"/>
      <w:szCs w:val="22"/>
      <w:u w:color="000000"/>
    </w:rPr>
  </w:style>
  <w:style w:type="paragraph" w:customStyle="1" w:styleId="Encabezam3A">
    <w:name w:val="Encabezam. 3 A"/>
    <w:next w:val="CuerpoA"/>
    <w:pPr>
      <w:keepNext/>
      <w:tabs>
        <w:tab w:val="left" w:pos="850"/>
      </w:tabs>
      <w:outlineLvl w:val="2"/>
    </w:pPr>
    <w:rPr>
      <w:rFonts w:ascii="Calibri" w:eastAsia="Calibri" w:hAnsi="Calibri" w:cs="Calibri"/>
      <w:i/>
      <w:iCs/>
      <w:color w:val="000000"/>
      <w:sz w:val="22"/>
      <w:szCs w:val="22"/>
      <w:u w:color="000000"/>
    </w:rPr>
  </w:style>
  <w:style w:type="character" w:customStyle="1" w:styleId="Ninguno">
    <w:name w:val="Ninguno"/>
  </w:style>
  <w:style w:type="character" w:customStyle="1" w:styleId="Hyperlink1">
    <w:name w:val="Hyperlink.1"/>
    <w:basedOn w:val="Ninguno"/>
    <w:rPr>
      <w:color w:val="0000FF"/>
      <w:u w:val="single" w:color="0000FF"/>
      <w:lang w:val="sv-S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sv-SE" w:eastAsia="sv-S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eastAsia="sv-SE"/>
    </w:rPr>
  </w:style>
  <w:style w:type="character" w:styleId="FootnoteReference">
    <w:name w:val="foot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eastAsia="sv-SE"/>
    </w:rPr>
  </w:style>
  <w:style w:type="paragraph" w:customStyle="1" w:styleId="HeaderCoverPage">
    <w:name w:val="Header Cover Page"/>
    <w:basedOn w:val="Normal"/>
    <w:link w:val="HeaderCoverPageChar"/>
    <w:pPr>
      <w:numPr>
        <w:numId w:val="2"/>
      </w:numPr>
      <w:tabs>
        <w:tab w:val="center" w:pos="4535"/>
        <w:tab w:val="right" w:pos="9071"/>
      </w:tabs>
      <w:spacing w:after="120" w:line="240" w:lineRule="auto"/>
      <w:ind w:left="0"/>
    </w:pPr>
    <w:rPr>
      <w:rFonts w:eastAsia="Calibri"/>
      <w:color w:val="000000"/>
      <w:u w:color="000000"/>
    </w:rPr>
  </w:style>
  <w:style w:type="character" w:customStyle="1" w:styleId="EncabezamAChar">
    <w:name w:val="Encabezam. A Char"/>
    <w:basedOn w:val="DefaultParagraphFont"/>
    <w:link w:val="EncabezamA"/>
    <w:rPr>
      <w:rFonts w:ascii="Calibri" w:eastAsia="Calibri" w:hAnsi="Calibri" w:cs="Calibri"/>
      <w:b/>
      <w:bCs/>
      <w:smallCaps/>
      <w:color w:val="000000"/>
      <w:sz w:val="22"/>
      <w:szCs w:val="22"/>
      <w:u w:color="000000"/>
      <w:lang w:val="sv-SE"/>
    </w:rPr>
  </w:style>
  <w:style w:type="character" w:customStyle="1" w:styleId="HeaderCoverPageChar">
    <w:name w:val="Header Cover Page Char"/>
    <w:basedOn w:val="EncabezamAChar"/>
    <w:link w:val="HeaderCoverPage"/>
    <w:rPr>
      <w:rFonts w:ascii="Calibri" w:eastAsia="Calibri" w:hAnsi="Calibri" w:cs="Calibri"/>
      <w:b w:val="0"/>
      <w:bCs w:val="0"/>
      <w:smallCaps w:val="0"/>
      <w:color w:val="000000"/>
      <w:sz w:val="24"/>
      <w:szCs w:val="24"/>
      <w:u w:color="00000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sv-SE" w:eastAsia="sv-SE"/>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FootnoteTextChar">
    <w:name w:val="Footnote Text Char"/>
    <w:basedOn w:val="DefaultParagraphFont"/>
    <w:link w:val="FootnoteText"/>
    <w:uiPriority w:val="99"/>
    <w:rPr>
      <w:rFonts w:ascii="Calibri" w:eastAsia="Calibri" w:hAnsi="Calibri" w:cs="Calibri"/>
      <w:color w:val="000000"/>
      <w:sz w:val="18"/>
      <w:szCs w:val="18"/>
      <w:u w:color="000000"/>
      <w:lang w:val="sv-SE"/>
    </w:rPr>
  </w:style>
  <w:style w:type="paragraph" w:styleId="NoSpacing">
    <w:name w:val="No Spacing"/>
    <w:uiPriority w:val="1"/>
    <w:qFormat/>
    <w:pPr>
      <w:spacing w:after="0" w:line="240" w:lineRule="auto"/>
    </w:pPr>
    <w:rPr>
      <w:sz w:val="24"/>
      <w:szCs w:val="24"/>
    </w:rPr>
  </w:style>
  <w:style w:type="character" w:customStyle="1" w:styleId="sup">
    <w:name w:val="sup"/>
    <w:basedOn w:val="DefaultParagraphFont"/>
  </w:style>
  <w:style w:type="character" w:customStyle="1" w:styleId="bumpedfont15">
    <w:name w:val="bumpedfont15"/>
    <w:basedOn w:val="DefaultParagraphFont"/>
  </w:style>
  <w:style w:type="paragraph" w:customStyle="1" w:styleId="Typedudocument">
    <w:name w:val="Type du documen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0" w:line="240" w:lineRule="auto"/>
      <w:jc w:val="center"/>
    </w:pPr>
    <w:rPr>
      <w:rFonts w:eastAsiaTheme="minorHAnsi"/>
      <w:b/>
      <w:szCs w:val="22"/>
      <w:bdr w:val="none" w:sz="0" w:space="0" w:color="auto"/>
      <w:lang w:eastAsia="en-US" w:bidi="ar-SA"/>
    </w:rPr>
  </w:style>
  <w:style w:type="paragraph" w:customStyle="1" w:styleId="Titreobjet">
    <w:name w:val="Titre objet"/>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spacing w:before="360" w:after="360" w:line="240" w:lineRule="auto"/>
      <w:jc w:val="center"/>
    </w:pPr>
    <w:rPr>
      <w:rFonts w:eastAsiaTheme="minorHAnsi"/>
      <w:b/>
      <w:szCs w:val="22"/>
      <w:bdr w:val="none" w:sz="0" w:space="0" w:color="auto"/>
      <w:lang w:eastAsia="en-US" w:bidi="ar-SA"/>
    </w:rPr>
  </w:style>
  <w:style w:type="paragraph" w:customStyle="1" w:styleId="Sous-titreobjet">
    <w:name w:val="Sous-titre objet"/>
    <w:basedOn w:val="Normal"/>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Pr>
      <w:rFonts w:eastAsiaTheme="minorHAnsi"/>
      <w:b/>
      <w:szCs w:val="22"/>
      <w:bdr w:val="none" w:sz="0" w:space="0" w:color="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0703">
      <w:bodyDiv w:val="1"/>
      <w:marLeft w:val="0"/>
      <w:marRight w:val="0"/>
      <w:marTop w:val="0"/>
      <w:marBottom w:val="0"/>
      <w:divBdr>
        <w:top w:val="none" w:sz="0" w:space="0" w:color="auto"/>
        <w:left w:val="none" w:sz="0" w:space="0" w:color="auto"/>
        <w:bottom w:val="none" w:sz="0" w:space="0" w:color="auto"/>
        <w:right w:val="none" w:sz="0" w:space="0" w:color="auto"/>
      </w:divBdr>
    </w:div>
    <w:div w:id="94594365">
      <w:bodyDiv w:val="1"/>
      <w:marLeft w:val="0"/>
      <w:marRight w:val="0"/>
      <w:marTop w:val="0"/>
      <w:marBottom w:val="0"/>
      <w:divBdr>
        <w:top w:val="none" w:sz="0" w:space="0" w:color="auto"/>
        <w:left w:val="none" w:sz="0" w:space="0" w:color="auto"/>
        <w:bottom w:val="none" w:sz="0" w:space="0" w:color="auto"/>
        <w:right w:val="none" w:sz="0" w:space="0" w:color="auto"/>
      </w:divBdr>
    </w:div>
    <w:div w:id="204297894">
      <w:bodyDiv w:val="1"/>
      <w:marLeft w:val="0"/>
      <w:marRight w:val="0"/>
      <w:marTop w:val="0"/>
      <w:marBottom w:val="0"/>
      <w:divBdr>
        <w:top w:val="none" w:sz="0" w:space="0" w:color="auto"/>
        <w:left w:val="none" w:sz="0" w:space="0" w:color="auto"/>
        <w:bottom w:val="none" w:sz="0" w:space="0" w:color="auto"/>
        <w:right w:val="none" w:sz="0" w:space="0" w:color="auto"/>
      </w:divBdr>
    </w:div>
    <w:div w:id="324405256">
      <w:bodyDiv w:val="1"/>
      <w:marLeft w:val="0"/>
      <w:marRight w:val="0"/>
      <w:marTop w:val="0"/>
      <w:marBottom w:val="0"/>
      <w:divBdr>
        <w:top w:val="none" w:sz="0" w:space="0" w:color="auto"/>
        <w:left w:val="none" w:sz="0" w:space="0" w:color="auto"/>
        <w:bottom w:val="none" w:sz="0" w:space="0" w:color="auto"/>
        <w:right w:val="none" w:sz="0" w:space="0" w:color="auto"/>
      </w:divBdr>
    </w:div>
    <w:div w:id="440338425">
      <w:bodyDiv w:val="1"/>
      <w:marLeft w:val="0"/>
      <w:marRight w:val="0"/>
      <w:marTop w:val="0"/>
      <w:marBottom w:val="0"/>
      <w:divBdr>
        <w:top w:val="none" w:sz="0" w:space="0" w:color="auto"/>
        <w:left w:val="none" w:sz="0" w:space="0" w:color="auto"/>
        <w:bottom w:val="none" w:sz="0" w:space="0" w:color="auto"/>
        <w:right w:val="none" w:sz="0" w:space="0" w:color="auto"/>
      </w:divBdr>
    </w:div>
    <w:div w:id="500044300">
      <w:bodyDiv w:val="1"/>
      <w:marLeft w:val="0"/>
      <w:marRight w:val="0"/>
      <w:marTop w:val="0"/>
      <w:marBottom w:val="0"/>
      <w:divBdr>
        <w:top w:val="none" w:sz="0" w:space="0" w:color="auto"/>
        <w:left w:val="none" w:sz="0" w:space="0" w:color="auto"/>
        <w:bottom w:val="none" w:sz="0" w:space="0" w:color="auto"/>
        <w:right w:val="none" w:sz="0" w:space="0" w:color="auto"/>
      </w:divBdr>
      <w:divsChild>
        <w:div w:id="105276140">
          <w:marLeft w:val="0"/>
          <w:marRight w:val="0"/>
          <w:marTop w:val="0"/>
          <w:marBottom w:val="0"/>
          <w:divBdr>
            <w:top w:val="none" w:sz="0" w:space="0" w:color="auto"/>
            <w:left w:val="none" w:sz="0" w:space="0" w:color="auto"/>
            <w:bottom w:val="none" w:sz="0" w:space="0" w:color="auto"/>
            <w:right w:val="none" w:sz="0" w:space="0" w:color="auto"/>
          </w:divBdr>
          <w:divsChild>
            <w:div w:id="1011763045">
              <w:marLeft w:val="0"/>
              <w:marRight w:val="0"/>
              <w:marTop w:val="0"/>
              <w:marBottom w:val="0"/>
              <w:divBdr>
                <w:top w:val="none" w:sz="0" w:space="0" w:color="auto"/>
                <w:left w:val="none" w:sz="0" w:space="0" w:color="auto"/>
                <w:bottom w:val="none" w:sz="0" w:space="0" w:color="auto"/>
                <w:right w:val="none" w:sz="0" w:space="0" w:color="auto"/>
              </w:divBdr>
              <w:divsChild>
                <w:div w:id="270164140">
                  <w:marLeft w:val="0"/>
                  <w:marRight w:val="0"/>
                  <w:marTop w:val="0"/>
                  <w:marBottom w:val="0"/>
                  <w:divBdr>
                    <w:top w:val="none" w:sz="0" w:space="0" w:color="auto"/>
                    <w:left w:val="none" w:sz="0" w:space="0" w:color="auto"/>
                    <w:bottom w:val="none" w:sz="0" w:space="0" w:color="auto"/>
                    <w:right w:val="none" w:sz="0" w:space="0" w:color="auto"/>
                  </w:divBdr>
                  <w:divsChild>
                    <w:div w:id="715811217">
                      <w:marLeft w:val="1"/>
                      <w:marRight w:val="1"/>
                      <w:marTop w:val="0"/>
                      <w:marBottom w:val="0"/>
                      <w:divBdr>
                        <w:top w:val="none" w:sz="0" w:space="0" w:color="auto"/>
                        <w:left w:val="none" w:sz="0" w:space="0" w:color="auto"/>
                        <w:bottom w:val="none" w:sz="0" w:space="0" w:color="auto"/>
                        <w:right w:val="none" w:sz="0" w:space="0" w:color="auto"/>
                      </w:divBdr>
                      <w:divsChild>
                        <w:div w:id="938559137">
                          <w:marLeft w:val="0"/>
                          <w:marRight w:val="0"/>
                          <w:marTop w:val="0"/>
                          <w:marBottom w:val="0"/>
                          <w:divBdr>
                            <w:top w:val="none" w:sz="0" w:space="0" w:color="auto"/>
                            <w:left w:val="none" w:sz="0" w:space="0" w:color="auto"/>
                            <w:bottom w:val="none" w:sz="0" w:space="0" w:color="auto"/>
                            <w:right w:val="none" w:sz="0" w:space="0" w:color="auto"/>
                          </w:divBdr>
                          <w:divsChild>
                            <w:div w:id="1631207400">
                              <w:marLeft w:val="0"/>
                              <w:marRight w:val="0"/>
                              <w:marTop w:val="0"/>
                              <w:marBottom w:val="360"/>
                              <w:divBdr>
                                <w:top w:val="none" w:sz="0" w:space="0" w:color="auto"/>
                                <w:left w:val="none" w:sz="0" w:space="0" w:color="auto"/>
                                <w:bottom w:val="none" w:sz="0" w:space="0" w:color="auto"/>
                                <w:right w:val="none" w:sz="0" w:space="0" w:color="auto"/>
                              </w:divBdr>
                              <w:divsChild>
                                <w:div w:id="1688749594">
                                  <w:marLeft w:val="0"/>
                                  <w:marRight w:val="0"/>
                                  <w:marTop w:val="0"/>
                                  <w:marBottom w:val="0"/>
                                  <w:divBdr>
                                    <w:top w:val="none" w:sz="0" w:space="0" w:color="auto"/>
                                    <w:left w:val="none" w:sz="0" w:space="0" w:color="auto"/>
                                    <w:bottom w:val="none" w:sz="0" w:space="0" w:color="auto"/>
                                    <w:right w:val="none" w:sz="0" w:space="0" w:color="auto"/>
                                  </w:divBdr>
                                  <w:divsChild>
                                    <w:div w:id="842165168">
                                      <w:marLeft w:val="0"/>
                                      <w:marRight w:val="0"/>
                                      <w:marTop w:val="0"/>
                                      <w:marBottom w:val="0"/>
                                      <w:divBdr>
                                        <w:top w:val="none" w:sz="0" w:space="0" w:color="auto"/>
                                        <w:left w:val="none" w:sz="0" w:space="0" w:color="auto"/>
                                        <w:bottom w:val="none" w:sz="0" w:space="0" w:color="auto"/>
                                        <w:right w:val="none" w:sz="0" w:space="0" w:color="auto"/>
                                      </w:divBdr>
                                      <w:divsChild>
                                        <w:div w:id="547837132">
                                          <w:marLeft w:val="0"/>
                                          <w:marRight w:val="0"/>
                                          <w:marTop w:val="0"/>
                                          <w:marBottom w:val="0"/>
                                          <w:divBdr>
                                            <w:top w:val="none" w:sz="0" w:space="0" w:color="auto"/>
                                            <w:left w:val="none" w:sz="0" w:space="0" w:color="auto"/>
                                            <w:bottom w:val="none" w:sz="0" w:space="0" w:color="auto"/>
                                            <w:right w:val="none" w:sz="0" w:space="0" w:color="auto"/>
                                          </w:divBdr>
                                          <w:divsChild>
                                            <w:div w:id="1552115600">
                                              <w:marLeft w:val="0"/>
                                              <w:marRight w:val="0"/>
                                              <w:marTop w:val="0"/>
                                              <w:marBottom w:val="0"/>
                                              <w:divBdr>
                                                <w:top w:val="none" w:sz="0" w:space="0" w:color="auto"/>
                                                <w:left w:val="none" w:sz="0" w:space="0" w:color="auto"/>
                                                <w:bottom w:val="none" w:sz="0" w:space="0" w:color="auto"/>
                                                <w:right w:val="none" w:sz="0" w:space="0" w:color="auto"/>
                                              </w:divBdr>
                                              <w:divsChild>
                                                <w:div w:id="962227120">
                                                  <w:marLeft w:val="0"/>
                                                  <w:marRight w:val="0"/>
                                                  <w:marTop w:val="0"/>
                                                  <w:marBottom w:val="0"/>
                                                  <w:divBdr>
                                                    <w:top w:val="none" w:sz="0" w:space="0" w:color="auto"/>
                                                    <w:left w:val="none" w:sz="0" w:space="0" w:color="auto"/>
                                                    <w:bottom w:val="none" w:sz="0" w:space="0" w:color="auto"/>
                                                    <w:right w:val="none" w:sz="0" w:space="0" w:color="auto"/>
                                                  </w:divBdr>
                                                  <w:divsChild>
                                                    <w:div w:id="1663923707">
                                                      <w:marLeft w:val="0"/>
                                                      <w:marRight w:val="0"/>
                                                      <w:marTop w:val="0"/>
                                                      <w:marBottom w:val="0"/>
                                                      <w:divBdr>
                                                        <w:top w:val="none" w:sz="0" w:space="0" w:color="auto"/>
                                                        <w:left w:val="none" w:sz="0" w:space="0" w:color="auto"/>
                                                        <w:bottom w:val="none" w:sz="0" w:space="0" w:color="auto"/>
                                                        <w:right w:val="none" w:sz="0" w:space="0" w:color="auto"/>
                                                      </w:divBdr>
                                                      <w:divsChild>
                                                        <w:div w:id="1703242408">
                                                          <w:marLeft w:val="0"/>
                                                          <w:marRight w:val="0"/>
                                                          <w:marTop w:val="0"/>
                                                          <w:marBottom w:val="0"/>
                                                          <w:divBdr>
                                                            <w:top w:val="none" w:sz="0" w:space="0" w:color="auto"/>
                                                            <w:left w:val="none" w:sz="0" w:space="0" w:color="auto"/>
                                                            <w:bottom w:val="none" w:sz="0" w:space="0" w:color="auto"/>
                                                            <w:right w:val="none" w:sz="0" w:space="0" w:color="auto"/>
                                                          </w:divBdr>
                                                          <w:divsChild>
                                                            <w:div w:id="1061515354">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sChild>
                                            </w:div>
                                          </w:divsChild>
                                        </w:div>
                                      </w:divsChild>
                                    </w:div>
                                  </w:divsChild>
                                </w:div>
                              </w:divsChild>
                            </w:div>
                          </w:divsChild>
                        </w:div>
                      </w:divsChild>
                    </w:div>
                  </w:divsChild>
                </w:div>
              </w:divsChild>
            </w:div>
          </w:divsChild>
        </w:div>
      </w:divsChild>
    </w:div>
    <w:div w:id="502427951">
      <w:bodyDiv w:val="1"/>
      <w:marLeft w:val="0"/>
      <w:marRight w:val="0"/>
      <w:marTop w:val="0"/>
      <w:marBottom w:val="0"/>
      <w:divBdr>
        <w:top w:val="none" w:sz="0" w:space="0" w:color="auto"/>
        <w:left w:val="none" w:sz="0" w:space="0" w:color="auto"/>
        <w:bottom w:val="none" w:sz="0" w:space="0" w:color="auto"/>
        <w:right w:val="none" w:sz="0" w:space="0" w:color="auto"/>
      </w:divBdr>
    </w:div>
    <w:div w:id="563489356">
      <w:bodyDiv w:val="1"/>
      <w:marLeft w:val="0"/>
      <w:marRight w:val="0"/>
      <w:marTop w:val="0"/>
      <w:marBottom w:val="0"/>
      <w:divBdr>
        <w:top w:val="none" w:sz="0" w:space="0" w:color="auto"/>
        <w:left w:val="none" w:sz="0" w:space="0" w:color="auto"/>
        <w:bottom w:val="none" w:sz="0" w:space="0" w:color="auto"/>
        <w:right w:val="none" w:sz="0" w:space="0" w:color="auto"/>
      </w:divBdr>
    </w:div>
    <w:div w:id="643851157">
      <w:bodyDiv w:val="1"/>
      <w:marLeft w:val="0"/>
      <w:marRight w:val="0"/>
      <w:marTop w:val="0"/>
      <w:marBottom w:val="0"/>
      <w:divBdr>
        <w:top w:val="none" w:sz="0" w:space="0" w:color="auto"/>
        <w:left w:val="none" w:sz="0" w:space="0" w:color="auto"/>
        <w:bottom w:val="none" w:sz="0" w:space="0" w:color="auto"/>
        <w:right w:val="none" w:sz="0" w:space="0" w:color="auto"/>
      </w:divBdr>
    </w:div>
    <w:div w:id="824392378">
      <w:bodyDiv w:val="1"/>
      <w:marLeft w:val="0"/>
      <w:marRight w:val="0"/>
      <w:marTop w:val="0"/>
      <w:marBottom w:val="0"/>
      <w:divBdr>
        <w:top w:val="none" w:sz="0" w:space="0" w:color="auto"/>
        <w:left w:val="none" w:sz="0" w:space="0" w:color="auto"/>
        <w:bottom w:val="none" w:sz="0" w:space="0" w:color="auto"/>
        <w:right w:val="none" w:sz="0" w:space="0" w:color="auto"/>
      </w:divBdr>
    </w:div>
    <w:div w:id="872037565">
      <w:bodyDiv w:val="1"/>
      <w:marLeft w:val="0"/>
      <w:marRight w:val="0"/>
      <w:marTop w:val="0"/>
      <w:marBottom w:val="0"/>
      <w:divBdr>
        <w:top w:val="none" w:sz="0" w:space="0" w:color="auto"/>
        <w:left w:val="none" w:sz="0" w:space="0" w:color="auto"/>
        <w:bottom w:val="none" w:sz="0" w:space="0" w:color="auto"/>
        <w:right w:val="none" w:sz="0" w:space="0" w:color="auto"/>
      </w:divBdr>
    </w:div>
    <w:div w:id="1040085117">
      <w:bodyDiv w:val="1"/>
      <w:marLeft w:val="0"/>
      <w:marRight w:val="0"/>
      <w:marTop w:val="0"/>
      <w:marBottom w:val="0"/>
      <w:divBdr>
        <w:top w:val="none" w:sz="0" w:space="0" w:color="auto"/>
        <w:left w:val="none" w:sz="0" w:space="0" w:color="auto"/>
        <w:bottom w:val="none" w:sz="0" w:space="0" w:color="auto"/>
        <w:right w:val="none" w:sz="0" w:space="0" w:color="auto"/>
      </w:divBdr>
    </w:div>
    <w:div w:id="1067070424">
      <w:bodyDiv w:val="1"/>
      <w:marLeft w:val="0"/>
      <w:marRight w:val="0"/>
      <w:marTop w:val="0"/>
      <w:marBottom w:val="0"/>
      <w:divBdr>
        <w:top w:val="none" w:sz="0" w:space="0" w:color="auto"/>
        <w:left w:val="none" w:sz="0" w:space="0" w:color="auto"/>
        <w:bottom w:val="none" w:sz="0" w:space="0" w:color="auto"/>
        <w:right w:val="none" w:sz="0" w:space="0" w:color="auto"/>
      </w:divBdr>
    </w:div>
    <w:div w:id="1114011437">
      <w:bodyDiv w:val="1"/>
      <w:marLeft w:val="0"/>
      <w:marRight w:val="0"/>
      <w:marTop w:val="0"/>
      <w:marBottom w:val="0"/>
      <w:divBdr>
        <w:top w:val="none" w:sz="0" w:space="0" w:color="auto"/>
        <w:left w:val="none" w:sz="0" w:space="0" w:color="auto"/>
        <w:bottom w:val="none" w:sz="0" w:space="0" w:color="auto"/>
        <w:right w:val="none" w:sz="0" w:space="0" w:color="auto"/>
      </w:divBdr>
    </w:div>
    <w:div w:id="1171288220">
      <w:bodyDiv w:val="1"/>
      <w:marLeft w:val="0"/>
      <w:marRight w:val="0"/>
      <w:marTop w:val="0"/>
      <w:marBottom w:val="0"/>
      <w:divBdr>
        <w:top w:val="none" w:sz="0" w:space="0" w:color="auto"/>
        <w:left w:val="none" w:sz="0" w:space="0" w:color="auto"/>
        <w:bottom w:val="none" w:sz="0" w:space="0" w:color="auto"/>
        <w:right w:val="none" w:sz="0" w:space="0" w:color="auto"/>
      </w:divBdr>
      <w:divsChild>
        <w:div w:id="2010131678">
          <w:marLeft w:val="0"/>
          <w:marRight w:val="0"/>
          <w:marTop w:val="0"/>
          <w:marBottom w:val="0"/>
          <w:divBdr>
            <w:top w:val="none" w:sz="0" w:space="0" w:color="auto"/>
            <w:left w:val="none" w:sz="0" w:space="0" w:color="auto"/>
            <w:bottom w:val="none" w:sz="0" w:space="0" w:color="auto"/>
            <w:right w:val="none" w:sz="0" w:space="0" w:color="auto"/>
          </w:divBdr>
          <w:divsChild>
            <w:div w:id="920482610">
              <w:marLeft w:val="0"/>
              <w:marRight w:val="0"/>
              <w:marTop w:val="0"/>
              <w:marBottom w:val="0"/>
              <w:divBdr>
                <w:top w:val="none" w:sz="0" w:space="0" w:color="auto"/>
                <w:left w:val="none" w:sz="0" w:space="0" w:color="auto"/>
                <w:bottom w:val="none" w:sz="0" w:space="0" w:color="auto"/>
                <w:right w:val="none" w:sz="0" w:space="0" w:color="auto"/>
              </w:divBdr>
              <w:divsChild>
                <w:div w:id="877354149">
                  <w:marLeft w:val="0"/>
                  <w:marRight w:val="0"/>
                  <w:marTop w:val="0"/>
                  <w:marBottom w:val="0"/>
                  <w:divBdr>
                    <w:top w:val="none" w:sz="0" w:space="0" w:color="auto"/>
                    <w:left w:val="none" w:sz="0" w:space="0" w:color="auto"/>
                    <w:bottom w:val="none" w:sz="0" w:space="0" w:color="auto"/>
                    <w:right w:val="none" w:sz="0" w:space="0" w:color="auto"/>
                  </w:divBdr>
                  <w:divsChild>
                    <w:div w:id="1921862696">
                      <w:marLeft w:val="1"/>
                      <w:marRight w:val="1"/>
                      <w:marTop w:val="0"/>
                      <w:marBottom w:val="0"/>
                      <w:divBdr>
                        <w:top w:val="none" w:sz="0" w:space="0" w:color="auto"/>
                        <w:left w:val="none" w:sz="0" w:space="0" w:color="auto"/>
                        <w:bottom w:val="none" w:sz="0" w:space="0" w:color="auto"/>
                        <w:right w:val="none" w:sz="0" w:space="0" w:color="auto"/>
                      </w:divBdr>
                      <w:divsChild>
                        <w:div w:id="1918395599">
                          <w:marLeft w:val="0"/>
                          <w:marRight w:val="0"/>
                          <w:marTop w:val="0"/>
                          <w:marBottom w:val="0"/>
                          <w:divBdr>
                            <w:top w:val="none" w:sz="0" w:space="0" w:color="auto"/>
                            <w:left w:val="none" w:sz="0" w:space="0" w:color="auto"/>
                            <w:bottom w:val="none" w:sz="0" w:space="0" w:color="auto"/>
                            <w:right w:val="none" w:sz="0" w:space="0" w:color="auto"/>
                          </w:divBdr>
                          <w:divsChild>
                            <w:div w:id="298146932">
                              <w:marLeft w:val="0"/>
                              <w:marRight w:val="0"/>
                              <w:marTop w:val="0"/>
                              <w:marBottom w:val="360"/>
                              <w:divBdr>
                                <w:top w:val="none" w:sz="0" w:space="0" w:color="auto"/>
                                <w:left w:val="none" w:sz="0" w:space="0" w:color="auto"/>
                                <w:bottom w:val="none" w:sz="0" w:space="0" w:color="auto"/>
                                <w:right w:val="none" w:sz="0" w:space="0" w:color="auto"/>
                              </w:divBdr>
                              <w:divsChild>
                                <w:div w:id="1739471269">
                                  <w:marLeft w:val="0"/>
                                  <w:marRight w:val="0"/>
                                  <w:marTop w:val="0"/>
                                  <w:marBottom w:val="0"/>
                                  <w:divBdr>
                                    <w:top w:val="none" w:sz="0" w:space="0" w:color="auto"/>
                                    <w:left w:val="none" w:sz="0" w:space="0" w:color="auto"/>
                                    <w:bottom w:val="none" w:sz="0" w:space="0" w:color="auto"/>
                                    <w:right w:val="none" w:sz="0" w:space="0" w:color="auto"/>
                                  </w:divBdr>
                                  <w:divsChild>
                                    <w:div w:id="1647389672">
                                      <w:marLeft w:val="0"/>
                                      <w:marRight w:val="0"/>
                                      <w:marTop w:val="0"/>
                                      <w:marBottom w:val="0"/>
                                      <w:divBdr>
                                        <w:top w:val="none" w:sz="0" w:space="0" w:color="auto"/>
                                        <w:left w:val="none" w:sz="0" w:space="0" w:color="auto"/>
                                        <w:bottom w:val="none" w:sz="0" w:space="0" w:color="auto"/>
                                        <w:right w:val="none" w:sz="0" w:space="0" w:color="auto"/>
                                      </w:divBdr>
                                      <w:divsChild>
                                        <w:div w:id="659117345">
                                          <w:marLeft w:val="0"/>
                                          <w:marRight w:val="0"/>
                                          <w:marTop w:val="0"/>
                                          <w:marBottom w:val="0"/>
                                          <w:divBdr>
                                            <w:top w:val="none" w:sz="0" w:space="0" w:color="auto"/>
                                            <w:left w:val="none" w:sz="0" w:space="0" w:color="auto"/>
                                            <w:bottom w:val="none" w:sz="0" w:space="0" w:color="auto"/>
                                            <w:right w:val="none" w:sz="0" w:space="0" w:color="auto"/>
                                          </w:divBdr>
                                          <w:divsChild>
                                            <w:div w:id="1905869933">
                                              <w:marLeft w:val="0"/>
                                              <w:marRight w:val="0"/>
                                              <w:marTop w:val="0"/>
                                              <w:marBottom w:val="0"/>
                                              <w:divBdr>
                                                <w:top w:val="none" w:sz="0" w:space="0" w:color="auto"/>
                                                <w:left w:val="none" w:sz="0" w:space="0" w:color="auto"/>
                                                <w:bottom w:val="none" w:sz="0" w:space="0" w:color="auto"/>
                                                <w:right w:val="none" w:sz="0" w:space="0" w:color="auto"/>
                                              </w:divBdr>
                                              <w:divsChild>
                                                <w:div w:id="1591694471">
                                                  <w:marLeft w:val="0"/>
                                                  <w:marRight w:val="0"/>
                                                  <w:marTop w:val="0"/>
                                                  <w:marBottom w:val="0"/>
                                                  <w:divBdr>
                                                    <w:top w:val="none" w:sz="0" w:space="0" w:color="auto"/>
                                                    <w:left w:val="none" w:sz="0" w:space="0" w:color="auto"/>
                                                    <w:bottom w:val="none" w:sz="0" w:space="0" w:color="auto"/>
                                                    <w:right w:val="none" w:sz="0" w:space="0" w:color="auto"/>
                                                  </w:divBdr>
                                                  <w:divsChild>
                                                    <w:div w:id="632642856">
                                                      <w:marLeft w:val="0"/>
                                                      <w:marRight w:val="0"/>
                                                      <w:marTop w:val="0"/>
                                                      <w:marBottom w:val="0"/>
                                                      <w:divBdr>
                                                        <w:top w:val="none" w:sz="0" w:space="0" w:color="auto"/>
                                                        <w:left w:val="none" w:sz="0" w:space="0" w:color="auto"/>
                                                        <w:bottom w:val="none" w:sz="0" w:space="0" w:color="auto"/>
                                                        <w:right w:val="none" w:sz="0" w:space="0" w:color="auto"/>
                                                      </w:divBdr>
                                                      <w:divsChild>
                                                        <w:div w:id="106898258">
                                                          <w:marLeft w:val="0"/>
                                                          <w:marRight w:val="0"/>
                                                          <w:marTop w:val="0"/>
                                                          <w:marBottom w:val="0"/>
                                                          <w:divBdr>
                                                            <w:top w:val="none" w:sz="0" w:space="0" w:color="auto"/>
                                                            <w:left w:val="none" w:sz="0" w:space="0" w:color="auto"/>
                                                            <w:bottom w:val="none" w:sz="0" w:space="0" w:color="auto"/>
                                                            <w:right w:val="none" w:sz="0" w:space="0" w:color="auto"/>
                                                          </w:divBdr>
                                                          <w:divsChild>
                                                            <w:div w:id="1399747452">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sChild>
                                            </w:div>
                                          </w:divsChild>
                                        </w:div>
                                      </w:divsChild>
                                    </w:div>
                                  </w:divsChild>
                                </w:div>
                              </w:divsChild>
                            </w:div>
                          </w:divsChild>
                        </w:div>
                      </w:divsChild>
                    </w:div>
                  </w:divsChild>
                </w:div>
              </w:divsChild>
            </w:div>
          </w:divsChild>
        </w:div>
      </w:divsChild>
    </w:div>
    <w:div w:id="1539660543">
      <w:bodyDiv w:val="1"/>
      <w:marLeft w:val="0"/>
      <w:marRight w:val="0"/>
      <w:marTop w:val="0"/>
      <w:marBottom w:val="0"/>
      <w:divBdr>
        <w:top w:val="none" w:sz="0" w:space="0" w:color="auto"/>
        <w:left w:val="none" w:sz="0" w:space="0" w:color="auto"/>
        <w:bottom w:val="none" w:sz="0" w:space="0" w:color="auto"/>
        <w:right w:val="none" w:sz="0" w:space="0" w:color="auto"/>
      </w:divBdr>
    </w:div>
    <w:div w:id="1550334203">
      <w:bodyDiv w:val="1"/>
      <w:marLeft w:val="0"/>
      <w:marRight w:val="0"/>
      <w:marTop w:val="0"/>
      <w:marBottom w:val="0"/>
      <w:divBdr>
        <w:top w:val="none" w:sz="0" w:space="0" w:color="auto"/>
        <w:left w:val="none" w:sz="0" w:space="0" w:color="auto"/>
        <w:bottom w:val="none" w:sz="0" w:space="0" w:color="auto"/>
        <w:right w:val="none" w:sz="0" w:space="0" w:color="auto"/>
      </w:divBdr>
    </w:div>
    <w:div w:id="1816726751">
      <w:bodyDiv w:val="1"/>
      <w:marLeft w:val="0"/>
      <w:marRight w:val="0"/>
      <w:marTop w:val="0"/>
      <w:marBottom w:val="0"/>
      <w:divBdr>
        <w:top w:val="none" w:sz="0" w:space="0" w:color="auto"/>
        <w:left w:val="none" w:sz="0" w:space="0" w:color="auto"/>
        <w:bottom w:val="none" w:sz="0" w:space="0" w:color="auto"/>
        <w:right w:val="none" w:sz="0" w:space="0" w:color="auto"/>
      </w:divBdr>
    </w:div>
    <w:div w:id="1967344660">
      <w:bodyDiv w:val="1"/>
      <w:marLeft w:val="0"/>
      <w:marRight w:val="0"/>
      <w:marTop w:val="0"/>
      <w:marBottom w:val="0"/>
      <w:divBdr>
        <w:top w:val="none" w:sz="0" w:space="0" w:color="auto"/>
        <w:left w:val="none" w:sz="0" w:space="0" w:color="auto"/>
        <w:bottom w:val="none" w:sz="0" w:space="0" w:color="auto"/>
        <w:right w:val="none" w:sz="0" w:space="0" w:color="auto"/>
      </w:divBdr>
      <w:divsChild>
        <w:div w:id="1829782472">
          <w:marLeft w:val="0"/>
          <w:marRight w:val="0"/>
          <w:marTop w:val="0"/>
          <w:marBottom w:val="0"/>
          <w:divBdr>
            <w:top w:val="none" w:sz="0" w:space="0" w:color="auto"/>
            <w:left w:val="none" w:sz="0" w:space="0" w:color="auto"/>
            <w:bottom w:val="none" w:sz="0" w:space="0" w:color="auto"/>
            <w:right w:val="none" w:sz="0" w:space="0" w:color="auto"/>
          </w:divBdr>
          <w:divsChild>
            <w:div w:id="1137532747">
              <w:marLeft w:val="0"/>
              <w:marRight w:val="0"/>
              <w:marTop w:val="0"/>
              <w:marBottom w:val="0"/>
              <w:divBdr>
                <w:top w:val="none" w:sz="0" w:space="0" w:color="auto"/>
                <w:left w:val="none" w:sz="0" w:space="0" w:color="auto"/>
                <w:bottom w:val="none" w:sz="0" w:space="0" w:color="auto"/>
                <w:right w:val="none" w:sz="0" w:space="0" w:color="auto"/>
              </w:divBdr>
              <w:divsChild>
                <w:div w:id="1442988382">
                  <w:marLeft w:val="0"/>
                  <w:marRight w:val="0"/>
                  <w:marTop w:val="0"/>
                  <w:marBottom w:val="0"/>
                  <w:divBdr>
                    <w:top w:val="none" w:sz="0" w:space="0" w:color="auto"/>
                    <w:left w:val="none" w:sz="0" w:space="0" w:color="auto"/>
                    <w:bottom w:val="none" w:sz="0" w:space="0" w:color="auto"/>
                    <w:right w:val="none" w:sz="0" w:space="0" w:color="auto"/>
                  </w:divBdr>
                  <w:divsChild>
                    <w:div w:id="1533152833">
                      <w:marLeft w:val="1"/>
                      <w:marRight w:val="1"/>
                      <w:marTop w:val="0"/>
                      <w:marBottom w:val="0"/>
                      <w:divBdr>
                        <w:top w:val="none" w:sz="0" w:space="0" w:color="auto"/>
                        <w:left w:val="none" w:sz="0" w:space="0" w:color="auto"/>
                        <w:bottom w:val="none" w:sz="0" w:space="0" w:color="auto"/>
                        <w:right w:val="none" w:sz="0" w:space="0" w:color="auto"/>
                      </w:divBdr>
                      <w:divsChild>
                        <w:div w:id="247273396">
                          <w:marLeft w:val="0"/>
                          <w:marRight w:val="0"/>
                          <w:marTop w:val="0"/>
                          <w:marBottom w:val="0"/>
                          <w:divBdr>
                            <w:top w:val="none" w:sz="0" w:space="0" w:color="auto"/>
                            <w:left w:val="none" w:sz="0" w:space="0" w:color="auto"/>
                            <w:bottom w:val="none" w:sz="0" w:space="0" w:color="auto"/>
                            <w:right w:val="none" w:sz="0" w:space="0" w:color="auto"/>
                          </w:divBdr>
                          <w:divsChild>
                            <w:div w:id="1472554108">
                              <w:marLeft w:val="0"/>
                              <w:marRight w:val="0"/>
                              <w:marTop w:val="0"/>
                              <w:marBottom w:val="360"/>
                              <w:divBdr>
                                <w:top w:val="none" w:sz="0" w:space="0" w:color="auto"/>
                                <w:left w:val="none" w:sz="0" w:space="0" w:color="auto"/>
                                <w:bottom w:val="none" w:sz="0" w:space="0" w:color="auto"/>
                                <w:right w:val="none" w:sz="0" w:space="0" w:color="auto"/>
                              </w:divBdr>
                              <w:divsChild>
                                <w:div w:id="774863536">
                                  <w:marLeft w:val="0"/>
                                  <w:marRight w:val="0"/>
                                  <w:marTop w:val="0"/>
                                  <w:marBottom w:val="0"/>
                                  <w:divBdr>
                                    <w:top w:val="none" w:sz="0" w:space="0" w:color="auto"/>
                                    <w:left w:val="none" w:sz="0" w:space="0" w:color="auto"/>
                                    <w:bottom w:val="none" w:sz="0" w:space="0" w:color="auto"/>
                                    <w:right w:val="none" w:sz="0" w:space="0" w:color="auto"/>
                                  </w:divBdr>
                                  <w:divsChild>
                                    <w:div w:id="1608191612">
                                      <w:marLeft w:val="0"/>
                                      <w:marRight w:val="0"/>
                                      <w:marTop w:val="0"/>
                                      <w:marBottom w:val="0"/>
                                      <w:divBdr>
                                        <w:top w:val="none" w:sz="0" w:space="0" w:color="auto"/>
                                        <w:left w:val="none" w:sz="0" w:space="0" w:color="auto"/>
                                        <w:bottom w:val="none" w:sz="0" w:space="0" w:color="auto"/>
                                        <w:right w:val="none" w:sz="0" w:space="0" w:color="auto"/>
                                      </w:divBdr>
                                      <w:divsChild>
                                        <w:div w:id="999432163">
                                          <w:marLeft w:val="0"/>
                                          <w:marRight w:val="0"/>
                                          <w:marTop w:val="0"/>
                                          <w:marBottom w:val="0"/>
                                          <w:divBdr>
                                            <w:top w:val="none" w:sz="0" w:space="0" w:color="auto"/>
                                            <w:left w:val="none" w:sz="0" w:space="0" w:color="auto"/>
                                            <w:bottom w:val="none" w:sz="0" w:space="0" w:color="auto"/>
                                            <w:right w:val="none" w:sz="0" w:space="0" w:color="auto"/>
                                          </w:divBdr>
                                          <w:divsChild>
                                            <w:div w:id="925116700">
                                              <w:marLeft w:val="0"/>
                                              <w:marRight w:val="0"/>
                                              <w:marTop w:val="0"/>
                                              <w:marBottom w:val="0"/>
                                              <w:divBdr>
                                                <w:top w:val="none" w:sz="0" w:space="0" w:color="auto"/>
                                                <w:left w:val="none" w:sz="0" w:space="0" w:color="auto"/>
                                                <w:bottom w:val="none" w:sz="0" w:space="0" w:color="auto"/>
                                                <w:right w:val="none" w:sz="0" w:space="0" w:color="auto"/>
                                              </w:divBdr>
                                              <w:divsChild>
                                                <w:div w:id="491725414">
                                                  <w:marLeft w:val="0"/>
                                                  <w:marRight w:val="0"/>
                                                  <w:marTop w:val="0"/>
                                                  <w:marBottom w:val="0"/>
                                                  <w:divBdr>
                                                    <w:top w:val="none" w:sz="0" w:space="0" w:color="auto"/>
                                                    <w:left w:val="none" w:sz="0" w:space="0" w:color="auto"/>
                                                    <w:bottom w:val="none" w:sz="0" w:space="0" w:color="auto"/>
                                                    <w:right w:val="none" w:sz="0" w:space="0" w:color="auto"/>
                                                  </w:divBdr>
                                                  <w:divsChild>
                                                    <w:div w:id="738552043">
                                                      <w:marLeft w:val="0"/>
                                                      <w:marRight w:val="0"/>
                                                      <w:marTop w:val="0"/>
                                                      <w:marBottom w:val="0"/>
                                                      <w:divBdr>
                                                        <w:top w:val="none" w:sz="0" w:space="0" w:color="auto"/>
                                                        <w:left w:val="none" w:sz="0" w:space="0" w:color="auto"/>
                                                        <w:bottom w:val="none" w:sz="0" w:space="0" w:color="auto"/>
                                                        <w:right w:val="none" w:sz="0" w:space="0" w:color="auto"/>
                                                      </w:divBdr>
                                                      <w:divsChild>
                                                        <w:div w:id="1896429606">
                                                          <w:marLeft w:val="0"/>
                                                          <w:marRight w:val="0"/>
                                                          <w:marTop w:val="0"/>
                                                          <w:marBottom w:val="0"/>
                                                          <w:divBdr>
                                                            <w:top w:val="none" w:sz="0" w:space="0" w:color="auto"/>
                                                            <w:left w:val="none" w:sz="0" w:space="0" w:color="auto"/>
                                                            <w:bottom w:val="none" w:sz="0" w:space="0" w:color="auto"/>
                                                            <w:right w:val="none" w:sz="0" w:space="0" w:color="auto"/>
                                                          </w:divBdr>
                                                          <w:divsChild>
                                                            <w:div w:id="410854809">
                                                              <w:marLeft w:val="0"/>
                                                              <w:marRight w:val="0"/>
                                                              <w:marTop w:val="0"/>
                                                              <w:marBottom w:val="0"/>
                                                              <w:divBdr>
                                                                <w:top w:val="single" w:sz="6" w:space="0" w:color="000000"/>
                                                                <w:left w:val="single" w:sz="6" w:space="2" w:color="000000"/>
                                                                <w:bottom w:val="single" w:sz="6" w:space="0" w:color="000000"/>
                                                                <w:right w:val="single" w:sz="6" w:space="2" w:color="000000"/>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opa.eu/rapid/press-release_IP-17-1471_sv.htm" TargetMode="External"/><Relationship Id="rId2" Type="http://schemas.openxmlformats.org/officeDocument/2006/relationships/hyperlink" Target="https://ec.europa.eu/digital-single-market/en/alliance-better-protect-minors-online" TargetMode="External"/><Relationship Id="rId1" Type="http://schemas.openxmlformats.org/officeDocument/2006/relationships/hyperlink" Target="http://ec.europa.eu/environment/cites/pdf/WAP_EN_WEB.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6B7F-7057-4524-9042-D2843FC3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8575</Words>
  <Characters>48878</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2017-09-26T12:40:00Z</dcterms:created>
  <dcterms:modified xsi:type="dcterms:W3CDTF">2017-10-18T05:38:00Z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