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023CC2E868341C8B9AECF3E165E1F9F" style="width:450.75pt;height:36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MOTIVERING</w:t>
      </w:r>
    </w:p>
    <w:p>
      <w:pPr>
        <w:pStyle w:val="ManualHeading1"/>
        <w:rPr>
          <w:noProof/>
        </w:rPr>
      </w:pPr>
      <w:r>
        <w:rPr>
          <w:noProof/>
        </w:rPr>
        <w:t>1.</w:t>
      </w:r>
      <w:r>
        <w:rPr>
          <w:noProof/>
        </w:rPr>
        <w:tab/>
        <w:t>BAKGRUND TILL FÖRSLAGET</w:t>
      </w:r>
    </w:p>
    <w:p>
      <w:pPr>
        <w:pStyle w:val="ManualHeading2"/>
        <w:rPr>
          <w:rFonts w:eastAsia="Arial Unicode MS"/>
          <w:noProof/>
        </w:rPr>
      </w:pPr>
      <w:r>
        <w:rPr>
          <w:noProof/>
          <w:u w:color="000000"/>
          <w:bdr w:val="nil"/>
        </w:rPr>
        <w:t>•</w:t>
      </w:r>
      <w:r>
        <w:rPr>
          <w:noProof/>
          <w:u w:color="000000"/>
          <w:bdr w:val="nil"/>
        </w:rPr>
        <w:tab/>
      </w:r>
      <w:r>
        <w:rPr>
          <w:noProof/>
        </w:rPr>
        <w:t>Motiv och syfte med förslaget</w:t>
      </w:r>
    </w:p>
    <w:p>
      <w:pPr>
        <w:pBdr>
          <w:top w:val="nil"/>
          <w:left w:val="nil"/>
          <w:bottom w:val="nil"/>
          <w:right w:val="nil"/>
          <w:between w:val="nil"/>
          <w:bar w:val="nil"/>
        </w:pBdr>
        <w:spacing w:after="240"/>
        <w:rPr>
          <w:b/>
          <w:noProof/>
          <w:u w:val="single"/>
        </w:rPr>
      </w:pPr>
      <w:r>
        <w:rPr>
          <w:b/>
          <w:noProof/>
          <w:u w:val="single"/>
        </w:rPr>
        <w:t>Inledning</w:t>
      </w:r>
    </w:p>
    <w:p>
      <w:pPr>
        <w:pBdr>
          <w:top w:val="nil"/>
          <w:left w:val="nil"/>
          <w:bottom w:val="nil"/>
          <w:right w:val="nil"/>
          <w:between w:val="nil"/>
          <w:bar w:val="nil"/>
        </w:pBdr>
        <w:spacing w:after="240"/>
        <w:rPr>
          <w:noProof/>
        </w:rPr>
      </w:pPr>
      <w:r>
        <w:rPr>
          <w:noProof/>
        </w:rPr>
        <w:t>Den 12 maj 2016 antog rådet på förslag av kommissionen ett genomförandebeslut om en rekommendation om tillfälliga kontroller vid de inre gränserna under exceptionella omständigheter som utgör en risk för det övergripande funktionssättet för Schengenområdet. Det var första gången som förfarandet i fråga om skyddsåtgärder i artikel 29 i kodexen om Schengengränserna användes. Kombinationen av allvarliga brister i Greklands dåvarande förvaltning av den yttre gränsen och det stora antalet oregistrerade migranter i Grekland som kan ha försökt att förflytta sig irreguljärt till andra medlemsstater gav upphov till exceptionella omständigheter som ledde till ett allvarligt hot mot den allmänna ordningen och den inre säkerheten och utgjorde en risk för det övergripande funktionssättet för Schengenområdet.</w:t>
      </w:r>
    </w:p>
    <w:p>
      <w:pPr>
        <w:pBdr>
          <w:top w:val="nil"/>
          <w:left w:val="nil"/>
          <w:bottom w:val="nil"/>
          <w:right w:val="nil"/>
          <w:between w:val="nil"/>
          <w:bar w:val="nil"/>
        </w:pBdr>
        <w:spacing w:after="240"/>
        <w:rPr>
          <w:noProof/>
        </w:rPr>
      </w:pPr>
      <w:r>
        <w:rPr>
          <w:noProof/>
        </w:rPr>
        <w:t>Denna rekommendation riktade sig till fem Schengenstater (Österrike, Tyskland, Danmark, Sverige och Norge) och avsåg ett begränsat antal avsnitt av den inre gränsen i dessa stater.</w:t>
      </w:r>
    </w:p>
    <w:p>
      <w:pPr>
        <w:pBdr>
          <w:top w:val="nil"/>
          <w:left w:val="nil"/>
          <w:bottom w:val="nil"/>
          <w:right w:val="nil"/>
          <w:between w:val="nil"/>
          <w:bar w:val="nil"/>
        </w:pBdr>
        <w:spacing w:after="240"/>
        <w:rPr>
          <w:noProof/>
        </w:rPr>
      </w:pPr>
      <w:r>
        <w:rPr>
          <w:noProof/>
        </w:rPr>
        <w:t>Rekommendationen gav möjlighet att behålla riktade och proportionella kontroller i sex månader, dvs. t.o.m. den 12 november 2016.</w:t>
      </w:r>
    </w:p>
    <w:p>
      <w:pPr>
        <w:pBdr>
          <w:top w:val="nil"/>
          <w:left w:val="nil"/>
          <w:bottom w:val="nil"/>
          <w:right w:val="nil"/>
          <w:between w:val="nil"/>
          <w:bar w:val="nil"/>
        </w:pBdr>
        <w:spacing w:after="240"/>
        <w:rPr>
          <w:noProof/>
        </w:rPr>
      </w:pPr>
      <w:r>
        <w:rPr>
          <w:noProof/>
        </w:rPr>
        <w:t>Enligt artikel 29 i kodexen om Schengengränserna kan denna period förlängas i enlighet med de villkor och förfaranden som anges i den artikeln.</w:t>
      </w:r>
    </w:p>
    <w:p>
      <w:pPr>
        <w:pBdr>
          <w:top w:val="nil"/>
          <w:left w:val="nil"/>
          <w:bottom w:val="nil"/>
          <w:right w:val="nil"/>
          <w:between w:val="nil"/>
          <w:bar w:val="nil"/>
        </w:pBdr>
        <w:spacing w:after="240"/>
        <w:rPr>
          <w:b/>
          <w:noProof/>
          <w:u w:val="single"/>
        </w:rPr>
      </w:pPr>
      <w:r>
        <w:rPr>
          <w:b/>
          <w:noProof/>
          <w:u w:val="single"/>
        </w:rPr>
        <w:t>Nuläge</w:t>
      </w:r>
    </w:p>
    <w:p>
      <w:pPr>
        <w:pBdr>
          <w:top w:val="nil"/>
          <w:left w:val="nil"/>
          <w:bottom w:val="nil"/>
          <w:right w:val="nil"/>
          <w:between w:val="nil"/>
          <w:bar w:val="nil"/>
        </w:pBdr>
        <w:spacing w:after="240"/>
        <w:rPr>
          <w:noProof/>
        </w:rPr>
      </w:pPr>
      <w:r>
        <w:rPr>
          <w:noProof/>
        </w:rPr>
        <w:t>Efter rådets rekommendation av den 12 maj underrättade de fem berörda Schengenstaterna kommissionen om att de skulle genomföra den rekommenderade tillfälliga kontrollen vid de inre gränserna.</w:t>
      </w:r>
    </w:p>
    <w:p>
      <w:pPr>
        <w:pBdr>
          <w:top w:val="nil"/>
          <w:left w:val="nil"/>
          <w:bottom w:val="nil"/>
          <w:right w:val="nil"/>
          <w:between w:val="nil"/>
          <w:bar w:val="nil"/>
        </w:pBdr>
        <w:spacing w:after="240"/>
        <w:rPr>
          <w:noProof/>
        </w:rPr>
      </w:pPr>
      <w:r>
        <w:rPr>
          <w:noProof/>
        </w:rPr>
        <w:t>Kommissionen konstaterade i sin rapport av den 28 september 2016, som såsom förutsetts i rekommendationen byggde på information från de berörda medlemsstaterna, att gränskontrollerna hade hållit sig inom de begränsningar som anges i rekommendationen: kontrollerna begränsades till de fastställda migrationsvägarna och hoten, de var målinriktade och i fråga om omfattning, frekvens, plats och tid begränsade till vad som är absolut nödvändigt för att bemöta det fastställda hotet, och även om det inte gick att utesluta vissa ekonomiska konsekvenser påverkade de i minsta möjliga mån allmänhetens passage av de inre gränserna. Kommissionen konstaterade på grundval av de uppgifter som den då hade till sitt förfogande att den inte kunde se att den behövde föreslå några ändringar av rekommendationen.</w:t>
      </w:r>
    </w:p>
    <w:p>
      <w:pPr>
        <w:pBdr>
          <w:top w:val="nil"/>
          <w:left w:val="nil"/>
          <w:bottom w:val="nil"/>
          <w:right w:val="nil"/>
          <w:between w:val="nil"/>
          <w:bar w:val="nil"/>
        </w:pBdr>
        <w:spacing w:after="240"/>
        <w:rPr>
          <w:noProof/>
        </w:rPr>
      </w:pPr>
      <w:r>
        <w:rPr>
          <w:noProof/>
        </w:rPr>
        <w:t>Den 18 och 21 oktober 2016 rapporterade de berörda Schengenstaterna för andra gången till kommissionen om genomförandet av rådets rekommendation. Den information som lämnades följer samma trend som de uppgifter som lämnades för den första rapporten (en minskning av antalet personer som nekas inresa och av antalet mottagna asylansökningar) och vittnar därför om en fortlöpande stabilisering av situationen. Den 20 oktober betonade de fem Schengenstaterna i en skrivelse till kommissionen behovet av att låta de tillfälliga gränskontrollerna fortsätta. Den 6 oktober hade även Slovenien skrivit till kommissionen för att framföra sin oro över eventuellt fortsatta gränskontroller vid gränsen mellan Österrike och Slovenien.</w:t>
      </w:r>
    </w:p>
    <w:p>
      <w:pPr>
        <w:pBdr>
          <w:top w:val="nil"/>
          <w:left w:val="nil"/>
          <w:bottom w:val="nil"/>
          <w:right w:val="nil"/>
          <w:between w:val="nil"/>
          <w:bar w:val="nil"/>
        </w:pBdr>
        <w:spacing w:after="240"/>
        <w:rPr>
          <w:noProof/>
        </w:rPr>
      </w:pPr>
      <w:r>
        <w:rPr>
          <w:noProof/>
        </w:rPr>
        <w:t>Att utlösa artikel 29 i kodexen om Schengengränserna och att anta en samordnad strategi på EU-nivå för tillfälliga gränskontroller fanns med bland de initiativ som övervägdes i färdplanen för att återvända till Schengen</w:t>
      </w:r>
      <w:r>
        <w:rPr>
          <w:rStyle w:val="FootnoteReference"/>
          <w:noProof/>
        </w:rPr>
        <w:footnoteReference w:id="1"/>
      </w:r>
      <w:r>
        <w:rPr>
          <w:noProof/>
        </w:rPr>
        <w:t xml:space="preserve"> och som syftade till att skapa förutsättningar för ett hävande av alla kontroller vid de inre gränserna och ett återupprättat, normalt fungerande Schengenområde senast i slutet av 2016.</w:t>
      </w:r>
    </w:p>
    <w:p>
      <w:pPr>
        <w:pBdr>
          <w:top w:val="nil"/>
          <w:left w:val="nil"/>
          <w:bottom w:val="nil"/>
          <w:right w:val="nil"/>
          <w:between w:val="nil"/>
          <w:bar w:val="nil"/>
        </w:pBdr>
        <w:spacing w:after="240"/>
        <w:rPr>
          <w:noProof/>
        </w:rPr>
      </w:pPr>
      <w:r>
        <w:rPr>
          <w:noProof/>
        </w:rPr>
        <w:t>Trots den kraftiga minskningen av antalet anländande irreguljära migranter och asylsökande i Europeiska unionen, framför allt på grund av genomförandet av EU:s och Turkiets uttalande, är fortfarande ett stort antal irreguljära migranter (ca 60 000) strandsatta i Grekland, och dessa kan rimligen förväntas försöka förflytta sig irreguljärt till andra medlemsstater.</w:t>
      </w:r>
    </w:p>
    <w:p>
      <w:pPr>
        <w:pBdr>
          <w:top w:val="nil"/>
          <w:left w:val="nil"/>
          <w:bottom w:val="nil"/>
          <w:right w:val="nil"/>
          <w:between w:val="nil"/>
          <w:bar w:val="nil"/>
        </w:pBdr>
        <w:spacing w:after="240"/>
        <w:rPr>
          <w:noProof/>
        </w:rPr>
      </w:pPr>
      <w:r>
        <w:rPr>
          <w:noProof/>
        </w:rPr>
        <w:t>Dessutom är det totala antal asylansökningar som tas emot av de Schengenstater som berörs av rekommendationen fortfarande en relevant faktor, även om det inte kan jämföras med antalet mottagna asylansökningar vid samma tidpunkt föregående år. Genom det stora antalet anländande irreguljära migranter och asylsökande i Europeiska unionen sedan hösten 2015 har alla EU-medlemsstater ställts inför betydande utmaningar som måste beaktas. Utmaningarna har handlat om att garantera lämpliga bostäder och tillgång till utbildning och hälso- och sjukvård för dem som anlänt sedan förra året. Dessutom blev det kontinuerligt svårare för förvaltningarna i dessa stater att fungera på grund av arbetet med den kvarvarande eftersläpningen samt ytterligare anländande och ansökningar om skydd.</w:t>
      </w:r>
    </w:p>
    <w:p>
      <w:pPr>
        <w:pBdr>
          <w:top w:val="nil"/>
          <w:left w:val="nil"/>
          <w:bottom w:val="nil"/>
          <w:right w:val="nil"/>
          <w:between w:val="nil"/>
          <w:bar w:val="nil"/>
        </w:pBdr>
        <w:spacing w:after="240"/>
        <w:rPr>
          <w:noProof/>
        </w:rPr>
      </w:pPr>
      <w:r>
        <w:rPr>
          <w:noProof/>
        </w:rPr>
        <w:t>Vidare krävs mer tid för att andra åtgärder som föreskrivs i färdplanen för att återvända till Schengen ska genomföras fullt ut och motsvarande resultat bekräftas.</w:t>
      </w:r>
    </w:p>
    <w:p>
      <w:pPr>
        <w:pBdr>
          <w:top w:val="nil"/>
          <w:left w:val="nil"/>
          <w:bottom w:val="nil"/>
          <w:right w:val="nil"/>
          <w:between w:val="nil"/>
          <w:bar w:val="nil"/>
        </w:pBdr>
        <w:spacing w:after="240"/>
        <w:rPr>
          <w:noProof/>
        </w:rPr>
      </w:pPr>
      <w:r>
        <w:rPr>
          <w:noProof/>
        </w:rPr>
        <w:t>I detta avseende har ett europeiskt gräns- och kustbevakningssystem rekordsnabbt antagits och trätt i kraft. Reserverna för snabba insatser (personal och teknisk utrustning), samt reserverna för snabba återvändanden måste dock vara inrättade och operationella senast den 7 december 2016 respektive den 7 januari 2017. De första sårbarhetsbedömningarna bör slutföras under de tre första månaderna 2017.</w:t>
      </w:r>
    </w:p>
    <w:p>
      <w:pPr>
        <w:pBdr>
          <w:top w:val="nil"/>
          <w:left w:val="nil"/>
          <w:bottom w:val="nil"/>
          <w:right w:val="nil"/>
          <w:between w:val="nil"/>
          <w:bar w:val="nil"/>
        </w:pBdr>
        <w:spacing w:after="240"/>
        <w:rPr>
          <w:noProof/>
        </w:rPr>
      </w:pPr>
      <w:r>
        <w:rPr>
          <w:noProof/>
        </w:rPr>
        <w:t>Genomförandet av EU:s och Turkiets uttalande fortsätter att ge resultat. Trots detta anländer fortfarande i genomsnitt 107 personer per dag till de grekiska öarna. Det är viktigt att fortsätta att se till att uttalandet fungerar varaktigt. Det finns dessutom ett fortlöpande behov av det samarbete som man kommit överens om i uttalandet från mötet mellan de ledare som berörs av västra Balkanrutten, vilket framgår av antalet personer som fortfarande anländer till Serbien.</w:t>
      </w:r>
    </w:p>
    <w:p>
      <w:pPr>
        <w:pBdr>
          <w:top w:val="nil"/>
          <w:left w:val="nil"/>
          <w:bottom w:val="nil"/>
          <w:right w:val="nil"/>
          <w:between w:val="nil"/>
          <w:bar w:val="nil"/>
        </w:pBdr>
        <w:spacing w:after="240"/>
        <w:rPr>
          <w:noProof/>
        </w:rPr>
      </w:pPr>
      <w:r>
        <w:rPr>
          <w:noProof/>
        </w:rPr>
        <w:t>Således kvarstår de exceptionella omständigheter som innebär ett allvarligt hot mot den allmänna ordningen och den inre säkerheten och som utgör en risk för det övergripande funktionssättet för hela Schengenområdet.</w:t>
      </w:r>
    </w:p>
    <w:p>
      <w:pPr>
        <w:pBdr>
          <w:top w:val="nil"/>
          <w:left w:val="nil"/>
          <w:bottom w:val="nil"/>
          <w:right w:val="nil"/>
          <w:between w:val="nil"/>
          <w:bar w:val="nil"/>
        </w:pBdr>
        <w:spacing w:after="240"/>
        <w:rPr>
          <w:b/>
          <w:noProof/>
          <w:u w:val="single"/>
        </w:rPr>
      </w:pPr>
      <w:r>
        <w:rPr>
          <w:b/>
          <w:noProof/>
          <w:u w:val="single"/>
        </w:rPr>
        <w:t>Det fortsatta arbetet</w:t>
      </w:r>
    </w:p>
    <w:p>
      <w:pPr>
        <w:pBdr>
          <w:top w:val="nil"/>
          <w:left w:val="nil"/>
          <w:bottom w:val="nil"/>
          <w:right w:val="nil"/>
          <w:between w:val="nil"/>
          <w:bar w:val="nil"/>
        </w:pBdr>
        <w:spacing w:after="240"/>
        <w:rPr>
          <w:noProof/>
        </w:rPr>
      </w:pPr>
      <w:r>
        <w:rPr>
          <w:noProof/>
        </w:rPr>
        <w:t>De fakta som redovisas ovan ger vid handen att de förutsättningar som färdplanen för att återvända till Schengen skulle skapa för att alla inre gränskontroller skulle kunna upphöra och Schengenområdet återigen skulle fungera normalt ännu inte föreligger helt och hållet. Det har emellertid uppnåtts stadiga och betydande resultat på vägen tillbaka till ett fullt fungerande Schengenområde. Men i detta skede är situationen i Grekland och längs västra Balkanrutten fortfarande instabil, och de medlemsstater som påverkas mest av de sekundära förflyttningar av irreguljära migranter som kommer från Grekland är utsatta för ett betydande tryck. Det fullständiga genomförandet av det europeiska gräns- och kustbevakningssystemet, som ytterligare skulle stärka skyddet av EU:s yttre gränser, kommer att slutföras senast i januari 2017. Det fortsatta genomförandet av EU:s och Turkiets uttalande kommer att bidra till att ytterligare minska antalet anländande till EU och ge de nationella systemen utrymme att ytterligare handlägga asylansökningar, komma tillrätta med eftersläpningen i arbetet med asylansökningar och befästa sin mottagningskapacitet.</w:t>
      </w:r>
    </w:p>
    <w:p>
      <w:pPr>
        <w:pBdr>
          <w:top w:val="nil"/>
          <w:left w:val="nil"/>
          <w:bottom w:val="nil"/>
          <w:right w:val="nil"/>
          <w:between w:val="nil"/>
          <w:bar w:val="nil"/>
        </w:pBdr>
        <w:spacing w:after="240"/>
        <w:rPr>
          <w:noProof/>
        </w:rPr>
      </w:pPr>
      <w:r>
        <w:rPr>
          <w:noProof/>
        </w:rPr>
        <w:t>De befintliga Dublinreglerna måste stegvis återinföras, med full delaktighet för Grekland, i enlighet med kommissionens rekommendationer</w:t>
      </w:r>
      <w:r>
        <w:rPr>
          <w:rStyle w:val="FootnoteReference"/>
          <w:noProof/>
        </w:rPr>
        <w:footnoteReference w:id="2"/>
      </w:r>
      <w:r>
        <w:rPr>
          <w:noProof/>
        </w:rPr>
        <w:t>, samtidigt som dessa regler förbättras inför framtiden på grundval av solidaritet och ansvar. Dessutom bör de system för omplacering i nödsituationer som redan införts sedan september 2015 fortsätta att ge konkreta resultat uttryckt i antal omplacerade personer. Slutligen måste återvändandet av personer som inte har rätt att stanna i Europeiska unionen intensifieras ytterligare.</w:t>
      </w:r>
    </w:p>
    <w:p>
      <w:pPr>
        <w:pBdr>
          <w:top w:val="nil"/>
          <w:left w:val="nil"/>
          <w:bottom w:val="nil"/>
          <w:right w:val="nil"/>
          <w:between w:val="nil"/>
          <w:bar w:val="nil"/>
        </w:pBdr>
        <w:spacing w:after="240"/>
        <w:rPr>
          <w:noProof/>
        </w:rPr>
      </w:pPr>
      <w:r>
        <w:rPr>
          <w:noProof/>
        </w:rPr>
        <w:t>Det är därför motiverat att tillåta de berörda medlemsstaterna att förlänga de nuvarande kontrollerna vid de inre gränserna med ytterligare en proportionell period. På grundval av de faktabaserade indikatorer som nu finns att tillgå bör förlängningen inte överstiga tre månader.</w:t>
      </w:r>
    </w:p>
    <w:p>
      <w:pPr>
        <w:pBdr>
          <w:top w:val="nil"/>
          <w:left w:val="nil"/>
          <w:bottom w:val="nil"/>
          <w:right w:val="nil"/>
          <w:between w:val="nil"/>
          <w:bar w:val="nil"/>
        </w:pBdr>
        <w:spacing w:after="240"/>
        <w:rPr>
          <w:b/>
          <w:noProof/>
          <w:u w:val="single"/>
        </w:rPr>
      </w:pPr>
      <w:r>
        <w:rPr>
          <w:b/>
          <w:noProof/>
          <w:u w:val="single"/>
        </w:rPr>
        <w:t>Förslagets tillämpningsområde</w:t>
      </w:r>
    </w:p>
    <w:p>
      <w:pPr>
        <w:pBdr>
          <w:top w:val="nil"/>
          <w:left w:val="nil"/>
          <w:bottom w:val="nil"/>
          <w:right w:val="nil"/>
          <w:between w:val="nil"/>
          <w:bar w:val="nil"/>
        </w:pBdr>
        <w:spacing w:after="240"/>
        <w:rPr>
          <w:noProof/>
        </w:rPr>
      </w:pPr>
      <w:r>
        <w:rPr>
          <w:noProof/>
        </w:rPr>
        <w:t>De Schengenstater som för närvarande genomför tillfälliga kontroller vid de inre gränserna enligt rådets rekommendation av den 12 maj 2016 bör tillåtas att fortsätta att göra det.</w:t>
      </w:r>
    </w:p>
    <w:p>
      <w:pPr>
        <w:pBdr>
          <w:top w:val="nil"/>
          <w:left w:val="nil"/>
          <w:bottom w:val="nil"/>
          <w:right w:val="nil"/>
          <w:between w:val="nil"/>
          <w:bar w:val="nil"/>
        </w:pBdr>
        <w:spacing w:after="240"/>
        <w:rPr>
          <w:noProof/>
        </w:rPr>
      </w:pPr>
      <w:r>
        <w:rPr>
          <w:noProof/>
        </w:rPr>
        <w:t>Med tanke på den alltmer stabiliserade situationen bör emellertid gränskontroller väljas endast som en sista utväg när andra åtgärder som är mindre restriktiva för den gränsöverskridande trafiken, exempelvis poliskontroller i enlighet med artikel 23 i kodexen om Schengengränserna, inte i tillräcklig utsträckning kan hantera de hot som fastställts. Följaktligen bör de medlemsstater som beslutar att upprätthålla kontroll vid de inre gränserna enligt denna rekommendation innan de väljer att fortsätta undersöka alla tillgängliga alternativ till gränskontroller. De berörda medlemsstaterna bör informera om resultaten av denna granskning i sina meddelanden till övriga medlemsstater, Europaparlamentet och kommissionen om att de kommer att behålla kontrollerna vid de inre gränserna.</w:t>
      </w:r>
    </w:p>
    <w:p>
      <w:pPr>
        <w:pBdr>
          <w:top w:val="nil"/>
          <w:left w:val="nil"/>
          <w:bottom w:val="nil"/>
          <w:right w:val="nil"/>
          <w:between w:val="nil"/>
          <w:bar w:val="nil"/>
        </w:pBdr>
        <w:spacing w:after="240"/>
        <w:rPr>
          <w:noProof/>
        </w:rPr>
      </w:pPr>
      <w:r>
        <w:rPr>
          <w:noProof/>
        </w:rPr>
        <w:t>Såsom anges i Europeiska rådets slutsatser om migration av den 20 oktober 2016 omfattar processen för återupptagandet av Schengensamarbetet en anpassning av de tillfälliga kontrollerna vid de inre gränserna så att de avspeglar de nuvarande behoven. Kontrollen vid de inre gränserna bör endast genomföras på grundval av riskanalys och underrättelseverksamhet och bör i fråga om omfattning, frekvens, plats och tid begränsas till vad som är absolut nödvändigt för att bemöta det allvarliga hotet och garantera den allmänna ordningen och inre säkerheten. Den medlemsstat som genomför kontroller vid de inre gränserna i enlighet med denna rekommendation bör veckovis ompröva nödvändigheten, frekvensen, platsen och tidpunkterna för kontrollerna, anpassa kontrollerna till det berörda hotet, och när så är lämpligt avveckla dem. Den medlemsstat som genomför kontroller vid de inre gränserna enligt denna rekommendation bör även regelbundet samråda med relevanta angränsande medlemsstater för att säkerställa att kontrollerna vid de inre gränserna endast utförs vid de delar av den inre gränsen där det anses nödvändigt och proportionellt, i enlighet med kodexen om Schengengränserna.</w:t>
      </w:r>
    </w:p>
    <w:p>
      <w:pPr>
        <w:pBdr>
          <w:top w:val="nil"/>
          <w:left w:val="nil"/>
          <w:bottom w:val="nil"/>
          <w:right w:val="nil"/>
          <w:between w:val="nil"/>
          <w:bar w:val="nil"/>
        </w:pBdr>
        <w:spacing w:after="240"/>
        <w:rPr>
          <w:noProof/>
        </w:rPr>
      </w:pPr>
      <w:r>
        <w:rPr>
          <w:noProof/>
        </w:rPr>
        <w:t>Det bör också införas en mer detaljerad rapporteringsskyldighet. Efter varje månad av genomförande av denna rekommendation bör de berörda medlemsstaterna i tillämpliga fall rapportera till kommissionen om resultatet av de kontroller som genomförts och om bedömningen av om det fortfarande är nödvändigt med sådana kontroller. Denna rapport bör inbegripa åtminstone det totala antalet personer som kontrollerats, det totala antalet nekade inresor efter kontrollerna, det totala antalet beslut om återvändande som utfärdats efter kontrollerna samt det totala antalet asylansökningar som mottagits vid de inre gränser där kontrollerna äger rum.</w:t>
      </w:r>
    </w:p>
    <w:p>
      <w:pPr>
        <w:pBdr>
          <w:top w:val="nil"/>
          <w:left w:val="nil"/>
          <w:bottom w:val="nil"/>
          <w:right w:val="nil"/>
          <w:between w:val="nil"/>
          <w:bar w:val="nil"/>
        </w:pBdr>
        <w:spacing w:after="240"/>
        <w:rPr>
          <w:rFonts w:eastAsia="Arial Unicode MS"/>
          <w:noProof/>
        </w:rPr>
      </w:pPr>
      <w:r>
        <w:rPr>
          <w:noProof/>
        </w:rPr>
        <w:t>Kommissionen kommer att noga övervaka rekommendationens tillämpning och situationen på plats.</w:t>
      </w:r>
    </w:p>
    <w:p>
      <w:pPr>
        <w:pStyle w:val="ManualHeading2"/>
        <w:rPr>
          <w:rFonts w:eastAsia="Arial Unicode MS"/>
          <w:noProof/>
          <w:u w:color="000000"/>
          <w:bdr w:val="nil"/>
        </w:rPr>
      </w:pPr>
      <w:r>
        <w:rPr>
          <w:noProof/>
          <w:u w:color="000000"/>
          <w:bdr w:val="nil"/>
        </w:rPr>
        <w:t>•</w:t>
      </w:r>
      <w:r>
        <w:rPr>
          <w:noProof/>
          <w:u w:color="000000"/>
          <w:bdr w:val="nil"/>
        </w:rPr>
        <w:tab/>
      </w:r>
      <w:r>
        <w:rPr>
          <w:noProof/>
        </w:rPr>
        <w:t>Förenlighet med befintliga bestämmelser inom området</w:t>
      </w:r>
    </w:p>
    <w:p>
      <w:pPr>
        <w:pBdr>
          <w:top w:val="nil"/>
          <w:left w:val="nil"/>
          <w:bottom w:val="nil"/>
          <w:right w:val="nil"/>
          <w:between w:val="nil"/>
          <w:bar w:val="nil"/>
        </w:pBdr>
        <w:spacing w:after="240"/>
        <w:rPr>
          <w:noProof/>
        </w:rPr>
      </w:pPr>
      <w:r>
        <w:rPr>
          <w:noProof/>
        </w:rPr>
        <w:t>Syftet med denna rekommendation är att understödja genomförandet av befintliga bestämmelser inom området.</w:t>
      </w:r>
    </w:p>
    <w:p>
      <w:pPr>
        <w:pStyle w:val="ManualHeading2"/>
        <w:rPr>
          <w:rFonts w:eastAsia="Arial Unicode MS"/>
          <w:noProof/>
        </w:rPr>
      </w:pPr>
      <w:r>
        <w:rPr>
          <w:noProof/>
          <w:u w:color="000000"/>
          <w:bdr w:val="nil"/>
        </w:rPr>
        <w:t>•</w:t>
      </w:r>
      <w:r>
        <w:rPr>
          <w:noProof/>
          <w:u w:color="000000"/>
          <w:bdr w:val="nil"/>
        </w:rPr>
        <w:tab/>
      </w:r>
      <w:r>
        <w:rPr>
          <w:noProof/>
        </w:rPr>
        <w:t>Förenlighet med unionens politik inom andra områden</w:t>
      </w:r>
    </w:p>
    <w:p>
      <w:pPr>
        <w:pBdr>
          <w:top w:val="nil"/>
          <w:left w:val="nil"/>
          <w:bottom w:val="nil"/>
          <w:right w:val="nil"/>
          <w:between w:val="nil"/>
          <w:bar w:val="nil"/>
        </w:pBdr>
        <w:spacing w:after="240"/>
        <w:rPr>
          <w:noProof/>
        </w:rPr>
      </w:pPr>
      <w:r>
        <w:rPr>
          <w:noProof/>
        </w:rPr>
        <w:t>Denna rekommendation har kopplingar till unionens inre marknad och migrations- och asylpolitik.</w:t>
      </w:r>
    </w:p>
    <w:p>
      <w:pPr>
        <w:pStyle w:val="ManualHeading1"/>
        <w:rPr>
          <w:noProof/>
        </w:rPr>
      </w:pPr>
      <w:r>
        <w:rPr>
          <w:noProof/>
        </w:rPr>
        <w:t>2.</w:t>
      </w:r>
      <w:r>
        <w:rPr>
          <w:noProof/>
        </w:rPr>
        <w:tab/>
        <w:t>RÄTTSLIG GRUND, SUBSIDIARITETSPRINCIPEN OCH PROPORTIONALITETSPRINCIPEN</w:t>
      </w:r>
    </w:p>
    <w:p>
      <w:pPr>
        <w:pStyle w:val="ManualHeading2"/>
        <w:rPr>
          <w:rFonts w:eastAsia="Arial Unicode MS"/>
          <w:noProof/>
          <w:u w:color="000000"/>
          <w:bdr w:val="nil"/>
        </w:rPr>
      </w:pPr>
      <w:r>
        <w:rPr>
          <w:noProof/>
          <w:u w:color="000000"/>
          <w:bdr w:val="nil"/>
        </w:rPr>
        <w:t>•</w:t>
      </w:r>
      <w:r>
        <w:rPr>
          <w:noProof/>
          <w:u w:color="000000"/>
          <w:bdr w:val="nil"/>
        </w:rPr>
        <w:tab/>
        <w:t>Rättslig grund</w:t>
      </w:r>
    </w:p>
    <w:p>
      <w:pPr>
        <w:pBdr>
          <w:top w:val="nil"/>
          <w:left w:val="nil"/>
          <w:bottom w:val="nil"/>
          <w:right w:val="nil"/>
          <w:between w:val="nil"/>
          <w:bar w:val="nil"/>
        </w:pBdr>
        <w:spacing w:after="240"/>
        <w:rPr>
          <w:noProof/>
        </w:rPr>
      </w:pPr>
      <w:r>
        <w:rPr>
          <w:noProof/>
        </w:rPr>
        <w:t>Artikel 29 i Europaparlamentets och rådets förordning (EU) 2016/399 av den 9 mars 2016 om en unionskodex om gränspassage för personer (kodex om Schengengränserna).</w:t>
      </w:r>
    </w:p>
    <w:p>
      <w:pPr>
        <w:pStyle w:val="ManualHeading2"/>
        <w:rPr>
          <w:rFonts w:eastAsia="Arial Unicode MS"/>
          <w:noProof/>
          <w:u w:color="000000"/>
          <w:bdr w:val="nil"/>
        </w:rPr>
      </w:pPr>
      <w:r>
        <w:rPr>
          <w:noProof/>
          <w:u w:color="000000"/>
          <w:bdr w:val="nil"/>
        </w:rPr>
        <w:t>•</w:t>
      </w:r>
      <w:r>
        <w:rPr>
          <w:noProof/>
          <w:u w:color="000000"/>
          <w:bdr w:val="nil"/>
        </w:rPr>
        <w:tab/>
        <w:t>Subsidiaritetsprincipen (för icke-exklusiv befogenhet)</w:t>
      </w:r>
    </w:p>
    <w:p>
      <w:pPr>
        <w:pBdr>
          <w:top w:val="nil"/>
          <w:left w:val="nil"/>
          <w:bottom w:val="nil"/>
          <w:right w:val="nil"/>
          <w:between w:val="nil"/>
          <w:bar w:val="nil"/>
        </w:pBdr>
        <w:spacing w:after="240"/>
        <w:rPr>
          <w:noProof/>
        </w:rPr>
      </w:pPr>
      <w:r>
        <w:rPr>
          <w:noProof/>
        </w:rPr>
        <w:t>Enligt artikel 29 i förordning (EU) 2016/399 ska rådet, på grundval av ett förslag från kommissionen, anta en rekommendation om tillfälliga kontroller vid de inre gränserna.</w:t>
      </w:r>
    </w:p>
    <w:p>
      <w:pPr>
        <w:rPr>
          <w:noProof/>
        </w:rPr>
      </w:pPr>
      <w:r>
        <w:rPr>
          <w:noProof/>
        </w:rPr>
        <w:t>Åtgärder på unionsnivå krävs om det övergripande funktionssättet för området utan kontroller vid de inre gränserna utsätts för risker.</w:t>
      </w:r>
    </w:p>
    <w:p>
      <w:pPr>
        <w:pStyle w:val="ManualHeading2"/>
        <w:rPr>
          <w:rFonts w:eastAsia="Arial Unicode MS"/>
          <w:noProof/>
          <w:u w:color="000000"/>
          <w:bdr w:val="nil"/>
        </w:rPr>
      </w:pPr>
      <w:r>
        <w:rPr>
          <w:noProof/>
          <w:u w:color="000000"/>
          <w:bdr w:val="nil"/>
        </w:rPr>
        <w:t>•</w:t>
      </w:r>
      <w:r>
        <w:rPr>
          <w:noProof/>
          <w:u w:color="000000"/>
          <w:bdr w:val="nil"/>
        </w:rPr>
        <w:tab/>
        <w:t>Proportionalitetsprincipen</w:t>
      </w:r>
    </w:p>
    <w:p>
      <w:pPr>
        <w:pBdr>
          <w:top w:val="nil"/>
          <w:left w:val="nil"/>
          <w:bottom w:val="nil"/>
          <w:right w:val="nil"/>
          <w:between w:val="nil"/>
          <w:bar w:val="nil"/>
        </w:pBdr>
        <w:spacing w:after="240"/>
        <w:rPr>
          <w:noProof/>
        </w:rPr>
      </w:pPr>
      <w:r>
        <w:rPr>
          <w:noProof/>
        </w:rPr>
        <w:t>Föreliggande förslag går inte utöver vad som krävs för att uppnå de mål som eftersträvas.</w:t>
      </w:r>
    </w:p>
    <w:p>
      <w:pPr>
        <w:pStyle w:val="ManualHeading1"/>
        <w:rPr>
          <w:noProof/>
        </w:rPr>
      </w:pPr>
      <w:r>
        <w:rPr>
          <w:noProof/>
        </w:rPr>
        <w:t>3.</w:t>
      </w:r>
      <w:r>
        <w:rPr>
          <w:noProof/>
        </w:rPr>
        <w:tab/>
        <w:t>RESULTAT AV EFTERHANDSUTVÄRDERINGAR, SAMRÅD MED BERÖRDA PARTER OCH KONSEKVENSBEDÖMNINGAR</w:t>
      </w:r>
    </w:p>
    <w:p>
      <w:pPr>
        <w:pStyle w:val="ManualHeading2"/>
        <w:rPr>
          <w:rFonts w:eastAsia="Arial Unicode MS"/>
          <w:noProof/>
          <w:u w:color="000000"/>
          <w:bdr w:val="nil"/>
        </w:rPr>
      </w:pPr>
      <w:r>
        <w:rPr>
          <w:noProof/>
          <w:u w:color="000000"/>
          <w:bdr w:val="nil"/>
        </w:rPr>
        <w:t>•</w:t>
      </w:r>
      <w:r>
        <w:rPr>
          <w:noProof/>
          <w:u w:color="000000"/>
          <w:bdr w:val="nil"/>
        </w:rPr>
        <w:tab/>
        <w:t>Efterhandsutvärderingar/kontroller av ändamålsenligheten med befintlig lagstiftning</w:t>
      </w:r>
    </w:p>
    <w:p>
      <w:pPr>
        <w:pBdr>
          <w:top w:val="nil"/>
          <w:left w:val="nil"/>
          <w:bottom w:val="nil"/>
          <w:right w:val="nil"/>
          <w:between w:val="nil"/>
          <w:bar w:val="nil"/>
        </w:pBdr>
        <w:spacing w:after="240"/>
        <w:rPr>
          <w:noProof/>
        </w:rPr>
      </w:pPr>
      <w:r>
        <w:rPr>
          <w:noProof/>
        </w:rPr>
        <w:t>Ej tillämpligt.</w:t>
      </w:r>
    </w:p>
    <w:p>
      <w:pPr>
        <w:pStyle w:val="ManualHeading2"/>
        <w:rPr>
          <w:rFonts w:eastAsia="Arial Unicode MS"/>
          <w:noProof/>
          <w:u w:color="000000"/>
          <w:bdr w:val="nil"/>
        </w:rPr>
      </w:pPr>
      <w:r>
        <w:rPr>
          <w:noProof/>
          <w:u w:color="000000"/>
          <w:bdr w:val="nil"/>
        </w:rPr>
        <w:t>•</w:t>
      </w:r>
      <w:r>
        <w:rPr>
          <w:noProof/>
          <w:u w:color="000000"/>
          <w:bdr w:val="nil"/>
        </w:rPr>
        <w:tab/>
        <w:t>Samråd med berörda parter</w:t>
      </w:r>
    </w:p>
    <w:p>
      <w:pPr>
        <w:pBdr>
          <w:top w:val="nil"/>
          <w:left w:val="nil"/>
          <w:bottom w:val="nil"/>
          <w:right w:val="nil"/>
          <w:between w:val="nil"/>
          <w:bar w:val="nil"/>
        </w:pBdr>
        <w:spacing w:after="240"/>
        <w:rPr>
          <w:noProof/>
        </w:rPr>
      </w:pPr>
      <w:r>
        <w:rPr>
          <w:noProof/>
        </w:rPr>
        <w:t xml:space="preserve">Med tanke på förslagets brådskande karaktär gick det inte att genomföra samråd med berörda parter. </w:t>
      </w:r>
    </w:p>
    <w:p>
      <w:pPr>
        <w:pStyle w:val="ManualHeading2"/>
        <w:rPr>
          <w:rFonts w:eastAsia="Arial Unicode MS"/>
          <w:noProof/>
          <w:u w:color="000000"/>
          <w:bdr w:val="nil"/>
        </w:rPr>
      </w:pPr>
      <w:r>
        <w:rPr>
          <w:noProof/>
          <w:u w:color="000000"/>
          <w:bdr w:val="nil"/>
        </w:rPr>
        <w:t>•</w:t>
      </w:r>
      <w:r>
        <w:rPr>
          <w:noProof/>
          <w:u w:color="000000"/>
          <w:bdr w:val="nil"/>
        </w:rPr>
        <w:tab/>
        <w:t>Insamling och användning av sakkunnigutlåtanden</w:t>
      </w:r>
    </w:p>
    <w:p>
      <w:pPr>
        <w:pBdr>
          <w:top w:val="nil"/>
          <w:left w:val="nil"/>
          <w:bottom w:val="nil"/>
          <w:right w:val="nil"/>
          <w:between w:val="nil"/>
          <w:bar w:val="nil"/>
        </w:pBdr>
        <w:spacing w:after="240"/>
        <w:rPr>
          <w:noProof/>
        </w:rPr>
      </w:pPr>
      <w:r>
        <w:rPr>
          <w:noProof/>
        </w:rPr>
        <w:t>Ej tillämpligt.</w:t>
      </w:r>
    </w:p>
    <w:p>
      <w:pPr>
        <w:pStyle w:val="ManualHeading2"/>
        <w:rPr>
          <w:rFonts w:eastAsia="Arial Unicode MS"/>
          <w:noProof/>
          <w:u w:color="000000"/>
          <w:bdr w:val="nil"/>
        </w:rPr>
      </w:pPr>
      <w:r>
        <w:rPr>
          <w:noProof/>
          <w:u w:color="000000"/>
          <w:bdr w:val="nil"/>
        </w:rPr>
        <w:t>•</w:t>
      </w:r>
      <w:r>
        <w:rPr>
          <w:noProof/>
          <w:u w:color="000000"/>
          <w:bdr w:val="nil"/>
        </w:rPr>
        <w:tab/>
        <w:t>Konsekvensbedömning</w:t>
      </w:r>
    </w:p>
    <w:p>
      <w:pPr>
        <w:pBdr>
          <w:top w:val="nil"/>
          <w:left w:val="nil"/>
          <w:bottom w:val="nil"/>
          <w:right w:val="nil"/>
          <w:between w:val="nil"/>
          <w:bar w:val="nil"/>
        </w:pBdr>
        <w:spacing w:after="240"/>
        <w:rPr>
          <w:noProof/>
        </w:rPr>
      </w:pPr>
      <w:r>
        <w:rPr>
          <w:noProof/>
        </w:rPr>
        <w:t>Med hänsyn till den begränsade tidsram som planeras och med beaktande av de uppgifter som lämnats av de berörda medlemsstaterna och som finns tillgängliga avseende situationen i Grekland har en fullständig konsekvensbedömning inte utarbetats.</w:t>
      </w:r>
    </w:p>
    <w:p>
      <w:pPr>
        <w:pStyle w:val="ManualHeading2"/>
        <w:rPr>
          <w:rFonts w:eastAsia="Arial Unicode MS"/>
          <w:noProof/>
          <w:u w:color="000000"/>
          <w:bdr w:val="nil"/>
        </w:rPr>
      </w:pPr>
      <w:r>
        <w:rPr>
          <w:noProof/>
          <w:u w:color="000000"/>
          <w:bdr w:val="nil"/>
        </w:rPr>
        <w:t>•</w:t>
      </w:r>
      <w:r>
        <w:rPr>
          <w:noProof/>
          <w:u w:color="000000"/>
          <w:bdr w:val="nil"/>
        </w:rPr>
        <w:tab/>
        <w:t>Lagstiftningens ändamålsenlighet och förenkling</w:t>
      </w:r>
    </w:p>
    <w:p>
      <w:pPr>
        <w:pBdr>
          <w:top w:val="nil"/>
          <w:left w:val="nil"/>
          <w:bottom w:val="nil"/>
          <w:right w:val="nil"/>
          <w:between w:val="nil"/>
          <w:bar w:val="nil"/>
        </w:pBdr>
        <w:spacing w:after="240"/>
        <w:rPr>
          <w:noProof/>
        </w:rPr>
      </w:pPr>
      <w:r>
        <w:rPr>
          <w:noProof/>
        </w:rPr>
        <w:t>Ej tillämpligt.</w:t>
      </w:r>
    </w:p>
    <w:p>
      <w:pPr>
        <w:pStyle w:val="ManualHeading2"/>
        <w:rPr>
          <w:rFonts w:eastAsia="Arial Unicode MS"/>
          <w:noProof/>
          <w:u w:color="000000"/>
          <w:bdr w:val="nil"/>
        </w:rPr>
      </w:pPr>
      <w:r>
        <w:rPr>
          <w:noProof/>
          <w:u w:color="000000"/>
          <w:bdr w:val="nil"/>
        </w:rPr>
        <w:t>•</w:t>
      </w:r>
      <w:r>
        <w:rPr>
          <w:noProof/>
          <w:u w:color="000000"/>
          <w:bdr w:val="nil"/>
        </w:rPr>
        <w:tab/>
        <w:t>Grundläggande rättigheter</w:t>
      </w:r>
    </w:p>
    <w:p>
      <w:pPr>
        <w:pBdr>
          <w:top w:val="nil"/>
          <w:left w:val="nil"/>
          <w:bottom w:val="nil"/>
          <w:right w:val="nil"/>
          <w:between w:val="nil"/>
          <w:bar w:val="nil"/>
        </w:pBdr>
        <w:spacing w:after="240"/>
        <w:rPr>
          <w:noProof/>
        </w:rPr>
      </w:pPr>
      <w:r>
        <w:rPr>
          <w:noProof/>
        </w:rPr>
        <w:t>Skyddet av de grundläggande rättigheterna har beaktats vid utarbetandet av förslaget.</w:t>
      </w:r>
    </w:p>
    <w:p>
      <w:pPr>
        <w:pStyle w:val="ManualHeading1"/>
        <w:rPr>
          <w:noProof/>
        </w:rPr>
      </w:pPr>
      <w:r>
        <w:rPr>
          <w:noProof/>
        </w:rPr>
        <w:t>4.</w:t>
      </w:r>
      <w:r>
        <w:rPr>
          <w:noProof/>
        </w:rPr>
        <w:tab/>
        <w:t>BUDGETKONSEKVENSER</w:t>
      </w:r>
    </w:p>
    <w:p>
      <w:pPr>
        <w:shd w:val="clear" w:color="auto" w:fill="FFFFFF"/>
        <w:autoSpaceDE w:val="0"/>
        <w:autoSpaceDN w:val="0"/>
        <w:adjustRightInd w:val="0"/>
        <w:spacing w:before="230" w:line="269" w:lineRule="exact"/>
        <w:ind w:right="86"/>
        <w:rPr>
          <w:noProof/>
        </w:rPr>
      </w:pPr>
      <w:r>
        <w:rPr>
          <w:noProof/>
        </w:rPr>
        <w:t>Den föreslagna åtgärden påverkar inte unionens budget.</w:t>
      </w:r>
    </w:p>
    <w:p>
      <w:pPr>
        <w:widowControl w:val="0"/>
        <w:shd w:val="clear" w:color="auto" w:fill="FFFFFF"/>
        <w:autoSpaceDE w:val="0"/>
        <w:autoSpaceDN w:val="0"/>
        <w:adjustRightInd w:val="0"/>
        <w:spacing w:before="230" w:after="0" w:line="269" w:lineRule="exact"/>
        <w:ind w:right="86"/>
        <w:rPr>
          <w:noProof/>
        </w:rPr>
      </w:pPr>
      <w:r>
        <w:rPr>
          <w:noProof/>
        </w:rPr>
        <w:t>.</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2016/0347 (NLE)</w:t>
      </w:r>
    </w:p>
    <w:p>
      <w:pPr>
        <w:pStyle w:val="Statut"/>
        <w:rPr>
          <w:noProof/>
        </w:rPr>
      </w:pPr>
      <w:r>
        <w:rPr>
          <w:noProof/>
        </w:rPr>
        <w:t>Förslag till</w:t>
      </w:r>
    </w:p>
    <w:p>
      <w:pPr>
        <w:pStyle w:val="Typedudocument"/>
        <w:rPr>
          <w:noProof/>
        </w:rPr>
      </w:pPr>
      <w:r>
        <w:rPr>
          <w:noProof/>
        </w:rPr>
        <w:t>RÅDETS GENOMFÖRANDEBESLUT</w:t>
      </w:r>
    </w:p>
    <w:p>
      <w:pPr>
        <w:pStyle w:val="Titreobjet"/>
        <w:rPr>
          <w:noProof/>
        </w:rPr>
      </w:pPr>
      <w:r>
        <w:rPr>
          <w:noProof/>
        </w:rPr>
        <w:t>om en rekommendation om förlängning av tillfälliga kontroller vid de inre gränserna under exceptionella omständigheter som utgör en risk för det övergripande funktionssättet för Schengenområdet</w:t>
      </w:r>
    </w:p>
    <w:p>
      <w:pPr>
        <w:pStyle w:val="Institutionquiagit"/>
        <w:rPr>
          <w:noProof/>
        </w:rPr>
      </w:pPr>
      <w:r>
        <w:rPr>
          <w:noProof/>
        </w:rPr>
        <w:t>EUROPEISKA UNIONENS RÅD HAR ANTAGIT DETTA BESLUT</w:t>
      </w:r>
    </w:p>
    <w:p>
      <w:pPr>
        <w:rPr>
          <w:noProof/>
        </w:rPr>
      </w:pPr>
      <w:r>
        <w:rPr>
          <w:noProof/>
        </w:rPr>
        <w:t>med beaktande av fördraget om Europeiska unionens funktionssätt,</w:t>
      </w:r>
    </w:p>
    <w:p>
      <w:pPr>
        <w:rPr>
          <w:noProof/>
        </w:rPr>
      </w:pPr>
      <w:r>
        <w:rPr>
          <w:noProof/>
        </w:rPr>
        <w:t>med beaktande av Europaparlamentets och rådets förordning (EU) 2016/399 av den 9 mars 2016 om en unionskodex om gränspassage för personer (kodex om Schengengränserna)</w:t>
      </w:r>
      <w:r>
        <w:rPr>
          <w:rStyle w:val="FootnoteReference"/>
          <w:noProof/>
        </w:rPr>
        <w:footnoteReference w:id="3"/>
      </w:r>
      <w:r>
        <w:rPr>
          <w:noProof/>
        </w:rPr>
        <w:t xml:space="preserve"> och i synnerhet artikel 29 i denna,</w:t>
      </w:r>
    </w:p>
    <w:p>
      <w:pPr>
        <w:rPr>
          <w:noProof/>
        </w:rPr>
      </w:pPr>
      <w:r>
        <w:rPr>
          <w:noProof/>
        </w:rPr>
        <w:t>med beaktande av Europeiska kommissionens förslag, och</w:t>
      </w:r>
    </w:p>
    <w:p>
      <w:pPr>
        <w:rPr>
          <w:noProof/>
        </w:rPr>
      </w:pPr>
      <w:r>
        <w:rPr>
          <w:noProof/>
        </w:rPr>
        <w:t>av följande skäl:</w:t>
      </w:r>
    </w:p>
    <w:p>
      <w:pPr>
        <w:pStyle w:val="ManualConsidrant"/>
        <w:rPr>
          <w:noProof/>
        </w:rPr>
      </w:pPr>
      <w:r>
        <w:t>(1)</w:t>
      </w:r>
      <w:r>
        <w:tab/>
      </w:r>
      <w:r>
        <w:rPr>
          <w:noProof/>
        </w:rPr>
        <w:t>I enlighet med artikel 29 i kodexen om Schengengränserna antog rådet den 12 maj 2016 ett genomförandebeslut om en rekommendation om tillfälliga kontroller vid de inre gränserna under exceptionella omständigheter som utgör en risk för det övergripande funktionssättet för Schengenområdet.</w:t>
      </w:r>
    </w:p>
    <w:p>
      <w:pPr>
        <w:pStyle w:val="ManualConsidrant"/>
        <w:rPr>
          <w:noProof/>
        </w:rPr>
      </w:pPr>
      <w:r>
        <w:t>(2)</w:t>
      </w:r>
      <w:r>
        <w:tab/>
      </w:r>
      <w:r>
        <w:rPr>
          <w:noProof/>
        </w:rPr>
        <w:t>Rådet rekommenderade fem Schengenstater (Österrike, Tyskland, Danmark, Sverige och Norge) att behålla proportionella tillfälliga gränskontroller i högst sex månader, räknat från och med dagen för antagandet av det genomförandebeslutet, i syfte att bemöta det allvarliga hotet mot den allmänna ordningen och den inre säkerheten i dessa stater till följd av kombinationen av brister i kontrollen av den yttre gränsen i Grekland och de sekundära förflyttningarna av irreguljära migranter som anlänt via Grekland och som har för avsikt att förflytta sig till andra Schengenstater.</w:t>
      </w:r>
    </w:p>
    <w:p>
      <w:pPr>
        <w:pStyle w:val="ManualConsidrant"/>
        <w:rPr>
          <w:noProof/>
        </w:rPr>
      </w:pPr>
      <w:r>
        <w:t>(3)</w:t>
      </w:r>
      <w:r>
        <w:tab/>
      </w:r>
      <w:r>
        <w:rPr>
          <w:noProof/>
        </w:rPr>
        <w:t>Den 28 september 2016 offentliggjorde kommissionen sin rapport om genomförandet av genomförandebeslutet. Kommissionen drog slutsatsen att de kontroller vid de inre gränserna som genomförts av Österrike, Tyskland, Danmark, Sverige och Norge har varit proportionella och i överensstämmelse med rådets rekommendation. På grundval av den tillgängliga informationen och rapporterna från de berörda staterna slog kommissionen vidare fast att den vid rapporteringstidpunkten inte såg något behov av att föreslå ändringar av genomförandebeslutet.</w:t>
      </w:r>
    </w:p>
    <w:p>
      <w:pPr>
        <w:pStyle w:val="ManualConsidrant"/>
        <w:rPr>
          <w:noProof/>
        </w:rPr>
      </w:pPr>
      <w:r>
        <w:t>(4)</w:t>
      </w:r>
      <w:r>
        <w:tab/>
      </w:r>
      <w:r>
        <w:rPr>
          <w:noProof/>
        </w:rPr>
        <w:t>Den 18 och 21 oktober 2016 rapporterade de berörda Schengenstaterna för andra gången till kommissionen om genomförandet av rådets rekommendation.  Den information som lämnades följer samma trend som de uppgifter som lämnades för den första rapporten (en minskning av antalet personer som nekas inresa och av antalet mottagna asylansökningar) och vittnar därför om en fortlöpande stabilisering av situationen.</w:t>
      </w:r>
    </w:p>
    <w:p>
      <w:pPr>
        <w:pStyle w:val="ManualConsidrant"/>
        <w:rPr>
          <w:noProof/>
        </w:rPr>
      </w:pPr>
      <w:r>
        <w:t>(5)</w:t>
      </w:r>
      <w:r>
        <w:tab/>
      </w:r>
      <w:r>
        <w:rPr>
          <w:noProof/>
        </w:rPr>
        <w:t>Trots ett kraftigt fall i antalet anländande irreguljära migranter och asylsökande i Europeiska unionen finns det fortfarande kvar ett betydande antal irreguljära migranter i Grekland samt i de medlemsstater som påverkats mest av sekundära förflyttningar av irreguljära migranter som kommer från Grekland. Utifrån tidigare observerade trender är det berättigat att förvänta sig att dessa personer kan komma att vilja förflytta sig irreguljärt till andra medlemsstater när de gränskontroller som hindrar deras sekundära förflyttning hävs.</w:t>
      </w:r>
    </w:p>
    <w:p>
      <w:pPr>
        <w:pStyle w:val="ManualConsidrant"/>
        <w:rPr>
          <w:noProof/>
        </w:rPr>
      </w:pPr>
      <w:r>
        <w:t>(6)</w:t>
      </w:r>
      <w:r>
        <w:tab/>
      </w:r>
      <w:r>
        <w:rPr>
          <w:noProof/>
        </w:rPr>
        <w:t>Det sammanlagda antalet asylansökningar som har inkommit sedan början av migrationskrisen och de ansökningar som fortfarande lämnas in har satt stor press på de nationella förvaltningarna och tjänsterna i alla EU-medlemsstater och särskilt i de Schengenstater som berörs av genomförandebeslutet.</w:t>
      </w:r>
    </w:p>
    <w:p>
      <w:pPr>
        <w:pStyle w:val="ManualConsidrant"/>
        <w:rPr>
          <w:noProof/>
        </w:rPr>
      </w:pPr>
      <w:r>
        <w:t>(7)</w:t>
      </w:r>
      <w:r>
        <w:tab/>
      </w:r>
      <w:r>
        <w:rPr>
          <w:noProof/>
        </w:rPr>
        <w:t xml:space="preserve">Kontroller vid de inre gränserna kan inte betraktas isolerat från andra viktiga faktorer. I sitt meddelande </w:t>
      </w:r>
      <w:r>
        <w:rPr>
          <w:i/>
          <w:noProof/>
        </w:rPr>
        <w:t>Att återvända till Schengen – en färdplan</w:t>
      </w:r>
      <w:r>
        <w:rPr>
          <w:rStyle w:val="FootnoteReference"/>
          <w:noProof/>
        </w:rPr>
        <w:footnoteReference w:id="4"/>
      </w:r>
      <w:r>
        <w:rPr>
          <w:noProof/>
        </w:rPr>
        <w:t xml:space="preserve"> fastställde kommissionen de olika strategier som behöver genomföras för en återgång till ett fullt fungerande Schengenområde.</w:t>
      </w:r>
    </w:p>
    <w:p>
      <w:pPr>
        <w:pStyle w:val="ManualConsidrant"/>
        <w:rPr>
          <w:noProof/>
        </w:rPr>
      </w:pPr>
      <w:r>
        <w:t>(8)</w:t>
      </w:r>
      <w:r>
        <w:tab/>
      </w:r>
      <w:r>
        <w:rPr>
          <w:noProof/>
        </w:rPr>
        <w:t>Färdplanen inbegrep i synnerhet antagande och genomförande av det europeiska gräns- och kustbevakningssystemet. Europaparlamentets och rådets förordning (EU) 2016/1624 av den 14 september 2016 om en europeisk gräns- och kustbevakning</w:t>
      </w:r>
      <w:r>
        <w:rPr>
          <w:rStyle w:val="FootnoteReference"/>
          <w:noProof/>
        </w:rPr>
        <w:footnoteReference w:id="5"/>
      </w:r>
      <w:r>
        <w:rPr>
          <w:noProof/>
        </w:rPr>
        <w:t xml:space="preserve"> trädde i kraft den 6 oktober 2016, inom nio månader från framläggandet av kommissionens förslag, vilket visar på ett engagemang från alla berörda aktörer. Reserverna för snabba insatser, som omfattar både personal och teknisk utrustning, samt reserverna för snabba återvändanden förväntas vara inrättade och operationella senast den 7 december 2016 respektive den 7 januari 2017.</w:t>
      </w:r>
    </w:p>
    <w:p>
      <w:pPr>
        <w:pStyle w:val="ManualConsidrant"/>
        <w:rPr>
          <w:noProof/>
        </w:rPr>
      </w:pPr>
      <w:r>
        <w:t>(9)</w:t>
      </w:r>
      <w:r>
        <w:tab/>
      </w:r>
      <w:r>
        <w:rPr>
          <w:noProof/>
        </w:rPr>
        <w:t>En annan faktor som fastställs i färdplanen för att återvända till Schengen är det framgångsrika genomförandet av uttalandet från EU och Turkiet. Samtidigt som genomförandet av uttalandet, vilket beskrivs i den tredje lägesrapporten</w:t>
      </w:r>
      <w:r>
        <w:rPr>
          <w:rStyle w:val="FootnoteReference"/>
          <w:noProof/>
        </w:rPr>
        <w:footnoteReference w:id="6"/>
      </w:r>
      <w:r>
        <w:rPr>
          <w:noProof/>
        </w:rPr>
        <w:t>, fortsätter att ge resultat är det viktigt att fortsätta att säkerställa att uttalandet fungerar varaktigt. Dessutom kvarstår ett fortlöpande behov av det samarbete som man enades om i uttalandet efter ledarnas möte om västra Balkanrutten.</w:t>
      </w:r>
    </w:p>
    <w:p>
      <w:pPr>
        <w:pStyle w:val="ManualConsidrant"/>
        <w:rPr>
          <w:noProof/>
        </w:rPr>
      </w:pPr>
      <w:r>
        <w:t>(10)</w:t>
      </w:r>
      <w:r>
        <w:tab/>
      </w:r>
      <w:r>
        <w:rPr>
          <w:noProof/>
        </w:rPr>
        <w:t>Ovanstående visar att det fortfarande behövs tid för att fullt ut genomföra dessa åtgärder och bekräfta de motsvarande resultaten, trots de stadiga och betydande framsteg som gjorts på de områden som fastställs i färdplanen för att återvända till Schengen och trots en fortlöpande stabilisering av situationen.</w:t>
      </w:r>
    </w:p>
    <w:p>
      <w:pPr>
        <w:pStyle w:val="ManualConsidrant"/>
        <w:rPr>
          <w:noProof/>
        </w:rPr>
      </w:pPr>
      <w:r>
        <w:t>(11)</w:t>
      </w:r>
      <w:r>
        <w:tab/>
      </w:r>
      <w:r>
        <w:rPr>
          <w:noProof/>
        </w:rPr>
        <w:t>Således kvarstår exceptionella omständigheter som innebär ett allvarligt hot mot den allmänna ordningen och den inre säkerheten och som utgör en risk för det övergripande funktionssättet för Schengenområdet.</w:t>
      </w:r>
    </w:p>
    <w:p>
      <w:pPr>
        <w:pStyle w:val="ManualConsidrant"/>
        <w:rPr>
          <w:noProof/>
        </w:rPr>
      </w:pPr>
      <w:r>
        <w:t>(12)</w:t>
      </w:r>
      <w:r>
        <w:tab/>
      </w:r>
      <w:r>
        <w:rPr>
          <w:noProof/>
        </w:rPr>
        <w:t>Med beaktande av den rådande instabila situationen i Grekland och återstoden av migrationstrycket i de medlemsstater som påverkats mest av sekundära förflyttningar av irreguljära migranter som kommer från Grekland förefaller det därför befogat att tillåta en proportionell förlängning av de tillfälliga kontrollerna vid de inre gränserna i de Schengenstater som för närvarande i enlighet med artikel 29 i kodexen om Schengengränserna genomför sådana kontroller som en sista utväg för att bemöta ett allvarligt hot mot sin allmänna ordning eller inre säkerhet, nämligen Österrike, Tyskland, Danmark, Sverige och det associerade landet Norge.</w:t>
      </w:r>
    </w:p>
    <w:p>
      <w:pPr>
        <w:pStyle w:val="ManualConsidrant"/>
        <w:rPr>
          <w:noProof/>
        </w:rPr>
      </w:pPr>
      <w:r>
        <w:t>(13)</w:t>
      </w:r>
      <w:r>
        <w:tab/>
      </w:r>
      <w:r>
        <w:rPr>
          <w:noProof/>
        </w:rPr>
        <w:t>På grundval av de faktiska indikatorer som finns tillgängliga i detta skede bör denna förlängning inte överstiga tre månader räknat från och med dagen för antagandet av detta genomförandebeslut.</w:t>
      </w:r>
    </w:p>
    <w:p>
      <w:pPr>
        <w:pStyle w:val="ManualConsidrant"/>
        <w:rPr>
          <w:noProof/>
        </w:rPr>
      </w:pPr>
      <w:r>
        <w:t>(14)</w:t>
      </w:r>
      <w:r>
        <w:tab/>
      </w:r>
      <w:r>
        <w:rPr>
          <w:noProof/>
        </w:rPr>
        <w:t>De medlemsstater som beslutar att fortsätta genomföra kontroller vid de inre gränserna efter detta genomförandebeslut bör underrätta övriga medlemsstater, Europaparlamentet och kommissionen om detta.</w:t>
      </w:r>
    </w:p>
    <w:p>
      <w:pPr>
        <w:pStyle w:val="ManualConsidrant"/>
        <w:rPr>
          <w:noProof/>
        </w:rPr>
      </w:pPr>
      <w:r>
        <w:t>(15)</w:t>
      </w:r>
      <w:r>
        <w:tab/>
      </w:r>
      <w:r>
        <w:rPr>
          <w:noProof/>
        </w:rPr>
        <w:t>Innan de väljer att använda sig av sådana kontroller bör de berörda medlemsstaterna undersöka huruvida andra åtgärder som fungerar som alternativ till gränskontroller kan användas för att verkningsfullt bemöta det konstaterade hotet. De berörda medlemsstaterna bör i sina meddelanden informera om resultaten av denna överläggning och om skälen till varför man har valt att använda sig av gränskontroller.</w:t>
      </w:r>
    </w:p>
    <w:p>
      <w:pPr>
        <w:pStyle w:val="ManualConsidrant"/>
        <w:rPr>
          <w:noProof/>
        </w:rPr>
      </w:pPr>
      <w:r>
        <w:t>(16)</w:t>
      </w:r>
      <w:r>
        <w:tab/>
      </w:r>
      <w:r>
        <w:rPr>
          <w:noProof/>
        </w:rPr>
        <w:t>Såsom anges i Europeiska rådets slutsatser om migration av den 20 oktober 2016 omfattar processen för återupptagandet av Schengensamarbetet en anpassning av de tillfälliga kontrollerna vid de inre gränserna så att de avspeglar de nuvarande behoven. Kontrollerna i enlighet med detta genomförandebeslut bör endast genomföras i nödvändig omfattning, med en kontrollintensitet som begränsas till ett nödvändigt minimum. Om till exempel migrationsströmmen under en viss period är obetydlig är det möjligt att kontrollerna vid vissa gränsavsnitt rentav inte längre är nödvändiga. I syfte att i minsta möjliga mån hindra allmänhetens passage av de berörda inre gränserna kan endast riktade kontroller som grundar sig på riskanalys och underrättelseverksamhet äga rum. Dessutom bör nödvändigheten vad gäller dessa kontroller vid de berörda gränsavsnitten regelbundet undersökas och utvärderas i samarbete med alla berörda medlemsstater i syfte att successivt minska dem.</w:t>
      </w:r>
    </w:p>
    <w:p>
      <w:pPr>
        <w:pStyle w:val="ManualConsidrant"/>
        <w:rPr>
          <w:noProof/>
        </w:rPr>
      </w:pPr>
      <w:r>
        <w:t>(17)</w:t>
      </w:r>
      <w:r>
        <w:tab/>
      </w:r>
      <w:r>
        <w:rPr>
          <w:noProof/>
        </w:rPr>
        <w:t>Vid slutet av varje månad av genomförandet av detta genomförandebeslut bör en fullständig rapport om resultaten av de kontroller som genomförts skickas till kommissionen tillsammans med, i förekommande fall, en bedömning av deras fortsatta nödvändighet. Denna rapport bör inbegripa det totala antalet personer som kontrollerats, det totala antalet nekade inresor efter kontrollerna, det totala antalet beslut om återvändande som utfärdats efter kontrollerna samt det totala antalet asylansökningar som mottagits vid de inre gränser där kontrollerna äger rum.</w:t>
      </w:r>
    </w:p>
    <w:p>
      <w:pPr>
        <w:pStyle w:val="ManualConsidrant"/>
        <w:rPr>
          <w:noProof/>
        </w:rPr>
      </w:pPr>
      <w:r>
        <w:t>(18)</w:t>
      </w:r>
      <w:r>
        <w:tab/>
      </w:r>
      <w:r>
        <w:rPr>
          <w:noProof/>
        </w:rPr>
        <w:t>Rådet noterar att kommissionen har tillkännagivit att den noga kommer att bevaka tillämpningen av detta genomförandebeslut.</w:t>
      </w:r>
    </w:p>
    <w:p>
      <w:pPr>
        <w:rPr>
          <w:noProof/>
        </w:rPr>
      </w:pPr>
    </w:p>
    <w:p>
      <w:pPr>
        <w:pStyle w:val="Formuledadoption"/>
        <w:rPr>
          <w:noProof/>
        </w:rPr>
      </w:pPr>
      <w:r>
        <w:rPr>
          <w:noProof/>
        </w:rPr>
        <w:t>HÄRIGENOM REKOMMENDERAS FÖLJANDE.</w:t>
      </w:r>
    </w:p>
    <w:p>
      <w:pPr>
        <w:pStyle w:val="Titrearticle"/>
        <w:rPr>
          <w:noProof/>
        </w:rPr>
      </w:pPr>
    </w:p>
    <w:p>
      <w:pPr>
        <w:rPr>
          <w:noProof/>
        </w:rPr>
      </w:pPr>
      <w:r>
        <w:rPr>
          <w:noProof/>
        </w:rPr>
        <w:t>1. Österrike, Tyskland, Danmark, Sverige och Norge bör förlänga proportionella tillfälliga gränskontroller i högst tre månader, räknat från och med dagen för antagandet av detta genomförandebeslut vid följande inre gränser:</w:t>
      </w:r>
    </w:p>
    <w:p>
      <w:pPr>
        <w:rPr>
          <w:noProof/>
        </w:rPr>
      </w:pPr>
      <w:r>
        <w:rPr>
          <w:noProof/>
        </w:rPr>
        <w:t>– Österrike vid landgränsen mellan Österrike och Ungern och landgränsen mellan Österrike och Slovenien.</w:t>
      </w:r>
    </w:p>
    <w:p>
      <w:pPr>
        <w:rPr>
          <w:noProof/>
        </w:rPr>
      </w:pPr>
      <w:r>
        <w:rPr>
          <w:noProof/>
        </w:rPr>
        <w:t>– Tyskland vid landgränsen mellan Tyskland och Österrike.</w:t>
      </w:r>
    </w:p>
    <w:p>
      <w:pPr>
        <w:rPr>
          <w:noProof/>
        </w:rPr>
      </w:pPr>
      <w:r>
        <w:rPr>
          <w:noProof/>
        </w:rPr>
        <w:t>– Danmark i de danska hamnarna med färjeförbindelser till Tyskland och vid landgränsen mellan Danmark och Tyskland.</w:t>
      </w:r>
    </w:p>
    <w:p>
      <w:pPr>
        <w:rPr>
          <w:noProof/>
        </w:rPr>
      </w:pPr>
      <w:r>
        <w:rPr>
          <w:noProof/>
        </w:rPr>
        <w:t>– Sverige i de svenska hamnarna i polisregionerna Syd och Väst samt vid Öresundsbron.</w:t>
      </w:r>
    </w:p>
    <w:p>
      <w:pPr>
        <w:rPr>
          <w:noProof/>
        </w:rPr>
      </w:pPr>
      <w:r>
        <w:rPr>
          <w:noProof/>
        </w:rPr>
        <w:t>– Norge i de norska hamnarna med färjeförbindelser till Danmark, Sverige och Tyskland.</w:t>
      </w:r>
    </w:p>
    <w:p>
      <w:pPr>
        <w:rPr>
          <w:noProof/>
        </w:rPr>
      </w:pPr>
      <w:r>
        <w:rPr>
          <w:noProof/>
        </w:rPr>
        <w:t>2. Innan sådana kontroller förlängs bör de berörda medlemsstaterna samtala med den eller de relevanta medlemsstaterna för att säkerställa att kontroller vid de inre gränserna endast genomförs där det anses nödvändigt och proportionellt. Dessutom bör de berörda medlemsstaterna säkerställa att kontroller vid de inre gränserna endast genomförs som en sista utväg när andra åtgärder inte kan tillämpas verkningsfullt, och endast vid de delar av den inre gränsen där det anses nödvändigt och proportionellt, i enlighet med kodexen om Schengengränserna. De berörda medlemsstaterna bör underrätta övriga medlemsstater, Europaparlamentet och kommissionen om detta.</w:t>
      </w:r>
    </w:p>
    <w:p>
      <w:pPr>
        <w:rPr>
          <w:noProof/>
        </w:rPr>
      </w:pPr>
      <w:r>
        <w:rPr>
          <w:noProof/>
        </w:rPr>
        <w:t>3. Gränskontrollen bör förbli målinriktad, grundad på riskanalys och underrättelseverksamhet och i fråga om omfattning, frekvens, plats och tid begränsad till vad som är absolut nödvändigt för att bemöta det allvarliga hotet och därigenom säkra den allmänna ordningen och inre säkerheten. Den medlemsstat som genomför kontroller vid de inre gränserna i enlighet med detta genomförandebeslut bör veckovis ompröva nödvändigheten, frekvensen, platsen och tidpunkterna för kontrollerna, anpassa kontrollernas intensitet till det berörda hotet och när så är lämpligt avveckla dem samt varje månad rapportera till kommissionen.</w:t>
      </w:r>
    </w:p>
    <w:p>
      <w:pPr>
        <w:pStyle w:val="Fait"/>
        <w:rPr>
          <w:noProof/>
        </w:rPr>
      </w:pPr>
      <w:r>
        <w:rPr>
          <w:noProof/>
        </w:rPr>
        <w:t>Utfärdat i Strasbourg den</w:t>
      </w:r>
    </w:p>
    <w:p>
      <w:pPr>
        <w:pStyle w:val="Institutionquisigne"/>
        <w:rPr>
          <w:noProof/>
        </w:rPr>
      </w:pPr>
      <w:r>
        <w:rPr>
          <w:noProof/>
        </w:rPr>
        <w:tab/>
        <w:t>På rådets vägnar</w:t>
      </w:r>
    </w:p>
    <w:p>
      <w:pPr>
        <w:pStyle w:val="Personnequisigne"/>
        <w:keepNext/>
        <w:rPr>
          <w:noProof/>
        </w:rPr>
      </w:pPr>
      <w:r>
        <w:rPr>
          <w:noProof/>
        </w:rPr>
        <w:tab/>
        <w:t>Ordförande</w:t>
      </w:r>
    </w:p>
    <w:p>
      <w:pPr>
        <w:pStyle w:val="Personnequisigne"/>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SV</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SV</w:t>
    </w:r>
    <w:r>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rPr>
          <w:rStyle w:val="FootnoteReference"/>
        </w:rPr>
        <w:tab/>
      </w:r>
      <w:r>
        <w:t xml:space="preserve">Meddelande från kommissionen till Europaparlamentet, Europeiska rådet och rådet: </w:t>
      </w:r>
      <w:r>
        <w:rPr>
          <w:i/>
        </w:rPr>
        <w:t>Att återvända till Schengen - en färdplan</w:t>
      </w:r>
      <w:r>
        <w:t>, COM(2016) 120 final.</w:t>
      </w:r>
    </w:p>
  </w:footnote>
  <w:footnote w:id="2">
    <w:p>
      <w:pPr>
        <w:pStyle w:val="FootnoteText"/>
      </w:pPr>
      <w:r>
        <w:rPr>
          <w:rStyle w:val="FootnoteReference"/>
        </w:rPr>
        <w:footnoteRef/>
      </w:r>
      <w:r>
        <w:rPr>
          <w:rStyle w:val="FootnoteReference"/>
        </w:rPr>
        <w:tab/>
      </w:r>
      <w:r>
        <w:t>Kommissionens rekommendation av den 10 februari 2016 riktad till Republiken Grekland om brådskande åtgärder som Grekland ska vidta så att överföringar enligt Europaparlamentets och rådets förordning (EU) nr 604/2013 kan återupptas [C(2016) 871 final]. Kommissionens rekommendation av den 15 juni 2016 till Republiken Grekland om de särskilda brådskande åtgärder som Grekland ska vidta så att överföringar enligt Europaparlamentets och rådets förordning (EU) nr 604/2013 kan återupptas [C(2016) 3805 final]. Kommissionens rekommendation av den 28 september 2016 till Republiken Grekland om de särskilda brådskande åtgärder som Grekland ska vidta så att överföringar enligt Europaparlamentets och rådets förordning (EU) nr 604/2013 kan återupptas [C(2016) 6311 final].</w:t>
      </w:r>
    </w:p>
  </w:footnote>
  <w:footnote w:id="3">
    <w:p>
      <w:pPr>
        <w:pStyle w:val="FootnoteText"/>
        <w:rPr>
          <w:lang w:val="pt-PT"/>
        </w:rPr>
      </w:pPr>
      <w:r>
        <w:rPr>
          <w:rStyle w:val="FootnoteReference"/>
        </w:rPr>
        <w:footnoteRef/>
      </w:r>
      <w:r>
        <w:rPr>
          <w:lang w:val="pt-PT"/>
        </w:rPr>
        <w:tab/>
        <w:t>EUT L 77, 23.3.2016, s. 1.</w:t>
      </w:r>
    </w:p>
  </w:footnote>
  <w:footnote w:id="4">
    <w:p>
      <w:pPr>
        <w:pStyle w:val="FootnoteText"/>
        <w:rPr>
          <w:lang w:val="pt-PT"/>
        </w:rPr>
      </w:pPr>
      <w:r>
        <w:rPr>
          <w:rStyle w:val="FootnoteReference"/>
        </w:rPr>
        <w:footnoteRef/>
      </w:r>
      <w:r>
        <w:rPr>
          <w:lang w:val="pt-PT"/>
        </w:rPr>
        <w:tab/>
        <w:t>COM(2016) 120 final.</w:t>
      </w:r>
    </w:p>
  </w:footnote>
  <w:footnote w:id="5">
    <w:p>
      <w:pPr>
        <w:pStyle w:val="FootnoteText"/>
      </w:pPr>
      <w:r>
        <w:rPr>
          <w:rStyle w:val="FootnoteReference"/>
        </w:rPr>
        <w:footnoteRef/>
      </w:r>
      <w:r>
        <w:tab/>
        <w:t>EUT L 251, 16.9.2016, s. 1.</w:t>
      </w:r>
    </w:p>
  </w:footnote>
  <w:footnote w:id="6">
    <w:p>
      <w:pPr>
        <w:pStyle w:val="FootnoteText"/>
      </w:pPr>
      <w:r>
        <w:rPr>
          <w:rStyle w:val="FootnoteReference"/>
        </w:rPr>
        <w:footnoteRef/>
      </w:r>
      <w:r>
        <w:tab/>
        <w:t>Tredje lägesrapporten om genomförandet av uttalandet från EU och Turkiet (COM(2016) 634 final).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498857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BFC339C"/>
    <w:lvl w:ilvl="0">
      <w:start w:val="1"/>
      <w:numFmt w:val="decimal"/>
      <w:pStyle w:val="ListNumber3"/>
      <w:lvlText w:val="%1."/>
      <w:lvlJc w:val="left"/>
      <w:pPr>
        <w:tabs>
          <w:tab w:val="num" w:pos="926"/>
        </w:tabs>
        <w:ind w:left="926" w:hanging="360"/>
      </w:pPr>
    </w:lvl>
  </w:abstractNum>
  <w:abstractNum w:abstractNumId="2">
    <w:nsid w:val="FFFFFF7F"/>
    <w:multiLevelType w:val="singleLevel"/>
    <w:tmpl w:val="96A0268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CE2EA1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AD3AF49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9F2F73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8DC5E26"/>
    <w:lvl w:ilvl="0">
      <w:start w:val="1"/>
      <w:numFmt w:val="decimal"/>
      <w:pStyle w:val="ListNumber"/>
      <w:lvlText w:val="%1."/>
      <w:lvlJc w:val="left"/>
      <w:pPr>
        <w:tabs>
          <w:tab w:val="num" w:pos="360"/>
        </w:tabs>
        <w:ind w:left="360" w:hanging="360"/>
      </w:pPr>
    </w:lvl>
  </w:abstractNum>
  <w:abstractNum w:abstractNumId="7">
    <w:nsid w:val="FFFFFF89"/>
    <w:multiLevelType w:val="singleLevel"/>
    <w:tmpl w:val="20E2D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2"/>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2"/>
  </w:num>
  <w:num w:numId="11">
    <w:abstractNumId w:val="14"/>
  </w:num>
  <w:num w:numId="12">
    <w:abstractNumId w:val="19"/>
  </w:num>
  <w:num w:numId="13">
    <w:abstractNumId w:val="12"/>
  </w:num>
  <w:num w:numId="14">
    <w:abstractNumId w:val="21"/>
  </w:num>
  <w:num w:numId="15">
    <w:abstractNumId w:val="11"/>
  </w:num>
  <w:num w:numId="16">
    <w:abstractNumId w:val="13"/>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1-07 18:03:14"/>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4"/>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5023CC2E868341C8B9AECF3E165E1F9F"/>
    <w:docVar w:name="LW_CROSSREFERENCE" w:val="&lt;UNUSED&gt;"/>
    <w:docVar w:name="LW_DocType" w:val="COM"/>
    <w:docVar w:name="LW_EMISSION" w:val="25.10.2016"/>
    <w:docVar w:name="LW_EMISSION_ISODATE" w:val="2016-10-25"/>
    <w:docVar w:name="LW_EMISSION_LOCATION" w:val="STR"/>
    <w:docVar w:name="LW_EMISSION_PREFIX" w:val="Strasbourg den "/>
    <w:docVar w:name="LW_EMISSION_SUFFIX" w:val=" "/>
    <w:docVar w:name="LW_ID_DOCMODEL" w:val="SJ-020"/>
    <w:docVar w:name="LW_ID_DOCSIGNATURE" w:val="SJ-020"/>
    <w:docVar w:name="LW_ID_DOCSTRUCTURE" w:val="COM/PL/ORG"/>
    <w:docVar w:name="LW_ID_DOCTYPE" w:val="SJ-020"/>
    <w:docVar w:name="LW_ID_STATUT" w:val="SJ-020"/>
    <w:docVar w:name="LW_INTERETEEE.CP" w:val="&lt;UNUSED&gt;"/>
    <w:docVar w:name="LW_LANGUE" w:val="SV"/>
    <w:docVar w:name="LW_MARKING" w:val="&lt;UNUSED&gt;"/>
    <w:docVar w:name="LW_NOM.INST" w:val="EUROPEISKA KOMMISSIONEN"/>
    <w:docVar w:name="LW_NOM.INST_JOINTDOC" w:val="&lt;EMPTY&gt;"/>
    <w:docVar w:name="LW_PART_NBR" w:val="1"/>
    <w:docVar w:name="LW_PART_NBR_TOTAL" w:val="1"/>
    <w:docVar w:name="LW_REF.II.NEW.CP" w:val="NLE"/>
    <w:docVar w:name="LW_REF.II.NEW.CP_NUMBER" w:val="0347"/>
    <w:docVar w:name="LW_REF.II.NEW.CP_YEAR" w:val="2016"/>
    <w:docVar w:name="LW_REF.INST.NEW" w:val="COM"/>
    <w:docVar w:name="LW_REF.INST.NEW_ADOPTED" w:val="final"/>
    <w:docVar w:name="LW_REF.INST.NEW_TEXT" w:val="(2016) 711"/>
    <w:docVar w:name="LW_REF.INTERNE" w:val="&lt;UNUSED&gt;"/>
    <w:docVar w:name="LW_SOUS.TITRE.OBJ.CP" w:val="&lt;UNUSED&gt;"/>
    <w:docVar w:name="LW_STATUT.CP" w:val="Förslag till"/>
    <w:docVar w:name="LW_SUPERTITRE" w:val="&lt;UNUSED&gt;"/>
    <w:docVar w:name="LW_TITRE.OBJ.CP" w:val="om en rekommendation om förlängning av tillfälliga kontroller vid de inre gränserna under exceptionella omständigheter som utgör en risk för det övergripande funktionssättet för Schengenområdet"/>
    <w:docVar w:name="LW_TYPE.DOC.CP" w:val="RÅDETS GENOMFÖRANDEBESLUT"/>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v-SE"/>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Par-equal">
    <w:name w:val="Par-equal"/>
    <w:basedOn w:val="Normal"/>
    <w:next w:val="Normal"/>
    <w:pPr>
      <w:widowControl w:val="0"/>
      <w:numPr>
        <w:numId w:val="11"/>
      </w:numPr>
      <w:spacing w:before="0" w:after="0" w:line="360" w:lineRule="auto"/>
      <w:jc w:val="left"/>
    </w:pPr>
    <w:rPr>
      <w:rFonts w:eastAsia="Times New Roman"/>
      <w:szCs w:val="20"/>
      <w:lang w:eastAsia="fr-B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v-S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v-SE"/>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Par-equal">
    <w:name w:val="Par-equal"/>
    <w:basedOn w:val="Normal"/>
    <w:next w:val="Normal"/>
    <w:pPr>
      <w:widowControl w:val="0"/>
      <w:numPr>
        <w:numId w:val="11"/>
      </w:numPr>
      <w:spacing w:before="0" w:after="0" w:line="360" w:lineRule="auto"/>
      <w:jc w:val="left"/>
    </w:pPr>
    <w:rPr>
      <w:rFonts w:eastAsia="Times New Roman"/>
      <w:szCs w:val="20"/>
      <w:lang w:eastAsia="fr-B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v-S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DD660-BD4B-4FCB-A51F-76944FCA4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10</Pages>
  <Words>3205</Words>
  <Characters>19906</Characters>
  <Application>Microsoft Office Word</Application>
  <DocSecurity>0</DocSecurity>
  <Lines>326</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dcterms:created xsi:type="dcterms:W3CDTF">2016-11-04T12:49:00Z</dcterms:created>
  <dcterms:modified xsi:type="dcterms:W3CDTF">2016-11-07T17:03:00Z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Green (DQC version 03)</vt:lpwstr>
  </property>
  <property name="OP_sanitized" fmtid="{D5CDD505-2E9C-101B-9397-08002B2CF9AE}" pid="11">
    <vt:lpwstr>True</vt:lpwstr>
  </property>
</Properties>
</file>