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801126C096E94CB2A584D2AB02FE12E9" style="width:450.7pt;height:307.15pt">
            <v:imagedata r:id="rId9" o:title=""/>
          </v:shape>
        </w:pict>
      </w:r>
    </w:p>
    <w:bookmarkEnd w:id="0"/>
    <w:p>
      <w:pPr>
        <w:rPr>
          <w:noProof/>
          <w:szCs w:val="24"/>
        </w:rPr>
        <w:sectPr>
          <w:headerReference w:type="even" r:id="rId10"/>
          <w:headerReference w:type="default" r:id="rId11"/>
          <w:footerReference w:type="even" r:id="rId12"/>
          <w:footerReference w:type="default" r:id="rId13"/>
          <w:headerReference w:type="first" r:id="rId14"/>
          <w:footerReference w:type="first" r:id="rId15"/>
          <w:pgSz w:w="11907" w:h="16839" w:code="9"/>
          <w:pgMar w:top="1134" w:right="1417" w:bottom="1134" w:left="1417" w:header="709" w:footer="709" w:gutter="0"/>
          <w:pgNumType w:start="1"/>
          <w:cols w:space="720"/>
          <w:docGrid w:linePitch="326"/>
        </w:sectPr>
      </w:pPr>
    </w:p>
    <w:p>
      <w:pPr>
        <w:pStyle w:val="Typedudocument"/>
        <w:rPr>
          <w:noProof/>
        </w:rPr>
      </w:pPr>
      <w:bookmarkStart w:id="1" w:name="_GoBack"/>
      <w:bookmarkEnd w:id="1"/>
      <w:r>
        <w:rPr>
          <w:noProof/>
        </w:rPr>
        <w:lastRenderedPageBreak/>
        <w:t>RAPPORT FRÅN KOMMISSIONEN TILL EUROPAPARLAMENTET OCH RÅDET</w:t>
      </w:r>
    </w:p>
    <w:p>
      <w:pPr>
        <w:pStyle w:val="Titreobjet"/>
        <w:rPr>
          <w:noProof/>
        </w:rPr>
      </w:pPr>
      <w:r>
        <w:rPr>
          <w:noProof/>
        </w:rPr>
        <w:t>om statistik som sammanställts enligt förordning (EG) nr 2150/2002 om avfallsstatistik och dess kvalitet</w:t>
      </w:r>
    </w:p>
    <w:p>
      <w:pPr>
        <w:pStyle w:val="TOC1"/>
        <w:jc w:val="center"/>
        <w:rPr>
          <w:b/>
          <w:noProof/>
          <w:szCs w:val="24"/>
        </w:rPr>
      </w:pPr>
      <w:r>
        <w:rPr>
          <w:b/>
          <w:noProof/>
          <w:szCs w:val="24"/>
        </w:rPr>
        <w:t>INNEHÅLLSFÖRTECKNING</w:t>
      </w:r>
    </w:p>
    <w:p>
      <w:pPr>
        <w:pStyle w:val="TOC1"/>
        <w:rPr>
          <w:noProof/>
          <w:szCs w:val="24"/>
        </w:rPr>
      </w:pPr>
    </w:p>
    <w:p>
      <w:pPr>
        <w:pStyle w:val="TOC1"/>
        <w:rPr>
          <w:rFonts w:asciiTheme="minorHAnsi" w:eastAsiaTheme="minorEastAsia" w:hAnsiTheme="minorHAnsi" w:cstheme="minorBidi"/>
          <w:noProof/>
          <w:sz w:val="22"/>
        </w:rPr>
      </w:pPr>
      <w:r>
        <w:rPr>
          <w:noProof/>
        </w:rPr>
        <w:fldChar w:fldCharType="begin"/>
      </w:r>
      <w:r>
        <w:rPr>
          <w:noProof/>
        </w:rPr>
        <w:instrText xml:space="preserve"> TOC \o "1-3" \h \z \u </w:instrText>
      </w:r>
      <w:r>
        <w:rPr>
          <w:noProof/>
        </w:rPr>
        <w:fldChar w:fldCharType="separate"/>
      </w:r>
      <w:hyperlink w:anchor="_Toc464749056" w:history="1">
        <w:r>
          <w:rPr>
            <w:rStyle w:val="Hyperlink"/>
            <w:noProof/>
          </w:rPr>
          <w:t>1.</w:t>
        </w:r>
        <w:r>
          <w:rPr>
            <w:rFonts w:asciiTheme="minorHAnsi" w:eastAsiaTheme="minorEastAsia" w:hAnsiTheme="minorHAnsi" w:cstheme="minorBidi"/>
            <w:noProof/>
            <w:sz w:val="22"/>
          </w:rPr>
          <w:tab/>
        </w:r>
        <w:r>
          <w:rPr>
            <w:rStyle w:val="Hyperlink"/>
            <w:noProof/>
          </w:rPr>
          <w:t>Inledning</w:t>
        </w:r>
        <w:r>
          <w:rPr>
            <w:noProof/>
            <w:webHidden/>
          </w:rPr>
          <w:tab/>
        </w:r>
        <w:r>
          <w:rPr>
            <w:noProof/>
            <w:webHidden/>
          </w:rPr>
          <w:fldChar w:fldCharType="begin"/>
        </w:r>
        <w:r>
          <w:rPr>
            <w:noProof/>
            <w:webHidden/>
          </w:rPr>
          <w:instrText xml:space="preserve"> PAGEREF _Toc464749056 \h </w:instrText>
        </w:r>
        <w:r>
          <w:rPr>
            <w:noProof/>
            <w:webHidden/>
          </w:rPr>
        </w:r>
        <w:r>
          <w:rPr>
            <w:noProof/>
            <w:webHidden/>
          </w:rPr>
          <w:fldChar w:fldCharType="separate"/>
        </w:r>
        <w:r>
          <w:rPr>
            <w:noProof/>
            <w:webHidden/>
          </w:rPr>
          <w:t>3</w:t>
        </w:r>
        <w:r>
          <w:rPr>
            <w:noProof/>
            <w:webHidden/>
          </w:rPr>
          <w:fldChar w:fldCharType="end"/>
        </w:r>
      </w:hyperlink>
    </w:p>
    <w:p>
      <w:pPr>
        <w:pStyle w:val="TOC2"/>
        <w:rPr>
          <w:rFonts w:asciiTheme="minorHAnsi" w:eastAsiaTheme="minorEastAsia" w:hAnsiTheme="minorHAnsi" w:cstheme="minorBidi"/>
          <w:noProof/>
          <w:sz w:val="22"/>
        </w:rPr>
      </w:pPr>
      <w:hyperlink w:anchor="_Toc464749057" w:history="1">
        <w:r>
          <w:rPr>
            <w:rStyle w:val="Hyperlink"/>
            <w:noProof/>
          </w:rPr>
          <w:t>1.1.</w:t>
        </w:r>
        <w:r>
          <w:rPr>
            <w:rFonts w:asciiTheme="minorHAnsi" w:eastAsiaTheme="minorEastAsia" w:hAnsiTheme="minorHAnsi" w:cstheme="minorBidi"/>
            <w:noProof/>
            <w:sz w:val="22"/>
          </w:rPr>
          <w:tab/>
        </w:r>
        <w:r>
          <w:rPr>
            <w:rStyle w:val="Hyperlink"/>
            <w:noProof/>
          </w:rPr>
          <w:t>Förordningen om avfallsstatistik</w:t>
        </w:r>
        <w:r>
          <w:rPr>
            <w:noProof/>
            <w:webHidden/>
          </w:rPr>
          <w:tab/>
        </w:r>
        <w:r>
          <w:rPr>
            <w:noProof/>
            <w:webHidden/>
          </w:rPr>
          <w:fldChar w:fldCharType="begin"/>
        </w:r>
        <w:r>
          <w:rPr>
            <w:noProof/>
            <w:webHidden/>
          </w:rPr>
          <w:instrText xml:space="preserve"> PAGEREF _Toc464749057 \h </w:instrText>
        </w:r>
        <w:r>
          <w:rPr>
            <w:noProof/>
            <w:webHidden/>
          </w:rPr>
        </w:r>
        <w:r>
          <w:rPr>
            <w:noProof/>
            <w:webHidden/>
          </w:rPr>
          <w:fldChar w:fldCharType="separate"/>
        </w:r>
        <w:r>
          <w:rPr>
            <w:noProof/>
            <w:webHidden/>
          </w:rPr>
          <w:t>3</w:t>
        </w:r>
        <w:r>
          <w:rPr>
            <w:noProof/>
            <w:webHidden/>
          </w:rPr>
          <w:fldChar w:fldCharType="end"/>
        </w:r>
      </w:hyperlink>
    </w:p>
    <w:p>
      <w:pPr>
        <w:pStyle w:val="TOC2"/>
        <w:rPr>
          <w:rFonts w:asciiTheme="minorHAnsi" w:eastAsiaTheme="minorEastAsia" w:hAnsiTheme="minorHAnsi" w:cstheme="minorBidi"/>
          <w:noProof/>
          <w:sz w:val="22"/>
        </w:rPr>
      </w:pPr>
      <w:hyperlink w:anchor="_Toc464749058" w:history="1">
        <w:r>
          <w:rPr>
            <w:rStyle w:val="Hyperlink"/>
            <w:noProof/>
          </w:rPr>
          <w:t>1.2.</w:t>
        </w:r>
        <w:r>
          <w:rPr>
            <w:rFonts w:asciiTheme="minorHAnsi" w:eastAsiaTheme="minorEastAsia" w:hAnsiTheme="minorHAnsi" w:cstheme="minorBidi"/>
            <w:noProof/>
            <w:sz w:val="22"/>
          </w:rPr>
          <w:tab/>
        </w:r>
        <w:r>
          <w:rPr>
            <w:rStyle w:val="Hyperlink"/>
            <w:noProof/>
          </w:rPr>
          <w:t>Olika nationella strategier och kvalitetskrav</w:t>
        </w:r>
        <w:r>
          <w:rPr>
            <w:noProof/>
            <w:webHidden/>
          </w:rPr>
          <w:tab/>
        </w:r>
        <w:r>
          <w:rPr>
            <w:noProof/>
            <w:webHidden/>
          </w:rPr>
          <w:fldChar w:fldCharType="begin"/>
        </w:r>
        <w:r>
          <w:rPr>
            <w:noProof/>
            <w:webHidden/>
          </w:rPr>
          <w:instrText xml:space="preserve"> PAGEREF _Toc464749058 \h </w:instrText>
        </w:r>
        <w:r>
          <w:rPr>
            <w:noProof/>
            <w:webHidden/>
          </w:rPr>
        </w:r>
        <w:r>
          <w:rPr>
            <w:noProof/>
            <w:webHidden/>
          </w:rPr>
          <w:fldChar w:fldCharType="separate"/>
        </w:r>
        <w:r>
          <w:rPr>
            <w:noProof/>
            <w:webHidden/>
          </w:rPr>
          <w:t>3</w:t>
        </w:r>
        <w:r>
          <w:rPr>
            <w:noProof/>
            <w:webHidden/>
          </w:rPr>
          <w:fldChar w:fldCharType="end"/>
        </w:r>
      </w:hyperlink>
    </w:p>
    <w:p>
      <w:pPr>
        <w:pStyle w:val="TOC2"/>
        <w:rPr>
          <w:rFonts w:asciiTheme="minorHAnsi" w:eastAsiaTheme="minorEastAsia" w:hAnsiTheme="minorHAnsi" w:cstheme="minorBidi"/>
          <w:noProof/>
          <w:sz w:val="22"/>
        </w:rPr>
      </w:pPr>
      <w:hyperlink w:anchor="_Toc464749059" w:history="1">
        <w:r>
          <w:rPr>
            <w:rStyle w:val="Hyperlink"/>
            <w:noProof/>
          </w:rPr>
          <w:t>1.3.</w:t>
        </w:r>
        <w:r>
          <w:rPr>
            <w:rFonts w:asciiTheme="minorHAnsi" w:eastAsiaTheme="minorEastAsia" w:hAnsiTheme="minorHAnsi" w:cstheme="minorBidi"/>
            <w:noProof/>
            <w:sz w:val="22"/>
          </w:rPr>
          <w:tab/>
        </w:r>
        <w:r>
          <w:rPr>
            <w:rStyle w:val="Hyperlink"/>
            <w:noProof/>
          </w:rPr>
          <w:t>Kvalitetskontroll</w:t>
        </w:r>
        <w:r>
          <w:rPr>
            <w:noProof/>
            <w:webHidden/>
          </w:rPr>
          <w:tab/>
        </w:r>
        <w:r>
          <w:rPr>
            <w:noProof/>
            <w:webHidden/>
          </w:rPr>
          <w:fldChar w:fldCharType="begin"/>
        </w:r>
        <w:r>
          <w:rPr>
            <w:noProof/>
            <w:webHidden/>
          </w:rPr>
          <w:instrText xml:space="preserve"> PAGEREF _Toc464749059 \h </w:instrText>
        </w:r>
        <w:r>
          <w:rPr>
            <w:noProof/>
            <w:webHidden/>
          </w:rPr>
        </w:r>
        <w:r>
          <w:rPr>
            <w:noProof/>
            <w:webHidden/>
          </w:rPr>
          <w:fldChar w:fldCharType="separate"/>
        </w:r>
        <w:r>
          <w:rPr>
            <w:noProof/>
            <w:webHidden/>
          </w:rPr>
          <w:t>3</w:t>
        </w:r>
        <w:r>
          <w:rPr>
            <w:noProof/>
            <w:webHidden/>
          </w:rPr>
          <w:fldChar w:fldCharType="end"/>
        </w:r>
      </w:hyperlink>
    </w:p>
    <w:p>
      <w:pPr>
        <w:pStyle w:val="TOC1"/>
        <w:rPr>
          <w:rFonts w:asciiTheme="minorHAnsi" w:eastAsiaTheme="minorEastAsia" w:hAnsiTheme="minorHAnsi" w:cstheme="minorBidi"/>
          <w:noProof/>
          <w:sz w:val="22"/>
        </w:rPr>
      </w:pPr>
      <w:hyperlink w:anchor="_Toc464749060" w:history="1">
        <w:r>
          <w:rPr>
            <w:rStyle w:val="Hyperlink"/>
            <w:noProof/>
          </w:rPr>
          <w:t>2.</w:t>
        </w:r>
        <w:r>
          <w:rPr>
            <w:rFonts w:asciiTheme="minorHAnsi" w:eastAsiaTheme="minorEastAsia" w:hAnsiTheme="minorHAnsi" w:cstheme="minorBidi"/>
            <w:noProof/>
            <w:sz w:val="22"/>
          </w:rPr>
          <w:tab/>
        </w:r>
        <w:r>
          <w:rPr>
            <w:rStyle w:val="Hyperlink"/>
            <w:noProof/>
          </w:rPr>
          <w:t>Punktlighet och aktualitet</w:t>
        </w:r>
        <w:r>
          <w:rPr>
            <w:noProof/>
            <w:webHidden/>
          </w:rPr>
          <w:tab/>
        </w:r>
        <w:r>
          <w:rPr>
            <w:noProof/>
            <w:webHidden/>
          </w:rPr>
          <w:fldChar w:fldCharType="begin"/>
        </w:r>
        <w:r>
          <w:rPr>
            <w:noProof/>
            <w:webHidden/>
          </w:rPr>
          <w:instrText xml:space="preserve"> PAGEREF _Toc464749060 \h </w:instrText>
        </w:r>
        <w:r>
          <w:rPr>
            <w:noProof/>
            <w:webHidden/>
          </w:rPr>
        </w:r>
        <w:r>
          <w:rPr>
            <w:noProof/>
            <w:webHidden/>
          </w:rPr>
          <w:fldChar w:fldCharType="separate"/>
        </w:r>
        <w:r>
          <w:rPr>
            <w:noProof/>
            <w:webHidden/>
          </w:rPr>
          <w:t>4</w:t>
        </w:r>
        <w:r>
          <w:rPr>
            <w:noProof/>
            <w:webHidden/>
          </w:rPr>
          <w:fldChar w:fldCharType="end"/>
        </w:r>
      </w:hyperlink>
    </w:p>
    <w:p>
      <w:pPr>
        <w:pStyle w:val="TOC1"/>
        <w:rPr>
          <w:rFonts w:asciiTheme="minorHAnsi" w:eastAsiaTheme="minorEastAsia" w:hAnsiTheme="minorHAnsi" w:cstheme="minorBidi"/>
          <w:noProof/>
          <w:sz w:val="22"/>
        </w:rPr>
      </w:pPr>
      <w:hyperlink w:anchor="_Toc464749061" w:history="1">
        <w:r>
          <w:rPr>
            <w:rStyle w:val="Hyperlink"/>
            <w:noProof/>
          </w:rPr>
          <w:t>3.</w:t>
        </w:r>
        <w:r>
          <w:rPr>
            <w:rFonts w:asciiTheme="minorHAnsi" w:eastAsiaTheme="minorEastAsia" w:hAnsiTheme="minorHAnsi" w:cstheme="minorBidi"/>
            <w:noProof/>
            <w:sz w:val="22"/>
          </w:rPr>
          <w:tab/>
        </w:r>
        <w:r>
          <w:rPr>
            <w:rStyle w:val="Hyperlink"/>
            <w:noProof/>
          </w:rPr>
          <w:t>Fullständighet</w:t>
        </w:r>
        <w:r>
          <w:rPr>
            <w:noProof/>
            <w:webHidden/>
          </w:rPr>
          <w:tab/>
        </w:r>
        <w:r>
          <w:rPr>
            <w:noProof/>
            <w:webHidden/>
          </w:rPr>
          <w:fldChar w:fldCharType="begin"/>
        </w:r>
        <w:r>
          <w:rPr>
            <w:noProof/>
            <w:webHidden/>
          </w:rPr>
          <w:instrText xml:space="preserve"> PAGEREF _Toc464749061 \h </w:instrText>
        </w:r>
        <w:r>
          <w:rPr>
            <w:noProof/>
            <w:webHidden/>
          </w:rPr>
        </w:r>
        <w:r>
          <w:rPr>
            <w:noProof/>
            <w:webHidden/>
          </w:rPr>
          <w:fldChar w:fldCharType="separate"/>
        </w:r>
        <w:r>
          <w:rPr>
            <w:noProof/>
            <w:webHidden/>
          </w:rPr>
          <w:t>4</w:t>
        </w:r>
        <w:r>
          <w:rPr>
            <w:noProof/>
            <w:webHidden/>
          </w:rPr>
          <w:fldChar w:fldCharType="end"/>
        </w:r>
      </w:hyperlink>
    </w:p>
    <w:p>
      <w:pPr>
        <w:pStyle w:val="TOC1"/>
        <w:rPr>
          <w:rFonts w:asciiTheme="minorHAnsi" w:eastAsiaTheme="minorEastAsia" w:hAnsiTheme="minorHAnsi" w:cstheme="minorBidi"/>
          <w:noProof/>
          <w:sz w:val="22"/>
        </w:rPr>
      </w:pPr>
      <w:hyperlink w:anchor="_Toc464749062" w:history="1">
        <w:r>
          <w:rPr>
            <w:rStyle w:val="Hyperlink"/>
            <w:noProof/>
          </w:rPr>
          <w:t>4.</w:t>
        </w:r>
        <w:r>
          <w:rPr>
            <w:rFonts w:asciiTheme="minorHAnsi" w:eastAsiaTheme="minorEastAsia" w:hAnsiTheme="minorHAnsi" w:cstheme="minorBidi"/>
            <w:noProof/>
            <w:sz w:val="22"/>
          </w:rPr>
          <w:tab/>
        </w:r>
        <w:r>
          <w:rPr>
            <w:rStyle w:val="Hyperlink"/>
            <w:noProof/>
          </w:rPr>
          <w:t>Uppgifternas tillförlitlighet</w:t>
        </w:r>
        <w:r>
          <w:rPr>
            <w:noProof/>
            <w:webHidden/>
          </w:rPr>
          <w:tab/>
        </w:r>
        <w:r>
          <w:rPr>
            <w:noProof/>
            <w:webHidden/>
          </w:rPr>
          <w:fldChar w:fldCharType="begin"/>
        </w:r>
        <w:r>
          <w:rPr>
            <w:noProof/>
            <w:webHidden/>
          </w:rPr>
          <w:instrText xml:space="preserve"> PAGEREF _Toc464749062 \h </w:instrText>
        </w:r>
        <w:r>
          <w:rPr>
            <w:noProof/>
            <w:webHidden/>
          </w:rPr>
        </w:r>
        <w:r>
          <w:rPr>
            <w:noProof/>
            <w:webHidden/>
          </w:rPr>
          <w:fldChar w:fldCharType="separate"/>
        </w:r>
        <w:r>
          <w:rPr>
            <w:noProof/>
            <w:webHidden/>
          </w:rPr>
          <w:t>5</w:t>
        </w:r>
        <w:r>
          <w:rPr>
            <w:noProof/>
            <w:webHidden/>
          </w:rPr>
          <w:fldChar w:fldCharType="end"/>
        </w:r>
      </w:hyperlink>
    </w:p>
    <w:p>
      <w:pPr>
        <w:pStyle w:val="TOC2"/>
        <w:rPr>
          <w:rFonts w:asciiTheme="minorHAnsi" w:eastAsiaTheme="minorEastAsia" w:hAnsiTheme="minorHAnsi" w:cstheme="minorBidi"/>
          <w:noProof/>
          <w:sz w:val="22"/>
        </w:rPr>
      </w:pPr>
      <w:hyperlink w:anchor="_Toc464749063" w:history="1">
        <w:r>
          <w:rPr>
            <w:rStyle w:val="Hyperlink"/>
            <w:noProof/>
          </w:rPr>
          <w:t>4.1.</w:t>
        </w:r>
        <w:r>
          <w:rPr>
            <w:rFonts w:asciiTheme="minorHAnsi" w:eastAsiaTheme="minorEastAsia" w:hAnsiTheme="minorHAnsi" w:cstheme="minorBidi"/>
            <w:noProof/>
            <w:sz w:val="22"/>
          </w:rPr>
          <w:tab/>
        </w:r>
        <w:r>
          <w:rPr>
            <w:rStyle w:val="Hyperlink"/>
            <w:noProof/>
          </w:rPr>
          <w:t>Uppgifternas täckning</w:t>
        </w:r>
        <w:r>
          <w:rPr>
            <w:noProof/>
            <w:webHidden/>
          </w:rPr>
          <w:tab/>
        </w:r>
        <w:r>
          <w:rPr>
            <w:noProof/>
            <w:webHidden/>
          </w:rPr>
          <w:fldChar w:fldCharType="begin"/>
        </w:r>
        <w:r>
          <w:rPr>
            <w:noProof/>
            <w:webHidden/>
          </w:rPr>
          <w:instrText xml:space="preserve"> PAGEREF _Toc464749063 \h </w:instrText>
        </w:r>
        <w:r>
          <w:rPr>
            <w:noProof/>
            <w:webHidden/>
          </w:rPr>
        </w:r>
        <w:r>
          <w:rPr>
            <w:noProof/>
            <w:webHidden/>
          </w:rPr>
          <w:fldChar w:fldCharType="separate"/>
        </w:r>
        <w:r>
          <w:rPr>
            <w:noProof/>
            <w:webHidden/>
          </w:rPr>
          <w:t>5</w:t>
        </w:r>
        <w:r>
          <w:rPr>
            <w:noProof/>
            <w:webHidden/>
          </w:rPr>
          <w:fldChar w:fldCharType="end"/>
        </w:r>
      </w:hyperlink>
    </w:p>
    <w:p>
      <w:pPr>
        <w:pStyle w:val="TOC2"/>
        <w:rPr>
          <w:rFonts w:asciiTheme="minorHAnsi" w:eastAsiaTheme="minorEastAsia" w:hAnsiTheme="minorHAnsi" w:cstheme="minorBidi"/>
          <w:noProof/>
          <w:sz w:val="22"/>
        </w:rPr>
      </w:pPr>
      <w:hyperlink w:anchor="_Toc464749064" w:history="1">
        <w:r>
          <w:rPr>
            <w:rStyle w:val="Hyperlink"/>
            <w:noProof/>
          </w:rPr>
          <w:t>4.2.</w:t>
        </w:r>
        <w:r>
          <w:rPr>
            <w:rFonts w:asciiTheme="minorHAnsi" w:eastAsiaTheme="minorEastAsia" w:hAnsiTheme="minorHAnsi" w:cstheme="minorBidi"/>
            <w:noProof/>
            <w:sz w:val="22"/>
          </w:rPr>
          <w:tab/>
        </w:r>
        <w:r>
          <w:rPr>
            <w:rStyle w:val="Hyperlink"/>
            <w:noProof/>
          </w:rPr>
          <w:t>Näringsgrensindelning</w:t>
        </w:r>
        <w:r>
          <w:rPr>
            <w:noProof/>
            <w:webHidden/>
          </w:rPr>
          <w:tab/>
        </w:r>
        <w:r>
          <w:rPr>
            <w:noProof/>
            <w:webHidden/>
          </w:rPr>
          <w:fldChar w:fldCharType="begin"/>
        </w:r>
        <w:r>
          <w:rPr>
            <w:noProof/>
            <w:webHidden/>
          </w:rPr>
          <w:instrText xml:space="preserve"> PAGEREF _Toc464749064 \h </w:instrText>
        </w:r>
        <w:r>
          <w:rPr>
            <w:noProof/>
            <w:webHidden/>
          </w:rPr>
        </w:r>
        <w:r>
          <w:rPr>
            <w:noProof/>
            <w:webHidden/>
          </w:rPr>
          <w:fldChar w:fldCharType="separate"/>
        </w:r>
        <w:r>
          <w:rPr>
            <w:noProof/>
            <w:webHidden/>
          </w:rPr>
          <w:t>6</w:t>
        </w:r>
        <w:r>
          <w:rPr>
            <w:noProof/>
            <w:webHidden/>
          </w:rPr>
          <w:fldChar w:fldCharType="end"/>
        </w:r>
      </w:hyperlink>
    </w:p>
    <w:p>
      <w:pPr>
        <w:pStyle w:val="TOC2"/>
        <w:rPr>
          <w:rFonts w:asciiTheme="minorHAnsi" w:eastAsiaTheme="minorEastAsia" w:hAnsiTheme="minorHAnsi" w:cstheme="minorBidi"/>
          <w:noProof/>
          <w:sz w:val="22"/>
        </w:rPr>
      </w:pPr>
      <w:hyperlink w:anchor="_Toc464749065" w:history="1">
        <w:r>
          <w:rPr>
            <w:rStyle w:val="Hyperlink"/>
            <w:noProof/>
          </w:rPr>
          <w:t>4.3.</w:t>
        </w:r>
        <w:r>
          <w:rPr>
            <w:rFonts w:asciiTheme="minorHAnsi" w:eastAsiaTheme="minorEastAsia" w:hAnsiTheme="minorHAnsi" w:cstheme="minorBidi"/>
            <w:noProof/>
            <w:sz w:val="22"/>
          </w:rPr>
          <w:tab/>
        </w:r>
        <w:r>
          <w:rPr>
            <w:rStyle w:val="Hyperlink"/>
            <w:noProof/>
          </w:rPr>
          <w:t>Klassificering av avfall</w:t>
        </w:r>
        <w:r>
          <w:rPr>
            <w:noProof/>
            <w:webHidden/>
          </w:rPr>
          <w:tab/>
        </w:r>
        <w:r>
          <w:rPr>
            <w:noProof/>
            <w:webHidden/>
          </w:rPr>
          <w:fldChar w:fldCharType="begin"/>
        </w:r>
        <w:r>
          <w:rPr>
            <w:noProof/>
            <w:webHidden/>
          </w:rPr>
          <w:instrText xml:space="preserve"> PAGEREF _Toc464749065 \h </w:instrText>
        </w:r>
        <w:r>
          <w:rPr>
            <w:noProof/>
            <w:webHidden/>
          </w:rPr>
        </w:r>
        <w:r>
          <w:rPr>
            <w:noProof/>
            <w:webHidden/>
          </w:rPr>
          <w:fldChar w:fldCharType="separate"/>
        </w:r>
        <w:r>
          <w:rPr>
            <w:noProof/>
            <w:webHidden/>
          </w:rPr>
          <w:t>6</w:t>
        </w:r>
        <w:r>
          <w:rPr>
            <w:noProof/>
            <w:webHidden/>
          </w:rPr>
          <w:fldChar w:fldCharType="end"/>
        </w:r>
      </w:hyperlink>
    </w:p>
    <w:p>
      <w:pPr>
        <w:pStyle w:val="TOC2"/>
        <w:rPr>
          <w:rFonts w:asciiTheme="minorHAnsi" w:eastAsiaTheme="minorEastAsia" w:hAnsiTheme="minorHAnsi" w:cstheme="minorBidi"/>
          <w:noProof/>
          <w:sz w:val="22"/>
        </w:rPr>
      </w:pPr>
      <w:hyperlink w:anchor="_Toc464749066" w:history="1">
        <w:r>
          <w:rPr>
            <w:rStyle w:val="Hyperlink"/>
            <w:noProof/>
          </w:rPr>
          <w:t>4.4.</w:t>
        </w:r>
        <w:r>
          <w:rPr>
            <w:rFonts w:asciiTheme="minorHAnsi" w:eastAsiaTheme="minorEastAsia" w:hAnsiTheme="minorHAnsi" w:cstheme="minorBidi"/>
            <w:noProof/>
            <w:sz w:val="22"/>
          </w:rPr>
          <w:tab/>
        </w:r>
        <w:r>
          <w:rPr>
            <w:rStyle w:val="Hyperlink"/>
            <w:noProof/>
          </w:rPr>
          <w:t>Skillnader mellan avfallsgenerering och avfallsbehandling</w:t>
        </w:r>
        <w:r>
          <w:rPr>
            <w:noProof/>
            <w:webHidden/>
          </w:rPr>
          <w:tab/>
        </w:r>
        <w:r>
          <w:rPr>
            <w:noProof/>
            <w:webHidden/>
          </w:rPr>
          <w:fldChar w:fldCharType="begin"/>
        </w:r>
        <w:r>
          <w:rPr>
            <w:noProof/>
            <w:webHidden/>
          </w:rPr>
          <w:instrText xml:space="preserve"> PAGEREF _Toc464749066 \h </w:instrText>
        </w:r>
        <w:r>
          <w:rPr>
            <w:noProof/>
            <w:webHidden/>
          </w:rPr>
        </w:r>
        <w:r>
          <w:rPr>
            <w:noProof/>
            <w:webHidden/>
          </w:rPr>
          <w:fldChar w:fldCharType="separate"/>
        </w:r>
        <w:r>
          <w:rPr>
            <w:noProof/>
            <w:webHidden/>
          </w:rPr>
          <w:t>6</w:t>
        </w:r>
        <w:r>
          <w:rPr>
            <w:noProof/>
            <w:webHidden/>
          </w:rPr>
          <w:fldChar w:fldCharType="end"/>
        </w:r>
      </w:hyperlink>
    </w:p>
    <w:p>
      <w:pPr>
        <w:pStyle w:val="TOC1"/>
        <w:rPr>
          <w:rFonts w:asciiTheme="minorHAnsi" w:eastAsiaTheme="minorEastAsia" w:hAnsiTheme="minorHAnsi" w:cstheme="minorBidi"/>
          <w:noProof/>
          <w:sz w:val="22"/>
        </w:rPr>
      </w:pPr>
      <w:hyperlink w:anchor="_Toc464749067" w:history="1">
        <w:r>
          <w:rPr>
            <w:rStyle w:val="Hyperlink"/>
            <w:noProof/>
          </w:rPr>
          <w:t>5.</w:t>
        </w:r>
        <w:r>
          <w:rPr>
            <w:rFonts w:asciiTheme="minorHAnsi" w:eastAsiaTheme="minorEastAsia" w:hAnsiTheme="minorHAnsi" w:cstheme="minorBidi"/>
            <w:noProof/>
            <w:sz w:val="22"/>
          </w:rPr>
          <w:tab/>
        </w:r>
        <w:r>
          <w:rPr>
            <w:rStyle w:val="Hyperlink"/>
            <w:noProof/>
          </w:rPr>
          <w:t>Jämförbarhet</w:t>
        </w:r>
        <w:r>
          <w:rPr>
            <w:noProof/>
            <w:webHidden/>
          </w:rPr>
          <w:tab/>
        </w:r>
        <w:r>
          <w:rPr>
            <w:noProof/>
            <w:webHidden/>
          </w:rPr>
          <w:fldChar w:fldCharType="begin"/>
        </w:r>
        <w:r>
          <w:rPr>
            <w:noProof/>
            <w:webHidden/>
          </w:rPr>
          <w:instrText xml:space="preserve"> PAGEREF _Toc464749067 \h </w:instrText>
        </w:r>
        <w:r>
          <w:rPr>
            <w:noProof/>
            <w:webHidden/>
          </w:rPr>
        </w:r>
        <w:r>
          <w:rPr>
            <w:noProof/>
            <w:webHidden/>
          </w:rPr>
          <w:fldChar w:fldCharType="separate"/>
        </w:r>
        <w:r>
          <w:rPr>
            <w:noProof/>
            <w:webHidden/>
          </w:rPr>
          <w:t>7</w:t>
        </w:r>
        <w:r>
          <w:rPr>
            <w:noProof/>
            <w:webHidden/>
          </w:rPr>
          <w:fldChar w:fldCharType="end"/>
        </w:r>
      </w:hyperlink>
    </w:p>
    <w:p>
      <w:pPr>
        <w:pStyle w:val="TOC2"/>
        <w:rPr>
          <w:rFonts w:asciiTheme="minorHAnsi" w:eastAsiaTheme="minorEastAsia" w:hAnsiTheme="minorHAnsi" w:cstheme="minorBidi"/>
          <w:noProof/>
          <w:sz w:val="22"/>
        </w:rPr>
      </w:pPr>
      <w:hyperlink w:anchor="_Toc464749068" w:history="1">
        <w:r>
          <w:rPr>
            <w:rStyle w:val="Hyperlink"/>
            <w:noProof/>
          </w:rPr>
          <w:t>5.1.</w:t>
        </w:r>
        <w:r>
          <w:rPr>
            <w:rFonts w:asciiTheme="minorHAnsi" w:eastAsiaTheme="minorEastAsia" w:hAnsiTheme="minorHAnsi" w:cstheme="minorBidi"/>
            <w:noProof/>
            <w:sz w:val="22"/>
          </w:rPr>
          <w:tab/>
        </w:r>
        <w:r>
          <w:rPr>
            <w:rStyle w:val="Hyperlink"/>
            <w:noProof/>
          </w:rPr>
          <w:t>Jämförbarhet över tid</w:t>
        </w:r>
        <w:r>
          <w:rPr>
            <w:noProof/>
            <w:webHidden/>
          </w:rPr>
          <w:tab/>
        </w:r>
        <w:r>
          <w:rPr>
            <w:noProof/>
            <w:webHidden/>
          </w:rPr>
          <w:fldChar w:fldCharType="begin"/>
        </w:r>
        <w:r>
          <w:rPr>
            <w:noProof/>
            <w:webHidden/>
          </w:rPr>
          <w:instrText xml:space="preserve"> PAGEREF _Toc464749068 \h </w:instrText>
        </w:r>
        <w:r>
          <w:rPr>
            <w:noProof/>
            <w:webHidden/>
          </w:rPr>
        </w:r>
        <w:r>
          <w:rPr>
            <w:noProof/>
            <w:webHidden/>
          </w:rPr>
          <w:fldChar w:fldCharType="separate"/>
        </w:r>
        <w:r>
          <w:rPr>
            <w:noProof/>
            <w:webHidden/>
          </w:rPr>
          <w:t>7</w:t>
        </w:r>
        <w:r>
          <w:rPr>
            <w:noProof/>
            <w:webHidden/>
          </w:rPr>
          <w:fldChar w:fldCharType="end"/>
        </w:r>
      </w:hyperlink>
    </w:p>
    <w:p>
      <w:pPr>
        <w:pStyle w:val="TOC2"/>
        <w:rPr>
          <w:rFonts w:asciiTheme="minorHAnsi" w:eastAsiaTheme="minorEastAsia" w:hAnsiTheme="minorHAnsi" w:cstheme="minorBidi"/>
          <w:noProof/>
          <w:sz w:val="22"/>
        </w:rPr>
      </w:pPr>
      <w:hyperlink w:anchor="_Toc464749069" w:history="1">
        <w:r>
          <w:rPr>
            <w:rStyle w:val="Hyperlink"/>
            <w:noProof/>
          </w:rPr>
          <w:t>5.2.</w:t>
        </w:r>
        <w:r>
          <w:rPr>
            <w:rFonts w:asciiTheme="minorHAnsi" w:eastAsiaTheme="minorEastAsia" w:hAnsiTheme="minorHAnsi" w:cstheme="minorBidi"/>
            <w:noProof/>
            <w:sz w:val="22"/>
          </w:rPr>
          <w:tab/>
        </w:r>
        <w:r>
          <w:rPr>
            <w:rStyle w:val="Hyperlink"/>
            <w:noProof/>
          </w:rPr>
          <w:t>Jämförbarhet mellan länderna</w:t>
        </w:r>
        <w:r>
          <w:rPr>
            <w:noProof/>
            <w:webHidden/>
          </w:rPr>
          <w:tab/>
        </w:r>
        <w:r>
          <w:rPr>
            <w:noProof/>
            <w:webHidden/>
          </w:rPr>
          <w:fldChar w:fldCharType="begin"/>
        </w:r>
        <w:r>
          <w:rPr>
            <w:noProof/>
            <w:webHidden/>
          </w:rPr>
          <w:instrText xml:space="preserve"> PAGEREF _Toc464749069 \h </w:instrText>
        </w:r>
        <w:r>
          <w:rPr>
            <w:noProof/>
            <w:webHidden/>
          </w:rPr>
        </w:r>
        <w:r>
          <w:rPr>
            <w:noProof/>
            <w:webHidden/>
          </w:rPr>
          <w:fldChar w:fldCharType="separate"/>
        </w:r>
        <w:r>
          <w:rPr>
            <w:noProof/>
            <w:webHidden/>
          </w:rPr>
          <w:t>7</w:t>
        </w:r>
        <w:r>
          <w:rPr>
            <w:noProof/>
            <w:webHidden/>
          </w:rPr>
          <w:fldChar w:fldCharType="end"/>
        </w:r>
      </w:hyperlink>
    </w:p>
    <w:p>
      <w:pPr>
        <w:pStyle w:val="TOC1"/>
        <w:rPr>
          <w:rFonts w:asciiTheme="minorHAnsi" w:eastAsiaTheme="minorEastAsia" w:hAnsiTheme="minorHAnsi" w:cstheme="minorBidi"/>
          <w:noProof/>
          <w:sz w:val="22"/>
        </w:rPr>
      </w:pPr>
      <w:hyperlink w:anchor="_Toc464749070" w:history="1">
        <w:r>
          <w:rPr>
            <w:rStyle w:val="Hyperlink"/>
            <w:noProof/>
          </w:rPr>
          <w:t>6.</w:t>
        </w:r>
        <w:r>
          <w:rPr>
            <w:rFonts w:asciiTheme="minorHAnsi" w:eastAsiaTheme="minorEastAsia" w:hAnsiTheme="minorHAnsi" w:cstheme="minorBidi"/>
            <w:noProof/>
            <w:sz w:val="22"/>
          </w:rPr>
          <w:tab/>
        </w:r>
        <w:r>
          <w:rPr>
            <w:rStyle w:val="Hyperlink"/>
            <w:noProof/>
          </w:rPr>
          <w:t>Belastningen på företagen</w:t>
        </w:r>
        <w:r>
          <w:rPr>
            <w:noProof/>
            <w:webHidden/>
          </w:rPr>
          <w:tab/>
        </w:r>
        <w:r>
          <w:rPr>
            <w:noProof/>
            <w:webHidden/>
          </w:rPr>
          <w:fldChar w:fldCharType="begin"/>
        </w:r>
        <w:r>
          <w:rPr>
            <w:noProof/>
            <w:webHidden/>
          </w:rPr>
          <w:instrText xml:space="preserve"> PAGEREF _Toc464749070 \h </w:instrText>
        </w:r>
        <w:r>
          <w:rPr>
            <w:noProof/>
            <w:webHidden/>
          </w:rPr>
        </w:r>
        <w:r>
          <w:rPr>
            <w:noProof/>
            <w:webHidden/>
          </w:rPr>
          <w:fldChar w:fldCharType="separate"/>
        </w:r>
        <w:r>
          <w:rPr>
            <w:noProof/>
            <w:webHidden/>
          </w:rPr>
          <w:t>7</w:t>
        </w:r>
        <w:r>
          <w:rPr>
            <w:noProof/>
            <w:webHidden/>
          </w:rPr>
          <w:fldChar w:fldCharType="end"/>
        </w:r>
      </w:hyperlink>
    </w:p>
    <w:p>
      <w:pPr>
        <w:pStyle w:val="TOC1"/>
        <w:rPr>
          <w:rFonts w:asciiTheme="minorHAnsi" w:eastAsiaTheme="minorEastAsia" w:hAnsiTheme="minorHAnsi" w:cstheme="minorBidi"/>
          <w:noProof/>
          <w:sz w:val="22"/>
        </w:rPr>
      </w:pPr>
      <w:hyperlink w:anchor="_Toc464749071" w:history="1">
        <w:r>
          <w:rPr>
            <w:rStyle w:val="Hyperlink"/>
            <w:noProof/>
          </w:rPr>
          <w:t>7.</w:t>
        </w:r>
        <w:r>
          <w:rPr>
            <w:rFonts w:asciiTheme="minorHAnsi" w:eastAsiaTheme="minorEastAsia" w:hAnsiTheme="minorHAnsi" w:cstheme="minorBidi"/>
            <w:noProof/>
            <w:sz w:val="22"/>
          </w:rPr>
          <w:tab/>
        </w:r>
        <w:r>
          <w:rPr>
            <w:rStyle w:val="Hyperlink"/>
            <w:noProof/>
          </w:rPr>
          <w:t>Utveckling av indikatorer</w:t>
        </w:r>
        <w:r>
          <w:rPr>
            <w:noProof/>
            <w:webHidden/>
          </w:rPr>
          <w:tab/>
        </w:r>
        <w:r>
          <w:rPr>
            <w:noProof/>
            <w:webHidden/>
          </w:rPr>
          <w:fldChar w:fldCharType="begin"/>
        </w:r>
        <w:r>
          <w:rPr>
            <w:noProof/>
            <w:webHidden/>
          </w:rPr>
          <w:instrText xml:space="preserve"> PAGEREF _Toc464749071 \h </w:instrText>
        </w:r>
        <w:r>
          <w:rPr>
            <w:noProof/>
            <w:webHidden/>
          </w:rPr>
        </w:r>
        <w:r>
          <w:rPr>
            <w:noProof/>
            <w:webHidden/>
          </w:rPr>
          <w:fldChar w:fldCharType="separate"/>
        </w:r>
        <w:r>
          <w:rPr>
            <w:noProof/>
            <w:webHidden/>
          </w:rPr>
          <w:t>8</w:t>
        </w:r>
        <w:r>
          <w:rPr>
            <w:noProof/>
            <w:webHidden/>
          </w:rPr>
          <w:fldChar w:fldCharType="end"/>
        </w:r>
      </w:hyperlink>
    </w:p>
    <w:p>
      <w:pPr>
        <w:pStyle w:val="TOC1"/>
        <w:rPr>
          <w:rFonts w:asciiTheme="minorHAnsi" w:eastAsiaTheme="minorEastAsia" w:hAnsiTheme="minorHAnsi" w:cstheme="minorBidi"/>
          <w:noProof/>
          <w:sz w:val="22"/>
        </w:rPr>
      </w:pPr>
      <w:hyperlink w:anchor="_Toc464749072" w:history="1">
        <w:r>
          <w:rPr>
            <w:rStyle w:val="Hyperlink"/>
            <w:noProof/>
          </w:rPr>
          <w:t>8.</w:t>
        </w:r>
        <w:r>
          <w:rPr>
            <w:rFonts w:asciiTheme="minorHAnsi" w:eastAsiaTheme="minorEastAsia" w:hAnsiTheme="minorHAnsi" w:cstheme="minorBidi"/>
            <w:noProof/>
            <w:sz w:val="22"/>
          </w:rPr>
          <w:tab/>
        </w:r>
        <w:r>
          <w:rPr>
            <w:rStyle w:val="Hyperlink"/>
            <w:noProof/>
          </w:rPr>
          <w:t>Vad har uppnåtts och hur ser framtiden ut?</w:t>
        </w:r>
        <w:r>
          <w:rPr>
            <w:noProof/>
            <w:webHidden/>
          </w:rPr>
          <w:tab/>
        </w:r>
        <w:r>
          <w:rPr>
            <w:noProof/>
            <w:webHidden/>
          </w:rPr>
          <w:fldChar w:fldCharType="begin"/>
        </w:r>
        <w:r>
          <w:rPr>
            <w:noProof/>
            <w:webHidden/>
          </w:rPr>
          <w:instrText xml:space="preserve"> PAGEREF _Toc464749072 \h </w:instrText>
        </w:r>
        <w:r>
          <w:rPr>
            <w:noProof/>
            <w:webHidden/>
          </w:rPr>
        </w:r>
        <w:r>
          <w:rPr>
            <w:noProof/>
            <w:webHidden/>
          </w:rPr>
          <w:fldChar w:fldCharType="separate"/>
        </w:r>
        <w:r>
          <w:rPr>
            <w:noProof/>
            <w:webHidden/>
          </w:rPr>
          <w:t>8</w:t>
        </w:r>
        <w:r>
          <w:rPr>
            <w:noProof/>
            <w:webHidden/>
          </w:rPr>
          <w:fldChar w:fldCharType="end"/>
        </w:r>
      </w:hyperlink>
    </w:p>
    <w:p>
      <w:pPr>
        <w:rPr>
          <w:noProof/>
        </w:rPr>
      </w:pPr>
      <w:r>
        <w:rPr>
          <w:noProof/>
        </w:rPr>
        <w:fldChar w:fldCharType="end"/>
      </w:r>
    </w:p>
    <w:p>
      <w:pPr>
        <w:pStyle w:val="TOC1"/>
        <w:ind w:left="0" w:firstLine="0"/>
        <w:rPr>
          <w:noProof/>
          <w:szCs w:val="24"/>
        </w:rPr>
      </w:pPr>
    </w:p>
    <w:p>
      <w:pPr>
        <w:rPr>
          <w:noProof/>
          <w:szCs w:val="24"/>
        </w:rPr>
        <w:sectPr>
          <w:footerReference w:type="default" r:id="rId16"/>
          <w:footerReference w:type="first" r:id="rId17"/>
          <w:pgSz w:w="11907" w:h="16839" w:code="9"/>
          <w:pgMar w:top="1134" w:right="1418" w:bottom="1134" w:left="1418" w:header="709" w:footer="709" w:gutter="0"/>
          <w:pgNumType w:start="2"/>
          <w:cols w:space="720"/>
          <w:docGrid w:linePitch="326"/>
        </w:sectPr>
      </w:pPr>
    </w:p>
    <w:p>
      <w:pPr>
        <w:pStyle w:val="ManualHeading1"/>
        <w:rPr>
          <w:noProof/>
        </w:rPr>
      </w:pPr>
      <w:bookmarkStart w:id="2" w:name="_Toc285116366"/>
      <w:bookmarkStart w:id="3" w:name="_Toc464749056"/>
      <w:r>
        <w:lastRenderedPageBreak/>
        <w:t>1.</w:t>
      </w:r>
      <w:r>
        <w:tab/>
      </w:r>
      <w:r>
        <w:rPr>
          <w:noProof/>
        </w:rPr>
        <w:t>Inledning</w:t>
      </w:r>
      <w:bookmarkEnd w:id="2"/>
      <w:bookmarkEnd w:id="3"/>
    </w:p>
    <w:p>
      <w:pPr>
        <w:pStyle w:val="ManualHeading2"/>
        <w:rPr>
          <w:noProof/>
        </w:rPr>
      </w:pPr>
      <w:bookmarkStart w:id="4" w:name="_Toc285116367"/>
      <w:bookmarkStart w:id="5" w:name="_Toc464749057"/>
      <w:r>
        <w:t>1.1.</w:t>
      </w:r>
      <w:r>
        <w:tab/>
      </w:r>
      <w:r>
        <w:rPr>
          <w:noProof/>
        </w:rPr>
        <w:t>Förordningen om avfallsstatistik</w:t>
      </w:r>
      <w:bookmarkEnd w:id="4"/>
      <w:bookmarkEnd w:id="5"/>
    </w:p>
    <w:p>
      <w:pPr>
        <w:spacing w:before="80" w:after="80"/>
        <w:rPr>
          <w:noProof/>
          <w:szCs w:val="24"/>
        </w:rPr>
      </w:pPr>
      <w:bookmarkStart w:id="6" w:name="_Toc285116376"/>
      <w:r>
        <w:rPr>
          <w:noProof/>
          <w:szCs w:val="24"/>
        </w:rPr>
        <w:t>Syftet med Europaparlamentets och rådets förordning (EG) nr 2150/2002 av den 25 november 2002 om avfallsstatistik</w:t>
      </w:r>
      <w:r>
        <w:rPr>
          <w:rStyle w:val="FootnoteReference"/>
          <w:noProof/>
          <w:szCs w:val="24"/>
        </w:rPr>
        <w:footnoteReference w:id="1"/>
      </w:r>
      <w:r>
        <w:rPr>
          <w:noProof/>
          <w:szCs w:val="24"/>
        </w:rPr>
        <w:t xml:space="preserve"> (nedan kallad </w:t>
      </w:r>
      <w:r>
        <w:rPr>
          <w:i/>
          <w:noProof/>
          <w:szCs w:val="24"/>
        </w:rPr>
        <w:t>förordningen</w:t>
      </w:r>
      <w:r>
        <w:rPr>
          <w:noProof/>
          <w:szCs w:val="24"/>
        </w:rPr>
        <w:t>) är att framställa statistik om avfall som omfattas av direktiv 2008/98/EG om avfall (ramdirektivet om avfall)</w:t>
      </w:r>
      <w:r>
        <w:rPr>
          <w:rStyle w:val="FootnoteReference"/>
          <w:noProof/>
          <w:szCs w:val="24"/>
        </w:rPr>
        <w:footnoteReference w:id="2"/>
      </w:r>
      <w:r>
        <w:rPr>
          <w:noProof/>
          <w:szCs w:val="24"/>
        </w:rPr>
        <w:t>. Enligt artikel 8.1 i förordningen ska kommissionen vart tredje år överlämna en rapport om dess tillämpning till Europaparlamentet och rådet (efter den första rapporten som skulle inlämnas fem år efter det att förordningen trätt i kraft)</w:t>
      </w:r>
      <w:r>
        <w:rPr>
          <w:iCs/>
          <w:noProof/>
          <w:szCs w:val="24"/>
        </w:rPr>
        <w:t>. Den första rapporten offentliggjordes 2008,</w:t>
      </w:r>
      <w:r>
        <w:rPr>
          <w:rStyle w:val="FootnoteReference"/>
          <w:noProof/>
          <w:szCs w:val="24"/>
        </w:rPr>
        <w:footnoteReference w:id="3"/>
      </w:r>
      <w:r>
        <w:rPr>
          <w:iCs/>
          <w:noProof/>
          <w:szCs w:val="24"/>
        </w:rPr>
        <w:t xml:space="preserve"> den andra 2011</w:t>
      </w:r>
      <w:r>
        <w:rPr>
          <w:rStyle w:val="FootnoteReference"/>
          <w:noProof/>
          <w:szCs w:val="24"/>
        </w:rPr>
        <w:footnoteReference w:id="4"/>
      </w:r>
      <w:r>
        <w:rPr>
          <w:iCs/>
          <w:noProof/>
          <w:szCs w:val="24"/>
        </w:rPr>
        <w:t xml:space="preserve"> och den tredje 2014</w:t>
      </w:r>
      <w:r>
        <w:rPr>
          <w:rStyle w:val="FootnoteReference"/>
          <w:noProof/>
          <w:szCs w:val="24"/>
        </w:rPr>
        <w:footnoteReference w:id="5"/>
      </w:r>
      <w:r>
        <w:rPr>
          <w:noProof/>
          <w:szCs w:val="24"/>
        </w:rPr>
        <w:t>.</w:t>
      </w:r>
    </w:p>
    <w:p>
      <w:pPr>
        <w:pStyle w:val="ManualHeading2"/>
        <w:rPr>
          <w:noProof/>
        </w:rPr>
      </w:pPr>
      <w:bookmarkStart w:id="7" w:name="_Ref275723110"/>
      <w:bookmarkStart w:id="8" w:name="_Toc285116368"/>
      <w:bookmarkStart w:id="9" w:name="_Toc464749058"/>
      <w:r>
        <w:t>1.2.</w:t>
      </w:r>
      <w:r>
        <w:tab/>
      </w:r>
      <w:r>
        <w:rPr>
          <w:noProof/>
        </w:rPr>
        <w:t>Olika nationella strategier och kvalitet</w:t>
      </w:r>
      <w:bookmarkEnd w:id="7"/>
      <w:bookmarkEnd w:id="8"/>
      <w:r>
        <w:rPr>
          <w:noProof/>
        </w:rPr>
        <w:t>skrav</w:t>
      </w:r>
      <w:bookmarkEnd w:id="9"/>
    </w:p>
    <w:p>
      <w:pPr>
        <w:rPr>
          <w:noProof/>
          <w:szCs w:val="24"/>
        </w:rPr>
      </w:pPr>
      <w:r>
        <w:rPr>
          <w:noProof/>
          <w:szCs w:val="24"/>
        </w:rPr>
        <w:t>I förordningen fastställs vilka uppgifter som ska lämnas och de krav som ställs på kvaliteten, men det är medlemsländernas sak att välja vilken specifik metod de vill använda för att framställa avfallsstatistiken. Det innebär att medlemsländerna kan behålla sina befintliga system för uppgiftsinsamling och minimera den belastning som efterlevnaden av förordningen innebär.</w:t>
      </w:r>
    </w:p>
    <w:p>
      <w:pPr>
        <w:rPr>
          <w:noProof/>
          <w:szCs w:val="24"/>
        </w:rPr>
      </w:pPr>
      <w:r>
        <w:rPr>
          <w:noProof/>
          <w:szCs w:val="24"/>
        </w:rPr>
        <w:t>Enligt förordningen (Bilaga I, avsnitt 7) ska medlemsländerna överlämna en rapport tillsammans med uppgifterna. I dessa rapporter ska medlemsländerna ta upp de kvalitetsfaktorer som vanligen används inom det europeiska statistiksystemet</w:t>
      </w:r>
      <w:r>
        <w:rPr>
          <w:rStyle w:val="FootnoteReference"/>
          <w:noProof/>
          <w:szCs w:val="24"/>
        </w:rPr>
        <w:footnoteReference w:id="6"/>
      </w:r>
      <w:r>
        <w:rPr>
          <w:noProof/>
          <w:szCs w:val="24"/>
        </w:rPr>
        <w:t xml:space="preserve"> och fastställs i kommissionens förordning (EG) nr 1445/2005 om kvaliteten på avfallsstatistik</w:t>
      </w:r>
      <w:r>
        <w:rPr>
          <w:rStyle w:val="FootnoteReference"/>
          <w:noProof/>
          <w:szCs w:val="24"/>
        </w:rPr>
        <w:footnoteReference w:id="7"/>
      </w:r>
      <w:r>
        <w:rPr>
          <w:noProof/>
          <w:szCs w:val="24"/>
        </w:rPr>
        <w:t>.</w:t>
      </w:r>
    </w:p>
    <w:p>
      <w:pPr>
        <w:pStyle w:val="ManualHeading2"/>
        <w:rPr>
          <w:noProof/>
        </w:rPr>
      </w:pPr>
      <w:bookmarkStart w:id="10" w:name="_Toc285116369"/>
      <w:bookmarkStart w:id="11" w:name="_Toc464749059"/>
      <w:r>
        <w:t>1.3.</w:t>
      </w:r>
      <w:r>
        <w:tab/>
      </w:r>
      <w:r>
        <w:rPr>
          <w:noProof/>
        </w:rPr>
        <w:t>Kvalitetskontroll</w:t>
      </w:r>
      <w:bookmarkEnd w:id="10"/>
      <w:bookmarkEnd w:id="11"/>
    </w:p>
    <w:p>
      <w:pPr>
        <w:rPr>
          <w:noProof/>
          <w:szCs w:val="24"/>
        </w:rPr>
      </w:pPr>
      <w:r>
        <w:rPr>
          <w:noProof/>
          <w:szCs w:val="24"/>
        </w:rPr>
        <w:t xml:space="preserve">Sedan den första uppgiftsinlämningen 2006 har kommissionen (Eurostat) inrättat ett effektivt system för kvalitetskontroll i två steg. </w:t>
      </w:r>
    </w:p>
    <w:p>
      <w:pPr>
        <w:rPr>
          <w:noProof/>
          <w:szCs w:val="24"/>
        </w:rPr>
      </w:pPr>
      <w:r>
        <w:rPr>
          <w:noProof/>
          <w:szCs w:val="24"/>
        </w:rPr>
        <w:t>Det första steget efter uppgiftsinlämningen är en snabb bedömning av uppgifterna och kvalitetsrapporterna som görs inom två månader efter att tidsfristen för rapportering löpt ut. I detta skede handlar valideringen av uppgifterna huvudsakligen om nya uppgifters samstämmighet och utvecklingen över tid. Analysen görs på mycket aggregerad nivå och syftet är att upptäcka stora brott i serierna och kontrollera om uppgifterna lämpar sig för publicering. En bedömningsrapport skickas till medlemsländerna, som kan begära en förklaring och/eller ändring av uppgifterna, beroende på de iakttagelser som gjorts.</w:t>
      </w:r>
    </w:p>
    <w:p>
      <w:pPr>
        <w:spacing w:after="40"/>
        <w:rPr>
          <w:noProof/>
          <w:szCs w:val="24"/>
        </w:rPr>
      </w:pPr>
      <w:r>
        <w:rPr>
          <w:noProof/>
          <w:szCs w:val="24"/>
        </w:rPr>
        <w:t>Det andra steget är en mer ingående validering. Då analyserar man uppgifterna på mer detaljerad nivå (t.ex. efter näringsgren eller avfallsslag ) och jämför mönster och utveckling mellan länderna. Valideringen omfattar</w:t>
      </w:r>
    </w:p>
    <w:p>
      <w:pPr>
        <w:pStyle w:val="Bullet0"/>
        <w:numPr>
          <w:ilvl w:val="0"/>
          <w:numId w:val="13"/>
        </w:numPr>
        <w:rPr>
          <w:noProof/>
          <w:lang w:eastAsia="de-DE"/>
        </w:rPr>
      </w:pPr>
      <w:r>
        <w:rPr>
          <w:noProof/>
          <w:szCs w:val="24"/>
          <w:lang w:eastAsia="de-DE"/>
        </w:rPr>
        <w:t>jämförelser inom länderna av avfallsgenerering med värden från tidigare år för varje näringsgren,</w:t>
      </w:r>
      <w:r>
        <w:rPr>
          <w:noProof/>
          <w:lang w:eastAsia="de-DE"/>
        </w:rPr>
        <w:t xml:space="preserve"> </w:t>
      </w:r>
    </w:p>
    <w:p>
      <w:pPr>
        <w:pStyle w:val="Bullet0"/>
        <w:numPr>
          <w:ilvl w:val="0"/>
          <w:numId w:val="13"/>
        </w:numPr>
        <w:rPr>
          <w:noProof/>
          <w:lang w:eastAsia="de-DE"/>
        </w:rPr>
      </w:pPr>
      <w:r>
        <w:rPr>
          <w:noProof/>
          <w:szCs w:val="24"/>
          <w:lang w:eastAsia="de-DE"/>
        </w:rPr>
        <w:lastRenderedPageBreak/>
        <w:t>jämförelser mellan länderna av uppgifterna för varje näringsgren,</w:t>
      </w:r>
      <w:r>
        <w:rPr>
          <w:noProof/>
          <w:lang w:eastAsia="de-DE"/>
        </w:rPr>
        <w:t xml:space="preserve"> </w:t>
      </w:r>
    </w:p>
    <w:p>
      <w:pPr>
        <w:pStyle w:val="Bullet0"/>
        <w:numPr>
          <w:ilvl w:val="0"/>
          <w:numId w:val="13"/>
        </w:numPr>
        <w:rPr>
          <w:noProof/>
          <w:lang w:eastAsia="de-DE"/>
        </w:rPr>
      </w:pPr>
      <w:r>
        <w:rPr>
          <w:noProof/>
          <w:szCs w:val="24"/>
          <w:lang w:eastAsia="de-DE"/>
        </w:rPr>
        <w:t>jämförelser inom länderna av genererat och behandlat avfall för varje avfallsslag,</w:t>
      </w:r>
      <w:r>
        <w:rPr>
          <w:noProof/>
          <w:lang w:eastAsia="de-DE"/>
        </w:rPr>
        <w:t xml:space="preserve"> </w:t>
      </w:r>
    </w:p>
    <w:p>
      <w:pPr>
        <w:pStyle w:val="Bullet0"/>
        <w:numPr>
          <w:ilvl w:val="0"/>
          <w:numId w:val="13"/>
        </w:numPr>
        <w:rPr>
          <w:noProof/>
          <w:lang w:eastAsia="de-DE"/>
        </w:rPr>
      </w:pPr>
      <w:r>
        <w:rPr>
          <w:noProof/>
          <w:szCs w:val="24"/>
          <w:lang w:eastAsia="de-DE"/>
        </w:rPr>
        <w:t xml:space="preserve">korskontroller med avfallsuppgifter som inhämtats i samband med andra rapporteringsskyldigheter, t.ex. övervakningen av efterlevnaden i enlighet med annan avfallslagstiftning. </w:t>
      </w:r>
    </w:p>
    <w:p>
      <w:pPr>
        <w:spacing w:after="40"/>
        <w:rPr>
          <w:noProof/>
          <w:szCs w:val="24"/>
        </w:rPr>
      </w:pPr>
      <w:r>
        <w:rPr>
          <w:noProof/>
          <w:szCs w:val="24"/>
        </w:rPr>
        <w:t xml:space="preserve">Resultaten kontrolleras mot ländernas kvalitetsrapporter och återkopplingen från det första steget i bedömningen och andra tillgängliga dokument (t.ex. rapporteringsunderlaget från tidigare år) och diskuteras sedan med medlemsländerna. </w:t>
      </w:r>
    </w:p>
    <w:p>
      <w:pPr>
        <w:spacing w:after="40"/>
        <w:rPr>
          <w:noProof/>
          <w:szCs w:val="24"/>
        </w:rPr>
      </w:pPr>
      <w:r>
        <w:rPr>
          <w:noProof/>
          <w:szCs w:val="24"/>
        </w:rPr>
        <w:t>Utöver dessa två steg har kommissionen (Eurostat) föreslagit ett valideringssteg som länderna ska genomföra innan de levererar uppgifterna och som består av standardregler för validering. Medlemsländerna samtyckte 2014 till en gemensam uppsättning standardregler för validering av avfallsstatistik. Elva medlemsländer tillämpade redan dessa regler innan de lämnade in uppgifter för referensåret</w:t>
      </w:r>
      <w:r>
        <w:rPr>
          <w:rStyle w:val="FootnoteReference"/>
          <w:noProof/>
          <w:szCs w:val="24"/>
        </w:rPr>
        <w:footnoteReference w:id="8"/>
      </w:r>
      <w:r>
        <w:rPr>
          <w:noProof/>
          <w:szCs w:val="24"/>
        </w:rPr>
        <w:t xml:space="preserve"> 2012. Detta är ett viktigt steg mot att ytterligare förbättra effektiviteten i valideringsprocessen.</w:t>
      </w:r>
    </w:p>
    <w:p>
      <w:pPr>
        <w:spacing w:after="40"/>
        <w:rPr>
          <w:noProof/>
          <w:szCs w:val="24"/>
        </w:rPr>
      </w:pPr>
      <w:r>
        <w:rPr>
          <w:noProof/>
          <w:szCs w:val="24"/>
        </w:rPr>
        <w:t>Kommissionen (Eurostat) vidareutvecklar de metodhandledningar som finns på Eurostats webbplats och fortsätter att förbättra och finjustera systemet för kvalitetskontroll av uppgifterna.</w:t>
      </w:r>
    </w:p>
    <w:p>
      <w:pPr>
        <w:pStyle w:val="ManualHeading1"/>
        <w:rPr>
          <w:noProof/>
        </w:rPr>
      </w:pPr>
      <w:bookmarkStart w:id="12" w:name="_Toc285116370"/>
      <w:bookmarkStart w:id="13" w:name="_Toc464749060"/>
      <w:r>
        <w:t>2.</w:t>
      </w:r>
      <w:r>
        <w:tab/>
      </w:r>
      <w:r>
        <w:rPr>
          <w:noProof/>
        </w:rPr>
        <w:t>Punktlighet och aktualitet</w:t>
      </w:r>
      <w:bookmarkEnd w:id="12"/>
      <w:bookmarkEnd w:id="13"/>
    </w:p>
    <w:p>
      <w:pPr>
        <w:rPr>
          <w:noProof/>
          <w:szCs w:val="24"/>
        </w:rPr>
      </w:pPr>
      <w:r>
        <w:rPr>
          <w:noProof/>
          <w:szCs w:val="24"/>
        </w:rPr>
        <w:t>Uppgifterna och kvalitetsrapporterna ska lämnas in vartannat år till kommissionen (Eurostat) senast 18 månader efter referensårets slut</w:t>
      </w:r>
      <w:r>
        <w:rPr>
          <w:rStyle w:val="FootnoteReference"/>
          <w:noProof/>
          <w:szCs w:val="24"/>
        </w:rPr>
        <w:footnoteReference w:id="9"/>
      </w:r>
      <w:r>
        <w:rPr>
          <w:noProof/>
          <w:szCs w:val="24"/>
        </w:rPr>
        <w:t xml:space="preserve">. </w:t>
      </w:r>
    </w:p>
    <w:p>
      <w:pPr>
        <w:rPr>
          <w:noProof/>
          <w:szCs w:val="24"/>
        </w:rPr>
      </w:pPr>
      <w:r>
        <w:rPr>
          <w:iCs/>
          <w:noProof/>
          <w:szCs w:val="24"/>
        </w:rPr>
        <w:t xml:space="preserve">Efterlevnaden av rapporteringsfristen för referensåret 2012 ligger ungefär på samma nivå som för referensåret 2010. Totalt lämnade 21 medlemsländer och EES-/Eftaländer in sina uppgifter och kvalitetsrapporter för 2012 i tid eller inom en månad efter tidsfristen. Både uppgifterna och kvalitetsrapporterna lämnades in mer än tre månader efter tidsfristen av fem länder (Danmark, Irland, Italien, Litauen och Rumänien) och ett EES-/Eftaland (Island). Tre länder (Finland, Lettland och Storbritannien) lämnade in delar av uppgifterna eller kvalitetsrapporterna mer än tre månader efter tidsfristen. </w:t>
      </w:r>
    </w:p>
    <w:p>
      <w:pPr>
        <w:rPr>
          <w:noProof/>
          <w:szCs w:val="24"/>
        </w:rPr>
      </w:pPr>
      <w:r>
        <w:rPr>
          <w:noProof/>
          <w:szCs w:val="24"/>
        </w:rPr>
        <w:t>Kommissionen (Eurostat) vidtar åtgärder för att uppmana länderna att se över sina förfaranden för framställning av statistik och tillhandahålla uppgifter av god kvalitet inom den fastställda tidsfristen.</w:t>
      </w:r>
    </w:p>
    <w:p>
      <w:pPr>
        <w:rPr>
          <w:i/>
          <w:noProof/>
        </w:rPr>
      </w:pPr>
      <w:r>
        <w:rPr>
          <w:rFonts w:eastAsia="Times New Roman"/>
          <w:i/>
          <w:noProof/>
          <w:szCs w:val="24"/>
          <w:lang w:eastAsia="de-DE"/>
        </w:rPr>
        <w:t>Offentliggörande</w:t>
      </w:r>
    </w:p>
    <w:p>
      <w:pPr>
        <w:rPr>
          <w:noProof/>
          <w:szCs w:val="24"/>
        </w:rPr>
      </w:pPr>
      <w:r>
        <w:rPr>
          <w:noProof/>
          <w:szCs w:val="24"/>
        </w:rPr>
        <w:t>Uppgifterna om avfallsgenerering och avfallshantering offentliggjordes i Eurostats databas den 1 oktober 2014.</w:t>
      </w:r>
    </w:p>
    <w:p>
      <w:pPr>
        <w:pStyle w:val="ManualHeading1"/>
        <w:rPr>
          <w:noProof/>
        </w:rPr>
      </w:pPr>
      <w:bookmarkStart w:id="14" w:name="_Toc285116371"/>
      <w:bookmarkStart w:id="15" w:name="_Toc464749061"/>
      <w:r>
        <w:t>3.</w:t>
      </w:r>
      <w:r>
        <w:tab/>
      </w:r>
      <w:r>
        <w:rPr>
          <w:noProof/>
        </w:rPr>
        <w:t>Fullständighet</w:t>
      </w:r>
      <w:bookmarkEnd w:id="14"/>
      <w:bookmarkEnd w:id="15"/>
    </w:p>
    <w:p>
      <w:pPr>
        <w:rPr>
          <w:noProof/>
          <w:szCs w:val="24"/>
        </w:rPr>
      </w:pPr>
      <w:bookmarkStart w:id="16" w:name="_Toc285116372"/>
      <w:r>
        <w:rPr>
          <w:noProof/>
          <w:szCs w:val="24"/>
        </w:rPr>
        <w:t xml:space="preserve">Fullständiga nationella uppgifter är mycket viktiga för framställningen av EU:s aggregat. Ofullständiga uppgifter begränsar avfallsstatistikens informationsvärde. Uppgifter saknas om länderna saknar datakällor eller har otillräckliga uppgifter för uppskattningar. </w:t>
      </w:r>
    </w:p>
    <w:p>
      <w:pPr>
        <w:rPr>
          <w:noProof/>
          <w:szCs w:val="24"/>
        </w:rPr>
      </w:pPr>
      <w:r>
        <w:rPr>
          <w:noProof/>
          <w:szCs w:val="24"/>
        </w:rPr>
        <w:lastRenderedPageBreak/>
        <w:t>Andelen värden som saknas och antalet länder med saknade värden minskade betydligt mellan referensåren 2010 och 2012 när det gäller uppgifter om avfallsgenerering. Under 2010 saknade åtta länder värden, men 2012 hade antalet minskat till tre länder. Den totala andelen saknade värden minskade från 4,1 % under referensåret 2010 till 1,5 % under 2012. Utvecklingen har gått i liknande riktning för uppgifterna om avfallsbehandling. Andelen saknade värden minskade från 3,5 % under referensåret 2010 till 3,1 % under 2012, och antalet länder med saknade värden minskade från åtta till sex. Över hälften av de saknade värdena när det gäller uppgifter om avfallsbehandling (55 %) gäller behandlingskategorin ”återfyllnad”. Uppgifter om återfyllnad samlades in för första gången 2010 efter en ändring av förordningen</w:t>
      </w:r>
      <w:r>
        <w:rPr>
          <w:rStyle w:val="FootnoteReference"/>
          <w:noProof/>
          <w:szCs w:val="24"/>
        </w:rPr>
        <w:footnoteReference w:id="10"/>
      </w:r>
      <w:r>
        <w:rPr>
          <w:noProof/>
          <w:szCs w:val="24"/>
        </w:rPr>
        <w:t xml:space="preserve">. </w:t>
      </w:r>
    </w:p>
    <w:p>
      <w:pPr>
        <w:pStyle w:val="ManualHeading1"/>
        <w:rPr>
          <w:noProof/>
        </w:rPr>
      </w:pPr>
      <w:bookmarkStart w:id="17" w:name="_Toc464749062"/>
      <w:r>
        <w:t>4.</w:t>
      </w:r>
      <w:r>
        <w:tab/>
      </w:r>
      <w:r>
        <w:rPr>
          <w:noProof/>
        </w:rPr>
        <w:t>Uppgifternas tillförlitlighet</w:t>
      </w:r>
      <w:bookmarkEnd w:id="16"/>
      <w:bookmarkEnd w:id="17"/>
    </w:p>
    <w:p>
      <w:pPr>
        <w:pStyle w:val="ManualHeading2"/>
        <w:rPr>
          <w:noProof/>
          <w:szCs w:val="24"/>
        </w:rPr>
      </w:pPr>
      <w:bookmarkStart w:id="18" w:name="_Toc285116373"/>
      <w:bookmarkStart w:id="19" w:name="_Toc464749063"/>
      <w:r>
        <w:t>4.1.</w:t>
      </w:r>
      <w:r>
        <w:tab/>
      </w:r>
      <w:r>
        <w:rPr>
          <w:noProof/>
        </w:rPr>
        <w:t xml:space="preserve">Uppgifternas </w:t>
      </w:r>
      <w:bookmarkEnd w:id="18"/>
      <w:r>
        <w:rPr>
          <w:noProof/>
        </w:rPr>
        <w:t>täckning</w:t>
      </w:r>
      <w:bookmarkEnd w:id="19"/>
    </w:p>
    <w:p>
      <w:pPr>
        <w:rPr>
          <w:noProof/>
          <w:szCs w:val="24"/>
        </w:rPr>
      </w:pPr>
      <w:r>
        <w:rPr>
          <w:noProof/>
          <w:szCs w:val="24"/>
        </w:rPr>
        <w:t>Statistik om avfallsgenerering måste sammanställas för alla näringsgrenar och för hushållen och ska också inkludera avfall som härrör från återvinning och bortskaffande, även kallat sekundärt avfall. Statistiken ska dessutom omfatta avfall från små företag (med färre än tio anställda) även om sådana företag i möjligaste mån bör undantas från undersökningar.</w:t>
      </w:r>
    </w:p>
    <w:p>
      <w:pPr>
        <w:rPr>
          <w:noProof/>
          <w:szCs w:val="24"/>
        </w:rPr>
      </w:pPr>
      <w:r>
        <w:rPr>
          <w:noProof/>
          <w:szCs w:val="24"/>
        </w:rPr>
        <w:t>Statistik om avfallsbehandling omfattar allt avfall som återvinns eller bortskaffas inom ett land, oberoende av var det kommer ifrån. Förordningen avser insamling av uppgifter om avfallets slutdestination. Förberedande åtgärder täcks inte.</w:t>
      </w:r>
    </w:p>
    <w:p>
      <w:pPr>
        <w:rPr>
          <w:i/>
          <w:noProof/>
        </w:rPr>
      </w:pPr>
      <w:r>
        <w:rPr>
          <w:rFonts w:eastAsia="Times New Roman"/>
          <w:i/>
          <w:noProof/>
          <w:szCs w:val="24"/>
          <w:lang w:eastAsia="de-DE"/>
        </w:rPr>
        <w:t>Fel och skillnader i uppgifternas täckning</w:t>
      </w:r>
    </w:p>
    <w:p>
      <w:pPr>
        <w:rPr>
          <w:noProof/>
          <w:szCs w:val="24"/>
        </w:rPr>
      </w:pPr>
      <w:r>
        <w:rPr>
          <w:noProof/>
          <w:szCs w:val="24"/>
        </w:rPr>
        <w:t>De flesta konstaterade täckningsfel beror på</w:t>
      </w:r>
    </w:p>
    <w:p>
      <w:pPr>
        <w:pStyle w:val="Bullet0"/>
        <w:rPr>
          <w:noProof/>
          <w:szCs w:val="24"/>
          <w:lang w:eastAsia="de-DE"/>
        </w:rPr>
      </w:pPr>
      <w:r>
        <w:rPr>
          <w:noProof/>
        </w:rPr>
        <w:t>skillnader i tillämpningen av definitionerna,</w:t>
      </w:r>
    </w:p>
    <w:p>
      <w:pPr>
        <w:pStyle w:val="Bullet0"/>
        <w:rPr>
          <w:noProof/>
          <w:szCs w:val="24"/>
          <w:lang w:eastAsia="de-DE"/>
        </w:rPr>
      </w:pPr>
      <w:r>
        <w:rPr>
          <w:noProof/>
        </w:rPr>
        <w:t>olika metoder och prioriteringar i medlemsländernas avfallshantering och avfallsstatistik</w:t>
      </w:r>
      <w:r>
        <w:rPr>
          <w:noProof/>
          <w:szCs w:val="24"/>
          <w:lang w:eastAsia="de-DE"/>
        </w:rPr>
        <w:t xml:space="preserve">, och </w:t>
      </w:r>
    </w:p>
    <w:p>
      <w:pPr>
        <w:pStyle w:val="Bullet0"/>
        <w:rPr>
          <w:noProof/>
          <w:szCs w:val="24"/>
          <w:lang w:eastAsia="de-DE"/>
        </w:rPr>
      </w:pPr>
      <w:r>
        <w:rPr>
          <w:noProof/>
        </w:rPr>
        <w:t>sektorspecifika täckningsproblem</w:t>
      </w:r>
      <w:r>
        <w:rPr>
          <w:noProof/>
          <w:szCs w:val="24"/>
          <w:lang w:eastAsia="de-DE"/>
        </w:rPr>
        <w:t>.</w:t>
      </w:r>
    </w:p>
    <w:p>
      <w:pPr>
        <w:rPr>
          <w:noProof/>
          <w:szCs w:val="24"/>
        </w:rPr>
      </w:pPr>
      <w:r>
        <w:rPr>
          <w:noProof/>
          <w:szCs w:val="24"/>
        </w:rPr>
        <w:t>Skillnader i täckning är störst inom följande fyra områden:</w:t>
      </w:r>
    </w:p>
    <w:p>
      <w:pPr>
        <w:pStyle w:val="Bullet0"/>
        <w:rPr>
          <w:noProof/>
          <w:szCs w:val="24"/>
        </w:rPr>
      </w:pPr>
      <w:r>
        <w:rPr>
          <w:noProof/>
        </w:rPr>
        <w:t>Skillnaderna i täckning av avfall från utvinningsindustrin (avfall från utvinning av metall) har mycket stor inverkan på avfallsstatistiken. De största skillnaderna mellan olika länder beror på täckningen av jordlager, dvs. naturliga ämnen som tas bort för att komma åt malmen, och utvinningsavfall som hanteras vid gruvanläggningen</w:t>
      </w:r>
      <w:r>
        <w:rPr>
          <w:noProof/>
          <w:szCs w:val="24"/>
        </w:rPr>
        <w:t>.</w:t>
      </w:r>
    </w:p>
    <w:p>
      <w:pPr>
        <w:pStyle w:val="Bullet0"/>
        <w:rPr>
          <w:noProof/>
          <w:szCs w:val="24"/>
        </w:rPr>
      </w:pPr>
      <w:r>
        <w:rPr>
          <w:noProof/>
        </w:rPr>
        <w:t>Skillnaden mellan avfall och biprodukter har en betydande inverkan på avfallsmängderna i näringsgrenarna</w:t>
      </w:r>
      <w:r>
        <w:rPr>
          <w:rStyle w:val="FootnoteReference"/>
          <w:noProof/>
          <w:szCs w:val="24"/>
        </w:rPr>
        <w:footnoteReference w:id="11"/>
      </w:r>
      <w:r>
        <w:rPr>
          <w:noProof/>
          <w:szCs w:val="24"/>
        </w:rPr>
        <w:t xml:space="preserve"> </w:t>
      </w:r>
      <w:r>
        <w:rPr>
          <w:noProof/>
        </w:rPr>
        <w:t xml:space="preserve"> Nace A (jordbruk, skogsbruk och fiske) och Nace C (tillverkning), särskilt för avfallsslagen träavfall, animaliskt och vegetabiliskt avfall och slagg från metallproduktion</w:t>
      </w:r>
      <w:r>
        <w:rPr>
          <w:noProof/>
          <w:szCs w:val="24"/>
        </w:rPr>
        <w:t>.</w:t>
      </w:r>
    </w:p>
    <w:p>
      <w:pPr>
        <w:pStyle w:val="Bullet0"/>
        <w:rPr>
          <w:noProof/>
          <w:szCs w:val="24"/>
        </w:rPr>
      </w:pPr>
      <w:r>
        <w:rPr>
          <w:noProof/>
        </w:rPr>
        <w:t>Skillnaderna i avfallsgenerering inom Nace F (byggverksamhet) tyder på skillnader i uppgifternas täckning.</w:t>
      </w:r>
    </w:p>
    <w:p>
      <w:pPr>
        <w:pStyle w:val="Bullet0"/>
        <w:rPr>
          <w:noProof/>
          <w:szCs w:val="24"/>
        </w:rPr>
      </w:pPr>
      <w:r>
        <w:rPr>
          <w:noProof/>
          <w:szCs w:val="24"/>
        </w:rPr>
        <w:t>Som nämnts i avsnitt 3 kunde f</w:t>
      </w:r>
      <w:r>
        <w:rPr>
          <w:noProof/>
        </w:rPr>
        <w:t>lera länder inte lämna några uppgifter om behandlingskategorin ”återfyllnad”.</w:t>
      </w:r>
    </w:p>
    <w:p>
      <w:pPr>
        <w:rPr>
          <w:noProof/>
          <w:szCs w:val="24"/>
        </w:rPr>
      </w:pPr>
      <w:r>
        <w:rPr>
          <w:noProof/>
          <w:szCs w:val="24"/>
        </w:rPr>
        <w:lastRenderedPageBreak/>
        <w:t xml:space="preserve">Det är svårt att bedöma vilken generell effekt täckningsfelen har. Täckningsfel kan leda till både under- och överskattningar. Effekten antas vara störst för mineralavfall från Nace B (utvinning av mineral). </w:t>
      </w:r>
      <w:bookmarkStart w:id="20" w:name="_Toc285116374"/>
    </w:p>
    <w:p>
      <w:pPr>
        <w:pStyle w:val="ManualHeading2"/>
        <w:rPr>
          <w:noProof/>
          <w:szCs w:val="24"/>
        </w:rPr>
      </w:pPr>
      <w:bookmarkStart w:id="21" w:name="_Toc464749064"/>
      <w:r>
        <w:t>4.2.</w:t>
      </w:r>
      <w:r>
        <w:tab/>
      </w:r>
      <w:r>
        <w:rPr>
          <w:noProof/>
        </w:rPr>
        <w:t>Näringsgrensindelning</w:t>
      </w:r>
      <w:bookmarkEnd w:id="20"/>
      <w:bookmarkEnd w:id="21"/>
    </w:p>
    <w:p>
      <w:pPr>
        <w:rPr>
          <w:noProof/>
          <w:szCs w:val="24"/>
        </w:rPr>
      </w:pPr>
      <w:r>
        <w:rPr>
          <w:noProof/>
          <w:szCs w:val="24"/>
        </w:rPr>
        <w:t>I förordningen föreskrivs att medlemsländerna ska dela upp uppgifterna efter 19 kategorier (18 avfallsgenererande verksamheter och hushåll). Näringsgrenarna ska delas in enligt EU:s statistiska näringsgrensindelning (Nace). En korrekt uppdelning på olika avfallsgenererande verksamheter krävs för att</w:t>
      </w:r>
    </w:p>
    <w:p>
      <w:pPr>
        <w:pStyle w:val="Bullet0"/>
        <w:rPr>
          <w:noProof/>
          <w:szCs w:val="24"/>
          <w:lang w:eastAsia="de-DE"/>
        </w:rPr>
      </w:pPr>
      <w:r>
        <w:rPr>
          <w:noProof/>
          <w:szCs w:val="24"/>
          <w:lang w:eastAsia="de-DE"/>
        </w:rPr>
        <w:t>avfallsmängderna per sektor ska vara jämförbara, och</w:t>
      </w:r>
    </w:p>
    <w:p>
      <w:pPr>
        <w:pStyle w:val="Bullet0"/>
        <w:rPr>
          <w:noProof/>
          <w:szCs w:val="24"/>
          <w:lang w:eastAsia="de-DE"/>
        </w:rPr>
      </w:pPr>
      <w:r>
        <w:rPr>
          <w:noProof/>
        </w:rPr>
        <w:t>avfallsstatistiken ska överensstämma med företagsstatistiken.</w:t>
      </w:r>
    </w:p>
    <w:p>
      <w:pPr>
        <w:rPr>
          <w:noProof/>
          <w:szCs w:val="24"/>
        </w:rPr>
      </w:pPr>
      <w:r>
        <w:rPr>
          <w:noProof/>
          <w:szCs w:val="24"/>
        </w:rPr>
        <w:t xml:space="preserve">Hur avfall delas upp efter avfallsgenererande verksamhet beror på vilka insamlingsmetoder och statistiska enheter som använts. Genom att använda företagsregister för att samla in uppgifterna kan man säkra bästa möjliga jämförbarhet och samstämmighet. Enligt förordningen kan man använda antingen lokala enheter eller verksamhetsenheter som statistiska enheter för att sammanställa uppgifterna. Det kommer därför att finnas skillnader i ländernas uppdelning av avfall även om bestämmelserna i förordningen tillämpas korrekt. </w:t>
      </w:r>
    </w:p>
    <w:p>
      <w:pPr>
        <w:rPr>
          <w:rFonts w:eastAsia="Times New Roman"/>
          <w:noProof/>
          <w:szCs w:val="24"/>
        </w:rPr>
      </w:pPr>
      <w:bookmarkStart w:id="22" w:name="_Toc285116375"/>
      <w:r>
        <w:rPr>
          <w:noProof/>
          <w:szCs w:val="24"/>
        </w:rPr>
        <w:t xml:space="preserve">Uppdelningsfelen anses inte ha någon större inverkan på kvaliteten. Osannolika fall som </w:t>
      </w:r>
      <w:r>
        <w:rPr>
          <w:rFonts w:eastAsia="Times New Roman"/>
          <w:noProof/>
          <w:szCs w:val="24"/>
        </w:rPr>
        <w:t xml:space="preserve">mineralavfall från avfallsbehandling eller stabiliserat avfall från hushållen skulle upptäckas vid valideringen och kan då förklaras eller korrigeras. Sådana fall är dock ovanliga. </w:t>
      </w:r>
    </w:p>
    <w:p>
      <w:pPr>
        <w:pStyle w:val="ManualHeading2"/>
        <w:rPr>
          <w:noProof/>
        </w:rPr>
      </w:pPr>
      <w:bookmarkStart w:id="23" w:name="_Toc464749065"/>
      <w:r>
        <w:t>4.3.</w:t>
      </w:r>
      <w:r>
        <w:tab/>
      </w:r>
      <w:r>
        <w:rPr>
          <w:noProof/>
        </w:rPr>
        <w:t>Klassificering av avfall</w:t>
      </w:r>
      <w:bookmarkEnd w:id="22"/>
      <w:bookmarkEnd w:id="23"/>
    </w:p>
    <w:p>
      <w:pPr>
        <w:rPr>
          <w:noProof/>
          <w:szCs w:val="24"/>
        </w:rPr>
      </w:pPr>
      <w:r>
        <w:rPr>
          <w:noProof/>
          <w:szCs w:val="24"/>
        </w:rPr>
        <w:t>Förordningen innehåller en uppdelning i avfallsslag i enlighet med statistiknomenklaturen för avfall (EAK-statistik)</w:t>
      </w:r>
      <w:r>
        <w:rPr>
          <w:rStyle w:val="FootnoteReference"/>
          <w:noProof/>
          <w:szCs w:val="24"/>
        </w:rPr>
        <w:t xml:space="preserve"> </w:t>
      </w:r>
      <w:r>
        <w:rPr>
          <w:rStyle w:val="FootnoteReference"/>
          <w:noProof/>
          <w:szCs w:val="24"/>
        </w:rPr>
        <w:footnoteReference w:id="12"/>
      </w:r>
      <w:r>
        <w:rPr>
          <w:noProof/>
          <w:szCs w:val="24"/>
        </w:rPr>
        <w:t>, men föreskriver ingen särskild klassificering för uppgiftsinsamling på nationell nivå.</w:t>
      </w:r>
    </w:p>
    <w:p>
      <w:pPr>
        <w:spacing w:after="40"/>
        <w:rPr>
          <w:noProof/>
          <w:szCs w:val="24"/>
        </w:rPr>
      </w:pPr>
      <w:r>
        <w:rPr>
          <w:noProof/>
          <w:szCs w:val="24"/>
        </w:rPr>
        <w:t>De flesta länder samlar in uppgifter i enlighet med den europeiska avfallsförteckningen</w:t>
      </w:r>
      <w:r>
        <w:rPr>
          <w:rStyle w:val="FootnoteReference"/>
          <w:noProof/>
          <w:szCs w:val="24"/>
        </w:rPr>
        <w:footnoteReference w:id="13"/>
      </w:r>
      <w:r>
        <w:rPr>
          <w:noProof/>
          <w:szCs w:val="24"/>
        </w:rPr>
        <w:t>, som innehåller 839 typer av avfall. Trots vissa problem med tillämpningen av avfallsförteckningen ger den utbredda användningen av klassificeringen en hög grad av jämförbarhet, åtminstone på den aggregerade nivå som föreskrivs i förordningen. Klassificeringsfelen antas inte ha någon större inverkan på uppgifternas tillförlitlighet.</w:t>
      </w:r>
    </w:p>
    <w:p>
      <w:pPr>
        <w:pStyle w:val="ManualHeading2"/>
        <w:rPr>
          <w:noProof/>
        </w:rPr>
      </w:pPr>
      <w:bookmarkStart w:id="24" w:name="_Toc464749066"/>
      <w:r>
        <w:t>4.4.</w:t>
      </w:r>
      <w:r>
        <w:tab/>
      </w:r>
      <w:r>
        <w:rPr>
          <w:noProof/>
        </w:rPr>
        <w:t>Skillnader mellan avfallsgenerering och avfallsbehandling</w:t>
      </w:r>
      <w:bookmarkEnd w:id="24"/>
    </w:p>
    <w:p>
      <w:pPr>
        <w:rPr>
          <w:noProof/>
          <w:szCs w:val="24"/>
        </w:rPr>
      </w:pPr>
      <w:r>
        <w:rPr>
          <w:noProof/>
          <w:szCs w:val="24"/>
        </w:rPr>
        <w:t>Skillnaden mellan mängden genererat avfall och mängden behandlat avfall i EU var 2012 cirka 200 miljoner ton. Det motsvarar ungefär 8 % av allt genererat avfall. Denna skillnad har legat på ungefär samma nivå under de senaste två rapporteringsperioderna. Under 2006 och 2008 var den högre, 400 miljoner ton. Mönstret är detsamma: mängden genererat avfall är större än mängden behandlat avfall. Under 2012 var skillnaden störst för slam och flytande avfall från avfallsbehandling (cirka 70 %) och lägst (nära 0 %) för jord.</w:t>
      </w:r>
    </w:p>
    <w:p>
      <w:pPr>
        <w:rPr>
          <w:noProof/>
          <w:szCs w:val="24"/>
        </w:rPr>
      </w:pPr>
      <w:r>
        <w:rPr>
          <w:noProof/>
          <w:szCs w:val="24"/>
        </w:rPr>
        <w:t>Flera faktorer kan förklara skillnaden mellan avfallsgenerering och avfallsbehandling:</w:t>
      </w:r>
    </w:p>
    <w:p>
      <w:pPr>
        <w:pStyle w:val="Bullet0"/>
        <w:rPr>
          <w:noProof/>
          <w:szCs w:val="24"/>
        </w:rPr>
      </w:pPr>
      <w:r>
        <w:rPr>
          <w:noProof/>
          <w:szCs w:val="24"/>
        </w:rPr>
        <w:t xml:space="preserve">Allt avfall behandlas inte i det land där det genererats. Uppgifter om import och export samlas inte in enligt förordningen, och därför kan skillnader på grund av import och export inte kvantifieras med hjälp av uppgifter enligt förordningen. </w:t>
      </w:r>
      <w:r>
        <w:rPr>
          <w:noProof/>
          <w:szCs w:val="24"/>
        </w:rPr>
        <w:lastRenderedPageBreak/>
        <w:t xml:space="preserve">Uppskattningar från utrikeshandelsstatistiken visar att denna effekt förklarar ungefär en femtedel av skillnaden för EU som helhet. För enskilda medlemsländer kan effekten vara större. Tysklands avfallsimport motsvarar mer än 4 % av det avfall som genereras i landet, medan </w:t>
      </w:r>
      <w:r>
        <w:rPr>
          <w:iCs/>
          <w:noProof/>
          <w:szCs w:val="24"/>
        </w:rPr>
        <w:t>Storbritannien</w:t>
      </w:r>
      <w:r>
        <w:rPr>
          <w:noProof/>
          <w:szCs w:val="24"/>
        </w:rPr>
        <w:t xml:space="preserve"> exporterar mer än 6 % av det avfall som genereras.</w:t>
      </w:r>
    </w:p>
    <w:p>
      <w:pPr>
        <w:pStyle w:val="Bullet0"/>
        <w:rPr>
          <w:noProof/>
          <w:szCs w:val="24"/>
        </w:rPr>
      </w:pPr>
      <w:r>
        <w:rPr>
          <w:noProof/>
          <w:szCs w:val="24"/>
        </w:rPr>
        <w:t xml:space="preserve">Uppgifterna om avfallsgenerering omfattar både primärt och sekundärt avfall som genererats, medan avfallsbehandling avser slutbehandling; behandlat avfall beaktas därför endast en gång. </w:t>
      </w:r>
    </w:p>
    <w:p>
      <w:pPr>
        <w:pStyle w:val="Bullet0"/>
        <w:rPr>
          <w:noProof/>
          <w:szCs w:val="24"/>
        </w:rPr>
      </w:pPr>
      <w:r>
        <w:rPr>
          <w:noProof/>
          <w:szCs w:val="24"/>
        </w:rPr>
        <w:t>Alla avfallskategorier utom slam rapporteras i normal våtvikt. Den förbehandling som görs exempelvis inför bortskaffande (behandling av flytande avfall, t.ex. lakvatten eller emulsion av olja/vatten) resulterar i vattenförlust, och när slutbehandlingen inleds har avfallet därför betydligt lägre vikt.</w:t>
      </w:r>
    </w:p>
    <w:p>
      <w:pPr>
        <w:pStyle w:val="Bullet0"/>
        <w:rPr>
          <w:noProof/>
          <w:szCs w:val="24"/>
        </w:rPr>
      </w:pPr>
      <w:r>
        <w:rPr>
          <w:noProof/>
          <w:szCs w:val="24"/>
        </w:rPr>
        <w:t xml:space="preserve">Vissa verksamheter undantas från tillämpningsområdet för bilaga II i förordningen, t.ex. samförbränningsanläggningar som endast använder särskilt bioavfall som bränsle. </w:t>
      </w:r>
    </w:p>
    <w:p>
      <w:pPr>
        <w:pStyle w:val="Bullet0"/>
        <w:rPr>
          <w:noProof/>
          <w:szCs w:val="24"/>
        </w:rPr>
      </w:pPr>
      <w:r>
        <w:rPr>
          <w:noProof/>
          <w:szCs w:val="24"/>
        </w:rPr>
        <w:t>Det är inte säkert att avfallet behandlas samma år som det genererats. Ibland lagras avfallet tillfälligt. Avfall som behandlas år t kan således innehålla avfall som genererats under år t-1. Avfall som genereras under år t kan i sin tur behandlas år t+1.</w:t>
      </w:r>
    </w:p>
    <w:p>
      <w:pPr>
        <w:pStyle w:val="ManualHeading1"/>
        <w:rPr>
          <w:noProof/>
        </w:rPr>
      </w:pPr>
      <w:bookmarkStart w:id="25" w:name="_Toc464749067"/>
      <w:r>
        <w:t>5.</w:t>
      </w:r>
      <w:r>
        <w:tab/>
      </w:r>
      <w:r>
        <w:rPr>
          <w:noProof/>
        </w:rPr>
        <w:t>Jämförbarhet</w:t>
      </w:r>
      <w:bookmarkEnd w:id="6"/>
      <w:bookmarkEnd w:id="25"/>
    </w:p>
    <w:p>
      <w:pPr>
        <w:pStyle w:val="ManualHeading2"/>
        <w:rPr>
          <w:noProof/>
        </w:rPr>
      </w:pPr>
      <w:bookmarkStart w:id="26" w:name="_Toc285116377"/>
      <w:bookmarkStart w:id="27" w:name="_Toc464749068"/>
      <w:r>
        <w:t>5.1.</w:t>
      </w:r>
      <w:r>
        <w:tab/>
      </w:r>
      <w:r>
        <w:rPr>
          <w:noProof/>
        </w:rPr>
        <w:t>Jämförbarhet över tid</w:t>
      </w:r>
      <w:bookmarkEnd w:id="26"/>
      <w:bookmarkEnd w:id="27"/>
    </w:p>
    <w:p>
      <w:pPr>
        <w:rPr>
          <w:noProof/>
          <w:szCs w:val="24"/>
        </w:rPr>
      </w:pPr>
      <w:r>
        <w:rPr>
          <w:noProof/>
          <w:szCs w:val="24"/>
        </w:rPr>
        <w:t>Insamlingen av uppgifter referensåret 2012 var den andra insamlingen sedan de omfattande ändringar som gjordes till följd av den ändrade nya versionen av förordningen. Dessa ändringar har genomförts på ett bra sätt i länderna. Kommissionen (Eurostat) har löpande arbetat med presentation och analys av tidsserierna, som nu består av fem referensår (2004, 2006, 2008, 2010 och 2012).</w:t>
      </w:r>
    </w:p>
    <w:p>
      <w:pPr>
        <w:rPr>
          <w:noProof/>
          <w:szCs w:val="24"/>
        </w:rPr>
      </w:pPr>
      <w:r>
        <w:rPr>
          <w:noProof/>
          <w:szCs w:val="24"/>
        </w:rPr>
        <w:t>Ländernas kvalitetsrapporter har konstaterats vara användbara för att övervaka metodändringar och hur dessa påverkar  uppgifternas jämförbarhet. Utvärderingen av ländernas kvalitetsrapporter visar att nästan alla EU-länder i stor omfattning har modifierat sina strategier för avfallsstatistik sedan 2004. De flesta länder fortsätter att förbättra uppgiftsinsamlingen i fråga om uppgifternas kvalitet (t.ex. genom att täcka uppgiftsluckor och förbättra täckningen) och metodernas effektivitet.</w:t>
      </w:r>
    </w:p>
    <w:p>
      <w:pPr>
        <w:rPr>
          <w:noProof/>
          <w:szCs w:val="24"/>
        </w:rPr>
      </w:pPr>
      <w:r>
        <w:rPr>
          <w:noProof/>
          <w:szCs w:val="24"/>
        </w:rPr>
        <w:t>De gångna årens förbättringar av uppgiftsinsamlingen har lett till brott i tidsserierna. Länderna ändrar datauppsättningarna för tidigare år för att begränsa brotten. Användarna informeras om detta. Kommissionen (Eurostat) varnar för brott i tidsserierna för de datauppsättningar som offentliggörs.</w:t>
      </w:r>
    </w:p>
    <w:p>
      <w:pPr>
        <w:pStyle w:val="ManualHeading2"/>
        <w:rPr>
          <w:noProof/>
        </w:rPr>
      </w:pPr>
      <w:bookmarkStart w:id="28" w:name="_Toc285116378"/>
      <w:bookmarkStart w:id="29" w:name="_Toc464749069"/>
      <w:r>
        <w:t>5.2.</w:t>
      </w:r>
      <w:r>
        <w:tab/>
      </w:r>
      <w:r>
        <w:rPr>
          <w:noProof/>
        </w:rPr>
        <w:t>Jämförbarhet mellan ländern</w:t>
      </w:r>
      <w:bookmarkEnd w:id="28"/>
      <w:r>
        <w:rPr>
          <w:noProof/>
        </w:rPr>
        <w:t>a</w:t>
      </w:r>
      <w:bookmarkEnd w:id="29"/>
    </w:p>
    <w:p>
      <w:pPr>
        <w:rPr>
          <w:noProof/>
          <w:szCs w:val="24"/>
        </w:rPr>
      </w:pPr>
      <w:r>
        <w:rPr>
          <w:noProof/>
          <w:szCs w:val="24"/>
        </w:rPr>
        <w:t xml:space="preserve">Tack vare gemensamma definitioner och klassificeringar är det ganska lätt att jämföra uppgifterna mellan länderna för de flesta näringsgrenar och avfallstyper. Vissa problem när det gäller att jämföra uppgifter mellan länderna kvarstår dock på grund av de skillnader i täckning som beskrivs i avsnitt 4.1. </w:t>
      </w:r>
      <w:bookmarkStart w:id="30" w:name="_Toc285116379"/>
      <w:bookmarkStart w:id="31" w:name="_Ref449604284"/>
      <w:bookmarkStart w:id="32" w:name="_Ref449604289"/>
    </w:p>
    <w:p>
      <w:pPr>
        <w:pStyle w:val="ManualHeading1"/>
        <w:rPr>
          <w:noProof/>
        </w:rPr>
      </w:pPr>
      <w:bookmarkStart w:id="33" w:name="_Toc464749070"/>
      <w:r>
        <w:lastRenderedPageBreak/>
        <w:t>6.</w:t>
      </w:r>
      <w:r>
        <w:tab/>
      </w:r>
      <w:r>
        <w:rPr>
          <w:noProof/>
        </w:rPr>
        <w:t>Belastningen på företagen</w:t>
      </w:r>
      <w:bookmarkEnd w:id="30"/>
      <w:bookmarkEnd w:id="31"/>
      <w:bookmarkEnd w:id="32"/>
      <w:bookmarkEnd w:id="33"/>
    </w:p>
    <w:p>
      <w:pPr>
        <w:rPr>
          <w:noProof/>
          <w:szCs w:val="24"/>
        </w:rPr>
      </w:pPr>
      <w:r>
        <w:rPr>
          <w:noProof/>
          <w:szCs w:val="24"/>
        </w:rPr>
        <w:t>Medlemsländernas kvalitetsrapporter visar att de strävar efter att bördan för företagen ska bli så liten som möjligt. Allt fler länder mäter svarsbördan i form av tidsåtgång och vet därför hur lång tid det i genomsnitt tar att fylla i fråge- eller rapporteringsformulär. Uppgifterna samlas in via frågeformulär eller genom särskilda undersökningar. Omkring hälften av medlemsländerna använder administrativa uppgifter som huvudsaklig källa till avfallsstatistik och undviker därigenom att belasta uppgiftslämnarna med ytterligare frågeformulär. Andra länder använder administrativa uppgifter som en av många datakällor. Små företag undantas från undersökningarna på olika sätt</w:t>
      </w:r>
      <w:r>
        <w:rPr>
          <w:rStyle w:val="FootnoteReference"/>
          <w:noProof/>
          <w:szCs w:val="24"/>
        </w:rPr>
        <w:footnoteReference w:id="14"/>
      </w:r>
      <w:r>
        <w:rPr>
          <w:noProof/>
          <w:szCs w:val="24"/>
        </w:rPr>
        <w:t>.</w:t>
      </w:r>
    </w:p>
    <w:p>
      <w:pPr>
        <w:rPr>
          <w:noProof/>
          <w:szCs w:val="24"/>
        </w:rPr>
      </w:pPr>
      <w:r>
        <w:rPr>
          <w:noProof/>
          <w:szCs w:val="24"/>
        </w:rPr>
        <w:t xml:space="preserve">Allt fler länder har infört eller planerar att införa elektroniska rapporteringssystem, dvs. system som automatiskt vidarebefordrar uppgifter som avfallsanläggningar enligt avfallslagstiftningen ska lämna till statistikmyndigheterna. Elektroniska rapporteringsverktyg för vissa eller alla avfallsuppgifter finns nu t.ex. i Belgien, Kroatien, Danmark,  Irland, Litauen, Ungern, Österrike, Polen, Portugal, Rumänien, Slovenien, Sverige, Norge och </w:t>
      </w:r>
      <w:r>
        <w:rPr>
          <w:iCs/>
          <w:noProof/>
          <w:szCs w:val="24"/>
        </w:rPr>
        <w:t>Storbritannien</w:t>
      </w:r>
      <w:r>
        <w:rPr>
          <w:noProof/>
          <w:szCs w:val="24"/>
        </w:rPr>
        <w:t xml:space="preserve">. </w:t>
      </w:r>
    </w:p>
    <w:p>
      <w:pPr>
        <w:pStyle w:val="ManualHeading1"/>
        <w:rPr>
          <w:noProof/>
        </w:rPr>
      </w:pPr>
      <w:bookmarkStart w:id="34" w:name="_Toc464749071"/>
      <w:r>
        <w:t>7.</w:t>
      </w:r>
      <w:r>
        <w:tab/>
      </w:r>
      <w:r>
        <w:rPr>
          <w:noProof/>
        </w:rPr>
        <w:t>Utveckling av indikatorer</w:t>
      </w:r>
      <w:bookmarkEnd w:id="34"/>
    </w:p>
    <w:p>
      <w:pPr>
        <w:rPr>
          <w:rFonts w:eastAsia="Times New Roman"/>
          <w:noProof/>
          <w:szCs w:val="24"/>
          <w:lang w:eastAsia="fr-BE"/>
        </w:rPr>
      </w:pPr>
      <w:r>
        <w:rPr>
          <w:noProof/>
          <w:szCs w:val="24"/>
        </w:rPr>
        <w:t xml:space="preserve">Uppgifterna används för att beräkna indikatorer. På Eurostats webbplats finns exempelvis </w:t>
      </w:r>
      <w:hyperlink r:id="rId18" w:tooltip="Glossary:Sustainable development indicator (SDI)" w:history="1">
        <w:r>
          <w:rPr>
            <w:rFonts w:eastAsia="Times New Roman"/>
            <w:noProof/>
            <w:color w:val="0000FF"/>
            <w:szCs w:val="24"/>
            <w:u w:val="single"/>
            <w:lang w:eastAsia="fr-BE"/>
          </w:rPr>
          <w:t>unionens indikatorer för hållbar utveckling</w:t>
        </w:r>
      </w:hyperlink>
      <w:r>
        <w:rPr>
          <w:rFonts w:eastAsia="Times New Roman"/>
          <w:noProof/>
          <w:szCs w:val="24"/>
          <w:lang w:eastAsia="fr-BE"/>
        </w:rPr>
        <w:t xml:space="preserve"> för </w:t>
      </w:r>
      <w:hyperlink r:id="rId19" w:history="1">
        <w:r>
          <w:rPr>
            <w:rStyle w:val="Hyperlink"/>
            <w:rFonts w:eastAsia="Times New Roman"/>
            <w:noProof/>
            <w:szCs w:val="24"/>
            <w:lang w:eastAsia="fr-BE"/>
          </w:rPr>
          <w:t>generering av avfall utom huvudsakligt mineralavfall</w:t>
        </w:r>
      </w:hyperlink>
      <w:r>
        <w:rPr>
          <w:rFonts w:eastAsia="Times New Roman"/>
          <w:noProof/>
          <w:szCs w:val="24"/>
          <w:lang w:eastAsia="fr-BE"/>
        </w:rPr>
        <w:t xml:space="preserve"> och </w:t>
      </w:r>
      <w:hyperlink r:id="rId20" w:history="1">
        <w:r>
          <w:rPr>
            <w:rStyle w:val="Hyperlink"/>
            <w:rFonts w:eastAsia="Times New Roman"/>
            <w:noProof/>
            <w:szCs w:val="24"/>
            <w:lang w:eastAsia="fr-BE"/>
          </w:rPr>
          <w:t>generering av farligt avfall efter näringsgren</w:t>
        </w:r>
      </w:hyperlink>
      <w:r>
        <w:rPr>
          <w:rFonts w:eastAsia="Times New Roman"/>
          <w:noProof/>
          <w:szCs w:val="24"/>
          <w:lang w:eastAsia="fr-BE"/>
        </w:rPr>
        <w:t xml:space="preserve">. Dessa indikatorer rapporteras i kilogram per invånare för att underlätta jämförelser mellan länderna. </w:t>
      </w:r>
    </w:p>
    <w:p>
      <w:pPr>
        <w:rPr>
          <w:noProof/>
          <w:szCs w:val="24"/>
        </w:rPr>
      </w:pPr>
      <w:r>
        <w:rPr>
          <w:rFonts w:eastAsia="Times New Roman"/>
          <w:noProof/>
          <w:szCs w:val="24"/>
          <w:lang w:eastAsia="fr-BE"/>
        </w:rPr>
        <w:t xml:space="preserve">En ny uppsättning indikatorer om </w:t>
      </w:r>
      <w:hyperlink r:id="rId21" w:history="1">
        <w:r>
          <w:rPr>
            <w:rStyle w:val="Hyperlink"/>
            <w:rFonts w:eastAsia="Times New Roman"/>
            <w:noProof/>
            <w:szCs w:val="24"/>
            <w:lang w:eastAsia="fr-BE"/>
          </w:rPr>
          <w:t>hantering av avfall med undantag för huvudsakligt mineralavfall</w:t>
        </w:r>
      </w:hyperlink>
      <w:r>
        <w:rPr>
          <w:rFonts w:eastAsia="Times New Roman"/>
          <w:noProof/>
          <w:szCs w:val="24"/>
          <w:lang w:eastAsia="fr-BE"/>
        </w:rPr>
        <w:t xml:space="preserve"> har tagits fram. Indikatorn visar slutbehandlingen av avfall som genererats nationellt</w:t>
      </w:r>
      <w:r>
        <w:rPr>
          <w:rStyle w:val="FootnoteReference"/>
          <w:rFonts w:eastAsia="Times New Roman"/>
          <w:noProof/>
          <w:szCs w:val="24"/>
          <w:lang w:eastAsia="fr-BE"/>
        </w:rPr>
        <w:footnoteReference w:id="15"/>
      </w:r>
      <w:r>
        <w:rPr>
          <w:noProof/>
          <w:szCs w:val="24"/>
        </w:rPr>
        <w:t>. Till skillnad från de uppgifter som samlas in enligt förordningen ingår här även behandling av exporterat avfall, medan importerat avfall inte ingår i indikatorn.</w:t>
      </w:r>
    </w:p>
    <w:p>
      <w:pPr>
        <w:rPr>
          <w:noProof/>
          <w:szCs w:val="24"/>
        </w:rPr>
      </w:pPr>
      <w:r>
        <w:rPr>
          <w:noProof/>
          <w:szCs w:val="24"/>
        </w:rPr>
        <w:t xml:space="preserve">Dessa indikatorer är lämpliga som underlag för övervakning av genomförandet av kommissionens </w:t>
      </w:r>
      <w:hyperlink r:id="rId22" w:history="1">
        <w:r>
          <w:rPr>
            <w:rStyle w:val="Hyperlink"/>
            <w:rFonts w:eastAsia="Times New Roman"/>
            <w:noProof/>
            <w:szCs w:val="24"/>
            <w:lang w:eastAsia="fr-BE"/>
          </w:rPr>
          <w:t>strategi för den cirkulära ekonomin</w:t>
        </w:r>
      </w:hyperlink>
      <w:r>
        <w:rPr>
          <w:rFonts w:eastAsia="Times New Roman"/>
          <w:noProof/>
          <w:szCs w:val="24"/>
          <w:lang w:eastAsia="fr-BE"/>
        </w:rPr>
        <w:t>.</w:t>
      </w:r>
    </w:p>
    <w:p>
      <w:pPr>
        <w:pStyle w:val="ManualHeading1"/>
        <w:rPr>
          <w:noProof/>
        </w:rPr>
      </w:pPr>
      <w:bookmarkStart w:id="35" w:name="_Toc285116381"/>
      <w:bookmarkStart w:id="36" w:name="_Toc464749072"/>
      <w:r>
        <w:t>8.</w:t>
      </w:r>
      <w:r>
        <w:tab/>
      </w:r>
      <w:r>
        <w:rPr>
          <w:noProof/>
        </w:rPr>
        <w:t>Vad har uppnåtts och hur ser framtiden ut?</w:t>
      </w:r>
      <w:bookmarkEnd w:id="35"/>
      <w:bookmarkEnd w:id="36"/>
      <w:r>
        <w:rPr>
          <w:noProof/>
        </w:rPr>
        <w:t xml:space="preserve"> </w:t>
      </w:r>
    </w:p>
    <w:p>
      <w:pPr>
        <w:rPr>
          <w:noProof/>
          <w:szCs w:val="24"/>
        </w:rPr>
      </w:pPr>
      <w:r>
        <w:rPr>
          <w:noProof/>
          <w:szCs w:val="24"/>
        </w:rPr>
        <w:t>Insamlingen av avfallsstatistik fungerar numera mycket bättre än vid den första rapporteringen 2006. Länderna lämnar i allt högre grad fullständiga uppgifter. Det har blivit ganska lätt att jämföra de olika ländernas statistik för de flesta avfallsslag och näringsgrenar, och uppgifternas täckning har ökat betydligt. Sammantaget är de flesta länders uppgifter av god kvalitet. Men för att uppnå EU:s mål för miljö, näringsliv och råvaror krävs ytterligare förbättringar. Kommissionen fortsätter att samarbeta med medlemsländerna om dessa förbättringar, t.ex. genom seminarier och utbyten av bästa praxis.</w:t>
      </w:r>
    </w:p>
    <w:p>
      <w:pPr>
        <w:rPr>
          <w:noProof/>
          <w:szCs w:val="24"/>
        </w:rPr>
      </w:pPr>
      <w:r>
        <w:rPr>
          <w:noProof/>
          <w:szCs w:val="24"/>
        </w:rPr>
        <w:t>Med uppgiftslämningen för 2012 finns nu uppgifter om avfallsgenerering och avfallsbehandling tillgängliga för fem referensår, dvs. perioden 2004–2012. Med de längre tidsserierna blir uppgifterna alltmer värdefulla, t.ex. för att utveckla indikatorer eller som underlag för klimatrelaterade analyser.</w:t>
      </w:r>
    </w:p>
    <w:p>
      <w:pPr>
        <w:rPr>
          <w:noProof/>
          <w:szCs w:val="24"/>
        </w:rPr>
      </w:pPr>
      <w:r>
        <w:rPr>
          <w:noProof/>
          <w:szCs w:val="24"/>
        </w:rPr>
        <w:t xml:space="preserve">Samtidigt kan enskilda länders metodförbättringar fortfarande få märkbara effekter på tidsserierna, både på nationell nivå och aggregerat för EU-28. Utvecklingen över tid bör </w:t>
      </w:r>
      <w:r>
        <w:rPr>
          <w:noProof/>
          <w:szCs w:val="24"/>
        </w:rPr>
        <w:lastRenderedPageBreak/>
        <w:t xml:space="preserve">därför fortfarande tolkas med försiktighet och efter noggrann analys av bakomliggande uppgifter. </w:t>
      </w:r>
    </w:p>
    <w:p>
      <w:pPr>
        <w:rPr>
          <w:noProof/>
          <w:szCs w:val="24"/>
        </w:rPr>
      </w:pPr>
    </w:p>
    <w:p>
      <w:pPr>
        <w:rPr>
          <w:noProof/>
        </w:rPr>
      </w:pP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fldChar w:fldCharType="begin"/>
    </w:r>
    <w:r>
      <w:instrText xml:space="preserve"> PAGE  \* MERGEFORMAT </w:instrText>
    </w:r>
    <w:r>
      <w:fldChar w:fldCharType="separate"/>
    </w:r>
    <w:r>
      <w:rPr>
        <w:noProof/>
      </w:rPr>
      <w:t>10</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SV</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de-DE"/>
        </w:rPr>
      </w:pPr>
      <w:r>
        <w:rPr>
          <w:rStyle w:val="FootnoteReference"/>
        </w:rPr>
        <w:footnoteRef/>
      </w:r>
      <w:r>
        <w:rPr>
          <w:lang w:val="de-DE"/>
        </w:rPr>
        <w:tab/>
        <w:t>EGT L 332, 9.12.2002, s. 1.</w:t>
      </w:r>
    </w:p>
  </w:footnote>
  <w:footnote w:id="2">
    <w:p>
      <w:pPr>
        <w:pStyle w:val="FootnoteText"/>
        <w:rPr>
          <w:lang w:val="de-DE"/>
        </w:rPr>
      </w:pPr>
      <w:r>
        <w:rPr>
          <w:rStyle w:val="FootnoteReference"/>
        </w:rPr>
        <w:footnoteRef/>
      </w:r>
      <w:r>
        <w:rPr>
          <w:lang w:val="de-DE"/>
        </w:rPr>
        <w:tab/>
        <w:t>EUT L 312, 22.11.2008, s. 3.</w:t>
      </w:r>
    </w:p>
  </w:footnote>
  <w:footnote w:id="3">
    <w:p>
      <w:pPr>
        <w:pStyle w:val="FootnoteText"/>
        <w:rPr>
          <w:lang w:val="de-DE"/>
        </w:rPr>
      </w:pPr>
      <w:r>
        <w:rPr>
          <w:rStyle w:val="FootnoteReference"/>
        </w:rPr>
        <w:footnoteRef/>
      </w:r>
      <w:r>
        <w:rPr>
          <w:lang w:val="de-DE"/>
        </w:rPr>
        <w:tab/>
        <w:t>KOM (2008) 355 slutlig, 13.6.2008.</w:t>
      </w:r>
    </w:p>
  </w:footnote>
  <w:footnote w:id="4">
    <w:p>
      <w:pPr>
        <w:pStyle w:val="FootnoteText"/>
        <w:rPr>
          <w:lang w:val="de-DE"/>
        </w:rPr>
      </w:pPr>
      <w:r>
        <w:rPr>
          <w:rStyle w:val="FootnoteReference"/>
        </w:rPr>
        <w:footnoteRef/>
      </w:r>
      <w:r>
        <w:rPr>
          <w:lang w:val="de-DE"/>
        </w:rPr>
        <w:tab/>
        <w:t>KOM (2011) 131 slutlig, 17.3</w:t>
      </w:r>
      <w:r>
        <w:rPr>
          <w:w w:val="50"/>
          <w:lang w:val="de-DE"/>
        </w:rPr>
        <w:t>.</w:t>
      </w:r>
      <w:r>
        <w:rPr>
          <w:lang w:val="de-DE"/>
        </w:rPr>
        <w:t>2011.</w:t>
      </w:r>
    </w:p>
  </w:footnote>
  <w:footnote w:id="5">
    <w:p>
      <w:pPr>
        <w:pStyle w:val="FootnoteText"/>
        <w:rPr>
          <w:lang w:val="de-DE"/>
        </w:rPr>
      </w:pPr>
      <w:r>
        <w:rPr>
          <w:rStyle w:val="FootnoteReference"/>
        </w:rPr>
        <w:footnoteRef/>
      </w:r>
      <w:r>
        <w:rPr>
          <w:lang w:val="de-DE"/>
        </w:rPr>
        <w:tab/>
        <w:t>COM (2014) 79 final, 14.2.2014.</w:t>
      </w:r>
    </w:p>
  </w:footnote>
  <w:footnote w:id="6">
    <w:p>
      <w:pPr>
        <w:pStyle w:val="FootnoteText"/>
        <w:jc w:val="left"/>
        <w:rPr>
          <w:lang w:val="de-DE"/>
        </w:rPr>
      </w:pPr>
      <w:r>
        <w:rPr>
          <w:rStyle w:val="FootnoteReference"/>
        </w:rPr>
        <w:footnoteRef/>
      </w:r>
      <w:r>
        <w:rPr>
          <w:lang w:val="de-DE"/>
        </w:rPr>
        <w:tab/>
        <w:t xml:space="preserve">Eurostats webbsida om kvalitet: </w:t>
      </w:r>
      <w:r>
        <w:rPr>
          <w:color w:val="0000FF"/>
          <w:u w:val="single"/>
          <w:lang w:val="de-DE"/>
        </w:rPr>
        <w:t>http://epp.eurostat.ec.europa.eu/portal/page?_pageid=2273.1</w:t>
      </w:r>
      <w:r>
        <w:rPr>
          <w:color w:val="0000FF"/>
          <w:w w:val="50"/>
          <w:u w:val="single"/>
          <w:lang w:val="de-DE"/>
        </w:rPr>
        <w:t> </w:t>
      </w:r>
      <w:r>
        <w:rPr>
          <w:color w:val="0000FF"/>
          <w:u w:val="single"/>
          <w:lang w:val="de-DE"/>
        </w:rPr>
        <w:t>2273_47140765&amp;_dad=portal&amp;_schema=PORTAL.</w:t>
      </w:r>
    </w:p>
  </w:footnote>
  <w:footnote w:id="7">
    <w:p>
      <w:pPr>
        <w:pStyle w:val="FootnoteText"/>
      </w:pPr>
      <w:r>
        <w:rPr>
          <w:rStyle w:val="FootnoteReference"/>
        </w:rPr>
        <w:footnoteRef/>
      </w:r>
      <w:r>
        <w:tab/>
        <w:t>EUT L 229, 6.9.2005, s. 6.</w:t>
      </w:r>
    </w:p>
  </w:footnote>
  <w:footnote w:id="8">
    <w:p>
      <w:pPr>
        <w:pStyle w:val="FootnoteText"/>
      </w:pPr>
      <w:r>
        <w:rPr>
          <w:rStyle w:val="FootnoteReference"/>
        </w:rPr>
        <w:footnoteRef/>
      </w:r>
      <w:r>
        <w:tab/>
        <w:t xml:space="preserve">Referensåret betyder den period som uppgifterna avser. Eftersom eftersläpningen i rapporteringen är 18 månader rapporteras uppgifter för referensåret 2012 under 2014. </w:t>
      </w:r>
    </w:p>
  </w:footnote>
  <w:footnote w:id="9">
    <w:p>
      <w:pPr>
        <w:pStyle w:val="FootnoteText"/>
      </w:pPr>
      <w:r>
        <w:rPr>
          <w:rStyle w:val="FootnoteReference"/>
        </w:rPr>
        <w:footnoteRef/>
      </w:r>
      <w:r>
        <w:tab/>
        <w:t>Förordning (EG) 2150/2002, avsnitt 7.2 i bilagorna I och II.</w:t>
      </w:r>
    </w:p>
  </w:footnote>
  <w:footnote w:id="10">
    <w:p>
      <w:pPr>
        <w:pStyle w:val="FootnoteText"/>
      </w:pPr>
      <w:r>
        <w:rPr>
          <w:rStyle w:val="FootnoteReference"/>
        </w:rPr>
        <w:footnoteRef/>
      </w:r>
      <w:r>
        <w:tab/>
        <w:t>EUT L 253, 28.9.2010, s. 10.</w:t>
      </w:r>
    </w:p>
  </w:footnote>
  <w:footnote w:id="11">
    <w:p>
      <w:pPr>
        <w:pStyle w:val="FootnoteText"/>
      </w:pPr>
      <w:r>
        <w:rPr>
          <w:rStyle w:val="FootnoteReference"/>
        </w:rPr>
        <w:footnoteRef/>
      </w:r>
      <w:r>
        <w:tab/>
        <w:t>Klassificerade enligt statistisk näringsgrensindelning i Europeiska unionen (Nace), aktuell version Nace rev. 2.</w:t>
      </w:r>
    </w:p>
  </w:footnote>
  <w:footnote w:id="12">
    <w:p>
      <w:pPr>
        <w:pStyle w:val="EndnoteText"/>
      </w:pPr>
      <w:r>
        <w:rPr>
          <w:rStyle w:val="FootnoteReference"/>
        </w:rPr>
        <w:footnoteRef/>
      </w:r>
      <w:r>
        <w:tab/>
        <w:t>Aktuell version EAK-statistik rev. 4, som har 51 kategorier.</w:t>
      </w:r>
    </w:p>
  </w:footnote>
  <w:footnote w:id="13">
    <w:p>
      <w:pPr>
        <w:pStyle w:val="FootnoteText"/>
      </w:pPr>
      <w:r>
        <w:rPr>
          <w:rStyle w:val="FootnoteReference"/>
        </w:rPr>
        <w:footnoteRef/>
      </w:r>
      <w:r>
        <w:tab/>
        <w:t>Upprättad genom kommissionens beslut 2000/532/EG, senast ändrat genom kommissionens beslut 2014/955/EU.</w:t>
      </w:r>
    </w:p>
  </w:footnote>
  <w:footnote w:id="14">
    <w:p>
      <w:pPr>
        <w:pStyle w:val="FootnoteText"/>
      </w:pPr>
      <w:r>
        <w:rPr>
          <w:rStyle w:val="FootnoteReference"/>
        </w:rPr>
        <w:footnoteRef/>
      </w:r>
      <w:r>
        <w:tab/>
        <w:t>Undantaget för små företag hanteras på olika sätt. Vissa länder täcker små företag genom urvalsundersökningar och extrapolerar resultaten. De flesta undantar dem dock helt och hållet, och bortser antingen helt från siffrorna, om undantagen är förenliga med målen för täckning och kvalitet enligt artikel 3 i förordningen, eller extrapolerar dem genom faktabaserade uppskattningsmodeller. Länderna har fastställt olika tröskelvärden, oftast för antalet anställda eller mängden avfall som genereras per år. Vissa länder kombinerar de båda kriterierna för att uppgifter ska samlas in även från små företag när deras avfallsgenerering ligger över tröskelvärdet.</w:t>
      </w:r>
    </w:p>
  </w:footnote>
  <w:footnote w:id="15">
    <w:p>
      <w:pPr>
        <w:pStyle w:val="FootnoteText"/>
      </w:pPr>
      <w:r>
        <w:rPr>
          <w:rStyle w:val="FootnoteReference"/>
        </w:rPr>
        <w:footnoteRef/>
      </w:r>
      <w:r>
        <w:tab/>
        <w:t>I indikatorn ingår allt avfall utom ”huvudsakligt mineralavfall”. Det tillhandahålls en enhetlig uppsättning indikatorer som omfattar alla avfallsbehandlingskategorier avsnitt 8 i Bilaga II  till förordningen. Indikatoruppsättningen grundar sig på uppgifter om avfallsbehandling enligt förordningen, vilka avspeglar mängden avfall som hanteras i medlemsländerna. Dessutom används uppgifter från utrikeshandelsstatistiken (COMEXT) eller nationella uppgifter om import och export av avfall för att inkludera mängden exporterat avfall och exkludera mängden importerat avfall från beräkningen.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3FCE48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198A0B62"/>
    <w:lvl w:ilvl="0">
      <w:start w:val="1"/>
      <w:numFmt w:val="decimal"/>
      <w:pStyle w:val="ListNumber3"/>
      <w:lvlText w:val="%1."/>
      <w:lvlJc w:val="left"/>
      <w:pPr>
        <w:tabs>
          <w:tab w:val="num" w:pos="926"/>
        </w:tabs>
        <w:ind w:left="926" w:hanging="360"/>
      </w:pPr>
    </w:lvl>
  </w:abstractNum>
  <w:abstractNum w:abstractNumId="2">
    <w:nsid w:val="FFFFFF7F"/>
    <w:multiLevelType w:val="singleLevel"/>
    <w:tmpl w:val="7BE8EA40"/>
    <w:lvl w:ilvl="0">
      <w:start w:val="1"/>
      <w:numFmt w:val="decimal"/>
      <w:pStyle w:val="ListNumber2"/>
      <w:lvlText w:val="%1."/>
      <w:lvlJc w:val="left"/>
      <w:pPr>
        <w:tabs>
          <w:tab w:val="num" w:pos="643"/>
        </w:tabs>
        <w:ind w:left="643" w:hanging="360"/>
      </w:pPr>
    </w:lvl>
  </w:abstractNum>
  <w:abstractNum w:abstractNumId="3">
    <w:nsid w:val="FFFFFF81"/>
    <w:multiLevelType w:val="singleLevel"/>
    <w:tmpl w:val="34F64B9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CF4141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8"/>
    <w:multiLevelType w:val="singleLevel"/>
    <w:tmpl w:val="AB30FC0E"/>
    <w:lvl w:ilvl="0">
      <w:start w:val="1"/>
      <w:numFmt w:val="decimal"/>
      <w:pStyle w:val="ListNumber"/>
      <w:lvlText w:val="%1."/>
      <w:lvlJc w:val="left"/>
      <w:pPr>
        <w:tabs>
          <w:tab w:val="num" w:pos="360"/>
        </w:tabs>
        <w:ind w:left="360" w:hanging="360"/>
      </w:pPr>
      <w:rPr>
        <w:rFonts w:cs="Times New Roman"/>
      </w:rPr>
    </w:lvl>
  </w:abstractNum>
  <w:abstractNum w:abstractNumId="6">
    <w:nsid w:val="FFFFFF89"/>
    <w:multiLevelType w:val="singleLevel"/>
    <w:tmpl w:val="CFF0C678"/>
    <w:lvl w:ilvl="0">
      <w:start w:val="1"/>
      <w:numFmt w:val="bullet"/>
      <w:pStyle w:val="ListBullet"/>
      <w:lvlText w:val=""/>
      <w:lvlJc w:val="left"/>
      <w:pPr>
        <w:tabs>
          <w:tab w:val="num" w:pos="360"/>
        </w:tabs>
        <w:ind w:left="360" w:hanging="360"/>
      </w:pPr>
      <w:rPr>
        <w:rFonts w:ascii="Symbol" w:hAnsi="Symbol" w:hint="default"/>
      </w:rPr>
    </w:lvl>
  </w:abstractNum>
  <w:abstractNum w:abstractNumId="7">
    <w:nsid w:val="12DD5905"/>
    <w:multiLevelType w:val="singleLevel"/>
    <w:tmpl w:val="6CB4B73E"/>
    <w:name w:val="List Number 3"/>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40315490"/>
    <w:multiLevelType w:val="singleLevel"/>
    <w:tmpl w:val="1F86C700"/>
    <w:name w:val="0.5714794"/>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62A8042C"/>
    <w:multiLevelType w:val="singleLevel"/>
    <w:tmpl w:val="CCF20C06"/>
    <w:name w:val="0.8195612"/>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2">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13"/>
  </w:num>
  <w:num w:numId="3">
    <w:abstractNumId w:val="21"/>
  </w:num>
  <w:num w:numId="4">
    <w:abstractNumId w:val="5"/>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 w:numId="8">
    <w:abstractNumId w:val="3"/>
  </w:num>
  <w:num w:numId="9">
    <w:abstractNumId w:val="2"/>
  </w:num>
  <w:num w:numId="10">
    <w:abstractNumId w:val="1"/>
  </w:num>
  <w:num w:numId="11">
    <w:abstractNumId w:val="0"/>
  </w:num>
  <w:num w:numId="12">
    <w:abstractNumId w:val="12"/>
  </w:num>
  <w:num w:numId="13">
    <w:abstractNumId w:val="16"/>
    <w:lvlOverride w:ilvl="0">
      <w:startOverride w:val="1"/>
    </w:lvlOverride>
  </w:num>
  <w:num w:numId="14">
    <w:abstractNumId w:val="20"/>
  </w:num>
  <w:num w:numId="15">
    <w:abstractNumId w:val="14"/>
  </w:num>
  <w:num w:numId="16">
    <w:abstractNumId w:val="23"/>
  </w:num>
  <w:num w:numId="17">
    <w:abstractNumId w:val="11"/>
  </w:num>
  <w:num w:numId="18">
    <w:abstractNumId w:val="15"/>
  </w:num>
  <w:num w:numId="19">
    <w:abstractNumId w:val="9"/>
  </w:num>
  <w:num w:numId="20">
    <w:abstractNumId w:val="22"/>
  </w:num>
  <w:num w:numId="21">
    <w:abstractNumId w:val="8"/>
  </w:num>
  <w:num w:numId="22">
    <w:abstractNumId w:val="16"/>
  </w:num>
  <w:num w:numId="23">
    <w:abstractNumId w:val="18"/>
  </w:num>
  <w:num w:numId="24">
    <w:abstractNumId w:val="19"/>
  </w:num>
  <w:num w:numId="25">
    <w:abstractNumId w:val="10"/>
  </w:num>
  <w:num w:numId="26">
    <w:abstractNumId w:val="17"/>
  </w:num>
  <w:num w:numId="27">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10-25 17:16:57"/>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1"/>
    <w:docVar w:name="DQCResult_StructureCheck" w:val="0;0"/>
    <w:docVar w:name="DQCResult_SuperfluousWhitespace" w:val="0;7"/>
    <w:docVar w:name="DQCResult_UnknownFonts" w:val="0;0"/>
    <w:docVar w:name="DQCResult_UnknownStyles" w:val="0;1"/>
    <w:docVar w:name="DQCStatus" w:val="Green"/>
    <w:docVar w:name="DQCVersion" w:val="3"/>
    <w:docVar w:name="DQCWithWarnings" w:val="0"/>
    <w:docVar w:name="LW_CONFIDENCE" w:val=" "/>
    <w:docVar w:name="LW_CONST_RESTREINT_UE" w:val="RESTREINT UE"/>
    <w:docVar w:name="LW_CORRIGENDUM" w:val="&lt;UNUSED&gt;"/>
    <w:docVar w:name="LW_COVERPAGE_GUID" w:val="801126C096E94CB2A584D2AB02FE12E9"/>
    <w:docVar w:name="LW_CROSSREFERENCE" w:val="&lt;UNUSED&gt;"/>
    <w:docVar w:name="LW_DocType" w:val="COM"/>
    <w:docVar w:name="LW_EMISSION" w:val="3.11.2016"/>
    <w:docVar w:name="LW_EMISSION_ISODATE" w:val="2016-11-03"/>
    <w:docVar w:name="LW_EMISSION_LOCATION" w:val="BRX"/>
    <w:docVar w:name="LW_EMISSION_PREFIX" w:val="Bryssel den "/>
    <w:docVar w:name="LW_EMISSION_SUFFIX" w:val=" "/>
    <w:docVar w:name="LW_ID_DOCSTRUCTURE" w:val="COM/PRELIM"/>
    <w:docVar w:name="LW_ID_DOCTYPE" w:val="SG-025"/>
    <w:docVar w:name="LW_INTERETEEE.CP" w:val="&lt;UNUSED&gt;"/>
    <w:docVar w:name="LW_LANGUE" w:val="SV"/>
    <w:docVar w:name="LW_MARKING" w:val="&lt;UNUSED&g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16) 701"/>
    <w:docVar w:name="LW_REF.INTERNE" w:val="&lt;UNUSED&gt;"/>
    <w:docVar w:name="LW_SOUS.TITRE.OBJ.CP" w:val="&lt;UNUSED&gt;"/>
    <w:docVar w:name="LW_SUPERTITRE" w:val="&lt;UNUSED&gt;"/>
    <w:docVar w:name="LW_TITRE.OBJ.CP" w:val="om statistik som sammanställts enligt förordning (EG) nr 2150/2002 om avfallsstatistik och dess kvalitet"/>
    <w:docVar w:name="LW_TYPE.DOC.CP" w:val="RAPPORT FRÅN KOMMISSIONEN TILL EUROPAPARLAMENTET OCH RÅDE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lang w:val="sv-SE"/>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pPr>
      <w:numPr>
        <w:numId w:val="1"/>
      </w:numPr>
    </w:pPr>
    <w:rPr>
      <w:rFonts w:eastAsia="Times New Roman"/>
      <w:lang w:eastAsia="de-DE"/>
    </w:rPr>
  </w:style>
  <w:style w:type="paragraph" w:customStyle="1" w:styleId="ListDash">
    <w:name w:val="List Dash"/>
    <w:basedOn w:val="Normal"/>
    <w:pPr>
      <w:numPr>
        <w:numId w:val="2"/>
      </w:numPr>
    </w:pPr>
    <w:rPr>
      <w:rFonts w:eastAsia="Times New Roman"/>
      <w:lang w:eastAsia="de-DE"/>
    </w:rPr>
  </w:style>
  <w:style w:type="paragraph" w:customStyle="1" w:styleId="ListDash1">
    <w:name w:val="List Dash 1"/>
    <w:basedOn w:val="Normal"/>
    <w:pPr>
      <w:numPr>
        <w:numId w:val="3"/>
      </w:numPr>
    </w:pPr>
    <w:rPr>
      <w:rFonts w:eastAsia="Times New Roman"/>
      <w:lang w:eastAsia="de-DE"/>
    </w:rPr>
  </w:style>
  <w:style w:type="character" w:styleId="Hyperlink">
    <w:name w:val="Hyperlink"/>
    <w:uiPriority w:val="99"/>
    <w:rPr>
      <w:color w:val="0000FF"/>
      <w:u w:val="single"/>
    </w:rPr>
  </w:style>
  <w:style w:type="paragraph" w:styleId="ListNumber">
    <w:name w:val="List Number"/>
    <w:basedOn w:val="Normal"/>
    <w:pPr>
      <w:numPr>
        <w:numId w:val="4"/>
      </w:numPr>
      <w:contextualSpacing/>
    </w:pPr>
    <w:rPr>
      <w:rFonts w:eastAsia="Times New Roman"/>
    </w:rPr>
  </w:style>
  <w:style w:type="paragraph" w:styleId="Caption">
    <w:name w:val="caption"/>
    <w:basedOn w:val="Normal"/>
    <w:next w:val="Normal"/>
    <w:uiPriority w:val="35"/>
    <w:semiHidden/>
    <w:unhideWhenUsed/>
    <w:qFormat/>
    <w:rPr>
      <w:b/>
      <w:bCs/>
      <w:sz w:val="20"/>
    </w:rPr>
  </w:style>
  <w:style w:type="paragraph" w:styleId="TableofFigures">
    <w:name w:val="table of figures"/>
    <w:basedOn w:val="Normal"/>
    <w:next w:val="Normal"/>
    <w:uiPriority w:val="99"/>
    <w:semiHidden/>
    <w:unhideWhenUsed/>
  </w:style>
  <w:style w:type="paragraph" w:styleId="ListBullet">
    <w:name w:val="List Bullet"/>
    <w:basedOn w:val="Normal"/>
    <w:uiPriority w:val="99"/>
    <w:semiHidden/>
    <w:unhideWhenUsed/>
    <w:pPr>
      <w:numPr>
        <w:numId w:val="6"/>
      </w:numPr>
      <w:contextualSpacing/>
    </w:p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character" w:styleId="FollowedHyperlink">
    <w:name w:val="FollowedHyperlink"/>
    <w:uiPriority w:val="99"/>
    <w:semiHidden/>
    <w:unhideWhenUsed/>
    <w:rPr>
      <w:color w:val="800080"/>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eastAsia="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link w:val="CommentText"/>
    <w:uiPriority w:val="99"/>
    <w:semiHidden/>
    <w:rPr>
      <w:rFonts w:ascii="Times New Roman" w:hAnsi="Times New Roman"/>
      <w:lang w:val="en-GB"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lang w:val="en-GB" w:eastAsia="en-GB"/>
    </w:rPr>
  </w:style>
  <w:style w:type="character" w:customStyle="1" w:styleId="leaf">
    <w:name w:val="leaf"/>
  </w:style>
  <w:style w:type="paragraph" w:styleId="Revision">
    <w:name w:val="Revision"/>
    <w:hidden/>
    <w:uiPriority w:val="99"/>
    <w:semiHidden/>
    <w:rPr>
      <w:rFonts w:ascii="Times New Roman" w:hAnsi="Times New Roman"/>
      <w:sz w:val="24"/>
    </w:rPr>
  </w:style>
  <w:style w:type="character" w:styleId="Strong">
    <w:name w:val="Strong"/>
    <w:uiPriority w:val="22"/>
    <w:qFormat/>
    <w:rPr>
      <w:b/>
      <w:bCs/>
    </w:rPr>
  </w:style>
  <w:style w:type="paragraph" w:customStyle="1" w:styleId="LegalNumPar">
    <w:name w:val="LegalNumPar"/>
    <w:basedOn w:val="Normal"/>
    <w:pPr>
      <w:numPr>
        <w:numId w:val="12"/>
      </w:numPr>
      <w:spacing w:line="360" w:lineRule="auto"/>
    </w:pPr>
  </w:style>
  <w:style w:type="paragraph" w:customStyle="1" w:styleId="LegalNumPar2">
    <w:name w:val="LegalNumPar2"/>
    <w:basedOn w:val="Normal"/>
    <w:pPr>
      <w:numPr>
        <w:ilvl w:val="1"/>
        <w:numId w:val="12"/>
      </w:numPr>
      <w:spacing w:line="360" w:lineRule="auto"/>
    </w:pPr>
  </w:style>
  <w:style w:type="paragraph" w:customStyle="1" w:styleId="LegalNumPar3">
    <w:name w:val="LegalNumPar3"/>
    <w:basedOn w:val="Normal"/>
    <w:pPr>
      <w:numPr>
        <w:ilvl w:val="2"/>
        <w:numId w:val="12"/>
      </w:numPr>
      <w:spacing w:line="360" w:lineRule="auto"/>
    </w:pPr>
  </w:style>
  <w:style w:type="paragraph" w:styleId="EndnoteText">
    <w:name w:val="endnote text"/>
    <w:basedOn w:val="Normal"/>
    <w:link w:val="EndnoteTextChar"/>
    <w:uiPriority w:val="99"/>
    <w:unhideWhenUsed/>
    <w:pPr>
      <w:spacing w:before="0" w:after="0"/>
    </w:pPr>
    <w:rPr>
      <w:sz w:val="20"/>
    </w:rPr>
  </w:style>
  <w:style w:type="character" w:customStyle="1" w:styleId="EndnoteTextChar">
    <w:name w:val="Endnote Text Char"/>
    <w:basedOn w:val="DefaultParagraphFont"/>
    <w:link w:val="EndnoteText"/>
    <w:uiPriority w:val="99"/>
    <w:rPr>
      <w:rFonts w:ascii="Times New Roman" w:hAnsi="Times New Roman"/>
    </w:rPr>
  </w:style>
  <w:style w:type="character" w:styleId="EndnoteReference">
    <w:name w:val="endnote reference"/>
    <w:basedOn w:val="DefaultParagraphFont"/>
    <w:uiPriority w:val="99"/>
    <w:semiHidden/>
    <w:unhideWhenUsed/>
    <w:rPr>
      <w:vertAlign w:val="superscript"/>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ypedudocumentChar">
    <w:name w:val="Type du document Char"/>
    <w:basedOn w:val="DefaultParagraphFont"/>
    <w:rPr>
      <w:rFonts w:ascii="Times New Roman" w:hAnsi="Times New Roman"/>
      <w:b/>
      <w:sz w:val="24"/>
    </w:rPr>
  </w:style>
  <w:style w:type="character" w:customStyle="1" w:styleId="FooterCoverPageChar">
    <w:name w:val="Footer Cover Page Char"/>
    <w:basedOn w:val="TypedudocumentChar"/>
    <w:link w:val="FooterCoverPage"/>
    <w:rPr>
      <w:rFonts w:ascii="Times New Roman" w:hAnsi="Times New Roman"/>
      <w:b w:val="0"/>
      <w:sz w:val="24"/>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rPr>
  </w:style>
  <w:style w:type="character" w:customStyle="1" w:styleId="HeaderChar">
    <w:name w:val="Header Char"/>
    <w:basedOn w:val="DefaultParagraphFont"/>
    <w:link w:val="Header"/>
    <w:uiPriority w:val="99"/>
    <w:rPr>
      <w:rFonts w:ascii="Times New Roman" w:eastAsiaTheme="minorHAnsi" w:hAnsi="Times New Roman"/>
      <w:sz w:val="24"/>
      <w:lang w:val="sv-SE"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b/>
      <w:bCs/>
      <w:smallCaps/>
      <w:sz w:val="24"/>
      <w:szCs w:val="28"/>
    </w:rPr>
  </w:style>
  <w:style w:type="character" w:customStyle="1" w:styleId="Heading2Char">
    <w:name w:val="Heading 2 Char"/>
    <w:basedOn w:val="DefaultParagraphFont"/>
    <w:link w:val="Heading2"/>
    <w:uiPriority w:val="9"/>
    <w:semiHidden/>
    <w:rPr>
      <w:rFonts w:ascii="Times New Roman" w:eastAsiaTheme="majorEastAsia" w:hAnsi="Times New Roman"/>
      <w:b/>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bCs/>
      <w:iCs/>
      <w:sz w:val="24"/>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4"/>
      </w:numPr>
    </w:pPr>
  </w:style>
  <w:style w:type="paragraph" w:customStyle="1" w:styleId="Tiret1">
    <w:name w:val="Tiret 1"/>
    <w:basedOn w:val="Point1"/>
    <w:pPr>
      <w:numPr>
        <w:numId w:val="15"/>
      </w:numPr>
    </w:pPr>
  </w:style>
  <w:style w:type="paragraph" w:customStyle="1" w:styleId="Tiret2">
    <w:name w:val="Tiret 2"/>
    <w:basedOn w:val="Point2"/>
    <w:pPr>
      <w:numPr>
        <w:numId w:val="16"/>
      </w:numPr>
    </w:pPr>
  </w:style>
  <w:style w:type="paragraph" w:customStyle="1" w:styleId="Tiret3">
    <w:name w:val="Tiret 3"/>
    <w:basedOn w:val="Point3"/>
    <w:pPr>
      <w:numPr>
        <w:numId w:val="17"/>
      </w:numPr>
    </w:pPr>
  </w:style>
  <w:style w:type="paragraph" w:customStyle="1" w:styleId="Tiret4">
    <w:name w:val="Tiret 4"/>
    <w:basedOn w:val="Point4"/>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lang w:val="sv-SE"/>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pPr>
      <w:numPr>
        <w:numId w:val="1"/>
      </w:numPr>
    </w:pPr>
    <w:rPr>
      <w:rFonts w:eastAsia="Times New Roman"/>
      <w:lang w:eastAsia="de-DE"/>
    </w:rPr>
  </w:style>
  <w:style w:type="paragraph" w:customStyle="1" w:styleId="ListDash">
    <w:name w:val="List Dash"/>
    <w:basedOn w:val="Normal"/>
    <w:pPr>
      <w:numPr>
        <w:numId w:val="2"/>
      </w:numPr>
    </w:pPr>
    <w:rPr>
      <w:rFonts w:eastAsia="Times New Roman"/>
      <w:lang w:eastAsia="de-DE"/>
    </w:rPr>
  </w:style>
  <w:style w:type="paragraph" w:customStyle="1" w:styleId="ListDash1">
    <w:name w:val="List Dash 1"/>
    <w:basedOn w:val="Normal"/>
    <w:pPr>
      <w:numPr>
        <w:numId w:val="3"/>
      </w:numPr>
    </w:pPr>
    <w:rPr>
      <w:rFonts w:eastAsia="Times New Roman"/>
      <w:lang w:eastAsia="de-DE"/>
    </w:rPr>
  </w:style>
  <w:style w:type="character" w:styleId="Hyperlink">
    <w:name w:val="Hyperlink"/>
    <w:uiPriority w:val="99"/>
    <w:rPr>
      <w:color w:val="0000FF"/>
      <w:u w:val="single"/>
    </w:rPr>
  </w:style>
  <w:style w:type="paragraph" w:styleId="ListNumber">
    <w:name w:val="List Number"/>
    <w:basedOn w:val="Normal"/>
    <w:pPr>
      <w:numPr>
        <w:numId w:val="4"/>
      </w:numPr>
      <w:contextualSpacing/>
    </w:pPr>
    <w:rPr>
      <w:rFonts w:eastAsia="Times New Roman"/>
    </w:rPr>
  </w:style>
  <w:style w:type="paragraph" w:styleId="Caption">
    <w:name w:val="caption"/>
    <w:basedOn w:val="Normal"/>
    <w:next w:val="Normal"/>
    <w:uiPriority w:val="35"/>
    <w:semiHidden/>
    <w:unhideWhenUsed/>
    <w:qFormat/>
    <w:rPr>
      <w:b/>
      <w:bCs/>
      <w:sz w:val="20"/>
    </w:rPr>
  </w:style>
  <w:style w:type="paragraph" w:styleId="TableofFigures">
    <w:name w:val="table of figures"/>
    <w:basedOn w:val="Normal"/>
    <w:next w:val="Normal"/>
    <w:uiPriority w:val="99"/>
    <w:semiHidden/>
    <w:unhideWhenUsed/>
  </w:style>
  <w:style w:type="paragraph" w:styleId="ListBullet">
    <w:name w:val="List Bullet"/>
    <w:basedOn w:val="Normal"/>
    <w:uiPriority w:val="99"/>
    <w:semiHidden/>
    <w:unhideWhenUsed/>
    <w:pPr>
      <w:numPr>
        <w:numId w:val="6"/>
      </w:numPr>
      <w:contextualSpacing/>
    </w:p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character" w:styleId="FollowedHyperlink">
    <w:name w:val="FollowedHyperlink"/>
    <w:uiPriority w:val="99"/>
    <w:semiHidden/>
    <w:unhideWhenUsed/>
    <w:rPr>
      <w:color w:val="800080"/>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eastAsia="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link w:val="CommentText"/>
    <w:uiPriority w:val="99"/>
    <w:semiHidden/>
    <w:rPr>
      <w:rFonts w:ascii="Times New Roman" w:hAnsi="Times New Roman"/>
      <w:lang w:val="en-GB"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lang w:val="en-GB" w:eastAsia="en-GB"/>
    </w:rPr>
  </w:style>
  <w:style w:type="character" w:customStyle="1" w:styleId="leaf">
    <w:name w:val="leaf"/>
  </w:style>
  <w:style w:type="paragraph" w:styleId="Revision">
    <w:name w:val="Revision"/>
    <w:hidden/>
    <w:uiPriority w:val="99"/>
    <w:semiHidden/>
    <w:rPr>
      <w:rFonts w:ascii="Times New Roman" w:hAnsi="Times New Roman"/>
      <w:sz w:val="24"/>
    </w:rPr>
  </w:style>
  <w:style w:type="character" w:styleId="Strong">
    <w:name w:val="Strong"/>
    <w:uiPriority w:val="22"/>
    <w:qFormat/>
    <w:rPr>
      <w:b/>
      <w:bCs/>
    </w:rPr>
  </w:style>
  <w:style w:type="paragraph" w:customStyle="1" w:styleId="LegalNumPar">
    <w:name w:val="LegalNumPar"/>
    <w:basedOn w:val="Normal"/>
    <w:pPr>
      <w:numPr>
        <w:numId w:val="12"/>
      </w:numPr>
      <w:spacing w:line="360" w:lineRule="auto"/>
    </w:pPr>
  </w:style>
  <w:style w:type="paragraph" w:customStyle="1" w:styleId="LegalNumPar2">
    <w:name w:val="LegalNumPar2"/>
    <w:basedOn w:val="Normal"/>
    <w:pPr>
      <w:numPr>
        <w:ilvl w:val="1"/>
        <w:numId w:val="12"/>
      </w:numPr>
      <w:spacing w:line="360" w:lineRule="auto"/>
    </w:pPr>
  </w:style>
  <w:style w:type="paragraph" w:customStyle="1" w:styleId="LegalNumPar3">
    <w:name w:val="LegalNumPar3"/>
    <w:basedOn w:val="Normal"/>
    <w:pPr>
      <w:numPr>
        <w:ilvl w:val="2"/>
        <w:numId w:val="12"/>
      </w:numPr>
      <w:spacing w:line="360" w:lineRule="auto"/>
    </w:pPr>
  </w:style>
  <w:style w:type="paragraph" w:styleId="EndnoteText">
    <w:name w:val="endnote text"/>
    <w:basedOn w:val="Normal"/>
    <w:link w:val="EndnoteTextChar"/>
    <w:uiPriority w:val="99"/>
    <w:unhideWhenUsed/>
    <w:pPr>
      <w:spacing w:before="0" w:after="0"/>
    </w:pPr>
    <w:rPr>
      <w:sz w:val="20"/>
    </w:rPr>
  </w:style>
  <w:style w:type="character" w:customStyle="1" w:styleId="EndnoteTextChar">
    <w:name w:val="Endnote Text Char"/>
    <w:basedOn w:val="DefaultParagraphFont"/>
    <w:link w:val="EndnoteText"/>
    <w:uiPriority w:val="99"/>
    <w:rPr>
      <w:rFonts w:ascii="Times New Roman" w:hAnsi="Times New Roman"/>
    </w:rPr>
  </w:style>
  <w:style w:type="character" w:styleId="EndnoteReference">
    <w:name w:val="endnote reference"/>
    <w:basedOn w:val="DefaultParagraphFont"/>
    <w:uiPriority w:val="99"/>
    <w:semiHidden/>
    <w:unhideWhenUsed/>
    <w:rPr>
      <w:vertAlign w:val="superscript"/>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ypedudocumentChar">
    <w:name w:val="Type du document Char"/>
    <w:basedOn w:val="DefaultParagraphFont"/>
    <w:rPr>
      <w:rFonts w:ascii="Times New Roman" w:hAnsi="Times New Roman"/>
      <w:b/>
      <w:sz w:val="24"/>
    </w:rPr>
  </w:style>
  <w:style w:type="character" w:customStyle="1" w:styleId="FooterCoverPageChar">
    <w:name w:val="Footer Cover Page Char"/>
    <w:basedOn w:val="TypedudocumentChar"/>
    <w:link w:val="FooterCoverPage"/>
    <w:rPr>
      <w:rFonts w:ascii="Times New Roman" w:hAnsi="Times New Roman"/>
      <w:b w:val="0"/>
      <w:sz w:val="24"/>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rPr>
  </w:style>
  <w:style w:type="character" w:customStyle="1" w:styleId="HeaderChar">
    <w:name w:val="Header Char"/>
    <w:basedOn w:val="DefaultParagraphFont"/>
    <w:link w:val="Header"/>
    <w:uiPriority w:val="99"/>
    <w:rPr>
      <w:rFonts w:ascii="Times New Roman" w:eastAsiaTheme="minorHAnsi" w:hAnsi="Times New Roman"/>
      <w:sz w:val="24"/>
      <w:lang w:val="sv-SE"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b/>
      <w:bCs/>
      <w:smallCaps/>
      <w:sz w:val="24"/>
      <w:szCs w:val="28"/>
    </w:rPr>
  </w:style>
  <w:style w:type="character" w:customStyle="1" w:styleId="Heading2Char">
    <w:name w:val="Heading 2 Char"/>
    <w:basedOn w:val="DefaultParagraphFont"/>
    <w:link w:val="Heading2"/>
    <w:uiPriority w:val="9"/>
    <w:semiHidden/>
    <w:rPr>
      <w:rFonts w:ascii="Times New Roman" w:eastAsiaTheme="majorEastAsia" w:hAnsi="Times New Roman"/>
      <w:b/>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bCs/>
      <w:iCs/>
      <w:sz w:val="24"/>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4"/>
      </w:numPr>
    </w:pPr>
  </w:style>
  <w:style w:type="paragraph" w:customStyle="1" w:styleId="Tiret1">
    <w:name w:val="Tiret 1"/>
    <w:basedOn w:val="Point1"/>
    <w:pPr>
      <w:numPr>
        <w:numId w:val="15"/>
      </w:numPr>
    </w:pPr>
  </w:style>
  <w:style w:type="paragraph" w:customStyle="1" w:styleId="Tiret2">
    <w:name w:val="Tiret 2"/>
    <w:basedOn w:val="Point2"/>
    <w:pPr>
      <w:numPr>
        <w:numId w:val="16"/>
      </w:numPr>
    </w:pPr>
  </w:style>
  <w:style w:type="paragraph" w:customStyle="1" w:styleId="Tiret3">
    <w:name w:val="Tiret 3"/>
    <w:basedOn w:val="Point3"/>
    <w:pPr>
      <w:numPr>
        <w:numId w:val="17"/>
      </w:numPr>
    </w:pPr>
  </w:style>
  <w:style w:type="paragraph" w:customStyle="1" w:styleId="Tiret4">
    <w:name w:val="Tiret 4"/>
    <w:basedOn w:val="Point4"/>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514593">
      <w:bodyDiv w:val="1"/>
      <w:marLeft w:val="0"/>
      <w:marRight w:val="0"/>
      <w:marTop w:val="0"/>
      <w:marBottom w:val="0"/>
      <w:divBdr>
        <w:top w:val="none" w:sz="0" w:space="0" w:color="auto"/>
        <w:left w:val="none" w:sz="0" w:space="0" w:color="auto"/>
        <w:bottom w:val="none" w:sz="0" w:space="0" w:color="auto"/>
        <w:right w:val="none" w:sz="0" w:space="0" w:color="auto"/>
      </w:divBdr>
    </w:div>
    <w:div w:id="1188712792">
      <w:bodyDiv w:val="1"/>
      <w:marLeft w:val="0"/>
      <w:marRight w:val="0"/>
      <w:marTop w:val="0"/>
      <w:marBottom w:val="0"/>
      <w:divBdr>
        <w:top w:val="none" w:sz="0" w:space="0" w:color="auto"/>
        <w:left w:val="none" w:sz="0" w:space="0" w:color="auto"/>
        <w:bottom w:val="none" w:sz="0" w:space="0" w:color="auto"/>
        <w:right w:val="none" w:sz="0" w:space="0" w:color="auto"/>
      </w:divBdr>
    </w:div>
    <w:div w:id="1252393415">
      <w:bodyDiv w:val="1"/>
      <w:marLeft w:val="0"/>
      <w:marRight w:val="0"/>
      <w:marTop w:val="0"/>
      <w:marBottom w:val="0"/>
      <w:divBdr>
        <w:top w:val="none" w:sz="0" w:space="0" w:color="auto"/>
        <w:left w:val="none" w:sz="0" w:space="0" w:color="auto"/>
        <w:bottom w:val="none" w:sz="0" w:space="0" w:color="auto"/>
        <w:right w:val="none" w:sz="0" w:space="0" w:color="auto"/>
      </w:divBdr>
      <w:divsChild>
        <w:div w:id="1623615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ec.europa.eu/eurostat/statistics-explained/index.php/Glossary:Sustainable_development_indicator_%28SDI%29" TargetMode="External"/><Relationship Id="rId3" Type="http://schemas.openxmlformats.org/officeDocument/2006/relationships/styles" Target="styles.xml"/><Relationship Id="rId21" Type="http://schemas.openxmlformats.org/officeDocument/2006/relationships/hyperlink" Target="http://appsso.eurostat.ec.europa.eu/nui/show.do?query=BOOKMARK_DS-625415_QID_-6DC8A4B_UID_-3F171EB0&amp;layout=TIME,C,X,0;GEO,L,Y,0;WST_OPER,L,Z,0;UNIT,L,Z,1;INDICATORS,C,Z,2;&amp;zSelection=DS-625415INDICATORS,OBS_FLAG;DS-625415WST_OPER,TRT;DS-625415UNIT,T;&amp;rankName1=TIME_1_0_0_0&amp;rankName2=UNIT_1_2_-1_2&amp;rankName3=GEO_1_2_0_1&amp;rankName4=INDICATORS_1_2_-1_2&amp;rankName5=WST-OPER_1_2_-1_2&amp;sortC=ASC_-1_FIRST&amp;rStp=&amp;cStp=&amp;rDCh=&amp;cDCh=&amp;rDM=true&amp;cDM=true&amp;footnes=false&amp;empty=false&amp;wai=false&amp;time_mode=ROLLING&amp;time_most_recent=true&amp;lang=EN&amp;cfo=%23%23%23%2C%23%23%23.%23%23%23"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appsso.eurostat.ec.europa.eu/nui/show.do?query=BOOKMARK_DS-063379_QID_60C84F41_UID_-3F171EB0&amp;layout=WASTE,L,X,0;GEO,L,Y,0;UNIT,L,Z,0;HAZARD,L,Z,1;NACE_R2,L,Z,2;TIME,C,Z,3;INDICATORS,C,Z,4;&amp;zSelection=DS-063379TIME,2012;DS-063379INDICATORS,OBS_FLAG;DS-063379NACE_R2,TOTAL_HH;DS-063379UNIT,T;DS-063379HAZARD,TOTAL;&amp;rankName1=TIME_1_0_-1_2&amp;rankName2=WASTE_1_2_0_0&amp;rankName3=UNIT_1_2_-1_2&amp;rankName4=GEO_1_2_0_1&amp;rankName5=HAZARD_1_2_-1_2&amp;rankName6=INDICATORS_1_2_-1_2&amp;rankName7=NACE-R2_1_2_-1_2&amp;rStp=&amp;cStp=&amp;rDCh=&amp;cDCh=&amp;rDM=true&amp;cDM=true&amp;footnes=false&amp;empty=false&amp;wai=false&amp;time_mode=ROLLING&amp;time_most_recent=true&amp;lang=EN&amp;cfo=%23%23%23%2C%23%23%23.%23%23%2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appsso.eurostat.ec.europa.eu/nui/show.do?query=BOOKMARK_DS-063379_QID_45574FA7_UID_-3F171EB0&amp;layout=WASTE,L,X,0;GEO,L,Y,0;UNIT,L,Z,0;HAZARD,L,Z,1;NACE_R2,L,Z,2;TIME,C,Z,3;INDICATORS,C,Z,4;&amp;zSelection=DS-063379TIME,2012;DS-063379INDICATORS,OBS_FLAG;DS-063379NACE_R2,TOTAL_HH;DS-063379UNIT,T;DS-063379HAZARD,TOTAL;&amp;rankName1=TIME_1_0_-1_2&amp;rankName2=WASTE_1_2_0_0&amp;rankName3=UNIT_1_2_-1_2&amp;rankName4=GEO_1_2_0_1&amp;rankName5=HAZARD_1_2_-1_2&amp;rankName6=INDICATORS_1_2_-1_2&amp;rankName7=NACE-R2_1_2_-1_2&amp;rStp=&amp;cStp=&amp;rDCh=&amp;cDCh=&amp;rDM=true&amp;cDM=true&amp;footnes=false&amp;empty=false&amp;wai=false&amp;time_mode=ROLLING&amp;time_most_recent=true&amp;lang=EN&amp;cfo=%23%23%23%2C%23%23%23.%23%23%23"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yperlink" Target="http://ec.europa.eu/environment/circular-econom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29716-5758-466C-A0DC-D4661BB1C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10</Pages>
  <Words>2768</Words>
  <Characters>18076</Characters>
  <Application>Microsoft Office Word</Application>
  <DocSecurity>0</DocSecurity>
  <Lines>311</Lines>
  <Paragraphs>131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20713</CharactersWithSpaces>
  <SharedDoc>false</SharedDoc>
  <HLinks>
    <vt:vector size="48" baseType="variant">
      <vt:variant>
        <vt:i4>3145838</vt:i4>
      </vt:variant>
      <vt:variant>
        <vt:i4>54</vt:i4>
      </vt:variant>
      <vt:variant>
        <vt:i4>0</vt:i4>
      </vt:variant>
      <vt:variant>
        <vt:i4>5</vt:i4>
      </vt:variant>
      <vt:variant>
        <vt:lpwstr>http://ec.europa.eu/eurostat/web/waste/methodology</vt:lpwstr>
      </vt:variant>
      <vt:variant>
        <vt:lpwstr/>
      </vt:variant>
      <vt:variant>
        <vt:i4>4325480</vt:i4>
      </vt:variant>
      <vt:variant>
        <vt:i4>51</vt:i4>
      </vt:variant>
      <vt:variant>
        <vt:i4>0</vt:i4>
      </vt:variant>
      <vt:variant>
        <vt:i4>5</vt:i4>
      </vt:variant>
      <vt:variant>
        <vt:lpwstr>http://ec.europa.eu/eurostat/statistics-explained/index.php/Glossary:Sustainable_development_indicator_%28SDI%29</vt:lpwstr>
      </vt:variant>
      <vt:variant>
        <vt:lpwstr/>
      </vt:variant>
      <vt:variant>
        <vt:i4>1310740</vt:i4>
      </vt:variant>
      <vt:variant>
        <vt:i4>48</vt:i4>
      </vt:variant>
      <vt:variant>
        <vt:i4>0</vt:i4>
      </vt:variant>
      <vt:variant>
        <vt:i4>5</vt:i4>
      </vt:variant>
      <vt:variant>
        <vt:lpwstr>http://ec.europa.eu/eurostat/statistics-explained/index.php/Glossary:European_Union_%28EU%29</vt:lpwstr>
      </vt:variant>
      <vt:variant>
        <vt:lpwstr/>
      </vt:variant>
      <vt:variant>
        <vt:i4>3014718</vt:i4>
      </vt:variant>
      <vt:variant>
        <vt:i4>12</vt:i4>
      </vt:variant>
      <vt:variant>
        <vt:i4>0</vt:i4>
      </vt:variant>
      <vt:variant>
        <vt:i4>5</vt:i4>
      </vt:variant>
      <vt:variant>
        <vt:lpwstr>http://epp.eurostat.ec.europa.eu/newxtweb/setupdimselection.do</vt:lpwstr>
      </vt:variant>
      <vt:variant>
        <vt:lpwstr/>
      </vt:variant>
      <vt:variant>
        <vt:i4>262157</vt:i4>
      </vt:variant>
      <vt:variant>
        <vt:i4>9</vt:i4>
      </vt:variant>
      <vt:variant>
        <vt:i4>0</vt:i4>
      </vt:variant>
      <vt:variant>
        <vt:i4>5</vt:i4>
      </vt:variant>
      <vt:variant>
        <vt:lpwstr>http://ec.europa.eu/eurostat/web/waste/data/database</vt:lpwstr>
      </vt:variant>
      <vt:variant>
        <vt:lpwstr/>
      </vt:variant>
      <vt:variant>
        <vt:i4>7340157</vt:i4>
      </vt:variant>
      <vt:variant>
        <vt:i4>6</vt:i4>
      </vt:variant>
      <vt:variant>
        <vt:i4>0</vt:i4>
      </vt:variant>
      <vt:variant>
        <vt:i4>5</vt:i4>
      </vt:variant>
      <vt:variant>
        <vt:lpwstr>http://ec.europa.eu/eurostat/data/database</vt:lpwstr>
      </vt:variant>
      <vt:variant>
        <vt:lpwstr/>
      </vt:variant>
      <vt:variant>
        <vt:i4>524372</vt:i4>
      </vt:variant>
      <vt:variant>
        <vt:i4>3</vt:i4>
      </vt:variant>
      <vt:variant>
        <vt:i4>0</vt:i4>
      </vt:variant>
      <vt:variant>
        <vt:i4>5</vt:i4>
      </vt:variant>
      <vt:variant>
        <vt:lpwstr>http://eur-lex.europa.eu/legal-content/EN/TXT/?qid=1462180906757&amp;uri=CELEX:32014D0955</vt:lpwstr>
      </vt:variant>
      <vt:variant>
        <vt:lpwstr/>
      </vt:variant>
      <vt:variant>
        <vt:i4>4653081</vt:i4>
      </vt:variant>
      <vt:variant>
        <vt:i4>0</vt:i4>
      </vt:variant>
      <vt:variant>
        <vt:i4>0</vt:i4>
      </vt:variant>
      <vt:variant>
        <vt:i4>5</vt:i4>
      </vt:variant>
      <vt:variant>
        <vt:lpwstr>http://ec.europa.eu/eurostat/web/quality/overview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16</cp:revision>
  <cp:lastPrinted>2016-08-02T09:14:00Z</cp:lastPrinted>
  <dcterms:created xsi:type="dcterms:W3CDTF">2016-10-24T15:17:00Z</dcterms:created>
  <dcterms:modified xsi:type="dcterms:W3CDTF">2016-10-25T15:16:00Z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COM/PRELIM</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5.8.3, Build 20130911</vt:lpwstr>
  </property>
  <property fmtid="{D5CDD505-2E9C-101B-9397-08002B2CF9AE}" pid="7" name="Part">
    <vt:lpwstr>1</vt:lpwstr>
  </property>
  <property fmtid="{D5CDD505-2E9C-101B-9397-08002B2CF9AE}" pid="8" name="Total parts">
    <vt:lpwstr>1</vt:lpwstr>
  </property>
  <property fmtid="{D5CDD505-2E9C-101B-9397-08002B2CF9AE}" pid="9" name="LWTemplateID">
    <vt:lpwstr>SG-025</vt:lpwstr>
  </property>
  <property fmtid="{D5CDD505-2E9C-101B-9397-08002B2CF9AE}" pid="10" name="DQCStatus">
    <vt:lpwstr>Green (DQC version 03)</vt:lpwstr>
  </property>
  <property name="OP_sanitized" fmtid="{D5CDD505-2E9C-101B-9397-08002B2CF9AE}" pid="11">
    <vt:lpwstr>True</vt:lpwstr>
  </property>
</Properties>
</file>