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487DD30DDCA4194B9BE5240E556ED65" style="width:450.75pt;height:321pt">
            <v:imagedata r:id="rId9" o:title=""/>
          </v:shape>
        </w:pict>
      </w:r>
    </w:p>
    <w:bookmarkEnd w:id="0"/>
    <w:p>
      <w:pPr>
        <w:spacing w:after="240"/>
        <w:rPr>
          <w:rFonts w:ascii="Times New Roman" w:hAnsi="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tabs>
          <w:tab w:val="left" w:pos="850"/>
        </w:tabs>
        <w:spacing w:after="240" w:line="240" w:lineRule="auto"/>
        <w:ind w:left="567" w:hanging="567"/>
        <w:jc w:val="both"/>
        <w:outlineLvl w:val="0"/>
        <w:rPr>
          <w:rFonts w:ascii="Times New Roman" w:eastAsia="Times New Roman" w:hAnsi="Times New Roman"/>
          <w:b/>
          <w:smallCaps/>
          <w:noProof/>
          <w:sz w:val="24"/>
          <w:szCs w:val="24"/>
        </w:rPr>
      </w:pPr>
      <w:bookmarkStart w:id="1" w:name="_GoBack"/>
      <w:bookmarkEnd w:id="1"/>
      <w:r>
        <w:rPr>
          <w:rFonts w:ascii="Times New Roman" w:hAnsi="Times New Roman"/>
          <w:b/>
          <w:smallCaps/>
          <w:noProof/>
          <w:sz w:val="24"/>
        </w:rPr>
        <w:lastRenderedPageBreak/>
        <w:t>1.</w:t>
      </w:r>
      <w:r>
        <w:rPr>
          <w:noProof/>
        </w:rPr>
        <w:tab/>
      </w:r>
      <w:r>
        <w:rPr>
          <w:rFonts w:ascii="Times New Roman" w:hAnsi="Times New Roman"/>
          <w:b/>
          <w:smallCaps/>
          <w:noProof/>
          <w:sz w:val="24"/>
        </w:rPr>
        <w:t>Inledning</w:t>
      </w:r>
    </w:p>
    <w:p>
      <w:pPr>
        <w:keepNext/>
        <w:tabs>
          <w:tab w:val="left" w:pos="850"/>
        </w:tabs>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1.1.</w:t>
      </w:r>
      <w:r>
        <w:rPr>
          <w:noProof/>
        </w:rPr>
        <w:tab/>
      </w:r>
      <w:r>
        <w:rPr>
          <w:rFonts w:ascii="Times New Roman" w:hAnsi="Times New Roman"/>
          <w:b/>
          <w:noProof/>
          <w:sz w:val="24"/>
        </w:rPr>
        <w:t>Bakgrund</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Förordning (EU) nr 1177/2010</w:t>
      </w:r>
      <w:r>
        <w:rPr>
          <w:rStyle w:val="FootnoteReference"/>
          <w:noProof/>
        </w:rPr>
        <w:footnoteReference w:id="2"/>
      </w:r>
      <w:r>
        <w:rPr>
          <w:rFonts w:ascii="Times New Roman" w:hAnsi="Times New Roman"/>
          <w:noProof/>
          <w:sz w:val="24"/>
        </w:rPr>
        <w:t xml:space="preserve"> (nedan kallad </w:t>
      </w:r>
      <w:r>
        <w:rPr>
          <w:rFonts w:ascii="Times New Roman" w:hAnsi="Times New Roman"/>
          <w:i/>
          <w:noProof/>
          <w:sz w:val="24"/>
        </w:rPr>
        <w:t>förordningen</w:t>
      </w:r>
      <w:r>
        <w:rPr>
          <w:rFonts w:ascii="Times New Roman" w:hAnsi="Times New Roman"/>
          <w:noProof/>
          <w:sz w:val="24"/>
        </w:rPr>
        <w:t xml:space="preserve">), som syftar till att garantera ett grundläggande skydd för passagerare som utnyttjar passagerartransporter eller kryssningar till sjöss och på inre vattenvägar, började tillämpas den 18 december 2012.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Kommissionen lägger fram denna rapport i enlighet med artikel 29 i förordningen, där det fastställs att kommissionen ska lämna en rapport till Europaparlamentet och rådet om hur denna förordning tillämpas och om dess verkan, och vid behov lägga fram lagstiftningsförslag om ett mer detaljerat genomförande av förordningen eller om ändringar av den.</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Rapporten grundar sig delvis på kvantitativa och kvalitativa bidrag från de nationella myndigheternas rapporter om tillsyn av förordningen</w:t>
      </w:r>
      <w:r>
        <w:rPr>
          <w:rStyle w:val="FootnoteReference"/>
          <w:noProof/>
        </w:rPr>
        <w:footnoteReference w:id="3"/>
      </w:r>
      <w:r>
        <w:rPr>
          <w:rFonts w:ascii="Times New Roman" w:hAnsi="Times New Roman"/>
          <w:noProof/>
          <w:sz w:val="24"/>
        </w:rPr>
        <w:t xml:space="preserve"> under perioden 2013–2014 och samråd med berörda parter som företräder passagerare och branschen på europeisk nivå</w:t>
      </w:r>
      <w:r>
        <w:rPr>
          <w:rStyle w:val="FootnoteReference"/>
          <w:noProof/>
        </w:rPr>
        <w:footnoteReference w:id="4"/>
      </w:r>
      <w:r>
        <w:rPr>
          <w:noProof/>
        </w:rPr>
        <w:t>.</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 xml:space="preserve">1.2. </w:t>
      </w:r>
      <w:r>
        <w:rPr>
          <w:noProof/>
        </w:rPr>
        <w:tab/>
      </w:r>
      <w:r>
        <w:rPr>
          <w:rFonts w:ascii="Times New Roman" w:hAnsi="Times New Roman"/>
          <w:b/>
          <w:noProof/>
          <w:sz w:val="24"/>
        </w:rPr>
        <w:t>Betydelsen av EU:s sektorer för passagerartransporter till sjöss och på inre vattenvägar och deras kännetecken</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Trafiken till sjöss står för nästan hela marknaden för persontransporter med båt i EU. Trafiken på inre vattenvägar står för mindre än 1 % av marknaden</w:t>
      </w:r>
      <w:r>
        <w:rPr>
          <w:rStyle w:val="FootnoteReference"/>
          <w:rFonts w:ascii="Times New Roman" w:hAnsi="Times New Roman"/>
          <w:noProof/>
          <w:sz w:val="24"/>
        </w:rPr>
        <w:footnoteReference w:id="5"/>
      </w:r>
      <w:r>
        <w:rPr>
          <w:noProof/>
        </w:rPr>
        <w:t>.</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I förordningen görs det åtskillnad mellan kommersiella passagerartransporter och kryssningstrafik och den återspeglar deras olika särdrag genom att passagerarna beviljas rättigheter av olika omfattning:</w:t>
      </w:r>
    </w:p>
    <w:p>
      <w:pPr>
        <w:pStyle w:val="ListParagraph"/>
        <w:numPr>
          <w:ilvl w:val="0"/>
          <w:numId w:val="38"/>
        </w:numPr>
        <w:spacing w:after="120"/>
        <w:ind w:left="567" w:hanging="567"/>
        <w:contextualSpacing w:val="0"/>
        <w:jc w:val="both"/>
        <w:rPr>
          <w:noProof/>
        </w:rPr>
      </w:pPr>
      <w:r>
        <w:rPr>
          <w:i/>
          <w:noProof/>
        </w:rPr>
        <w:t xml:space="preserve">Kommersiell passagerartransport </w:t>
      </w:r>
      <w:r>
        <w:rPr>
          <w:noProof/>
        </w:rPr>
        <w:t>är passagerartransporttjänster mellan hamnar enligt en offentliggjord tidtabell. Sådana transporter utgör 96,5 % av marknaden för passagerartransporter till sjöss. Under 2013 utnyttjade 193 miljoner passagerare färjor och annan regelbunden linjetrafik till sjöss</w:t>
      </w:r>
      <w:r>
        <w:rPr>
          <w:rStyle w:val="FootnoteReference"/>
          <w:noProof/>
        </w:rPr>
        <w:footnoteReference w:id="6"/>
      </w:r>
      <w:r>
        <w:rPr>
          <w:noProof/>
        </w:rPr>
        <w:t>. Intensiv passagerartrafik till sjöss är nödvändig för att medlemsstaternas skärgårdar, öar och avlägsna regioner/yttersta randområden ska kunna ingå i EU:s sociala och ekonomiska struktur. I vissa fall (t.ex. när det gäller små öar utan flygförbindelser) finns det inget alternativ till sjötransporter, och medborgarna måste resa med fartyg, oavsett vilka villkor transportören erbjuder.</w:t>
      </w:r>
    </w:p>
    <w:p>
      <w:pPr>
        <w:pStyle w:val="ListParagraph"/>
        <w:numPr>
          <w:ilvl w:val="0"/>
          <w:numId w:val="38"/>
        </w:numPr>
        <w:spacing w:after="240"/>
        <w:ind w:left="567" w:hanging="567"/>
        <w:jc w:val="both"/>
        <w:rPr>
          <w:noProof/>
        </w:rPr>
      </w:pPr>
      <w:r>
        <w:rPr>
          <w:i/>
          <w:noProof/>
        </w:rPr>
        <w:t>Kryssningar</w:t>
      </w:r>
      <w:r>
        <w:rPr>
          <w:noProof/>
        </w:rPr>
        <w:t xml:space="preserve"> är vattenvägstrafik som bedrivs enbart i nöjes- eller rekreationssyfte, kompletterad med inkvartering och andra tjänster och som varar mer än två övernattningar ombord. Under 2013 uppgick antalet kryssningsresenärer till nästan sju miljoner, vilket motsvarar cirka 3,5 % av marknaden</w:t>
      </w:r>
      <w:r>
        <w:rPr>
          <w:rStyle w:val="FootnoteReference"/>
          <w:noProof/>
        </w:rPr>
        <w:footnoteReference w:id="7"/>
      </w:r>
      <w:r>
        <w:rPr>
          <w:noProof/>
        </w:rPr>
        <w:t>. Kryssningsbranschen utgör en del av lyxsegmentet i den maritima sektorn. Fartygen har en fullständig hotellinfrastruktur, tillhandahåller fritidsaktiviteter och tar ofta passagerarna tillbaka till avgångshamnen.</w:t>
      </w:r>
    </w:p>
    <w:p>
      <w:pPr>
        <w:keepNext/>
        <w:tabs>
          <w:tab w:val="left" w:pos="850"/>
        </w:tabs>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noProof/>
          <w:sz w:val="24"/>
        </w:rPr>
        <w:t>2.</w:t>
      </w:r>
      <w:r>
        <w:rPr>
          <w:noProof/>
        </w:rPr>
        <w:tab/>
      </w:r>
      <w:r>
        <w:rPr>
          <w:rFonts w:ascii="Times New Roman" w:hAnsi="Times New Roman"/>
          <w:b/>
          <w:smallCaps/>
          <w:noProof/>
          <w:sz w:val="24"/>
        </w:rPr>
        <w:t>Förordningens syfte, tillämpningsområde och innehåll</w:t>
      </w:r>
    </w:p>
    <w:p>
      <w:pPr>
        <w:keepNext/>
        <w:tabs>
          <w:tab w:val="left" w:pos="850"/>
        </w:tabs>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 xml:space="preserve">2. 1 </w:t>
      </w:r>
      <w:r>
        <w:rPr>
          <w:noProof/>
        </w:rPr>
        <w:tab/>
      </w:r>
      <w:r>
        <w:rPr>
          <w:rFonts w:ascii="Times New Roman" w:hAnsi="Times New Roman"/>
          <w:b/>
          <w:noProof/>
          <w:sz w:val="24"/>
        </w:rPr>
        <w:t>Förordningens syfte</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EU:s lagstiftare har antagit regler om passagerarrättigheter för alla transportsätt (luft-, järnvägs-, vattenvägs- och busstransporter) för att ge medborgarna ett minimiskydd när de reser i Europa och således främja rörligheten och den sociala integrationen. En gemensam uppsättning lagstadgade rättigheter för passagerare inom de fyra transportsätten (med särskilda bestämmelser som återspeglar de olika transportsättens, marknadernas och passagerarnas specifika egenskaper</w:t>
      </w:r>
      <w:r>
        <w:rPr>
          <w:rFonts w:ascii="Times New Roman" w:hAnsi="Times New Roman"/>
          <w:noProof/>
          <w:sz w:val="24"/>
          <w:vertAlign w:val="superscript"/>
        </w:rPr>
        <w:footnoteReference w:id="8"/>
      </w:r>
      <w:r>
        <w:rPr>
          <w:rFonts w:ascii="Times New Roman" w:hAnsi="Times New Roman"/>
          <w:noProof/>
          <w:sz w:val="24"/>
        </w:rPr>
        <w:t>) bidrar till att skapa lika</w:t>
      </w:r>
      <w:r>
        <w:rPr>
          <w:noProof/>
        </w:rPr>
        <w:t xml:space="preserve"> </w:t>
      </w:r>
      <w:r>
        <w:rPr>
          <w:rFonts w:ascii="Times New Roman" w:hAnsi="Times New Roman"/>
          <w:noProof/>
          <w:sz w:val="24"/>
        </w:rPr>
        <w:t xml:space="preserve">villkor för aktörerna inom och mellan transportsätten. </w:t>
      </w:r>
    </w:p>
    <w:p>
      <w:pPr>
        <w:keepNext/>
        <w:tabs>
          <w:tab w:val="left" w:pos="850"/>
        </w:tabs>
        <w:spacing w:after="240" w:line="240" w:lineRule="auto"/>
        <w:ind w:left="567" w:hanging="567"/>
        <w:jc w:val="both"/>
        <w:outlineLvl w:val="1"/>
        <w:rPr>
          <w:rFonts w:ascii="Times New Roman" w:eastAsia="Times New Roman" w:hAnsi="Times New Roman"/>
          <w:b/>
          <w:noProof/>
          <w:color w:val="0D0D0D" w:themeColor="text1" w:themeTint="F2"/>
          <w:sz w:val="24"/>
          <w:szCs w:val="24"/>
        </w:rPr>
      </w:pPr>
      <w:r>
        <w:rPr>
          <w:rFonts w:ascii="Times New Roman" w:hAnsi="Times New Roman"/>
          <w:b/>
          <w:noProof/>
          <w:color w:val="0D0D0D" w:themeColor="text1" w:themeTint="F2"/>
          <w:sz w:val="24"/>
        </w:rPr>
        <w:t xml:space="preserve">2.2 </w:t>
      </w:r>
      <w:r>
        <w:rPr>
          <w:noProof/>
        </w:rPr>
        <w:tab/>
      </w:r>
      <w:r>
        <w:rPr>
          <w:rFonts w:ascii="Times New Roman" w:hAnsi="Times New Roman"/>
          <w:b/>
          <w:noProof/>
          <w:color w:val="0D0D0D" w:themeColor="text1" w:themeTint="F2"/>
          <w:sz w:val="24"/>
        </w:rPr>
        <w:t>Förordningens tillämpningsområde och innehåll</w:t>
      </w:r>
    </w:p>
    <w:p>
      <w:pPr>
        <w:spacing w:after="240" w:line="240" w:lineRule="auto"/>
        <w:jc w:val="both"/>
        <w:rPr>
          <w:rFonts w:ascii="Times New Roman" w:eastAsia="Times New Roman" w:hAnsi="Times New Roman"/>
          <w:i/>
          <w:noProof/>
          <w:color w:val="0D0D0D" w:themeColor="text1" w:themeTint="F2"/>
          <w:sz w:val="24"/>
          <w:szCs w:val="24"/>
        </w:rPr>
      </w:pPr>
      <w:r>
        <w:rPr>
          <w:rFonts w:ascii="Times New Roman" w:hAnsi="Times New Roman"/>
          <w:i/>
          <w:noProof/>
          <w:color w:val="0D0D0D" w:themeColor="text1" w:themeTint="F2"/>
          <w:sz w:val="24"/>
        </w:rPr>
        <w:t xml:space="preserve">Tillämpningsområde </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Med vissa undantag</w:t>
      </w:r>
      <w:r>
        <w:rPr>
          <w:rStyle w:val="FootnoteReference"/>
          <w:rFonts w:ascii="Times New Roman" w:hAnsi="Times New Roman"/>
          <w:noProof/>
          <w:color w:val="0D0D0D" w:themeColor="text1" w:themeTint="F2"/>
          <w:sz w:val="24"/>
        </w:rPr>
        <w:footnoteReference w:id="9"/>
      </w:r>
      <w:r>
        <w:rPr>
          <w:rFonts w:ascii="Times New Roman" w:hAnsi="Times New Roman"/>
          <w:noProof/>
          <w:color w:val="0D0D0D" w:themeColor="text1" w:themeTint="F2"/>
          <w:sz w:val="24"/>
        </w:rPr>
        <w:t xml:space="preserve"> gäller förordningen passagerartransport till sjöss och på inre vattenvägar från eller till hamnar i EU och kryssningstrafik med ombordstigningshamn i EU.</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Fram till den 18 december 2014 hade medlemsstaterna rätt att från tillämpningen av förordningen undanta sjögående fartyg på mindre än 300 bruttoton som används för inhemska transporter, förutsatt att passagerarnas rättigheter var tillräckligt säkerställda i nationell lagstiftning. Ingen medlemsstat har utnyttjat detta undantag.</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Medlemsstaterna får besluta att inte tillämpa förordningen på passagerartransporter som omfattas av förpliktelser om allmännyttiga tjänster, avtal om allmännyttiga tjänster eller integrerade tjänster, förutsatt att rättigheterna enligt förordningen är likvärdigt garanterade i nationell lagstiftning. Ingen medlemsstat har utnyttjat detta undantag.</w:t>
      </w:r>
    </w:p>
    <w:p>
      <w:pPr>
        <w:spacing w:after="240" w:line="240" w:lineRule="auto"/>
        <w:jc w:val="both"/>
        <w:rPr>
          <w:rFonts w:ascii="Times New Roman" w:eastAsia="Times New Roman" w:hAnsi="Times New Roman"/>
          <w:i/>
          <w:noProof/>
          <w:color w:val="0D0D0D" w:themeColor="text1" w:themeTint="F2"/>
          <w:sz w:val="24"/>
          <w:szCs w:val="24"/>
        </w:rPr>
      </w:pPr>
      <w:r>
        <w:rPr>
          <w:rFonts w:ascii="Times New Roman" w:hAnsi="Times New Roman"/>
          <w:i/>
          <w:noProof/>
          <w:color w:val="0D0D0D" w:themeColor="text1" w:themeTint="F2"/>
          <w:sz w:val="24"/>
        </w:rPr>
        <w:t xml:space="preserve">Innehåll </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Liksom passagerarrättigheter inom andra transportsätt, baseras passagerarrättigheterna vid vattenvägstransporter på fyra principer:</w:t>
      </w:r>
    </w:p>
    <w:p>
      <w:pPr>
        <w:spacing w:after="120" w:line="240" w:lineRule="auto"/>
        <w:ind w:left="567" w:hanging="567"/>
        <w:jc w:val="both"/>
        <w:rPr>
          <w:rFonts w:ascii="Times New Roman" w:eastAsia="Times New Roman" w:hAnsi="Times New Roman"/>
          <w:i/>
          <w:noProof/>
          <w:sz w:val="24"/>
          <w:szCs w:val="24"/>
        </w:rPr>
      </w:pPr>
      <w:r>
        <w:rPr>
          <w:i/>
          <w:noProof/>
        </w:rPr>
        <w:t>a)</w:t>
      </w:r>
      <w:r>
        <w:rPr>
          <w:noProof/>
        </w:rPr>
        <w:tab/>
      </w:r>
      <w:r>
        <w:rPr>
          <w:rFonts w:ascii="Times New Roman" w:hAnsi="Times New Roman"/>
          <w:i/>
          <w:noProof/>
          <w:sz w:val="24"/>
        </w:rPr>
        <w:t>Icke-diskriminering på grund av nationalitet</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Inga passagerare får utsättas för direkt eller indirekt diskriminering på grund av nationalitet när de köper passagerarbiljett till vattenvägstransport eller kryssningar.</w:t>
      </w:r>
    </w:p>
    <w:p>
      <w:pPr>
        <w:spacing w:after="120" w:line="240" w:lineRule="auto"/>
        <w:ind w:left="567" w:hanging="567"/>
        <w:jc w:val="both"/>
        <w:rPr>
          <w:rFonts w:ascii="Times New Roman" w:eastAsia="Times New Roman" w:hAnsi="Times New Roman"/>
          <w:i/>
          <w:noProof/>
          <w:sz w:val="24"/>
          <w:szCs w:val="24"/>
        </w:rPr>
      </w:pPr>
      <w:r>
        <w:rPr>
          <w:i/>
          <w:noProof/>
        </w:rPr>
        <w:t>b)</w:t>
      </w:r>
      <w:r>
        <w:rPr>
          <w:noProof/>
        </w:rPr>
        <w:tab/>
      </w:r>
      <w:r>
        <w:rPr>
          <w:rFonts w:ascii="Times New Roman" w:hAnsi="Times New Roman"/>
          <w:i/>
          <w:noProof/>
          <w:sz w:val="24"/>
        </w:rPr>
        <w:t xml:space="preserve">Korrekt och tillgänglig information i god tid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Passagerare har rätt till relevant information före och under resan (särskilt vid trafikstörningar), bland annat information om sina rättigheter och kontaktuppgifter till nationella tillsynsorgan.</w:t>
      </w:r>
    </w:p>
    <w:p>
      <w:pPr>
        <w:spacing w:after="120" w:line="240" w:lineRule="auto"/>
        <w:ind w:left="567" w:hanging="567"/>
        <w:jc w:val="both"/>
        <w:rPr>
          <w:rFonts w:ascii="Times New Roman" w:eastAsia="Times New Roman" w:hAnsi="Times New Roman"/>
          <w:i/>
          <w:noProof/>
          <w:sz w:val="24"/>
          <w:szCs w:val="24"/>
        </w:rPr>
      </w:pPr>
      <w:r>
        <w:rPr>
          <w:i/>
          <w:noProof/>
        </w:rPr>
        <w:t>c)</w:t>
      </w:r>
      <w:r>
        <w:rPr>
          <w:noProof/>
        </w:rPr>
        <w:tab/>
      </w:r>
      <w:r>
        <w:rPr>
          <w:rFonts w:ascii="Times New Roman" w:hAnsi="Times New Roman"/>
          <w:i/>
          <w:noProof/>
          <w:sz w:val="24"/>
        </w:rPr>
        <w:t>Omedelbar och proportionell assistans vid trafikstörningar</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Vid en försening på mer än 90 minuter, eller då en passagerartransport eller kryssning ställs in, har passagerarna rätt till proportionell och lämplig assistans utan kostnad. Detta kan inbegripa snacks, måltider, förfriskningar och i förekommande fall inkvartering. De måste också få möjlighet att välja mellan</w:t>
      </w:r>
    </w:p>
    <w:p>
      <w:pPr>
        <w:pStyle w:val="ListParagraph"/>
        <w:numPr>
          <w:ilvl w:val="0"/>
          <w:numId w:val="39"/>
        </w:numPr>
        <w:spacing w:after="120"/>
        <w:contextualSpacing w:val="0"/>
        <w:jc w:val="both"/>
        <w:rPr>
          <w:noProof/>
        </w:rPr>
      </w:pPr>
      <w:r>
        <w:rPr>
          <w:noProof/>
        </w:rPr>
        <w:t xml:space="preserve">ombokning till bestämmelseorten utan extra kostnad, så snart som möjligt och med jämförbara villkor och </w:t>
      </w:r>
    </w:p>
    <w:p>
      <w:pPr>
        <w:pStyle w:val="ListParagraph"/>
        <w:numPr>
          <w:ilvl w:val="0"/>
          <w:numId w:val="39"/>
        </w:numPr>
        <w:spacing w:after="120"/>
        <w:jc w:val="both"/>
        <w:rPr>
          <w:noProof/>
        </w:rPr>
      </w:pPr>
      <w:r>
        <w:rPr>
          <w:noProof/>
        </w:rPr>
        <w:t>återbetalning motsvarande biljettpriset, i tillämpliga fall kombinerat med en kostnadsfri återresa så snart som möjligt till den första avreseorten enligt transportavtalet.</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Passagerare har också rätt till objektiv och schablonmässig ersättning vid kraftiga förseningar till ankomstorten. Ersättningsbeloppet avgörs av förseningens längd och resans planerade längd och beräknas i förhållande till biljettpriset. Transportören är inte skyldig att betala ersättning om det kan visas att förseningen beror på väderförhållanden som äventyrar den säkra driften av fartyget eller på extraordinära omständigheter som rimligen inte skulle ha kunnat undvikas.</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Till skillnad från kommersiella passagerartransporter har inte kryssningar någon bindande offentliggjord tidtabell, och därför har kryssningspassagerare enligt förordningen inte rätt att välja mellan ombokning och återbetalning vid inställda eller försenade avgångar (denna fråga ska regleras i det avtal som passageraren ingår för kryssningen) och inte heller rätt till ersättning vid försening.</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d) </w:t>
      </w:r>
      <w:r>
        <w:rPr>
          <w:noProof/>
        </w:rPr>
        <w:tab/>
      </w:r>
      <w:r>
        <w:rPr>
          <w:rFonts w:ascii="Times New Roman" w:hAnsi="Times New Roman"/>
          <w:i/>
          <w:noProof/>
          <w:sz w:val="24"/>
        </w:rPr>
        <w:t>Rättigheter för personer med funktionsnedsättning och nedsatt rörlighet</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Förordningen medför vissa skyldigheter för transportörer, hamnterminaloperatörer, resebyråer och researrangörer att se till att personer med funktionsnedsättning eller nedsatt rörlighet har samma möjligheter när det gäller vattenvägstransporter.</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 xml:space="preserve">Transportörer, resebyråer och researrangörer får inte vägra att godkänna en bokning av passagerare, eller att transportera dem, på grund av deras funktionsnedsättning eller nedsatta rörlighet, utom </w:t>
      </w:r>
    </w:p>
    <w:p>
      <w:pPr>
        <w:pStyle w:val="ListParagraph"/>
        <w:numPr>
          <w:ilvl w:val="0"/>
          <w:numId w:val="41"/>
        </w:numPr>
        <w:spacing w:after="120"/>
        <w:contextualSpacing w:val="0"/>
        <w:jc w:val="both"/>
        <w:rPr>
          <w:noProof/>
        </w:rPr>
      </w:pPr>
      <w:r>
        <w:rPr>
          <w:noProof/>
        </w:rPr>
        <w:t xml:space="preserve">om det är omöjligt att transportera dem i enlighet med tillämplig säkerhetslagstiftning och de hälso- och säkerhetskrav som fastställts av de behöriga myndigheterna, eller </w:t>
      </w:r>
    </w:p>
    <w:p>
      <w:pPr>
        <w:pStyle w:val="ListParagraph"/>
        <w:numPr>
          <w:ilvl w:val="0"/>
          <w:numId w:val="41"/>
        </w:numPr>
        <w:spacing w:after="120"/>
        <w:contextualSpacing w:val="0"/>
        <w:jc w:val="both"/>
        <w:rPr>
          <w:noProof/>
        </w:rPr>
      </w:pPr>
      <w:r>
        <w:rPr>
          <w:noProof/>
        </w:rPr>
        <w:t xml:space="preserve">om fartygets utformning eller transportinfrastrukturen gör det omöjligt att transportera dem på ett  säkert eller operativt möjligt sätt.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Transportörer och terminaloperatörer måste införa icke-diskriminerande villkor för tillgänglighet.</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Personer med funktionsnedsättning eller nedsatt rörlighet ska inte behöva betala någon extra avgift för biljetten, och transportörer och hamnterminaloperatörer måste kostnadsfritt tillhandahålla lämplig assistans i hamnar och ombord på fartyg.</w:t>
      </w:r>
    </w:p>
    <w:p>
      <w:pPr>
        <w:spacing w:after="240" w:line="240" w:lineRule="auto"/>
        <w:jc w:val="both"/>
        <w:rPr>
          <w:rFonts w:ascii="Times New Roman" w:eastAsia="Times New Roman" w:hAnsi="Times New Roman"/>
          <w:i/>
          <w:noProof/>
          <w:sz w:val="24"/>
          <w:szCs w:val="24"/>
        </w:rPr>
      </w:pPr>
      <w:r>
        <w:rPr>
          <w:rFonts w:ascii="Times New Roman" w:hAnsi="Times New Roman"/>
          <w:i/>
          <w:noProof/>
          <w:sz w:val="24"/>
        </w:rPr>
        <w:t>Annan EU-lagstiftning som är relevant för vattenvägstransporter av passagerare</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Passagerare som använder sig av sjötransporter inom förordningens tillämpningsområde är också skyddade genom förordning (EG) nr 392/2009</w:t>
      </w:r>
      <w:r>
        <w:rPr>
          <w:rStyle w:val="FootnoteReference"/>
          <w:rFonts w:ascii="Times New Roman" w:hAnsi="Times New Roman"/>
          <w:noProof/>
          <w:color w:val="0D0D0D" w:themeColor="text1" w:themeTint="F2"/>
          <w:sz w:val="24"/>
        </w:rPr>
        <w:footnoteReference w:id="10"/>
      </w:r>
      <w:r>
        <w:rPr>
          <w:rFonts w:ascii="Times New Roman" w:hAnsi="Times New Roman"/>
          <w:noProof/>
          <w:color w:val="0D0D0D" w:themeColor="text1" w:themeTint="F2"/>
          <w:sz w:val="24"/>
        </w:rPr>
        <w:t>, som syftar till att säkerställa att skälig ersättning betalas för personskada (inklusive dödsfall) eller annan förlust eller skada som passagerare kan drabbas av till följd av olyckor till sjöss</w:t>
      </w:r>
      <w:r>
        <w:rPr>
          <w:rStyle w:val="FootnoteReference"/>
          <w:rFonts w:ascii="Times New Roman" w:hAnsi="Times New Roman"/>
          <w:noProof/>
          <w:color w:val="0D0D0D" w:themeColor="text1" w:themeTint="F2"/>
          <w:sz w:val="24"/>
        </w:rPr>
        <w:footnoteReference w:id="11"/>
      </w:r>
      <w:r>
        <w:rPr>
          <w:noProof/>
        </w:rPr>
        <w:t>.</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Passagerare som reser med fartyg inom en paketresa åtnjuter ytterligare rättigheter enligt det nyligen antagna direktivet (EU) 2015/2302 om paketresor och sammanlänkade researrangemang</w:t>
      </w:r>
      <w:r>
        <w:rPr>
          <w:rStyle w:val="FootnoteReference"/>
          <w:rFonts w:ascii="Times New Roman" w:hAnsi="Times New Roman"/>
          <w:noProof/>
          <w:color w:val="0D0D0D" w:themeColor="text1" w:themeTint="F2"/>
          <w:sz w:val="24"/>
        </w:rPr>
        <w:footnoteReference w:id="12"/>
      </w:r>
      <w:r>
        <w:rPr>
          <w:rFonts w:ascii="Times New Roman" w:hAnsi="Times New Roman"/>
          <w:noProof/>
          <w:color w:val="0D0D0D" w:themeColor="text1" w:themeTint="F2"/>
          <w:sz w:val="24"/>
        </w:rPr>
        <w:t xml:space="preserve">. </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Följande EU-lagstiftning reglerar också flera aspekter av tillgänglighet till fartyg för personer med funktionsnedsättning eller nedsatt rörlighet: direktiv 2009/45/EG om säkerhetsbestämmelser och säkerhetsnormer för passagerarfartyg</w:t>
      </w:r>
      <w:r>
        <w:rPr>
          <w:rStyle w:val="FootnoteReference"/>
          <w:rFonts w:ascii="Times New Roman" w:hAnsi="Times New Roman"/>
          <w:noProof/>
          <w:color w:val="0D0D0D" w:themeColor="text1" w:themeTint="F2"/>
          <w:sz w:val="24"/>
        </w:rPr>
        <w:footnoteReference w:id="13"/>
      </w:r>
      <w:r>
        <w:rPr>
          <w:rFonts w:ascii="Times New Roman" w:hAnsi="Times New Roman"/>
          <w:noProof/>
          <w:color w:val="0D0D0D" w:themeColor="text1" w:themeTint="F2"/>
          <w:sz w:val="24"/>
        </w:rPr>
        <w:t>,  direktiv 1999/35/EG om ett system med obligatoriska besiktningar för en säker drift av ro-ro-passagerarfartyg och höghastighetspassagerarfartyg i reguljär trafik</w:t>
      </w:r>
      <w:r>
        <w:rPr>
          <w:rStyle w:val="FootnoteReference"/>
          <w:rFonts w:ascii="Times New Roman" w:hAnsi="Times New Roman"/>
          <w:noProof/>
          <w:color w:val="0D0D0D" w:themeColor="text1" w:themeTint="F2"/>
          <w:sz w:val="24"/>
        </w:rPr>
        <w:footnoteReference w:id="14"/>
      </w:r>
      <w:r>
        <w:rPr>
          <w:rFonts w:ascii="Times New Roman" w:hAnsi="Times New Roman"/>
          <w:noProof/>
          <w:color w:val="0D0D0D" w:themeColor="text1" w:themeTint="F2"/>
          <w:sz w:val="24"/>
        </w:rPr>
        <w:t xml:space="preserve"> och direktiv 98/41/EG om registrering av personer som färdas ombord på passagerarfartyg som ankommer till eller avgår från hamnar i gemenskapens medlemsstater</w:t>
      </w:r>
      <w:r>
        <w:rPr>
          <w:rStyle w:val="FootnoteReference"/>
          <w:rFonts w:ascii="Times New Roman" w:hAnsi="Times New Roman"/>
          <w:noProof/>
          <w:color w:val="0D0D0D" w:themeColor="text1" w:themeTint="F2"/>
          <w:sz w:val="24"/>
        </w:rPr>
        <w:footnoteReference w:id="15"/>
      </w:r>
      <w:r>
        <w:rPr>
          <w:noProof/>
        </w:rPr>
        <w:t>.</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En stor del av vattenvägstransporterna av passagerare är gränsöverskridande, antingen genom att passagerarna utnyttjar gränsöverskridande trafik eller genom att de utnyttjar inhemsk trafik utanför den egna medlemsstaten. För att skydda intressena för dessa passagerare innehåller förordning (EG) nr 2006/2004 om samarbete mellan de nationella tillsynsmyndigheter som ansvarar för tillsyn av konsumentskyddslagstiftningen</w:t>
      </w:r>
      <w:r>
        <w:rPr>
          <w:rStyle w:val="FootnoteReference"/>
          <w:rFonts w:ascii="Times New Roman" w:hAnsi="Times New Roman"/>
          <w:noProof/>
          <w:color w:val="0D0D0D" w:themeColor="text1" w:themeTint="F2"/>
          <w:sz w:val="24"/>
        </w:rPr>
        <w:footnoteReference w:id="16"/>
      </w:r>
      <w:r>
        <w:rPr>
          <w:rFonts w:ascii="Times New Roman" w:hAnsi="Times New Roman"/>
          <w:noProof/>
          <w:color w:val="0D0D0D" w:themeColor="text1" w:themeTint="F2"/>
          <w:sz w:val="24"/>
        </w:rPr>
        <w:t xml:space="preserve"> en lämplig ram för nationella tillsynsorgans samarbete sinsemellan och försvar av passagerarnas kollektiva intresse i ett gränsöverskridande sammanhang.</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3.</w:t>
      </w:r>
      <w:r>
        <w:rPr>
          <w:noProof/>
        </w:rPr>
        <w:tab/>
      </w:r>
      <w:r>
        <w:rPr>
          <w:rFonts w:ascii="Times New Roman" w:hAnsi="Times New Roman"/>
          <w:b/>
          <w:smallCaps/>
          <w:noProof/>
          <w:sz w:val="24"/>
        </w:rPr>
        <w:t>Medlemsstaternas tillämpning av förordningen</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Enligt förordningen måste medlemsstaterna utse nationella tillsynsorgan som ska kontrollera att förordningen efterlevs och fastställa effektiva, proportionella och avskräckande sanktioner i sin nationella lagstiftning för att bestraffa operatörer som bryter mot förordningen.</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Utseende av tillsynsorgan</w:t>
      </w:r>
      <w:r>
        <w:rPr>
          <w:rStyle w:val="FootnoteReference"/>
          <w:rFonts w:ascii="Times New Roman" w:hAnsi="Times New Roman"/>
          <w:b/>
          <w:i/>
          <w:noProof/>
          <w:sz w:val="24"/>
        </w:rPr>
        <w:footnoteReference w:id="17"/>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De flesta, men inte alla, medlemsstater har utsett nationella tillsynsorgan som tidigare ansvarade för passagerares rättigheter i fråga om andra transportsätt. De nationella tillsynsmyndigheterna är antingen transportmyndigheter eller konsumentskyddsmyndigheter. Vissa medlemsstater utser flera tillsynsorgan, i allmänhet en konsumentskyddsmyndighet som ansvarar för hantering av klagomål och en transportmyndighet som ansvarar för andra frågor (inspektioner, sanktioner och fartygs och hamnterminalers tillgänglighet för passagerare med funktionsnedsättning). I de flesta medlemsstater har de nationella tillsynsorganen utsetts enbart på nationell nivå, men i ett fåtal medlemsstater spelar regionala myndigheter en viktig roll för att kontrollera att förordningen efterlevs.</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Hantering av klagomål</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Passagerare kan lämna klagomål om upplevda överträdelser av förordningen till transportören, hamnterminaloperatören eller direkt till tillsynsmyndigheten.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I förordningen föreskrivs inte någon kronologisk ordning för ingivandet av klagomål, men det är tillåtet för medlemsstaterna att fastställa att passagerare först ska lämna sitt klagomål till transportören eller hamnterminaloperatören, och att det nationella tillsynsorganet endast fungerar som överklagandeinstans om passageraren är missnöjd med svaret. Totalt 21 medlemsstater valde detta alternativ, vilket har fördelen att tillsynsmyndigheterna kan behandla klagomålen på ett snabbare och effektivare sätt, eftersom de redan från början har tillgång till skriftväxlingen mellan klaganden och transportören/terminaloperatören, och därmed en mer omfattande översikt över fallet ur båda parternas synvinkel.</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Det finns ingen offentligt tillgänglig statistik över hur många klagomål som passagerarna lämnade in till transportörer eller terminaloperatörer under 2013 och 2014. Sådana uppgifter skulle vara till nytta för att bedöma förordningens tillämpning, men transportörer och terminaloperatörer är inte tvungna att samla in sådan information och lämna den till de nationella tillsynsorganen.</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Vi vet dock att de nationella tillsynsorganen har hanterat mycket få klagomål (se tabellen nedan). Det finns flera skäl till detta. Framförallt är förordningen relativt ny och många passagerare kanske inte har full kännedom om sina rättigheter. I de flesta medlemsstater måste passagerarna dessutom först lämna sina klagomål till transportören eller terminaloperatören, som verkar lösa de flesta av dem på ett tillfredsställande sätt, vilket innebär att klagomålen inte förs vidare till de nationella tillsynsorganen.</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Sanktioner</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De flesta medlemsstaters nationella lagstiftning föreskriver ett system med sanktioner grundat enbart på böter, men vissa tillsynsmyndigheter kan också återkalla ett tillstånd om operatören avsiktligt och systematiskt bryter mot förordningen.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Tillsynsmyndigheterna har utdömt väldigt få sanktioner sedan förordningen började tillämpas (se tabellen nedan). De flesta anser att operatörerna är angelägna om att följa bestämmelserna, korrigera överträdelser och lösa klagomål innan det blir nödvändigt att utdöma sanktioner.</w:t>
      </w:r>
    </w:p>
    <w:p>
      <w:pPr>
        <w:spacing w:after="240" w:line="240" w:lineRule="auto"/>
        <w:jc w:val="both"/>
        <w:rPr>
          <w:rFonts w:ascii="Times New Roman" w:eastAsia="Times New Roman" w:hAnsi="Times New Roman"/>
          <w:noProof/>
          <w:sz w:val="24"/>
          <w:szCs w:val="24"/>
        </w:rPr>
      </w:pPr>
    </w:p>
    <w:p>
      <w:pPr>
        <w:spacing w:after="240"/>
        <w:jc w:val="center"/>
        <w:rPr>
          <w:rFonts w:ascii="Times New Roman" w:hAnsi="Times New Roman"/>
          <w:b/>
          <w:noProof/>
          <w:sz w:val="24"/>
          <w:szCs w:val="24"/>
        </w:rPr>
      </w:pPr>
      <w:r>
        <w:rPr>
          <w:rFonts w:ascii="Times New Roman" w:hAnsi="Times New Roman"/>
          <w:b/>
          <w:noProof/>
          <w:sz w:val="24"/>
        </w:rPr>
        <w:t>Tabell – Antal klagomål som hanterats och sanktioner som utdömts av de nationella tillsynsorganen</w:t>
      </w:r>
      <w:r>
        <w:rPr>
          <w:rStyle w:val="FootnoteReference"/>
          <w:noProof/>
        </w:rPr>
        <w:footnoteReference w:id="18"/>
      </w:r>
    </w:p>
    <w:tbl>
      <w:tblPr>
        <w:tblStyle w:val="TableGrid"/>
        <w:tblW w:w="8789" w:type="dxa"/>
        <w:tblInd w:w="-34" w:type="dxa"/>
        <w:tblLayout w:type="fixed"/>
        <w:tblLook w:val="04A0" w:firstRow="1" w:lastRow="0" w:firstColumn="1" w:lastColumn="0" w:noHBand="0" w:noVBand="1"/>
      </w:tblPr>
      <w:tblGrid>
        <w:gridCol w:w="1985"/>
        <w:gridCol w:w="1701"/>
        <w:gridCol w:w="1843"/>
        <w:gridCol w:w="1701"/>
        <w:gridCol w:w="1559"/>
      </w:tblGrid>
      <w:tr>
        <w:trPr>
          <w:trHeight w:val="441"/>
        </w:trPr>
        <w:tc>
          <w:tcPr>
            <w:tcW w:w="1985" w:type="dxa"/>
            <w:vMerge w:val="restart"/>
          </w:tcPr>
          <w:p>
            <w:pPr>
              <w:spacing w:after="0"/>
              <w:jc w:val="center"/>
              <w:rPr>
                <w:rFonts w:ascii="Times New Roman" w:hAnsi="Times New Roman"/>
                <w:b/>
                <w:noProof/>
                <w:sz w:val="24"/>
                <w:szCs w:val="24"/>
              </w:rPr>
            </w:pPr>
            <w:r>
              <w:rPr>
                <w:rFonts w:ascii="Times New Roman" w:hAnsi="Times New Roman"/>
                <w:b/>
                <w:noProof/>
                <w:sz w:val="24"/>
              </w:rPr>
              <w:t>Medlemsstat</w:t>
            </w:r>
          </w:p>
        </w:tc>
        <w:tc>
          <w:tcPr>
            <w:tcW w:w="3544" w:type="dxa"/>
            <w:gridSpan w:val="2"/>
          </w:tcPr>
          <w:p>
            <w:pPr>
              <w:spacing w:after="0"/>
              <w:jc w:val="center"/>
              <w:rPr>
                <w:rFonts w:ascii="Times New Roman" w:hAnsi="Times New Roman"/>
                <w:b/>
                <w:noProof/>
                <w:sz w:val="24"/>
                <w:szCs w:val="24"/>
              </w:rPr>
            </w:pPr>
            <w:r>
              <w:rPr>
                <w:rFonts w:ascii="Times New Roman" w:hAnsi="Times New Roman"/>
                <w:b/>
                <w:noProof/>
                <w:sz w:val="24"/>
              </w:rPr>
              <w:t>Antal klagomål som hanterats</w:t>
            </w:r>
          </w:p>
        </w:tc>
        <w:tc>
          <w:tcPr>
            <w:tcW w:w="3260" w:type="dxa"/>
            <w:gridSpan w:val="2"/>
          </w:tcPr>
          <w:p>
            <w:pPr>
              <w:spacing w:after="0"/>
              <w:jc w:val="center"/>
              <w:rPr>
                <w:rFonts w:ascii="Times New Roman" w:hAnsi="Times New Roman"/>
                <w:b/>
                <w:noProof/>
                <w:sz w:val="24"/>
                <w:szCs w:val="24"/>
              </w:rPr>
            </w:pPr>
            <w:r>
              <w:rPr>
                <w:rFonts w:ascii="Times New Roman" w:hAnsi="Times New Roman"/>
                <w:b/>
                <w:noProof/>
                <w:sz w:val="24"/>
              </w:rPr>
              <w:t>Antal sanktioner</w:t>
            </w:r>
          </w:p>
        </w:tc>
      </w:tr>
      <w:tr>
        <w:trPr>
          <w:trHeight w:val="410"/>
        </w:trPr>
        <w:tc>
          <w:tcPr>
            <w:tcW w:w="1985" w:type="dxa"/>
            <w:vMerge/>
          </w:tcPr>
          <w:p>
            <w:pPr>
              <w:spacing w:after="0"/>
              <w:jc w:val="both"/>
              <w:rPr>
                <w:rFonts w:ascii="Times New Roman" w:hAnsi="Times New Roman"/>
                <w:b/>
                <w:noProof/>
                <w:sz w:val="24"/>
                <w:szCs w:val="24"/>
              </w:rPr>
            </w:pPr>
          </w:p>
        </w:tc>
        <w:tc>
          <w:tcPr>
            <w:tcW w:w="1701" w:type="dxa"/>
          </w:tcPr>
          <w:p>
            <w:pPr>
              <w:spacing w:after="0"/>
              <w:jc w:val="center"/>
              <w:rPr>
                <w:rFonts w:ascii="Times New Roman" w:hAnsi="Times New Roman"/>
                <w:b/>
                <w:noProof/>
                <w:sz w:val="24"/>
                <w:szCs w:val="24"/>
              </w:rPr>
            </w:pPr>
            <w:r>
              <w:rPr>
                <w:rFonts w:ascii="Times New Roman" w:hAnsi="Times New Roman"/>
                <w:b/>
                <w:noProof/>
                <w:sz w:val="24"/>
              </w:rPr>
              <w:t>2013</w:t>
            </w:r>
          </w:p>
        </w:tc>
        <w:tc>
          <w:tcPr>
            <w:tcW w:w="1843" w:type="dxa"/>
          </w:tcPr>
          <w:p>
            <w:pPr>
              <w:spacing w:after="0"/>
              <w:jc w:val="center"/>
              <w:rPr>
                <w:rFonts w:ascii="Times New Roman" w:hAnsi="Times New Roman"/>
                <w:b/>
                <w:noProof/>
                <w:sz w:val="24"/>
                <w:szCs w:val="24"/>
              </w:rPr>
            </w:pPr>
            <w:r>
              <w:rPr>
                <w:rFonts w:ascii="Times New Roman" w:hAnsi="Times New Roman"/>
                <w:b/>
                <w:noProof/>
                <w:sz w:val="24"/>
              </w:rPr>
              <w:t>2014</w:t>
            </w:r>
          </w:p>
        </w:tc>
        <w:tc>
          <w:tcPr>
            <w:tcW w:w="1701" w:type="dxa"/>
          </w:tcPr>
          <w:p>
            <w:pPr>
              <w:spacing w:after="0"/>
              <w:jc w:val="center"/>
              <w:rPr>
                <w:rFonts w:ascii="Times New Roman" w:hAnsi="Times New Roman"/>
                <w:b/>
                <w:noProof/>
                <w:sz w:val="24"/>
                <w:szCs w:val="24"/>
              </w:rPr>
            </w:pPr>
            <w:r>
              <w:rPr>
                <w:rFonts w:ascii="Times New Roman" w:hAnsi="Times New Roman"/>
                <w:b/>
                <w:noProof/>
                <w:sz w:val="24"/>
              </w:rPr>
              <w:t>2013</w:t>
            </w:r>
          </w:p>
        </w:tc>
        <w:tc>
          <w:tcPr>
            <w:tcW w:w="1559" w:type="dxa"/>
          </w:tcPr>
          <w:p>
            <w:pPr>
              <w:spacing w:after="0"/>
              <w:jc w:val="center"/>
              <w:rPr>
                <w:rFonts w:ascii="Times New Roman" w:hAnsi="Times New Roman"/>
                <w:b/>
                <w:noProof/>
                <w:sz w:val="24"/>
                <w:szCs w:val="24"/>
              </w:rPr>
            </w:pPr>
            <w:r>
              <w:rPr>
                <w:rFonts w:ascii="Times New Roman" w:hAnsi="Times New Roman"/>
                <w:b/>
                <w:noProof/>
                <w:sz w:val="24"/>
              </w:rPr>
              <w:t>2014</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Österrike</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843"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Ej tillgängligt</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Belgien</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843"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Ej tillgängligt</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Bulgarien</w:t>
            </w:r>
          </w:p>
        </w:tc>
        <w:tc>
          <w:tcPr>
            <w:tcW w:w="1701" w:type="dxa"/>
          </w:tcPr>
          <w:p>
            <w:pPr>
              <w:spacing w:after="0"/>
              <w:jc w:val="right"/>
              <w:rPr>
                <w:rFonts w:ascii="Times New Roman" w:hAnsi="Times New Roman"/>
                <w:noProof/>
                <w:sz w:val="24"/>
                <w:szCs w:val="24"/>
              </w:rPr>
            </w:pPr>
            <w:r>
              <w:rPr>
                <w:rFonts w:ascii="Times New Roman" w:hAnsi="Times New Roman"/>
                <w:noProof/>
                <w:sz w:val="24"/>
              </w:rPr>
              <w:t>-</w:t>
            </w:r>
          </w:p>
        </w:tc>
        <w:tc>
          <w:tcPr>
            <w:tcW w:w="1843" w:type="dxa"/>
          </w:tcPr>
          <w:p>
            <w:pPr>
              <w:spacing w:after="0"/>
              <w:jc w:val="right"/>
              <w:rPr>
                <w:rFonts w:ascii="Times New Roman" w:hAnsi="Times New Roman"/>
                <w:noProof/>
                <w:sz w:val="24"/>
                <w:szCs w:val="24"/>
              </w:rPr>
            </w:pPr>
            <w:r>
              <w:rPr>
                <w:rFonts w:ascii="Times New Roman" w:hAnsi="Times New Roman"/>
                <w:noProof/>
                <w:sz w:val="24"/>
              </w:rPr>
              <w:t>-</w:t>
            </w:r>
          </w:p>
        </w:tc>
        <w:tc>
          <w:tcPr>
            <w:tcW w:w="1701" w:type="dxa"/>
          </w:tcPr>
          <w:p>
            <w:pPr>
              <w:spacing w:after="0"/>
              <w:jc w:val="right"/>
              <w:rPr>
                <w:rFonts w:ascii="Times New Roman" w:hAnsi="Times New Roman"/>
                <w:noProof/>
                <w:sz w:val="24"/>
                <w:szCs w:val="24"/>
              </w:rPr>
            </w:pPr>
            <w:r>
              <w:rPr>
                <w:rFonts w:ascii="Times New Roman" w:hAnsi="Times New Roman"/>
                <w:noProof/>
                <w:sz w:val="24"/>
              </w:rPr>
              <w:t>-</w:t>
            </w:r>
          </w:p>
        </w:tc>
        <w:tc>
          <w:tcPr>
            <w:tcW w:w="1559" w:type="dxa"/>
          </w:tcPr>
          <w:p>
            <w:pPr>
              <w:spacing w:after="0"/>
              <w:jc w:val="right"/>
              <w:rPr>
                <w:rFonts w:ascii="Times New Roman" w:hAnsi="Times New Roman"/>
                <w:noProof/>
                <w:sz w:val="24"/>
                <w:szCs w:val="24"/>
              </w:rPr>
            </w:pPr>
            <w:r>
              <w:rPr>
                <w:rFonts w:ascii="Times New Roman" w:hAnsi="Times New Roman"/>
                <w:noProof/>
                <w:sz w:val="24"/>
              </w:rPr>
              <w:t>-</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Kroatien</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Cypern</w:t>
            </w:r>
          </w:p>
        </w:tc>
        <w:tc>
          <w:tcPr>
            <w:tcW w:w="1701" w:type="dxa"/>
          </w:tcPr>
          <w:p>
            <w:pPr>
              <w:spacing w:after="0"/>
              <w:jc w:val="right"/>
              <w:rPr>
                <w:rFonts w:ascii="Times New Roman" w:hAnsi="Times New Roman"/>
                <w:noProof/>
                <w:sz w:val="24"/>
                <w:szCs w:val="24"/>
              </w:rPr>
            </w:pPr>
            <w:r>
              <w:rPr>
                <w:rFonts w:ascii="Times New Roman" w:hAnsi="Times New Roman"/>
                <w:noProof/>
                <w:sz w:val="24"/>
              </w:rPr>
              <w:t>-</w:t>
            </w:r>
          </w:p>
        </w:tc>
        <w:tc>
          <w:tcPr>
            <w:tcW w:w="1843" w:type="dxa"/>
          </w:tcPr>
          <w:p>
            <w:pPr>
              <w:spacing w:after="0"/>
              <w:jc w:val="right"/>
              <w:rPr>
                <w:rFonts w:ascii="Times New Roman" w:hAnsi="Times New Roman"/>
                <w:noProof/>
                <w:sz w:val="24"/>
                <w:szCs w:val="24"/>
              </w:rPr>
            </w:pPr>
            <w:r>
              <w:rPr>
                <w:rFonts w:ascii="Times New Roman" w:hAnsi="Times New Roman"/>
                <w:noProof/>
                <w:sz w:val="24"/>
              </w:rPr>
              <w:t>-</w:t>
            </w:r>
          </w:p>
        </w:tc>
        <w:tc>
          <w:tcPr>
            <w:tcW w:w="1701" w:type="dxa"/>
          </w:tcPr>
          <w:p>
            <w:pPr>
              <w:spacing w:after="0"/>
              <w:jc w:val="right"/>
              <w:rPr>
                <w:rFonts w:ascii="Times New Roman" w:hAnsi="Times New Roman"/>
                <w:noProof/>
                <w:sz w:val="24"/>
                <w:szCs w:val="24"/>
              </w:rPr>
            </w:pPr>
            <w:r>
              <w:rPr>
                <w:rFonts w:ascii="Times New Roman" w:hAnsi="Times New Roman"/>
                <w:noProof/>
                <w:sz w:val="24"/>
              </w:rPr>
              <w:t>-</w:t>
            </w:r>
          </w:p>
        </w:tc>
        <w:tc>
          <w:tcPr>
            <w:tcW w:w="1559" w:type="dxa"/>
          </w:tcPr>
          <w:p>
            <w:pPr>
              <w:spacing w:after="0"/>
              <w:jc w:val="right"/>
              <w:rPr>
                <w:rFonts w:ascii="Times New Roman" w:hAnsi="Times New Roman"/>
                <w:noProof/>
                <w:sz w:val="24"/>
                <w:szCs w:val="24"/>
              </w:rPr>
            </w:pPr>
            <w:r>
              <w:rPr>
                <w:rFonts w:ascii="Times New Roman" w:hAnsi="Times New Roman"/>
                <w:noProof/>
                <w:sz w:val="24"/>
              </w:rPr>
              <w:t>-</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Tjeckien</w:t>
            </w:r>
          </w:p>
        </w:tc>
        <w:tc>
          <w:tcPr>
            <w:tcW w:w="1701" w:type="dxa"/>
          </w:tcPr>
          <w:p>
            <w:pPr>
              <w:spacing w:after="0"/>
              <w:jc w:val="right"/>
              <w:rPr>
                <w:rFonts w:ascii="Times New Roman" w:hAnsi="Times New Roman"/>
                <w:noProof/>
                <w:sz w:val="24"/>
                <w:szCs w:val="24"/>
              </w:rPr>
            </w:pPr>
            <w:r>
              <w:rPr>
                <w:rFonts w:ascii="Times New Roman" w:hAnsi="Times New Roman"/>
                <w:noProof/>
                <w:sz w:val="24"/>
              </w:rPr>
              <w:t xml:space="preserve">Ej tillgängligt </w:t>
            </w:r>
          </w:p>
        </w:tc>
        <w:tc>
          <w:tcPr>
            <w:tcW w:w="1843" w:type="dxa"/>
          </w:tcPr>
          <w:p>
            <w:pPr>
              <w:spacing w:after="0"/>
              <w:jc w:val="right"/>
              <w:rPr>
                <w:rFonts w:ascii="Times New Roman" w:hAnsi="Times New Roman"/>
                <w:noProof/>
                <w:sz w:val="24"/>
                <w:szCs w:val="24"/>
              </w:rPr>
            </w:pPr>
            <w:r>
              <w:rPr>
                <w:rFonts w:ascii="Times New Roman" w:hAnsi="Times New Roman"/>
                <w:noProof/>
                <w:sz w:val="24"/>
              </w:rPr>
              <w:t xml:space="preserve">Ej tillgängligt </w:t>
            </w:r>
          </w:p>
        </w:tc>
        <w:tc>
          <w:tcPr>
            <w:tcW w:w="1701" w:type="dxa"/>
          </w:tcPr>
          <w:p>
            <w:pPr>
              <w:spacing w:after="0"/>
              <w:jc w:val="right"/>
              <w:rPr>
                <w:rFonts w:ascii="Times New Roman" w:hAnsi="Times New Roman"/>
                <w:noProof/>
                <w:sz w:val="24"/>
                <w:szCs w:val="24"/>
              </w:rPr>
            </w:pPr>
            <w:r>
              <w:rPr>
                <w:rFonts w:ascii="Times New Roman" w:hAnsi="Times New Roman"/>
                <w:noProof/>
                <w:sz w:val="24"/>
              </w:rPr>
              <w:t xml:space="preserve">Ej tillgängligt </w:t>
            </w:r>
          </w:p>
        </w:tc>
        <w:tc>
          <w:tcPr>
            <w:tcW w:w="1559" w:type="dxa"/>
          </w:tcPr>
          <w:p>
            <w:pPr>
              <w:spacing w:after="0"/>
              <w:jc w:val="right"/>
              <w:rPr>
                <w:rFonts w:ascii="Times New Roman" w:hAnsi="Times New Roman"/>
                <w:noProof/>
                <w:sz w:val="24"/>
                <w:szCs w:val="24"/>
              </w:rPr>
            </w:pPr>
            <w:r>
              <w:rPr>
                <w:rFonts w:ascii="Times New Roman" w:hAnsi="Times New Roman"/>
                <w:noProof/>
                <w:sz w:val="24"/>
              </w:rPr>
              <w:t xml:space="preserve">Ej tillgängligt </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Danmark</w:t>
            </w:r>
          </w:p>
        </w:tc>
        <w:tc>
          <w:tcPr>
            <w:tcW w:w="1701" w:type="dxa"/>
          </w:tcPr>
          <w:p>
            <w:pPr>
              <w:spacing w:after="0"/>
              <w:jc w:val="right"/>
              <w:rPr>
                <w:rFonts w:ascii="Times New Roman" w:hAnsi="Times New Roman"/>
                <w:noProof/>
                <w:sz w:val="24"/>
                <w:szCs w:val="24"/>
              </w:rPr>
            </w:pPr>
            <w:r>
              <w:rPr>
                <w:rFonts w:ascii="Times New Roman" w:hAnsi="Times New Roman"/>
                <w:noProof/>
                <w:sz w:val="24"/>
              </w:rPr>
              <w:t>1</w:t>
            </w:r>
          </w:p>
        </w:tc>
        <w:tc>
          <w:tcPr>
            <w:tcW w:w="1843" w:type="dxa"/>
          </w:tcPr>
          <w:p>
            <w:pPr>
              <w:spacing w:after="0"/>
              <w:jc w:val="right"/>
              <w:rPr>
                <w:rFonts w:ascii="Times New Roman" w:hAnsi="Times New Roman"/>
                <w:noProof/>
                <w:sz w:val="24"/>
                <w:szCs w:val="24"/>
              </w:rPr>
            </w:pPr>
            <w:r>
              <w:rPr>
                <w:rFonts w:ascii="Times New Roman" w:hAnsi="Times New Roman"/>
                <w:noProof/>
                <w:sz w:val="24"/>
              </w:rPr>
              <w:t>2</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Estland</w:t>
            </w:r>
          </w:p>
        </w:tc>
        <w:tc>
          <w:tcPr>
            <w:tcW w:w="1701" w:type="dxa"/>
          </w:tcPr>
          <w:p>
            <w:pPr>
              <w:spacing w:after="0"/>
              <w:jc w:val="right"/>
              <w:rPr>
                <w:rFonts w:ascii="Times New Roman" w:hAnsi="Times New Roman"/>
                <w:noProof/>
                <w:sz w:val="24"/>
                <w:szCs w:val="24"/>
              </w:rPr>
            </w:pPr>
            <w:r>
              <w:rPr>
                <w:rFonts w:ascii="Times New Roman" w:hAnsi="Times New Roman"/>
                <w:noProof/>
                <w:sz w:val="24"/>
              </w:rPr>
              <w:t>1</w:t>
            </w:r>
          </w:p>
        </w:tc>
        <w:tc>
          <w:tcPr>
            <w:tcW w:w="1843" w:type="dxa"/>
          </w:tcPr>
          <w:p>
            <w:pPr>
              <w:spacing w:after="0"/>
              <w:jc w:val="right"/>
              <w:rPr>
                <w:rFonts w:ascii="Times New Roman" w:hAnsi="Times New Roman"/>
                <w:noProof/>
                <w:sz w:val="24"/>
                <w:szCs w:val="24"/>
              </w:rPr>
            </w:pPr>
            <w:r>
              <w:rPr>
                <w:rFonts w:ascii="Times New Roman" w:hAnsi="Times New Roman"/>
                <w:noProof/>
                <w:sz w:val="24"/>
              </w:rPr>
              <w:t>1</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Finland</w:t>
            </w:r>
          </w:p>
        </w:tc>
        <w:tc>
          <w:tcPr>
            <w:tcW w:w="1701" w:type="dxa"/>
          </w:tcPr>
          <w:p>
            <w:pPr>
              <w:spacing w:after="0"/>
              <w:jc w:val="right"/>
              <w:rPr>
                <w:rFonts w:ascii="Times New Roman" w:hAnsi="Times New Roman"/>
                <w:noProof/>
                <w:sz w:val="24"/>
                <w:szCs w:val="24"/>
              </w:rPr>
            </w:pPr>
            <w:r>
              <w:rPr>
                <w:rFonts w:ascii="Times New Roman" w:hAnsi="Times New Roman"/>
                <w:noProof/>
                <w:sz w:val="24"/>
              </w:rPr>
              <w:t>10</w:t>
            </w:r>
          </w:p>
        </w:tc>
        <w:tc>
          <w:tcPr>
            <w:tcW w:w="1843" w:type="dxa"/>
          </w:tcPr>
          <w:p>
            <w:pPr>
              <w:spacing w:after="0"/>
              <w:jc w:val="right"/>
              <w:rPr>
                <w:rFonts w:ascii="Times New Roman" w:hAnsi="Times New Roman"/>
                <w:noProof/>
                <w:sz w:val="24"/>
                <w:szCs w:val="24"/>
              </w:rPr>
            </w:pPr>
            <w:r>
              <w:rPr>
                <w:rFonts w:ascii="Times New Roman" w:hAnsi="Times New Roman"/>
                <w:noProof/>
                <w:sz w:val="24"/>
              </w:rPr>
              <w:t>6</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Ej tillgängligt</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Frankrike</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Tyskland</w:t>
            </w:r>
          </w:p>
        </w:tc>
        <w:tc>
          <w:tcPr>
            <w:tcW w:w="1701" w:type="dxa"/>
          </w:tcPr>
          <w:p>
            <w:pPr>
              <w:spacing w:after="0"/>
              <w:jc w:val="right"/>
              <w:rPr>
                <w:rFonts w:ascii="Times New Roman" w:hAnsi="Times New Roman"/>
                <w:noProof/>
                <w:sz w:val="24"/>
                <w:szCs w:val="24"/>
              </w:rPr>
            </w:pPr>
            <w:r>
              <w:rPr>
                <w:rFonts w:ascii="Times New Roman" w:hAnsi="Times New Roman"/>
                <w:noProof/>
                <w:sz w:val="24"/>
              </w:rPr>
              <w:t>4</w:t>
            </w:r>
          </w:p>
        </w:tc>
        <w:tc>
          <w:tcPr>
            <w:tcW w:w="1843" w:type="dxa"/>
          </w:tcPr>
          <w:p>
            <w:pPr>
              <w:spacing w:after="0"/>
              <w:jc w:val="right"/>
              <w:rPr>
                <w:rFonts w:ascii="Times New Roman" w:hAnsi="Times New Roman"/>
                <w:noProof/>
                <w:sz w:val="24"/>
                <w:szCs w:val="24"/>
              </w:rPr>
            </w:pPr>
            <w:r>
              <w:rPr>
                <w:rFonts w:ascii="Times New Roman" w:hAnsi="Times New Roman"/>
                <w:noProof/>
                <w:sz w:val="24"/>
              </w:rPr>
              <w:t>10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Grekland</w:t>
            </w:r>
          </w:p>
        </w:tc>
        <w:tc>
          <w:tcPr>
            <w:tcW w:w="1701" w:type="dxa"/>
          </w:tcPr>
          <w:p>
            <w:pPr>
              <w:spacing w:after="0"/>
              <w:jc w:val="right"/>
              <w:rPr>
                <w:rFonts w:ascii="Times New Roman" w:hAnsi="Times New Roman"/>
                <w:noProof/>
                <w:sz w:val="24"/>
                <w:szCs w:val="24"/>
              </w:rPr>
            </w:pPr>
            <w:r>
              <w:rPr>
                <w:rFonts w:ascii="Times New Roman" w:hAnsi="Times New Roman"/>
                <w:noProof/>
                <w:sz w:val="24"/>
              </w:rPr>
              <w:t>64</w:t>
            </w:r>
          </w:p>
        </w:tc>
        <w:tc>
          <w:tcPr>
            <w:tcW w:w="1843" w:type="dxa"/>
          </w:tcPr>
          <w:p>
            <w:pPr>
              <w:spacing w:after="0"/>
              <w:jc w:val="right"/>
              <w:rPr>
                <w:rFonts w:ascii="Times New Roman" w:hAnsi="Times New Roman"/>
                <w:noProof/>
                <w:sz w:val="24"/>
                <w:szCs w:val="24"/>
              </w:rPr>
            </w:pPr>
            <w:r>
              <w:rPr>
                <w:rFonts w:ascii="Times New Roman" w:hAnsi="Times New Roman"/>
                <w:noProof/>
                <w:sz w:val="24"/>
              </w:rPr>
              <w:t>45</w:t>
            </w:r>
          </w:p>
        </w:tc>
        <w:tc>
          <w:tcPr>
            <w:tcW w:w="1701" w:type="dxa"/>
          </w:tcPr>
          <w:p>
            <w:pPr>
              <w:spacing w:after="0"/>
              <w:jc w:val="right"/>
              <w:rPr>
                <w:rFonts w:ascii="Times New Roman" w:hAnsi="Times New Roman"/>
                <w:noProof/>
                <w:sz w:val="24"/>
                <w:szCs w:val="24"/>
              </w:rPr>
            </w:pPr>
            <w:r>
              <w:rPr>
                <w:rFonts w:ascii="Times New Roman" w:hAnsi="Times New Roman"/>
                <w:noProof/>
                <w:sz w:val="24"/>
              </w:rPr>
              <w:t>11</w:t>
            </w:r>
          </w:p>
        </w:tc>
        <w:tc>
          <w:tcPr>
            <w:tcW w:w="1559" w:type="dxa"/>
          </w:tcPr>
          <w:p>
            <w:pPr>
              <w:spacing w:after="0"/>
              <w:jc w:val="right"/>
              <w:rPr>
                <w:rFonts w:ascii="Times New Roman" w:hAnsi="Times New Roman"/>
                <w:noProof/>
                <w:sz w:val="24"/>
                <w:szCs w:val="24"/>
              </w:rPr>
            </w:pPr>
            <w:r>
              <w:rPr>
                <w:rFonts w:ascii="Times New Roman" w:hAnsi="Times New Roman"/>
                <w:noProof/>
                <w:sz w:val="24"/>
              </w:rPr>
              <w:t>7</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Ungern</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Irland</w:t>
            </w:r>
          </w:p>
        </w:tc>
        <w:tc>
          <w:tcPr>
            <w:tcW w:w="1701" w:type="dxa"/>
          </w:tcPr>
          <w:p>
            <w:pPr>
              <w:spacing w:after="0"/>
              <w:jc w:val="right"/>
              <w:rPr>
                <w:rFonts w:ascii="Times New Roman" w:hAnsi="Times New Roman"/>
                <w:noProof/>
                <w:sz w:val="24"/>
                <w:szCs w:val="24"/>
              </w:rPr>
            </w:pPr>
            <w:r>
              <w:rPr>
                <w:rFonts w:ascii="Times New Roman" w:hAnsi="Times New Roman"/>
                <w:noProof/>
                <w:sz w:val="24"/>
              </w:rPr>
              <w:t>3</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Italien</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843"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Ej tillgängligt</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Lettland</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Litauen</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Luxemburg</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843"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Ej tillgängligt</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Malta</w:t>
            </w:r>
          </w:p>
        </w:tc>
        <w:tc>
          <w:tcPr>
            <w:tcW w:w="1701" w:type="dxa"/>
          </w:tcPr>
          <w:p>
            <w:pPr>
              <w:spacing w:after="0"/>
              <w:jc w:val="right"/>
              <w:rPr>
                <w:rFonts w:ascii="Times New Roman" w:hAnsi="Times New Roman"/>
                <w:noProof/>
                <w:sz w:val="24"/>
                <w:szCs w:val="24"/>
              </w:rPr>
            </w:pPr>
            <w:r>
              <w:rPr>
                <w:rFonts w:ascii="Times New Roman" w:hAnsi="Times New Roman"/>
                <w:noProof/>
                <w:sz w:val="24"/>
              </w:rPr>
              <w:t>1</w:t>
            </w:r>
          </w:p>
        </w:tc>
        <w:tc>
          <w:tcPr>
            <w:tcW w:w="1843" w:type="dxa"/>
          </w:tcPr>
          <w:p>
            <w:pPr>
              <w:spacing w:after="0"/>
              <w:jc w:val="right"/>
              <w:rPr>
                <w:rFonts w:ascii="Times New Roman" w:hAnsi="Times New Roman"/>
                <w:noProof/>
                <w:sz w:val="24"/>
                <w:szCs w:val="24"/>
              </w:rPr>
            </w:pPr>
            <w:r>
              <w:rPr>
                <w:rFonts w:ascii="Times New Roman" w:hAnsi="Times New Roman"/>
                <w:noProof/>
                <w:sz w:val="24"/>
              </w:rPr>
              <w:t>3</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Nederländerna</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Polen</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Portugal</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Rumänien</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Slovakien</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Slovenien</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843" w:type="dxa"/>
          </w:tcPr>
          <w:p>
            <w:pPr>
              <w:spacing w:after="0"/>
              <w:jc w:val="right"/>
              <w:rPr>
                <w:rFonts w:ascii="Times New Roman" w:hAnsi="Times New Roman"/>
                <w:noProof/>
                <w:sz w:val="24"/>
                <w:szCs w:val="24"/>
              </w:rPr>
            </w:pPr>
            <w:r>
              <w:rPr>
                <w:rFonts w:ascii="Times New Roman" w:hAnsi="Times New Roman"/>
                <w:noProof/>
                <w:sz w:val="24"/>
              </w:rPr>
              <w:t>0</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Spanien</w:t>
            </w:r>
          </w:p>
        </w:tc>
        <w:tc>
          <w:tcPr>
            <w:tcW w:w="1701" w:type="dxa"/>
          </w:tcPr>
          <w:p>
            <w:pPr>
              <w:spacing w:after="0"/>
              <w:jc w:val="right"/>
              <w:rPr>
                <w:rFonts w:ascii="Times New Roman" w:hAnsi="Times New Roman"/>
                <w:noProof/>
                <w:sz w:val="24"/>
                <w:szCs w:val="24"/>
              </w:rPr>
            </w:pPr>
            <w:r>
              <w:rPr>
                <w:rFonts w:ascii="Times New Roman" w:hAnsi="Times New Roman"/>
                <w:noProof/>
                <w:sz w:val="24"/>
              </w:rPr>
              <w:t>501</w:t>
            </w:r>
          </w:p>
        </w:tc>
        <w:tc>
          <w:tcPr>
            <w:tcW w:w="1843" w:type="dxa"/>
          </w:tcPr>
          <w:p>
            <w:pPr>
              <w:spacing w:after="0"/>
              <w:jc w:val="right"/>
              <w:rPr>
                <w:rFonts w:ascii="Times New Roman" w:hAnsi="Times New Roman"/>
                <w:noProof/>
                <w:sz w:val="24"/>
                <w:szCs w:val="24"/>
              </w:rPr>
            </w:pPr>
            <w:r>
              <w:rPr>
                <w:rFonts w:ascii="Times New Roman" w:hAnsi="Times New Roman"/>
                <w:noProof/>
                <w:sz w:val="24"/>
              </w:rPr>
              <w:t>419</w:t>
            </w:r>
          </w:p>
        </w:tc>
        <w:tc>
          <w:tcPr>
            <w:tcW w:w="1701" w:type="dxa"/>
          </w:tcPr>
          <w:p>
            <w:pPr>
              <w:spacing w:after="0"/>
              <w:jc w:val="right"/>
              <w:rPr>
                <w:rFonts w:ascii="Times New Roman" w:hAnsi="Times New Roman"/>
                <w:noProof/>
                <w:sz w:val="24"/>
                <w:szCs w:val="24"/>
              </w:rPr>
            </w:pPr>
            <w:r>
              <w:rPr>
                <w:rFonts w:ascii="Times New Roman" w:hAnsi="Times New Roman"/>
                <w:noProof/>
                <w:sz w:val="24"/>
              </w:rPr>
              <w:t>21</w:t>
            </w:r>
          </w:p>
        </w:tc>
        <w:tc>
          <w:tcPr>
            <w:tcW w:w="1559" w:type="dxa"/>
          </w:tcPr>
          <w:p>
            <w:pPr>
              <w:spacing w:after="0"/>
              <w:jc w:val="right"/>
              <w:rPr>
                <w:rFonts w:ascii="Times New Roman" w:hAnsi="Times New Roman"/>
                <w:noProof/>
                <w:sz w:val="24"/>
                <w:szCs w:val="24"/>
              </w:rPr>
            </w:pPr>
            <w:r>
              <w:rPr>
                <w:rFonts w:ascii="Times New Roman" w:hAnsi="Times New Roman"/>
                <w:noProof/>
                <w:sz w:val="24"/>
              </w:rPr>
              <w:t>39</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Sverige</w:t>
            </w:r>
          </w:p>
        </w:tc>
        <w:tc>
          <w:tcPr>
            <w:tcW w:w="1701" w:type="dxa"/>
          </w:tcPr>
          <w:p>
            <w:pPr>
              <w:spacing w:after="0"/>
              <w:jc w:val="right"/>
              <w:rPr>
                <w:rFonts w:ascii="Times New Roman" w:hAnsi="Times New Roman"/>
                <w:noProof/>
                <w:sz w:val="24"/>
                <w:szCs w:val="24"/>
              </w:rPr>
            </w:pPr>
            <w:r>
              <w:rPr>
                <w:rFonts w:ascii="Times New Roman" w:hAnsi="Times New Roman"/>
                <w:noProof/>
                <w:sz w:val="24"/>
              </w:rPr>
              <w:t>1</w:t>
            </w:r>
          </w:p>
        </w:tc>
        <w:tc>
          <w:tcPr>
            <w:tcW w:w="1843" w:type="dxa"/>
          </w:tcPr>
          <w:p>
            <w:pPr>
              <w:spacing w:after="0"/>
              <w:jc w:val="right"/>
              <w:rPr>
                <w:rFonts w:ascii="Times New Roman" w:hAnsi="Times New Roman"/>
                <w:noProof/>
                <w:sz w:val="24"/>
                <w:szCs w:val="24"/>
              </w:rPr>
            </w:pPr>
            <w:r>
              <w:rPr>
                <w:rFonts w:ascii="Times New Roman" w:hAnsi="Times New Roman"/>
                <w:noProof/>
                <w:sz w:val="24"/>
              </w:rPr>
              <w:t>27</w:t>
            </w:r>
          </w:p>
        </w:tc>
        <w:tc>
          <w:tcPr>
            <w:tcW w:w="1701" w:type="dxa"/>
          </w:tcPr>
          <w:p>
            <w:pPr>
              <w:spacing w:after="0"/>
              <w:jc w:val="right"/>
              <w:rPr>
                <w:rFonts w:ascii="Times New Roman" w:hAnsi="Times New Roman"/>
                <w:noProof/>
                <w:sz w:val="24"/>
                <w:szCs w:val="24"/>
              </w:rPr>
            </w:pPr>
            <w:r>
              <w:rPr>
                <w:rFonts w:ascii="Times New Roman" w:hAnsi="Times New Roman"/>
                <w:noProof/>
                <w:sz w:val="24"/>
              </w:rPr>
              <w:t>Ej tillgängligt</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1985" w:type="dxa"/>
          </w:tcPr>
          <w:p>
            <w:pPr>
              <w:spacing w:after="0"/>
              <w:jc w:val="both"/>
              <w:rPr>
                <w:rFonts w:ascii="Times New Roman" w:hAnsi="Times New Roman"/>
                <w:noProof/>
                <w:sz w:val="24"/>
                <w:szCs w:val="24"/>
              </w:rPr>
            </w:pPr>
            <w:r>
              <w:rPr>
                <w:rFonts w:ascii="Times New Roman" w:hAnsi="Times New Roman"/>
                <w:noProof/>
                <w:sz w:val="24"/>
              </w:rPr>
              <w:t>Förenade kungariket</w:t>
            </w:r>
          </w:p>
        </w:tc>
        <w:tc>
          <w:tcPr>
            <w:tcW w:w="1701" w:type="dxa"/>
          </w:tcPr>
          <w:p>
            <w:pPr>
              <w:spacing w:after="0"/>
              <w:jc w:val="right"/>
              <w:rPr>
                <w:rFonts w:ascii="Times New Roman" w:hAnsi="Times New Roman"/>
                <w:noProof/>
                <w:sz w:val="24"/>
                <w:szCs w:val="24"/>
              </w:rPr>
            </w:pPr>
            <w:r>
              <w:rPr>
                <w:rFonts w:ascii="Times New Roman" w:hAnsi="Times New Roman"/>
                <w:noProof/>
                <w:sz w:val="24"/>
              </w:rPr>
              <w:t>14</w:t>
            </w:r>
          </w:p>
        </w:tc>
        <w:tc>
          <w:tcPr>
            <w:tcW w:w="1843" w:type="dxa"/>
          </w:tcPr>
          <w:p>
            <w:pPr>
              <w:spacing w:after="0"/>
              <w:jc w:val="right"/>
              <w:rPr>
                <w:rFonts w:ascii="Times New Roman" w:hAnsi="Times New Roman"/>
                <w:noProof/>
                <w:sz w:val="24"/>
                <w:szCs w:val="24"/>
              </w:rPr>
            </w:pPr>
            <w:r>
              <w:rPr>
                <w:rFonts w:ascii="Times New Roman" w:hAnsi="Times New Roman"/>
                <w:noProof/>
                <w:sz w:val="24"/>
              </w:rPr>
              <w:t>11</w:t>
            </w:r>
          </w:p>
        </w:tc>
        <w:tc>
          <w:tcPr>
            <w:tcW w:w="1701" w:type="dxa"/>
          </w:tcPr>
          <w:p>
            <w:pPr>
              <w:spacing w:after="0"/>
              <w:jc w:val="right"/>
              <w:rPr>
                <w:rFonts w:ascii="Times New Roman" w:hAnsi="Times New Roman"/>
                <w:noProof/>
                <w:sz w:val="24"/>
                <w:szCs w:val="24"/>
              </w:rPr>
            </w:pPr>
            <w:r>
              <w:rPr>
                <w:rFonts w:ascii="Times New Roman" w:hAnsi="Times New Roman"/>
                <w:noProof/>
                <w:sz w:val="24"/>
              </w:rPr>
              <w:t>0</w:t>
            </w:r>
          </w:p>
        </w:tc>
        <w:tc>
          <w:tcPr>
            <w:tcW w:w="1559" w:type="dxa"/>
          </w:tcPr>
          <w:p>
            <w:pPr>
              <w:spacing w:after="0"/>
              <w:jc w:val="right"/>
              <w:rPr>
                <w:rFonts w:ascii="Times New Roman" w:hAnsi="Times New Roman"/>
                <w:noProof/>
                <w:sz w:val="24"/>
                <w:szCs w:val="24"/>
              </w:rPr>
            </w:pPr>
            <w:r>
              <w:rPr>
                <w:rFonts w:ascii="Times New Roman" w:hAnsi="Times New Roman"/>
                <w:noProof/>
                <w:sz w:val="24"/>
              </w:rPr>
              <w:t>0</w:t>
            </w:r>
          </w:p>
        </w:tc>
      </w:tr>
    </w:tbl>
    <w:p>
      <w:pPr>
        <w:spacing w:after="240" w:line="240" w:lineRule="auto"/>
        <w:jc w:val="both"/>
        <w:rPr>
          <w:rFonts w:ascii="Times New Roman" w:eastAsia="Times New Roman" w:hAnsi="Times New Roman"/>
          <w:b/>
          <w:i/>
          <w:noProof/>
          <w:sz w:val="24"/>
          <w:szCs w:val="24"/>
        </w:rPr>
      </w:pP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 xml:space="preserve">Annan tillsyns- och kommunikationsverksamhet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Hantering av klagomål och beivrande av överträdelser är bara ett par exempel på möjligheter enligt förordningen för att se till att passagerarnas rättigheter på det här området respekteras. Många nationella tillsynsmyndigheter har varit mycket proaktiva och har vidtagit ytterligare åtgärder.</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Både nationella tillsynsorgan och berörda parter har uppgett att mötena mellan nationella tillsynsorgan, transportörer och terminaloperatörer</w:t>
      </w:r>
      <w:r>
        <w:rPr>
          <w:rStyle w:val="FootnoteReference"/>
          <w:rFonts w:ascii="Times New Roman" w:hAnsi="Times New Roman"/>
          <w:noProof/>
          <w:sz w:val="24"/>
        </w:rPr>
        <w:footnoteReference w:id="19"/>
      </w:r>
      <w:r>
        <w:rPr>
          <w:rFonts w:ascii="Times New Roman" w:hAnsi="Times New Roman"/>
          <w:noProof/>
          <w:sz w:val="24"/>
        </w:rPr>
        <w:t xml:space="preserve"> liksom de nationella riktlinjer om passagerarnas rättigheter och operatörernas skyldigheter</w:t>
      </w:r>
      <w:r>
        <w:rPr>
          <w:rStyle w:val="FootnoteReference"/>
          <w:rFonts w:ascii="Times New Roman" w:hAnsi="Times New Roman"/>
          <w:noProof/>
          <w:sz w:val="24"/>
        </w:rPr>
        <w:footnoteReference w:id="20"/>
      </w:r>
      <w:r>
        <w:rPr>
          <w:rFonts w:ascii="Times New Roman" w:hAnsi="Times New Roman"/>
          <w:noProof/>
          <w:sz w:val="24"/>
        </w:rPr>
        <w:t xml:space="preserve"> som offentliggjordes innan förordningen började tillämpas har varit mycket värdefulla för att förbereda operatörerna för tillämpningen av förordningen.</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Vissa tillsynsorgan</w:t>
      </w:r>
      <w:r>
        <w:rPr>
          <w:rStyle w:val="FootnoteReference"/>
          <w:rFonts w:ascii="Times New Roman" w:hAnsi="Times New Roman"/>
          <w:noProof/>
          <w:sz w:val="24"/>
        </w:rPr>
        <w:footnoteReference w:id="21"/>
      </w:r>
      <w:r>
        <w:rPr>
          <w:rFonts w:ascii="Times New Roman" w:hAnsi="Times New Roman"/>
          <w:noProof/>
          <w:sz w:val="24"/>
        </w:rPr>
        <w:t xml:space="preserve"> deltar regelbundet i medieevenemang och på turistmässor för att informera allmänheten om passagerarnas rättigheter när det gäller vattenvägstransporter.</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Flera tillsynsmyndigheter utför regelbundna inspektioner för att kontrollera att fartyg och hamnterminaler tillhandahåller nödvändig information till passagerare och att de är tillgängliga för personer med funktionsnedsättning eller nedsatt rörlighet. De kontrollerar också transportörernas och terminaloperatörernas webbplatser (t.ex. för att se till att passagerarna informeras om sina rättigheter eller att allmänna avtalsvillkor är i överensstämmelse med förordningen)</w:t>
      </w:r>
      <w:r>
        <w:rPr>
          <w:rStyle w:val="FootnoteReference"/>
          <w:rFonts w:ascii="Times New Roman" w:hAnsi="Times New Roman"/>
          <w:noProof/>
          <w:sz w:val="24"/>
        </w:rPr>
        <w:footnoteReference w:id="22"/>
      </w:r>
      <w:r>
        <w:rPr>
          <w:noProof/>
        </w:rPr>
        <w:t>.</w:t>
      </w:r>
      <w:r>
        <w:rPr>
          <w:rFonts w:ascii="Times New Roman" w:hAnsi="Times New Roman"/>
          <w:noProof/>
          <w:sz w:val="24"/>
        </w:rPr>
        <w:t xml:space="preserve"> Det huvudsakliga syftet är inte att bestraffa operatörer, utan att upplysa dem om deras skyldigheter enligt förordningen och att främja frivillig efterlevnad.</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4.</w:t>
      </w:r>
      <w:r>
        <w:rPr>
          <w:noProof/>
        </w:rPr>
        <w:tab/>
      </w:r>
      <w:r>
        <w:rPr>
          <w:rFonts w:ascii="Times New Roman" w:hAnsi="Times New Roman"/>
          <w:b/>
          <w:smallCaps/>
          <w:noProof/>
          <w:sz w:val="24"/>
        </w:rPr>
        <w:t>Förordningens tillämpning och förbättringsåtgärder</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4.1</w:t>
      </w:r>
      <w:r>
        <w:rPr>
          <w:noProof/>
        </w:rPr>
        <w:tab/>
      </w:r>
      <w:r>
        <w:rPr>
          <w:rFonts w:ascii="Times New Roman" w:hAnsi="Times New Roman"/>
          <w:b/>
          <w:noProof/>
          <w:sz w:val="24"/>
        </w:rPr>
        <w:t>Utvärdering av förordningens tillämpning</w:t>
      </w:r>
      <w:r>
        <w:rPr>
          <w:noProof/>
        </w:rPr>
        <w:tab/>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Resultat av samrådet med berörda parter</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I november 2015 uppmanade kommissionen berörda parter som företräder passagerarna och branschen på EU-nivå att dela med sig av sina synpunkter på förordningens tillämpning</w:t>
      </w:r>
      <w:r>
        <w:rPr>
          <w:rStyle w:val="FootnoteReference"/>
          <w:rFonts w:ascii="Times New Roman" w:hAnsi="Times New Roman"/>
          <w:noProof/>
          <w:sz w:val="24"/>
        </w:rPr>
        <w:footnoteReference w:id="23"/>
      </w:r>
      <w:r>
        <w:rPr>
          <w:rFonts w:ascii="Times New Roman" w:hAnsi="Times New Roman"/>
          <w:noProof/>
          <w:sz w:val="24"/>
        </w:rPr>
        <w:t>.</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Företrädarna för fartygsägare, kryssningsföretag och hamnar uppgav att förordningen fungerar väl och inte bör ändras. De framhöll den höga kvaliteten på de tjänster som tillhandahålls, vilket framgår av de få klagomålen.</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 xml:space="preserve">Passagerarorganisationerna är generellt sett nöjda med förordningen, men anser att det finns utrymme för förbättringar. De anser att transportörer och hamnterminaloperatörer har visat en positiv attityd till förordningens genomförande och tillämpning, men att vissa insatser fortfarande måste göras av operatörer och nationella tillsynsmyndigheter. Tillämpningsnivån varierar betydligt mellan medlemsstater och mellan transportörer. </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 xml:space="preserve">Det bör vidtas ytterligare åtgärder för att garantera rätten till fri rörlighet för personer med funktionsnedsättning och nedsatt rörlighet: </w:t>
      </w:r>
    </w:p>
    <w:p>
      <w:pPr>
        <w:pStyle w:val="ListParagraph"/>
        <w:numPr>
          <w:ilvl w:val="0"/>
          <w:numId w:val="42"/>
        </w:numPr>
        <w:spacing w:after="120"/>
        <w:contextualSpacing w:val="0"/>
        <w:jc w:val="both"/>
        <w:rPr>
          <w:noProof/>
        </w:rPr>
      </w:pPr>
      <w:r>
        <w:rPr>
          <w:noProof/>
        </w:rPr>
        <w:t xml:space="preserve">Fartyg och terminaler bör göras mer tillgängliga. </w:t>
      </w:r>
    </w:p>
    <w:p>
      <w:pPr>
        <w:pStyle w:val="ListParagraph"/>
        <w:numPr>
          <w:ilvl w:val="0"/>
          <w:numId w:val="42"/>
        </w:numPr>
        <w:spacing w:after="120"/>
        <w:contextualSpacing w:val="0"/>
        <w:jc w:val="both"/>
        <w:rPr>
          <w:noProof/>
        </w:rPr>
      </w:pPr>
      <w:r>
        <w:rPr>
          <w:noProof/>
        </w:rPr>
        <w:t xml:space="preserve">Personal vid transportföretag och terminaler bör utbildas bättre när det gäller att tillhandahålla lämplig assistans.   </w:t>
      </w:r>
    </w:p>
    <w:p>
      <w:pPr>
        <w:pStyle w:val="ListParagraph"/>
        <w:numPr>
          <w:ilvl w:val="0"/>
          <w:numId w:val="42"/>
        </w:numPr>
        <w:spacing w:after="120"/>
        <w:contextualSpacing w:val="0"/>
        <w:jc w:val="both"/>
        <w:rPr>
          <w:noProof/>
        </w:rPr>
      </w:pPr>
      <w:r>
        <w:rPr>
          <w:noProof/>
        </w:rPr>
        <w:t xml:space="preserve">Organisationer som företräder personer med funktionsnedsättning bör mer systematiskt rådfrågas om genomförandet av de relevanta bestämmelserna.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I synnerhet bör transportörer och terminaloperatörer ta hänsyn till synpunkter från intresseorganisationerna när de fastställer kvalitetsnormer för assistans till personer med funktionsnedsättning eller nedsatt rörlighet (artikel 13).  </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Kommissionens bedömning</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Kommissionen har inte upptäckt någon avsiktlig, allvarlig eller systematisk bristande efterlevnad av förordningen. De flesta enskilda klagomål som den känner till gäller avsaknaden av ersättning eller lämplig assistans vid förseningar eller inställda turer</w:t>
      </w:r>
      <w:r>
        <w:rPr>
          <w:rStyle w:val="FootnoteReference"/>
          <w:rFonts w:ascii="Times New Roman" w:hAnsi="Times New Roman"/>
          <w:noProof/>
          <w:sz w:val="24"/>
        </w:rPr>
        <w:footnoteReference w:id="24"/>
      </w:r>
      <w:r>
        <w:rPr>
          <w:noProof/>
        </w:rPr>
        <w:t>.</w:t>
      </w:r>
      <w:r>
        <w:rPr>
          <w:rFonts w:ascii="Times New Roman" w:hAnsi="Times New Roman"/>
          <w:noProof/>
          <w:sz w:val="24"/>
        </w:rPr>
        <w:t xml:space="preserve"> Att döma av rapporterna från de nationella tillsynsorganen verkar många sådana klagomål ligga utanför förordningens tillämpningsområde</w:t>
      </w:r>
      <w:r>
        <w:rPr>
          <w:rStyle w:val="FootnoteReference"/>
          <w:rFonts w:ascii="Times New Roman" w:hAnsi="Times New Roman"/>
          <w:noProof/>
          <w:sz w:val="24"/>
        </w:rPr>
        <w:footnoteReference w:id="25"/>
      </w:r>
      <w:r>
        <w:rPr>
          <w:rFonts w:ascii="Times New Roman" w:hAnsi="Times New Roman"/>
          <w:noProof/>
          <w:sz w:val="24"/>
        </w:rPr>
        <w:t xml:space="preserve"> eller vara ogrundade</w:t>
      </w:r>
      <w:r>
        <w:rPr>
          <w:rStyle w:val="FootnoteReference"/>
          <w:rFonts w:ascii="Times New Roman" w:hAnsi="Times New Roman"/>
          <w:noProof/>
          <w:sz w:val="24"/>
        </w:rPr>
        <w:footnoteReference w:id="26"/>
      </w:r>
      <w:r>
        <w:rPr>
          <w:noProof/>
        </w:rPr>
        <w:t>.</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Trots den övergripande positiva bilden har kommissionen identifierat följande hinder för en effektivare tillämpning av förordningen:</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a) </w:t>
      </w:r>
      <w:r>
        <w:rPr>
          <w:noProof/>
        </w:rPr>
        <w:tab/>
      </w:r>
      <w:r>
        <w:rPr>
          <w:rFonts w:ascii="Times New Roman" w:hAnsi="Times New Roman"/>
          <w:i/>
          <w:noProof/>
          <w:sz w:val="24"/>
        </w:rPr>
        <w:t xml:space="preserve">Passagerare och operatörer är inte tillräckligt medvetna om sina rättigheter och skyldigheter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Eftersom förordningen är relativt ny har medborgarna inte tillräcklig kunskap om den. De nationella tillsynsorganen och företrädare för berörda parter påpekade att många operatörer inte kände till förordningen när den antogs, och detta är fortfarande ett problem i vissa medlemsstater. Det är därför uppenbart att det behövs nationella tillsynsorgan liksom nationella och europeiska intresseorganisationer, och kommissionen fortsätter att informera passagerare om deras rättigheter och operatörer om deras skyldigheter.</w:t>
      </w:r>
      <w:r>
        <w:rPr>
          <w:noProof/>
        </w:rPr>
        <w:tab/>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b) </w:t>
      </w:r>
      <w:r>
        <w:rPr>
          <w:noProof/>
        </w:rPr>
        <w:tab/>
      </w:r>
      <w:r>
        <w:rPr>
          <w:rFonts w:ascii="Times New Roman" w:hAnsi="Times New Roman"/>
          <w:i/>
          <w:noProof/>
          <w:sz w:val="24"/>
        </w:rPr>
        <w:t xml:space="preserve">Tillsynen släpar efter i vissa medlemsstater </w:t>
      </w:r>
      <w:r>
        <w:rPr>
          <w:noProof/>
        </w:rPr>
        <w:tab/>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Medlemsstaterna var sena med att vidta åtgärder för att genomföra förordningen. Den 18 december 2012, då förordningen började tillämpas, hade endast två medlemsstater vidtagit alla nödvändiga nationella åtgärder. Kommissionen inledde överträdelseförfaranden mot de medlemsstater som inte hade anmält nödvändiga åtgärder. I slutet av 2015 hade Belgien, Grekland, Spanien och Luxemburg fortfarande inte fullt fungerande nationella tillsynsorgan eller heltäckande system för sanktioner vid bristande efterlevnad av förordningen.</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 xml:space="preserve">De nationella tillsynsorganens strategier för att kontrollera att förordningen efterlevs varierar kraftigt. Vissa är mycket proaktiva när det gäller att informera passagerarna om deras rättigheter och övervaka tillämpningen, men verksamheten vid flera nationella tillsynsorgan verkar vara begränsad till hantering av klagomål.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Det finns också betydande skillnader vad gäller den faktiska tillsynen av passagerarnas rättigheter. I vissa medlemsstater är de nationella tillsynsorganens beslut om klagomål inte bindande för transportörerna och det finns ingen alternativ mekanism för tvistlösning</w:t>
      </w:r>
      <w:r>
        <w:rPr>
          <w:rStyle w:val="FootnoteReference"/>
          <w:rFonts w:ascii="Times New Roman" w:hAnsi="Times New Roman"/>
          <w:noProof/>
          <w:sz w:val="24"/>
        </w:rPr>
        <w:footnoteReference w:id="27"/>
      </w:r>
      <w:r>
        <w:rPr>
          <w:rFonts w:ascii="Times New Roman" w:hAnsi="Times New Roman"/>
          <w:noProof/>
          <w:sz w:val="24"/>
        </w:rPr>
        <w:t>, vilket innebär att passagerarna måste vända sig till domstol, vilket är kostsamt och tidskrävande och därför avskräcker dem från att hävda sina rättigheter.</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c) </w:t>
      </w:r>
      <w:r>
        <w:rPr>
          <w:noProof/>
        </w:rPr>
        <w:tab/>
      </w:r>
      <w:r>
        <w:rPr>
          <w:rFonts w:ascii="Times New Roman" w:hAnsi="Times New Roman"/>
          <w:i/>
          <w:noProof/>
          <w:sz w:val="24"/>
        </w:rPr>
        <w:t xml:space="preserve">Svårigheter att tolka vissa bestämmelser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Vissa bestämmelser i förordningen har tolkats olika av de nationella tillsynsorganen eller operatörerna</w:t>
      </w:r>
      <w:r>
        <w:rPr>
          <w:rStyle w:val="FootnoteReference"/>
          <w:rFonts w:ascii="Times New Roman" w:hAnsi="Times New Roman"/>
          <w:noProof/>
          <w:sz w:val="24"/>
        </w:rPr>
        <w:footnoteReference w:id="28"/>
      </w:r>
      <w:r>
        <w:rPr>
          <w:noProof/>
        </w:rPr>
        <w:t>.</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De berörda parterna menade att förordningen inte behöver ändras för att dessa bestämmelser ska klargöras, men att kommissionen och de nationella tillsynsorganen bör komma överens om hur bestämmelserna ska tillämpas i praktiken.</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4.2</w:t>
      </w:r>
      <w:r>
        <w:rPr>
          <w:noProof/>
        </w:rPr>
        <w:tab/>
      </w:r>
      <w:r>
        <w:rPr>
          <w:rFonts w:ascii="Times New Roman" w:hAnsi="Times New Roman"/>
          <w:b/>
          <w:noProof/>
          <w:sz w:val="24"/>
        </w:rPr>
        <w:t>Kommissionens åtgärder för att förbättra förordningens tillämpning</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Kommissionen har vidtagit följande åtgärder för att ta itu med de problem som identifierats ovan:</w:t>
      </w:r>
    </w:p>
    <w:p>
      <w:pPr>
        <w:spacing w:after="120" w:line="240" w:lineRule="auto"/>
        <w:ind w:left="567" w:hanging="567"/>
        <w:jc w:val="both"/>
        <w:rPr>
          <w:rFonts w:ascii="Times New Roman" w:eastAsia="Times New Roman" w:hAnsi="Times New Roman"/>
          <w:i/>
          <w:noProof/>
          <w:sz w:val="24"/>
          <w:szCs w:val="24"/>
        </w:rPr>
      </w:pPr>
      <w:r>
        <w:rPr>
          <w:noProof/>
        </w:rPr>
        <w:t>a)</w:t>
      </w:r>
      <w:r>
        <w:rPr>
          <w:noProof/>
        </w:rPr>
        <w:tab/>
      </w:r>
      <w:r>
        <w:rPr>
          <w:rFonts w:ascii="Times New Roman" w:hAnsi="Times New Roman"/>
          <w:i/>
          <w:noProof/>
          <w:sz w:val="24"/>
        </w:rPr>
        <w:t>Åtgärder för att öka medvetenheten om passagerares rättigheter och operatörers skyldigheter</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I juni 2013 inledde kommissionen en tvåårig informationskampanj om passagerares rättigheter inom alla transportsätt, bland annat vattenvägstransporter. Detta omfattade tryckt material (affischer och broschyrer finns i flera hamnar och på fartyg i hela EU), användning av sociala medier (Youtube, Facebook och Twitter), en mobilapp och deltagande i turistmässor.</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Kommissionen offentliggjorde en sammanfattning av förordningen som nationella tillsynsmyndigheter och operatörer ofta använder för att informera passagerarna om deras rättigheter.</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b) </w:t>
      </w:r>
      <w:r>
        <w:rPr>
          <w:noProof/>
        </w:rPr>
        <w:tab/>
      </w:r>
      <w:r>
        <w:rPr>
          <w:rFonts w:ascii="Times New Roman" w:hAnsi="Times New Roman"/>
          <w:i/>
          <w:noProof/>
          <w:sz w:val="24"/>
        </w:rPr>
        <w:t xml:space="preserve">Åtgärder för att förbättra tillsynen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Kommissionen har inlett överträdelseförfaranden mot alla medlemsstater som inte vidtagit de åtgärder som krävs för att tillämpa förordningen.</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Den har anordnat årliga möten på EU</w:t>
      </w:r>
      <w:r>
        <w:rPr>
          <w:noProof/>
        </w:rPr>
        <w:noBreakHyphen/>
      </w:r>
      <w:r>
        <w:rPr>
          <w:rFonts w:ascii="Times New Roman" w:hAnsi="Times New Roman"/>
          <w:noProof/>
          <w:sz w:val="24"/>
        </w:rPr>
        <w:t>nivå där nationella tillsynsorgan och berörda parter kunnat utbyta erfarenheter från tillämpningen av förordningen liksom god praxis.</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Ett icke-obligatoriskt standardformulär har utarbetats i samarbete med de nationella tillsynsorganen för att hjälpa medborgarna att framföra sina klagomål.</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Dessutom har kommissionen tillhandahållit riktlinjer och informerat om god praxis vid de årliga mötena med de nationella tillsynsorganen för att förbättra samarbetet mellan dessa organ.</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c) </w:t>
      </w:r>
      <w:r>
        <w:rPr>
          <w:noProof/>
        </w:rPr>
        <w:tab/>
      </w:r>
      <w:r>
        <w:rPr>
          <w:rFonts w:ascii="Times New Roman" w:hAnsi="Times New Roman"/>
          <w:i/>
          <w:noProof/>
          <w:sz w:val="24"/>
        </w:rPr>
        <w:t xml:space="preserve">Åtgärder för att säkerställa en enhetlig tillämpning av förordningen </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Vid de årliga mötena med nationella tillsynsorgan och företrädare för berörda parter och genom skriftlig korrespondens, har kommissionen klargjort den praktiska tillämpningen av flera av bestämmelserna i förordningen och på så sätt bidragit till att den tillämpas enhetligt i hela EU.</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5.</w:t>
      </w:r>
      <w:r>
        <w:rPr>
          <w:noProof/>
        </w:rPr>
        <w:tab/>
      </w:r>
      <w:r>
        <w:rPr>
          <w:rFonts w:ascii="Times New Roman" w:hAnsi="Times New Roman"/>
          <w:b/>
          <w:smallCaps/>
          <w:noProof/>
          <w:sz w:val="24"/>
        </w:rPr>
        <w:t>Slutsatser och nästa steg</w:t>
      </w:r>
    </w:p>
    <w:p>
      <w:pPr>
        <w:spacing w:after="240"/>
        <w:jc w:val="both"/>
        <w:rPr>
          <w:rFonts w:ascii="Times New Roman" w:eastAsia="Times New Roman" w:hAnsi="Times New Roman"/>
          <w:noProof/>
          <w:sz w:val="24"/>
          <w:szCs w:val="24"/>
        </w:rPr>
      </w:pPr>
      <w:r>
        <w:rPr>
          <w:rFonts w:ascii="Times New Roman" w:hAnsi="Times New Roman"/>
          <w:noProof/>
          <w:sz w:val="24"/>
        </w:rPr>
        <w:t>Kommissionen anser att det övergripande genomförandet av förordningen är tillfredsställande. Förordningen är ny och förefaller vara tillräckligt flexibel för att möjliggöra förbättringar utan att det krävs några ändringar i detta skede. Detta är även de berörda parternas uppfattning.</w:t>
      </w:r>
    </w:p>
    <w:p>
      <w:pPr>
        <w:spacing w:after="120"/>
        <w:jc w:val="both"/>
        <w:rPr>
          <w:rFonts w:ascii="Times New Roman" w:eastAsia="Times New Roman" w:hAnsi="Times New Roman"/>
          <w:noProof/>
          <w:sz w:val="24"/>
          <w:szCs w:val="24"/>
        </w:rPr>
      </w:pPr>
      <w:r>
        <w:rPr>
          <w:rFonts w:ascii="Times New Roman" w:hAnsi="Times New Roman"/>
          <w:noProof/>
          <w:sz w:val="24"/>
        </w:rPr>
        <w:t>För att övervinna återstående hinder för att passagerarna ska kunna utöva sina rättigheter eller se till att rättigheterna respekteras kommer kommissionen att göra följande:</w:t>
      </w:r>
    </w:p>
    <w:p>
      <w:pPr>
        <w:pStyle w:val="ListParagraph"/>
        <w:numPr>
          <w:ilvl w:val="0"/>
          <w:numId w:val="43"/>
        </w:numPr>
        <w:spacing w:after="120"/>
        <w:ind w:left="567" w:hanging="567"/>
        <w:contextualSpacing w:val="0"/>
        <w:jc w:val="both"/>
        <w:rPr>
          <w:noProof/>
        </w:rPr>
      </w:pPr>
      <w:r>
        <w:rPr>
          <w:noProof/>
        </w:rPr>
        <w:t>Den kommer att inleda sin tredje (tvååriga) informationskampanj om passagerares rättigheter under 2016, med inriktning på sociala medier. Den uppmanar de nationella tillsynsorganen, branschen, organisationer för passagerares rättigheter och andra berörda parter att delta i arbetet eller inleda liknande aktiviteter på sin nivå.</w:t>
      </w:r>
    </w:p>
    <w:p>
      <w:pPr>
        <w:pStyle w:val="ListParagraph"/>
        <w:numPr>
          <w:ilvl w:val="0"/>
          <w:numId w:val="43"/>
        </w:numPr>
        <w:spacing w:after="120"/>
        <w:ind w:left="567" w:hanging="567"/>
        <w:contextualSpacing w:val="0"/>
        <w:jc w:val="both"/>
        <w:rPr>
          <w:noProof/>
        </w:rPr>
      </w:pPr>
      <w:r>
        <w:rPr>
          <w:noProof/>
        </w:rPr>
        <w:t>Den kommer att fortsätta pågående överträdelseförfaranden mot de berörda medlemsstaterna tills de har inrättat fungerande nationella tillsynsorgan och system med sanktioner som gör det möjligt att bestraffa överträdelser av bestämmelserna i förordningen.</w:t>
      </w:r>
    </w:p>
    <w:p>
      <w:pPr>
        <w:pStyle w:val="ListParagraph"/>
        <w:numPr>
          <w:ilvl w:val="0"/>
          <w:numId w:val="43"/>
        </w:numPr>
        <w:spacing w:after="120"/>
        <w:ind w:left="567" w:hanging="567"/>
        <w:contextualSpacing w:val="0"/>
        <w:jc w:val="both"/>
        <w:rPr>
          <w:noProof/>
        </w:rPr>
      </w:pPr>
      <w:r>
        <w:rPr>
          <w:noProof/>
          <w:color w:val="0D0D0D" w:themeColor="text1" w:themeTint="F2"/>
        </w:rPr>
        <w:t xml:space="preserve">Den uppmanar de nationella tillsynsmyndigheterna att göra besök ombord på fartyg och i terminaler, bland annat för att kontrollera hur förordningen tillämpas i praktiken och för att informera operatörerna om deras skyldigheter enligt förordningen. </w:t>
      </w:r>
      <w:r>
        <w:rPr>
          <w:noProof/>
        </w:rPr>
        <w:t>De nationella tillsynsorganen uppmanas vidare att kontrollera transportörernas webbplatser, bland annat för att se till att de innehåller information om passagerarrättigheter och att allmänna avtalsvillkor är i överensstämmelse med förordningen.</w:t>
      </w:r>
    </w:p>
    <w:p>
      <w:pPr>
        <w:pStyle w:val="ListParagraph"/>
        <w:numPr>
          <w:ilvl w:val="0"/>
          <w:numId w:val="43"/>
        </w:numPr>
        <w:spacing w:after="120"/>
        <w:ind w:left="567" w:hanging="567"/>
        <w:contextualSpacing w:val="0"/>
        <w:jc w:val="both"/>
        <w:rPr>
          <w:noProof/>
        </w:rPr>
      </w:pPr>
      <w:r>
        <w:rPr>
          <w:noProof/>
        </w:rPr>
        <w:t>Den uppmuntrar de medlemsstater som i nuläget inte erbjuder någon alternativ tvistlösningsmekanism för passagerares rättigheter att införa en sådan mekanism i enlighet med direktiv 2013/11/EU</w:t>
      </w:r>
      <w:r>
        <w:rPr>
          <w:rStyle w:val="FootnoteReference"/>
          <w:noProof/>
        </w:rPr>
        <w:footnoteReference w:id="29"/>
      </w:r>
      <w:r>
        <w:rPr>
          <w:noProof/>
        </w:rPr>
        <w:t xml:space="preserve"> så att passagerarna snabbare och till en lägre kostnad kan få rättelse om deras rättigheter inte respekteras.</w:t>
      </w:r>
    </w:p>
    <w:p>
      <w:pPr>
        <w:pStyle w:val="ListParagraph"/>
        <w:numPr>
          <w:ilvl w:val="0"/>
          <w:numId w:val="43"/>
        </w:numPr>
        <w:spacing w:after="120"/>
        <w:ind w:left="567" w:hanging="567"/>
        <w:contextualSpacing w:val="0"/>
        <w:jc w:val="both"/>
        <w:rPr>
          <w:noProof/>
        </w:rPr>
      </w:pPr>
      <w:r>
        <w:rPr>
          <w:noProof/>
        </w:rPr>
        <w:t xml:space="preserve">Den kommer att fortsätta att anordna regelbundna möten med nationella tillsynsorgan och företrädare för berörda parter, för att nå en gemensam överenskommelse om tolkningen och genomförandet av förordningen och förbättra samarbetet och utbytet av erfarenheter (svårigheter och god praxis). </w:t>
      </w:r>
    </w:p>
    <w:p>
      <w:pPr>
        <w:pStyle w:val="ListParagraph"/>
        <w:numPr>
          <w:ilvl w:val="0"/>
          <w:numId w:val="43"/>
        </w:numPr>
        <w:spacing w:after="120"/>
        <w:ind w:left="567" w:hanging="567"/>
        <w:contextualSpacing w:val="0"/>
        <w:jc w:val="both"/>
        <w:rPr>
          <w:noProof/>
        </w:rPr>
      </w:pPr>
      <w:r>
        <w:rPr>
          <w:noProof/>
        </w:rPr>
        <w:t>Den kommer vid behov att offentliggöra allmänna tolkningsriktlinjer för att öka klarheten (liksom tidigare för andra transportsätt) och/eller dokument om god praxis i specifika frågor (t.ex. hur man bättre tillgodoser behoven hos personer med funktionsnedsättning eller nedsatt rörlighet).</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pPr>
      <w:r>
        <w:rPr>
          <w:rStyle w:val="FootnoteReference"/>
        </w:rPr>
        <w:footnoteRef/>
      </w:r>
      <w:r>
        <w:t xml:space="preserve"> </w:t>
      </w:r>
      <w:r>
        <w:tab/>
        <w:t>Europaparlamentets och rådets förordning (EU) nr 1177/2010 av den 24 november 2010 om passagerares rättigheter vid resor till sjöss och på inre vattenvägar och om ändring av förordning (EG) nr 2006/2004 (EUT L 334, 17.12.2010, s. 1).</w:t>
      </w:r>
    </w:p>
  </w:footnote>
  <w:footnote w:id="3">
    <w:p>
      <w:pPr>
        <w:pStyle w:val="FootnoteText"/>
        <w:ind w:left="284" w:hanging="284"/>
      </w:pPr>
      <w:r>
        <w:rPr>
          <w:rStyle w:val="FootnoteReference"/>
        </w:rPr>
        <w:footnoteRef/>
      </w:r>
      <w:r>
        <w:t xml:space="preserve"> </w:t>
      </w:r>
      <w:r>
        <w:tab/>
        <w:t>Enligt artikel 26 i förordningen ska de nationella myndigheter som utsetts av medlemsstaterna senast den 1 juni 2015, och därefter vartannat år, offentliggöra en rapport om den tillsynsverksamhet som bedrivits under de två föregående kalenderåren. Rapporterna finns på myndigheternas webbplatser.</w:t>
      </w:r>
    </w:p>
  </w:footnote>
  <w:footnote w:id="4">
    <w:p>
      <w:pPr>
        <w:pStyle w:val="FootnoteText"/>
        <w:ind w:left="284" w:hanging="284"/>
        <w:rPr>
          <w:i/>
        </w:rPr>
      </w:pPr>
      <w:r>
        <w:rPr>
          <w:rStyle w:val="FootnoteReference"/>
        </w:rPr>
        <w:footnoteRef/>
      </w:r>
      <w:r>
        <w:t xml:space="preserve"> </w:t>
      </w:r>
      <w:r>
        <w:tab/>
        <w:t>Kommissionen uppmanade organisationer som företräder passagerarna (inklusive personer med funktionsnedsättning), fartygsägare och hamn- och kryssningsoperatörer på EU-nivå att lämna synpunkter på tillämpningen av förordningen skriftligen och att delta i ett möte med berörda parter i Bryssel den 14 december 2015. Följande organisationer följde uppmaningen: Cruise Lines International Association – Europe (CLIA Europe), European Community Shipowners’ Associations (ECSA), Europeiska handikappforumet (EDF), Europeiska passagerarfederationen (EPF) och European Sea Ports Organisation (ESPO).</w:t>
      </w:r>
    </w:p>
  </w:footnote>
  <w:footnote w:id="5">
    <w:p>
      <w:pPr>
        <w:pStyle w:val="FootnoteText"/>
        <w:ind w:left="284" w:hanging="284"/>
      </w:pPr>
      <w:r>
        <w:rPr>
          <w:rStyle w:val="FootnoteReference"/>
        </w:rPr>
        <w:footnoteRef/>
      </w:r>
      <w:r>
        <w:t xml:space="preserve"> </w:t>
      </w:r>
      <w:r>
        <w:tab/>
        <w:t>Se sidan 15 i konsekvensbedömningen av förslaget till förordning om passagerares rättigheter vid vattenvägstransporter (SEK(2008) 2950).</w:t>
      </w:r>
    </w:p>
  </w:footnote>
  <w:footnote w:id="6">
    <w:p>
      <w:pPr>
        <w:pStyle w:val="FootnoteText"/>
        <w:ind w:left="284" w:hanging="284"/>
      </w:pPr>
      <w:r>
        <w:rPr>
          <w:rStyle w:val="FootnoteReference"/>
        </w:rPr>
        <w:footnoteRef/>
      </w:r>
      <w:r>
        <w:t xml:space="preserve"> </w:t>
      </w:r>
      <w:r>
        <w:tab/>
      </w:r>
      <w:r>
        <w:rPr>
          <w:i/>
        </w:rPr>
        <w:t>EU transport in figures</w:t>
      </w:r>
      <w:r>
        <w:t>, Statistical Pocketbook, Europeiska kommissionen, 2015.</w:t>
      </w:r>
    </w:p>
  </w:footnote>
  <w:footnote w:id="7">
    <w:p>
      <w:pPr>
        <w:pStyle w:val="FootnoteText"/>
        <w:ind w:left="284" w:hanging="284"/>
      </w:pPr>
      <w:r>
        <w:rPr>
          <w:rStyle w:val="FootnoteReference"/>
        </w:rPr>
        <w:footnoteRef/>
      </w:r>
      <w:r>
        <w:t xml:space="preserve"> </w:t>
      </w:r>
      <w:r>
        <w:tab/>
        <w:t>Ibid.</w:t>
      </w:r>
    </w:p>
  </w:footnote>
  <w:footnote w:id="8">
    <w:p>
      <w:pPr>
        <w:pStyle w:val="FootnoteText"/>
        <w:ind w:left="284" w:hanging="284"/>
      </w:pPr>
      <w:r>
        <w:rPr>
          <w:rStyle w:val="FootnoteReference"/>
        </w:rPr>
        <w:footnoteRef/>
      </w:r>
      <w:r>
        <w:t xml:space="preserve"> </w:t>
      </w:r>
      <w:r>
        <w:tab/>
        <w:t>Ett kännetecken för vattenvägstransport av passagerare, jämfört med andra former av kollektivtransport, är att de allra flesta passagerare reser med ro-ro-fartyg med sin grupp, sin bil eller sin bussresa.</w:t>
      </w:r>
    </w:p>
  </w:footnote>
  <w:footnote w:id="9">
    <w:p>
      <w:pPr>
        <w:pStyle w:val="FootnoteText"/>
        <w:ind w:left="284" w:hanging="284"/>
      </w:pPr>
      <w:r>
        <w:rPr>
          <w:rStyle w:val="FootnoteReference"/>
        </w:rPr>
        <w:footnoteRef/>
      </w:r>
      <w:r>
        <w:t xml:space="preserve"> </w:t>
      </w:r>
      <w:r>
        <w:tab/>
        <w:t>Förordningen omfattar inte</w:t>
      </w:r>
    </w:p>
    <w:p>
      <w:pPr>
        <w:pStyle w:val="FootnoteText"/>
        <w:numPr>
          <w:ilvl w:val="0"/>
          <w:numId w:val="40"/>
        </w:numPr>
      </w:pPr>
      <w:r>
        <w:t>fartyg som är certifierade för högst 12 passagerare,</w:t>
      </w:r>
    </w:p>
    <w:p>
      <w:pPr>
        <w:pStyle w:val="FootnoteText"/>
        <w:numPr>
          <w:ilvl w:val="0"/>
          <w:numId w:val="40"/>
        </w:numPr>
      </w:pPr>
      <w:r>
        <w:t>fartyg som har en besättning med ansvar för fartygets drift som inte uppgår till fler än tre personer,</w:t>
      </w:r>
    </w:p>
    <w:p>
      <w:pPr>
        <w:pStyle w:val="FootnoteText"/>
        <w:numPr>
          <w:ilvl w:val="0"/>
          <w:numId w:val="40"/>
        </w:numPr>
      </w:pPr>
      <w:r>
        <w:t>passagerartransport över ett avstånd på mindre än 500 meter enkel resa,</w:t>
      </w:r>
    </w:p>
    <w:p>
      <w:pPr>
        <w:pStyle w:val="FootnoteText"/>
        <w:numPr>
          <w:ilvl w:val="0"/>
          <w:numId w:val="40"/>
        </w:numPr>
      </w:pPr>
      <w:r>
        <w:t>andra utflykts- och sightseeingturer än kryssningar,</w:t>
      </w:r>
    </w:p>
    <w:p>
      <w:pPr>
        <w:pStyle w:val="FootnoteText"/>
        <w:numPr>
          <w:ilvl w:val="0"/>
          <w:numId w:val="40"/>
        </w:numPr>
      </w:pPr>
      <w:r>
        <w:t>fartyg som inte drivs mekaniskt, och</w:t>
      </w:r>
    </w:p>
    <w:p>
      <w:pPr>
        <w:pStyle w:val="FootnoteText"/>
        <w:numPr>
          <w:ilvl w:val="0"/>
          <w:numId w:val="40"/>
        </w:numPr>
      </w:pPr>
      <w:r>
        <w:t>ursprungliga historiska passagerarfartyg konstruerade före 1965 eller kopior av sådana, till övervägande del byggda i de ursprungliga materialen och certifierade för högst 36 passagerare.</w:t>
      </w:r>
    </w:p>
  </w:footnote>
  <w:footnote w:id="10">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Europaparlamentets och rådets förordning (EG) nr 392/2009 av den 23 april 2009 om transportörens skadeståndsansvar i samband med olyckor vid passagerarbefordran till sjöss (EUT L 131, 28.5.2009, s. 24).</w:t>
      </w:r>
    </w:p>
  </w:footnote>
  <w:footnote w:id="11">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Förordning (EG) nr 392/2009 har inte samma tillämpningsområde som förordning (EU) nr 1177/2010. Den gäller transporter till sjöss som inte omfattas av den senare, men den gäller inte transporter på inre vattenvägar.</w:t>
      </w:r>
    </w:p>
  </w:footnote>
  <w:footnote w:id="12">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Europaparlamentets och rådets direktiv (EU) 2015/2302 av den 25 november 2015 om paketresor och sammanlänkade researrangemang (EUT L 326, 11.12.2015, s. 1), som ändrar förordning (EG) nr 2006/2004 och direktiv 2011/83/EU och upphäver rådets direktiv 90/314/EEG.</w:t>
      </w:r>
    </w:p>
  </w:footnote>
  <w:footnote w:id="13">
    <w:p>
      <w:pPr>
        <w:pStyle w:val="FootnoteText"/>
        <w:rPr>
          <w:color w:val="0D0D0D" w:themeColor="text1" w:themeTint="F2"/>
          <w:lang w:val="de-DE"/>
        </w:rPr>
      </w:pPr>
      <w:r>
        <w:rPr>
          <w:rStyle w:val="FootnoteReference"/>
          <w:color w:val="0D0D0D" w:themeColor="text1" w:themeTint="F2"/>
        </w:rPr>
        <w:footnoteRef/>
      </w:r>
      <w:r>
        <w:rPr>
          <w:color w:val="0D0D0D" w:themeColor="text1" w:themeTint="F2"/>
          <w:lang w:val="de-DE"/>
        </w:rPr>
        <w:t xml:space="preserve">   EUT L 163, 25.6.2009, s. 1.</w:t>
      </w:r>
    </w:p>
  </w:footnote>
  <w:footnote w:id="14">
    <w:p>
      <w:pPr>
        <w:pStyle w:val="FootnoteText"/>
        <w:rPr>
          <w:color w:val="0D0D0D" w:themeColor="text1" w:themeTint="F2"/>
          <w:lang w:val="hu-HU"/>
        </w:rPr>
      </w:pPr>
      <w:r>
        <w:rPr>
          <w:rStyle w:val="FootnoteReference"/>
          <w:color w:val="0D0D0D" w:themeColor="text1" w:themeTint="F2"/>
        </w:rPr>
        <w:footnoteRef/>
      </w:r>
      <w:r>
        <w:rPr>
          <w:color w:val="0D0D0D" w:themeColor="text1" w:themeTint="F2"/>
          <w:lang w:val="de-DE"/>
        </w:rPr>
        <w:t xml:space="preserve">   EGT L 138, 1.6.1999, s. 1.</w:t>
      </w:r>
    </w:p>
  </w:footnote>
  <w:footnote w:id="15">
    <w:p>
      <w:pPr>
        <w:pStyle w:val="FootnoteText"/>
        <w:rPr>
          <w:color w:val="0D0D0D" w:themeColor="text1" w:themeTint="F2"/>
          <w:lang w:val="de-DE"/>
        </w:rPr>
      </w:pPr>
      <w:r>
        <w:rPr>
          <w:rStyle w:val="FootnoteReference"/>
          <w:color w:val="0D0D0D" w:themeColor="text1" w:themeTint="F2"/>
        </w:rPr>
        <w:footnoteRef/>
      </w:r>
      <w:r>
        <w:rPr>
          <w:color w:val="0D0D0D" w:themeColor="text1" w:themeTint="F2"/>
          <w:lang w:val="de-DE"/>
        </w:rPr>
        <w:t xml:space="preserve">   EGT L 188, 2.7.1998, s. 35.</w:t>
      </w:r>
    </w:p>
  </w:footnote>
  <w:footnote w:id="16">
    <w:p>
      <w:pPr>
        <w:pStyle w:val="FootnoteText"/>
        <w:rPr>
          <w:lang w:val="de-DE"/>
        </w:rPr>
      </w:pPr>
      <w:r>
        <w:rPr>
          <w:rStyle w:val="FootnoteReference"/>
        </w:rPr>
        <w:footnoteRef/>
      </w:r>
      <w:r>
        <w:rPr>
          <w:lang w:val="de-DE"/>
        </w:rPr>
        <w:t xml:space="preserve">   EUT L 364, 9.12.2004, s. 1.</w:t>
      </w:r>
    </w:p>
  </w:footnote>
  <w:footnote w:id="17">
    <w:p>
      <w:pPr>
        <w:pStyle w:val="FootnoteText"/>
        <w:ind w:left="284" w:hanging="284"/>
      </w:pPr>
      <w:r>
        <w:rPr>
          <w:rStyle w:val="FootnoteReference"/>
          <w:color w:val="0D0D0D" w:themeColor="text1" w:themeTint="F2"/>
        </w:rPr>
        <w:footnoteRef/>
      </w:r>
      <w:r>
        <w:rPr>
          <w:color w:val="0D0D0D" w:themeColor="text1" w:themeTint="F2"/>
        </w:rPr>
        <w:t xml:space="preserve"> </w:t>
      </w:r>
      <w:r>
        <w:tab/>
      </w:r>
      <w:r>
        <w:rPr>
          <w:color w:val="0D0D0D" w:themeColor="text1" w:themeTint="F2"/>
        </w:rPr>
        <w:t>En förteckning över de nationella tillsynsorganen för förordningen finns här:</w:t>
      </w:r>
      <w:r>
        <w:tab/>
      </w:r>
      <w:r>
        <w:rPr>
          <w:color w:val="0D0D0D" w:themeColor="text1" w:themeTint="F2"/>
        </w:rPr>
        <w:br/>
      </w:r>
      <w:hyperlink r:id="rId1">
        <w:r>
          <w:rPr>
            <w:rStyle w:val="Hyperlink"/>
            <w:color w:val="0D0D0D" w:themeColor="text1" w:themeTint="F2"/>
            <w:u w:val="none"/>
          </w:rPr>
          <w:t>http://ec.europa.eu/transport/themes/passengers/maritime/doc/2010_1177_national_enforcement_bodies.pdf</w:t>
        </w:r>
      </w:hyperlink>
    </w:p>
  </w:footnote>
  <w:footnote w:id="18">
    <w:p>
      <w:pPr>
        <w:pStyle w:val="FootnoteText"/>
        <w:ind w:left="284" w:hanging="284"/>
      </w:pPr>
      <w:r>
        <w:rPr>
          <w:rStyle w:val="FootnoteReference"/>
        </w:rPr>
        <w:footnoteRef/>
      </w:r>
      <w:r>
        <w:t xml:space="preserve"> </w:t>
      </w:r>
      <w:r>
        <w:tab/>
        <w:t>Siffror från de nationella tillsynsorganens verksamhetsrapporter. Om inga siffror finns tillgängliga, fanns det ingen fungerande tillsynsmyndighet i den aktuella medlemsstaten under det aktuella året eller så fanns det inget sanktionssystem för att bestraffa aktörer som brutit mot förordningen eller så har tillsynsmyndigheten inte offentliggjort sin verksamhetsrapport.</w:t>
      </w:r>
    </w:p>
  </w:footnote>
  <w:footnote w:id="19">
    <w:p>
      <w:pPr>
        <w:pStyle w:val="FootnoteText"/>
        <w:ind w:left="284" w:hanging="284"/>
      </w:pPr>
      <w:r>
        <w:rPr>
          <w:rStyle w:val="FootnoteReference"/>
        </w:rPr>
        <w:footnoteRef/>
      </w:r>
      <w:r>
        <w:t xml:space="preserve"> </w:t>
      </w:r>
      <w:r>
        <w:tab/>
        <w:t>Sådana möten ägde rum i t.ex. Danmark, Tyskland, Finland och Storbritannien.</w:t>
      </w:r>
    </w:p>
  </w:footnote>
  <w:footnote w:id="20">
    <w:p>
      <w:pPr>
        <w:pStyle w:val="FootnoteText"/>
        <w:ind w:left="284" w:hanging="284"/>
      </w:pPr>
      <w:r>
        <w:rPr>
          <w:rStyle w:val="FootnoteReference"/>
        </w:rPr>
        <w:footnoteRef/>
      </w:r>
      <w:r>
        <w:t xml:space="preserve"> </w:t>
      </w:r>
      <w:r>
        <w:tab/>
        <w:t>De tyska, irländska och brittiska myndigheterna uppgav i sina rapporter att de offentliggjort sådana riktlinjer.</w:t>
      </w:r>
    </w:p>
  </w:footnote>
  <w:footnote w:id="21">
    <w:p>
      <w:pPr>
        <w:pStyle w:val="FootnoteText"/>
        <w:ind w:left="284" w:hanging="284"/>
      </w:pPr>
      <w:r>
        <w:rPr>
          <w:rStyle w:val="FootnoteReference"/>
        </w:rPr>
        <w:footnoteRef/>
      </w:r>
      <w:r>
        <w:t xml:space="preserve"> </w:t>
      </w:r>
      <w:r>
        <w:tab/>
        <w:t>De estniska, svenska och finländska tillsynsorganen rapporterade om sådan verksamhet.</w:t>
      </w:r>
    </w:p>
  </w:footnote>
  <w:footnote w:id="22">
    <w:p>
      <w:pPr>
        <w:pStyle w:val="FootnoteText"/>
        <w:ind w:left="284" w:hanging="284"/>
      </w:pPr>
      <w:r>
        <w:rPr>
          <w:rStyle w:val="FootnoteReference"/>
        </w:rPr>
        <w:footnoteRef/>
      </w:r>
      <w:r>
        <w:t xml:space="preserve"> </w:t>
      </w:r>
      <w:r>
        <w:tab/>
        <w:t>De tjeckiska, danska, tyska, estniska, grekiska, litauiska, finska, svenska och brittiska nationella tillsynsorganen uppgav att de regelbundet inspekterar fartyg och terminaler och övervakar operatörernas webbplatser.</w:t>
      </w:r>
    </w:p>
  </w:footnote>
  <w:footnote w:id="23">
    <w:p>
      <w:pPr>
        <w:pStyle w:val="FootnoteText"/>
      </w:pPr>
      <w:r>
        <w:rPr>
          <w:rStyle w:val="FootnoteReference"/>
        </w:rPr>
        <w:footnoteRef/>
      </w:r>
      <w:r>
        <w:t xml:space="preserve">   Se fotnot 3. </w:t>
      </w:r>
    </w:p>
  </w:footnote>
  <w:footnote w:id="24">
    <w:p>
      <w:pPr>
        <w:pStyle w:val="FootnoteText"/>
        <w:ind w:left="284" w:hanging="284"/>
      </w:pPr>
      <w:r>
        <w:rPr>
          <w:rStyle w:val="FootnoteReference"/>
        </w:rPr>
        <w:footnoteRef/>
      </w:r>
      <w:r>
        <w:t xml:space="preserve"> </w:t>
      </w:r>
      <w:r>
        <w:tab/>
        <w:t>Informationstjänsten Europa direkt är en tjänst som finansieras av kommissionen och som ger medborgarna och företagen gratis information om EU:s lagstiftning. Den mottog 150 förfrågningar mellan det datum då förordningen började tillämpas och den 15 november 2015 (detta motsvarar endast 0,8 % av alla förfrågningar om passagerarrättigheter), och mer än 80 % avsåg passagerarnas rättigheter vid förseningar eller inställda turer. De rapporter från nationella tillsynsorgan som anger skäl för passagerarnas klagomål visar på en liknande eller t.o.m. större andel klagomål rörande brist på assistans eller ersättning vid förseningar eller inställda turer.</w:t>
      </w:r>
    </w:p>
  </w:footnote>
  <w:footnote w:id="25">
    <w:p>
      <w:pPr>
        <w:pStyle w:val="FootnoteText"/>
        <w:ind w:left="284" w:hanging="284"/>
      </w:pPr>
      <w:r>
        <w:rPr>
          <w:rStyle w:val="FootnoteReference"/>
        </w:rPr>
        <w:footnoteRef/>
      </w:r>
      <w:r>
        <w:t xml:space="preserve"> </w:t>
      </w:r>
      <w:r>
        <w:tab/>
        <w:t xml:space="preserve">T.ex. klagomål på transporter utanför förordningens tillämpningsområde, bland annat rörande hygien eller kvalitet. </w:t>
      </w:r>
    </w:p>
  </w:footnote>
  <w:footnote w:id="26">
    <w:p>
      <w:pPr>
        <w:pStyle w:val="FootnoteText"/>
        <w:ind w:left="284" w:hanging="284"/>
      </w:pPr>
      <w:r>
        <w:rPr>
          <w:rStyle w:val="FootnoteReference"/>
        </w:rPr>
        <w:footnoteRef/>
      </w:r>
      <w:r>
        <w:t xml:space="preserve"> </w:t>
      </w:r>
      <w:r>
        <w:tab/>
        <w:t>T.ex. klagomål rörande ersättning vid inställda turer eller förseningar som orsakas av väderförhållanden som äventyrar en säker drift av fartyget.</w:t>
      </w:r>
    </w:p>
  </w:footnote>
  <w:footnote w:id="27">
    <w:p>
      <w:pPr>
        <w:pStyle w:val="FootnoteText"/>
        <w:ind w:left="284" w:hanging="284"/>
      </w:pPr>
      <w:r>
        <w:rPr>
          <w:rStyle w:val="FootnoteReference"/>
        </w:rPr>
        <w:footnoteRef/>
      </w:r>
      <w:r>
        <w:t xml:space="preserve">  Även om direktiv 2013/11/EU av den 21 maj 2013 om alternativ tvistlösning vid konsumenttvister (EUT L 165, 18.6.2013, s. 63) syftar till att garantera tillgång till alternativa tvistlösningsförfaranden för avtalstvister mellan konsumenter som är bosatta i EU och näringsidkare som är etablerade i EU, bland annat inom transportsektorn.</w:t>
      </w:r>
    </w:p>
  </w:footnote>
  <w:footnote w:id="28">
    <w:p>
      <w:pPr>
        <w:pStyle w:val="FootnoteText"/>
        <w:ind w:left="284" w:hanging="284"/>
      </w:pPr>
      <w:r>
        <w:rPr>
          <w:rStyle w:val="FootnoteReference"/>
        </w:rPr>
        <w:footnoteRef/>
      </w:r>
      <w:r>
        <w:t xml:space="preserve"> </w:t>
      </w:r>
      <w:r>
        <w:tab/>
        <w:t>Exempelvis uttrycktes olika åsikter om vilka transporter som omfattas av förordningen om ombordstigningshamnen är belägen i ett land utanför EU och landstigningshamnen är belägen i en medlemsstat (se artikel 2.1 b jämförd med artikel 3 e) eller om transportörens skyldighet att boka om passageraren till en resa ”med jämförbara villkor” vid inställda eller försenade avgångar (artikel 18.1 a) bör tolkas så att den omfattar möjligheten till ombokning till andra transportsätt.</w:t>
      </w:r>
    </w:p>
  </w:footnote>
  <w:footnote w:id="29">
    <w:p>
      <w:pPr>
        <w:pStyle w:val="FootnoteText"/>
        <w:ind w:left="284" w:hanging="284"/>
        <w:rPr>
          <w:lang w:val="hu-HU"/>
        </w:rPr>
      </w:pPr>
      <w:r>
        <w:rPr>
          <w:rStyle w:val="FootnoteReference"/>
        </w:rPr>
        <w:footnoteRef/>
      </w:r>
      <w:r>
        <w:tab/>
        <w:t>Se fotnot 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ECB"/>
    <w:multiLevelType w:val="hybridMultilevel"/>
    <w:tmpl w:val="5E565C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313294B"/>
    <w:multiLevelType w:val="hybridMultilevel"/>
    <w:tmpl w:val="CD583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5B581E"/>
    <w:multiLevelType w:val="hybridMultilevel"/>
    <w:tmpl w:val="89E4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510383"/>
    <w:multiLevelType w:val="hybridMultilevel"/>
    <w:tmpl w:val="C82854C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1AF26D49"/>
    <w:multiLevelType w:val="hybridMultilevel"/>
    <w:tmpl w:val="A68275F6"/>
    <w:lvl w:ilvl="0" w:tplc="3DF2C38E">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5">
    <w:nsid w:val="1DEB7B4E"/>
    <w:multiLevelType w:val="hybridMultilevel"/>
    <w:tmpl w:val="88386784"/>
    <w:lvl w:ilvl="0" w:tplc="4BC05A7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857BEF"/>
    <w:multiLevelType w:val="hybridMultilevel"/>
    <w:tmpl w:val="8020C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8B60FE"/>
    <w:multiLevelType w:val="hybridMultilevel"/>
    <w:tmpl w:val="57D0632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nsid w:val="26386E47"/>
    <w:multiLevelType w:val="hybridMultilevel"/>
    <w:tmpl w:val="8DBCE6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27EA6345"/>
    <w:multiLevelType w:val="hybridMultilevel"/>
    <w:tmpl w:val="A3768B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nsid w:val="30975262"/>
    <w:multiLevelType w:val="hybridMultilevel"/>
    <w:tmpl w:val="7C02F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1194AB9"/>
    <w:multiLevelType w:val="hybridMultilevel"/>
    <w:tmpl w:val="E45A077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2A9420B"/>
    <w:multiLevelType w:val="hybridMultilevel"/>
    <w:tmpl w:val="0C56AB8C"/>
    <w:lvl w:ilvl="0" w:tplc="08090001">
      <w:start w:val="1"/>
      <w:numFmt w:val="bullet"/>
      <w:lvlText w:val=""/>
      <w:lvlJc w:val="left"/>
      <w:pPr>
        <w:tabs>
          <w:tab w:val="num" w:pos="1296"/>
        </w:tabs>
        <w:ind w:left="1296" w:hanging="567"/>
      </w:pPr>
      <w:rPr>
        <w:rFonts w:ascii="Symbol" w:hAnsi="Symbol" w:hint="default"/>
      </w:rPr>
    </w:lvl>
    <w:lvl w:ilvl="1" w:tplc="08090003">
      <w:numFmt w:val="bullet"/>
      <w:lvlText w:val="-"/>
      <w:lvlJc w:val="left"/>
      <w:pPr>
        <w:tabs>
          <w:tab w:val="num" w:pos="2169"/>
        </w:tabs>
        <w:ind w:left="2169" w:hanging="360"/>
      </w:pPr>
      <w:rPr>
        <w:rFonts w:ascii="Times New Roman" w:eastAsia="Times New Roman" w:hAnsi="Times New Roman" w:cs="Times New Roman" w:hint="default"/>
      </w:rPr>
    </w:lvl>
    <w:lvl w:ilvl="2" w:tplc="08090005">
      <w:start w:val="1"/>
      <w:numFmt w:val="bullet"/>
      <w:lvlText w:val=""/>
      <w:lvlJc w:val="left"/>
      <w:pPr>
        <w:tabs>
          <w:tab w:val="num" w:pos="2889"/>
        </w:tabs>
        <w:ind w:left="2889" w:hanging="360"/>
      </w:pPr>
      <w:rPr>
        <w:rFonts w:ascii="Wingdings" w:hAnsi="Wingdings" w:hint="default"/>
      </w:rPr>
    </w:lvl>
    <w:lvl w:ilvl="3" w:tplc="08090001">
      <w:start w:val="1"/>
      <w:numFmt w:val="bullet"/>
      <w:lvlText w:val=""/>
      <w:lvlJc w:val="left"/>
      <w:pPr>
        <w:tabs>
          <w:tab w:val="num" w:pos="3609"/>
        </w:tabs>
        <w:ind w:left="3609" w:hanging="360"/>
      </w:pPr>
      <w:rPr>
        <w:rFonts w:ascii="Symbol" w:hAnsi="Symbol" w:hint="default"/>
      </w:rPr>
    </w:lvl>
    <w:lvl w:ilvl="4" w:tplc="08090003">
      <w:start w:val="1"/>
      <w:numFmt w:val="bullet"/>
      <w:lvlText w:val="o"/>
      <w:lvlJc w:val="left"/>
      <w:pPr>
        <w:tabs>
          <w:tab w:val="num" w:pos="4329"/>
        </w:tabs>
        <w:ind w:left="4329" w:hanging="360"/>
      </w:pPr>
      <w:rPr>
        <w:rFonts w:ascii="Courier New" w:hAnsi="Courier New" w:cs="Courier New" w:hint="default"/>
      </w:rPr>
    </w:lvl>
    <w:lvl w:ilvl="5" w:tplc="08090005" w:tentative="1">
      <w:start w:val="1"/>
      <w:numFmt w:val="bullet"/>
      <w:lvlText w:val=""/>
      <w:lvlJc w:val="left"/>
      <w:pPr>
        <w:tabs>
          <w:tab w:val="num" w:pos="5049"/>
        </w:tabs>
        <w:ind w:left="5049" w:hanging="360"/>
      </w:pPr>
      <w:rPr>
        <w:rFonts w:ascii="Wingdings" w:hAnsi="Wingdings" w:hint="default"/>
      </w:rPr>
    </w:lvl>
    <w:lvl w:ilvl="6" w:tplc="08090001" w:tentative="1">
      <w:start w:val="1"/>
      <w:numFmt w:val="bullet"/>
      <w:lvlText w:val=""/>
      <w:lvlJc w:val="left"/>
      <w:pPr>
        <w:tabs>
          <w:tab w:val="num" w:pos="5769"/>
        </w:tabs>
        <w:ind w:left="5769" w:hanging="360"/>
      </w:pPr>
      <w:rPr>
        <w:rFonts w:ascii="Symbol" w:hAnsi="Symbol" w:hint="default"/>
      </w:rPr>
    </w:lvl>
    <w:lvl w:ilvl="7" w:tplc="08090003" w:tentative="1">
      <w:start w:val="1"/>
      <w:numFmt w:val="bullet"/>
      <w:lvlText w:val="o"/>
      <w:lvlJc w:val="left"/>
      <w:pPr>
        <w:tabs>
          <w:tab w:val="num" w:pos="6489"/>
        </w:tabs>
        <w:ind w:left="6489" w:hanging="360"/>
      </w:pPr>
      <w:rPr>
        <w:rFonts w:ascii="Courier New" w:hAnsi="Courier New" w:cs="Courier New" w:hint="default"/>
      </w:rPr>
    </w:lvl>
    <w:lvl w:ilvl="8" w:tplc="08090005" w:tentative="1">
      <w:start w:val="1"/>
      <w:numFmt w:val="bullet"/>
      <w:lvlText w:val=""/>
      <w:lvlJc w:val="left"/>
      <w:pPr>
        <w:tabs>
          <w:tab w:val="num" w:pos="7209"/>
        </w:tabs>
        <w:ind w:left="7209" w:hanging="360"/>
      </w:pPr>
      <w:rPr>
        <w:rFonts w:ascii="Wingdings" w:hAnsi="Wingdings" w:hint="default"/>
      </w:rPr>
    </w:lvl>
  </w:abstractNum>
  <w:abstractNum w:abstractNumId="13">
    <w:nsid w:val="338F246A"/>
    <w:multiLevelType w:val="hybridMultilevel"/>
    <w:tmpl w:val="4AF4F8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3972198B"/>
    <w:multiLevelType w:val="hybridMultilevel"/>
    <w:tmpl w:val="1A7E9D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AB609B"/>
    <w:multiLevelType w:val="hybridMultilevel"/>
    <w:tmpl w:val="ADDA2F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05B20AB"/>
    <w:multiLevelType w:val="hybridMultilevel"/>
    <w:tmpl w:val="5EAE94E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9B6284"/>
    <w:multiLevelType w:val="hybridMultilevel"/>
    <w:tmpl w:val="FB2C6B1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3EB5F01"/>
    <w:multiLevelType w:val="hybridMultilevel"/>
    <w:tmpl w:val="2F3C840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nsid w:val="447B5BDD"/>
    <w:multiLevelType w:val="hybridMultilevel"/>
    <w:tmpl w:val="A9C69014"/>
    <w:lvl w:ilvl="0" w:tplc="08090001">
      <w:start w:val="1"/>
      <w:numFmt w:val="bullet"/>
      <w:lvlText w:val=""/>
      <w:lvlJc w:val="left"/>
      <w:pPr>
        <w:ind w:left="6120" w:hanging="360"/>
      </w:pPr>
      <w:rPr>
        <w:rFonts w:ascii="Symbol" w:hAnsi="Symbol" w:hint="default"/>
      </w:rPr>
    </w:lvl>
    <w:lvl w:ilvl="1" w:tplc="08090003">
      <w:start w:val="1"/>
      <w:numFmt w:val="bullet"/>
      <w:lvlText w:val="o"/>
      <w:lvlJc w:val="left"/>
      <w:pPr>
        <w:ind w:left="6840" w:hanging="360"/>
      </w:pPr>
      <w:rPr>
        <w:rFonts w:ascii="Courier New" w:hAnsi="Courier New" w:cs="Courier New" w:hint="default"/>
      </w:rPr>
    </w:lvl>
    <w:lvl w:ilvl="2" w:tplc="08090005">
      <w:start w:val="1"/>
      <w:numFmt w:val="bullet"/>
      <w:lvlText w:val=""/>
      <w:lvlJc w:val="left"/>
      <w:pPr>
        <w:ind w:left="7560" w:hanging="360"/>
      </w:pPr>
      <w:rPr>
        <w:rFonts w:ascii="Wingdings" w:hAnsi="Wingdings" w:hint="default"/>
      </w:rPr>
    </w:lvl>
    <w:lvl w:ilvl="3" w:tplc="08090001">
      <w:start w:val="1"/>
      <w:numFmt w:val="bullet"/>
      <w:lvlText w:val=""/>
      <w:lvlJc w:val="left"/>
      <w:pPr>
        <w:ind w:left="8280" w:hanging="360"/>
      </w:pPr>
      <w:rPr>
        <w:rFonts w:ascii="Symbol" w:hAnsi="Symbol" w:hint="default"/>
      </w:rPr>
    </w:lvl>
    <w:lvl w:ilvl="4" w:tplc="08090003">
      <w:start w:val="1"/>
      <w:numFmt w:val="bullet"/>
      <w:lvlText w:val="o"/>
      <w:lvlJc w:val="left"/>
      <w:pPr>
        <w:ind w:left="9000" w:hanging="360"/>
      </w:pPr>
      <w:rPr>
        <w:rFonts w:ascii="Courier New" w:hAnsi="Courier New" w:cs="Courier New" w:hint="default"/>
      </w:rPr>
    </w:lvl>
    <w:lvl w:ilvl="5" w:tplc="08090005">
      <w:start w:val="1"/>
      <w:numFmt w:val="bullet"/>
      <w:lvlText w:val=""/>
      <w:lvlJc w:val="left"/>
      <w:pPr>
        <w:ind w:left="9720" w:hanging="360"/>
      </w:pPr>
      <w:rPr>
        <w:rFonts w:ascii="Wingdings" w:hAnsi="Wingdings" w:hint="default"/>
      </w:rPr>
    </w:lvl>
    <w:lvl w:ilvl="6" w:tplc="08090001">
      <w:start w:val="1"/>
      <w:numFmt w:val="bullet"/>
      <w:lvlText w:val=""/>
      <w:lvlJc w:val="left"/>
      <w:pPr>
        <w:ind w:left="10440" w:hanging="360"/>
      </w:pPr>
      <w:rPr>
        <w:rFonts w:ascii="Symbol" w:hAnsi="Symbol" w:hint="default"/>
      </w:rPr>
    </w:lvl>
    <w:lvl w:ilvl="7" w:tplc="08090003">
      <w:start w:val="1"/>
      <w:numFmt w:val="bullet"/>
      <w:lvlText w:val="o"/>
      <w:lvlJc w:val="left"/>
      <w:pPr>
        <w:ind w:left="11160" w:hanging="360"/>
      </w:pPr>
      <w:rPr>
        <w:rFonts w:ascii="Courier New" w:hAnsi="Courier New" w:cs="Courier New" w:hint="default"/>
      </w:rPr>
    </w:lvl>
    <w:lvl w:ilvl="8" w:tplc="08090005">
      <w:start w:val="1"/>
      <w:numFmt w:val="bullet"/>
      <w:lvlText w:val=""/>
      <w:lvlJc w:val="left"/>
      <w:pPr>
        <w:ind w:left="11880" w:hanging="360"/>
      </w:pPr>
      <w:rPr>
        <w:rFonts w:ascii="Wingdings" w:hAnsi="Wingdings" w:hint="default"/>
      </w:rPr>
    </w:lvl>
  </w:abstractNum>
  <w:abstractNum w:abstractNumId="20">
    <w:nsid w:val="47B35768"/>
    <w:multiLevelType w:val="hybridMultilevel"/>
    <w:tmpl w:val="9D44D6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nsid w:val="48052000"/>
    <w:multiLevelType w:val="hybridMultilevel"/>
    <w:tmpl w:val="8E62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662A4C"/>
    <w:multiLevelType w:val="hybridMultilevel"/>
    <w:tmpl w:val="E6FE61B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516605BD"/>
    <w:multiLevelType w:val="hybridMultilevel"/>
    <w:tmpl w:val="A1EC48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nsid w:val="52222296"/>
    <w:multiLevelType w:val="hybridMultilevel"/>
    <w:tmpl w:val="29E237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4E778F1"/>
    <w:multiLevelType w:val="hybridMultilevel"/>
    <w:tmpl w:val="7B3E6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50E54DD"/>
    <w:multiLevelType w:val="hybridMultilevel"/>
    <w:tmpl w:val="8D906510"/>
    <w:lvl w:ilvl="0" w:tplc="5B5A14A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7576858"/>
    <w:multiLevelType w:val="hybridMultilevel"/>
    <w:tmpl w:val="92429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D421EF"/>
    <w:multiLevelType w:val="hybridMultilevel"/>
    <w:tmpl w:val="3B7C79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15F488A"/>
    <w:multiLevelType w:val="hybridMultilevel"/>
    <w:tmpl w:val="F762FB8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31C00DE"/>
    <w:multiLevelType w:val="hybridMultilevel"/>
    <w:tmpl w:val="0058A552"/>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FC7684"/>
    <w:multiLevelType w:val="hybridMultilevel"/>
    <w:tmpl w:val="4614C20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66E958AF"/>
    <w:multiLevelType w:val="hybridMultilevel"/>
    <w:tmpl w:val="E6FE61B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691C3133"/>
    <w:multiLevelType w:val="hybridMultilevel"/>
    <w:tmpl w:val="6A604DF0"/>
    <w:lvl w:ilvl="0" w:tplc="4E1C1862">
      <w:start w:val="1"/>
      <w:numFmt w:val="bullet"/>
      <w:lvlText w:val="•"/>
      <w:lvlJc w:val="left"/>
      <w:pPr>
        <w:tabs>
          <w:tab w:val="num" w:pos="720"/>
        </w:tabs>
        <w:ind w:left="720" w:hanging="360"/>
      </w:pPr>
      <w:rPr>
        <w:rFonts w:ascii="Times New Roman" w:hAnsi="Times New Roman" w:hint="default"/>
      </w:rPr>
    </w:lvl>
    <w:lvl w:ilvl="1" w:tplc="BF466B1E">
      <w:start w:val="1"/>
      <w:numFmt w:val="bullet"/>
      <w:lvlText w:val="•"/>
      <w:lvlJc w:val="left"/>
      <w:pPr>
        <w:tabs>
          <w:tab w:val="num" w:pos="1440"/>
        </w:tabs>
        <w:ind w:left="1440" w:hanging="360"/>
      </w:pPr>
      <w:rPr>
        <w:rFonts w:ascii="Times New Roman" w:hAnsi="Times New Roman" w:hint="default"/>
      </w:rPr>
    </w:lvl>
    <w:lvl w:ilvl="2" w:tplc="E9027290" w:tentative="1">
      <w:start w:val="1"/>
      <w:numFmt w:val="bullet"/>
      <w:lvlText w:val="•"/>
      <w:lvlJc w:val="left"/>
      <w:pPr>
        <w:tabs>
          <w:tab w:val="num" w:pos="2160"/>
        </w:tabs>
        <w:ind w:left="2160" w:hanging="360"/>
      </w:pPr>
      <w:rPr>
        <w:rFonts w:ascii="Times New Roman" w:hAnsi="Times New Roman" w:hint="default"/>
      </w:rPr>
    </w:lvl>
    <w:lvl w:ilvl="3" w:tplc="8AD6C3CA" w:tentative="1">
      <w:start w:val="1"/>
      <w:numFmt w:val="bullet"/>
      <w:lvlText w:val="•"/>
      <w:lvlJc w:val="left"/>
      <w:pPr>
        <w:tabs>
          <w:tab w:val="num" w:pos="2880"/>
        </w:tabs>
        <w:ind w:left="2880" w:hanging="360"/>
      </w:pPr>
      <w:rPr>
        <w:rFonts w:ascii="Times New Roman" w:hAnsi="Times New Roman" w:hint="default"/>
      </w:rPr>
    </w:lvl>
    <w:lvl w:ilvl="4" w:tplc="A91C3910" w:tentative="1">
      <w:start w:val="1"/>
      <w:numFmt w:val="bullet"/>
      <w:lvlText w:val="•"/>
      <w:lvlJc w:val="left"/>
      <w:pPr>
        <w:tabs>
          <w:tab w:val="num" w:pos="3600"/>
        </w:tabs>
        <w:ind w:left="3600" w:hanging="360"/>
      </w:pPr>
      <w:rPr>
        <w:rFonts w:ascii="Times New Roman" w:hAnsi="Times New Roman" w:hint="default"/>
      </w:rPr>
    </w:lvl>
    <w:lvl w:ilvl="5" w:tplc="7F183638" w:tentative="1">
      <w:start w:val="1"/>
      <w:numFmt w:val="bullet"/>
      <w:lvlText w:val="•"/>
      <w:lvlJc w:val="left"/>
      <w:pPr>
        <w:tabs>
          <w:tab w:val="num" w:pos="4320"/>
        </w:tabs>
        <w:ind w:left="4320" w:hanging="360"/>
      </w:pPr>
      <w:rPr>
        <w:rFonts w:ascii="Times New Roman" w:hAnsi="Times New Roman" w:hint="default"/>
      </w:rPr>
    </w:lvl>
    <w:lvl w:ilvl="6" w:tplc="6F5C989A" w:tentative="1">
      <w:start w:val="1"/>
      <w:numFmt w:val="bullet"/>
      <w:lvlText w:val="•"/>
      <w:lvlJc w:val="left"/>
      <w:pPr>
        <w:tabs>
          <w:tab w:val="num" w:pos="5040"/>
        </w:tabs>
        <w:ind w:left="5040" w:hanging="360"/>
      </w:pPr>
      <w:rPr>
        <w:rFonts w:ascii="Times New Roman" w:hAnsi="Times New Roman" w:hint="default"/>
      </w:rPr>
    </w:lvl>
    <w:lvl w:ilvl="7" w:tplc="BCC0BA18" w:tentative="1">
      <w:start w:val="1"/>
      <w:numFmt w:val="bullet"/>
      <w:lvlText w:val="•"/>
      <w:lvlJc w:val="left"/>
      <w:pPr>
        <w:tabs>
          <w:tab w:val="num" w:pos="5760"/>
        </w:tabs>
        <w:ind w:left="5760" w:hanging="360"/>
      </w:pPr>
      <w:rPr>
        <w:rFonts w:ascii="Times New Roman" w:hAnsi="Times New Roman" w:hint="default"/>
      </w:rPr>
    </w:lvl>
    <w:lvl w:ilvl="8" w:tplc="CD4C64A6"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AC015EA"/>
    <w:multiLevelType w:val="hybridMultilevel"/>
    <w:tmpl w:val="CAF4917E"/>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68B7B5C"/>
    <w:multiLevelType w:val="hybridMultilevel"/>
    <w:tmpl w:val="ACD28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7874D61"/>
    <w:multiLevelType w:val="hybridMultilevel"/>
    <w:tmpl w:val="B53E89F2"/>
    <w:lvl w:ilvl="0" w:tplc="3DF2C38E">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37">
    <w:nsid w:val="784539A0"/>
    <w:multiLevelType w:val="hybridMultilevel"/>
    <w:tmpl w:val="FE965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7C215A3E"/>
    <w:multiLevelType w:val="hybridMultilevel"/>
    <w:tmpl w:val="FD02E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EEE3E86"/>
    <w:multiLevelType w:val="hybridMultilevel"/>
    <w:tmpl w:val="CE4818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
    <w:nsid w:val="7EF95F63"/>
    <w:multiLevelType w:val="hybridMultilevel"/>
    <w:tmpl w:val="CF0447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9"/>
  </w:num>
  <w:num w:numId="4">
    <w:abstractNumId w:val="0"/>
  </w:num>
  <w:num w:numId="5">
    <w:abstractNumId w:val="10"/>
  </w:num>
  <w:num w:numId="6">
    <w:abstractNumId w:val="37"/>
  </w:num>
  <w:num w:numId="7">
    <w:abstractNumId w:val="31"/>
    <w:lvlOverride w:ilvl="0"/>
    <w:lvlOverride w:ilvl="1">
      <w:startOverride w:val="1"/>
    </w:lvlOverride>
    <w:lvlOverride w:ilvl="2"/>
    <w:lvlOverride w:ilvl="3"/>
    <w:lvlOverride w:ilvl="4"/>
    <w:lvlOverride w:ilvl="5"/>
    <w:lvlOverride w:ilvl="6"/>
    <w:lvlOverride w:ilvl="7"/>
    <w:lvlOverride w:ilv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40"/>
  </w:num>
  <w:num w:numId="11">
    <w:abstractNumId w:val="23"/>
  </w:num>
  <w:num w:numId="12">
    <w:abstractNumId w:val="8"/>
  </w:num>
  <w:num w:numId="13">
    <w:abstractNumId w:val="39"/>
  </w:num>
  <w:num w:numId="14">
    <w:abstractNumId w:val="20"/>
  </w:num>
  <w:num w:numId="15">
    <w:abstractNumId w:val="0"/>
  </w:num>
  <w:num w:numId="16">
    <w:abstractNumId w:val="7"/>
  </w:num>
  <w:num w:numId="17">
    <w:abstractNumId w:val="16"/>
  </w:num>
  <w:num w:numId="18">
    <w:abstractNumId w:val="12"/>
  </w:num>
  <w:num w:numId="19">
    <w:abstractNumId w:val="3"/>
  </w:num>
  <w:num w:numId="20">
    <w:abstractNumId w:val="17"/>
  </w:num>
  <w:num w:numId="21">
    <w:abstractNumId w:val="22"/>
  </w:num>
  <w:num w:numId="22">
    <w:abstractNumId w:val="29"/>
  </w:num>
  <w:num w:numId="23">
    <w:abstractNumId w:val="25"/>
  </w:num>
  <w:num w:numId="24">
    <w:abstractNumId w:val="32"/>
  </w:num>
  <w:num w:numId="25">
    <w:abstractNumId w:val="33"/>
  </w:num>
  <w:num w:numId="26">
    <w:abstractNumId w:val="11"/>
  </w:num>
  <w:num w:numId="27">
    <w:abstractNumId w:val="1"/>
  </w:num>
  <w:num w:numId="28">
    <w:abstractNumId w:val="27"/>
  </w:num>
  <w:num w:numId="29">
    <w:abstractNumId w:val="6"/>
  </w:num>
  <w:num w:numId="30">
    <w:abstractNumId w:val="2"/>
  </w:num>
  <w:num w:numId="31">
    <w:abstractNumId w:val="5"/>
  </w:num>
  <w:num w:numId="32">
    <w:abstractNumId w:val="28"/>
  </w:num>
  <w:num w:numId="33">
    <w:abstractNumId w:val="38"/>
  </w:num>
  <w:num w:numId="34">
    <w:abstractNumId w:val="15"/>
  </w:num>
  <w:num w:numId="35">
    <w:abstractNumId w:val="26"/>
  </w:num>
  <w:num w:numId="36">
    <w:abstractNumId w:val="35"/>
  </w:num>
  <w:num w:numId="37">
    <w:abstractNumId w:val="24"/>
  </w:num>
  <w:num w:numId="38">
    <w:abstractNumId w:val="21"/>
  </w:num>
  <w:num w:numId="39">
    <w:abstractNumId w:val="36"/>
  </w:num>
  <w:num w:numId="40">
    <w:abstractNumId w:val="34"/>
  </w:num>
  <w:num w:numId="41">
    <w:abstractNumId w:val="4"/>
  </w:num>
  <w:num w:numId="42">
    <w:abstractNumId w:val="30"/>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487DD30DDCA4194B9BE5240E556ED65"/>
    <w:docVar w:name="LW_CROSSREFERENCE" w:val="&lt;UNUSED&gt;"/>
    <w:docVar w:name="LW_DocType" w:val="NORMAL"/>
    <w:docVar w:name="LW_EMISSION" w:val="24.5.2016"/>
    <w:docVar w:name="LW_EMISSION_ISODATE" w:val="2016-05-24"/>
    <w:docVar w:name="LW_EMISSION_LOCATION" w:val="BRX"/>
    <w:docVar w:name="LW_EMISSION_PREFIX" w:val="Bryssel den "/>
    <w:docVar w:name="LW_EMISSION_SUFFIX" w:val=" "/>
    <w:docVar w:name="LW_ID_DOCTYPE_NONLW" w:val="CP-006"/>
    <w:docVar w:name="LW_LANGUE" w:val="SV"/>
    <w:docVar w:name="LW_MARKING" w:val="&lt;UNUSED&g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16) 274"/>
    <w:docVar w:name="LW_REF.INTERNE" w:val="&lt;UNUSED&gt;"/>
    <w:docVar w:name="LW_SOUS.TITRE.OBJ.CP" w:val="&lt;UNUSED&gt;"/>
    <w:docVar w:name="LW_SUPERTITRE" w:val="&lt;UNUSED&gt;"/>
    <w:docVar w:name="LW_TITRE.OBJ.CP" w:val="Rapport om tillämpningen av förordning (EU) nr 1177/2010 om passagerares rättigheter vid resor till sjöss och på inre vattenvägar och om ändring av förordning (EG) nr 2006/2004"/>
    <w:docVar w:name="LW_TYPE.DOC.CP" w:val="RAPPORT FRÅN KOMMISSIONEN TILL EUROPAPARLAMENTET OCH RÅDET"/>
    <w:docVar w:name="Stamp" w:val="\\dossiers.dgt.cec.eu.int\dossiers\MOVE\MOVE-2016-00116\MOVE-2016-00116-00-00-EN-REV-00.DOCX"/>
  </w:docVar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v-SE" w:eastAsia="sv-SE" w:bidi="sv-SE"/>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pPr>
      <w:spacing w:after="0" w:line="240" w:lineRule="auto"/>
    </w:pPr>
    <w:rPr>
      <w:szCs w:val="21"/>
    </w:rPr>
  </w:style>
  <w:style w:type="character" w:customStyle="1" w:styleId="PlainTextChar">
    <w:name w:val="Plain Text Char"/>
    <w:link w:val="PlainText"/>
    <w:uiPriority w:val="99"/>
    <w:semiHidden/>
    <w:rPr>
      <w:sz w:val="22"/>
      <w:szCs w:val="21"/>
      <w:lang w:eastAsia="sv-SE"/>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Briefingheading1">
    <w:name w:val="Briefing heading 1"/>
    <w:basedOn w:val="Normal"/>
    <w:pPr>
      <w:spacing w:after="120"/>
      <w:jc w:val="center"/>
    </w:pPr>
    <w:rPr>
      <w:rFonts w:ascii="Arial" w:hAnsi="Arial" w:cs="Arial"/>
      <w:b/>
    </w:rPr>
  </w:style>
  <w:style w:type="paragraph" w:styleId="FootnoteText">
    <w:name w:val="footnote text"/>
    <w:basedOn w:val="Normal"/>
    <w:autoRedefine/>
    <w:uiPriority w:val="99"/>
    <w:unhideWhenUsed/>
    <w:pPr>
      <w:spacing w:after="0"/>
      <w:jc w:val="both"/>
    </w:pPr>
    <w:rPr>
      <w:rFonts w:ascii="Times New Roman" w:hAnsi="Times New Roman"/>
      <w:sz w:val="20"/>
      <w:szCs w:val="20"/>
    </w:rPr>
  </w:style>
  <w:style w:type="character" w:customStyle="1" w:styleId="FootnoteTextChar">
    <w:name w:val="Footnote Text Char"/>
    <w:uiPriority w:val="99"/>
    <w:rPr>
      <w:lang w:eastAsia="sv-SE"/>
    </w:rPr>
  </w:style>
  <w:style w:type="character" w:styleId="FootnoteReference">
    <w:name w:val="footnote reference"/>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sv-SE"/>
    </w:rPr>
  </w:style>
  <w:style w:type="paragraph" w:styleId="Revision">
    <w:name w:val="Revision"/>
    <w:hidden/>
    <w:uiPriority w:val="99"/>
    <w:semiHidden/>
    <w:rPr>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sv-S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sv-SE"/>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sv-SE"/>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Strong">
    <w:name w:val="Strong"/>
    <w:uiPriority w:val="22"/>
    <w:qFormat/>
    <w:rPr>
      <w:b/>
      <w:bCs/>
    </w:rPr>
  </w:style>
  <w:style w:type="character" w:styleId="FollowedHyperlink">
    <w:name w:val="FollowedHyperlink"/>
    <w:uiPriority w:val="99"/>
    <w:semiHidden/>
    <w:unhideWhenUsed/>
    <w:rPr>
      <w:color w:val="800080"/>
      <w:u w:val="single"/>
    </w:rPr>
  </w:style>
  <w:style w:type="paragraph" w:customStyle="1" w:styleId="CM4">
    <w:name w:val="CM4"/>
    <w:basedOn w:val="Normal"/>
    <w:next w:val="Normal"/>
    <w:uiPriority w:val="99"/>
    <w:pPr>
      <w:autoSpaceDE w:val="0"/>
      <w:autoSpaceDN w:val="0"/>
      <w:adjustRightInd w:val="0"/>
      <w:spacing w:after="0" w:line="240" w:lineRule="auto"/>
    </w:pPr>
    <w:rPr>
      <w:rFonts w:ascii="Times New Roman" w:eastAsiaTheme="minorHAnsi" w:hAnsi="Times New Roman"/>
      <w:sz w:val="24"/>
      <w:szCs w:val="24"/>
    </w:rPr>
  </w:style>
  <w:style w:type="paragraph" w:styleId="NormalWeb">
    <w:name w:val="Normal (Web)"/>
    <w:basedOn w:val="Normal"/>
    <w:uiPriority w:val="99"/>
    <w:unhideWhenUsed/>
    <w:pPr>
      <w:spacing w:before="180" w:after="180" w:line="300" w:lineRule="atLeas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v-SE" w:eastAsia="sv-SE" w:bidi="sv-SE"/>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pPr>
      <w:spacing w:after="0" w:line="240" w:lineRule="auto"/>
    </w:pPr>
    <w:rPr>
      <w:szCs w:val="21"/>
    </w:rPr>
  </w:style>
  <w:style w:type="character" w:customStyle="1" w:styleId="PlainTextChar">
    <w:name w:val="Plain Text Char"/>
    <w:link w:val="PlainText"/>
    <w:uiPriority w:val="99"/>
    <w:semiHidden/>
    <w:rPr>
      <w:sz w:val="22"/>
      <w:szCs w:val="21"/>
      <w:lang w:eastAsia="sv-SE"/>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Briefingheading1">
    <w:name w:val="Briefing heading 1"/>
    <w:basedOn w:val="Normal"/>
    <w:pPr>
      <w:spacing w:after="120"/>
      <w:jc w:val="center"/>
    </w:pPr>
    <w:rPr>
      <w:rFonts w:ascii="Arial" w:hAnsi="Arial" w:cs="Arial"/>
      <w:b/>
    </w:rPr>
  </w:style>
  <w:style w:type="paragraph" w:styleId="FootnoteText">
    <w:name w:val="footnote text"/>
    <w:basedOn w:val="Normal"/>
    <w:autoRedefine/>
    <w:uiPriority w:val="99"/>
    <w:unhideWhenUsed/>
    <w:pPr>
      <w:spacing w:after="0"/>
      <w:jc w:val="both"/>
    </w:pPr>
    <w:rPr>
      <w:rFonts w:ascii="Times New Roman" w:hAnsi="Times New Roman"/>
      <w:sz w:val="20"/>
      <w:szCs w:val="20"/>
    </w:rPr>
  </w:style>
  <w:style w:type="character" w:customStyle="1" w:styleId="FootnoteTextChar">
    <w:name w:val="Footnote Text Char"/>
    <w:uiPriority w:val="99"/>
    <w:rPr>
      <w:lang w:eastAsia="sv-SE"/>
    </w:rPr>
  </w:style>
  <w:style w:type="character" w:styleId="FootnoteReference">
    <w:name w:val="footnote reference"/>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sv-SE"/>
    </w:rPr>
  </w:style>
  <w:style w:type="paragraph" w:styleId="Revision">
    <w:name w:val="Revision"/>
    <w:hidden/>
    <w:uiPriority w:val="99"/>
    <w:semiHidden/>
    <w:rPr>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sv-S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sv-SE"/>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sv-SE"/>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Strong">
    <w:name w:val="Strong"/>
    <w:uiPriority w:val="22"/>
    <w:qFormat/>
    <w:rPr>
      <w:b/>
      <w:bCs/>
    </w:rPr>
  </w:style>
  <w:style w:type="character" w:styleId="FollowedHyperlink">
    <w:name w:val="FollowedHyperlink"/>
    <w:uiPriority w:val="99"/>
    <w:semiHidden/>
    <w:unhideWhenUsed/>
    <w:rPr>
      <w:color w:val="800080"/>
      <w:u w:val="single"/>
    </w:rPr>
  </w:style>
  <w:style w:type="paragraph" w:customStyle="1" w:styleId="CM4">
    <w:name w:val="CM4"/>
    <w:basedOn w:val="Normal"/>
    <w:next w:val="Normal"/>
    <w:uiPriority w:val="99"/>
    <w:pPr>
      <w:autoSpaceDE w:val="0"/>
      <w:autoSpaceDN w:val="0"/>
      <w:adjustRightInd w:val="0"/>
      <w:spacing w:after="0" w:line="240" w:lineRule="auto"/>
    </w:pPr>
    <w:rPr>
      <w:rFonts w:ascii="Times New Roman" w:eastAsiaTheme="minorHAnsi" w:hAnsi="Times New Roman"/>
      <w:sz w:val="24"/>
      <w:szCs w:val="24"/>
    </w:rPr>
  </w:style>
  <w:style w:type="paragraph" w:styleId="NormalWeb">
    <w:name w:val="Normal (Web)"/>
    <w:basedOn w:val="Normal"/>
    <w:uiPriority w:val="99"/>
    <w:unhideWhenUsed/>
    <w:pPr>
      <w:spacing w:before="180" w:after="180" w:line="300" w:lineRule="atLeas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39479">
      <w:bodyDiv w:val="1"/>
      <w:marLeft w:val="0"/>
      <w:marRight w:val="0"/>
      <w:marTop w:val="0"/>
      <w:marBottom w:val="0"/>
      <w:divBdr>
        <w:top w:val="none" w:sz="0" w:space="0" w:color="auto"/>
        <w:left w:val="none" w:sz="0" w:space="0" w:color="auto"/>
        <w:bottom w:val="none" w:sz="0" w:space="0" w:color="auto"/>
        <w:right w:val="none" w:sz="0" w:space="0" w:color="auto"/>
      </w:divBdr>
    </w:div>
    <w:div w:id="237907367">
      <w:bodyDiv w:val="1"/>
      <w:marLeft w:val="0"/>
      <w:marRight w:val="0"/>
      <w:marTop w:val="0"/>
      <w:marBottom w:val="0"/>
      <w:divBdr>
        <w:top w:val="none" w:sz="0" w:space="0" w:color="auto"/>
        <w:left w:val="none" w:sz="0" w:space="0" w:color="auto"/>
        <w:bottom w:val="none" w:sz="0" w:space="0" w:color="auto"/>
        <w:right w:val="none" w:sz="0" w:space="0" w:color="auto"/>
      </w:divBdr>
    </w:div>
    <w:div w:id="405734241">
      <w:bodyDiv w:val="1"/>
      <w:marLeft w:val="0"/>
      <w:marRight w:val="0"/>
      <w:marTop w:val="0"/>
      <w:marBottom w:val="0"/>
      <w:divBdr>
        <w:top w:val="none" w:sz="0" w:space="0" w:color="auto"/>
        <w:left w:val="none" w:sz="0" w:space="0" w:color="auto"/>
        <w:bottom w:val="none" w:sz="0" w:space="0" w:color="auto"/>
        <w:right w:val="none" w:sz="0" w:space="0" w:color="auto"/>
      </w:divBdr>
    </w:div>
    <w:div w:id="470563618">
      <w:bodyDiv w:val="1"/>
      <w:marLeft w:val="0"/>
      <w:marRight w:val="0"/>
      <w:marTop w:val="0"/>
      <w:marBottom w:val="0"/>
      <w:divBdr>
        <w:top w:val="none" w:sz="0" w:space="0" w:color="auto"/>
        <w:left w:val="none" w:sz="0" w:space="0" w:color="auto"/>
        <w:bottom w:val="none" w:sz="0" w:space="0" w:color="auto"/>
        <w:right w:val="none" w:sz="0" w:space="0" w:color="auto"/>
      </w:divBdr>
    </w:div>
    <w:div w:id="653413327">
      <w:bodyDiv w:val="1"/>
      <w:marLeft w:val="0"/>
      <w:marRight w:val="0"/>
      <w:marTop w:val="0"/>
      <w:marBottom w:val="0"/>
      <w:divBdr>
        <w:top w:val="none" w:sz="0" w:space="0" w:color="auto"/>
        <w:left w:val="none" w:sz="0" w:space="0" w:color="auto"/>
        <w:bottom w:val="none" w:sz="0" w:space="0" w:color="auto"/>
        <w:right w:val="none" w:sz="0" w:space="0" w:color="auto"/>
      </w:divBdr>
    </w:div>
    <w:div w:id="755177005">
      <w:bodyDiv w:val="1"/>
      <w:marLeft w:val="0"/>
      <w:marRight w:val="0"/>
      <w:marTop w:val="0"/>
      <w:marBottom w:val="0"/>
      <w:divBdr>
        <w:top w:val="none" w:sz="0" w:space="0" w:color="auto"/>
        <w:left w:val="none" w:sz="0" w:space="0" w:color="auto"/>
        <w:bottom w:val="none" w:sz="0" w:space="0" w:color="auto"/>
        <w:right w:val="none" w:sz="0" w:space="0" w:color="auto"/>
      </w:divBdr>
      <w:divsChild>
        <w:div w:id="456069119">
          <w:marLeft w:val="0"/>
          <w:marRight w:val="0"/>
          <w:marTop w:val="100"/>
          <w:marBottom w:val="100"/>
          <w:divBdr>
            <w:top w:val="none" w:sz="0" w:space="0" w:color="auto"/>
            <w:left w:val="none" w:sz="0" w:space="0" w:color="auto"/>
            <w:bottom w:val="none" w:sz="0" w:space="0" w:color="auto"/>
            <w:right w:val="none" w:sz="0" w:space="0" w:color="auto"/>
          </w:divBdr>
        </w:div>
      </w:divsChild>
    </w:div>
    <w:div w:id="848833393">
      <w:bodyDiv w:val="1"/>
      <w:marLeft w:val="0"/>
      <w:marRight w:val="0"/>
      <w:marTop w:val="0"/>
      <w:marBottom w:val="0"/>
      <w:divBdr>
        <w:top w:val="none" w:sz="0" w:space="0" w:color="auto"/>
        <w:left w:val="none" w:sz="0" w:space="0" w:color="auto"/>
        <w:bottom w:val="none" w:sz="0" w:space="0" w:color="auto"/>
        <w:right w:val="none" w:sz="0" w:space="0" w:color="auto"/>
      </w:divBdr>
      <w:divsChild>
        <w:div w:id="6442091">
          <w:marLeft w:val="1166"/>
          <w:marRight w:val="0"/>
          <w:marTop w:val="67"/>
          <w:marBottom w:val="0"/>
          <w:divBdr>
            <w:top w:val="none" w:sz="0" w:space="0" w:color="auto"/>
            <w:left w:val="none" w:sz="0" w:space="0" w:color="auto"/>
            <w:bottom w:val="none" w:sz="0" w:space="0" w:color="auto"/>
            <w:right w:val="none" w:sz="0" w:space="0" w:color="auto"/>
          </w:divBdr>
        </w:div>
        <w:div w:id="799153977">
          <w:marLeft w:val="1166"/>
          <w:marRight w:val="0"/>
          <w:marTop w:val="67"/>
          <w:marBottom w:val="0"/>
          <w:divBdr>
            <w:top w:val="none" w:sz="0" w:space="0" w:color="auto"/>
            <w:left w:val="none" w:sz="0" w:space="0" w:color="auto"/>
            <w:bottom w:val="none" w:sz="0" w:space="0" w:color="auto"/>
            <w:right w:val="none" w:sz="0" w:space="0" w:color="auto"/>
          </w:divBdr>
        </w:div>
        <w:div w:id="846408632">
          <w:marLeft w:val="1166"/>
          <w:marRight w:val="0"/>
          <w:marTop w:val="67"/>
          <w:marBottom w:val="0"/>
          <w:divBdr>
            <w:top w:val="none" w:sz="0" w:space="0" w:color="auto"/>
            <w:left w:val="none" w:sz="0" w:space="0" w:color="auto"/>
            <w:bottom w:val="none" w:sz="0" w:space="0" w:color="auto"/>
            <w:right w:val="none" w:sz="0" w:space="0" w:color="auto"/>
          </w:divBdr>
        </w:div>
        <w:div w:id="888804233">
          <w:marLeft w:val="1166"/>
          <w:marRight w:val="0"/>
          <w:marTop w:val="67"/>
          <w:marBottom w:val="0"/>
          <w:divBdr>
            <w:top w:val="none" w:sz="0" w:space="0" w:color="auto"/>
            <w:left w:val="none" w:sz="0" w:space="0" w:color="auto"/>
            <w:bottom w:val="none" w:sz="0" w:space="0" w:color="auto"/>
            <w:right w:val="none" w:sz="0" w:space="0" w:color="auto"/>
          </w:divBdr>
        </w:div>
        <w:div w:id="1289358451">
          <w:marLeft w:val="1166"/>
          <w:marRight w:val="0"/>
          <w:marTop w:val="67"/>
          <w:marBottom w:val="0"/>
          <w:divBdr>
            <w:top w:val="none" w:sz="0" w:space="0" w:color="auto"/>
            <w:left w:val="none" w:sz="0" w:space="0" w:color="auto"/>
            <w:bottom w:val="none" w:sz="0" w:space="0" w:color="auto"/>
            <w:right w:val="none" w:sz="0" w:space="0" w:color="auto"/>
          </w:divBdr>
        </w:div>
        <w:div w:id="1546601503">
          <w:marLeft w:val="1166"/>
          <w:marRight w:val="0"/>
          <w:marTop w:val="67"/>
          <w:marBottom w:val="0"/>
          <w:divBdr>
            <w:top w:val="none" w:sz="0" w:space="0" w:color="auto"/>
            <w:left w:val="none" w:sz="0" w:space="0" w:color="auto"/>
            <w:bottom w:val="none" w:sz="0" w:space="0" w:color="auto"/>
            <w:right w:val="none" w:sz="0" w:space="0" w:color="auto"/>
          </w:divBdr>
        </w:div>
        <w:div w:id="1753771485">
          <w:marLeft w:val="1166"/>
          <w:marRight w:val="0"/>
          <w:marTop w:val="67"/>
          <w:marBottom w:val="0"/>
          <w:divBdr>
            <w:top w:val="none" w:sz="0" w:space="0" w:color="auto"/>
            <w:left w:val="none" w:sz="0" w:space="0" w:color="auto"/>
            <w:bottom w:val="none" w:sz="0" w:space="0" w:color="auto"/>
            <w:right w:val="none" w:sz="0" w:space="0" w:color="auto"/>
          </w:divBdr>
        </w:div>
      </w:divsChild>
    </w:div>
    <w:div w:id="953709520">
      <w:bodyDiv w:val="1"/>
      <w:marLeft w:val="0"/>
      <w:marRight w:val="0"/>
      <w:marTop w:val="0"/>
      <w:marBottom w:val="0"/>
      <w:divBdr>
        <w:top w:val="none" w:sz="0" w:space="0" w:color="auto"/>
        <w:left w:val="none" w:sz="0" w:space="0" w:color="auto"/>
        <w:bottom w:val="none" w:sz="0" w:space="0" w:color="auto"/>
        <w:right w:val="none" w:sz="0" w:space="0" w:color="auto"/>
      </w:divBdr>
    </w:div>
    <w:div w:id="1054037242">
      <w:bodyDiv w:val="1"/>
      <w:marLeft w:val="0"/>
      <w:marRight w:val="0"/>
      <w:marTop w:val="0"/>
      <w:marBottom w:val="0"/>
      <w:divBdr>
        <w:top w:val="none" w:sz="0" w:space="0" w:color="auto"/>
        <w:left w:val="none" w:sz="0" w:space="0" w:color="auto"/>
        <w:bottom w:val="none" w:sz="0" w:space="0" w:color="auto"/>
        <w:right w:val="none" w:sz="0" w:space="0" w:color="auto"/>
      </w:divBdr>
    </w:div>
    <w:div w:id="1103303093">
      <w:bodyDiv w:val="1"/>
      <w:marLeft w:val="0"/>
      <w:marRight w:val="0"/>
      <w:marTop w:val="0"/>
      <w:marBottom w:val="0"/>
      <w:divBdr>
        <w:top w:val="none" w:sz="0" w:space="0" w:color="auto"/>
        <w:left w:val="none" w:sz="0" w:space="0" w:color="auto"/>
        <w:bottom w:val="none" w:sz="0" w:space="0" w:color="auto"/>
        <w:right w:val="none" w:sz="0" w:space="0" w:color="auto"/>
      </w:divBdr>
    </w:div>
    <w:div w:id="1168445632">
      <w:bodyDiv w:val="1"/>
      <w:marLeft w:val="0"/>
      <w:marRight w:val="0"/>
      <w:marTop w:val="0"/>
      <w:marBottom w:val="0"/>
      <w:divBdr>
        <w:top w:val="none" w:sz="0" w:space="0" w:color="auto"/>
        <w:left w:val="none" w:sz="0" w:space="0" w:color="auto"/>
        <w:bottom w:val="none" w:sz="0" w:space="0" w:color="auto"/>
        <w:right w:val="none" w:sz="0" w:space="0" w:color="auto"/>
      </w:divBdr>
    </w:div>
    <w:div w:id="1214729381">
      <w:bodyDiv w:val="1"/>
      <w:marLeft w:val="0"/>
      <w:marRight w:val="0"/>
      <w:marTop w:val="0"/>
      <w:marBottom w:val="0"/>
      <w:divBdr>
        <w:top w:val="none" w:sz="0" w:space="0" w:color="auto"/>
        <w:left w:val="none" w:sz="0" w:space="0" w:color="auto"/>
        <w:bottom w:val="none" w:sz="0" w:space="0" w:color="auto"/>
        <w:right w:val="none" w:sz="0" w:space="0" w:color="auto"/>
      </w:divBdr>
    </w:div>
    <w:div w:id="1303002630">
      <w:bodyDiv w:val="1"/>
      <w:marLeft w:val="0"/>
      <w:marRight w:val="0"/>
      <w:marTop w:val="0"/>
      <w:marBottom w:val="0"/>
      <w:divBdr>
        <w:top w:val="none" w:sz="0" w:space="0" w:color="auto"/>
        <w:left w:val="none" w:sz="0" w:space="0" w:color="auto"/>
        <w:bottom w:val="none" w:sz="0" w:space="0" w:color="auto"/>
        <w:right w:val="none" w:sz="0" w:space="0" w:color="auto"/>
      </w:divBdr>
    </w:div>
    <w:div w:id="1315798325">
      <w:bodyDiv w:val="1"/>
      <w:marLeft w:val="0"/>
      <w:marRight w:val="0"/>
      <w:marTop w:val="0"/>
      <w:marBottom w:val="0"/>
      <w:divBdr>
        <w:top w:val="none" w:sz="0" w:space="0" w:color="auto"/>
        <w:left w:val="none" w:sz="0" w:space="0" w:color="auto"/>
        <w:bottom w:val="none" w:sz="0" w:space="0" w:color="auto"/>
        <w:right w:val="none" w:sz="0" w:space="0" w:color="auto"/>
      </w:divBdr>
    </w:div>
    <w:div w:id="1444306461">
      <w:bodyDiv w:val="1"/>
      <w:marLeft w:val="0"/>
      <w:marRight w:val="0"/>
      <w:marTop w:val="0"/>
      <w:marBottom w:val="0"/>
      <w:divBdr>
        <w:top w:val="none" w:sz="0" w:space="0" w:color="auto"/>
        <w:left w:val="none" w:sz="0" w:space="0" w:color="auto"/>
        <w:bottom w:val="none" w:sz="0" w:space="0" w:color="auto"/>
        <w:right w:val="none" w:sz="0" w:space="0" w:color="auto"/>
      </w:divBdr>
    </w:div>
    <w:div w:id="1787966783">
      <w:bodyDiv w:val="1"/>
      <w:marLeft w:val="0"/>
      <w:marRight w:val="0"/>
      <w:marTop w:val="0"/>
      <w:marBottom w:val="0"/>
      <w:divBdr>
        <w:top w:val="none" w:sz="0" w:space="0" w:color="auto"/>
        <w:left w:val="none" w:sz="0" w:space="0" w:color="auto"/>
        <w:bottom w:val="none" w:sz="0" w:space="0" w:color="auto"/>
        <w:right w:val="none" w:sz="0" w:space="0" w:color="auto"/>
      </w:divBdr>
      <w:divsChild>
        <w:div w:id="1946770284">
          <w:marLeft w:val="0"/>
          <w:marRight w:val="0"/>
          <w:marTop w:val="100"/>
          <w:marBottom w:val="100"/>
          <w:divBdr>
            <w:top w:val="none" w:sz="0" w:space="0" w:color="auto"/>
            <w:left w:val="none" w:sz="0" w:space="0" w:color="auto"/>
            <w:bottom w:val="none" w:sz="0" w:space="0" w:color="auto"/>
            <w:right w:val="none" w:sz="0" w:space="0" w:color="auto"/>
          </w:divBdr>
        </w:div>
      </w:divsChild>
    </w:div>
    <w:div w:id="1907761086">
      <w:bodyDiv w:val="1"/>
      <w:marLeft w:val="0"/>
      <w:marRight w:val="0"/>
      <w:marTop w:val="0"/>
      <w:marBottom w:val="0"/>
      <w:divBdr>
        <w:top w:val="none" w:sz="0" w:space="0" w:color="auto"/>
        <w:left w:val="none" w:sz="0" w:space="0" w:color="auto"/>
        <w:bottom w:val="none" w:sz="0" w:space="0" w:color="auto"/>
        <w:right w:val="none" w:sz="0" w:space="0" w:color="auto"/>
      </w:divBdr>
    </w:div>
    <w:div w:id="199833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transport/themes/passengers/maritime/doc/2010_1177_national_enforcement_bodies.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637E4-170D-4D25-923C-A7F7FE336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12</Pages>
  <Words>3166</Words>
  <Characters>21023</Characters>
  <Application>Microsoft Office Word</Application>
  <DocSecurity>0</DocSecurity>
  <Lines>477</Lines>
  <Paragraphs>287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16</cp:revision>
  <cp:lastPrinted>2016-04-05T13:12:00Z</cp:lastPrinted>
  <dcterms:created xsi:type="dcterms:W3CDTF">2016-05-02T09:13:00Z</dcterms:created>
  <dcterms:modified xsi:type="dcterms:W3CDTF">2016-05-12T10:06:00Z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_NewReviewCycle">
    <vt:lpwstr/>
  </property>
  <property name="OP_sanitized" fmtid="{D5CDD505-2E9C-101B-9397-08002B2CF9AE}" pid="7">
    <vt:lpwstr>True</vt:lpwstr>
  </property>
</Properties>
</file>