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54B8" w:rsidRDefault="00BD0CDB">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8F8BBC6F2943488690F4A6D4D9706A39" style="width:450.35pt;height:403.45pt">
            <v:imagedata r:id="rId9" o:title=""/>
          </v:shape>
        </w:pict>
      </w:r>
    </w:p>
    <w:bookmarkEnd w:id="0"/>
    <w:p w:rsidR="008A54B8" w:rsidRDefault="008A54B8">
      <w:pPr>
        <w:spacing w:before="120" w:after="120" w:line="240" w:lineRule="auto"/>
        <w:rPr>
          <w:noProof/>
        </w:rPr>
        <w:sectPr w:rsidR="008A54B8">
          <w:headerReference w:type="even" r:id="rId10"/>
          <w:headerReference w:type="default" r:id="rId11"/>
          <w:footerReference w:type="even" r:id="rId12"/>
          <w:footerReference w:type="default" r:id="rId13"/>
          <w:headerReference w:type="first" r:id="rId14"/>
          <w:footerReference w:type="first" r:id="rId15"/>
          <w:pgSz w:w="11907" w:h="16839"/>
          <w:pgMar w:top="1134" w:right="1417" w:bottom="1134" w:left="1417" w:header="709" w:footer="709" w:gutter="0"/>
          <w:pgNumType w:start="1"/>
          <w:cols w:space="720"/>
          <w:docGrid w:linePitch="360"/>
        </w:sectPr>
      </w:pPr>
    </w:p>
    <w:p w:rsidR="008A54B8" w:rsidRDefault="00BD0CDB">
      <w:pPr>
        <w:spacing w:before="120" w:after="120" w:line="240" w:lineRule="auto"/>
        <w:rPr>
          <w:rFonts w:ascii="Times New Roman Bold" w:hAnsi="Times New Roman Bold"/>
          <w:b/>
          <w:smallCaps/>
          <w:noProof/>
          <w:sz w:val="26"/>
          <w:lang w:val="sv-SE" w:eastAsia="sv-SE" w:bidi="sv-SE"/>
        </w:rPr>
      </w:pPr>
      <w:r>
        <w:rPr>
          <w:rFonts w:ascii="Times New Roman Bold" w:hAnsi="Times New Roman Bold"/>
          <w:b/>
          <w:smallCaps/>
          <w:noProof/>
          <w:sz w:val="26"/>
          <w:lang w:val="sv-SE" w:eastAsia="sv-SE" w:bidi="sv-SE"/>
        </w:rPr>
        <w:lastRenderedPageBreak/>
        <w:t>1.</w:t>
      </w:r>
      <w:r>
        <w:rPr>
          <w:noProof/>
          <w:lang w:val="sv-SE" w:eastAsia="sv-SE" w:bidi="sv-SE"/>
        </w:rPr>
        <w:tab/>
      </w:r>
      <w:r>
        <w:rPr>
          <w:rFonts w:ascii="Times New Roman Bold" w:hAnsi="Times New Roman Bold"/>
          <w:b/>
          <w:smallCaps/>
          <w:noProof/>
          <w:sz w:val="26"/>
          <w:lang w:val="sv-SE" w:eastAsia="sv-SE" w:bidi="sv-SE"/>
        </w:rPr>
        <w:t>Inledning</w:t>
      </w:r>
    </w:p>
    <w:p w:rsidR="008A54B8" w:rsidRDefault="008A54B8">
      <w:pPr>
        <w:spacing w:after="0" w:line="120" w:lineRule="auto"/>
        <w:rPr>
          <w:rFonts w:ascii="Times New Roman" w:hAnsi="Times New Roman"/>
          <w:b/>
          <w:noProof/>
          <w:sz w:val="24"/>
          <w:szCs w:val="24"/>
          <w:lang w:val="sv-SE" w:eastAsia="sv-SE" w:bidi="sv-SE"/>
        </w:rPr>
      </w:pPr>
    </w:p>
    <w:p w:rsidR="008A54B8" w:rsidRDefault="00BD0CDB">
      <w:pPr>
        <w:spacing w:before="120" w:after="120" w:line="240" w:lineRule="auto"/>
        <w:jc w:val="both"/>
        <w:rPr>
          <w:rFonts w:ascii="Times New Roman" w:hAnsi="Times New Roman"/>
          <w:noProof/>
          <w:sz w:val="24"/>
          <w:szCs w:val="24"/>
          <w:lang w:val="sv-SE" w:eastAsia="sv-SE" w:bidi="sv-SE"/>
        </w:rPr>
      </w:pPr>
      <w:r>
        <w:rPr>
          <w:rFonts w:ascii="Times New Roman" w:hAnsi="Times New Roman"/>
          <w:b/>
          <w:noProof/>
          <w:sz w:val="24"/>
          <w:lang w:val="sv-SE" w:eastAsia="sv-SE" w:bidi="sv-SE"/>
        </w:rPr>
        <w:t xml:space="preserve">Den europeiska planeringsterminen är ett viktigt redskap för att få till stånd </w:t>
      </w:r>
      <w:r>
        <w:rPr>
          <w:rFonts w:ascii="Times New Roman" w:hAnsi="Times New Roman"/>
          <w:b/>
          <w:noProof/>
          <w:sz w:val="24"/>
          <w:lang w:val="sv-SE" w:eastAsia="sv-SE" w:bidi="sv-SE"/>
        </w:rPr>
        <w:t>reformer på nationell och europeisk nivå. Den skapar fokus för och samordnar medlemsländernas arbete med makroekonomiska, statsfinansiella och strukturella reformer.</w:t>
      </w:r>
      <w:r>
        <w:rPr>
          <w:rFonts w:ascii="Times New Roman" w:hAnsi="Times New Roman"/>
          <w:noProof/>
          <w:sz w:val="24"/>
          <w:lang w:val="sv-SE" w:eastAsia="sv-SE" w:bidi="sv-SE"/>
        </w:rPr>
        <w:t xml:space="preserve"> Med stöd i kommissionens meddelande om stegen mot färdigställandet av den ekonomiska och m</w:t>
      </w:r>
      <w:r>
        <w:rPr>
          <w:rFonts w:ascii="Times New Roman" w:hAnsi="Times New Roman"/>
          <w:noProof/>
          <w:sz w:val="24"/>
          <w:lang w:val="sv-SE" w:eastAsia="sv-SE" w:bidi="sv-SE"/>
        </w:rPr>
        <w:t>onetära unionen</w:t>
      </w:r>
      <w:r>
        <w:rPr>
          <w:rFonts w:ascii="Times New Roman" w:hAnsi="Times New Roman"/>
          <w:noProof/>
          <w:sz w:val="24"/>
          <w:vertAlign w:val="superscript"/>
          <w:lang w:val="sv-SE" w:eastAsia="sv-SE" w:bidi="sv-SE"/>
        </w:rPr>
        <w:footnoteReference w:id="2"/>
      </w:r>
      <w:r>
        <w:rPr>
          <w:rFonts w:ascii="Times New Roman" w:hAnsi="Times New Roman"/>
          <w:noProof/>
          <w:sz w:val="24"/>
          <w:lang w:val="sv-SE" w:eastAsia="sv-SE" w:bidi="sv-SE"/>
        </w:rPr>
        <w:t>, följer den europeiska planeringsterminen 2016 den rationaliserade form som inleddes 2015. Den integrerar euroområdes- och nationsdimensionerna och har större fokus på sysselsättning, resultaten på det socialpolitiska området, investeringar och konkurrens</w:t>
      </w:r>
      <w:r>
        <w:rPr>
          <w:rFonts w:ascii="Times New Roman" w:hAnsi="Times New Roman"/>
          <w:noProof/>
          <w:sz w:val="24"/>
          <w:lang w:val="sv-SE" w:eastAsia="sv-SE" w:bidi="sv-SE"/>
        </w:rPr>
        <w:t xml:space="preserve">kraft. Den främjar konvergens och framhäver det stöd för reformer som ges av EU:s fonder, särskilt struktur- och investeringsfonderna, samt det tekniska biståndet. </w:t>
      </w:r>
    </w:p>
    <w:p w:rsidR="008A54B8" w:rsidRDefault="00BD0CDB">
      <w:pPr>
        <w:spacing w:before="120" w:after="120" w:line="240" w:lineRule="auto"/>
        <w:jc w:val="both"/>
        <w:rPr>
          <w:rFonts w:ascii="Times New Roman" w:hAnsi="Times New Roman"/>
          <w:noProof/>
          <w:sz w:val="24"/>
          <w:szCs w:val="24"/>
          <w:lang w:val="sv-SE" w:eastAsia="sv-SE" w:bidi="sv-SE"/>
        </w:rPr>
      </w:pPr>
      <w:r>
        <w:rPr>
          <w:rFonts w:ascii="Times New Roman" w:hAnsi="Times New Roman"/>
          <w:b/>
          <w:noProof/>
          <w:sz w:val="24"/>
          <w:lang w:val="sv-SE" w:eastAsia="sv-SE" w:bidi="sv-SE"/>
        </w:rPr>
        <w:t>I den årliga tillväxtöversikten för 2016</w:t>
      </w:r>
      <w:r>
        <w:rPr>
          <w:rFonts w:ascii="Times New Roman" w:hAnsi="Times New Roman"/>
          <w:b/>
          <w:noProof/>
          <w:sz w:val="24"/>
          <w:vertAlign w:val="superscript"/>
          <w:lang w:val="sv-SE" w:eastAsia="sv-SE" w:bidi="sv-SE"/>
        </w:rPr>
        <w:footnoteReference w:id="3"/>
      </w:r>
      <w:r>
        <w:rPr>
          <w:rFonts w:ascii="Times New Roman" w:hAnsi="Times New Roman"/>
          <w:b/>
          <w:noProof/>
          <w:sz w:val="24"/>
          <w:lang w:val="sv-SE" w:eastAsia="sv-SE" w:bidi="sv-SE"/>
        </w:rPr>
        <w:t xml:space="preserve"> betonar kommissionen behovet av att konsolidera å</w:t>
      </w:r>
      <w:r>
        <w:rPr>
          <w:rFonts w:ascii="Times New Roman" w:hAnsi="Times New Roman"/>
          <w:b/>
          <w:noProof/>
          <w:sz w:val="24"/>
          <w:lang w:val="sv-SE" w:eastAsia="sv-SE" w:bidi="sv-SE"/>
        </w:rPr>
        <w:t>terhämtningen och få den att bli varaktig. Den uppåtgående konvergensen måste också påskyndas.</w:t>
      </w:r>
      <w:r>
        <w:rPr>
          <w:rFonts w:ascii="Times New Roman" w:hAnsi="Times New Roman"/>
          <w:noProof/>
          <w:sz w:val="24"/>
          <w:lang w:val="sv-SE" w:eastAsia="sv-SE" w:bidi="sv-SE"/>
        </w:rPr>
        <w:t xml:space="preserve"> Euroområdets problem och prioriteringar beskrivs också i rekommendationen om den ekonomiska politiken för euroområdet.</w:t>
      </w:r>
      <w:r>
        <w:rPr>
          <w:rFonts w:ascii="Times New Roman" w:hAnsi="Times New Roman"/>
          <w:noProof/>
          <w:sz w:val="24"/>
          <w:vertAlign w:val="superscript"/>
          <w:lang w:val="sv-SE" w:eastAsia="sv-SE" w:bidi="sv-SE"/>
        </w:rPr>
        <w:footnoteReference w:id="4"/>
      </w:r>
      <w:r>
        <w:rPr>
          <w:rFonts w:ascii="Times New Roman" w:hAnsi="Times New Roman"/>
          <w:noProof/>
          <w:sz w:val="24"/>
          <w:lang w:val="sv-SE" w:eastAsia="sv-SE" w:bidi="sv-SE"/>
        </w:rPr>
        <w:t xml:space="preserve"> Att sträva efter uppåtgående ekonomisk oc</w:t>
      </w:r>
      <w:r>
        <w:rPr>
          <w:rFonts w:ascii="Times New Roman" w:hAnsi="Times New Roman"/>
          <w:noProof/>
          <w:sz w:val="24"/>
          <w:lang w:val="sv-SE" w:eastAsia="sv-SE" w:bidi="sv-SE"/>
        </w:rPr>
        <w:t>h social konvergens är viktigt för att komma till rätta med skillnaderna mellan och inom medlemsländerna. Mot denna bakgrund uppmanade kommissionen länderna att dra nytta av den pågående måttliga återhämtningen och inrikta sina politiska satsningar på följ</w:t>
      </w:r>
      <w:r>
        <w:rPr>
          <w:rFonts w:ascii="Times New Roman" w:hAnsi="Times New Roman"/>
          <w:noProof/>
          <w:sz w:val="24"/>
          <w:lang w:val="sv-SE" w:eastAsia="sv-SE" w:bidi="sv-SE"/>
        </w:rPr>
        <w:t xml:space="preserve">ande tre prioriteringar: ge ny stimulans åt investeringarna, fullfölja sina strukturreformer för att modernisera ekonomierna i EU och driva en ansvarsfull finanspolitik. </w:t>
      </w:r>
    </w:p>
    <w:p w:rsidR="008A54B8" w:rsidRDefault="00BD0CDB">
      <w:pPr>
        <w:spacing w:before="120" w:after="120" w:line="240" w:lineRule="auto"/>
        <w:jc w:val="both"/>
        <w:rPr>
          <w:rFonts w:ascii="Times New Roman" w:hAnsi="Times New Roman"/>
          <w:noProof/>
          <w:sz w:val="24"/>
          <w:szCs w:val="24"/>
          <w:lang w:val="sv-SE" w:eastAsia="sv-SE" w:bidi="sv-SE"/>
        </w:rPr>
      </w:pPr>
      <w:r>
        <w:rPr>
          <w:rFonts w:ascii="Times New Roman" w:hAnsi="Times New Roman"/>
          <w:b/>
          <w:noProof/>
          <w:sz w:val="24"/>
          <w:lang w:val="sv-SE" w:eastAsia="sv-SE" w:bidi="sv-SE"/>
        </w:rPr>
        <w:t>Landsrapporterna inom planeringsterminen 2016 har publicerats vid en tid då det är my</w:t>
      </w:r>
      <w:r>
        <w:rPr>
          <w:rFonts w:ascii="Times New Roman" w:hAnsi="Times New Roman"/>
          <w:b/>
          <w:noProof/>
          <w:sz w:val="24"/>
          <w:lang w:val="sv-SE" w:eastAsia="sv-SE" w:bidi="sv-SE"/>
        </w:rPr>
        <w:t>cket viktigt att stödja den ekonomiska återhämtningen och se till att den backas upp av nödvändiga åtgärder och politiska satsningar för att skapa ytterligare tillväxt.</w:t>
      </w:r>
      <w:r>
        <w:rPr>
          <w:rFonts w:ascii="Times New Roman" w:hAnsi="Times New Roman"/>
          <w:noProof/>
          <w:sz w:val="24"/>
          <w:lang w:val="sv-SE" w:eastAsia="sv-SE" w:bidi="sv-SE"/>
        </w:rPr>
        <w:t xml:space="preserve"> Av rapporterna framgår att medlemsländerna arbetar hårt i det avseendet. Vissa reformer</w:t>
      </w:r>
      <w:r>
        <w:rPr>
          <w:rFonts w:ascii="Times New Roman" w:hAnsi="Times New Roman"/>
          <w:noProof/>
          <w:sz w:val="24"/>
          <w:lang w:val="sv-SE" w:eastAsia="sv-SE" w:bidi="sv-SE"/>
        </w:rPr>
        <w:t xml:space="preserve"> kommer visserligen att ge resultat först om flera år, men strukturreformer kommer att visa sig vara grunden för hållbar tillväxt, en konkurrenskraftig ekonomi, jobb och investeringar. Med tanke på hur snabbt de makroekonomiska förhållandena kan ändras i v</w:t>
      </w:r>
      <w:r>
        <w:rPr>
          <w:rFonts w:ascii="Times New Roman" w:hAnsi="Times New Roman"/>
          <w:noProof/>
          <w:sz w:val="24"/>
          <w:lang w:val="sv-SE" w:eastAsia="sv-SE" w:bidi="sv-SE"/>
        </w:rPr>
        <w:t xml:space="preserve">år globaliserade värld, är det mycket angeläget att göra det bästa av de rådande, gynnsamma förhållandena för tillväxt och skruva upp reformtakten för att stärka EU:s konkurrenskraft. Den ekonomiska och sociala politiken måste också tillgodose behoven hos </w:t>
      </w:r>
      <w:r>
        <w:rPr>
          <w:rFonts w:ascii="Times New Roman" w:hAnsi="Times New Roman"/>
          <w:noProof/>
          <w:sz w:val="24"/>
          <w:lang w:val="sv-SE" w:eastAsia="sv-SE" w:bidi="sv-SE"/>
        </w:rPr>
        <w:t>de många migranter och flyktingar som nyligen kommit till EU, främst deras omedelbara behov och deras integrering på arbetsmarknaden.</w:t>
      </w:r>
    </w:p>
    <w:p w:rsidR="008A54B8" w:rsidRDefault="00BD0CDB">
      <w:pPr>
        <w:pBdr>
          <w:top w:val="nil"/>
          <w:left w:val="nil"/>
          <w:bottom w:val="nil"/>
          <w:right w:val="nil"/>
          <w:between w:val="nil"/>
          <w:bar w:val="nil"/>
        </w:pBdr>
        <w:spacing w:before="120" w:after="120" w:line="240" w:lineRule="auto"/>
        <w:jc w:val="both"/>
        <w:rPr>
          <w:rFonts w:ascii="Times New Roman" w:eastAsia="Times New Roman" w:hAnsi="Times New Roman" w:cs="Calibri"/>
          <w:noProof/>
          <w:color w:val="000000"/>
          <w:sz w:val="24"/>
          <w:szCs w:val="24"/>
          <w:u w:color="000000"/>
          <w:bdr w:val="nil"/>
          <w:lang w:val="sv-SE" w:eastAsia="sv-SE" w:bidi="sv-SE"/>
        </w:rPr>
      </w:pPr>
      <w:r>
        <w:rPr>
          <w:rFonts w:ascii="Times New Roman"/>
          <w:b/>
          <w:noProof/>
          <w:color w:val="000000"/>
          <w:sz w:val="24"/>
          <w:u w:color="000000"/>
          <w:bdr w:val="nil"/>
          <w:lang w:val="sv-SE" w:eastAsia="sv-SE" w:bidi="sv-SE"/>
        </w:rPr>
        <w:t xml:space="preserve">Att de nationella parlamenten, arbetsmarknadens parter och andra intressenter </w:t>
      </w:r>
      <w:r>
        <w:rPr>
          <w:rFonts w:ascii="Times New Roman"/>
          <w:b/>
          <w:noProof/>
          <w:color w:val="000000"/>
          <w:sz w:val="24"/>
          <w:u w:color="000000"/>
          <w:bdr w:val="nil"/>
          <w:lang w:val="sv-SE" w:eastAsia="sv-SE" w:bidi="sv-SE"/>
        </w:rPr>
        <w:t>ä</w:t>
      </w:r>
      <w:r>
        <w:rPr>
          <w:rFonts w:ascii="Times New Roman"/>
          <w:b/>
          <w:noProof/>
          <w:color w:val="000000"/>
          <w:sz w:val="24"/>
          <w:u w:color="000000"/>
          <w:bdr w:val="nil"/>
          <w:lang w:val="sv-SE" w:eastAsia="sv-SE" w:bidi="sv-SE"/>
        </w:rPr>
        <w:t>r n</w:t>
      </w:r>
      <w:r>
        <w:rPr>
          <w:rFonts w:ascii="Times New Roman"/>
          <w:b/>
          <w:noProof/>
          <w:color w:val="000000"/>
          <w:sz w:val="24"/>
          <w:u w:color="000000"/>
          <w:bdr w:val="nil"/>
          <w:lang w:val="sv-SE" w:eastAsia="sv-SE" w:bidi="sv-SE"/>
        </w:rPr>
        <w:t>ä</w:t>
      </w:r>
      <w:r>
        <w:rPr>
          <w:rFonts w:ascii="Times New Roman"/>
          <w:b/>
          <w:noProof/>
          <w:color w:val="000000"/>
          <w:sz w:val="24"/>
          <w:u w:color="000000"/>
          <w:bdr w:val="nil"/>
          <w:lang w:val="sv-SE" w:eastAsia="sv-SE" w:bidi="sv-SE"/>
        </w:rPr>
        <w:t xml:space="preserve">ra involverade i utformningen och </w:t>
      </w:r>
      <w:r>
        <w:rPr>
          <w:rFonts w:ascii="Times New Roman"/>
          <w:b/>
          <w:noProof/>
          <w:color w:val="000000"/>
          <w:sz w:val="24"/>
          <w:u w:color="000000"/>
          <w:bdr w:val="nil"/>
          <w:lang w:val="sv-SE" w:eastAsia="sv-SE" w:bidi="sv-SE"/>
        </w:rPr>
        <w:t>genomf</w:t>
      </w:r>
      <w:r>
        <w:rPr>
          <w:rFonts w:ascii="Times New Roman"/>
          <w:b/>
          <w:noProof/>
          <w:color w:val="000000"/>
          <w:sz w:val="24"/>
          <w:u w:color="000000"/>
          <w:bdr w:val="nil"/>
          <w:lang w:val="sv-SE" w:eastAsia="sv-SE" w:bidi="sv-SE"/>
        </w:rPr>
        <w:t>ö</w:t>
      </w:r>
      <w:r>
        <w:rPr>
          <w:rFonts w:ascii="Times New Roman"/>
          <w:b/>
          <w:noProof/>
          <w:color w:val="000000"/>
          <w:sz w:val="24"/>
          <w:u w:color="000000"/>
          <w:bdr w:val="nil"/>
          <w:lang w:val="sv-SE" w:eastAsia="sv-SE" w:bidi="sv-SE"/>
        </w:rPr>
        <w:t xml:space="preserve">randet av reformerna </w:t>
      </w:r>
      <w:r>
        <w:rPr>
          <w:rFonts w:ascii="Times New Roman"/>
          <w:b/>
          <w:noProof/>
          <w:color w:val="000000"/>
          <w:sz w:val="24"/>
          <w:u w:color="000000"/>
          <w:bdr w:val="nil"/>
          <w:lang w:val="sv-SE" w:eastAsia="sv-SE" w:bidi="sv-SE"/>
        </w:rPr>
        <w:t>ä</w:t>
      </w:r>
      <w:r>
        <w:rPr>
          <w:rFonts w:ascii="Times New Roman"/>
          <w:b/>
          <w:noProof/>
          <w:color w:val="000000"/>
          <w:sz w:val="24"/>
          <w:u w:color="000000"/>
          <w:bdr w:val="nil"/>
          <w:lang w:val="sv-SE" w:eastAsia="sv-SE" w:bidi="sv-SE"/>
        </w:rPr>
        <w:t>r viktigt f</w:t>
      </w:r>
      <w:r>
        <w:rPr>
          <w:rFonts w:ascii="Times New Roman"/>
          <w:b/>
          <w:noProof/>
          <w:color w:val="000000"/>
          <w:sz w:val="24"/>
          <w:u w:color="000000"/>
          <w:bdr w:val="nil"/>
          <w:lang w:val="sv-SE" w:eastAsia="sv-SE" w:bidi="sv-SE"/>
        </w:rPr>
        <w:t>ö</w:t>
      </w:r>
      <w:r>
        <w:rPr>
          <w:rFonts w:ascii="Times New Roman"/>
          <w:b/>
          <w:noProof/>
          <w:color w:val="000000"/>
          <w:sz w:val="24"/>
          <w:u w:color="000000"/>
          <w:bdr w:val="nil"/>
          <w:lang w:val="sv-SE" w:eastAsia="sv-SE" w:bidi="sv-SE"/>
        </w:rPr>
        <w:t>r utfallet av reformerna.</w:t>
      </w:r>
      <w:r>
        <w:rPr>
          <w:rFonts w:ascii="Times New Roman"/>
          <w:noProof/>
          <w:color w:val="000000"/>
          <w:sz w:val="24"/>
          <w:u w:color="000000"/>
          <w:bdr w:val="nil"/>
          <w:lang w:val="sv-SE" w:eastAsia="sv-SE" w:bidi="sv-SE"/>
        </w:rPr>
        <w:t xml:space="preserve"> Det </w:t>
      </w:r>
      <w:r>
        <w:rPr>
          <w:rFonts w:ascii="Times New Roman"/>
          <w:noProof/>
          <w:color w:val="000000"/>
          <w:sz w:val="24"/>
          <w:u w:color="000000"/>
          <w:bdr w:val="nil"/>
          <w:lang w:val="sv-SE" w:eastAsia="sv-SE" w:bidi="sv-SE"/>
        </w:rPr>
        <w:t>ä</w:t>
      </w:r>
      <w:r>
        <w:rPr>
          <w:rFonts w:ascii="Times New Roman"/>
          <w:noProof/>
          <w:color w:val="000000"/>
          <w:sz w:val="24"/>
          <w:u w:color="000000"/>
          <w:bdr w:val="nil"/>
          <w:lang w:val="sv-SE" w:eastAsia="sv-SE" w:bidi="sv-SE"/>
        </w:rPr>
        <w:t>r n</w:t>
      </w:r>
      <w:r>
        <w:rPr>
          <w:rFonts w:ascii="Times New Roman"/>
          <w:noProof/>
          <w:color w:val="000000"/>
          <w:sz w:val="24"/>
          <w:u w:color="000000"/>
          <w:bdr w:val="nil"/>
          <w:lang w:val="sv-SE" w:eastAsia="sv-SE" w:bidi="sv-SE"/>
        </w:rPr>
        <w:t>ö</w:t>
      </w:r>
      <w:r>
        <w:rPr>
          <w:rFonts w:ascii="Times New Roman"/>
          <w:noProof/>
          <w:color w:val="000000"/>
          <w:sz w:val="24"/>
          <w:u w:color="000000"/>
          <w:bdr w:val="nil"/>
          <w:lang w:val="sv-SE" w:eastAsia="sv-SE" w:bidi="sv-SE"/>
        </w:rPr>
        <w:t>dv</w:t>
      </w:r>
      <w:r>
        <w:rPr>
          <w:rFonts w:ascii="Times New Roman"/>
          <w:noProof/>
          <w:color w:val="000000"/>
          <w:sz w:val="24"/>
          <w:u w:color="000000"/>
          <w:bdr w:val="nil"/>
          <w:lang w:val="sv-SE" w:eastAsia="sv-SE" w:bidi="sv-SE"/>
        </w:rPr>
        <w:t>ä</w:t>
      </w:r>
      <w:r>
        <w:rPr>
          <w:rFonts w:ascii="Times New Roman"/>
          <w:noProof/>
          <w:color w:val="000000"/>
          <w:sz w:val="24"/>
          <w:u w:color="000000"/>
          <w:bdr w:val="nil"/>
          <w:lang w:val="sv-SE" w:eastAsia="sv-SE" w:bidi="sv-SE"/>
        </w:rPr>
        <w:t xml:space="preserve">ndigt att </w:t>
      </w:r>
      <w:r>
        <w:rPr>
          <w:rFonts w:ascii="Times New Roman"/>
          <w:noProof/>
          <w:color w:val="000000"/>
          <w:sz w:val="24"/>
          <w:u w:color="000000"/>
          <w:bdr w:val="nil"/>
          <w:lang w:val="sv-SE" w:eastAsia="sv-SE" w:bidi="sv-SE"/>
        </w:rPr>
        <w:t>ö</w:t>
      </w:r>
      <w:r>
        <w:rPr>
          <w:rFonts w:ascii="Times New Roman"/>
          <w:noProof/>
          <w:color w:val="000000"/>
          <w:sz w:val="24"/>
          <w:u w:color="000000"/>
          <w:bdr w:val="nil"/>
          <w:lang w:val="sv-SE" w:eastAsia="sv-SE" w:bidi="sv-SE"/>
        </w:rPr>
        <w:t xml:space="preserve">ka </w:t>
      </w:r>
      <w:r>
        <w:rPr>
          <w:rFonts w:ascii="Times New Roman"/>
          <w:noProof/>
          <w:color w:val="000000"/>
          <w:sz w:val="24"/>
          <w:u w:color="000000"/>
          <w:bdr w:val="nil"/>
          <w:lang w:val="sv-SE" w:eastAsia="sv-SE" w:bidi="sv-SE"/>
        </w:rPr>
        <w:t>ä</w:t>
      </w:r>
      <w:r>
        <w:rPr>
          <w:rFonts w:ascii="Times New Roman"/>
          <w:noProof/>
          <w:color w:val="000000"/>
          <w:sz w:val="24"/>
          <w:u w:color="000000"/>
          <w:bdr w:val="nil"/>
          <w:lang w:val="sv-SE" w:eastAsia="sv-SE" w:bidi="sv-SE"/>
        </w:rPr>
        <w:t>ndam</w:t>
      </w:r>
      <w:r>
        <w:rPr>
          <w:rFonts w:ascii="Times New Roman"/>
          <w:noProof/>
          <w:color w:val="000000"/>
          <w:sz w:val="24"/>
          <w:u w:color="000000"/>
          <w:bdr w:val="nil"/>
          <w:lang w:val="sv-SE" w:eastAsia="sv-SE" w:bidi="sv-SE"/>
        </w:rPr>
        <w:t>å</w:t>
      </w:r>
      <w:r>
        <w:rPr>
          <w:rFonts w:ascii="Times New Roman"/>
          <w:noProof/>
          <w:color w:val="000000"/>
          <w:sz w:val="24"/>
          <w:u w:color="000000"/>
          <w:bdr w:val="nil"/>
          <w:lang w:val="sv-SE" w:eastAsia="sv-SE" w:bidi="sv-SE"/>
        </w:rPr>
        <w:t>lsenligheten och egenansvaret n</w:t>
      </w:r>
      <w:r>
        <w:rPr>
          <w:rFonts w:ascii="Times New Roman"/>
          <w:noProof/>
          <w:color w:val="000000"/>
          <w:sz w:val="24"/>
          <w:u w:color="000000"/>
          <w:bdr w:val="nil"/>
          <w:lang w:val="sv-SE" w:eastAsia="sv-SE" w:bidi="sv-SE"/>
        </w:rPr>
        <w:t>ä</w:t>
      </w:r>
      <w:r>
        <w:rPr>
          <w:rFonts w:ascii="Times New Roman"/>
          <w:noProof/>
          <w:color w:val="000000"/>
          <w:sz w:val="24"/>
          <w:u w:color="000000"/>
          <w:bdr w:val="nil"/>
          <w:lang w:val="sv-SE" w:eastAsia="sv-SE" w:bidi="sv-SE"/>
        </w:rPr>
        <w:t>r det g</w:t>
      </w:r>
      <w:r>
        <w:rPr>
          <w:rFonts w:ascii="Times New Roman"/>
          <w:noProof/>
          <w:color w:val="000000"/>
          <w:sz w:val="24"/>
          <w:u w:color="000000"/>
          <w:bdr w:val="nil"/>
          <w:lang w:val="sv-SE" w:eastAsia="sv-SE" w:bidi="sv-SE"/>
        </w:rPr>
        <w:t>ä</w:t>
      </w:r>
      <w:r>
        <w:rPr>
          <w:rFonts w:ascii="Times New Roman"/>
          <w:noProof/>
          <w:color w:val="000000"/>
          <w:sz w:val="24"/>
          <w:u w:color="000000"/>
          <w:bdr w:val="nil"/>
          <w:lang w:val="sv-SE" w:eastAsia="sv-SE" w:bidi="sv-SE"/>
        </w:rPr>
        <w:t>ller reformarbetet i medlemsl</w:t>
      </w:r>
      <w:r>
        <w:rPr>
          <w:rFonts w:ascii="Times New Roman"/>
          <w:noProof/>
          <w:color w:val="000000"/>
          <w:sz w:val="24"/>
          <w:u w:color="000000"/>
          <w:bdr w:val="nil"/>
          <w:lang w:val="sv-SE" w:eastAsia="sv-SE" w:bidi="sv-SE"/>
        </w:rPr>
        <w:t>ä</w:t>
      </w:r>
      <w:r>
        <w:rPr>
          <w:rFonts w:ascii="Times New Roman"/>
          <w:noProof/>
          <w:color w:val="000000"/>
          <w:sz w:val="24"/>
          <w:u w:color="000000"/>
          <w:bdr w:val="nil"/>
          <w:lang w:val="sv-SE" w:eastAsia="sv-SE" w:bidi="sv-SE"/>
        </w:rPr>
        <w:t>nderna. Det framh</w:t>
      </w:r>
      <w:r>
        <w:rPr>
          <w:rFonts w:ascii="Times New Roman"/>
          <w:noProof/>
          <w:color w:val="000000"/>
          <w:sz w:val="24"/>
          <w:u w:color="000000"/>
          <w:bdr w:val="nil"/>
          <w:lang w:val="sv-SE" w:eastAsia="sv-SE" w:bidi="sv-SE"/>
        </w:rPr>
        <w:t>å</w:t>
      </w:r>
      <w:r>
        <w:rPr>
          <w:rFonts w:ascii="Times New Roman"/>
          <w:noProof/>
          <w:color w:val="000000"/>
          <w:sz w:val="24"/>
          <w:u w:color="000000"/>
          <w:bdr w:val="nil"/>
          <w:lang w:val="sv-SE" w:eastAsia="sv-SE" w:bidi="sv-SE"/>
        </w:rPr>
        <w:t>lls ocks</w:t>
      </w:r>
      <w:r>
        <w:rPr>
          <w:rFonts w:ascii="Times New Roman"/>
          <w:noProof/>
          <w:color w:val="000000"/>
          <w:sz w:val="24"/>
          <w:u w:color="000000"/>
          <w:bdr w:val="nil"/>
          <w:lang w:val="sv-SE" w:eastAsia="sv-SE" w:bidi="sv-SE"/>
        </w:rPr>
        <w:t>å</w:t>
      </w:r>
      <w:r>
        <w:rPr>
          <w:rFonts w:ascii="Times New Roman"/>
          <w:noProof/>
          <w:color w:val="000000"/>
          <w:sz w:val="24"/>
          <w:u w:color="000000"/>
          <w:bdr w:val="nil"/>
          <w:lang w:val="sv-SE" w:eastAsia="sv-SE" w:bidi="sv-SE"/>
        </w:rPr>
        <w:t xml:space="preserve"> i kommissionens r</w:t>
      </w:r>
      <w:r>
        <w:rPr>
          <w:rFonts w:ascii="Times New Roman"/>
          <w:noProof/>
          <w:color w:val="000000"/>
          <w:sz w:val="24"/>
          <w:u w:color="000000"/>
          <w:bdr w:val="nil"/>
          <w:lang w:val="sv-SE" w:eastAsia="sv-SE" w:bidi="sv-SE"/>
        </w:rPr>
        <w:t>å</w:t>
      </w:r>
      <w:r>
        <w:rPr>
          <w:rFonts w:ascii="Times New Roman"/>
          <w:noProof/>
          <w:color w:val="000000"/>
          <w:sz w:val="24"/>
          <w:u w:color="000000"/>
          <w:bdr w:val="nil"/>
          <w:lang w:val="sv-SE" w:eastAsia="sv-SE" w:bidi="sv-SE"/>
        </w:rPr>
        <w:t>d till medlemsl</w:t>
      </w:r>
      <w:r>
        <w:rPr>
          <w:rFonts w:ascii="Times New Roman"/>
          <w:noProof/>
          <w:color w:val="000000"/>
          <w:sz w:val="24"/>
          <w:u w:color="000000"/>
          <w:bdr w:val="nil"/>
          <w:lang w:val="sv-SE" w:eastAsia="sv-SE" w:bidi="sv-SE"/>
        </w:rPr>
        <w:t>ä</w:t>
      </w:r>
      <w:r>
        <w:rPr>
          <w:rFonts w:ascii="Times New Roman"/>
          <w:noProof/>
          <w:color w:val="000000"/>
          <w:sz w:val="24"/>
          <w:u w:color="000000"/>
          <w:bdr w:val="nil"/>
          <w:lang w:val="sv-SE" w:eastAsia="sv-SE" w:bidi="sv-SE"/>
        </w:rPr>
        <w:t>nderna om f</w:t>
      </w:r>
      <w:r>
        <w:rPr>
          <w:rFonts w:ascii="Times New Roman"/>
          <w:noProof/>
          <w:color w:val="000000"/>
          <w:sz w:val="24"/>
          <w:u w:color="000000"/>
          <w:bdr w:val="nil"/>
          <w:lang w:val="sv-SE" w:eastAsia="sv-SE" w:bidi="sv-SE"/>
        </w:rPr>
        <w:t>ö</w:t>
      </w:r>
      <w:r>
        <w:rPr>
          <w:rFonts w:ascii="Times New Roman"/>
          <w:noProof/>
          <w:color w:val="000000"/>
          <w:sz w:val="24"/>
          <w:u w:color="000000"/>
          <w:bdr w:val="nil"/>
          <w:lang w:val="sv-SE" w:eastAsia="sv-SE" w:bidi="sv-SE"/>
        </w:rPr>
        <w:t>rberedelserna</w:t>
      </w:r>
      <w:r>
        <w:rPr>
          <w:rFonts w:ascii="Times New Roman"/>
          <w:noProof/>
          <w:color w:val="000000"/>
          <w:sz w:val="24"/>
          <w:u w:color="000000"/>
          <w:bdr w:val="nil"/>
          <w:lang w:val="sv-SE" w:eastAsia="sv-SE" w:bidi="sv-SE"/>
        </w:rPr>
        <w:t xml:space="preserve"> av de nationella reformprogrammen. Kommissionen har ocks</w:t>
      </w:r>
      <w:r>
        <w:rPr>
          <w:rFonts w:ascii="Times New Roman"/>
          <w:noProof/>
          <w:color w:val="000000"/>
          <w:sz w:val="24"/>
          <w:u w:color="000000"/>
          <w:bdr w:val="nil"/>
          <w:lang w:val="sv-SE" w:eastAsia="sv-SE" w:bidi="sv-SE"/>
        </w:rPr>
        <w:t>å</w:t>
      </w:r>
      <w:r>
        <w:rPr>
          <w:rFonts w:ascii="Times New Roman"/>
          <w:noProof/>
          <w:color w:val="000000"/>
          <w:sz w:val="24"/>
          <w:u w:color="000000"/>
          <w:bdr w:val="nil"/>
          <w:lang w:val="sv-SE" w:eastAsia="sv-SE" w:bidi="sv-SE"/>
        </w:rPr>
        <w:t xml:space="preserve"> f</w:t>
      </w:r>
      <w:r>
        <w:rPr>
          <w:rFonts w:ascii="Times New Roman"/>
          <w:noProof/>
          <w:color w:val="000000"/>
          <w:sz w:val="24"/>
          <w:u w:color="000000"/>
          <w:bdr w:val="nil"/>
          <w:lang w:val="sv-SE" w:eastAsia="sv-SE" w:bidi="sv-SE"/>
        </w:rPr>
        <w:t>ö</w:t>
      </w:r>
      <w:r>
        <w:rPr>
          <w:rFonts w:ascii="Times New Roman"/>
          <w:noProof/>
          <w:color w:val="000000"/>
          <w:sz w:val="24"/>
          <w:u w:color="000000"/>
          <w:bdr w:val="nil"/>
          <w:lang w:val="sv-SE" w:eastAsia="sv-SE" w:bidi="sv-SE"/>
        </w:rPr>
        <w:t>rdjupat kontakterna med arbetsmarknadens parter p</w:t>
      </w:r>
      <w:r>
        <w:rPr>
          <w:rFonts w:ascii="Times New Roman"/>
          <w:noProof/>
          <w:color w:val="000000"/>
          <w:sz w:val="24"/>
          <w:u w:color="000000"/>
          <w:bdr w:val="nil"/>
          <w:lang w:val="sv-SE" w:eastAsia="sv-SE" w:bidi="sv-SE"/>
        </w:rPr>
        <w:t>å</w:t>
      </w:r>
      <w:r>
        <w:rPr>
          <w:rFonts w:ascii="Times New Roman"/>
          <w:noProof/>
          <w:color w:val="000000"/>
          <w:sz w:val="24"/>
          <w:u w:color="000000"/>
          <w:bdr w:val="nil"/>
          <w:lang w:val="sv-SE" w:eastAsia="sv-SE" w:bidi="sv-SE"/>
        </w:rPr>
        <w:t xml:space="preserve"> europeisk och nationell niv</w:t>
      </w:r>
      <w:r>
        <w:rPr>
          <w:rFonts w:ascii="Times New Roman"/>
          <w:noProof/>
          <w:color w:val="000000"/>
          <w:sz w:val="24"/>
          <w:u w:color="000000"/>
          <w:bdr w:val="nil"/>
          <w:lang w:val="sv-SE" w:eastAsia="sv-SE" w:bidi="sv-SE"/>
        </w:rPr>
        <w:t>å</w:t>
      </w:r>
      <w:r>
        <w:rPr>
          <w:rFonts w:ascii="Times New Roman"/>
          <w:noProof/>
          <w:color w:val="000000"/>
          <w:sz w:val="24"/>
          <w:u w:color="000000"/>
          <w:bdr w:val="nil"/>
          <w:lang w:val="sv-SE" w:eastAsia="sv-SE" w:bidi="sv-SE"/>
        </w:rPr>
        <w:t xml:space="preserve"> f</w:t>
      </w:r>
      <w:r>
        <w:rPr>
          <w:rFonts w:ascii="Times New Roman"/>
          <w:noProof/>
          <w:color w:val="000000"/>
          <w:sz w:val="24"/>
          <w:u w:color="000000"/>
          <w:bdr w:val="nil"/>
          <w:lang w:val="sv-SE" w:eastAsia="sv-SE" w:bidi="sv-SE"/>
        </w:rPr>
        <w:t>ö</w:t>
      </w:r>
      <w:r>
        <w:rPr>
          <w:rFonts w:ascii="Times New Roman"/>
          <w:noProof/>
          <w:color w:val="000000"/>
          <w:sz w:val="24"/>
          <w:u w:color="000000"/>
          <w:bdr w:val="nil"/>
          <w:lang w:val="sv-SE" w:eastAsia="sv-SE" w:bidi="sv-SE"/>
        </w:rPr>
        <w:t>r att diskutera de viktigaste etapperna i den europeiska planeringsterminen. Man b</w:t>
      </w:r>
      <w:r>
        <w:rPr>
          <w:rFonts w:ascii="Times New Roman"/>
          <w:noProof/>
          <w:color w:val="000000"/>
          <w:sz w:val="24"/>
          <w:u w:color="000000"/>
          <w:bdr w:val="nil"/>
          <w:lang w:val="sv-SE" w:eastAsia="sv-SE" w:bidi="sv-SE"/>
        </w:rPr>
        <w:t>ö</w:t>
      </w:r>
      <w:r>
        <w:rPr>
          <w:rFonts w:ascii="Times New Roman"/>
          <w:noProof/>
          <w:color w:val="000000"/>
          <w:sz w:val="24"/>
          <w:u w:color="000000"/>
          <w:bdr w:val="nil"/>
          <w:lang w:val="sv-SE" w:eastAsia="sv-SE" w:bidi="sv-SE"/>
        </w:rPr>
        <w:t>r ocks</w:t>
      </w:r>
      <w:r>
        <w:rPr>
          <w:rFonts w:ascii="Times New Roman"/>
          <w:noProof/>
          <w:color w:val="000000"/>
          <w:sz w:val="24"/>
          <w:u w:color="000000"/>
          <w:bdr w:val="nil"/>
          <w:lang w:val="sv-SE" w:eastAsia="sv-SE" w:bidi="sv-SE"/>
        </w:rPr>
        <w:t>å</w:t>
      </w:r>
      <w:r>
        <w:rPr>
          <w:rFonts w:ascii="Times New Roman"/>
          <w:noProof/>
          <w:color w:val="000000"/>
          <w:sz w:val="24"/>
          <w:u w:color="000000"/>
          <w:bdr w:val="nil"/>
          <w:lang w:val="sv-SE" w:eastAsia="sv-SE" w:bidi="sv-SE"/>
        </w:rPr>
        <w:t xml:space="preserve"> bygga vidare p</w:t>
      </w:r>
      <w:r>
        <w:rPr>
          <w:rFonts w:ascii="Times New Roman"/>
          <w:noProof/>
          <w:color w:val="000000"/>
          <w:sz w:val="24"/>
          <w:u w:color="000000"/>
          <w:bdr w:val="nil"/>
          <w:lang w:val="sv-SE" w:eastAsia="sv-SE" w:bidi="sv-SE"/>
        </w:rPr>
        <w:t>å</w:t>
      </w:r>
      <w:r>
        <w:rPr>
          <w:rFonts w:ascii="Times New Roman"/>
          <w:noProof/>
          <w:color w:val="000000"/>
          <w:sz w:val="24"/>
          <w:u w:color="000000"/>
          <w:bdr w:val="nil"/>
          <w:lang w:val="sv-SE" w:eastAsia="sv-SE" w:bidi="sv-SE"/>
        </w:rPr>
        <w:t xml:space="preserve"> civils</w:t>
      </w:r>
      <w:r>
        <w:rPr>
          <w:rFonts w:ascii="Times New Roman"/>
          <w:noProof/>
          <w:color w:val="000000"/>
          <w:sz w:val="24"/>
          <w:u w:color="000000"/>
          <w:bdr w:val="nil"/>
          <w:lang w:val="sv-SE" w:eastAsia="sv-SE" w:bidi="sv-SE"/>
        </w:rPr>
        <w:t>amh</w:t>
      </w:r>
      <w:r>
        <w:rPr>
          <w:rFonts w:ascii="Times New Roman"/>
          <w:noProof/>
          <w:color w:val="000000"/>
          <w:sz w:val="24"/>
          <w:u w:color="000000"/>
          <w:bdr w:val="nil"/>
          <w:lang w:val="sv-SE" w:eastAsia="sv-SE" w:bidi="sv-SE"/>
        </w:rPr>
        <w:t>ä</w:t>
      </w:r>
      <w:r>
        <w:rPr>
          <w:rFonts w:ascii="Times New Roman"/>
          <w:noProof/>
          <w:color w:val="000000"/>
          <w:sz w:val="24"/>
          <w:u w:color="000000"/>
          <w:bdr w:val="nil"/>
          <w:lang w:val="sv-SE" w:eastAsia="sv-SE" w:bidi="sv-SE"/>
        </w:rPr>
        <w:t>llets engagemang f</w:t>
      </w:r>
      <w:r>
        <w:rPr>
          <w:rFonts w:ascii="Times New Roman"/>
          <w:noProof/>
          <w:color w:val="000000"/>
          <w:sz w:val="24"/>
          <w:u w:color="000000"/>
          <w:bdr w:val="nil"/>
          <w:lang w:val="sv-SE" w:eastAsia="sv-SE" w:bidi="sv-SE"/>
        </w:rPr>
        <w:t>ö</w:t>
      </w:r>
      <w:r>
        <w:rPr>
          <w:rFonts w:ascii="Times New Roman"/>
          <w:noProof/>
          <w:color w:val="000000"/>
          <w:sz w:val="24"/>
          <w:u w:color="000000"/>
          <w:bdr w:val="nil"/>
          <w:lang w:val="sv-SE" w:eastAsia="sv-SE" w:bidi="sv-SE"/>
        </w:rPr>
        <w:t xml:space="preserve">r Europa 2020-strategin. </w:t>
      </w:r>
    </w:p>
    <w:p w:rsidR="008A54B8" w:rsidRDefault="00BD0CDB">
      <w:pPr>
        <w:spacing w:before="120" w:after="120" w:line="240" w:lineRule="auto"/>
        <w:jc w:val="both"/>
        <w:rPr>
          <w:rFonts w:ascii="Times New Roman" w:hAnsi="Times New Roman"/>
          <w:noProof/>
          <w:sz w:val="24"/>
          <w:szCs w:val="24"/>
          <w:lang w:val="sv-SE" w:eastAsia="sv-SE" w:bidi="sv-SE"/>
        </w:rPr>
      </w:pPr>
      <w:r>
        <w:rPr>
          <w:rFonts w:ascii="Times New Roman" w:hAnsi="Times New Roman"/>
          <w:b/>
          <w:noProof/>
          <w:sz w:val="24"/>
          <w:lang w:val="sv-SE" w:eastAsia="sv-SE" w:bidi="sv-SE"/>
        </w:rPr>
        <w:t>Landsrapporterna för 26 medlemsländer</w:t>
      </w:r>
      <w:r>
        <w:rPr>
          <w:rFonts w:ascii="Times New Roman" w:hAnsi="Times New Roman"/>
          <w:b/>
          <w:noProof/>
          <w:sz w:val="24"/>
          <w:vertAlign w:val="superscript"/>
          <w:lang w:val="sv-SE" w:eastAsia="sv-SE" w:bidi="sv-SE"/>
        </w:rPr>
        <w:footnoteReference w:id="5"/>
      </w:r>
      <w:r>
        <w:rPr>
          <w:noProof/>
          <w:lang w:val="sv-SE" w:eastAsia="sv-SE" w:bidi="sv-SE"/>
        </w:rPr>
        <w:t xml:space="preserve"> </w:t>
      </w:r>
      <w:r>
        <w:rPr>
          <w:rFonts w:ascii="Times New Roman" w:hAnsi="Times New Roman"/>
          <w:b/>
          <w:noProof/>
          <w:sz w:val="24"/>
          <w:lang w:val="sv-SE" w:eastAsia="sv-SE" w:bidi="sv-SE"/>
        </w:rPr>
        <w:t>ger en bild av den övergripande ekonomiska och sociala utvecklingen i varje land</w:t>
      </w:r>
      <w:r>
        <w:rPr>
          <w:rFonts w:ascii="Times New Roman" w:hAnsi="Times New Roman"/>
          <w:noProof/>
          <w:sz w:val="24"/>
          <w:lang w:val="sv-SE" w:eastAsia="sv-SE" w:bidi="sv-SE"/>
        </w:rPr>
        <w:t>. I rapporterna utvärderas de framsteg som gjorts för att åtgärda de problem som identif</w:t>
      </w:r>
      <w:r>
        <w:rPr>
          <w:rFonts w:ascii="Times New Roman" w:hAnsi="Times New Roman"/>
          <w:noProof/>
          <w:sz w:val="24"/>
          <w:lang w:val="sv-SE" w:eastAsia="sv-SE" w:bidi="sv-SE"/>
        </w:rPr>
        <w:t xml:space="preserve">ierades i de landsspecifika rekommendationerna för 2015. För </w:t>
      </w:r>
      <w:r>
        <w:rPr>
          <w:rFonts w:ascii="Times New Roman" w:hAnsi="Times New Roman"/>
          <w:noProof/>
          <w:sz w:val="24"/>
          <w:lang w:val="sv-SE" w:eastAsia="sv-SE" w:bidi="sv-SE"/>
        </w:rPr>
        <w:lastRenderedPageBreak/>
        <w:t>18 länder finns dessutom en fördjupad granskning inom förfarandet för makroekonomiska obalanser. På grundval av denna analys föreslår kommissionen en uppdatering av flera medlemsländers status en</w:t>
      </w:r>
      <w:r>
        <w:rPr>
          <w:rFonts w:ascii="Times New Roman" w:hAnsi="Times New Roman"/>
          <w:noProof/>
          <w:sz w:val="24"/>
          <w:lang w:val="sv-SE" w:eastAsia="sv-SE" w:bidi="sv-SE"/>
        </w:rPr>
        <w:t>ligt det förfarandet.</w:t>
      </w:r>
      <w:r>
        <w:rPr>
          <w:noProof/>
          <w:lang w:val="sv-SE" w:eastAsia="sv-SE" w:bidi="sv-SE"/>
        </w:rPr>
        <w:t xml:space="preserve"> </w:t>
      </w:r>
      <w:r>
        <w:rPr>
          <w:rFonts w:ascii="Times New Roman" w:hAnsi="Times New Roman"/>
          <w:noProof/>
          <w:sz w:val="24"/>
          <w:lang w:val="sv-SE" w:eastAsia="sv-SE" w:bidi="sv-SE"/>
        </w:rPr>
        <w:t>Rapporterna tar också upp makroekonomiskt betydelsefulla områden som klimat- och energipolitik, som omfattas av separata politiska processer</w:t>
      </w:r>
      <w:r>
        <w:rPr>
          <w:rFonts w:ascii="Times New Roman" w:hAnsi="Times New Roman"/>
          <w:noProof/>
          <w:sz w:val="24"/>
          <w:vertAlign w:val="superscript"/>
          <w:lang w:val="sv-SE" w:eastAsia="sv-SE" w:bidi="sv-SE"/>
        </w:rPr>
        <w:footnoteReference w:id="6"/>
      </w:r>
      <w:r>
        <w:rPr>
          <w:rFonts w:ascii="Times New Roman" w:hAnsi="Times New Roman"/>
          <w:noProof/>
          <w:sz w:val="24"/>
          <w:lang w:val="sv-SE" w:eastAsia="sv-SE" w:bidi="sv-SE"/>
        </w:rPr>
        <w:t>.</w:t>
      </w:r>
    </w:p>
    <w:p w:rsidR="008A54B8" w:rsidRDefault="00BD0CDB">
      <w:pPr>
        <w:spacing w:before="120" w:after="120" w:line="240" w:lineRule="auto"/>
        <w:jc w:val="both"/>
        <w:rPr>
          <w:rFonts w:ascii="Times New Roman" w:hAnsi="Times New Roman"/>
          <w:noProof/>
          <w:sz w:val="24"/>
          <w:szCs w:val="24"/>
          <w:lang w:val="sv-SE" w:eastAsia="sv-SE" w:bidi="sv-SE"/>
        </w:rPr>
      </w:pPr>
      <w:r>
        <w:rPr>
          <w:rFonts w:ascii="Times New Roman" w:hAnsi="Times New Roman"/>
          <w:b/>
          <w:noProof/>
          <w:sz w:val="24"/>
          <w:lang w:val="sv-SE" w:eastAsia="sv-SE" w:bidi="sv-SE"/>
        </w:rPr>
        <w:t>Budgetläget i medlemsländerna analyseras också</w:t>
      </w:r>
      <w:r>
        <w:rPr>
          <w:rFonts w:ascii="Times New Roman" w:hAnsi="Times New Roman"/>
          <w:noProof/>
          <w:sz w:val="24"/>
          <w:lang w:val="sv-SE" w:eastAsia="sv-SE" w:bidi="sv-SE"/>
        </w:rPr>
        <w:t xml:space="preserve">. Analysen bygger på kommissionens senaste </w:t>
      </w:r>
      <w:r>
        <w:rPr>
          <w:rFonts w:ascii="Times New Roman" w:hAnsi="Times New Roman"/>
          <w:noProof/>
          <w:sz w:val="24"/>
          <w:lang w:val="sv-SE" w:eastAsia="sv-SE" w:bidi="sv-SE"/>
        </w:rPr>
        <w:t>ekonomiska prognos</w:t>
      </w:r>
      <w:r>
        <w:rPr>
          <w:rFonts w:ascii="Times New Roman" w:hAnsi="Times New Roman"/>
          <w:noProof/>
          <w:sz w:val="24"/>
          <w:vertAlign w:val="superscript"/>
          <w:lang w:val="sv-SE" w:eastAsia="sv-SE" w:bidi="sv-SE"/>
        </w:rPr>
        <w:footnoteReference w:id="7"/>
      </w:r>
      <w:r>
        <w:rPr>
          <w:rFonts w:ascii="Times New Roman" w:hAnsi="Times New Roman"/>
          <w:noProof/>
          <w:sz w:val="24"/>
          <w:lang w:val="sv-SE" w:eastAsia="sv-SE" w:bidi="sv-SE"/>
        </w:rPr>
        <w:t xml:space="preserve"> och kommissionens yttranden om euroländernas utkast till budgetplaner, som utfärdedes i november 2015. Den grundar sig också på de råd</w:t>
      </w:r>
      <w:r>
        <w:rPr>
          <w:rFonts w:ascii="Times New Roman" w:hAnsi="Times New Roman"/>
          <w:noProof/>
          <w:sz w:val="24"/>
          <w:vertAlign w:val="superscript"/>
          <w:lang w:val="sv-SE" w:eastAsia="sv-SE" w:bidi="sv-SE"/>
        </w:rPr>
        <w:footnoteReference w:id="8"/>
      </w:r>
      <w:r>
        <w:rPr>
          <w:rFonts w:ascii="Times New Roman" w:hAnsi="Times New Roman"/>
          <w:noProof/>
          <w:sz w:val="24"/>
          <w:lang w:val="sv-SE" w:eastAsia="sv-SE" w:bidi="sv-SE"/>
        </w:rPr>
        <w:t xml:space="preserve"> som kommissionen antog förra året om hur den gemensamma finanspolitiska ramen stöder EU:s agenda för</w:t>
      </w:r>
      <w:r>
        <w:rPr>
          <w:rFonts w:ascii="Times New Roman" w:hAnsi="Times New Roman"/>
          <w:noProof/>
          <w:sz w:val="24"/>
          <w:lang w:val="sv-SE" w:eastAsia="sv-SE" w:bidi="sv-SE"/>
        </w:rPr>
        <w:t xml:space="preserve"> jobb och tillväxt.</w:t>
      </w:r>
    </w:p>
    <w:p w:rsidR="008A54B8" w:rsidRDefault="00BD0CDB">
      <w:pPr>
        <w:spacing w:before="120" w:after="120" w:line="240" w:lineRule="auto"/>
        <w:jc w:val="both"/>
        <w:rPr>
          <w:rFonts w:ascii="Times New Roman" w:hAnsi="Times New Roman"/>
          <w:noProof/>
          <w:sz w:val="24"/>
          <w:szCs w:val="24"/>
          <w:lang w:val="sv-SE" w:eastAsia="sv-SE" w:bidi="sv-SE"/>
        </w:rPr>
      </w:pPr>
      <w:r>
        <w:rPr>
          <w:rFonts w:ascii="Times New Roman" w:hAnsi="Times New Roman"/>
          <w:b/>
          <w:noProof/>
          <w:sz w:val="24"/>
          <w:lang w:val="sv-SE" w:eastAsia="sv-SE" w:bidi="sv-SE"/>
        </w:rPr>
        <w:t>I landsrapporterna analyseras noggrant de hinder för investeringar som kommissionen kartlade förra året och presenterade tillsammans med den årliga tillväxtöversikten för 2016</w:t>
      </w:r>
      <w:r>
        <w:rPr>
          <w:rFonts w:ascii="Times New Roman" w:hAnsi="Times New Roman"/>
          <w:noProof/>
          <w:sz w:val="24"/>
          <w:lang w:val="sv-SE" w:eastAsia="sv-SE" w:bidi="sv-SE"/>
        </w:rPr>
        <w:t xml:space="preserve">. Medlemsländerna behöver ha ett nära samarbete med varandra </w:t>
      </w:r>
      <w:r>
        <w:rPr>
          <w:rFonts w:ascii="Times New Roman" w:hAnsi="Times New Roman"/>
          <w:noProof/>
          <w:sz w:val="24"/>
          <w:lang w:val="sv-SE" w:eastAsia="sv-SE" w:bidi="sv-SE"/>
        </w:rPr>
        <w:t>och med EU-institutionerna för att få bort de här hindren inom ramen för den europeiska planeringsterminen och för att nå resultat i fråga om den tredje linjen i investeringsplanen för Europa</w:t>
      </w:r>
      <w:r>
        <w:rPr>
          <w:rFonts w:ascii="Times New Roman" w:hAnsi="Times New Roman"/>
          <w:noProof/>
          <w:sz w:val="24"/>
          <w:vertAlign w:val="superscript"/>
          <w:lang w:val="sv-SE" w:eastAsia="sv-SE" w:bidi="sv-SE"/>
        </w:rPr>
        <w:footnoteReference w:id="9"/>
      </w:r>
      <w:r>
        <w:rPr>
          <w:rFonts w:ascii="Times New Roman" w:hAnsi="Times New Roman"/>
          <w:noProof/>
          <w:sz w:val="24"/>
          <w:lang w:val="sv-SE" w:eastAsia="sv-SE" w:bidi="sv-SE"/>
        </w:rPr>
        <w:t>.</w:t>
      </w:r>
    </w:p>
    <w:p w:rsidR="008A54B8" w:rsidRDefault="00BD0CDB">
      <w:pPr>
        <w:spacing w:before="120" w:after="120" w:line="240" w:lineRule="auto"/>
        <w:jc w:val="both"/>
        <w:rPr>
          <w:rFonts w:ascii="Times New Roman" w:hAnsi="Times New Roman"/>
          <w:noProof/>
          <w:sz w:val="24"/>
          <w:szCs w:val="24"/>
          <w:lang w:val="sv-SE" w:eastAsia="sv-SE" w:bidi="sv-SE"/>
        </w:rPr>
      </w:pPr>
      <w:r>
        <w:rPr>
          <w:rFonts w:ascii="Times New Roman" w:hAnsi="Times New Roman"/>
          <w:b/>
          <w:noProof/>
          <w:sz w:val="24"/>
          <w:lang w:val="sv-SE" w:eastAsia="sv-SE" w:bidi="sv-SE"/>
        </w:rPr>
        <w:t>Landsrapporterna är utgångspunkten för dialogen med medlemslän</w:t>
      </w:r>
      <w:r>
        <w:rPr>
          <w:rFonts w:ascii="Times New Roman" w:hAnsi="Times New Roman"/>
          <w:b/>
          <w:noProof/>
          <w:sz w:val="24"/>
          <w:lang w:val="sv-SE" w:eastAsia="sv-SE" w:bidi="sv-SE"/>
        </w:rPr>
        <w:t>derna om de ekonomiska och sociala problem de har.</w:t>
      </w:r>
      <w:r>
        <w:rPr>
          <w:rFonts w:ascii="Times New Roman" w:hAnsi="Times New Roman"/>
          <w:noProof/>
          <w:sz w:val="24"/>
          <w:lang w:val="sv-SE" w:eastAsia="sv-SE" w:bidi="sv-SE"/>
        </w:rPr>
        <w:t xml:space="preserve"> Dialogerna och rekommendationen för euroområdet bör ingå som underlag i arbetet med de nationella reformprogram som ska läggas fram i april. I princip kommer kommissionen inte att utfärda rekommendationer </w:t>
      </w:r>
      <w:r>
        <w:rPr>
          <w:rFonts w:ascii="Times New Roman" w:hAnsi="Times New Roman"/>
          <w:noProof/>
          <w:sz w:val="24"/>
          <w:lang w:val="sv-SE" w:eastAsia="sv-SE" w:bidi="sv-SE"/>
        </w:rPr>
        <w:t xml:space="preserve">om frågor som inte har pekats ut som problem i landsrapporterna, och kommer att ge varje land ett begränsat antal landsspecifika rekommendationer. Rekommendationerna kommer att på lämpligt sätt skilja sig åt utifrån problemens svårighetsgrad, vilket också </w:t>
      </w:r>
      <w:r>
        <w:rPr>
          <w:rFonts w:ascii="Times New Roman" w:hAnsi="Times New Roman"/>
          <w:noProof/>
          <w:sz w:val="24"/>
          <w:lang w:val="sv-SE" w:eastAsia="sv-SE" w:bidi="sv-SE"/>
        </w:rPr>
        <w:t xml:space="preserve">återspeglas i varje lands specifika situation enligt förfarandet vid makroekonomiska obalanser. </w:t>
      </w:r>
    </w:p>
    <w:p w:rsidR="008A54B8" w:rsidRDefault="008A54B8">
      <w:pPr>
        <w:autoSpaceDE w:val="0"/>
        <w:autoSpaceDN w:val="0"/>
        <w:adjustRightInd w:val="0"/>
        <w:spacing w:before="120" w:after="120" w:line="120" w:lineRule="auto"/>
        <w:jc w:val="both"/>
        <w:rPr>
          <w:rFonts w:ascii="Times New Roman" w:hAnsi="Times New Roman"/>
          <w:noProof/>
          <w:sz w:val="24"/>
          <w:szCs w:val="24"/>
          <w:lang w:val="sv-SE" w:eastAsia="sv-SE" w:bidi="sv-SE"/>
        </w:rPr>
      </w:pPr>
    </w:p>
    <w:p w:rsidR="008A54B8" w:rsidRDefault="00BD0CDB">
      <w:pPr>
        <w:spacing w:before="120" w:after="120" w:line="240" w:lineRule="auto"/>
        <w:jc w:val="both"/>
        <w:rPr>
          <w:rFonts w:ascii="Times New Roman Bold" w:hAnsi="Times New Roman Bold"/>
          <w:b/>
          <w:smallCaps/>
          <w:noProof/>
          <w:sz w:val="26"/>
          <w:lang w:val="sv-SE" w:eastAsia="sv-SE" w:bidi="sv-SE"/>
        </w:rPr>
      </w:pPr>
      <w:r>
        <w:rPr>
          <w:rFonts w:ascii="Times New Roman Bold" w:hAnsi="Times New Roman Bold"/>
          <w:b/>
          <w:smallCaps/>
          <w:noProof/>
          <w:sz w:val="26"/>
          <w:lang w:val="sv-SE" w:eastAsia="sv-SE" w:bidi="sv-SE"/>
        </w:rPr>
        <w:t xml:space="preserve">2. </w:t>
      </w:r>
      <w:r>
        <w:rPr>
          <w:noProof/>
          <w:lang w:val="sv-SE" w:eastAsia="sv-SE" w:bidi="sv-SE"/>
        </w:rPr>
        <w:tab/>
      </w:r>
      <w:r>
        <w:rPr>
          <w:rFonts w:ascii="Times New Roman Bold" w:hAnsi="Times New Roman Bold"/>
          <w:b/>
          <w:smallCaps/>
          <w:noProof/>
          <w:sz w:val="26"/>
          <w:lang w:val="sv-SE" w:eastAsia="sv-SE" w:bidi="sv-SE"/>
        </w:rPr>
        <w:t>Ekonomisk bakgrund</w:t>
      </w:r>
    </w:p>
    <w:p w:rsidR="008A54B8" w:rsidRDefault="008A54B8">
      <w:pPr>
        <w:spacing w:before="120" w:after="120" w:line="240" w:lineRule="auto"/>
        <w:jc w:val="both"/>
        <w:rPr>
          <w:rFonts w:ascii="Times New Roman" w:eastAsia="Times New Roman" w:hAnsi="Times New Roman"/>
          <w:noProof/>
          <w:sz w:val="8"/>
          <w:szCs w:val="8"/>
          <w:lang w:val="sv-SE" w:eastAsia="sv-SE" w:bidi="sv-SE"/>
        </w:rPr>
      </w:pPr>
    </w:p>
    <w:p w:rsidR="008A54B8" w:rsidRDefault="00BD0CDB">
      <w:pPr>
        <w:spacing w:before="120" w:after="120" w:line="240" w:lineRule="auto"/>
        <w:jc w:val="both"/>
        <w:rPr>
          <w:rFonts w:ascii="Times New Roman" w:eastAsia="Times New Roman" w:hAnsi="Times New Roman"/>
          <w:noProof/>
          <w:sz w:val="24"/>
          <w:szCs w:val="24"/>
          <w:lang w:val="sv-SE" w:eastAsia="sv-SE" w:bidi="sv-SE"/>
        </w:rPr>
      </w:pPr>
      <w:r>
        <w:rPr>
          <w:rFonts w:ascii="Times New Roman" w:hAnsi="Times New Roman"/>
          <w:b/>
          <w:noProof/>
          <w:sz w:val="24"/>
          <w:lang w:val="sv-SE" w:eastAsia="sv-SE" w:bidi="sv-SE"/>
        </w:rPr>
        <w:t xml:space="preserve">Den europeiska ekonomins blygsamma återhämtning håller i sig, samtidigt som de externa riskerna har ökat. </w:t>
      </w:r>
      <w:r>
        <w:rPr>
          <w:rFonts w:ascii="Times New Roman" w:hAnsi="Times New Roman"/>
          <w:noProof/>
          <w:sz w:val="24"/>
          <w:lang w:val="sv-SE" w:eastAsia="sv-SE" w:bidi="sv-SE"/>
        </w:rPr>
        <w:t>BNP i världen ökade med bara</w:t>
      </w:r>
      <w:r>
        <w:rPr>
          <w:rFonts w:ascii="Times New Roman" w:hAnsi="Times New Roman"/>
          <w:noProof/>
          <w:sz w:val="24"/>
          <w:lang w:val="sv-SE" w:eastAsia="sv-SE" w:bidi="sv-SE"/>
        </w:rPr>
        <w:t xml:space="preserve"> 3 % under 2015. Världsekonomin har mattats av och vägen till återhämtning kantas av många risker.</w:t>
      </w:r>
      <w:r>
        <w:rPr>
          <w:rFonts w:ascii="Times New Roman" w:hAnsi="Times New Roman"/>
          <w:noProof/>
          <w:sz w:val="24"/>
          <w:vertAlign w:val="superscript"/>
          <w:lang w:val="sv-SE" w:eastAsia="sv-SE" w:bidi="sv-SE"/>
        </w:rPr>
        <w:footnoteReference w:id="10"/>
      </w:r>
      <w:r>
        <w:rPr>
          <w:rFonts w:ascii="Times New Roman" w:hAnsi="Times New Roman"/>
          <w:noProof/>
          <w:sz w:val="24"/>
          <w:lang w:val="sv-SE" w:eastAsia="sv-SE" w:bidi="sv-SE"/>
        </w:rPr>
        <w:t xml:space="preserve"> Medan de största avancerade ekonomierna befinner sig i fortsatta återhämtnings- eller mognadscykler, ser framtiden dystrare ut för många tillväxtekonomier. </w:t>
      </w:r>
      <w:r>
        <w:rPr>
          <w:rFonts w:ascii="Times New Roman" w:hAnsi="Times New Roman"/>
          <w:noProof/>
          <w:sz w:val="24"/>
          <w:lang w:val="sv-SE" w:eastAsia="sv-SE" w:bidi="sv-SE"/>
        </w:rPr>
        <w:t xml:space="preserve">Man spår att tillväxten i Kina mattas av ytterligare, vilket främst påverkar andra tillväxt- och utvecklingsekonomier och dessutom de globala kapitalflödena. </w:t>
      </w:r>
    </w:p>
    <w:p w:rsidR="008A54B8" w:rsidRDefault="00BD0CDB">
      <w:pPr>
        <w:spacing w:before="120" w:after="120" w:line="240" w:lineRule="auto"/>
        <w:jc w:val="both"/>
        <w:rPr>
          <w:rFonts w:ascii="Times New Roman" w:eastAsia="Times New Roman" w:hAnsi="Times New Roman"/>
          <w:noProof/>
          <w:sz w:val="24"/>
          <w:szCs w:val="24"/>
          <w:lang w:val="sv-SE" w:eastAsia="sv-SE" w:bidi="sv-SE"/>
        </w:rPr>
      </w:pPr>
      <w:r>
        <w:rPr>
          <w:rFonts w:ascii="Times New Roman" w:hAnsi="Times New Roman"/>
          <w:b/>
          <w:noProof/>
          <w:sz w:val="24"/>
          <w:lang w:val="sv-SE" w:eastAsia="sv-SE" w:bidi="sv-SE"/>
        </w:rPr>
        <w:t>Ekonomin i EU har hittills lyckats manövrera runt riskerna, men effekterna av mindre gynnsamma ex</w:t>
      </w:r>
      <w:r>
        <w:rPr>
          <w:rFonts w:ascii="Times New Roman" w:hAnsi="Times New Roman"/>
          <w:b/>
          <w:noProof/>
          <w:sz w:val="24"/>
          <w:lang w:val="sv-SE" w:eastAsia="sv-SE" w:bidi="sv-SE"/>
        </w:rPr>
        <w:t xml:space="preserve">terna förhållanden börjar bli kännbara. </w:t>
      </w:r>
      <w:r>
        <w:rPr>
          <w:rFonts w:ascii="Times New Roman" w:hAnsi="Times New Roman"/>
          <w:noProof/>
          <w:sz w:val="24"/>
          <w:lang w:val="sv-SE" w:eastAsia="sv-SE" w:bidi="sv-SE"/>
        </w:rPr>
        <w:t>Prisfallet på energi har tagit fart igen och bör fortsätta att stödja hushållens köpkraft. Det mycket stora antal flyktingar och migranter som kommit till EU har lett till extra offentliga utgifter till följd av ökat</w:t>
      </w:r>
      <w:r>
        <w:rPr>
          <w:rFonts w:ascii="Times New Roman" w:hAnsi="Times New Roman"/>
          <w:noProof/>
          <w:sz w:val="24"/>
          <w:lang w:val="sv-SE" w:eastAsia="sv-SE" w:bidi="sv-SE"/>
        </w:rPr>
        <w:t xml:space="preserve"> mottagande och andra flyktingrelaterade åtgärder. De monetära förhållandena fortsätter att vara mycket ackommoderande och finanspolitiken väntas stödja återhämtningen i år. De negativa spridningseffekterna av den långsamma tillväxten utanför EU kan emelle</w:t>
      </w:r>
      <w:r>
        <w:rPr>
          <w:rFonts w:ascii="Times New Roman" w:hAnsi="Times New Roman"/>
          <w:noProof/>
          <w:sz w:val="24"/>
          <w:lang w:val="sv-SE" w:eastAsia="sv-SE" w:bidi="sv-SE"/>
        </w:rPr>
        <w:t xml:space="preserve">rtid bli större än den direkta handelseffekten. Låga råvarupriser kan utgöra en risk om de leder till instabilitet i världsekonomin. Instabiliteten på finansmarknaden har ökat markant på senare tid. Det är i </w:t>
      </w:r>
      <w:r>
        <w:rPr>
          <w:rFonts w:ascii="Times New Roman" w:hAnsi="Times New Roman"/>
          <w:noProof/>
          <w:sz w:val="24"/>
          <w:lang w:val="sv-SE" w:eastAsia="sv-SE" w:bidi="sv-SE"/>
        </w:rPr>
        <w:lastRenderedPageBreak/>
        <w:t>synnerhet bankernas aktiekurser som har fallit b</w:t>
      </w:r>
      <w:r>
        <w:rPr>
          <w:rFonts w:ascii="Times New Roman" w:hAnsi="Times New Roman"/>
          <w:noProof/>
          <w:sz w:val="24"/>
          <w:lang w:val="sv-SE" w:eastAsia="sv-SE" w:bidi="sv-SE"/>
        </w:rPr>
        <w:t xml:space="preserve">etydligt och riskpremierna för statsobligationer har ökat i vissa medlemsländer. </w:t>
      </w:r>
    </w:p>
    <w:p w:rsidR="008A54B8" w:rsidRDefault="008A54B8">
      <w:pPr>
        <w:spacing w:before="120" w:after="120" w:line="120" w:lineRule="auto"/>
        <w:jc w:val="both"/>
        <w:rPr>
          <w:rFonts w:ascii="Times New Roman" w:eastAsia="Times New Roman" w:hAnsi="Times New Roman"/>
          <w:b/>
          <w:noProof/>
          <w:sz w:val="24"/>
          <w:szCs w:val="24"/>
          <w:lang w:val="sv-SE" w:eastAsia="sv-SE" w:bidi="sv-SE"/>
        </w:rPr>
      </w:pPr>
    </w:p>
    <w:p w:rsidR="008A54B8" w:rsidRDefault="00BD0CDB">
      <w:pPr>
        <w:spacing w:before="120" w:after="120" w:line="240" w:lineRule="auto"/>
        <w:jc w:val="both"/>
        <w:rPr>
          <w:rFonts w:ascii="Times New Roman" w:eastAsia="Times New Roman" w:hAnsi="Times New Roman"/>
          <w:noProof/>
          <w:sz w:val="24"/>
          <w:szCs w:val="24"/>
          <w:highlight w:val="yellow"/>
          <w:lang w:val="sv-SE" w:eastAsia="sv-SE" w:bidi="sv-SE"/>
        </w:rPr>
      </w:pPr>
      <w:r>
        <w:rPr>
          <w:rFonts w:ascii="Times New Roman" w:hAnsi="Times New Roman"/>
          <w:b/>
          <w:noProof/>
          <w:sz w:val="24"/>
          <w:lang w:val="sv-SE" w:eastAsia="sv-SE" w:bidi="sv-SE"/>
        </w:rPr>
        <w:t xml:space="preserve">Återhämtningen i EU går långsamt och den är skör. Det visar på behovet att påskynda strukturreformer, uppmuntra investeringar och skapa en mer konkurrenskraftig ekonomi. </w:t>
      </w:r>
      <w:r>
        <w:rPr>
          <w:rFonts w:ascii="Times New Roman" w:hAnsi="Times New Roman"/>
          <w:noProof/>
          <w:sz w:val="24"/>
          <w:lang w:val="sv-SE" w:eastAsia="sv-SE" w:bidi="sv-SE"/>
        </w:rPr>
        <w:t>Återhämtningen är svag både ur ett historiskt perspektiv och jämfört med andra avancerade ekonomier. Den ekonomiska tillväxten i EU väntas uppgå till 1,9 % av BNP i år och öka till 2 % för 2017. Arbetslösheten i EU väntas fortsätta sjunka från 9,5 % för 20</w:t>
      </w:r>
      <w:r>
        <w:rPr>
          <w:rFonts w:ascii="Times New Roman" w:hAnsi="Times New Roman"/>
          <w:noProof/>
          <w:sz w:val="24"/>
          <w:lang w:val="sv-SE" w:eastAsia="sv-SE" w:bidi="sv-SE"/>
        </w:rPr>
        <w:t>15 till 9 % för 2016. Förbättringen är dock mer uttalad i de länder som har genomfört arbetsmarknadsreformer. Den privata konsumtionen väntas vara den viktigaste drivkraften för tillväxten också i fortsättningen, och den stöds av det förbättrade läget på a</w:t>
      </w:r>
      <w:r>
        <w:rPr>
          <w:rFonts w:ascii="Times New Roman" w:hAnsi="Times New Roman"/>
          <w:noProof/>
          <w:sz w:val="24"/>
          <w:lang w:val="sv-SE" w:eastAsia="sv-SE" w:bidi="sv-SE"/>
        </w:rPr>
        <w:t>rbetsmarknaden och stigande disponibla realinkomster. Den sjunkande efterfrågan i världen gör en exportledd återhämtning mindre sannolik och därför är det mycket viktigt att investeringarna återhämtar sig från de nuvarande låga nivåerna för att ge den ekon</w:t>
      </w:r>
      <w:r>
        <w:rPr>
          <w:rFonts w:ascii="Times New Roman" w:hAnsi="Times New Roman"/>
          <w:noProof/>
          <w:sz w:val="24"/>
          <w:lang w:val="sv-SE" w:eastAsia="sv-SE" w:bidi="sv-SE"/>
        </w:rPr>
        <w:t xml:space="preserve">omiska återhämtningen en bredare bas och vända på den potentiella tillväxtens sjunkande tendens. </w:t>
      </w:r>
    </w:p>
    <w:p w:rsidR="008A54B8" w:rsidRDefault="008A54B8">
      <w:pPr>
        <w:spacing w:after="0" w:line="120" w:lineRule="auto"/>
        <w:jc w:val="both"/>
        <w:rPr>
          <w:rFonts w:ascii="Times New Roman" w:eastAsia="Times New Roman" w:hAnsi="Times New Roman"/>
          <w:noProof/>
          <w:sz w:val="24"/>
          <w:szCs w:val="24"/>
          <w:lang w:val="sv-SE" w:eastAsia="sv-SE" w:bidi="sv-SE"/>
        </w:rPr>
      </w:pPr>
    </w:p>
    <w:p w:rsidR="008A54B8" w:rsidRDefault="00BD0CDB">
      <w:pPr>
        <w:spacing w:before="120" w:after="120" w:line="240" w:lineRule="auto"/>
        <w:jc w:val="both"/>
        <w:rPr>
          <w:rFonts w:ascii="Times New Roman Bold" w:hAnsi="Times New Roman Bold"/>
          <w:b/>
          <w:smallCaps/>
          <w:noProof/>
          <w:sz w:val="26"/>
          <w:lang w:val="sv-SE" w:eastAsia="sv-SE" w:bidi="sv-SE"/>
        </w:rPr>
      </w:pPr>
      <w:r>
        <w:rPr>
          <w:rFonts w:ascii="Times New Roman Bold" w:hAnsi="Times New Roman Bold"/>
          <w:b/>
          <w:smallCaps/>
          <w:noProof/>
          <w:sz w:val="26"/>
          <w:lang w:val="sv-SE" w:eastAsia="sv-SE" w:bidi="sv-SE"/>
        </w:rPr>
        <w:t>3. Framsteg med de landsspecifika rekommendationerna</w:t>
      </w:r>
    </w:p>
    <w:p w:rsidR="008A54B8" w:rsidRDefault="00BD0CDB">
      <w:pPr>
        <w:spacing w:before="120" w:after="120" w:line="240" w:lineRule="auto"/>
        <w:jc w:val="both"/>
        <w:rPr>
          <w:rFonts w:ascii="Times New Roman" w:hAnsi="Times New Roman"/>
          <w:noProof/>
          <w:sz w:val="24"/>
          <w:szCs w:val="24"/>
          <w:lang w:val="sv-SE" w:eastAsia="sv-SE" w:bidi="sv-SE"/>
        </w:rPr>
      </w:pPr>
      <w:r>
        <w:rPr>
          <w:rFonts w:ascii="Times New Roman Bold" w:hAnsi="Times New Roman Bold"/>
          <w:b/>
          <w:smallCaps/>
          <w:noProof/>
          <w:sz w:val="16"/>
          <w:szCs w:val="16"/>
          <w:lang w:val="sv-SE" w:eastAsia="sv-SE" w:bidi="sv-SE"/>
        </w:rPr>
        <w:br/>
      </w:r>
      <w:r>
        <w:rPr>
          <w:rFonts w:ascii="Times New Roman" w:hAnsi="Times New Roman"/>
          <w:b/>
          <w:noProof/>
          <w:sz w:val="24"/>
          <w:lang w:val="sv-SE" w:eastAsia="sv-SE" w:bidi="sv-SE"/>
        </w:rPr>
        <w:t>Mot bakgrund av den övergripande makroekonomiska stabiliseringen har medlemsländerna gjort vissa framst</w:t>
      </w:r>
      <w:r>
        <w:rPr>
          <w:rFonts w:ascii="Times New Roman" w:hAnsi="Times New Roman"/>
          <w:b/>
          <w:noProof/>
          <w:sz w:val="24"/>
          <w:lang w:val="sv-SE" w:eastAsia="sv-SE" w:bidi="sv-SE"/>
        </w:rPr>
        <w:t>eg med att åtgärda de problem som pekades ut i de landsspecifika rekommendationerna för 2015.</w:t>
      </w:r>
      <w:r>
        <w:rPr>
          <w:rFonts w:ascii="Times New Roman" w:hAnsi="Times New Roman"/>
          <w:noProof/>
          <w:sz w:val="24"/>
          <w:lang w:val="sv-SE" w:eastAsia="sv-SE" w:bidi="sv-SE"/>
        </w:rPr>
        <w:t xml:space="preserve"> Enligt landsrapporterna 2016 ligger framstegen på årsbasis kvar på samma nivå. Om man ser på längre sikt står det klart att det kommer att ta tid att genomföra vi</w:t>
      </w:r>
      <w:r>
        <w:rPr>
          <w:rFonts w:ascii="Times New Roman" w:hAnsi="Times New Roman"/>
          <w:noProof/>
          <w:sz w:val="24"/>
          <w:lang w:val="sv-SE" w:eastAsia="sv-SE" w:bidi="sv-SE"/>
        </w:rPr>
        <w:t>ssa viktiga reformer. Det kan bero både på att det är komplicerat att genomföra dem, t.ex. reformer av arbets- och produktmarknaderna, pensionssystemen och banksektorn, och på ländernas valkalendrar. I några länder (Danmark, Estland, Irland, Kroatien, Pole</w:t>
      </w:r>
      <w:r>
        <w:rPr>
          <w:rFonts w:ascii="Times New Roman" w:hAnsi="Times New Roman"/>
          <w:noProof/>
          <w:sz w:val="24"/>
          <w:lang w:val="sv-SE" w:eastAsia="sv-SE" w:bidi="sv-SE"/>
        </w:rPr>
        <w:t>n, Portugal, Slovakien och Spanien) hölls parlaments- eller presidentval under 2015 eller i början av 2016. Både antalet och omfattningen av de landsspecifika rekommendationerna från 2014 och 2015 har ändrats. Kommissionen lägger fram en fullständig utvärd</w:t>
      </w:r>
      <w:r>
        <w:rPr>
          <w:rFonts w:ascii="Times New Roman" w:hAnsi="Times New Roman"/>
          <w:noProof/>
          <w:sz w:val="24"/>
          <w:lang w:val="sv-SE" w:eastAsia="sv-SE" w:bidi="sv-SE"/>
        </w:rPr>
        <w:t>ering samtidigt med förslagen till landsspecifika rekommendationer i maj.</w:t>
      </w:r>
    </w:p>
    <w:p w:rsidR="008A54B8" w:rsidRDefault="00BD0CDB">
      <w:pPr>
        <w:spacing w:before="120" w:after="120" w:line="240" w:lineRule="auto"/>
        <w:jc w:val="both"/>
        <w:rPr>
          <w:rFonts w:ascii="Times New Roman" w:hAnsi="Times New Roman"/>
          <w:noProof/>
          <w:sz w:val="24"/>
          <w:szCs w:val="24"/>
          <w:lang w:val="sv-SE" w:eastAsia="sv-SE" w:bidi="sv-SE"/>
        </w:rPr>
      </w:pPr>
      <w:r>
        <w:rPr>
          <w:rFonts w:ascii="Times New Roman" w:hAnsi="Times New Roman"/>
          <w:b/>
          <w:noProof/>
          <w:sz w:val="24"/>
          <w:lang w:val="sv-SE" w:eastAsia="sv-SE" w:bidi="sv-SE"/>
        </w:rPr>
        <w:t xml:space="preserve">Totalt sett är EU på väg att uppfylla en del av målen för Europa 2020-strategin. </w:t>
      </w:r>
      <w:r>
        <w:rPr>
          <w:rFonts w:ascii="Times New Roman" w:hAnsi="Times New Roman"/>
          <w:noProof/>
          <w:sz w:val="24"/>
          <w:lang w:val="sv-SE" w:eastAsia="sv-SE" w:bidi="sv-SE"/>
        </w:rPr>
        <w:t>Länderna är på god väg att nå sina klimat- och energimål – flertalet kommer troligtvis att ha uppnått</w:t>
      </w:r>
      <w:r>
        <w:rPr>
          <w:rFonts w:ascii="Times New Roman" w:hAnsi="Times New Roman"/>
          <w:noProof/>
          <w:sz w:val="24"/>
          <w:lang w:val="sv-SE" w:eastAsia="sv-SE" w:bidi="sv-SE"/>
        </w:rPr>
        <w:t xml:space="preserve"> målen för utsläppsminskningar, förnybar energi och energieffektivitet 2020. Enligt senast tillgängliga data är EU också på väg att nå utbildningsmålen – 17 medlemsländer har redan nått målet att minska antalet unga som avbryter sin skolgång i förtid och 1</w:t>
      </w:r>
      <w:r>
        <w:rPr>
          <w:rFonts w:ascii="Times New Roman" w:hAnsi="Times New Roman"/>
          <w:noProof/>
          <w:sz w:val="24"/>
          <w:lang w:val="sv-SE" w:eastAsia="sv-SE" w:bidi="sv-SE"/>
        </w:rPr>
        <w:t>2 har uppfyllt målet för andelen unga som ska ha högre utbildning. Det kommer att bli svårt för många länder att nå sysselsättningsmålet, men arbetsmarknadsläget har ändå förbättrats i nästan alla länder. I slutet av 2015 hade sysselsättningen ökat med 1,1</w:t>
      </w:r>
      <w:r>
        <w:rPr>
          <w:rFonts w:ascii="Times New Roman" w:hAnsi="Times New Roman"/>
          <w:noProof/>
          <w:sz w:val="24"/>
          <w:lang w:val="sv-SE" w:eastAsia="sv-SE" w:bidi="sv-SE"/>
        </w:rPr>
        <w:t> % till nivån före krisen, dvs. 70,5 %.</w:t>
      </w:r>
      <w:r>
        <w:rPr>
          <w:rFonts w:ascii="Times New Roman" w:hAnsi="Times New Roman"/>
          <w:noProof/>
          <w:color w:val="1F497D"/>
          <w:sz w:val="24"/>
          <w:lang w:val="sv-SE" w:eastAsia="sv-SE" w:bidi="sv-SE"/>
        </w:rPr>
        <w:t xml:space="preserve"> </w:t>
      </w:r>
      <w:r>
        <w:rPr>
          <w:rFonts w:ascii="Times New Roman" w:hAnsi="Times New Roman"/>
          <w:noProof/>
          <w:color w:val="000000" w:themeColor="text1"/>
          <w:sz w:val="24"/>
          <w:shd w:val="clear" w:color="auto" w:fill="FFFFFF" w:themeFill="background1"/>
          <w:lang w:val="sv-SE" w:eastAsia="sv-SE" w:bidi="sv-SE"/>
        </w:rPr>
        <w:t>Kvinnornas förvärvsfrekvens ökar snabbare, även om skillnaderna mellan könen fortfarande är stora.</w:t>
      </w:r>
      <w:r>
        <w:rPr>
          <w:rFonts w:ascii="Times New Roman" w:hAnsi="Times New Roman"/>
          <w:noProof/>
          <w:color w:val="000000" w:themeColor="text1"/>
          <w:sz w:val="24"/>
          <w:lang w:val="sv-SE" w:eastAsia="sv-SE" w:bidi="sv-SE"/>
        </w:rPr>
        <w:t xml:space="preserve"> </w:t>
      </w:r>
      <w:r>
        <w:rPr>
          <w:rFonts w:ascii="Times New Roman" w:hAnsi="Times New Roman"/>
          <w:noProof/>
          <w:sz w:val="24"/>
          <w:lang w:val="sv-SE" w:eastAsia="sv-SE" w:bidi="sv-SE"/>
        </w:rPr>
        <w:t>Det måste satsas mer på att minska skillnaderna mellan mäns och kvinnors förvärvsfrekvens. FoU-utgifternas andel av BNP har ökat i ungefär hälften av medlemsländerna, men EU-målet verkar ändå svårt att nå. Särskilda problem kvarstår när det gäller målet fö</w:t>
      </w:r>
      <w:r>
        <w:rPr>
          <w:rFonts w:ascii="Times New Roman" w:hAnsi="Times New Roman"/>
          <w:noProof/>
          <w:sz w:val="24"/>
          <w:lang w:val="sv-SE" w:eastAsia="sv-SE" w:bidi="sv-SE"/>
        </w:rPr>
        <w:t>r andelen människor som riskerar fattigdom eller social utestängning, eftersom denna grupp har blivit allt större på grund av den ekonomiska krisen. Utvecklingen på senare tid är dock tämligen positiv eftersom andelen som riskerar fattigdom eller social ut</w:t>
      </w:r>
      <w:r>
        <w:rPr>
          <w:rFonts w:ascii="Times New Roman" w:hAnsi="Times New Roman"/>
          <w:noProof/>
          <w:sz w:val="24"/>
          <w:lang w:val="sv-SE" w:eastAsia="sv-SE" w:bidi="sv-SE"/>
        </w:rPr>
        <w:t xml:space="preserve">estängning har sjunkit i över hälften av länderna. Den tendensen väntas ha hållit i sig under 2015 till följd av det förbättrade sysselsättningsläget. I bilaga 2 finns en översikt över Europa 2020-strategins alla mål. </w:t>
      </w:r>
    </w:p>
    <w:p w:rsidR="008A54B8" w:rsidRDefault="008A54B8">
      <w:pPr>
        <w:spacing w:before="120" w:after="120" w:line="240" w:lineRule="auto"/>
        <w:jc w:val="both"/>
        <w:rPr>
          <w:rFonts w:ascii="Times New Roman" w:hAnsi="Times New Roman"/>
          <w:noProof/>
          <w:sz w:val="24"/>
          <w:szCs w:val="24"/>
          <w:lang w:val="sv-SE" w:eastAsia="sv-SE" w:bidi="sv-SE"/>
        </w:rPr>
      </w:pPr>
    </w:p>
    <w:p w:rsidR="008A54B8" w:rsidRDefault="00BD0CDB">
      <w:pPr>
        <w:spacing w:after="0" w:line="240" w:lineRule="auto"/>
        <w:rPr>
          <w:rFonts w:ascii="Times New Roman Bold" w:hAnsi="Times New Roman Bold"/>
          <w:b/>
          <w:smallCaps/>
          <w:noProof/>
          <w:sz w:val="26"/>
          <w:lang w:val="sv-SE" w:eastAsia="sv-SE" w:bidi="sv-SE"/>
        </w:rPr>
      </w:pPr>
      <w:r>
        <w:rPr>
          <w:rFonts w:ascii="Times New Roman Bold" w:hAnsi="Times New Roman Bold"/>
          <w:b/>
          <w:smallCaps/>
          <w:noProof/>
          <w:sz w:val="26"/>
          <w:lang w:val="sv-SE" w:eastAsia="sv-SE" w:bidi="sv-SE"/>
        </w:rPr>
        <w:t xml:space="preserve">4. Korrigering av makroekonomiska obalanser </w:t>
      </w:r>
    </w:p>
    <w:p w:rsidR="008A54B8" w:rsidRDefault="008A54B8">
      <w:pPr>
        <w:spacing w:after="0" w:line="120" w:lineRule="auto"/>
        <w:jc w:val="both"/>
        <w:rPr>
          <w:rFonts w:ascii="Times New Roman" w:eastAsia="Times New Roman" w:hAnsi="Times New Roman"/>
          <w:b/>
          <w:noProof/>
          <w:sz w:val="24"/>
          <w:szCs w:val="24"/>
          <w:lang w:val="sv-SE" w:eastAsia="sv-SE" w:bidi="sv-SE"/>
        </w:rPr>
      </w:pPr>
    </w:p>
    <w:p w:rsidR="008A54B8" w:rsidRDefault="00BD0CDB">
      <w:pPr>
        <w:spacing w:before="120" w:after="120" w:line="240" w:lineRule="auto"/>
        <w:jc w:val="both"/>
        <w:rPr>
          <w:rFonts w:ascii="Times New Roman" w:eastAsia="Times New Roman" w:hAnsi="Times New Roman"/>
          <w:noProof/>
          <w:sz w:val="24"/>
          <w:szCs w:val="24"/>
          <w:lang w:val="sv-SE" w:eastAsia="sv-SE" w:bidi="sv-SE"/>
        </w:rPr>
      </w:pPr>
      <w:r>
        <w:rPr>
          <w:rFonts w:ascii="Times New Roman" w:hAnsi="Times New Roman"/>
          <w:b/>
          <w:noProof/>
          <w:sz w:val="24"/>
          <w:lang w:val="sv-SE" w:eastAsia="sv-SE" w:bidi="sv-SE"/>
        </w:rPr>
        <w:t>EU och euroländerna gör framsteg med ombalanseringen av ekonomierna.</w:t>
      </w:r>
      <w:r>
        <w:rPr>
          <w:rFonts w:ascii="Times New Roman" w:hAnsi="Times New Roman"/>
          <w:noProof/>
          <w:sz w:val="24"/>
          <w:lang w:val="sv-SE" w:eastAsia="sv-SE" w:bidi="sv-SE"/>
        </w:rPr>
        <w:t xml:space="preserve"> Vissa av obalanserna är ett arv från krisen, medan andra fanns redan innan krisen startade och förvärrade effekterna av den. En varaktig omba</w:t>
      </w:r>
      <w:r>
        <w:rPr>
          <w:rFonts w:ascii="Times New Roman" w:hAnsi="Times New Roman"/>
          <w:noProof/>
          <w:sz w:val="24"/>
          <w:lang w:val="sv-SE" w:eastAsia="sv-SE" w:bidi="sv-SE"/>
        </w:rPr>
        <w:t>lanseringen av EU-ekonomierna är viktig inte bara för de enskilda länderna, utan också för hela EU och euroområdet. Målet är en bättre motståndskraft mot framtida chocker och en övergång till en mer varaktig, sammanhållen och högre tillväxt.</w:t>
      </w:r>
    </w:p>
    <w:p w:rsidR="008A54B8" w:rsidRDefault="00BD0CDB">
      <w:pPr>
        <w:spacing w:before="120" w:after="120" w:line="240" w:lineRule="auto"/>
        <w:jc w:val="both"/>
        <w:rPr>
          <w:rFonts w:ascii="Times New Roman" w:eastAsia="Times New Roman" w:hAnsi="Times New Roman"/>
          <w:noProof/>
          <w:sz w:val="24"/>
          <w:szCs w:val="24"/>
          <w:lang w:val="sv-SE" w:eastAsia="sv-SE" w:bidi="sv-SE"/>
        </w:rPr>
      </w:pPr>
      <w:r>
        <w:rPr>
          <w:rFonts w:ascii="Times New Roman" w:hAnsi="Times New Roman"/>
          <w:b/>
          <w:noProof/>
          <w:sz w:val="24"/>
          <w:lang w:val="sv-SE" w:eastAsia="sv-SE" w:bidi="sv-SE"/>
        </w:rPr>
        <w:t xml:space="preserve">De fördjupade </w:t>
      </w:r>
      <w:r>
        <w:rPr>
          <w:rFonts w:ascii="Times New Roman" w:hAnsi="Times New Roman"/>
          <w:b/>
          <w:noProof/>
          <w:sz w:val="24"/>
          <w:lang w:val="sv-SE" w:eastAsia="sv-SE" w:bidi="sv-SE"/>
        </w:rPr>
        <w:t>granskningarna innehåller en bred analys av de obalanser medlemsländerna har.</w:t>
      </w:r>
      <w:r>
        <w:rPr>
          <w:rFonts w:ascii="Times New Roman" w:hAnsi="Times New Roman"/>
          <w:noProof/>
          <w:sz w:val="24"/>
          <w:lang w:val="sv-SE" w:eastAsia="sv-SE" w:bidi="sv-SE"/>
        </w:rPr>
        <w:t xml:space="preserve"> I de fördjupade granskningarna skiljer man mellan korrigeringar som beror på konjunkturfaktorer och de som är följden av strukturreformer, och man bekräftar att bara de sistnämnd</w:t>
      </w:r>
      <w:r>
        <w:rPr>
          <w:rFonts w:ascii="Times New Roman" w:hAnsi="Times New Roman"/>
          <w:noProof/>
          <w:sz w:val="24"/>
          <w:lang w:val="sv-SE" w:eastAsia="sv-SE" w:bidi="sv-SE"/>
        </w:rPr>
        <w:t>a utgör grund för hållbar tillväxt. Med tanke på hur viktiga handelsförbindelserna och de finansiella banden mellan EU-länderna är, analyseras också ombalanseringens följder för de andra länderna och pekar på behovet att den görs både i länder med stora st</w:t>
      </w:r>
      <w:r>
        <w:rPr>
          <w:rFonts w:ascii="Times New Roman" w:hAnsi="Times New Roman"/>
          <w:noProof/>
          <w:sz w:val="24"/>
          <w:lang w:val="sv-SE" w:eastAsia="sv-SE" w:bidi="sv-SE"/>
        </w:rPr>
        <w:t xml:space="preserve">ockar av utlandsskulder och i länder med överskott. Det är fortfarande mycket angeläget att sänka skuldnivåerna. I vissa fall har man gjort framsteg med att minska de offentliga och privata skulderna, men de höga nivåerna kan ändå göra ekonomierna sårbara </w:t>
      </w:r>
      <w:r>
        <w:rPr>
          <w:rFonts w:ascii="Times New Roman" w:hAnsi="Times New Roman"/>
          <w:noProof/>
          <w:sz w:val="24"/>
          <w:lang w:val="sv-SE" w:eastAsia="sv-SE" w:bidi="sv-SE"/>
        </w:rPr>
        <w:t>för potentiella chocker. I vissa fall kan låga men ökande skuldnivåer vara ett tecken på tilltagande sårbarheter.</w:t>
      </w:r>
    </w:p>
    <w:p w:rsidR="008A54B8" w:rsidRDefault="008A54B8">
      <w:pPr>
        <w:spacing w:after="0" w:line="120" w:lineRule="auto"/>
        <w:jc w:val="both"/>
        <w:rPr>
          <w:rFonts w:ascii="Times New Roman" w:eastAsia="Times New Roman" w:hAnsi="Times New Roman"/>
          <w:noProof/>
          <w:sz w:val="24"/>
          <w:szCs w:val="24"/>
          <w:lang w:val="sv-SE" w:eastAsia="sv-SE" w:bidi="sv-SE"/>
        </w:rPr>
      </w:pPr>
    </w:p>
    <w:p w:rsidR="008A54B8" w:rsidRDefault="00BD0CDB">
      <w:pPr>
        <w:spacing w:before="120" w:after="120" w:line="240" w:lineRule="auto"/>
        <w:jc w:val="both"/>
        <w:rPr>
          <w:rFonts w:ascii="Times New Roman" w:hAnsi="Times New Roman"/>
          <w:b/>
          <w:noProof/>
          <w:sz w:val="24"/>
          <w:szCs w:val="24"/>
          <w:lang w:val="sv-SE" w:eastAsia="sv-SE" w:bidi="sv-SE"/>
        </w:rPr>
      </w:pPr>
      <w:r>
        <w:rPr>
          <w:rFonts w:ascii="Times New Roman" w:hAnsi="Times New Roman"/>
          <w:b/>
          <w:noProof/>
          <w:sz w:val="24"/>
          <w:lang w:val="sv-SE" w:eastAsia="sv-SE" w:bidi="sv-SE"/>
        </w:rPr>
        <w:t>4.1. Ombalansering i EU och euroområdet</w:t>
      </w:r>
    </w:p>
    <w:p w:rsidR="008A54B8" w:rsidRDefault="00BD0CDB">
      <w:pPr>
        <w:autoSpaceDE w:val="0"/>
        <w:autoSpaceDN w:val="0"/>
        <w:adjustRightInd w:val="0"/>
        <w:spacing w:before="120" w:after="120" w:line="240" w:lineRule="auto"/>
        <w:jc w:val="both"/>
        <w:rPr>
          <w:rFonts w:ascii="Times New Roman" w:hAnsi="Times New Roman"/>
          <w:noProof/>
          <w:sz w:val="24"/>
          <w:szCs w:val="24"/>
          <w:lang w:val="sv-SE" w:eastAsia="sv-SE" w:bidi="sv-SE"/>
        </w:rPr>
      </w:pPr>
      <w:r>
        <w:rPr>
          <w:rFonts w:ascii="Times New Roman" w:hAnsi="Times New Roman"/>
          <w:b/>
          <w:noProof/>
          <w:sz w:val="24"/>
          <w:lang w:val="sv-SE" w:eastAsia="sv-SE" w:bidi="sv-SE"/>
        </w:rPr>
        <w:t xml:space="preserve">Flera faktorer står i vägen för korrigeringen av existerande obalanser. </w:t>
      </w:r>
      <w:r>
        <w:rPr>
          <w:rFonts w:ascii="Times New Roman" w:hAnsi="Times New Roman"/>
          <w:noProof/>
          <w:sz w:val="24"/>
          <w:lang w:val="sv-SE" w:eastAsia="sv-SE" w:bidi="sv-SE"/>
        </w:rPr>
        <w:t>Dämpad nominell tillväxt och mycket låg inflation är ett hinder för skuldminskningsprocessen. Den sjunkande efterfrågan i världen gör en exportledd återhämtning mindre sannolik. Ihållande hög arbetslöshet i vissa medlemsländer kan minska den potentiella pr</w:t>
      </w:r>
      <w:r>
        <w:rPr>
          <w:rFonts w:ascii="Times New Roman" w:hAnsi="Times New Roman"/>
          <w:noProof/>
          <w:sz w:val="24"/>
          <w:lang w:val="sv-SE" w:eastAsia="sv-SE" w:bidi="sv-SE"/>
        </w:rPr>
        <w:t xml:space="preserve">oduktionstillväxten, också på grund av förluster i kompetens och anställbarhet. </w:t>
      </w:r>
    </w:p>
    <w:p w:rsidR="008A54B8" w:rsidRDefault="00BD0CDB">
      <w:pPr>
        <w:spacing w:before="120" w:after="120" w:line="240" w:lineRule="auto"/>
        <w:jc w:val="both"/>
        <w:rPr>
          <w:rFonts w:ascii="Times New Roman" w:hAnsi="Times New Roman"/>
          <w:noProof/>
          <w:sz w:val="24"/>
          <w:szCs w:val="20"/>
          <w:lang w:val="sv-SE" w:eastAsia="sv-SE" w:bidi="sv-SE"/>
        </w:rPr>
      </w:pPr>
      <w:r>
        <w:rPr>
          <w:rFonts w:ascii="Times New Roman" w:hAnsi="Times New Roman"/>
          <w:b/>
          <w:noProof/>
          <w:sz w:val="24"/>
          <w:lang w:val="sv-SE" w:eastAsia="sv-SE" w:bidi="sv-SE"/>
        </w:rPr>
        <w:t>Korrigeringen av externa obalanser går framåt</w:t>
      </w:r>
      <w:r>
        <w:rPr>
          <w:rFonts w:ascii="Times New Roman" w:hAnsi="Times New Roman"/>
          <w:noProof/>
          <w:sz w:val="24"/>
          <w:lang w:val="sv-SE" w:eastAsia="sv-SE" w:bidi="sv-SE"/>
        </w:rPr>
        <w:t xml:space="preserve">. </w:t>
      </w:r>
      <w:r>
        <w:rPr>
          <w:rFonts w:ascii="Times New Roman" w:hAnsi="Times New Roman"/>
          <w:b/>
          <w:noProof/>
          <w:sz w:val="24"/>
          <w:lang w:val="sv-SE" w:eastAsia="sv-SE" w:bidi="sv-SE"/>
        </w:rPr>
        <w:t xml:space="preserve">I vissa länder med höga utlandsskulder har de stora </w:t>
      </w:r>
      <w:r>
        <w:rPr>
          <w:rFonts w:ascii="Times New Roman" w:hAnsi="Times New Roman"/>
          <w:noProof/>
          <w:sz w:val="24"/>
          <w:lang w:val="sv-SE" w:eastAsia="sv-SE" w:bidi="sv-SE"/>
        </w:rPr>
        <w:t>bytesbalansunderskotten från tiden före krisen minskat kraftigt eller övergå</w:t>
      </w:r>
      <w:r>
        <w:rPr>
          <w:rFonts w:ascii="Times New Roman" w:hAnsi="Times New Roman"/>
          <w:noProof/>
          <w:sz w:val="24"/>
          <w:lang w:val="sv-SE" w:eastAsia="sv-SE" w:bidi="sv-SE"/>
        </w:rPr>
        <w:t>tt i överskott. Med stöd av externa faktorer har den kostnadsrelaterade konkurrenskraften i allmänhet stärkts. I vissa medlemsländer finns tecken på strukturella korrigeringar då resurser har flyttats över till den handelsutsatta sektorn. Euroområdets byte</w:t>
      </w:r>
      <w:r>
        <w:rPr>
          <w:rFonts w:ascii="Times New Roman" w:hAnsi="Times New Roman"/>
          <w:noProof/>
          <w:sz w:val="24"/>
          <w:lang w:val="sv-SE" w:eastAsia="sv-SE" w:bidi="sv-SE"/>
        </w:rPr>
        <w:t xml:space="preserve">sbalans uppvisar ett av världens högsta överskott. Några få länders överskott sticker ut storleksmässigt och är ett tecken på att både den inhemska efterfrågan och investeringarna är dämpade. </w:t>
      </w:r>
    </w:p>
    <w:p w:rsidR="008A54B8" w:rsidRDefault="00BD0CDB">
      <w:pPr>
        <w:autoSpaceDE w:val="0"/>
        <w:autoSpaceDN w:val="0"/>
        <w:adjustRightInd w:val="0"/>
        <w:spacing w:before="120" w:after="120" w:line="240" w:lineRule="auto"/>
        <w:jc w:val="both"/>
        <w:rPr>
          <w:rFonts w:ascii="Times New Roman" w:hAnsi="Times New Roman"/>
          <w:noProof/>
          <w:sz w:val="24"/>
          <w:szCs w:val="20"/>
          <w:lang w:val="sv-SE" w:eastAsia="sv-SE" w:bidi="sv-SE"/>
        </w:rPr>
      </w:pPr>
      <w:r>
        <w:rPr>
          <w:rFonts w:ascii="Times New Roman" w:hAnsi="Times New Roman"/>
          <w:b/>
          <w:noProof/>
          <w:sz w:val="24"/>
          <w:lang w:val="sv-SE" w:eastAsia="sv-SE" w:bidi="sv-SE"/>
        </w:rPr>
        <w:t>Sårbarheter med koppling till höga skulder är fortfarande en kä</w:t>
      </w:r>
      <w:r>
        <w:rPr>
          <w:rFonts w:ascii="Times New Roman" w:hAnsi="Times New Roman"/>
          <w:b/>
          <w:noProof/>
          <w:sz w:val="24"/>
          <w:lang w:val="sv-SE" w:eastAsia="sv-SE" w:bidi="sv-SE"/>
        </w:rPr>
        <w:t xml:space="preserve">lla till oro. </w:t>
      </w:r>
      <w:r>
        <w:rPr>
          <w:rFonts w:ascii="Times New Roman" w:hAnsi="Times New Roman"/>
          <w:b/>
          <w:noProof/>
          <w:sz w:val="24"/>
          <w:szCs w:val="20"/>
          <w:lang w:val="sv-SE" w:eastAsia="sv-SE" w:bidi="sv-SE"/>
        </w:rPr>
        <w:br/>
      </w:r>
      <w:r>
        <w:rPr>
          <w:rFonts w:ascii="Times New Roman" w:hAnsi="Times New Roman"/>
          <w:noProof/>
          <w:sz w:val="24"/>
          <w:lang w:val="sv-SE" w:eastAsia="sv-SE" w:bidi="sv-SE"/>
        </w:rPr>
        <w:t>I de flesta länder går saneringen av balansräkningarna framåt, då skuldsanering pågår i både hushålls- och företagssektorerna. Skuldsaneringen är dock ofta kopplad till minskade utgifter. I vissa länder har den privata skuldsättningens andel</w:t>
      </w:r>
      <w:r>
        <w:rPr>
          <w:rFonts w:ascii="Times New Roman" w:hAnsi="Times New Roman"/>
          <w:noProof/>
          <w:sz w:val="24"/>
          <w:lang w:val="sv-SE" w:eastAsia="sv-SE" w:bidi="sv-SE"/>
        </w:rPr>
        <w:t xml:space="preserve"> av BNP sjunkit till följd av en kraftig återhämtning av tillväxten. Skuldstockarna är fortfarande historiskt stora i ett flertal medlemsländer. I länder där trycket på skuldsanering hämmar återhämtningen och kringskär möjligheterna till investeringar och </w:t>
      </w:r>
      <w:r>
        <w:rPr>
          <w:rFonts w:ascii="Times New Roman" w:hAnsi="Times New Roman"/>
          <w:noProof/>
          <w:sz w:val="24"/>
          <w:lang w:val="sv-SE" w:eastAsia="sv-SE" w:bidi="sv-SE"/>
        </w:rPr>
        <w:t xml:space="preserve">konsumtion, måste man inrikta sig ännu mer på att skapa förutsättningar för högre produktivitet och stärkt konkurrenskraft för att hålla tillbaka skuldsaneringens konsekvenser för tillväxt och sysselsättning. </w:t>
      </w:r>
    </w:p>
    <w:p w:rsidR="008A54B8" w:rsidRDefault="00BD0CDB">
      <w:pPr>
        <w:spacing w:before="120" w:after="120" w:line="240" w:lineRule="auto"/>
        <w:jc w:val="both"/>
        <w:rPr>
          <w:rFonts w:ascii="Times New Roman" w:hAnsi="Times New Roman"/>
          <w:noProof/>
          <w:sz w:val="24"/>
          <w:szCs w:val="24"/>
          <w:lang w:val="sv-SE" w:eastAsia="sv-SE" w:bidi="sv-SE"/>
        </w:rPr>
      </w:pPr>
      <w:r>
        <w:rPr>
          <w:rFonts w:ascii="Times New Roman" w:hAnsi="Times New Roman"/>
          <w:b/>
          <w:noProof/>
          <w:sz w:val="24"/>
          <w:lang w:val="sv-SE" w:eastAsia="sv-SE" w:bidi="sv-SE"/>
        </w:rPr>
        <w:t>Banksektorn har ökat sin kapitalisering, men s</w:t>
      </w:r>
      <w:r>
        <w:rPr>
          <w:rFonts w:ascii="Times New Roman" w:hAnsi="Times New Roman"/>
          <w:b/>
          <w:noProof/>
          <w:sz w:val="24"/>
          <w:lang w:val="sv-SE" w:eastAsia="sv-SE" w:bidi="sv-SE"/>
        </w:rPr>
        <w:t>pänningarna finns kvar och är kopplade till försämrad kvalitet på krediter och tillgångar och låg lönsamhet.</w:t>
      </w:r>
      <w:r>
        <w:rPr>
          <w:rFonts w:ascii="Times New Roman" w:hAnsi="Times New Roman"/>
          <w:noProof/>
          <w:sz w:val="24"/>
          <w:lang w:val="sv-SE" w:eastAsia="sv-SE" w:bidi="sv-SE"/>
        </w:rPr>
        <w:t xml:space="preserve"> Bankerna har gjort stora framsteg med att korrigera sina balansräkningar och bankinstituten är i allmänhet välkapitaliserade och likvida. På grund </w:t>
      </w:r>
      <w:r>
        <w:rPr>
          <w:rFonts w:ascii="Times New Roman" w:hAnsi="Times New Roman"/>
          <w:noProof/>
          <w:sz w:val="24"/>
          <w:lang w:val="sv-SE" w:eastAsia="sv-SE" w:bidi="sv-SE"/>
        </w:rPr>
        <w:t>av en kombination av faktorer har samtidigt banksektorn i några länder en hög andel nödlidande lån och dålig kvalitet på tillgångarna. Om de problemen inte åtgärdas kan de här svagheterna leda till dämpad kredittillväxt och suboptimal kreditallokering. Des</w:t>
      </w:r>
      <w:r>
        <w:rPr>
          <w:rFonts w:ascii="Times New Roman" w:hAnsi="Times New Roman"/>
          <w:noProof/>
          <w:sz w:val="24"/>
          <w:lang w:val="sv-SE" w:eastAsia="sv-SE" w:bidi="sv-SE"/>
        </w:rPr>
        <w:t>sutom påverkas vinsterna i banksektorn av den låga tillväxten och låga räntor.</w:t>
      </w:r>
    </w:p>
    <w:p w:rsidR="008A54B8" w:rsidRDefault="00BD0CDB">
      <w:pPr>
        <w:autoSpaceDE w:val="0"/>
        <w:autoSpaceDN w:val="0"/>
        <w:adjustRightInd w:val="0"/>
        <w:spacing w:before="120" w:after="120" w:line="240" w:lineRule="auto"/>
        <w:jc w:val="both"/>
        <w:rPr>
          <w:rFonts w:ascii="Times New Roman" w:hAnsi="Times New Roman"/>
          <w:noProof/>
          <w:sz w:val="24"/>
          <w:szCs w:val="20"/>
          <w:lang w:val="sv-SE" w:eastAsia="sv-SE" w:bidi="sv-SE"/>
        </w:rPr>
      </w:pPr>
      <w:r>
        <w:rPr>
          <w:rFonts w:ascii="Times New Roman" w:hAnsi="Times New Roman"/>
          <w:b/>
          <w:noProof/>
          <w:sz w:val="24"/>
          <w:lang w:val="sv-SE" w:eastAsia="sv-SE" w:bidi="sv-SE"/>
        </w:rPr>
        <w:t>Strukturreformer krävs för att underlätta omallokeringen av resurser mellan företag, sektorer och regioner, för att öka produktiviten och konkurrenskraften och skapa hållbar sys</w:t>
      </w:r>
      <w:r>
        <w:rPr>
          <w:rFonts w:ascii="Times New Roman" w:hAnsi="Times New Roman"/>
          <w:b/>
          <w:noProof/>
          <w:sz w:val="24"/>
          <w:lang w:val="sv-SE" w:eastAsia="sv-SE" w:bidi="sv-SE"/>
        </w:rPr>
        <w:t>selsättning.</w:t>
      </w:r>
      <w:r>
        <w:rPr>
          <w:rFonts w:ascii="Times New Roman" w:hAnsi="Times New Roman"/>
          <w:noProof/>
          <w:sz w:val="24"/>
          <w:lang w:val="sv-SE" w:eastAsia="sv-SE" w:bidi="sv-SE"/>
        </w:rPr>
        <w:t xml:space="preserve"> Medlemsländerna måste förbättra omallokeringen av tillgängliga resurser genom att flytta dem till de handelsutsatta sektorerna och de mest produktiva företagen som verkar inom varje sektor i ekonomin. Den processen kan få stöd av reformer som </w:t>
      </w:r>
      <w:r>
        <w:rPr>
          <w:rFonts w:ascii="Times New Roman" w:hAnsi="Times New Roman"/>
          <w:noProof/>
          <w:sz w:val="24"/>
          <w:lang w:val="sv-SE" w:eastAsia="sv-SE" w:bidi="sv-SE"/>
        </w:rPr>
        <w:t xml:space="preserve">avreglerar varu- och tjänstemarknaderna, vilket också skulle få fart på EU:s inre marknad, och av strukturreformer för att få bort hinder för den fria rörligheten för varor och tjänster. </w:t>
      </w:r>
    </w:p>
    <w:p w:rsidR="008A54B8" w:rsidRDefault="008A54B8">
      <w:pPr>
        <w:autoSpaceDE w:val="0"/>
        <w:autoSpaceDN w:val="0"/>
        <w:adjustRightInd w:val="0"/>
        <w:spacing w:after="0" w:line="120" w:lineRule="auto"/>
        <w:jc w:val="both"/>
        <w:rPr>
          <w:rFonts w:ascii="Times New Roman" w:hAnsi="Times New Roman"/>
          <w:b/>
          <w:noProof/>
          <w:sz w:val="8"/>
          <w:szCs w:val="8"/>
          <w:lang w:val="sv-SE" w:eastAsia="sv-SE" w:bidi="sv-SE"/>
        </w:rPr>
      </w:pPr>
    </w:p>
    <w:p w:rsidR="008A54B8" w:rsidRDefault="00BD0CDB">
      <w:pPr>
        <w:spacing w:before="120" w:after="120" w:line="240" w:lineRule="auto"/>
        <w:jc w:val="both"/>
        <w:rPr>
          <w:rFonts w:ascii="Times New Roman" w:hAnsi="Times New Roman"/>
          <w:b/>
          <w:noProof/>
          <w:sz w:val="24"/>
          <w:szCs w:val="24"/>
          <w:lang w:val="sv-SE" w:eastAsia="sv-SE" w:bidi="sv-SE"/>
        </w:rPr>
      </w:pPr>
      <w:r>
        <w:rPr>
          <w:rFonts w:ascii="Times New Roman" w:hAnsi="Times New Roman"/>
          <w:b/>
          <w:noProof/>
          <w:sz w:val="24"/>
          <w:lang w:val="sv-SE" w:eastAsia="sv-SE" w:bidi="sv-SE"/>
        </w:rPr>
        <w:t xml:space="preserve">4.2. Genomförandet av förfarandet vid makroekonomiska obalanser </w:t>
      </w:r>
    </w:p>
    <w:p w:rsidR="008A54B8" w:rsidRDefault="00BD0CDB">
      <w:pPr>
        <w:spacing w:before="120" w:after="120" w:line="240" w:lineRule="auto"/>
        <w:jc w:val="both"/>
        <w:rPr>
          <w:rFonts w:ascii="Times New Roman" w:hAnsi="Times New Roman"/>
          <w:noProof/>
          <w:sz w:val="24"/>
          <w:szCs w:val="24"/>
          <w:lang w:val="sv-SE" w:eastAsia="sv-SE" w:bidi="sv-SE"/>
        </w:rPr>
      </w:pPr>
      <w:r>
        <w:rPr>
          <w:rFonts w:ascii="Times New Roman" w:hAnsi="Times New Roman"/>
          <w:b/>
          <w:noProof/>
          <w:sz w:val="24"/>
          <w:lang w:val="sv-SE" w:eastAsia="sv-SE" w:bidi="sv-SE"/>
        </w:rPr>
        <w:t>Ko</w:t>
      </w:r>
      <w:r>
        <w:rPr>
          <w:rFonts w:ascii="Times New Roman" w:hAnsi="Times New Roman"/>
          <w:b/>
          <w:noProof/>
          <w:sz w:val="24"/>
          <w:lang w:val="sv-SE" w:eastAsia="sv-SE" w:bidi="sv-SE"/>
        </w:rPr>
        <w:t xml:space="preserve">mmissionen har ökat insynen i förfarandet vid makroekonomiska obalanser. </w:t>
      </w:r>
      <w:r>
        <w:rPr>
          <w:rFonts w:ascii="Times New Roman" w:hAnsi="Times New Roman"/>
          <w:noProof/>
          <w:sz w:val="24"/>
          <w:lang w:val="sv-SE" w:eastAsia="sv-SE" w:bidi="sv-SE"/>
        </w:rPr>
        <w:t>Utvärderingen i landsrapporterna speglar åtagandena i kommissionens meddelande om stegen mot färdigställandet av den ekonomiska och monetära unionen</w:t>
      </w:r>
      <w:r>
        <w:rPr>
          <w:rFonts w:ascii="Times New Roman" w:hAnsi="Times New Roman"/>
          <w:noProof/>
          <w:sz w:val="24"/>
          <w:vertAlign w:val="superscript"/>
          <w:lang w:val="sv-SE" w:eastAsia="sv-SE" w:bidi="sv-SE"/>
        </w:rPr>
        <w:footnoteReference w:id="11"/>
      </w:r>
      <w:r>
        <w:rPr>
          <w:rFonts w:ascii="Times New Roman" w:hAnsi="Times New Roman"/>
          <w:noProof/>
          <w:sz w:val="24"/>
          <w:lang w:val="sv-SE" w:eastAsia="sv-SE" w:bidi="sv-SE"/>
        </w:rPr>
        <w:t>, främst ökad insyn i genomförande</w:t>
      </w:r>
      <w:r>
        <w:rPr>
          <w:rFonts w:ascii="Times New Roman" w:hAnsi="Times New Roman"/>
          <w:noProof/>
          <w:sz w:val="24"/>
          <w:lang w:val="sv-SE" w:eastAsia="sv-SE" w:bidi="sv-SE"/>
        </w:rPr>
        <w:t>t av förfarandet. Slutsatserna från de fördjupade granskningarna presenteras mer ändamålsenligt i landsrapporterna i form av sammanfattande tabeller, där man beskriver källorna till obalanserna och illustrerar de viktigaste slutsatserna om de relevanta eko</w:t>
      </w:r>
      <w:r>
        <w:rPr>
          <w:rFonts w:ascii="Times New Roman" w:hAnsi="Times New Roman"/>
          <w:noProof/>
          <w:sz w:val="24"/>
          <w:lang w:val="sv-SE" w:eastAsia="sv-SE" w:bidi="sv-SE"/>
        </w:rPr>
        <w:t>nomiska variablerna, de politiska åtgärderna och de frågor som länderna ännu måste ta itu med. Kommissionens avdelningar kommer också att publicera ett kompendium där man i ett enda dokument sammanställer relevant information om förfarandet för makroekonom</w:t>
      </w:r>
      <w:r>
        <w:rPr>
          <w:rFonts w:ascii="Times New Roman" w:hAnsi="Times New Roman"/>
          <w:noProof/>
          <w:sz w:val="24"/>
          <w:lang w:val="sv-SE" w:eastAsia="sv-SE" w:bidi="sv-SE"/>
        </w:rPr>
        <w:t>iska obalanser.</w:t>
      </w:r>
    </w:p>
    <w:p w:rsidR="008A54B8" w:rsidRDefault="00BD0CDB">
      <w:pPr>
        <w:spacing w:before="120" w:after="120" w:line="240" w:lineRule="auto"/>
        <w:jc w:val="both"/>
        <w:rPr>
          <w:rFonts w:ascii="Times New Roman" w:hAnsi="Times New Roman"/>
          <w:noProof/>
          <w:sz w:val="24"/>
          <w:szCs w:val="24"/>
          <w:lang w:val="sv-SE" w:eastAsia="sv-SE" w:bidi="sv-SE"/>
        </w:rPr>
      </w:pPr>
      <w:r>
        <w:rPr>
          <w:rFonts w:ascii="Times New Roman" w:hAnsi="Times New Roman"/>
          <w:b/>
          <w:noProof/>
          <w:sz w:val="24"/>
          <w:lang w:val="sv-SE" w:eastAsia="sv-SE" w:bidi="sv-SE"/>
        </w:rPr>
        <w:t xml:space="preserve">Kommissionen rationaliserar och stabiliserar kategorierna för makroekonomiska obalanser. </w:t>
      </w:r>
      <w:r>
        <w:rPr>
          <w:rFonts w:ascii="Times New Roman" w:hAnsi="Times New Roman"/>
          <w:noProof/>
          <w:sz w:val="24"/>
          <w:lang w:val="sv-SE" w:eastAsia="sv-SE" w:bidi="sv-SE"/>
        </w:rPr>
        <w:t>För att göra kommunikationen mer ändamålsenlig och förenkla budskapet har kategorierna för makroekonomiska obalanser minskat från dagens sex till fyra:</w:t>
      </w:r>
      <w:r>
        <w:rPr>
          <w:rFonts w:ascii="Times New Roman" w:hAnsi="Times New Roman"/>
          <w:noProof/>
          <w:sz w:val="24"/>
          <w:lang w:val="sv-SE" w:eastAsia="sv-SE" w:bidi="sv-SE"/>
        </w:rPr>
        <w:t xml:space="preserve"> inga obalanser, obalanser, alltför stora obalanser och alltför stora obalanser med korrigerande åtgärder. De här kategorierna ska vara stabila de kommande åren. Särskild övervakning aktiveras vid obalanser eller alltför stora obalanser och anpassas till d</w:t>
      </w:r>
      <w:r>
        <w:rPr>
          <w:rFonts w:ascii="Times New Roman" w:hAnsi="Times New Roman"/>
          <w:noProof/>
          <w:sz w:val="24"/>
          <w:lang w:val="sv-SE" w:eastAsia="sv-SE" w:bidi="sv-SE"/>
        </w:rPr>
        <w:t xml:space="preserve">e underliggande problemens allvar. De landsspecifika rekommendationerna kommer att skräddarsys för att spegla obalansernas natur mot bakgrund av de reformer som ett medlemsland föreslår i sitt nationella reformprogram. </w:t>
      </w:r>
    </w:p>
    <w:p w:rsidR="008A54B8" w:rsidRDefault="008A54B8">
      <w:pPr>
        <w:spacing w:after="0" w:line="120" w:lineRule="auto"/>
        <w:jc w:val="both"/>
        <w:rPr>
          <w:rFonts w:ascii="Times New Roman" w:hAnsi="Times New Roman"/>
          <w:noProof/>
          <w:sz w:val="8"/>
          <w:szCs w:val="8"/>
          <w:lang w:val="sv-SE" w:eastAsia="sv-SE" w:bidi="sv-SE"/>
        </w:rPr>
      </w:pPr>
    </w:p>
    <w:p w:rsidR="008A54B8" w:rsidRDefault="00BD0CDB">
      <w:pPr>
        <w:spacing w:before="120" w:after="120" w:line="240" w:lineRule="auto"/>
        <w:rPr>
          <w:rFonts w:ascii="Times New Roman" w:hAnsi="Times New Roman"/>
          <w:b/>
          <w:noProof/>
          <w:sz w:val="24"/>
          <w:szCs w:val="24"/>
          <w:lang w:val="sv-SE" w:eastAsia="sv-SE" w:bidi="sv-SE"/>
        </w:rPr>
      </w:pPr>
      <w:r>
        <w:rPr>
          <w:rFonts w:ascii="Times New Roman" w:hAnsi="Times New Roman"/>
          <w:b/>
          <w:noProof/>
          <w:sz w:val="24"/>
          <w:lang w:val="sv-SE" w:eastAsia="sv-SE" w:bidi="sv-SE"/>
        </w:rPr>
        <w:t xml:space="preserve">Tabell 1: Kategorisering av </w:t>
      </w:r>
      <w:r>
        <w:rPr>
          <w:rFonts w:ascii="Times New Roman" w:hAnsi="Times New Roman"/>
          <w:b/>
          <w:noProof/>
          <w:sz w:val="24"/>
          <w:lang w:val="sv-SE" w:eastAsia="sv-SE" w:bidi="sv-SE"/>
        </w:rPr>
        <w:t>obalanser inom förfarandet för makroekonomiska obalanser</w:t>
      </w:r>
    </w:p>
    <w:tbl>
      <w:tblPr>
        <w:tblW w:w="8706" w:type="dxa"/>
        <w:jc w:val="center"/>
        <w:tblInd w:w="-15" w:type="dxa"/>
        <w:tblCellMar>
          <w:left w:w="0" w:type="dxa"/>
          <w:right w:w="0" w:type="dxa"/>
        </w:tblCellMar>
        <w:tblLook w:val="04A0" w:firstRow="1" w:lastRow="0" w:firstColumn="1" w:lastColumn="0" w:noHBand="0" w:noVBand="1"/>
      </w:tblPr>
      <w:tblGrid>
        <w:gridCol w:w="4353"/>
        <w:gridCol w:w="4353"/>
      </w:tblGrid>
      <w:tr w:rsidR="008A54B8">
        <w:trPr>
          <w:trHeight w:val="464"/>
          <w:jc w:val="center"/>
        </w:trPr>
        <w:tc>
          <w:tcPr>
            <w:tcW w:w="4353" w:type="dxa"/>
            <w:tcBorders>
              <w:top w:val="single" w:sz="4" w:space="0" w:color="auto"/>
              <w:bottom w:val="single" w:sz="4" w:space="0" w:color="auto"/>
            </w:tcBorders>
            <w:tcMar>
              <w:top w:w="0" w:type="dxa"/>
              <w:left w:w="108" w:type="dxa"/>
              <w:bottom w:w="0" w:type="dxa"/>
              <w:right w:w="108" w:type="dxa"/>
            </w:tcMar>
            <w:vAlign w:val="center"/>
          </w:tcPr>
          <w:p w:rsidR="008A54B8" w:rsidRDefault="00BD0CDB">
            <w:pPr>
              <w:spacing w:before="120" w:after="0" w:line="240" w:lineRule="auto"/>
              <w:jc w:val="both"/>
              <w:rPr>
                <w:rFonts w:ascii="Times New Roman" w:hAnsi="Times New Roman"/>
                <w:b/>
                <w:bCs/>
                <w:noProof/>
                <w:color w:val="000000"/>
                <w:sz w:val="18"/>
                <w:szCs w:val="18"/>
                <w:lang w:val="sv-SE" w:eastAsia="sv-SE" w:bidi="sv-SE"/>
              </w:rPr>
            </w:pPr>
            <w:r>
              <w:rPr>
                <w:rFonts w:ascii="Times New Roman" w:hAnsi="Times New Roman"/>
                <w:b/>
                <w:noProof/>
                <w:color w:val="000000"/>
                <w:sz w:val="18"/>
                <w:lang w:val="sv-SE" w:eastAsia="sv-SE" w:bidi="sv-SE"/>
              </w:rPr>
              <w:t xml:space="preserve">Tidigare kategorier </w:t>
            </w:r>
          </w:p>
        </w:tc>
        <w:tc>
          <w:tcPr>
            <w:tcW w:w="4353" w:type="dxa"/>
            <w:tcBorders>
              <w:top w:val="single" w:sz="4" w:space="0" w:color="auto"/>
              <w:bottom w:val="single" w:sz="4" w:space="0" w:color="auto"/>
            </w:tcBorders>
            <w:vAlign w:val="center"/>
          </w:tcPr>
          <w:p w:rsidR="008A54B8" w:rsidRDefault="00BD0CDB">
            <w:pPr>
              <w:spacing w:before="120" w:after="0" w:line="240" w:lineRule="auto"/>
              <w:ind w:left="284"/>
              <w:jc w:val="both"/>
              <w:rPr>
                <w:rFonts w:ascii="Times New Roman" w:hAnsi="Times New Roman"/>
                <w:b/>
                <w:noProof/>
                <w:sz w:val="18"/>
                <w:szCs w:val="18"/>
                <w:lang w:val="sv-SE" w:eastAsia="sv-SE" w:bidi="sv-SE"/>
              </w:rPr>
            </w:pPr>
            <w:r>
              <w:rPr>
                <w:rFonts w:ascii="Times New Roman" w:hAnsi="Times New Roman"/>
                <w:b/>
                <w:noProof/>
                <w:sz w:val="18"/>
                <w:lang w:val="sv-SE" w:eastAsia="sv-SE" w:bidi="sv-SE"/>
              </w:rPr>
              <w:t xml:space="preserve">Rationaliserade kategorier </w:t>
            </w:r>
          </w:p>
        </w:tc>
      </w:tr>
      <w:tr w:rsidR="008A54B8">
        <w:trPr>
          <w:trHeight w:val="464"/>
          <w:jc w:val="center"/>
        </w:trPr>
        <w:tc>
          <w:tcPr>
            <w:tcW w:w="4353" w:type="dxa"/>
            <w:tcBorders>
              <w:top w:val="single" w:sz="4" w:space="0" w:color="auto"/>
            </w:tcBorders>
            <w:tcMar>
              <w:top w:w="0" w:type="dxa"/>
              <w:left w:w="108" w:type="dxa"/>
              <w:bottom w:w="0" w:type="dxa"/>
              <w:right w:w="108" w:type="dxa"/>
            </w:tcMar>
            <w:vAlign w:val="center"/>
          </w:tcPr>
          <w:p w:rsidR="008A54B8" w:rsidRDefault="00BD0CDB">
            <w:pPr>
              <w:spacing w:before="120" w:after="0" w:line="240" w:lineRule="auto"/>
              <w:jc w:val="both"/>
              <w:rPr>
                <w:rFonts w:ascii="Times New Roman" w:hAnsi="Times New Roman"/>
                <w:bCs/>
                <w:noProof/>
                <w:color w:val="000000"/>
                <w:sz w:val="18"/>
                <w:szCs w:val="18"/>
                <w:lang w:val="sv-SE" w:eastAsia="sv-SE" w:bidi="sv-SE"/>
              </w:rPr>
            </w:pPr>
            <w:r>
              <w:rPr>
                <w:rFonts w:ascii="Times New Roman" w:hAnsi="Times New Roman"/>
                <w:noProof/>
                <w:color w:val="000000"/>
                <w:sz w:val="18"/>
                <w:lang w:val="sv-SE" w:eastAsia="sv-SE" w:bidi="sv-SE"/>
              </w:rPr>
              <w:t>Inga obalanser</w:t>
            </w:r>
          </w:p>
        </w:tc>
        <w:tc>
          <w:tcPr>
            <w:tcW w:w="4353" w:type="dxa"/>
            <w:tcBorders>
              <w:top w:val="single" w:sz="4" w:space="0" w:color="auto"/>
            </w:tcBorders>
            <w:vAlign w:val="center"/>
          </w:tcPr>
          <w:p w:rsidR="008A54B8" w:rsidRDefault="00BD0CDB">
            <w:pPr>
              <w:spacing w:before="120" w:after="0" w:line="240" w:lineRule="auto"/>
              <w:ind w:left="284"/>
              <w:jc w:val="both"/>
              <w:rPr>
                <w:rFonts w:ascii="Times New Roman" w:hAnsi="Times New Roman"/>
                <w:bCs/>
                <w:noProof/>
                <w:color w:val="000000"/>
                <w:sz w:val="18"/>
                <w:szCs w:val="18"/>
                <w:lang w:val="sv-SE" w:eastAsia="sv-SE" w:bidi="sv-SE"/>
              </w:rPr>
            </w:pPr>
            <w:r>
              <w:rPr>
                <w:rFonts w:ascii="Times New Roman" w:hAnsi="Times New Roman"/>
                <w:noProof/>
                <w:sz w:val="18"/>
                <w:lang w:val="sv-SE" w:eastAsia="sv-SE" w:bidi="sv-SE"/>
              </w:rPr>
              <w:t>Inga obalanser</w:t>
            </w:r>
          </w:p>
        </w:tc>
      </w:tr>
      <w:tr w:rsidR="008A54B8">
        <w:trPr>
          <w:trHeight w:val="464"/>
          <w:jc w:val="center"/>
        </w:trPr>
        <w:tc>
          <w:tcPr>
            <w:tcW w:w="4353" w:type="dxa"/>
            <w:tcMar>
              <w:top w:w="0" w:type="dxa"/>
              <w:left w:w="108" w:type="dxa"/>
              <w:bottom w:w="0" w:type="dxa"/>
              <w:right w:w="108" w:type="dxa"/>
            </w:tcMar>
            <w:vAlign w:val="center"/>
            <w:hideMark/>
          </w:tcPr>
          <w:p w:rsidR="008A54B8" w:rsidRDefault="00BD0CDB">
            <w:pPr>
              <w:spacing w:before="120" w:after="0" w:line="240" w:lineRule="auto"/>
              <w:jc w:val="both"/>
              <w:rPr>
                <w:rFonts w:ascii="Times New Roman" w:hAnsi="Times New Roman"/>
                <w:bCs/>
                <w:noProof/>
                <w:color w:val="000000"/>
                <w:sz w:val="18"/>
                <w:szCs w:val="18"/>
                <w:lang w:val="sv-SE" w:eastAsia="sv-SE" w:bidi="sv-SE"/>
              </w:rPr>
            </w:pPr>
            <w:r>
              <w:rPr>
                <w:rFonts w:ascii="Times New Roman" w:hAnsi="Times New Roman"/>
                <w:noProof/>
                <w:color w:val="000000"/>
                <w:sz w:val="18"/>
                <w:lang w:val="sv-SE" w:eastAsia="sv-SE" w:bidi="sv-SE"/>
              </w:rPr>
              <w:t>Obalanser som kräver politiska åtgärder och övervakning</w:t>
            </w:r>
          </w:p>
        </w:tc>
        <w:tc>
          <w:tcPr>
            <w:tcW w:w="4353" w:type="dxa"/>
            <w:vMerge w:val="restart"/>
            <w:vAlign w:val="center"/>
          </w:tcPr>
          <w:p w:rsidR="008A54B8" w:rsidRDefault="00BD0CDB">
            <w:pPr>
              <w:spacing w:before="120" w:after="0" w:line="240" w:lineRule="auto"/>
              <w:ind w:left="284"/>
              <w:jc w:val="both"/>
              <w:rPr>
                <w:rFonts w:ascii="Times New Roman" w:hAnsi="Times New Roman"/>
                <w:bCs/>
                <w:noProof/>
                <w:color w:val="000000"/>
                <w:sz w:val="18"/>
                <w:szCs w:val="18"/>
                <w:lang w:val="sv-SE" w:eastAsia="sv-SE" w:bidi="sv-SE"/>
              </w:rPr>
            </w:pPr>
            <w:r>
              <w:rPr>
                <w:rFonts w:ascii="Times New Roman" w:hAnsi="Times New Roman"/>
                <w:noProof/>
                <w:sz w:val="18"/>
                <w:lang w:val="sv-SE" w:eastAsia="sv-SE" w:bidi="sv-SE"/>
              </w:rPr>
              <w:t>Obalanser</w:t>
            </w:r>
          </w:p>
        </w:tc>
      </w:tr>
      <w:tr w:rsidR="008A54B8" w:rsidRPr="00BD0CDB">
        <w:trPr>
          <w:trHeight w:val="464"/>
          <w:jc w:val="center"/>
        </w:trPr>
        <w:tc>
          <w:tcPr>
            <w:tcW w:w="4353" w:type="dxa"/>
            <w:tcMar>
              <w:top w:w="0" w:type="dxa"/>
              <w:left w:w="108" w:type="dxa"/>
              <w:bottom w:w="0" w:type="dxa"/>
              <w:right w:w="108" w:type="dxa"/>
            </w:tcMar>
            <w:vAlign w:val="center"/>
            <w:hideMark/>
          </w:tcPr>
          <w:p w:rsidR="008A54B8" w:rsidRDefault="00BD0CDB">
            <w:pPr>
              <w:spacing w:before="120" w:after="0" w:line="240" w:lineRule="auto"/>
              <w:jc w:val="both"/>
              <w:rPr>
                <w:rFonts w:ascii="Times New Roman" w:hAnsi="Times New Roman"/>
                <w:bCs/>
                <w:noProof/>
                <w:color w:val="000000"/>
                <w:sz w:val="18"/>
                <w:szCs w:val="18"/>
                <w:lang w:val="sv-SE" w:eastAsia="sv-SE" w:bidi="sv-SE"/>
              </w:rPr>
            </w:pPr>
            <w:r>
              <w:rPr>
                <w:rFonts w:ascii="Times New Roman" w:hAnsi="Times New Roman"/>
                <w:noProof/>
                <w:color w:val="000000"/>
                <w:sz w:val="18"/>
                <w:lang w:val="sv-SE" w:eastAsia="sv-SE" w:bidi="sv-SE"/>
              </w:rPr>
              <w:t xml:space="preserve">Obalanser som kräver kraftfulla politiska åtgärder </w:t>
            </w:r>
            <w:r>
              <w:rPr>
                <w:rFonts w:ascii="Times New Roman" w:hAnsi="Times New Roman"/>
                <w:noProof/>
                <w:color w:val="000000"/>
                <w:sz w:val="18"/>
                <w:lang w:val="sv-SE" w:eastAsia="sv-SE" w:bidi="sv-SE"/>
              </w:rPr>
              <w:t>och övervakning</w:t>
            </w:r>
          </w:p>
        </w:tc>
        <w:tc>
          <w:tcPr>
            <w:tcW w:w="4353" w:type="dxa"/>
            <w:vMerge/>
            <w:vAlign w:val="center"/>
          </w:tcPr>
          <w:p w:rsidR="008A54B8" w:rsidRDefault="008A54B8">
            <w:pPr>
              <w:spacing w:before="120" w:after="0" w:line="240" w:lineRule="auto"/>
              <w:jc w:val="both"/>
              <w:rPr>
                <w:rFonts w:ascii="Times New Roman" w:hAnsi="Times New Roman"/>
                <w:bCs/>
                <w:noProof/>
                <w:color w:val="000000"/>
                <w:sz w:val="18"/>
                <w:szCs w:val="18"/>
                <w:lang w:val="sv-SE" w:eastAsia="sv-SE" w:bidi="sv-SE"/>
              </w:rPr>
            </w:pPr>
          </w:p>
        </w:tc>
      </w:tr>
      <w:tr w:rsidR="008A54B8" w:rsidRPr="00BD0CDB">
        <w:trPr>
          <w:trHeight w:val="464"/>
          <w:jc w:val="center"/>
        </w:trPr>
        <w:tc>
          <w:tcPr>
            <w:tcW w:w="4353" w:type="dxa"/>
            <w:tcMar>
              <w:top w:w="0" w:type="dxa"/>
              <w:left w:w="108" w:type="dxa"/>
              <w:bottom w:w="0" w:type="dxa"/>
              <w:right w:w="108" w:type="dxa"/>
            </w:tcMar>
            <w:vAlign w:val="center"/>
            <w:hideMark/>
          </w:tcPr>
          <w:p w:rsidR="008A54B8" w:rsidRDefault="00BD0CDB">
            <w:pPr>
              <w:spacing w:before="120" w:after="0" w:line="240" w:lineRule="auto"/>
              <w:jc w:val="both"/>
              <w:rPr>
                <w:rFonts w:ascii="Times New Roman" w:hAnsi="Times New Roman"/>
                <w:bCs/>
                <w:noProof/>
                <w:color w:val="000000"/>
                <w:sz w:val="18"/>
                <w:szCs w:val="18"/>
                <w:lang w:val="sv-SE" w:eastAsia="sv-SE" w:bidi="sv-SE"/>
              </w:rPr>
            </w:pPr>
            <w:r>
              <w:rPr>
                <w:rFonts w:ascii="Times New Roman" w:hAnsi="Times New Roman"/>
                <w:noProof/>
                <w:color w:val="000000"/>
                <w:sz w:val="18"/>
                <w:lang w:val="sv-SE" w:eastAsia="sv-SE" w:bidi="sv-SE"/>
              </w:rPr>
              <w:t>Obalanser som kräver kraftfulla politiska åtgärder och särskild övervakning</w:t>
            </w:r>
          </w:p>
        </w:tc>
        <w:tc>
          <w:tcPr>
            <w:tcW w:w="4353" w:type="dxa"/>
            <w:vMerge/>
            <w:vAlign w:val="center"/>
          </w:tcPr>
          <w:p w:rsidR="008A54B8" w:rsidRDefault="008A54B8">
            <w:pPr>
              <w:spacing w:before="120" w:after="0" w:line="240" w:lineRule="auto"/>
              <w:jc w:val="both"/>
              <w:rPr>
                <w:rFonts w:ascii="Times New Roman" w:hAnsi="Times New Roman"/>
                <w:bCs/>
                <w:noProof/>
                <w:color w:val="000000"/>
                <w:sz w:val="18"/>
                <w:szCs w:val="18"/>
                <w:lang w:val="sv-SE" w:eastAsia="sv-SE" w:bidi="sv-SE"/>
              </w:rPr>
            </w:pPr>
          </w:p>
        </w:tc>
      </w:tr>
      <w:tr w:rsidR="008A54B8">
        <w:trPr>
          <w:trHeight w:val="464"/>
          <w:jc w:val="center"/>
        </w:trPr>
        <w:tc>
          <w:tcPr>
            <w:tcW w:w="4353" w:type="dxa"/>
            <w:tcMar>
              <w:top w:w="0" w:type="dxa"/>
              <w:left w:w="108" w:type="dxa"/>
              <w:bottom w:w="0" w:type="dxa"/>
              <w:right w:w="108" w:type="dxa"/>
            </w:tcMar>
            <w:vAlign w:val="center"/>
            <w:hideMark/>
          </w:tcPr>
          <w:p w:rsidR="008A54B8" w:rsidRDefault="00BD0CDB">
            <w:pPr>
              <w:spacing w:before="120" w:after="0" w:line="240" w:lineRule="auto"/>
              <w:jc w:val="both"/>
              <w:rPr>
                <w:rFonts w:ascii="Times New Roman" w:hAnsi="Times New Roman"/>
                <w:bCs/>
                <w:noProof/>
                <w:color w:val="000000"/>
                <w:sz w:val="18"/>
                <w:szCs w:val="18"/>
                <w:lang w:val="sv-SE" w:eastAsia="sv-SE" w:bidi="sv-SE"/>
              </w:rPr>
            </w:pPr>
            <w:r>
              <w:rPr>
                <w:rFonts w:ascii="Times New Roman" w:hAnsi="Times New Roman"/>
                <w:noProof/>
                <w:color w:val="000000"/>
                <w:sz w:val="18"/>
                <w:lang w:val="sv-SE" w:eastAsia="sv-SE" w:bidi="sv-SE"/>
              </w:rPr>
              <w:t>Alltför stora obalanser som kräver beslutsamma politiska åtgärder och särskild övervakning</w:t>
            </w:r>
          </w:p>
        </w:tc>
        <w:tc>
          <w:tcPr>
            <w:tcW w:w="4353" w:type="dxa"/>
            <w:vAlign w:val="center"/>
          </w:tcPr>
          <w:p w:rsidR="008A54B8" w:rsidRDefault="00BD0CDB">
            <w:pPr>
              <w:spacing w:before="120" w:after="0" w:line="240" w:lineRule="auto"/>
              <w:ind w:left="284"/>
              <w:jc w:val="both"/>
              <w:rPr>
                <w:rFonts w:ascii="Times New Roman" w:hAnsi="Times New Roman"/>
                <w:bCs/>
                <w:noProof/>
                <w:color w:val="000000"/>
                <w:sz w:val="18"/>
                <w:szCs w:val="18"/>
                <w:lang w:val="sv-SE" w:eastAsia="sv-SE" w:bidi="sv-SE"/>
              </w:rPr>
            </w:pPr>
            <w:r>
              <w:rPr>
                <w:rFonts w:ascii="Times New Roman" w:hAnsi="Times New Roman"/>
                <w:noProof/>
                <w:sz w:val="18"/>
                <w:lang w:val="sv-SE" w:eastAsia="sv-SE" w:bidi="sv-SE"/>
              </w:rPr>
              <w:t>Alltför stora obalanser</w:t>
            </w:r>
          </w:p>
        </w:tc>
      </w:tr>
      <w:tr w:rsidR="008A54B8" w:rsidRPr="00BD0CDB">
        <w:trPr>
          <w:trHeight w:val="464"/>
          <w:jc w:val="center"/>
        </w:trPr>
        <w:tc>
          <w:tcPr>
            <w:tcW w:w="4353" w:type="dxa"/>
            <w:tcBorders>
              <w:top w:val="nil"/>
              <w:left w:val="nil"/>
              <w:bottom w:val="single" w:sz="4" w:space="0" w:color="auto"/>
              <w:right w:val="nil"/>
            </w:tcBorders>
            <w:tcMar>
              <w:top w:w="0" w:type="dxa"/>
              <w:left w:w="108" w:type="dxa"/>
              <w:bottom w:w="0" w:type="dxa"/>
              <w:right w:w="108" w:type="dxa"/>
            </w:tcMar>
            <w:vAlign w:val="center"/>
          </w:tcPr>
          <w:p w:rsidR="008A54B8" w:rsidRDefault="00BD0CDB">
            <w:pPr>
              <w:spacing w:before="120" w:after="0" w:line="240" w:lineRule="auto"/>
              <w:jc w:val="both"/>
              <w:rPr>
                <w:rFonts w:ascii="Times New Roman" w:hAnsi="Times New Roman"/>
                <w:bCs/>
                <w:noProof/>
                <w:color w:val="000000"/>
                <w:sz w:val="18"/>
                <w:szCs w:val="18"/>
                <w:lang w:val="sv-SE" w:eastAsia="sv-SE" w:bidi="sv-SE"/>
              </w:rPr>
            </w:pPr>
            <w:r>
              <w:rPr>
                <w:rFonts w:ascii="Times New Roman" w:hAnsi="Times New Roman"/>
                <w:noProof/>
                <w:color w:val="000000"/>
                <w:sz w:val="18"/>
                <w:lang w:val="sv-SE" w:eastAsia="sv-SE" w:bidi="sv-SE"/>
              </w:rPr>
              <w:t xml:space="preserve">Alltför stora obalanser med korrigerande </w:t>
            </w:r>
            <w:r>
              <w:rPr>
                <w:rFonts w:ascii="Times New Roman" w:hAnsi="Times New Roman"/>
                <w:noProof/>
                <w:color w:val="000000"/>
                <w:sz w:val="18"/>
                <w:lang w:val="sv-SE" w:eastAsia="sv-SE" w:bidi="sv-SE"/>
              </w:rPr>
              <w:t>åtgärder</w:t>
            </w:r>
            <w:r>
              <w:rPr>
                <w:rFonts w:ascii="Times New Roman" w:hAnsi="Times New Roman"/>
                <w:noProof/>
                <w:sz w:val="18"/>
                <w:lang w:val="sv-SE" w:eastAsia="sv-SE" w:bidi="sv-SE"/>
              </w:rPr>
              <w:t>*</w:t>
            </w:r>
          </w:p>
        </w:tc>
        <w:tc>
          <w:tcPr>
            <w:tcW w:w="4353" w:type="dxa"/>
            <w:tcBorders>
              <w:top w:val="nil"/>
              <w:left w:val="nil"/>
              <w:bottom w:val="single" w:sz="4" w:space="0" w:color="auto"/>
              <w:right w:val="nil"/>
            </w:tcBorders>
            <w:vAlign w:val="center"/>
          </w:tcPr>
          <w:p w:rsidR="008A54B8" w:rsidRDefault="00BD0CDB">
            <w:pPr>
              <w:spacing w:before="120" w:after="0" w:line="240" w:lineRule="auto"/>
              <w:ind w:left="284" w:hanging="1"/>
              <w:jc w:val="both"/>
              <w:rPr>
                <w:rFonts w:ascii="Times New Roman" w:hAnsi="Times New Roman"/>
                <w:bCs/>
                <w:noProof/>
                <w:color w:val="000000"/>
                <w:sz w:val="18"/>
                <w:szCs w:val="18"/>
                <w:lang w:val="sv-SE" w:eastAsia="sv-SE" w:bidi="sv-SE"/>
              </w:rPr>
            </w:pPr>
            <w:r>
              <w:rPr>
                <w:rFonts w:ascii="Times New Roman" w:hAnsi="Times New Roman"/>
                <w:noProof/>
                <w:sz w:val="18"/>
                <w:lang w:val="sv-SE" w:eastAsia="sv-SE" w:bidi="sv-SE"/>
              </w:rPr>
              <w:t>Alltför stora obalanser med korrigerande åtgärder</w:t>
            </w:r>
          </w:p>
        </w:tc>
      </w:tr>
    </w:tbl>
    <w:p w:rsidR="008A54B8" w:rsidRDefault="00BD0CDB">
      <w:pPr>
        <w:spacing w:before="120" w:after="120" w:line="240" w:lineRule="auto"/>
        <w:jc w:val="both"/>
        <w:rPr>
          <w:rFonts w:ascii="Times New Roman" w:hAnsi="Times New Roman"/>
          <w:noProof/>
          <w:sz w:val="24"/>
          <w:szCs w:val="24"/>
          <w:lang w:val="sv-SE" w:eastAsia="sv-SE" w:bidi="sv-SE"/>
        </w:rPr>
      </w:pPr>
      <w:r>
        <w:rPr>
          <w:rFonts w:ascii="Times New Roman" w:hAnsi="Times New Roman"/>
          <w:noProof/>
          <w:sz w:val="24"/>
          <w:lang w:val="sv-SE" w:eastAsia="sv-SE" w:bidi="sv-SE"/>
        </w:rPr>
        <w:t>*</w:t>
      </w:r>
      <w:r>
        <w:rPr>
          <w:noProof/>
          <w:lang w:val="sv-SE" w:eastAsia="sv-SE" w:bidi="sv-SE"/>
        </w:rPr>
        <w:t xml:space="preserve"> </w:t>
      </w:r>
      <w:r>
        <w:rPr>
          <w:rFonts w:ascii="Times New Roman" w:hAnsi="Times New Roman"/>
          <w:noProof/>
          <w:sz w:val="18"/>
          <w:lang w:val="sv-SE" w:eastAsia="sv-SE" w:bidi="sv-SE"/>
        </w:rPr>
        <w:t>Kategorin ”alltför stora obalanser med korrigerande åtgärder” innebär att förfarandet vid alltför stora obalanser inleds enligt förordning (EU) nr 1176/2011.</w:t>
      </w:r>
    </w:p>
    <w:p w:rsidR="008A54B8" w:rsidRDefault="008A54B8">
      <w:pPr>
        <w:spacing w:before="120" w:after="120" w:line="240" w:lineRule="auto"/>
        <w:jc w:val="both"/>
        <w:rPr>
          <w:rFonts w:ascii="Times New Roman" w:hAnsi="Times New Roman"/>
          <w:b/>
          <w:noProof/>
          <w:sz w:val="24"/>
          <w:szCs w:val="24"/>
          <w:lang w:val="sv-SE" w:eastAsia="sv-SE" w:bidi="sv-SE"/>
        </w:rPr>
      </w:pPr>
    </w:p>
    <w:p w:rsidR="00BD0CDB" w:rsidRDefault="00BD0CDB">
      <w:pPr>
        <w:spacing w:before="120" w:after="120" w:line="240" w:lineRule="auto"/>
        <w:jc w:val="both"/>
        <w:rPr>
          <w:rFonts w:ascii="Times New Roman" w:hAnsi="Times New Roman"/>
          <w:b/>
          <w:noProof/>
          <w:sz w:val="24"/>
          <w:lang w:val="sv-SE" w:eastAsia="sv-SE" w:bidi="sv-SE"/>
        </w:rPr>
      </w:pPr>
    </w:p>
    <w:p w:rsidR="008A54B8" w:rsidRDefault="00BD0CDB">
      <w:pPr>
        <w:spacing w:before="120" w:after="120" w:line="240" w:lineRule="auto"/>
        <w:jc w:val="both"/>
        <w:rPr>
          <w:rFonts w:ascii="Times New Roman" w:hAnsi="Times New Roman"/>
          <w:b/>
          <w:noProof/>
          <w:sz w:val="24"/>
          <w:szCs w:val="24"/>
          <w:lang w:val="sv-SE" w:eastAsia="sv-SE" w:bidi="sv-SE"/>
        </w:rPr>
      </w:pPr>
      <w:bookmarkStart w:id="1" w:name="_GoBack"/>
      <w:bookmarkEnd w:id="1"/>
      <w:r>
        <w:rPr>
          <w:rFonts w:ascii="Times New Roman" w:hAnsi="Times New Roman"/>
          <w:b/>
          <w:noProof/>
          <w:sz w:val="24"/>
          <w:lang w:val="sv-SE" w:eastAsia="sv-SE" w:bidi="sv-SE"/>
        </w:rPr>
        <w:t>Spridningseffekter till andra länd</w:t>
      </w:r>
      <w:r>
        <w:rPr>
          <w:rFonts w:ascii="Times New Roman" w:hAnsi="Times New Roman"/>
          <w:b/>
          <w:noProof/>
          <w:sz w:val="24"/>
          <w:lang w:val="sv-SE" w:eastAsia="sv-SE" w:bidi="sv-SE"/>
        </w:rPr>
        <w:t xml:space="preserve">er och systemfrågor har beaktats i de fördjupade granskningarna. </w:t>
      </w:r>
      <w:r>
        <w:rPr>
          <w:rFonts w:ascii="Times New Roman" w:hAnsi="Times New Roman"/>
          <w:noProof/>
          <w:sz w:val="24"/>
          <w:lang w:val="sv-SE" w:eastAsia="sv-SE" w:bidi="sv-SE"/>
        </w:rPr>
        <w:t>När makroekonomiska obalanser identifieras och utvärderas tar man också hänsyn till att det krävs en samordnad strategi på euroområdesnivå för att ta itu med obalanser, samtidigt som återhämt</w:t>
      </w:r>
      <w:r>
        <w:rPr>
          <w:rFonts w:ascii="Times New Roman" w:hAnsi="Times New Roman"/>
          <w:noProof/>
          <w:sz w:val="24"/>
          <w:lang w:val="sv-SE" w:eastAsia="sv-SE" w:bidi="sv-SE"/>
        </w:rPr>
        <w:t>ningen ska stödjas. Förfarandet för makroekonomiska obalanser ska förebygga och korrigera obalanser som kan skada det berörda landet, euroområdet eller EU. I sin rapport om förvarningsmekanismen 2016</w:t>
      </w:r>
      <w:r>
        <w:rPr>
          <w:rFonts w:ascii="Times New Roman" w:hAnsi="Times New Roman"/>
          <w:noProof/>
          <w:sz w:val="24"/>
          <w:vertAlign w:val="superscript"/>
          <w:lang w:val="sv-SE" w:eastAsia="sv-SE" w:bidi="sv-SE"/>
        </w:rPr>
        <w:footnoteReference w:id="12"/>
      </w:r>
      <w:r>
        <w:rPr>
          <w:rFonts w:ascii="Times New Roman" w:hAnsi="Times New Roman"/>
          <w:noProof/>
          <w:sz w:val="24"/>
          <w:lang w:val="sv-SE" w:eastAsia="sv-SE" w:bidi="sv-SE"/>
        </w:rPr>
        <w:t xml:space="preserve"> som offentliggjordes tillsammans med den årliga tillväx</w:t>
      </w:r>
      <w:r>
        <w:rPr>
          <w:rFonts w:ascii="Times New Roman" w:hAnsi="Times New Roman"/>
          <w:noProof/>
          <w:sz w:val="24"/>
          <w:lang w:val="sv-SE" w:eastAsia="sv-SE" w:bidi="sv-SE"/>
        </w:rPr>
        <w:t>töversikten 2016 ansåg kommissionen att 18 medlemsländer skulle bli föremål för en fördjupad granskning för att mer i detalj utvärdera hur allvarliga de eventuella obalanserna är.</w:t>
      </w:r>
    </w:p>
    <w:p w:rsidR="008A54B8" w:rsidRDefault="00BD0CDB">
      <w:pPr>
        <w:spacing w:before="120" w:after="120" w:line="240" w:lineRule="auto"/>
        <w:jc w:val="both"/>
        <w:rPr>
          <w:rFonts w:ascii="Times New Roman" w:hAnsi="Times New Roman"/>
          <w:noProof/>
          <w:sz w:val="24"/>
          <w:szCs w:val="24"/>
          <w:lang w:val="sv-SE" w:eastAsia="sv-SE" w:bidi="sv-SE"/>
        </w:rPr>
      </w:pPr>
      <w:r>
        <w:rPr>
          <w:rFonts w:ascii="Times New Roman" w:hAnsi="Times New Roman"/>
          <w:b/>
          <w:noProof/>
          <w:sz w:val="24"/>
          <w:lang w:val="sv-SE" w:eastAsia="sv-SE" w:bidi="sv-SE"/>
        </w:rPr>
        <w:t>Färre länder än förra året anses ha obalanser.</w:t>
      </w:r>
      <w:r>
        <w:rPr>
          <w:rFonts w:ascii="Times New Roman" w:hAnsi="Times New Roman"/>
          <w:noProof/>
          <w:sz w:val="24"/>
          <w:lang w:val="sv-SE" w:eastAsia="sv-SE" w:bidi="sv-SE"/>
        </w:rPr>
        <w:t xml:space="preserve"> Bland de 18 länder som valdes ut för djupare analyser visar de fördjupade granskningarna att sex länder inte har några obalanser, sju har obalanser och fem har alltför stora obalanser. För Kroatiens och Portugals del kommer kommissionen att se över sin be</w:t>
      </w:r>
      <w:r>
        <w:rPr>
          <w:rFonts w:ascii="Times New Roman" w:hAnsi="Times New Roman"/>
          <w:noProof/>
          <w:sz w:val="24"/>
          <w:lang w:val="sv-SE" w:eastAsia="sv-SE" w:bidi="sv-SE"/>
        </w:rPr>
        <w:t>dömning i maj med beaktande av ambitionsnivån i deras nationella reformprogram. I bilaga 3 sammanfattas resultaten av de fördjupade granskningarna per land.</w:t>
      </w:r>
    </w:p>
    <w:p w:rsidR="008A54B8" w:rsidRDefault="00BD0CDB">
      <w:pPr>
        <w:spacing w:before="120" w:after="120" w:line="240" w:lineRule="auto"/>
        <w:rPr>
          <w:rFonts w:ascii="Times New Roman" w:hAnsi="Times New Roman"/>
          <w:noProof/>
          <w:sz w:val="24"/>
          <w:szCs w:val="24"/>
          <w:lang w:val="sv-SE" w:eastAsia="sv-SE" w:bidi="sv-SE"/>
        </w:rPr>
      </w:pPr>
      <w:r>
        <w:rPr>
          <w:rFonts w:ascii="Times New Roman" w:hAnsi="Times New Roman"/>
          <w:b/>
          <w:noProof/>
          <w:lang w:val="sv-SE" w:eastAsia="sv-SE" w:bidi="sv-SE"/>
        </w:rPr>
        <w:br/>
      </w:r>
      <w:r>
        <w:rPr>
          <w:rFonts w:ascii="Times New Roman" w:hAnsi="Times New Roman"/>
          <w:b/>
          <w:noProof/>
          <w:sz w:val="24"/>
          <w:lang w:val="sv-SE" w:eastAsia="sv-SE" w:bidi="sv-SE"/>
        </w:rPr>
        <w:t xml:space="preserve">Tabell 2: Resultatet av de fördjupade granskningarna 2016 (rationaliserade kategorier) </w:t>
      </w:r>
    </w:p>
    <w:tbl>
      <w:tblPr>
        <w:tblW w:w="7969" w:type="dxa"/>
        <w:jc w:val="center"/>
        <w:tblInd w:w="170" w:type="dxa"/>
        <w:tblBorders>
          <w:top w:val="single" w:sz="4" w:space="0" w:color="auto"/>
          <w:bottom w:val="single" w:sz="4" w:space="0" w:color="auto"/>
        </w:tblBorders>
        <w:tblLayout w:type="fixed"/>
        <w:tblLook w:val="04A0" w:firstRow="1" w:lastRow="0" w:firstColumn="1" w:lastColumn="0" w:noHBand="0" w:noVBand="1"/>
      </w:tblPr>
      <w:tblGrid>
        <w:gridCol w:w="5118"/>
        <w:gridCol w:w="2851"/>
      </w:tblGrid>
      <w:tr w:rsidR="008A54B8">
        <w:trPr>
          <w:jc w:val="center"/>
        </w:trPr>
        <w:tc>
          <w:tcPr>
            <w:tcW w:w="5118" w:type="dxa"/>
            <w:shd w:val="clear" w:color="auto" w:fill="auto"/>
          </w:tcPr>
          <w:p w:rsidR="008A54B8" w:rsidRDefault="00BD0CDB">
            <w:pPr>
              <w:spacing w:before="120" w:after="120"/>
              <w:rPr>
                <w:rFonts w:ascii="Times New Roman" w:hAnsi="Times New Roman"/>
                <w:b/>
                <w:noProof/>
                <w:color w:val="000000"/>
                <w:sz w:val="20"/>
                <w:szCs w:val="20"/>
                <w:lang w:val="sv-SE" w:eastAsia="sv-SE" w:bidi="sv-SE"/>
              </w:rPr>
            </w:pPr>
            <w:r>
              <w:rPr>
                <w:rFonts w:ascii="Times New Roman" w:hAnsi="Times New Roman"/>
                <w:b/>
                <w:noProof/>
                <w:color w:val="000000"/>
                <w:sz w:val="20"/>
                <w:lang w:val="sv-SE" w:eastAsia="sv-SE" w:bidi="sv-SE"/>
              </w:rPr>
              <w:t xml:space="preserve">Inga obalanser </w:t>
            </w:r>
          </w:p>
        </w:tc>
        <w:tc>
          <w:tcPr>
            <w:tcW w:w="2851" w:type="dxa"/>
            <w:shd w:val="clear" w:color="auto" w:fill="auto"/>
          </w:tcPr>
          <w:p w:rsidR="008A54B8" w:rsidRDefault="00BD0CDB">
            <w:pPr>
              <w:spacing w:before="120" w:after="120"/>
              <w:rPr>
                <w:rFonts w:ascii="Times New Roman" w:hAnsi="Times New Roman"/>
                <w:noProof/>
                <w:sz w:val="20"/>
                <w:szCs w:val="20"/>
                <w:lang w:eastAsia="sv-SE" w:bidi="sv-SE"/>
              </w:rPr>
            </w:pPr>
            <w:r>
              <w:rPr>
                <w:rFonts w:ascii="Times New Roman" w:hAnsi="Times New Roman"/>
                <w:noProof/>
                <w:sz w:val="20"/>
                <w:lang w:eastAsia="sv-SE" w:bidi="sv-SE"/>
              </w:rPr>
              <w:t>BE, EE, HU, AT, RO, UK</w:t>
            </w:r>
          </w:p>
        </w:tc>
      </w:tr>
      <w:tr w:rsidR="008A54B8" w:rsidRPr="00BD0CDB">
        <w:trPr>
          <w:jc w:val="center"/>
        </w:trPr>
        <w:tc>
          <w:tcPr>
            <w:tcW w:w="5118" w:type="dxa"/>
            <w:shd w:val="clear" w:color="auto" w:fill="auto"/>
          </w:tcPr>
          <w:p w:rsidR="008A54B8" w:rsidRDefault="00BD0CDB">
            <w:pPr>
              <w:spacing w:before="120" w:after="120"/>
              <w:rPr>
                <w:rFonts w:ascii="Times New Roman" w:hAnsi="Times New Roman"/>
                <w:b/>
                <w:noProof/>
                <w:color w:val="000000"/>
                <w:sz w:val="20"/>
                <w:szCs w:val="20"/>
                <w:lang w:val="sv-SE" w:eastAsia="sv-SE" w:bidi="sv-SE"/>
              </w:rPr>
            </w:pPr>
            <w:r>
              <w:rPr>
                <w:rFonts w:ascii="Times New Roman" w:hAnsi="Times New Roman"/>
                <w:b/>
                <w:noProof/>
                <w:color w:val="000000"/>
                <w:sz w:val="20"/>
                <w:lang w:val="sv-SE" w:eastAsia="sv-SE" w:bidi="sv-SE"/>
              </w:rPr>
              <w:t xml:space="preserve">Obalanser* </w:t>
            </w:r>
          </w:p>
        </w:tc>
        <w:tc>
          <w:tcPr>
            <w:tcW w:w="2851" w:type="dxa"/>
            <w:shd w:val="clear" w:color="auto" w:fill="auto"/>
          </w:tcPr>
          <w:p w:rsidR="008A54B8" w:rsidRDefault="00BD0CDB">
            <w:pPr>
              <w:spacing w:before="120" w:after="120"/>
              <w:rPr>
                <w:rFonts w:ascii="Times New Roman" w:hAnsi="Times New Roman"/>
                <w:noProof/>
                <w:color w:val="000000"/>
                <w:sz w:val="20"/>
                <w:szCs w:val="20"/>
                <w:lang w:val="es-ES" w:eastAsia="sv-SE" w:bidi="sv-SE"/>
              </w:rPr>
            </w:pPr>
            <w:r>
              <w:rPr>
                <w:rFonts w:ascii="Times New Roman" w:hAnsi="Times New Roman"/>
                <w:noProof/>
                <w:color w:val="000000"/>
                <w:sz w:val="20"/>
                <w:lang w:val="es-ES" w:eastAsia="sv-SE" w:bidi="sv-SE"/>
              </w:rPr>
              <w:t>DE, IE, ES, NL, SI, FI, SE</w:t>
            </w:r>
          </w:p>
        </w:tc>
      </w:tr>
      <w:tr w:rsidR="008A54B8">
        <w:trPr>
          <w:jc w:val="center"/>
        </w:trPr>
        <w:tc>
          <w:tcPr>
            <w:tcW w:w="5118" w:type="dxa"/>
            <w:shd w:val="clear" w:color="auto" w:fill="auto"/>
          </w:tcPr>
          <w:p w:rsidR="008A54B8" w:rsidRDefault="00BD0CDB">
            <w:pPr>
              <w:spacing w:before="120" w:after="120"/>
              <w:rPr>
                <w:rFonts w:ascii="Times New Roman" w:hAnsi="Times New Roman"/>
                <w:b/>
                <w:noProof/>
                <w:color w:val="000000"/>
                <w:sz w:val="20"/>
                <w:szCs w:val="20"/>
                <w:lang w:val="sv-SE" w:eastAsia="sv-SE" w:bidi="sv-SE"/>
              </w:rPr>
            </w:pPr>
            <w:r>
              <w:rPr>
                <w:rFonts w:ascii="Times New Roman" w:hAnsi="Times New Roman"/>
                <w:b/>
                <w:noProof/>
                <w:color w:val="000000"/>
                <w:sz w:val="20"/>
                <w:lang w:val="sv-SE" w:eastAsia="sv-SE" w:bidi="sv-SE"/>
              </w:rPr>
              <w:t xml:space="preserve">Alltför stora obalanser* </w:t>
            </w:r>
          </w:p>
        </w:tc>
        <w:tc>
          <w:tcPr>
            <w:tcW w:w="2851" w:type="dxa"/>
            <w:shd w:val="clear" w:color="auto" w:fill="auto"/>
          </w:tcPr>
          <w:p w:rsidR="008A54B8" w:rsidRDefault="00BD0CDB">
            <w:pPr>
              <w:spacing w:before="120" w:after="120"/>
              <w:rPr>
                <w:rFonts w:ascii="Times New Roman" w:hAnsi="Times New Roman"/>
                <w:noProof/>
                <w:color w:val="000000"/>
                <w:sz w:val="20"/>
                <w:szCs w:val="20"/>
                <w:lang w:eastAsia="sv-SE" w:bidi="sv-SE"/>
              </w:rPr>
            </w:pPr>
            <w:r>
              <w:rPr>
                <w:rFonts w:ascii="Times New Roman" w:hAnsi="Times New Roman"/>
                <w:noProof/>
                <w:color w:val="000000"/>
                <w:sz w:val="20"/>
                <w:lang w:eastAsia="sv-SE" w:bidi="sv-SE"/>
              </w:rPr>
              <w:t>BG, FR, HR, IT, PT</w:t>
            </w:r>
          </w:p>
        </w:tc>
      </w:tr>
    </w:tbl>
    <w:p w:rsidR="008A54B8" w:rsidRDefault="00BD0CDB">
      <w:pPr>
        <w:spacing w:before="60" w:after="120"/>
        <w:jc w:val="both"/>
        <w:rPr>
          <w:rFonts w:ascii="Times New Roman" w:hAnsi="Times New Roman"/>
          <w:noProof/>
          <w:sz w:val="18"/>
          <w:szCs w:val="18"/>
          <w:lang w:val="sv-SE" w:eastAsia="sv-SE" w:bidi="sv-SE"/>
        </w:rPr>
      </w:pPr>
      <w:r>
        <w:rPr>
          <w:rFonts w:ascii="Times New Roman" w:hAnsi="Times New Roman"/>
          <w:noProof/>
          <w:sz w:val="18"/>
          <w:lang w:val="sv-SE" w:eastAsia="sv-SE" w:bidi="sv-SE"/>
        </w:rPr>
        <w:t xml:space="preserve">*Såväl kategorin ”obalanser” som ”alltför stora obalanser” kräver särskild övervakning, som anpassas efter problemens allvar. </w:t>
      </w:r>
    </w:p>
    <w:p w:rsidR="008A54B8" w:rsidRDefault="008A54B8">
      <w:pPr>
        <w:spacing w:before="120" w:after="120" w:line="240" w:lineRule="auto"/>
        <w:jc w:val="both"/>
        <w:rPr>
          <w:rFonts w:ascii="Times New Roman" w:hAnsi="Times New Roman"/>
          <w:b/>
          <w:noProof/>
          <w:sz w:val="24"/>
          <w:szCs w:val="24"/>
          <w:lang w:val="sv-SE" w:eastAsia="sv-SE" w:bidi="sv-SE"/>
        </w:rPr>
      </w:pPr>
    </w:p>
    <w:p w:rsidR="008A54B8" w:rsidRDefault="00BD0CDB">
      <w:pPr>
        <w:spacing w:before="120" w:after="120" w:line="240" w:lineRule="auto"/>
        <w:jc w:val="both"/>
        <w:rPr>
          <w:rFonts w:ascii="Times New Roman" w:hAnsi="Times New Roman"/>
          <w:noProof/>
          <w:sz w:val="24"/>
          <w:szCs w:val="24"/>
          <w:highlight w:val="yellow"/>
          <w:lang w:val="sv-SE" w:eastAsia="sv-SE" w:bidi="sv-SE"/>
        </w:rPr>
      </w:pPr>
      <w:r>
        <w:rPr>
          <w:rFonts w:ascii="Times New Roman" w:hAnsi="Times New Roman"/>
          <w:b/>
          <w:noProof/>
          <w:sz w:val="24"/>
          <w:lang w:val="sv-SE" w:eastAsia="sv-SE" w:bidi="sv-SE"/>
        </w:rPr>
        <w:t xml:space="preserve">Enligt de rationaliserade kategorierna inom förfarandet vid makroekonomiska obalanser omfattar övervakning särskild övervakning av alla medlemsländer som berörs av obalanser och alltför stora obalanser. </w:t>
      </w:r>
      <w:r>
        <w:rPr>
          <w:rFonts w:ascii="Times New Roman" w:hAnsi="Times New Roman"/>
          <w:noProof/>
          <w:sz w:val="24"/>
          <w:lang w:val="sv-SE" w:eastAsia="sv-SE" w:bidi="sv-SE"/>
        </w:rPr>
        <w:t>Den särskilda övervakningen bör säkerställa utökad öv</w:t>
      </w:r>
      <w:r>
        <w:rPr>
          <w:rFonts w:ascii="Times New Roman" w:hAnsi="Times New Roman"/>
          <w:noProof/>
          <w:sz w:val="24"/>
          <w:lang w:val="sv-SE" w:eastAsia="sv-SE" w:bidi="sv-SE"/>
        </w:rPr>
        <w:t>ervakning av de politiska åtgärder som vidtas för att komma till rätta med de identifierade obalanserna och görs i form av intensifierad dialog med de nationella myndigheterna, expertbesök och regelbundna framstegsrapporter som diskuteras med alla medlemsl</w:t>
      </w:r>
      <w:r>
        <w:rPr>
          <w:rFonts w:ascii="Times New Roman" w:hAnsi="Times New Roman"/>
          <w:noProof/>
          <w:sz w:val="24"/>
          <w:lang w:val="sv-SE" w:eastAsia="sv-SE" w:bidi="sv-SE"/>
        </w:rPr>
        <w:t>änder. De kontakterna ska också bidra till övervakningen av hur de landsspecifika rekommendationerna genomförs i de berörda länderna. Övervakningen kan variera beroende på obalansernas exakta natur. Som regel ska länder med alltför stora obalanser övervaka</w:t>
      </w:r>
      <w:r>
        <w:rPr>
          <w:rFonts w:ascii="Times New Roman" w:hAnsi="Times New Roman"/>
          <w:noProof/>
          <w:sz w:val="24"/>
          <w:lang w:val="sv-SE" w:eastAsia="sv-SE" w:bidi="sv-SE"/>
        </w:rPr>
        <w:t>s noggrannare. Länder i kategorin ”alltför stora obalanser med korrigerande åtgärder” ska bli föremål för ett förfarande vid alltför stora obalanser, vilket innebär politiska rekommendationer och uppföljning i form av en plan för korrigerande åtgärder.</w:t>
      </w:r>
    </w:p>
    <w:p w:rsidR="008A54B8" w:rsidRDefault="008A54B8">
      <w:pPr>
        <w:spacing w:before="120" w:after="120" w:line="240" w:lineRule="auto"/>
        <w:jc w:val="both"/>
        <w:rPr>
          <w:rFonts w:ascii="Times New Roman Bold" w:hAnsi="Times New Roman Bold"/>
          <w:b/>
          <w:smallCaps/>
          <w:noProof/>
          <w:sz w:val="26"/>
          <w:lang w:val="sv-SE" w:eastAsia="sv-SE" w:bidi="sv-SE"/>
        </w:rPr>
      </w:pPr>
    </w:p>
    <w:p w:rsidR="008A54B8" w:rsidRDefault="008A54B8">
      <w:pPr>
        <w:spacing w:before="120" w:after="120" w:line="240" w:lineRule="auto"/>
        <w:jc w:val="both"/>
        <w:rPr>
          <w:rFonts w:ascii="Times New Roman Bold" w:hAnsi="Times New Roman Bold"/>
          <w:b/>
          <w:smallCaps/>
          <w:noProof/>
          <w:sz w:val="26"/>
          <w:lang w:val="sv-SE" w:eastAsia="sv-SE" w:bidi="sv-SE"/>
        </w:rPr>
      </w:pPr>
    </w:p>
    <w:p w:rsidR="008A54B8" w:rsidRDefault="00BD0CDB">
      <w:pPr>
        <w:spacing w:before="120" w:after="120" w:line="240" w:lineRule="auto"/>
        <w:jc w:val="both"/>
        <w:rPr>
          <w:rFonts w:ascii="Times New Roman Bold" w:hAnsi="Times New Roman Bold"/>
          <w:b/>
          <w:smallCaps/>
          <w:noProof/>
          <w:sz w:val="26"/>
          <w:lang w:val="sv-SE" w:eastAsia="sv-SE" w:bidi="sv-SE"/>
        </w:rPr>
      </w:pPr>
      <w:r>
        <w:rPr>
          <w:rFonts w:ascii="Times New Roman Bold" w:hAnsi="Times New Roman Bold"/>
          <w:b/>
          <w:smallCaps/>
          <w:noProof/>
          <w:sz w:val="26"/>
          <w:lang w:val="sv-SE" w:eastAsia="sv-SE" w:bidi="sv-SE"/>
        </w:rPr>
        <w:t xml:space="preserve">5. Reformer i medlemsländerna </w:t>
      </w:r>
    </w:p>
    <w:p w:rsidR="008A54B8" w:rsidRDefault="008A54B8">
      <w:pPr>
        <w:spacing w:before="120" w:after="120" w:line="120" w:lineRule="auto"/>
        <w:jc w:val="both"/>
        <w:rPr>
          <w:rFonts w:ascii="Times New Roman" w:hAnsi="Times New Roman"/>
          <w:b/>
          <w:noProof/>
          <w:sz w:val="24"/>
          <w:szCs w:val="24"/>
          <w:lang w:val="sv-SE" w:eastAsia="sv-SE" w:bidi="sv-SE"/>
        </w:rPr>
      </w:pPr>
    </w:p>
    <w:p w:rsidR="008A54B8" w:rsidRDefault="00BD0CDB">
      <w:pPr>
        <w:spacing w:before="120" w:after="120" w:line="240" w:lineRule="auto"/>
        <w:jc w:val="both"/>
        <w:rPr>
          <w:rFonts w:ascii="Times New Roman" w:hAnsi="Times New Roman"/>
          <w:noProof/>
          <w:sz w:val="24"/>
          <w:szCs w:val="24"/>
          <w:lang w:val="sv-SE" w:eastAsia="sv-SE" w:bidi="sv-SE"/>
        </w:rPr>
      </w:pPr>
      <w:r>
        <w:rPr>
          <w:rFonts w:ascii="Times New Roman" w:hAnsi="Times New Roman"/>
          <w:b/>
          <w:noProof/>
          <w:sz w:val="24"/>
          <w:lang w:val="sv-SE" w:eastAsia="sv-SE" w:bidi="sv-SE"/>
        </w:rPr>
        <w:t>De flesta medlemsländerna har gjort framsteg med sitt reformarbete</w:t>
      </w:r>
      <w:r>
        <w:rPr>
          <w:rFonts w:ascii="Times New Roman" w:hAnsi="Times New Roman"/>
          <w:noProof/>
          <w:sz w:val="24"/>
          <w:lang w:val="sv-SE" w:eastAsia="sv-SE" w:bidi="sv-SE"/>
        </w:rPr>
        <w:t xml:space="preserve">. Reformarbetet måste fortsätta och stärkas för att förbereda ekonomierna för framtida chocker och stärka konkurrenskraften. Hur stark och varaktig </w:t>
      </w:r>
      <w:r>
        <w:rPr>
          <w:rFonts w:ascii="Times New Roman" w:hAnsi="Times New Roman"/>
          <w:noProof/>
          <w:sz w:val="24"/>
          <w:lang w:val="sv-SE" w:eastAsia="sv-SE" w:bidi="sv-SE"/>
        </w:rPr>
        <w:t>återhämtningen blir beror på hur snabbt och effektivt reformerna kan antas och genomföras. EU-fonderna, särskilt de europeiska struktur- och investeringsfonderna, kan och bör användas för att underlätta reformarbetet. I förra årets landsspecifika rekommend</w:t>
      </w:r>
      <w:r>
        <w:rPr>
          <w:rFonts w:ascii="Times New Roman" w:hAnsi="Times New Roman"/>
          <w:noProof/>
          <w:sz w:val="24"/>
          <w:lang w:val="sv-SE" w:eastAsia="sv-SE" w:bidi="sv-SE"/>
        </w:rPr>
        <w:t>ationer pekade man ut de problem som utgjorde kärnan i diskussionerna om den ekonomiska och sociala politiken i länderna. I årets landsrapporter lyfter vi däremot fram nya tendenser, t.ex. inflödena av migranter och flyktingar.</w:t>
      </w:r>
    </w:p>
    <w:p w:rsidR="008A54B8" w:rsidRDefault="00BD0CDB">
      <w:pPr>
        <w:spacing w:before="120" w:after="120" w:line="240" w:lineRule="auto"/>
        <w:jc w:val="both"/>
        <w:rPr>
          <w:rFonts w:ascii="Times New Roman" w:hAnsi="Times New Roman" w:cs="Arial"/>
          <w:noProof/>
          <w:sz w:val="24"/>
          <w:szCs w:val="30"/>
          <w:lang w:val="sv-SE" w:eastAsia="sv-SE" w:bidi="sv-SE"/>
        </w:rPr>
      </w:pPr>
      <w:r>
        <w:rPr>
          <w:rFonts w:ascii="Times New Roman" w:hAnsi="Times New Roman"/>
          <w:b/>
          <w:noProof/>
          <w:sz w:val="24"/>
          <w:lang w:val="sv-SE" w:eastAsia="sv-SE" w:bidi="sv-SE"/>
        </w:rPr>
        <w:t>Det är viktigt att reformern</w:t>
      </w:r>
      <w:r>
        <w:rPr>
          <w:rFonts w:ascii="Times New Roman" w:hAnsi="Times New Roman"/>
          <w:b/>
          <w:noProof/>
          <w:sz w:val="24"/>
          <w:lang w:val="sv-SE" w:eastAsia="sv-SE" w:bidi="sv-SE"/>
        </w:rPr>
        <w:t>a är av god kvalitet för ett bra utfall</w:t>
      </w:r>
      <w:r>
        <w:rPr>
          <w:rFonts w:ascii="Times New Roman" w:hAnsi="Times New Roman"/>
          <w:noProof/>
          <w:sz w:val="24"/>
          <w:lang w:val="sv-SE" w:eastAsia="sv-SE" w:bidi="sv-SE"/>
        </w:rPr>
        <w:t>. En ändamålsenlig omallokering av resurserna till mer produktiva företag skulle höja produktiviten och tillväxten. Det skulle dessutom öka de effektivare företagens investeringar, vilket förbättrar den långsiktiga ti</w:t>
      </w:r>
      <w:r>
        <w:rPr>
          <w:rFonts w:ascii="Times New Roman" w:hAnsi="Times New Roman"/>
          <w:noProof/>
          <w:sz w:val="24"/>
          <w:lang w:val="sv-SE" w:eastAsia="sv-SE" w:bidi="sv-SE"/>
        </w:rPr>
        <w:t>llväxtpotentialen i ländernas ekonomier. Det tar tid innan reformer på varu-, tjänste- och arbetsmarknaderna ger resultat, men de utlöser en omallokering av resurserna, vilket stimulerar investeringarna och moderniserar produktionsbasen i EU:s ekonomi.</w:t>
      </w:r>
    </w:p>
    <w:p w:rsidR="008A54B8" w:rsidRDefault="00BD0CDB">
      <w:pPr>
        <w:spacing w:before="120" w:after="120" w:line="240" w:lineRule="auto"/>
        <w:jc w:val="both"/>
        <w:rPr>
          <w:rFonts w:ascii="Times New Roman" w:hAnsi="Times New Roman"/>
          <w:noProof/>
          <w:sz w:val="24"/>
          <w:szCs w:val="24"/>
          <w:lang w:val="sv-SE" w:eastAsia="sv-SE" w:bidi="sv-SE"/>
        </w:rPr>
      </w:pPr>
      <w:r>
        <w:rPr>
          <w:rFonts w:ascii="Times New Roman" w:hAnsi="Times New Roman"/>
          <w:b/>
          <w:noProof/>
          <w:sz w:val="24"/>
          <w:lang w:val="sv-SE" w:eastAsia="sv-SE" w:bidi="sv-SE"/>
        </w:rPr>
        <w:t>Ref</w:t>
      </w:r>
      <w:r>
        <w:rPr>
          <w:rFonts w:ascii="Times New Roman" w:hAnsi="Times New Roman"/>
          <w:b/>
          <w:noProof/>
          <w:sz w:val="24"/>
          <w:lang w:val="sv-SE" w:eastAsia="sv-SE" w:bidi="sv-SE"/>
        </w:rPr>
        <w:t xml:space="preserve">ormer i länderna krävs för att komplettera de reformer som vidtas på EU-nivå. </w:t>
      </w:r>
      <w:r>
        <w:rPr>
          <w:rFonts w:ascii="Times New Roman" w:hAnsi="Times New Roman"/>
          <w:noProof/>
          <w:sz w:val="24"/>
          <w:lang w:val="sv-SE" w:eastAsia="sv-SE" w:bidi="sv-SE"/>
        </w:rPr>
        <w:t>Flera politiska reformer och verktyg har beslutats på EU-nivå och de ska ge ett bättre företagsklimat och ett säkrare och stabilare regelverk, t.ex. strategin för den inre markna</w:t>
      </w:r>
      <w:r>
        <w:rPr>
          <w:rFonts w:ascii="Times New Roman" w:hAnsi="Times New Roman"/>
          <w:noProof/>
          <w:sz w:val="24"/>
          <w:lang w:val="sv-SE" w:eastAsia="sv-SE" w:bidi="sv-SE"/>
        </w:rPr>
        <w:t>den, den digitala inre marknaden, energiunionen, kapitalmarknadsunionen, paketet för cirkulär ekonomi och agendan för bättre lagstiftning. I följande avsnitt beskriver vi vilka framsteg medlemsländerna har gjort med reformer på de problemområden som identi</w:t>
      </w:r>
      <w:r>
        <w:rPr>
          <w:rFonts w:ascii="Times New Roman" w:hAnsi="Times New Roman"/>
          <w:noProof/>
          <w:sz w:val="24"/>
          <w:lang w:val="sv-SE" w:eastAsia="sv-SE" w:bidi="sv-SE"/>
        </w:rPr>
        <w:t xml:space="preserve">fierades i förra årets landsspecifika rekommendationer. </w:t>
      </w:r>
    </w:p>
    <w:p w:rsidR="008A54B8" w:rsidRDefault="008A54B8">
      <w:pPr>
        <w:tabs>
          <w:tab w:val="left" w:pos="7621"/>
        </w:tabs>
        <w:spacing w:before="120" w:after="120" w:line="240" w:lineRule="auto"/>
        <w:jc w:val="both"/>
        <w:rPr>
          <w:rFonts w:ascii="Times New Roman" w:hAnsi="Times New Roman"/>
          <w:noProof/>
          <w:sz w:val="24"/>
          <w:szCs w:val="24"/>
          <w:lang w:val="sv-SE" w:eastAsia="sv-SE" w:bidi="sv-SE"/>
        </w:rPr>
      </w:pPr>
    </w:p>
    <w:p w:rsidR="008A54B8" w:rsidRDefault="00BD0CDB">
      <w:pPr>
        <w:spacing w:before="120" w:after="120" w:line="240" w:lineRule="auto"/>
        <w:jc w:val="both"/>
        <w:rPr>
          <w:rFonts w:ascii="Times New Roman" w:hAnsi="Times New Roman"/>
          <w:i/>
          <w:noProof/>
          <w:sz w:val="24"/>
          <w:szCs w:val="24"/>
          <w:lang w:val="sv-SE" w:eastAsia="sv-SE" w:bidi="sv-SE"/>
        </w:rPr>
      </w:pPr>
      <w:r>
        <w:rPr>
          <w:rFonts w:ascii="Times New Roman" w:hAnsi="Times New Roman"/>
          <w:b/>
          <w:i/>
          <w:noProof/>
          <w:sz w:val="24"/>
          <w:lang w:val="sv-SE" w:eastAsia="sv-SE" w:bidi="sv-SE"/>
        </w:rPr>
        <w:t>5.1</w:t>
      </w:r>
      <w:r>
        <w:rPr>
          <w:noProof/>
          <w:lang w:val="sv-SE" w:eastAsia="sv-SE" w:bidi="sv-SE"/>
        </w:rPr>
        <w:tab/>
      </w:r>
      <w:r>
        <w:rPr>
          <w:rFonts w:ascii="Times New Roman" w:hAnsi="Times New Roman"/>
          <w:b/>
          <w:i/>
          <w:noProof/>
          <w:sz w:val="24"/>
          <w:lang w:val="sv-SE" w:eastAsia="sv-SE" w:bidi="sv-SE"/>
        </w:rPr>
        <w:t>Få fart på investeringarna</w:t>
      </w:r>
      <w:r>
        <w:rPr>
          <w:rFonts w:ascii="Times New Roman" w:hAnsi="Times New Roman"/>
          <w:i/>
          <w:noProof/>
          <w:sz w:val="24"/>
          <w:lang w:val="sv-SE" w:eastAsia="sv-SE" w:bidi="sv-SE"/>
        </w:rPr>
        <w:t xml:space="preserve"> </w:t>
      </w:r>
    </w:p>
    <w:p w:rsidR="008A54B8" w:rsidRDefault="008A54B8">
      <w:pPr>
        <w:spacing w:before="120" w:after="120" w:line="120" w:lineRule="auto"/>
        <w:jc w:val="both"/>
        <w:rPr>
          <w:rFonts w:ascii="Times New Roman" w:hAnsi="Times New Roman"/>
          <w:noProof/>
          <w:sz w:val="24"/>
          <w:szCs w:val="24"/>
          <w:lang w:val="sv-SE" w:eastAsia="sv-SE" w:bidi="sv-SE"/>
        </w:rPr>
      </w:pPr>
    </w:p>
    <w:p w:rsidR="008A54B8" w:rsidRDefault="00BD0CDB">
      <w:pPr>
        <w:pBdr>
          <w:top w:val="nil"/>
          <w:left w:val="nil"/>
          <w:bottom w:val="nil"/>
          <w:right w:val="nil"/>
          <w:between w:val="nil"/>
          <w:bar w:val="nil"/>
        </w:pBdr>
        <w:spacing w:before="120" w:after="120" w:line="240" w:lineRule="auto"/>
        <w:jc w:val="both"/>
        <w:rPr>
          <w:rFonts w:ascii="Times New Roman" w:hAnsi="Times New Roman"/>
          <w:noProof/>
          <w:color w:val="000000"/>
          <w:sz w:val="24"/>
          <w:szCs w:val="24"/>
          <w:u w:color="000000"/>
          <w:bdr w:val="nil"/>
          <w:lang w:val="sv-SE" w:eastAsia="sv-SE" w:bidi="sv-SE"/>
        </w:rPr>
      </w:pPr>
      <w:r>
        <w:rPr>
          <w:rFonts w:ascii="Times New Roman" w:hAnsi="Times New Roman"/>
          <w:b/>
          <w:noProof/>
          <w:color w:val="000000"/>
          <w:sz w:val="24"/>
          <w:u w:color="000000"/>
          <w:bdr w:val="nil"/>
          <w:lang w:val="sv-SE" w:eastAsia="sv-SE" w:bidi="sv-SE"/>
        </w:rPr>
        <w:t>Bättre förutsättningar för investeringar kräver insatser på flera fronter. Den reala ekonomin måste dra till sig mer privat investeringskapital och man måste se till</w:t>
      </w:r>
      <w:r>
        <w:rPr>
          <w:rFonts w:ascii="Times New Roman" w:hAnsi="Times New Roman"/>
          <w:b/>
          <w:noProof/>
          <w:color w:val="000000"/>
          <w:sz w:val="24"/>
          <w:u w:color="000000"/>
          <w:bdr w:val="nil"/>
          <w:lang w:val="sv-SE" w:eastAsia="sv-SE" w:bidi="sv-SE"/>
        </w:rPr>
        <w:t xml:space="preserve"> att de offentliga investeringarna håller god kvalitet.</w:t>
      </w:r>
      <w:r>
        <w:rPr>
          <w:rFonts w:ascii="Times New Roman" w:hAnsi="Times New Roman"/>
          <w:noProof/>
          <w:color w:val="000000"/>
          <w:sz w:val="24"/>
          <w:u w:color="000000"/>
          <w:bdr w:val="nil"/>
          <w:lang w:val="sv-SE" w:eastAsia="sv-SE" w:bidi="sv-SE"/>
        </w:rPr>
        <w:t xml:space="preserve"> För att investeringarna ska börja bidra till tillväxt och nya jobb är det i linje med investeringsplanen för Europa nödvändigt att förbättra riskfinansieringen, skapa bättre förutsättningar för investeringar och ta fram bättre strukturerade och mer synlig</w:t>
      </w:r>
      <w:r>
        <w:rPr>
          <w:rFonts w:ascii="Times New Roman" w:hAnsi="Times New Roman"/>
          <w:noProof/>
          <w:color w:val="000000"/>
          <w:sz w:val="24"/>
          <w:u w:color="000000"/>
          <w:bdr w:val="nil"/>
          <w:lang w:val="sv-SE" w:eastAsia="sv-SE" w:bidi="sv-SE"/>
        </w:rPr>
        <w:t>a investeringsprojekt. Kommissionen har redan genomfört flera reformer på EU-nivå för att stimulera investeringarna, t.ex. förslaget enligt Solvens II. Kommissionens avdelningar har också noggrant kartlagt de största hindren för investeringar i varje medle</w:t>
      </w:r>
      <w:r>
        <w:rPr>
          <w:rFonts w:ascii="Times New Roman" w:hAnsi="Times New Roman"/>
          <w:noProof/>
          <w:color w:val="000000"/>
          <w:sz w:val="24"/>
          <w:u w:color="000000"/>
          <w:bdr w:val="nil"/>
          <w:lang w:val="sv-SE" w:eastAsia="sv-SE" w:bidi="sv-SE"/>
        </w:rPr>
        <w:t>msland</w:t>
      </w:r>
      <w:r>
        <w:rPr>
          <w:rFonts w:ascii="Times New Roman" w:hAnsi="Times New Roman"/>
          <w:noProof/>
          <w:color w:val="000000"/>
          <w:sz w:val="24"/>
          <w:u w:color="000000"/>
          <w:bdr w:val="nil"/>
          <w:vertAlign w:val="superscript"/>
          <w:lang w:val="sv-SE" w:eastAsia="sv-SE" w:bidi="sv-SE"/>
        </w:rPr>
        <w:footnoteReference w:id="13"/>
      </w:r>
      <w:r>
        <w:rPr>
          <w:rFonts w:ascii="Times New Roman" w:hAnsi="Times New Roman"/>
          <w:noProof/>
          <w:color w:val="000000"/>
          <w:sz w:val="24"/>
          <w:u w:color="000000"/>
          <w:bdr w:val="nil"/>
          <w:lang w:val="sv-SE" w:eastAsia="sv-SE" w:bidi="sv-SE"/>
        </w:rPr>
        <w:t xml:space="preserve">. Det kan röra sig om rättsliga och administrativa hinder, offentlig upphandling, beskattning, rättsväsende, tillgång till finansiering och insolvensregler, utbildning och kompetens och regleringar av olika sektorer. Dessutom pekade kommissionen ut </w:t>
      </w:r>
      <w:r>
        <w:rPr>
          <w:rFonts w:ascii="Times New Roman" w:hAnsi="Times New Roman"/>
          <w:noProof/>
          <w:color w:val="000000"/>
          <w:sz w:val="24"/>
          <w:u w:color="000000"/>
          <w:bdr w:val="nil"/>
          <w:lang w:val="sv-SE" w:eastAsia="sv-SE" w:bidi="sv-SE"/>
        </w:rPr>
        <w:t>tillgången på fler och mer diversifierade finansieringskällor och behovet av att bredda prioriteringarna bortom traditionell infrastruktur till humankapital och tillhörande sociala investeringar.</w:t>
      </w:r>
    </w:p>
    <w:p w:rsidR="008A54B8" w:rsidRDefault="00BD0CDB">
      <w:pPr>
        <w:pBdr>
          <w:top w:val="nil"/>
          <w:left w:val="nil"/>
          <w:bottom w:val="nil"/>
          <w:right w:val="nil"/>
          <w:between w:val="nil"/>
          <w:bar w:val="nil"/>
        </w:pBdr>
        <w:spacing w:before="120" w:after="120" w:line="240" w:lineRule="auto"/>
        <w:jc w:val="both"/>
        <w:rPr>
          <w:rFonts w:ascii="Times New Roman" w:cs="Calibri"/>
          <w:noProof/>
          <w:color w:val="000000"/>
          <w:sz w:val="24"/>
          <w:szCs w:val="24"/>
          <w:u w:color="000000"/>
          <w:bdr w:val="nil"/>
          <w:lang w:val="sv-SE" w:eastAsia="sv-SE" w:bidi="sv-SE"/>
        </w:rPr>
      </w:pPr>
      <w:r>
        <w:rPr>
          <w:rFonts w:ascii="Times New Roman" w:hAnsi="Times New Roman"/>
          <w:b/>
          <w:noProof/>
          <w:color w:val="000000"/>
          <w:sz w:val="24"/>
          <w:u w:color="000000"/>
          <w:bdr w:val="nil"/>
          <w:lang w:val="sv-SE" w:eastAsia="sv-SE" w:bidi="sv-SE"/>
        </w:rPr>
        <w:t>Hittills har investeringarna inte fungerat som någon stark d</w:t>
      </w:r>
      <w:r>
        <w:rPr>
          <w:rFonts w:ascii="Times New Roman" w:hAnsi="Times New Roman"/>
          <w:b/>
          <w:noProof/>
          <w:color w:val="000000"/>
          <w:sz w:val="24"/>
          <w:u w:color="000000"/>
          <w:bdr w:val="nil"/>
          <w:lang w:val="sv-SE" w:eastAsia="sv-SE" w:bidi="sv-SE"/>
        </w:rPr>
        <w:t>rivkraft för återhämtningen.</w:t>
      </w:r>
      <w:r>
        <w:rPr>
          <w:rFonts w:ascii="Times New Roman" w:hAnsi="Times New Roman"/>
          <w:noProof/>
          <w:color w:val="000000"/>
          <w:sz w:val="24"/>
          <w:u w:color="000000"/>
          <w:bdr w:val="nil"/>
          <w:vertAlign w:val="superscript"/>
          <w:lang w:val="sv-SE" w:eastAsia="sv-SE" w:bidi="sv-SE"/>
        </w:rPr>
        <w:footnoteReference w:id="14"/>
      </w:r>
      <w:r>
        <w:rPr>
          <w:rFonts w:ascii="Times New Roman" w:hAnsi="Times New Roman"/>
          <w:noProof/>
          <w:color w:val="000000"/>
          <w:sz w:val="24"/>
          <w:u w:color="000000"/>
          <w:bdr w:val="nil"/>
          <w:lang w:val="sv-SE" w:eastAsia="sv-SE" w:bidi="sv-SE"/>
        </w:rPr>
        <w:t xml:space="preserve"> Medlemsländerna uppmuntras att se till att förhållandena är gynnsamma för investeringar – genom att ta bort flaskhalsar, skapa mer förutsägbara regelverk, stärka den inre marknaden, </w:t>
      </w:r>
      <w:r>
        <w:rPr>
          <w:rFonts w:ascii="Times New Roman" w:hAnsi="Times New Roman"/>
          <w:noProof/>
          <w:color w:val="000000" w:themeColor="text1"/>
          <w:sz w:val="24"/>
          <w:lang w:val="sv-SE" w:eastAsia="sv-SE" w:bidi="sv-SE"/>
        </w:rPr>
        <w:t>identifiera en stabil projektförteckning och</w:t>
      </w:r>
      <w:r>
        <w:rPr>
          <w:rFonts w:ascii="Times New Roman" w:hAnsi="Times New Roman"/>
          <w:noProof/>
          <w:color w:val="000000" w:themeColor="text1"/>
          <w:sz w:val="24"/>
          <w:lang w:val="sv-SE" w:eastAsia="sv-SE" w:bidi="sv-SE"/>
        </w:rPr>
        <w:t xml:space="preserve"> garantera samordning och planering på alla förvaltningsnivåer. </w:t>
      </w:r>
      <w:r>
        <w:rPr>
          <w:rFonts w:ascii="Times New Roman"/>
          <w:noProof/>
          <w:color w:val="000000" w:themeColor="text1"/>
          <w:sz w:val="24"/>
          <w:u w:color="000000"/>
          <w:bdr w:val="nil"/>
          <w:lang w:val="sv-SE" w:eastAsia="sv-SE" w:bidi="sv-SE"/>
        </w:rPr>
        <w:t>I flertalet l</w:t>
      </w:r>
      <w:r>
        <w:rPr>
          <w:rFonts w:ascii="Times New Roman"/>
          <w:noProof/>
          <w:color w:val="000000" w:themeColor="text1"/>
          <w:sz w:val="24"/>
          <w:u w:color="000000"/>
          <w:bdr w:val="nil"/>
          <w:lang w:val="sv-SE" w:eastAsia="sv-SE" w:bidi="sv-SE"/>
        </w:rPr>
        <w:t>ä</w:t>
      </w:r>
      <w:r>
        <w:rPr>
          <w:rFonts w:ascii="Times New Roman"/>
          <w:noProof/>
          <w:color w:val="000000" w:themeColor="text1"/>
          <w:sz w:val="24"/>
          <w:u w:color="000000"/>
          <w:bdr w:val="nil"/>
          <w:lang w:val="sv-SE" w:eastAsia="sv-SE" w:bidi="sv-SE"/>
        </w:rPr>
        <w:t>nderna k</w:t>
      </w:r>
      <w:r>
        <w:rPr>
          <w:rFonts w:ascii="Times New Roman"/>
          <w:noProof/>
          <w:color w:val="000000" w:themeColor="text1"/>
          <w:sz w:val="24"/>
          <w:u w:color="000000"/>
          <w:bdr w:val="nil"/>
          <w:lang w:val="sv-SE" w:eastAsia="sv-SE" w:bidi="sv-SE"/>
        </w:rPr>
        <w:t>ä</w:t>
      </w:r>
      <w:r>
        <w:rPr>
          <w:rFonts w:ascii="Times New Roman"/>
          <w:noProof/>
          <w:color w:val="000000" w:themeColor="text1"/>
          <w:sz w:val="24"/>
          <w:u w:color="000000"/>
          <w:bdr w:val="nil"/>
          <w:lang w:val="sv-SE" w:eastAsia="sv-SE" w:bidi="sv-SE"/>
        </w:rPr>
        <w:t xml:space="preserve">nner man </w:t>
      </w:r>
      <w:r>
        <w:rPr>
          <w:rFonts w:ascii="Times New Roman"/>
          <w:noProof/>
          <w:color w:val="000000" w:themeColor="text1"/>
          <w:sz w:val="24"/>
          <w:u w:color="000000"/>
          <w:bdr w:val="nil"/>
          <w:lang w:val="sv-SE" w:eastAsia="sv-SE" w:bidi="sv-SE"/>
        </w:rPr>
        <w:t>ä</w:t>
      </w:r>
      <w:r>
        <w:rPr>
          <w:rFonts w:ascii="Times New Roman"/>
          <w:noProof/>
          <w:color w:val="000000" w:themeColor="text1"/>
          <w:sz w:val="24"/>
          <w:u w:color="000000"/>
          <w:bdr w:val="nil"/>
          <w:lang w:val="sv-SE" w:eastAsia="sv-SE" w:bidi="sv-SE"/>
        </w:rPr>
        <w:t>nnu av finanskrisens negativa effekter p</w:t>
      </w:r>
      <w:r>
        <w:rPr>
          <w:rFonts w:ascii="Times New Roman"/>
          <w:noProof/>
          <w:color w:val="000000" w:themeColor="text1"/>
          <w:sz w:val="24"/>
          <w:u w:color="000000"/>
          <w:bdr w:val="nil"/>
          <w:lang w:val="sv-SE" w:eastAsia="sv-SE" w:bidi="sv-SE"/>
        </w:rPr>
        <w:t>å</w:t>
      </w:r>
      <w:r>
        <w:rPr>
          <w:rFonts w:ascii="Times New Roman"/>
          <w:noProof/>
          <w:color w:val="000000" w:themeColor="text1"/>
          <w:sz w:val="24"/>
          <w:u w:color="000000"/>
          <w:bdr w:val="nil"/>
          <w:lang w:val="sv-SE" w:eastAsia="sv-SE" w:bidi="sv-SE"/>
        </w:rPr>
        <w:t xml:space="preserve"> investeringarna, medan n</w:t>
      </w:r>
      <w:r>
        <w:rPr>
          <w:rFonts w:ascii="Times New Roman"/>
          <w:noProof/>
          <w:color w:val="000000" w:themeColor="text1"/>
          <w:sz w:val="24"/>
          <w:u w:color="000000"/>
          <w:bdr w:val="nil"/>
          <w:lang w:val="sv-SE" w:eastAsia="sv-SE" w:bidi="sv-SE"/>
        </w:rPr>
        <w:t>å</w:t>
      </w:r>
      <w:r>
        <w:rPr>
          <w:rFonts w:ascii="Times New Roman"/>
          <w:noProof/>
          <w:color w:val="000000" w:themeColor="text1"/>
          <w:sz w:val="24"/>
          <w:u w:color="000000"/>
          <w:bdr w:val="nil"/>
          <w:lang w:val="sv-SE" w:eastAsia="sv-SE" w:bidi="sv-SE"/>
        </w:rPr>
        <w:t>gra har sett en f</w:t>
      </w:r>
      <w:r>
        <w:rPr>
          <w:rFonts w:ascii="Times New Roman"/>
          <w:noProof/>
          <w:color w:val="000000" w:themeColor="text1"/>
          <w:sz w:val="24"/>
          <w:u w:color="000000"/>
          <w:bdr w:val="nil"/>
          <w:lang w:val="sv-SE" w:eastAsia="sv-SE" w:bidi="sv-SE"/>
        </w:rPr>
        <w:t>ö</w:t>
      </w:r>
      <w:r>
        <w:rPr>
          <w:rFonts w:ascii="Times New Roman"/>
          <w:noProof/>
          <w:color w:val="000000" w:themeColor="text1"/>
          <w:sz w:val="24"/>
          <w:u w:color="000000"/>
          <w:bdr w:val="nil"/>
          <w:lang w:val="sv-SE" w:eastAsia="sv-SE" w:bidi="sv-SE"/>
        </w:rPr>
        <w:t>r</w:t>
      </w:r>
      <w:r>
        <w:rPr>
          <w:rFonts w:ascii="Times New Roman"/>
          <w:noProof/>
          <w:color w:val="000000" w:themeColor="text1"/>
          <w:sz w:val="24"/>
          <w:u w:color="000000"/>
          <w:bdr w:val="nil"/>
          <w:lang w:val="sv-SE" w:eastAsia="sv-SE" w:bidi="sv-SE"/>
        </w:rPr>
        <w:t>ä</w:t>
      </w:r>
      <w:r>
        <w:rPr>
          <w:rFonts w:ascii="Times New Roman"/>
          <w:noProof/>
          <w:color w:val="000000" w:themeColor="text1"/>
          <w:sz w:val="24"/>
          <w:u w:color="000000"/>
          <w:bdr w:val="nil"/>
          <w:lang w:val="sv-SE" w:eastAsia="sv-SE" w:bidi="sv-SE"/>
        </w:rPr>
        <w:t>ndring i den relativa balansen mellan offentliga investeringar och priva</w:t>
      </w:r>
      <w:r>
        <w:rPr>
          <w:rFonts w:ascii="Times New Roman"/>
          <w:noProof/>
          <w:color w:val="000000" w:themeColor="text1"/>
          <w:sz w:val="24"/>
          <w:u w:color="000000"/>
          <w:bdr w:val="nil"/>
          <w:lang w:val="sv-SE" w:eastAsia="sv-SE" w:bidi="sv-SE"/>
        </w:rPr>
        <w:t>t- eller f</w:t>
      </w:r>
      <w:r>
        <w:rPr>
          <w:rFonts w:ascii="Times New Roman"/>
          <w:noProof/>
          <w:color w:val="000000" w:themeColor="text1"/>
          <w:sz w:val="24"/>
          <w:u w:color="000000"/>
          <w:bdr w:val="nil"/>
          <w:lang w:val="sv-SE" w:eastAsia="sv-SE" w:bidi="sv-SE"/>
        </w:rPr>
        <w:t>ö</w:t>
      </w:r>
      <w:r>
        <w:rPr>
          <w:rFonts w:ascii="Times New Roman"/>
          <w:noProof/>
          <w:color w:val="000000" w:themeColor="text1"/>
          <w:sz w:val="24"/>
          <w:u w:color="000000"/>
          <w:bdr w:val="nil"/>
          <w:lang w:val="sv-SE" w:eastAsia="sv-SE" w:bidi="sv-SE"/>
        </w:rPr>
        <w:t xml:space="preserve">retagsinvesteringar. Irland </w:t>
      </w:r>
      <w:r>
        <w:rPr>
          <w:rFonts w:ascii="Times New Roman"/>
          <w:noProof/>
          <w:color w:val="000000" w:themeColor="text1"/>
          <w:sz w:val="24"/>
          <w:u w:color="000000"/>
          <w:bdr w:val="nil"/>
          <w:lang w:val="sv-SE" w:eastAsia="sv-SE" w:bidi="sv-SE"/>
        </w:rPr>
        <w:t>ä</w:t>
      </w:r>
      <w:r>
        <w:rPr>
          <w:rFonts w:ascii="Times New Roman"/>
          <w:noProof/>
          <w:color w:val="000000" w:themeColor="text1"/>
          <w:sz w:val="24"/>
          <w:u w:color="000000"/>
          <w:bdr w:val="nil"/>
          <w:lang w:val="sv-SE" w:eastAsia="sv-SE" w:bidi="sv-SE"/>
        </w:rPr>
        <w:t>r ett exempel p</w:t>
      </w:r>
      <w:r>
        <w:rPr>
          <w:rFonts w:ascii="Times New Roman"/>
          <w:noProof/>
          <w:color w:val="000000" w:themeColor="text1"/>
          <w:sz w:val="24"/>
          <w:u w:color="000000"/>
          <w:bdr w:val="nil"/>
          <w:lang w:val="sv-SE" w:eastAsia="sv-SE" w:bidi="sv-SE"/>
        </w:rPr>
        <w:t>å</w:t>
      </w:r>
      <w:r>
        <w:rPr>
          <w:rFonts w:ascii="Times New Roman"/>
          <w:noProof/>
          <w:color w:val="000000" w:themeColor="text1"/>
          <w:sz w:val="24"/>
          <w:u w:color="000000"/>
          <w:bdr w:val="nil"/>
          <w:lang w:val="sv-SE" w:eastAsia="sv-SE" w:bidi="sv-SE"/>
        </w:rPr>
        <w:t xml:space="preserve"> ett land d</w:t>
      </w:r>
      <w:r>
        <w:rPr>
          <w:rFonts w:ascii="Times New Roman"/>
          <w:noProof/>
          <w:color w:val="000000" w:themeColor="text1"/>
          <w:sz w:val="24"/>
          <w:u w:color="000000"/>
          <w:bdr w:val="nil"/>
          <w:lang w:val="sv-SE" w:eastAsia="sv-SE" w:bidi="sv-SE"/>
        </w:rPr>
        <w:t>ä</w:t>
      </w:r>
      <w:r>
        <w:rPr>
          <w:rFonts w:ascii="Times New Roman"/>
          <w:noProof/>
          <w:color w:val="000000" w:themeColor="text1"/>
          <w:sz w:val="24"/>
          <w:u w:color="000000"/>
          <w:bdr w:val="nil"/>
          <w:lang w:val="sv-SE" w:eastAsia="sv-SE" w:bidi="sv-SE"/>
        </w:rPr>
        <w:t>r stora privata investeringar spelar en central roll f</w:t>
      </w:r>
      <w:r>
        <w:rPr>
          <w:rFonts w:ascii="Times New Roman"/>
          <w:noProof/>
          <w:color w:val="000000" w:themeColor="text1"/>
          <w:sz w:val="24"/>
          <w:u w:color="000000"/>
          <w:bdr w:val="nil"/>
          <w:lang w:val="sv-SE" w:eastAsia="sv-SE" w:bidi="sv-SE"/>
        </w:rPr>
        <w:t>ö</w:t>
      </w:r>
      <w:r>
        <w:rPr>
          <w:rFonts w:ascii="Times New Roman"/>
          <w:noProof/>
          <w:color w:val="000000" w:themeColor="text1"/>
          <w:sz w:val="24"/>
          <w:u w:color="000000"/>
          <w:bdr w:val="nil"/>
          <w:lang w:val="sv-SE" w:eastAsia="sv-SE" w:bidi="sv-SE"/>
        </w:rPr>
        <w:t xml:space="preserve">r den ekonomiska </w:t>
      </w:r>
      <w:r>
        <w:rPr>
          <w:rFonts w:ascii="Times New Roman"/>
          <w:noProof/>
          <w:color w:val="000000" w:themeColor="text1"/>
          <w:sz w:val="24"/>
          <w:u w:color="000000"/>
          <w:bdr w:val="nil"/>
          <w:lang w:val="sv-SE" w:eastAsia="sv-SE" w:bidi="sv-SE"/>
        </w:rPr>
        <w:t>å</w:t>
      </w:r>
      <w:r>
        <w:rPr>
          <w:rFonts w:ascii="Times New Roman"/>
          <w:noProof/>
          <w:color w:val="000000" w:themeColor="text1"/>
          <w:sz w:val="24"/>
          <w:u w:color="000000"/>
          <w:bdr w:val="nil"/>
          <w:lang w:val="sv-SE" w:eastAsia="sv-SE" w:bidi="sv-SE"/>
        </w:rPr>
        <w:t>terh</w:t>
      </w:r>
      <w:r>
        <w:rPr>
          <w:rFonts w:ascii="Times New Roman"/>
          <w:noProof/>
          <w:color w:val="000000" w:themeColor="text1"/>
          <w:sz w:val="24"/>
          <w:u w:color="000000"/>
          <w:bdr w:val="nil"/>
          <w:lang w:val="sv-SE" w:eastAsia="sv-SE" w:bidi="sv-SE"/>
        </w:rPr>
        <w:t>ä</w:t>
      </w:r>
      <w:r>
        <w:rPr>
          <w:rFonts w:ascii="Times New Roman"/>
          <w:noProof/>
          <w:color w:val="000000" w:themeColor="text1"/>
          <w:sz w:val="24"/>
          <w:u w:color="000000"/>
          <w:bdr w:val="nil"/>
          <w:lang w:val="sv-SE" w:eastAsia="sv-SE" w:bidi="sv-SE"/>
        </w:rPr>
        <w:t>mtningen efter en omfattande och besv</w:t>
      </w:r>
      <w:r>
        <w:rPr>
          <w:rFonts w:ascii="Times New Roman"/>
          <w:noProof/>
          <w:color w:val="000000" w:themeColor="text1"/>
          <w:sz w:val="24"/>
          <w:u w:color="000000"/>
          <w:bdr w:val="nil"/>
          <w:lang w:val="sv-SE" w:eastAsia="sv-SE" w:bidi="sv-SE"/>
        </w:rPr>
        <w:t>ä</w:t>
      </w:r>
      <w:r>
        <w:rPr>
          <w:rFonts w:ascii="Times New Roman"/>
          <w:noProof/>
          <w:color w:val="000000" w:themeColor="text1"/>
          <w:sz w:val="24"/>
          <w:u w:color="000000"/>
          <w:bdr w:val="nil"/>
          <w:lang w:val="sv-SE" w:eastAsia="sv-SE" w:bidi="sv-SE"/>
        </w:rPr>
        <w:t>rlig anpassningsprocess.</w:t>
      </w:r>
    </w:p>
    <w:p w:rsidR="008A54B8" w:rsidRDefault="00BD0CDB">
      <w:pPr>
        <w:pBdr>
          <w:top w:val="nil"/>
          <w:left w:val="nil"/>
          <w:bottom w:val="nil"/>
          <w:right w:val="nil"/>
          <w:between w:val="nil"/>
          <w:bar w:val="nil"/>
        </w:pBdr>
        <w:spacing w:before="120" w:after="120" w:line="240" w:lineRule="auto"/>
        <w:jc w:val="both"/>
        <w:rPr>
          <w:rFonts w:ascii="Times New Roman" w:cs="Calibri"/>
          <w:noProof/>
          <w:color w:val="000000"/>
          <w:sz w:val="24"/>
          <w:szCs w:val="24"/>
          <w:u w:color="000000"/>
          <w:bdr w:val="nil"/>
          <w:lang w:val="sv-SE" w:eastAsia="sv-SE" w:bidi="sv-SE"/>
        </w:rPr>
      </w:pPr>
      <w:r>
        <w:rPr>
          <w:rFonts w:ascii="Times New Roman"/>
          <w:b/>
          <w:noProof/>
          <w:color w:val="000000"/>
          <w:sz w:val="24"/>
          <w:u w:color="000000"/>
          <w:bdr w:val="nil"/>
          <w:lang w:val="sv-SE" w:eastAsia="sv-SE" w:bidi="sv-SE"/>
        </w:rPr>
        <w:t>EU-fonderna har fortsatt att spela en viktig ro</w:t>
      </w:r>
      <w:r>
        <w:rPr>
          <w:rFonts w:ascii="Times New Roman"/>
          <w:b/>
          <w:noProof/>
          <w:color w:val="000000"/>
          <w:sz w:val="24"/>
          <w:u w:color="000000"/>
          <w:bdr w:val="nil"/>
          <w:lang w:val="sv-SE" w:eastAsia="sv-SE" w:bidi="sv-SE"/>
        </w:rPr>
        <w:t>ll i flera medlemsl</w:t>
      </w:r>
      <w:r>
        <w:rPr>
          <w:rFonts w:ascii="Times New Roman"/>
          <w:b/>
          <w:noProof/>
          <w:color w:val="000000"/>
          <w:sz w:val="24"/>
          <w:u w:color="000000"/>
          <w:bdr w:val="nil"/>
          <w:lang w:val="sv-SE" w:eastAsia="sv-SE" w:bidi="sv-SE"/>
        </w:rPr>
        <w:t>ä</w:t>
      </w:r>
      <w:r>
        <w:rPr>
          <w:rFonts w:ascii="Times New Roman"/>
          <w:b/>
          <w:noProof/>
          <w:color w:val="000000"/>
          <w:sz w:val="24"/>
          <w:u w:color="000000"/>
          <w:bdr w:val="nil"/>
          <w:lang w:val="sv-SE" w:eastAsia="sv-SE" w:bidi="sv-SE"/>
        </w:rPr>
        <w:t xml:space="preserve">nder. </w:t>
      </w:r>
      <w:r>
        <w:rPr>
          <w:rFonts w:ascii="Times New Roman"/>
          <w:noProof/>
          <w:color w:val="000000"/>
          <w:sz w:val="24"/>
          <w:u w:color="000000"/>
          <w:bdr w:val="nil"/>
          <w:lang w:val="sv-SE" w:eastAsia="sv-SE" w:bidi="sv-SE"/>
        </w:rPr>
        <w:t>I Bulgarien, Estland, Kroatien, Lettland, Litauen, Malta, Polen, Portugal, Rum</w:t>
      </w:r>
      <w:r>
        <w:rPr>
          <w:rFonts w:ascii="Times New Roman"/>
          <w:noProof/>
          <w:color w:val="000000"/>
          <w:sz w:val="24"/>
          <w:u w:color="000000"/>
          <w:bdr w:val="nil"/>
          <w:lang w:val="sv-SE" w:eastAsia="sv-SE" w:bidi="sv-SE"/>
        </w:rPr>
        <w:t>ä</w:t>
      </w:r>
      <w:r>
        <w:rPr>
          <w:rFonts w:ascii="Times New Roman"/>
          <w:noProof/>
          <w:color w:val="000000"/>
          <w:sz w:val="24"/>
          <w:u w:color="000000"/>
          <w:bdr w:val="nil"/>
          <w:lang w:val="sv-SE" w:eastAsia="sv-SE" w:bidi="sv-SE"/>
        </w:rPr>
        <w:t>nien, Slovenien, Slovakien, Tjeckien och Ungern st</w:t>
      </w:r>
      <w:r>
        <w:rPr>
          <w:rFonts w:ascii="Times New Roman"/>
          <w:noProof/>
          <w:color w:val="000000"/>
          <w:sz w:val="24"/>
          <w:u w:color="000000"/>
          <w:bdr w:val="nil"/>
          <w:lang w:val="sv-SE" w:eastAsia="sv-SE" w:bidi="sv-SE"/>
        </w:rPr>
        <w:t>å</w:t>
      </w:r>
      <w:r>
        <w:rPr>
          <w:rFonts w:ascii="Times New Roman"/>
          <w:noProof/>
          <w:color w:val="000000"/>
          <w:sz w:val="24"/>
          <w:u w:color="000000"/>
          <w:bdr w:val="nil"/>
          <w:lang w:val="sv-SE" w:eastAsia="sv-SE" w:bidi="sv-SE"/>
        </w:rPr>
        <w:t>r EU-fonderna f</w:t>
      </w:r>
      <w:r>
        <w:rPr>
          <w:rFonts w:ascii="Times New Roman"/>
          <w:noProof/>
          <w:color w:val="000000"/>
          <w:sz w:val="24"/>
          <w:u w:color="000000"/>
          <w:bdr w:val="nil"/>
          <w:lang w:val="sv-SE" w:eastAsia="sv-SE" w:bidi="sv-SE"/>
        </w:rPr>
        <w:t>ö</w:t>
      </w:r>
      <w:r>
        <w:rPr>
          <w:rFonts w:ascii="Times New Roman"/>
          <w:noProof/>
          <w:color w:val="000000"/>
          <w:sz w:val="24"/>
          <w:u w:color="000000"/>
          <w:bdr w:val="nil"/>
          <w:lang w:val="sv-SE" w:eastAsia="sv-SE" w:bidi="sv-SE"/>
        </w:rPr>
        <w:t>r en stor del av investeringarna. Kommissionen arbetar tillsammans med medlemsl</w:t>
      </w:r>
      <w:r>
        <w:rPr>
          <w:rFonts w:ascii="Times New Roman"/>
          <w:noProof/>
          <w:color w:val="000000"/>
          <w:sz w:val="24"/>
          <w:u w:color="000000"/>
          <w:bdr w:val="nil"/>
          <w:lang w:val="sv-SE" w:eastAsia="sv-SE" w:bidi="sv-SE"/>
        </w:rPr>
        <w:t>ä</w:t>
      </w:r>
      <w:r>
        <w:rPr>
          <w:rFonts w:ascii="Times New Roman"/>
          <w:noProof/>
          <w:color w:val="000000"/>
          <w:sz w:val="24"/>
          <w:u w:color="000000"/>
          <w:bdr w:val="nil"/>
          <w:lang w:val="sv-SE" w:eastAsia="sv-SE" w:bidi="sv-SE"/>
        </w:rPr>
        <w:t>nder</w:t>
      </w:r>
      <w:r>
        <w:rPr>
          <w:rFonts w:ascii="Times New Roman"/>
          <w:noProof/>
          <w:color w:val="000000"/>
          <w:sz w:val="24"/>
          <w:u w:color="000000"/>
          <w:bdr w:val="nil"/>
          <w:lang w:val="sv-SE" w:eastAsia="sv-SE" w:bidi="sv-SE"/>
        </w:rPr>
        <w:t>na f</w:t>
      </w:r>
      <w:r>
        <w:rPr>
          <w:rFonts w:ascii="Times New Roman"/>
          <w:noProof/>
          <w:color w:val="000000"/>
          <w:sz w:val="24"/>
          <w:u w:color="000000"/>
          <w:bdr w:val="nil"/>
          <w:lang w:val="sv-SE" w:eastAsia="sv-SE" w:bidi="sv-SE"/>
        </w:rPr>
        <w:t>ö</w:t>
      </w:r>
      <w:r>
        <w:rPr>
          <w:rFonts w:ascii="Times New Roman"/>
          <w:noProof/>
          <w:color w:val="000000"/>
          <w:sz w:val="24"/>
          <w:u w:color="000000"/>
          <w:bdr w:val="nil"/>
          <w:lang w:val="sv-SE" w:eastAsia="sv-SE" w:bidi="sv-SE"/>
        </w:rPr>
        <w:t>r att f</w:t>
      </w:r>
      <w:r>
        <w:rPr>
          <w:rFonts w:ascii="Times New Roman"/>
          <w:noProof/>
          <w:color w:val="000000"/>
          <w:sz w:val="24"/>
          <w:u w:color="000000"/>
          <w:bdr w:val="nil"/>
          <w:lang w:val="sv-SE" w:eastAsia="sv-SE" w:bidi="sv-SE"/>
        </w:rPr>
        <w:t>ö</w:t>
      </w:r>
      <w:r>
        <w:rPr>
          <w:rFonts w:ascii="Times New Roman"/>
          <w:noProof/>
          <w:color w:val="000000"/>
          <w:sz w:val="24"/>
          <w:u w:color="000000"/>
          <w:bdr w:val="nil"/>
          <w:lang w:val="sv-SE" w:eastAsia="sv-SE" w:bidi="sv-SE"/>
        </w:rPr>
        <w:t>rb</w:t>
      </w:r>
      <w:r>
        <w:rPr>
          <w:rFonts w:ascii="Times New Roman"/>
          <w:noProof/>
          <w:color w:val="000000"/>
          <w:sz w:val="24"/>
          <w:u w:color="000000"/>
          <w:bdr w:val="nil"/>
          <w:lang w:val="sv-SE" w:eastAsia="sv-SE" w:bidi="sv-SE"/>
        </w:rPr>
        <w:t>ä</w:t>
      </w:r>
      <w:r>
        <w:rPr>
          <w:rFonts w:ascii="Times New Roman"/>
          <w:noProof/>
          <w:color w:val="000000"/>
          <w:sz w:val="24"/>
          <w:u w:color="000000"/>
          <w:bdr w:val="nil"/>
          <w:lang w:val="sv-SE" w:eastAsia="sv-SE" w:bidi="sv-SE"/>
        </w:rPr>
        <w:t>ttra hur fonderna f</w:t>
      </w:r>
      <w:r>
        <w:rPr>
          <w:rFonts w:ascii="Times New Roman"/>
          <w:noProof/>
          <w:color w:val="000000"/>
          <w:sz w:val="24"/>
          <w:u w:color="000000"/>
          <w:bdr w:val="nil"/>
          <w:lang w:val="sv-SE" w:eastAsia="sv-SE" w:bidi="sv-SE"/>
        </w:rPr>
        <w:t>ö</w:t>
      </w:r>
      <w:r>
        <w:rPr>
          <w:rFonts w:ascii="Times New Roman"/>
          <w:noProof/>
          <w:color w:val="000000"/>
          <w:sz w:val="24"/>
          <w:u w:color="000000"/>
          <w:bdr w:val="nil"/>
          <w:lang w:val="sv-SE" w:eastAsia="sv-SE" w:bidi="sv-SE"/>
        </w:rPr>
        <w:t>rvaltas och var de investeras. Utnyttjandegraden kan f</w:t>
      </w:r>
      <w:r>
        <w:rPr>
          <w:rFonts w:ascii="Times New Roman"/>
          <w:noProof/>
          <w:color w:val="000000"/>
          <w:sz w:val="24"/>
          <w:u w:color="000000"/>
          <w:bdr w:val="nil"/>
          <w:lang w:val="sv-SE" w:eastAsia="sv-SE" w:bidi="sv-SE"/>
        </w:rPr>
        <w:t>ö</w:t>
      </w:r>
      <w:r>
        <w:rPr>
          <w:rFonts w:ascii="Times New Roman"/>
          <w:noProof/>
          <w:color w:val="000000"/>
          <w:sz w:val="24"/>
          <w:u w:color="000000"/>
          <w:bdr w:val="nil"/>
          <w:lang w:val="sv-SE" w:eastAsia="sv-SE" w:bidi="sv-SE"/>
        </w:rPr>
        <w:t>rb</w:t>
      </w:r>
      <w:r>
        <w:rPr>
          <w:rFonts w:ascii="Times New Roman"/>
          <w:noProof/>
          <w:color w:val="000000"/>
          <w:sz w:val="24"/>
          <w:u w:color="000000"/>
          <w:bdr w:val="nil"/>
          <w:lang w:val="sv-SE" w:eastAsia="sv-SE" w:bidi="sv-SE"/>
        </w:rPr>
        <w:t>ä</w:t>
      </w:r>
      <w:r>
        <w:rPr>
          <w:rFonts w:ascii="Times New Roman"/>
          <w:noProof/>
          <w:color w:val="000000"/>
          <w:sz w:val="24"/>
          <w:u w:color="000000"/>
          <w:bdr w:val="nil"/>
          <w:lang w:val="sv-SE" w:eastAsia="sv-SE" w:bidi="sv-SE"/>
        </w:rPr>
        <w:t>ttras genom b</w:t>
      </w:r>
      <w:r>
        <w:rPr>
          <w:rFonts w:ascii="Times New Roman"/>
          <w:noProof/>
          <w:color w:val="000000"/>
          <w:sz w:val="24"/>
          <w:u w:color="000000"/>
          <w:bdr w:val="nil"/>
          <w:lang w:val="sv-SE" w:eastAsia="sv-SE" w:bidi="sv-SE"/>
        </w:rPr>
        <w:t>ä</w:t>
      </w:r>
      <w:r>
        <w:rPr>
          <w:rFonts w:ascii="Times New Roman"/>
          <w:noProof/>
          <w:color w:val="000000"/>
          <w:sz w:val="24"/>
          <w:u w:color="000000"/>
          <w:bdr w:val="nil"/>
          <w:lang w:val="sv-SE" w:eastAsia="sv-SE" w:bidi="sv-SE"/>
        </w:rPr>
        <w:t>ttre administrativ kapacitet hos de nationella och regionala f</w:t>
      </w:r>
      <w:r>
        <w:rPr>
          <w:rFonts w:ascii="Times New Roman"/>
          <w:noProof/>
          <w:color w:val="000000"/>
          <w:sz w:val="24"/>
          <w:u w:color="000000"/>
          <w:bdr w:val="nil"/>
          <w:lang w:val="sv-SE" w:eastAsia="sv-SE" w:bidi="sv-SE"/>
        </w:rPr>
        <w:t>ö</w:t>
      </w:r>
      <w:r>
        <w:rPr>
          <w:rFonts w:ascii="Times New Roman"/>
          <w:noProof/>
          <w:color w:val="000000"/>
          <w:sz w:val="24"/>
          <w:u w:color="000000"/>
          <w:bdr w:val="nil"/>
          <w:lang w:val="sv-SE" w:eastAsia="sv-SE" w:bidi="sv-SE"/>
        </w:rPr>
        <w:t>rvaltningarna och med hj</w:t>
      </w:r>
      <w:r>
        <w:rPr>
          <w:rFonts w:ascii="Times New Roman"/>
          <w:noProof/>
          <w:color w:val="000000"/>
          <w:sz w:val="24"/>
          <w:u w:color="000000"/>
          <w:bdr w:val="nil"/>
          <w:lang w:val="sv-SE" w:eastAsia="sv-SE" w:bidi="sv-SE"/>
        </w:rPr>
        <w:t>ä</w:t>
      </w:r>
      <w:r>
        <w:rPr>
          <w:rFonts w:ascii="Times New Roman"/>
          <w:noProof/>
          <w:color w:val="000000"/>
          <w:sz w:val="24"/>
          <w:u w:color="000000"/>
          <w:bdr w:val="nil"/>
          <w:lang w:val="sv-SE" w:eastAsia="sv-SE" w:bidi="sv-SE"/>
        </w:rPr>
        <w:t>lp av tekniskt bist</w:t>
      </w:r>
      <w:r>
        <w:rPr>
          <w:rFonts w:ascii="Times New Roman"/>
          <w:noProof/>
          <w:color w:val="000000"/>
          <w:sz w:val="24"/>
          <w:u w:color="000000"/>
          <w:bdr w:val="nil"/>
          <w:lang w:val="sv-SE" w:eastAsia="sv-SE" w:bidi="sv-SE"/>
        </w:rPr>
        <w:t>å</w:t>
      </w:r>
      <w:r>
        <w:rPr>
          <w:rFonts w:ascii="Times New Roman"/>
          <w:noProof/>
          <w:color w:val="000000"/>
          <w:sz w:val="24"/>
          <w:u w:color="000000"/>
          <w:bdr w:val="nil"/>
          <w:lang w:val="sv-SE" w:eastAsia="sv-SE" w:bidi="sv-SE"/>
        </w:rPr>
        <w:t>nd, vilket ocks</w:t>
      </w:r>
      <w:r>
        <w:rPr>
          <w:rFonts w:ascii="Times New Roman"/>
          <w:noProof/>
          <w:color w:val="000000"/>
          <w:sz w:val="24"/>
          <w:u w:color="000000"/>
          <w:bdr w:val="nil"/>
          <w:lang w:val="sv-SE" w:eastAsia="sv-SE" w:bidi="sv-SE"/>
        </w:rPr>
        <w:t>å</w:t>
      </w:r>
      <w:r>
        <w:rPr>
          <w:rFonts w:ascii="Times New Roman"/>
          <w:noProof/>
          <w:color w:val="000000"/>
          <w:sz w:val="24"/>
          <w:u w:color="000000"/>
          <w:bdr w:val="nil"/>
          <w:lang w:val="sv-SE" w:eastAsia="sv-SE" w:bidi="sv-SE"/>
        </w:rPr>
        <w:t xml:space="preserve"> bidrar till att de olik</w:t>
      </w:r>
      <w:r>
        <w:rPr>
          <w:rFonts w:ascii="Times New Roman"/>
          <w:noProof/>
          <w:color w:val="000000"/>
          <w:sz w:val="24"/>
          <w:u w:color="000000"/>
          <w:bdr w:val="nil"/>
          <w:lang w:val="sv-SE" w:eastAsia="sv-SE" w:bidi="sv-SE"/>
        </w:rPr>
        <w:t>a EU-fonderna kombineras p</w:t>
      </w:r>
      <w:r>
        <w:rPr>
          <w:rFonts w:ascii="Times New Roman"/>
          <w:noProof/>
          <w:color w:val="000000"/>
          <w:sz w:val="24"/>
          <w:u w:color="000000"/>
          <w:bdr w:val="nil"/>
          <w:lang w:val="sv-SE" w:eastAsia="sv-SE" w:bidi="sv-SE"/>
        </w:rPr>
        <w:t>å</w:t>
      </w:r>
      <w:r>
        <w:rPr>
          <w:rFonts w:ascii="Times New Roman"/>
          <w:noProof/>
          <w:color w:val="000000"/>
          <w:sz w:val="24"/>
          <w:u w:color="000000"/>
          <w:bdr w:val="nil"/>
          <w:lang w:val="sv-SE" w:eastAsia="sv-SE" w:bidi="sv-SE"/>
        </w:rPr>
        <w:t xml:space="preserve"> ett optimalt s</w:t>
      </w:r>
      <w:r>
        <w:rPr>
          <w:rFonts w:ascii="Times New Roman"/>
          <w:noProof/>
          <w:color w:val="000000"/>
          <w:sz w:val="24"/>
          <w:u w:color="000000"/>
          <w:bdr w:val="nil"/>
          <w:lang w:val="sv-SE" w:eastAsia="sv-SE" w:bidi="sv-SE"/>
        </w:rPr>
        <w:t>ä</w:t>
      </w:r>
      <w:r>
        <w:rPr>
          <w:rFonts w:ascii="Times New Roman"/>
          <w:noProof/>
          <w:color w:val="000000"/>
          <w:sz w:val="24"/>
          <w:u w:color="000000"/>
          <w:bdr w:val="nil"/>
          <w:lang w:val="sv-SE" w:eastAsia="sv-SE" w:bidi="sv-SE"/>
        </w:rPr>
        <w:t>tt.</w:t>
      </w:r>
    </w:p>
    <w:p w:rsidR="008A54B8" w:rsidRDefault="00BD0CDB">
      <w:pPr>
        <w:pBdr>
          <w:top w:val="nil"/>
          <w:left w:val="nil"/>
          <w:bottom w:val="nil"/>
          <w:right w:val="nil"/>
          <w:between w:val="nil"/>
          <w:bar w:val="nil"/>
        </w:pBdr>
        <w:spacing w:before="120" w:after="120" w:line="240" w:lineRule="auto"/>
        <w:jc w:val="both"/>
        <w:rPr>
          <w:rFonts w:ascii="Times New Roman" w:hAnsi="Times New Roman" w:cs="Calibri"/>
          <w:noProof/>
          <w:color w:val="000000"/>
          <w:sz w:val="24"/>
          <w:szCs w:val="24"/>
          <w:u w:color="000000"/>
          <w:bdr w:val="nil"/>
          <w:lang w:val="sv-SE" w:eastAsia="sv-SE" w:bidi="sv-SE"/>
        </w:rPr>
      </w:pPr>
      <w:r>
        <w:rPr>
          <w:rFonts w:ascii="Times New Roman" w:hAnsi="Times New Roman"/>
          <w:b/>
          <w:noProof/>
          <w:color w:val="000000"/>
          <w:sz w:val="24"/>
          <w:u w:color="000000"/>
          <w:bdr w:val="nil"/>
          <w:lang w:val="sv-SE" w:eastAsia="sv-SE" w:bidi="sv-SE"/>
        </w:rPr>
        <w:t xml:space="preserve">I den fleråriga budgetramen för 2014–2020 är de europeiska struktur- och investeringsfonderna nära kopplade till målen för Europa 2020-strategin och till de makroekonomiska problem som identifieras i de </w:t>
      </w:r>
      <w:r>
        <w:rPr>
          <w:rFonts w:ascii="Times New Roman" w:hAnsi="Times New Roman"/>
          <w:b/>
          <w:noProof/>
          <w:color w:val="000000"/>
          <w:sz w:val="24"/>
          <w:u w:color="000000"/>
          <w:bdr w:val="nil"/>
          <w:lang w:val="sv-SE" w:eastAsia="sv-SE" w:bidi="sv-SE"/>
        </w:rPr>
        <w:t>landsspecifika rekommendationerna.</w:t>
      </w:r>
      <w:r>
        <w:rPr>
          <w:rFonts w:ascii="Times New Roman" w:hAnsi="Times New Roman"/>
          <w:noProof/>
          <w:color w:val="000000"/>
          <w:sz w:val="24"/>
          <w:u w:color="000000"/>
          <w:bdr w:val="nil"/>
          <w:lang w:val="sv-SE" w:eastAsia="sv-SE" w:bidi="sv-SE"/>
        </w:rPr>
        <w:t xml:space="preserve"> Förutom utnyttjandegraden är det viktigt att se till att EU-fonderna används på det mest effektiva sättet för att åtgärda medlemsländernas ekonomiska och sociala problem. Den försenade programplaneringen för vissa av fond</w:t>
      </w:r>
      <w:r>
        <w:rPr>
          <w:rFonts w:ascii="Times New Roman" w:hAnsi="Times New Roman"/>
          <w:noProof/>
          <w:color w:val="000000"/>
          <w:sz w:val="24"/>
          <w:u w:color="000000"/>
          <w:bdr w:val="nil"/>
          <w:lang w:val="sv-SE" w:eastAsia="sv-SE" w:bidi="sv-SE"/>
        </w:rPr>
        <w:t>erna kräver nu extra insatser för att se till att utbetalningarna går snabbt och smidigt. Vissa länder måste fortfarande uppfylla sina förhandsvillkor, annars måste kommissionen kanske hålla inne betalningar till de aktuella programprioriteringarna. Finans</w:t>
      </w:r>
      <w:r>
        <w:rPr>
          <w:rFonts w:ascii="Times New Roman" w:hAnsi="Times New Roman"/>
          <w:noProof/>
          <w:color w:val="000000"/>
          <w:sz w:val="24"/>
          <w:u w:color="000000"/>
          <w:bdr w:val="nil"/>
          <w:lang w:val="sv-SE" w:eastAsia="sv-SE" w:bidi="sv-SE"/>
        </w:rPr>
        <w:t>iering från Europeiska fonden för strategiska investeringar, Horisont 2020, Fonden för ett sammanlänkat Europa (däribland drygt 4,1 miljarder euro till transportsektorn enbart) och andra direktförvaltade EU-fonder finns vid sidan av de europeiska struktur-</w:t>
      </w:r>
      <w:r>
        <w:rPr>
          <w:rFonts w:ascii="Times New Roman" w:hAnsi="Times New Roman"/>
          <w:noProof/>
          <w:color w:val="000000"/>
          <w:sz w:val="24"/>
          <w:u w:color="000000"/>
          <w:bdr w:val="nil"/>
          <w:lang w:val="sv-SE" w:eastAsia="sv-SE" w:bidi="sv-SE"/>
        </w:rPr>
        <w:t xml:space="preserve"> och investeringsfonderna och de olika möjligheterna bör kombineras på ett optimalt sätt. I de europeiska struktur- och investeringsfonderna finns över 450 miljarder euro till medlemsländernas förfogande för 2014–2020 för att finansiera smart tillväxt för </w:t>
      </w:r>
      <w:r>
        <w:rPr>
          <w:rFonts w:ascii="Times New Roman" w:hAnsi="Times New Roman"/>
          <w:noProof/>
          <w:color w:val="000000"/>
          <w:sz w:val="24"/>
          <w:u w:color="000000"/>
          <w:bdr w:val="nil"/>
          <w:lang w:val="sv-SE" w:eastAsia="sv-SE" w:bidi="sv-SE"/>
        </w:rPr>
        <w:t xml:space="preserve">alla, konkurrenskraft och sammanhållning. </w:t>
      </w:r>
    </w:p>
    <w:p w:rsidR="008A54B8" w:rsidRDefault="00BD0CDB">
      <w:pPr>
        <w:pBdr>
          <w:top w:val="nil"/>
          <w:left w:val="nil"/>
          <w:bottom w:val="nil"/>
          <w:right w:val="nil"/>
          <w:between w:val="nil"/>
          <w:bar w:val="nil"/>
        </w:pBdr>
        <w:spacing w:before="120" w:after="120" w:line="240" w:lineRule="auto"/>
        <w:jc w:val="both"/>
        <w:rPr>
          <w:rFonts w:ascii="Times New Roman" w:cs="Calibri"/>
          <w:noProof/>
          <w:color w:val="000000"/>
          <w:sz w:val="24"/>
          <w:szCs w:val="24"/>
          <w:u w:color="000000"/>
          <w:bdr w:val="nil"/>
          <w:lang w:val="sv-SE" w:eastAsia="sv-SE" w:bidi="sv-SE"/>
        </w:rPr>
      </w:pPr>
      <w:r>
        <w:rPr>
          <w:rFonts w:ascii="Times New Roman"/>
          <w:b/>
          <w:noProof/>
          <w:color w:val="000000"/>
          <w:sz w:val="24"/>
          <w:u w:color="000000"/>
          <w:bdr w:val="nil"/>
          <w:lang w:val="sv-SE" w:eastAsia="sv-SE" w:bidi="sv-SE"/>
        </w:rPr>
        <w:t>Trots vissa framsteg finns hindren f</w:t>
      </w:r>
      <w:r>
        <w:rPr>
          <w:rFonts w:ascii="Times New Roman"/>
          <w:b/>
          <w:noProof/>
          <w:color w:val="000000"/>
          <w:sz w:val="24"/>
          <w:u w:color="000000"/>
          <w:bdr w:val="nil"/>
          <w:lang w:val="sv-SE" w:eastAsia="sv-SE" w:bidi="sv-SE"/>
        </w:rPr>
        <w:t>ö</w:t>
      </w:r>
      <w:r>
        <w:rPr>
          <w:rFonts w:ascii="Times New Roman"/>
          <w:b/>
          <w:noProof/>
          <w:color w:val="000000"/>
          <w:sz w:val="24"/>
          <w:u w:color="000000"/>
          <w:bdr w:val="nil"/>
          <w:lang w:val="sv-SE" w:eastAsia="sv-SE" w:bidi="sv-SE"/>
        </w:rPr>
        <w:t>r investeringar kvar i viktiga sektorer i flera l</w:t>
      </w:r>
      <w:r>
        <w:rPr>
          <w:rFonts w:ascii="Times New Roman"/>
          <w:b/>
          <w:noProof/>
          <w:color w:val="000000"/>
          <w:sz w:val="24"/>
          <w:u w:color="000000"/>
          <w:bdr w:val="nil"/>
          <w:lang w:val="sv-SE" w:eastAsia="sv-SE" w:bidi="sv-SE"/>
        </w:rPr>
        <w:t>ä</w:t>
      </w:r>
      <w:r>
        <w:rPr>
          <w:rFonts w:ascii="Times New Roman"/>
          <w:b/>
          <w:noProof/>
          <w:color w:val="000000"/>
          <w:sz w:val="24"/>
          <w:u w:color="000000"/>
          <w:bdr w:val="nil"/>
          <w:lang w:val="sv-SE" w:eastAsia="sv-SE" w:bidi="sv-SE"/>
        </w:rPr>
        <w:t xml:space="preserve">nder. </w:t>
      </w:r>
      <w:r>
        <w:rPr>
          <w:rFonts w:ascii="Times New Roman"/>
          <w:noProof/>
          <w:color w:val="000000"/>
          <w:sz w:val="24"/>
          <w:u w:color="000000"/>
          <w:bdr w:val="nil"/>
          <w:lang w:val="sv-SE" w:eastAsia="sv-SE" w:bidi="sv-SE"/>
        </w:rPr>
        <w:t>Det g</w:t>
      </w:r>
      <w:r>
        <w:rPr>
          <w:rFonts w:ascii="Times New Roman"/>
          <w:noProof/>
          <w:color w:val="000000"/>
          <w:sz w:val="24"/>
          <w:u w:color="000000"/>
          <w:bdr w:val="nil"/>
          <w:lang w:val="sv-SE" w:eastAsia="sv-SE" w:bidi="sv-SE"/>
        </w:rPr>
        <w:t>ä</w:t>
      </w:r>
      <w:r>
        <w:rPr>
          <w:rFonts w:ascii="Times New Roman"/>
          <w:noProof/>
          <w:color w:val="000000"/>
          <w:sz w:val="24"/>
          <w:u w:color="000000"/>
          <w:bdr w:val="nil"/>
          <w:lang w:val="sv-SE" w:eastAsia="sv-SE" w:bidi="sv-SE"/>
        </w:rPr>
        <w:t>ller framf</w:t>
      </w:r>
      <w:r>
        <w:rPr>
          <w:rFonts w:ascii="Times New Roman"/>
          <w:noProof/>
          <w:color w:val="000000"/>
          <w:sz w:val="24"/>
          <w:u w:color="000000"/>
          <w:bdr w:val="nil"/>
          <w:lang w:val="sv-SE" w:eastAsia="sv-SE" w:bidi="sv-SE"/>
        </w:rPr>
        <w:t>ö</w:t>
      </w:r>
      <w:r>
        <w:rPr>
          <w:rFonts w:ascii="Times New Roman"/>
          <w:noProof/>
          <w:color w:val="000000"/>
          <w:sz w:val="24"/>
          <w:u w:color="000000"/>
          <w:bdr w:val="nil"/>
          <w:lang w:val="sv-SE" w:eastAsia="sv-SE" w:bidi="sv-SE"/>
        </w:rPr>
        <w:t>r allt tj</w:t>
      </w:r>
      <w:r>
        <w:rPr>
          <w:rFonts w:ascii="Times New Roman"/>
          <w:noProof/>
          <w:color w:val="000000"/>
          <w:sz w:val="24"/>
          <w:u w:color="000000"/>
          <w:bdr w:val="nil"/>
          <w:lang w:val="sv-SE" w:eastAsia="sv-SE" w:bidi="sv-SE"/>
        </w:rPr>
        <w:t>ä</w:t>
      </w:r>
      <w:r>
        <w:rPr>
          <w:rFonts w:ascii="Times New Roman"/>
          <w:noProof/>
          <w:color w:val="000000"/>
          <w:sz w:val="24"/>
          <w:u w:color="000000"/>
          <w:bdr w:val="nil"/>
          <w:lang w:val="sv-SE" w:eastAsia="sv-SE" w:bidi="sv-SE"/>
        </w:rPr>
        <w:t>nster, n</w:t>
      </w:r>
      <w:r>
        <w:rPr>
          <w:rFonts w:ascii="Times New Roman"/>
          <w:noProof/>
          <w:color w:val="000000"/>
          <w:sz w:val="24"/>
          <w:u w:color="000000"/>
          <w:bdr w:val="nil"/>
          <w:lang w:val="sv-SE" w:eastAsia="sv-SE" w:bidi="sv-SE"/>
        </w:rPr>
        <w:t>ä</w:t>
      </w:r>
      <w:r>
        <w:rPr>
          <w:rFonts w:ascii="Times New Roman"/>
          <w:noProof/>
          <w:color w:val="000000"/>
          <w:sz w:val="24"/>
          <w:u w:color="000000"/>
          <w:bdr w:val="nil"/>
          <w:lang w:val="sv-SE" w:eastAsia="sv-SE" w:bidi="sv-SE"/>
        </w:rPr>
        <w:t>tverksindustrierna och byggsektorn. Det relativt gynnsamma f</w:t>
      </w:r>
      <w:r>
        <w:rPr>
          <w:rFonts w:ascii="Times New Roman"/>
          <w:noProof/>
          <w:color w:val="000000"/>
          <w:sz w:val="24"/>
          <w:u w:color="000000"/>
          <w:bdr w:val="nil"/>
          <w:lang w:val="sv-SE" w:eastAsia="sv-SE" w:bidi="sv-SE"/>
        </w:rPr>
        <w:t>ö</w:t>
      </w:r>
      <w:r>
        <w:rPr>
          <w:rFonts w:ascii="Times New Roman"/>
          <w:noProof/>
          <w:color w:val="000000"/>
          <w:sz w:val="24"/>
          <w:u w:color="000000"/>
          <w:bdr w:val="nil"/>
          <w:lang w:val="sv-SE" w:eastAsia="sv-SE" w:bidi="sv-SE"/>
        </w:rPr>
        <w:t>retagsklimatet i l</w:t>
      </w:r>
      <w:r>
        <w:rPr>
          <w:rFonts w:ascii="Times New Roman"/>
          <w:noProof/>
          <w:color w:val="000000"/>
          <w:sz w:val="24"/>
          <w:u w:color="000000"/>
          <w:bdr w:val="nil"/>
          <w:lang w:val="sv-SE" w:eastAsia="sv-SE" w:bidi="sv-SE"/>
        </w:rPr>
        <w:t>ä</w:t>
      </w:r>
      <w:r>
        <w:rPr>
          <w:rFonts w:ascii="Times New Roman"/>
          <w:noProof/>
          <w:color w:val="000000"/>
          <w:sz w:val="24"/>
          <w:u w:color="000000"/>
          <w:bdr w:val="nil"/>
          <w:lang w:val="sv-SE" w:eastAsia="sv-SE" w:bidi="sv-SE"/>
        </w:rPr>
        <w:t>nder</w:t>
      </w:r>
      <w:r>
        <w:rPr>
          <w:rFonts w:ascii="Times New Roman"/>
          <w:noProof/>
          <w:color w:val="000000"/>
          <w:sz w:val="24"/>
          <w:u w:color="000000"/>
          <w:bdr w:val="nil"/>
          <w:lang w:val="sv-SE" w:eastAsia="sv-SE" w:bidi="sv-SE"/>
        </w:rPr>
        <w:t xml:space="preserve"> som Estland och Storbritannien utg</w:t>
      </w:r>
      <w:r>
        <w:rPr>
          <w:rFonts w:ascii="Times New Roman"/>
          <w:noProof/>
          <w:color w:val="000000"/>
          <w:sz w:val="24"/>
          <w:u w:color="000000"/>
          <w:bdr w:val="nil"/>
          <w:lang w:val="sv-SE" w:eastAsia="sv-SE" w:bidi="sv-SE"/>
        </w:rPr>
        <w:t>ö</w:t>
      </w:r>
      <w:r>
        <w:rPr>
          <w:rFonts w:ascii="Times New Roman"/>
          <w:noProof/>
          <w:color w:val="000000"/>
          <w:sz w:val="24"/>
          <w:u w:color="000000"/>
          <w:bdr w:val="nil"/>
          <w:lang w:val="sv-SE" w:eastAsia="sv-SE" w:bidi="sv-SE"/>
        </w:rPr>
        <w:t>r ett incitament f</w:t>
      </w:r>
      <w:r>
        <w:rPr>
          <w:rFonts w:ascii="Times New Roman"/>
          <w:noProof/>
          <w:color w:val="000000"/>
          <w:sz w:val="24"/>
          <w:u w:color="000000"/>
          <w:bdr w:val="nil"/>
          <w:lang w:val="sv-SE" w:eastAsia="sv-SE" w:bidi="sv-SE"/>
        </w:rPr>
        <w:t>ö</w:t>
      </w:r>
      <w:r>
        <w:rPr>
          <w:rFonts w:ascii="Times New Roman"/>
          <w:noProof/>
          <w:color w:val="000000"/>
          <w:sz w:val="24"/>
          <w:u w:color="000000"/>
          <w:bdr w:val="nil"/>
          <w:lang w:val="sv-SE" w:eastAsia="sv-SE" w:bidi="sv-SE"/>
        </w:rPr>
        <w:t>r investeringar. Men flera l</w:t>
      </w:r>
      <w:r>
        <w:rPr>
          <w:rFonts w:ascii="Times New Roman"/>
          <w:noProof/>
          <w:color w:val="000000"/>
          <w:sz w:val="24"/>
          <w:u w:color="000000"/>
          <w:bdr w:val="nil"/>
          <w:lang w:val="sv-SE" w:eastAsia="sv-SE" w:bidi="sv-SE"/>
        </w:rPr>
        <w:t>ä</w:t>
      </w:r>
      <w:r>
        <w:rPr>
          <w:rFonts w:ascii="Times New Roman"/>
          <w:noProof/>
          <w:color w:val="000000"/>
          <w:sz w:val="24"/>
          <w:u w:color="000000"/>
          <w:bdr w:val="nil"/>
          <w:lang w:val="sv-SE" w:eastAsia="sv-SE" w:bidi="sv-SE"/>
        </w:rPr>
        <w:t>nder k</w:t>
      </w:r>
      <w:r>
        <w:rPr>
          <w:rFonts w:ascii="Times New Roman"/>
          <w:noProof/>
          <w:color w:val="000000"/>
          <w:sz w:val="24"/>
          <w:u w:color="000000"/>
          <w:bdr w:val="nil"/>
          <w:lang w:val="sv-SE" w:eastAsia="sv-SE" w:bidi="sv-SE"/>
        </w:rPr>
        <w:t>ä</w:t>
      </w:r>
      <w:r>
        <w:rPr>
          <w:rFonts w:ascii="Times New Roman"/>
          <w:noProof/>
          <w:color w:val="000000"/>
          <w:sz w:val="24"/>
          <w:u w:color="000000"/>
          <w:bdr w:val="nil"/>
          <w:lang w:val="sv-SE" w:eastAsia="sv-SE" w:bidi="sv-SE"/>
        </w:rPr>
        <w:t>nnetecknas av hinder f</w:t>
      </w:r>
      <w:r>
        <w:rPr>
          <w:rFonts w:ascii="Times New Roman"/>
          <w:noProof/>
          <w:color w:val="000000"/>
          <w:sz w:val="24"/>
          <w:u w:color="000000"/>
          <w:bdr w:val="nil"/>
          <w:lang w:val="sv-SE" w:eastAsia="sv-SE" w:bidi="sv-SE"/>
        </w:rPr>
        <w:t>ö</w:t>
      </w:r>
      <w:r>
        <w:rPr>
          <w:rFonts w:ascii="Times New Roman"/>
          <w:noProof/>
          <w:color w:val="000000"/>
          <w:sz w:val="24"/>
          <w:u w:color="000000"/>
          <w:bdr w:val="nil"/>
          <w:lang w:val="sv-SE" w:eastAsia="sv-SE" w:bidi="sv-SE"/>
        </w:rPr>
        <w:t>r investeringar i form av tungrodd administration, byr</w:t>
      </w:r>
      <w:r>
        <w:rPr>
          <w:rFonts w:ascii="Times New Roman"/>
          <w:noProof/>
          <w:color w:val="000000"/>
          <w:sz w:val="24"/>
          <w:u w:color="000000"/>
          <w:bdr w:val="nil"/>
          <w:lang w:val="sv-SE" w:eastAsia="sv-SE" w:bidi="sv-SE"/>
        </w:rPr>
        <w:t>å</w:t>
      </w:r>
      <w:r>
        <w:rPr>
          <w:rFonts w:ascii="Times New Roman"/>
          <w:noProof/>
          <w:color w:val="000000"/>
          <w:sz w:val="24"/>
          <w:u w:color="000000"/>
          <w:bdr w:val="nil"/>
          <w:lang w:val="sv-SE" w:eastAsia="sv-SE" w:bidi="sv-SE"/>
        </w:rPr>
        <w:t>krati, ineffektiv offentlig f</w:t>
      </w:r>
      <w:r>
        <w:rPr>
          <w:rFonts w:ascii="Times New Roman"/>
          <w:noProof/>
          <w:color w:val="000000"/>
          <w:sz w:val="24"/>
          <w:u w:color="000000"/>
          <w:bdr w:val="nil"/>
          <w:lang w:val="sv-SE" w:eastAsia="sv-SE" w:bidi="sv-SE"/>
        </w:rPr>
        <w:t>ö</w:t>
      </w:r>
      <w:r>
        <w:rPr>
          <w:rFonts w:ascii="Times New Roman"/>
          <w:noProof/>
          <w:color w:val="000000"/>
          <w:sz w:val="24"/>
          <w:u w:color="000000"/>
          <w:bdr w:val="nil"/>
          <w:lang w:val="sv-SE" w:eastAsia="sv-SE" w:bidi="sv-SE"/>
        </w:rPr>
        <w:t>rvaltning, os</w:t>
      </w:r>
      <w:r>
        <w:rPr>
          <w:rFonts w:ascii="Times New Roman"/>
          <w:noProof/>
          <w:color w:val="000000"/>
          <w:sz w:val="24"/>
          <w:u w:color="000000"/>
          <w:bdr w:val="nil"/>
          <w:lang w:val="sv-SE" w:eastAsia="sv-SE" w:bidi="sv-SE"/>
        </w:rPr>
        <w:t>ä</w:t>
      </w:r>
      <w:r>
        <w:rPr>
          <w:rFonts w:ascii="Times New Roman"/>
          <w:noProof/>
          <w:color w:val="000000"/>
          <w:sz w:val="24"/>
          <w:u w:color="000000"/>
          <w:bdr w:val="nil"/>
          <w:lang w:val="sv-SE" w:eastAsia="sv-SE" w:bidi="sv-SE"/>
        </w:rPr>
        <w:t>kerhet om r</w:t>
      </w:r>
      <w:r>
        <w:rPr>
          <w:rFonts w:ascii="Times New Roman"/>
          <w:noProof/>
          <w:color w:val="000000"/>
          <w:sz w:val="24"/>
          <w:u w:color="000000"/>
          <w:bdr w:val="nil"/>
          <w:lang w:val="sv-SE" w:eastAsia="sv-SE" w:bidi="sv-SE"/>
        </w:rPr>
        <w:t>ä</w:t>
      </w:r>
      <w:r>
        <w:rPr>
          <w:rFonts w:ascii="Times New Roman"/>
          <w:noProof/>
          <w:color w:val="000000"/>
          <w:sz w:val="24"/>
          <w:u w:color="000000"/>
          <w:bdr w:val="nil"/>
          <w:lang w:val="sv-SE" w:eastAsia="sv-SE" w:bidi="sv-SE"/>
        </w:rPr>
        <w:t>ttsl</w:t>
      </w:r>
      <w:r>
        <w:rPr>
          <w:rFonts w:ascii="Times New Roman"/>
          <w:noProof/>
          <w:color w:val="000000"/>
          <w:sz w:val="24"/>
          <w:u w:color="000000"/>
          <w:bdr w:val="nil"/>
          <w:lang w:val="sv-SE" w:eastAsia="sv-SE" w:bidi="sv-SE"/>
        </w:rPr>
        <w:t>ä</w:t>
      </w:r>
      <w:r>
        <w:rPr>
          <w:rFonts w:ascii="Times New Roman"/>
          <w:noProof/>
          <w:color w:val="000000"/>
          <w:sz w:val="24"/>
          <w:u w:color="000000"/>
          <w:bdr w:val="nil"/>
          <w:lang w:val="sv-SE" w:eastAsia="sv-SE" w:bidi="sv-SE"/>
        </w:rPr>
        <w:t>get, eller ett v</w:t>
      </w:r>
      <w:r>
        <w:rPr>
          <w:rFonts w:ascii="Times New Roman"/>
          <w:noProof/>
          <w:color w:val="000000"/>
          <w:sz w:val="24"/>
          <w:u w:color="000000"/>
          <w:bdr w:val="nil"/>
          <w:lang w:val="sv-SE" w:eastAsia="sv-SE" w:bidi="sv-SE"/>
        </w:rPr>
        <w:t>ä</w:t>
      </w:r>
      <w:r>
        <w:rPr>
          <w:rFonts w:ascii="Times New Roman"/>
          <w:noProof/>
          <w:color w:val="000000"/>
          <w:sz w:val="24"/>
          <w:u w:color="000000"/>
          <w:bdr w:val="nil"/>
          <w:lang w:val="sv-SE" w:eastAsia="sv-SE" w:bidi="sv-SE"/>
        </w:rPr>
        <w:t>xlande r</w:t>
      </w:r>
      <w:r>
        <w:rPr>
          <w:rFonts w:ascii="Times New Roman"/>
          <w:noProof/>
          <w:color w:val="000000"/>
          <w:sz w:val="24"/>
          <w:u w:color="000000"/>
          <w:bdr w:val="nil"/>
          <w:lang w:val="sv-SE" w:eastAsia="sv-SE" w:bidi="sv-SE"/>
        </w:rPr>
        <w:t>ä</w:t>
      </w:r>
      <w:r>
        <w:rPr>
          <w:rFonts w:ascii="Times New Roman"/>
          <w:noProof/>
          <w:color w:val="000000"/>
          <w:sz w:val="24"/>
          <w:u w:color="000000"/>
          <w:bdr w:val="nil"/>
          <w:lang w:val="sv-SE" w:eastAsia="sv-SE" w:bidi="sv-SE"/>
        </w:rPr>
        <w:t>ttsl</w:t>
      </w:r>
      <w:r>
        <w:rPr>
          <w:rFonts w:ascii="Times New Roman"/>
          <w:noProof/>
          <w:color w:val="000000"/>
          <w:sz w:val="24"/>
          <w:u w:color="000000"/>
          <w:bdr w:val="nil"/>
          <w:lang w:val="sv-SE" w:eastAsia="sv-SE" w:bidi="sv-SE"/>
        </w:rPr>
        <w:t>ä</w:t>
      </w:r>
      <w:r>
        <w:rPr>
          <w:rFonts w:ascii="Times New Roman"/>
          <w:noProof/>
          <w:color w:val="000000"/>
          <w:sz w:val="24"/>
          <w:u w:color="000000"/>
          <w:bdr w:val="nil"/>
          <w:lang w:val="sv-SE" w:eastAsia="sv-SE" w:bidi="sv-SE"/>
        </w:rPr>
        <w:t>ge, och en brist p</w:t>
      </w:r>
      <w:r>
        <w:rPr>
          <w:rFonts w:ascii="Times New Roman"/>
          <w:noProof/>
          <w:color w:val="000000"/>
          <w:sz w:val="24"/>
          <w:u w:color="000000"/>
          <w:bdr w:val="nil"/>
          <w:lang w:val="sv-SE" w:eastAsia="sv-SE" w:bidi="sv-SE"/>
        </w:rPr>
        <w:t>å</w:t>
      </w:r>
      <w:r>
        <w:rPr>
          <w:rFonts w:ascii="Times New Roman"/>
          <w:noProof/>
          <w:color w:val="000000"/>
          <w:sz w:val="24"/>
          <w:u w:color="000000"/>
          <w:bdr w:val="nil"/>
          <w:lang w:val="sv-SE" w:eastAsia="sv-SE" w:bidi="sv-SE"/>
        </w:rPr>
        <w:t xml:space="preserve"> </w:t>
      </w:r>
      <w:r>
        <w:rPr>
          <w:rFonts w:ascii="Times New Roman"/>
          <w:noProof/>
          <w:color w:val="000000"/>
          <w:sz w:val="24"/>
          <w:u w:color="000000"/>
          <w:bdr w:val="nil"/>
          <w:lang w:val="sv-SE" w:eastAsia="sv-SE" w:bidi="sv-SE"/>
        </w:rPr>
        <w:t>ö</w:t>
      </w:r>
      <w:r>
        <w:rPr>
          <w:rFonts w:ascii="Times New Roman"/>
          <w:noProof/>
          <w:color w:val="000000"/>
          <w:sz w:val="24"/>
          <w:u w:color="000000"/>
          <w:bdr w:val="nil"/>
          <w:lang w:val="sv-SE" w:eastAsia="sv-SE" w:bidi="sv-SE"/>
        </w:rPr>
        <w:t>ppenhet som f</w:t>
      </w:r>
      <w:r>
        <w:rPr>
          <w:rFonts w:ascii="Times New Roman"/>
          <w:noProof/>
          <w:color w:val="000000"/>
          <w:sz w:val="24"/>
          <w:u w:color="000000"/>
          <w:bdr w:val="nil"/>
          <w:lang w:val="sv-SE" w:eastAsia="sv-SE" w:bidi="sv-SE"/>
        </w:rPr>
        <w:t>ö</w:t>
      </w:r>
      <w:r>
        <w:rPr>
          <w:rFonts w:ascii="Times New Roman"/>
          <w:noProof/>
          <w:color w:val="000000"/>
          <w:sz w:val="24"/>
          <w:u w:color="000000"/>
          <w:bdr w:val="nil"/>
          <w:lang w:val="sv-SE" w:eastAsia="sv-SE" w:bidi="sv-SE"/>
        </w:rPr>
        <w:t>rsv</w:t>
      </w:r>
      <w:r>
        <w:rPr>
          <w:rFonts w:ascii="Times New Roman"/>
          <w:noProof/>
          <w:color w:val="000000"/>
          <w:sz w:val="24"/>
          <w:u w:color="000000"/>
          <w:bdr w:val="nil"/>
          <w:lang w:val="sv-SE" w:eastAsia="sv-SE" w:bidi="sv-SE"/>
        </w:rPr>
        <w:t>å</w:t>
      </w:r>
      <w:r>
        <w:rPr>
          <w:rFonts w:ascii="Times New Roman"/>
          <w:noProof/>
          <w:color w:val="000000"/>
          <w:sz w:val="24"/>
          <w:u w:color="000000"/>
          <w:bdr w:val="nil"/>
          <w:lang w:val="sv-SE" w:eastAsia="sv-SE" w:bidi="sv-SE"/>
        </w:rPr>
        <w:t>rar kampen mot korruption. I flera l</w:t>
      </w:r>
      <w:r>
        <w:rPr>
          <w:rFonts w:ascii="Times New Roman"/>
          <w:noProof/>
          <w:color w:val="000000"/>
          <w:sz w:val="24"/>
          <w:u w:color="000000"/>
          <w:bdr w:val="nil"/>
          <w:lang w:val="sv-SE" w:eastAsia="sv-SE" w:bidi="sv-SE"/>
        </w:rPr>
        <w:t>ä</w:t>
      </w:r>
      <w:r>
        <w:rPr>
          <w:rFonts w:ascii="Times New Roman"/>
          <w:noProof/>
          <w:color w:val="000000"/>
          <w:sz w:val="24"/>
          <w:u w:color="000000"/>
          <w:bdr w:val="nil"/>
          <w:lang w:val="sv-SE" w:eastAsia="sv-SE" w:bidi="sv-SE"/>
        </w:rPr>
        <w:t xml:space="preserve">nder </w:t>
      </w:r>
      <w:r>
        <w:rPr>
          <w:rFonts w:ascii="Times New Roman"/>
          <w:noProof/>
          <w:color w:val="000000"/>
          <w:sz w:val="24"/>
          <w:u w:color="000000"/>
          <w:bdr w:val="nil"/>
          <w:lang w:val="sv-SE" w:eastAsia="sv-SE" w:bidi="sv-SE"/>
        </w:rPr>
        <w:t>ä</w:t>
      </w:r>
      <w:r>
        <w:rPr>
          <w:rFonts w:ascii="Times New Roman"/>
          <w:noProof/>
          <w:color w:val="000000"/>
          <w:sz w:val="24"/>
          <w:u w:color="000000"/>
          <w:bdr w:val="nil"/>
          <w:lang w:val="sv-SE" w:eastAsia="sv-SE" w:bidi="sv-SE"/>
        </w:rPr>
        <w:t>r f</w:t>
      </w:r>
      <w:r>
        <w:rPr>
          <w:rFonts w:ascii="Times New Roman"/>
          <w:noProof/>
          <w:color w:val="000000"/>
          <w:sz w:val="24"/>
          <w:u w:color="000000"/>
          <w:bdr w:val="nil"/>
          <w:lang w:val="sv-SE" w:eastAsia="sv-SE" w:bidi="sv-SE"/>
        </w:rPr>
        <w:t>ö</w:t>
      </w:r>
      <w:r>
        <w:rPr>
          <w:rFonts w:ascii="Times New Roman"/>
          <w:noProof/>
          <w:color w:val="000000"/>
          <w:sz w:val="24"/>
          <w:u w:color="000000"/>
          <w:bdr w:val="nil"/>
          <w:lang w:val="sv-SE" w:eastAsia="sv-SE" w:bidi="sv-SE"/>
        </w:rPr>
        <w:t>rfarandena f</w:t>
      </w:r>
      <w:r>
        <w:rPr>
          <w:rFonts w:ascii="Times New Roman"/>
          <w:noProof/>
          <w:color w:val="000000"/>
          <w:sz w:val="24"/>
          <w:u w:color="000000"/>
          <w:bdr w:val="nil"/>
          <w:lang w:val="sv-SE" w:eastAsia="sv-SE" w:bidi="sv-SE"/>
        </w:rPr>
        <w:t>ö</w:t>
      </w:r>
      <w:r>
        <w:rPr>
          <w:rFonts w:ascii="Times New Roman"/>
          <w:noProof/>
          <w:color w:val="000000"/>
          <w:sz w:val="24"/>
          <w:u w:color="000000"/>
          <w:bdr w:val="nil"/>
          <w:lang w:val="sv-SE" w:eastAsia="sv-SE" w:bidi="sv-SE"/>
        </w:rPr>
        <w:t>r storskaliga projekt kr</w:t>
      </w:r>
      <w:r>
        <w:rPr>
          <w:rFonts w:ascii="Times New Roman"/>
          <w:noProof/>
          <w:color w:val="000000"/>
          <w:sz w:val="24"/>
          <w:u w:color="000000"/>
          <w:bdr w:val="nil"/>
          <w:lang w:val="sv-SE" w:eastAsia="sv-SE" w:bidi="sv-SE"/>
        </w:rPr>
        <w:t>å</w:t>
      </w:r>
      <w:r>
        <w:rPr>
          <w:rFonts w:ascii="Times New Roman"/>
          <w:noProof/>
          <w:color w:val="000000"/>
          <w:sz w:val="24"/>
          <w:u w:color="000000"/>
          <w:bdr w:val="nil"/>
          <w:lang w:val="sv-SE" w:eastAsia="sv-SE" w:bidi="sv-SE"/>
        </w:rPr>
        <w:t>ngliga eller utdragna. Detta kan skapa hinder f</w:t>
      </w:r>
      <w:r>
        <w:rPr>
          <w:rFonts w:ascii="Times New Roman"/>
          <w:noProof/>
          <w:color w:val="000000"/>
          <w:sz w:val="24"/>
          <w:u w:color="000000"/>
          <w:bdr w:val="nil"/>
          <w:lang w:val="sv-SE" w:eastAsia="sv-SE" w:bidi="sv-SE"/>
        </w:rPr>
        <w:t>ö</w:t>
      </w:r>
      <w:r>
        <w:rPr>
          <w:rFonts w:ascii="Times New Roman"/>
          <w:noProof/>
          <w:color w:val="000000"/>
          <w:sz w:val="24"/>
          <w:u w:color="000000"/>
          <w:bdr w:val="nil"/>
          <w:lang w:val="sv-SE" w:eastAsia="sv-SE" w:bidi="sv-SE"/>
        </w:rPr>
        <w:t>r intr</w:t>
      </w:r>
      <w:r>
        <w:rPr>
          <w:rFonts w:ascii="Times New Roman"/>
          <w:noProof/>
          <w:color w:val="000000"/>
          <w:sz w:val="24"/>
          <w:u w:color="000000"/>
          <w:bdr w:val="nil"/>
          <w:lang w:val="sv-SE" w:eastAsia="sv-SE" w:bidi="sv-SE"/>
        </w:rPr>
        <w:t>ä</w:t>
      </w:r>
      <w:r>
        <w:rPr>
          <w:rFonts w:ascii="Times New Roman"/>
          <w:noProof/>
          <w:color w:val="000000"/>
          <w:sz w:val="24"/>
          <w:u w:color="000000"/>
          <w:bdr w:val="nil"/>
          <w:lang w:val="sv-SE" w:eastAsia="sv-SE" w:bidi="sv-SE"/>
        </w:rPr>
        <w:t>de och etablering, t.ex. i detaljhandeln och f</w:t>
      </w:r>
      <w:r>
        <w:rPr>
          <w:rFonts w:ascii="Times New Roman"/>
          <w:noProof/>
          <w:color w:val="000000"/>
          <w:sz w:val="24"/>
          <w:u w:color="000000"/>
          <w:bdr w:val="nil"/>
          <w:lang w:val="sv-SE" w:eastAsia="sv-SE" w:bidi="sv-SE"/>
        </w:rPr>
        <w:t>ö</w:t>
      </w:r>
      <w:r>
        <w:rPr>
          <w:rFonts w:ascii="Times New Roman"/>
          <w:noProof/>
          <w:color w:val="000000"/>
          <w:sz w:val="24"/>
          <w:u w:color="000000"/>
          <w:bdr w:val="nil"/>
          <w:lang w:val="sv-SE" w:eastAsia="sv-SE" w:bidi="sv-SE"/>
        </w:rPr>
        <w:t>r yrkesm</w:t>
      </w:r>
      <w:r>
        <w:rPr>
          <w:rFonts w:ascii="Times New Roman"/>
          <w:noProof/>
          <w:color w:val="000000"/>
          <w:sz w:val="24"/>
          <w:u w:color="000000"/>
          <w:bdr w:val="nil"/>
          <w:lang w:val="sv-SE" w:eastAsia="sv-SE" w:bidi="sv-SE"/>
        </w:rPr>
        <w:t>ä</w:t>
      </w:r>
      <w:r>
        <w:rPr>
          <w:rFonts w:ascii="Times New Roman"/>
          <w:noProof/>
          <w:color w:val="000000"/>
          <w:sz w:val="24"/>
          <w:u w:color="000000"/>
          <w:bdr w:val="nil"/>
          <w:lang w:val="sv-SE" w:eastAsia="sv-SE" w:bidi="sv-SE"/>
        </w:rPr>
        <w:t>ssiga tj</w:t>
      </w:r>
      <w:r>
        <w:rPr>
          <w:rFonts w:ascii="Times New Roman"/>
          <w:noProof/>
          <w:color w:val="000000"/>
          <w:sz w:val="24"/>
          <w:u w:color="000000"/>
          <w:bdr w:val="nil"/>
          <w:lang w:val="sv-SE" w:eastAsia="sv-SE" w:bidi="sv-SE"/>
        </w:rPr>
        <w:t>ä</w:t>
      </w:r>
      <w:r>
        <w:rPr>
          <w:rFonts w:ascii="Times New Roman"/>
          <w:noProof/>
          <w:color w:val="000000"/>
          <w:sz w:val="24"/>
          <w:u w:color="000000"/>
          <w:bdr w:val="nil"/>
          <w:lang w:val="sv-SE" w:eastAsia="sv-SE" w:bidi="sv-SE"/>
        </w:rPr>
        <w:t xml:space="preserve">nster. </w:t>
      </w:r>
      <w:r>
        <w:rPr>
          <w:rFonts w:ascii="Times New Roman"/>
          <w:noProof/>
          <w:color w:val="000000"/>
          <w:sz w:val="24"/>
          <w:u w:color="000000"/>
          <w:bdr w:val="nil"/>
          <w:lang w:val="sv-SE" w:eastAsia="sv-SE" w:bidi="sv-SE"/>
        </w:rPr>
        <w:t>D</w:t>
      </w:r>
      <w:r>
        <w:rPr>
          <w:rFonts w:ascii="Times New Roman"/>
          <w:noProof/>
          <w:color w:val="000000"/>
          <w:sz w:val="24"/>
          <w:u w:color="000000"/>
          <w:bdr w:val="nil"/>
          <w:lang w:val="sv-SE" w:eastAsia="sv-SE" w:bidi="sv-SE"/>
        </w:rPr>
        <w:t>å</w:t>
      </w:r>
      <w:r>
        <w:rPr>
          <w:rFonts w:ascii="Times New Roman"/>
          <w:noProof/>
          <w:color w:val="000000"/>
          <w:sz w:val="24"/>
          <w:u w:color="000000"/>
          <w:bdr w:val="nil"/>
          <w:lang w:val="sv-SE" w:eastAsia="sv-SE" w:bidi="sv-SE"/>
        </w:rPr>
        <w:t>lig tillg</w:t>
      </w:r>
      <w:r>
        <w:rPr>
          <w:rFonts w:ascii="Times New Roman"/>
          <w:noProof/>
          <w:color w:val="000000"/>
          <w:sz w:val="24"/>
          <w:u w:color="000000"/>
          <w:bdr w:val="nil"/>
          <w:lang w:val="sv-SE" w:eastAsia="sv-SE" w:bidi="sv-SE"/>
        </w:rPr>
        <w:t>å</w:t>
      </w:r>
      <w:r>
        <w:rPr>
          <w:rFonts w:ascii="Times New Roman"/>
          <w:noProof/>
          <w:color w:val="000000"/>
          <w:sz w:val="24"/>
          <w:u w:color="000000"/>
          <w:bdr w:val="nil"/>
          <w:lang w:val="sv-SE" w:eastAsia="sv-SE" w:bidi="sv-SE"/>
        </w:rPr>
        <w:t>ng till finansiering kan ocks</w:t>
      </w:r>
      <w:r>
        <w:rPr>
          <w:rFonts w:ascii="Times New Roman"/>
          <w:noProof/>
          <w:color w:val="000000"/>
          <w:sz w:val="24"/>
          <w:u w:color="000000"/>
          <w:bdr w:val="nil"/>
          <w:lang w:val="sv-SE" w:eastAsia="sv-SE" w:bidi="sv-SE"/>
        </w:rPr>
        <w:t>å</w:t>
      </w:r>
      <w:r>
        <w:rPr>
          <w:rFonts w:ascii="Times New Roman"/>
          <w:noProof/>
          <w:color w:val="000000"/>
          <w:sz w:val="24"/>
          <w:u w:color="000000"/>
          <w:bdr w:val="nil"/>
          <w:lang w:val="sv-SE" w:eastAsia="sv-SE" w:bidi="sv-SE"/>
        </w:rPr>
        <w:t xml:space="preserve"> bromsa investeringarna i vissa l</w:t>
      </w:r>
      <w:r>
        <w:rPr>
          <w:rFonts w:ascii="Times New Roman"/>
          <w:noProof/>
          <w:color w:val="000000"/>
          <w:sz w:val="24"/>
          <w:u w:color="000000"/>
          <w:bdr w:val="nil"/>
          <w:lang w:val="sv-SE" w:eastAsia="sv-SE" w:bidi="sv-SE"/>
        </w:rPr>
        <w:t>ä</w:t>
      </w:r>
      <w:r>
        <w:rPr>
          <w:rFonts w:ascii="Times New Roman"/>
          <w:noProof/>
          <w:color w:val="000000"/>
          <w:sz w:val="24"/>
          <w:u w:color="000000"/>
          <w:bdr w:val="nil"/>
          <w:lang w:val="sv-SE" w:eastAsia="sv-SE" w:bidi="sv-SE"/>
        </w:rPr>
        <w:t>nder.</w:t>
      </w:r>
    </w:p>
    <w:p w:rsidR="008A54B8" w:rsidRDefault="008A54B8">
      <w:pPr>
        <w:pBdr>
          <w:top w:val="nil"/>
          <w:left w:val="nil"/>
          <w:bottom w:val="nil"/>
          <w:right w:val="nil"/>
          <w:between w:val="nil"/>
          <w:bar w:val="nil"/>
        </w:pBdr>
        <w:spacing w:before="120" w:after="120" w:line="240" w:lineRule="auto"/>
        <w:jc w:val="both"/>
        <w:rPr>
          <w:rFonts w:ascii="Times New Roman" w:eastAsia="Times New Roman" w:hAnsi="Times New Roman"/>
          <w:noProof/>
          <w:color w:val="000000"/>
          <w:sz w:val="20"/>
          <w:szCs w:val="20"/>
          <w:u w:color="000000"/>
          <w:bdr w:val="nil"/>
          <w:lang w:val="sv-SE" w:eastAsia="sv-SE" w:bidi="sv-SE"/>
        </w:rPr>
      </w:pPr>
    </w:p>
    <w:p w:rsidR="008A54B8" w:rsidRDefault="00BD0CDB">
      <w:pPr>
        <w:pBdr>
          <w:top w:val="nil"/>
          <w:left w:val="nil"/>
          <w:bottom w:val="nil"/>
          <w:right w:val="nil"/>
          <w:between w:val="nil"/>
          <w:bar w:val="nil"/>
        </w:pBdr>
        <w:spacing w:before="120" w:after="120" w:line="240" w:lineRule="auto"/>
        <w:jc w:val="both"/>
        <w:rPr>
          <w:rFonts w:ascii="Times New Roman" w:eastAsia="Times New Roman" w:hAnsi="Times New Roman"/>
          <w:i/>
          <w:noProof/>
          <w:color w:val="000000"/>
          <w:sz w:val="24"/>
          <w:szCs w:val="24"/>
          <w:u w:color="000000"/>
          <w:bdr w:val="nil"/>
          <w:lang w:val="sv-SE" w:eastAsia="sv-SE" w:bidi="sv-SE"/>
        </w:rPr>
      </w:pPr>
      <w:r>
        <w:rPr>
          <w:rFonts w:ascii="Times New Roman"/>
          <w:i/>
          <w:noProof/>
          <w:color w:val="000000"/>
          <w:sz w:val="24"/>
          <w:u w:color="000000"/>
          <w:bdr w:val="nil"/>
          <w:lang w:val="sv-SE" w:eastAsia="sv-SE" w:bidi="sv-SE"/>
        </w:rPr>
        <w:t>Å</w:t>
      </w:r>
      <w:r>
        <w:rPr>
          <w:rFonts w:ascii="Times New Roman"/>
          <w:i/>
          <w:noProof/>
          <w:color w:val="000000"/>
          <w:sz w:val="24"/>
          <w:u w:color="000000"/>
          <w:bdr w:val="nil"/>
          <w:lang w:val="sv-SE" w:eastAsia="sv-SE" w:bidi="sv-SE"/>
        </w:rPr>
        <w:t>terst</w:t>
      </w:r>
      <w:r>
        <w:rPr>
          <w:rFonts w:ascii="Times New Roman"/>
          <w:i/>
          <w:noProof/>
          <w:color w:val="000000"/>
          <w:sz w:val="24"/>
          <w:u w:color="000000"/>
          <w:bdr w:val="nil"/>
          <w:lang w:val="sv-SE" w:eastAsia="sv-SE" w:bidi="sv-SE"/>
        </w:rPr>
        <w:t>ä</w:t>
      </w:r>
      <w:r>
        <w:rPr>
          <w:rFonts w:ascii="Times New Roman"/>
          <w:i/>
          <w:noProof/>
          <w:color w:val="000000"/>
          <w:sz w:val="24"/>
          <w:u w:color="000000"/>
          <w:bdr w:val="nil"/>
          <w:lang w:val="sv-SE" w:eastAsia="sv-SE" w:bidi="sv-SE"/>
        </w:rPr>
        <w:t>lla normal l</w:t>
      </w:r>
      <w:r>
        <w:rPr>
          <w:rFonts w:ascii="Times New Roman"/>
          <w:i/>
          <w:noProof/>
          <w:color w:val="000000"/>
          <w:sz w:val="24"/>
          <w:u w:color="000000"/>
          <w:bdr w:val="nil"/>
          <w:lang w:val="sv-SE" w:eastAsia="sv-SE" w:bidi="sv-SE"/>
        </w:rPr>
        <w:t>å</w:t>
      </w:r>
      <w:r>
        <w:rPr>
          <w:rFonts w:ascii="Times New Roman"/>
          <w:i/>
          <w:noProof/>
          <w:color w:val="000000"/>
          <w:sz w:val="24"/>
          <w:u w:color="000000"/>
          <w:bdr w:val="nil"/>
          <w:lang w:val="sv-SE" w:eastAsia="sv-SE" w:bidi="sv-SE"/>
        </w:rPr>
        <w:t>ngivning i den reala ekonomin</w:t>
      </w:r>
    </w:p>
    <w:p w:rsidR="008A54B8" w:rsidRDefault="00BD0CDB">
      <w:pPr>
        <w:pBdr>
          <w:top w:val="nil"/>
          <w:left w:val="nil"/>
          <w:bottom w:val="nil"/>
          <w:right w:val="nil"/>
          <w:between w:val="nil"/>
          <w:bar w:val="nil"/>
        </w:pBdr>
        <w:spacing w:before="120" w:after="120" w:line="240" w:lineRule="auto"/>
        <w:jc w:val="both"/>
        <w:rPr>
          <w:rFonts w:ascii="Times New Roman" w:eastAsia="Times New Roman" w:hAnsi="Times New Roman"/>
          <w:noProof/>
          <w:color w:val="000000"/>
          <w:sz w:val="24"/>
          <w:szCs w:val="24"/>
          <w:u w:color="000000"/>
          <w:bdr w:val="nil"/>
          <w:lang w:val="sv-SE" w:eastAsia="sv-SE" w:bidi="sv-SE"/>
        </w:rPr>
      </w:pPr>
      <w:r>
        <w:rPr>
          <w:rFonts w:ascii="Times New Roman" w:hAnsi="Times New Roman"/>
          <w:b/>
          <w:noProof/>
          <w:color w:val="000000"/>
          <w:sz w:val="24"/>
          <w:u w:color="000000"/>
          <w:bdr w:val="nil"/>
          <w:lang w:val="sv-SE" w:eastAsia="sv-SE" w:bidi="sv-SE"/>
        </w:rPr>
        <w:t xml:space="preserve">Den finansiella sektorn har fortsatt att lätta på kreditvillkoren. </w:t>
      </w:r>
      <w:r>
        <w:rPr>
          <w:rFonts w:ascii="Times New Roman" w:hAnsi="Times New Roman"/>
          <w:noProof/>
          <w:color w:val="000000"/>
          <w:sz w:val="24"/>
          <w:u w:color="000000"/>
          <w:bdr w:val="nil"/>
          <w:lang w:val="sv-SE" w:eastAsia="sv-SE" w:bidi="sv-SE"/>
        </w:rPr>
        <w:t xml:space="preserve">Trots en låg tillväxttakt för krediter i de länder där </w:t>
      </w:r>
      <w:r>
        <w:rPr>
          <w:rFonts w:ascii="Times New Roman" w:hAnsi="Times New Roman"/>
          <w:noProof/>
          <w:color w:val="000000"/>
          <w:sz w:val="24"/>
          <w:u w:color="000000"/>
          <w:bdr w:val="nil"/>
          <w:lang w:val="sv-SE" w:eastAsia="sv-SE" w:bidi="sv-SE"/>
        </w:rPr>
        <w:t>skuldsanering pågår, finns ändå positiva tecken för kreditutbudet. Enligt Europeiska centralbankens utlåningsenkät för januari 2016</w:t>
      </w:r>
      <w:r>
        <w:rPr>
          <w:rFonts w:ascii="Times New Roman" w:hAnsi="Times New Roman"/>
          <w:noProof/>
          <w:color w:val="000000"/>
          <w:sz w:val="24"/>
          <w:u w:color="000000"/>
          <w:bdr w:val="nil"/>
          <w:vertAlign w:val="superscript"/>
          <w:lang w:val="sv-SE" w:eastAsia="sv-SE" w:bidi="sv-SE"/>
        </w:rPr>
        <w:footnoteReference w:id="15"/>
      </w:r>
      <w:r>
        <w:rPr>
          <w:rFonts w:ascii="Times New Roman" w:hAnsi="Times New Roman"/>
          <w:noProof/>
          <w:color w:val="000000"/>
          <w:sz w:val="24"/>
          <w:u w:color="000000"/>
          <w:bdr w:val="nil"/>
          <w:lang w:val="sv-SE" w:eastAsia="sv-SE" w:bidi="sv-SE"/>
        </w:rPr>
        <w:t xml:space="preserve"> rapporterade bankerna fortsatta nettolättnader av kreditvillkoren för företagen och hushållens bostadsköp och för konsument</w:t>
      </w:r>
      <w:r>
        <w:rPr>
          <w:rFonts w:ascii="Times New Roman" w:hAnsi="Times New Roman"/>
          <w:noProof/>
          <w:color w:val="000000"/>
          <w:sz w:val="24"/>
          <w:u w:color="000000"/>
          <w:bdr w:val="nil"/>
          <w:lang w:val="sv-SE" w:eastAsia="sv-SE" w:bidi="sv-SE"/>
        </w:rPr>
        <w:t xml:space="preserve">krediter. Konkurrensen är även nu den viktigaste pådrivande faktorn för lättnaderna i bankernas utlåningsvillkor för företagslån. Bankerna fortsatte att lätta på villkoren för nya lån för alla lånekategorier, särskilt för företagen. De framsteg som gjorts </w:t>
      </w:r>
      <w:r>
        <w:rPr>
          <w:rFonts w:ascii="Times New Roman" w:hAnsi="Times New Roman"/>
          <w:noProof/>
          <w:color w:val="000000"/>
          <w:sz w:val="24"/>
          <w:u w:color="000000"/>
          <w:bdr w:val="nil"/>
          <w:lang w:val="sv-SE" w:eastAsia="sv-SE" w:bidi="sv-SE"/>
        </w:rPr>
        <w:t>med att stärka bankerna bidrar också till de uppmjukade kreditvillkoren.</w:t>
      </w:r>
    </w:p>
    <w:p w:rsidR="008A54B8" w:rsidRDefault="00BD0CDB">
      <w:pPr>
        <w:pBdr>
          <w:top w:val="nil"/>
          <w:left w:val="nil"/>
          <w:bottom w:val="nil"/>
          <w:right w:val="nil"/>
          <w:between w:val="nil"/>
          <w:bar w:val="nil"/>
        </w:pBdr>
        <w:spacing w:before="120" w:after="120" w:line="240" w:lineRule="auto"/>
        <w:jc w:val="both"/>
        <w:rPr>
          <w:rFonts w:ascii="Times New Roman" w:eastAsia="Times New Roman" w:hAnsi="Times New Roman"/>
          <w:noProof/>
          <w:color w:val="000000"/>
          <w:sz w:val="24"/>
          <w:szCs w:val="24"/>
          <w:u w:color="000000"/>
          <w:bdr w:val="nil"/>
          <w:lang w:val="sv-SE" w:eastAsia="sv-SE" w:bidi="sv-SE"/>
        </w:rPr>
      </w:pPr>
      <w:r>
        <w:rPr>
          <w:rFonts w:ascii="Times New Roman" w:hAnsi="Times New Roman"/>
          <w:b/>
          <w:noProof/>
          <w:color w:val="000000"/>
          <w:sz w:val="24"/>
          <w:u w:color="000000"/>
          <w:bdr w:val="nil"/>
          <w:lang w:val="sv-SE" w:eastAsia="sv-SE" w:bidi="sv-SE"/>
        </w:rPr>
        <w:t>Det har gjorts vissa framsteg med att förbättra tillgången till finansiering.</w:t>
      </w:r>
      <w:r>
        <w:rPr>
          <w:rFonts w:ascii="Times New Roman" w:hAnsi="Times New Roman"/>
          <w:noProof/>
          <w:color w:val="000000"/>
          <w:sz w:val="24"/>
          <w:u w:color="000000"/>
          <w:bdr w:val="nil"/>
          <w:lang w:val="sv-SE" w:eastAsia="sv-SE" w:bidi="sv-SE"/>
        </w:rPr>
        <w:t xml:space="preserve"> Flera länder har tagit initiativ till eller skyndar på initiativ för att förbättra tillgången till finans</w:t>
      </w:r>
      <w:r>
        <w:rPr>
          <w:rFonts w:ascii="Times New Roman" w:hAnsi="Times New Roman"/>
          <w:noProof/>
          <w:color w:val="000000"/>
          <w:sz w:val="24"/>
          <w:u w:color="000000"/>
          <w:bdr w:val="nil"/>
          <w:lang w:val="sv-SE" w:eastAsia="sv-SE" w:bidi="sv-SE"/>
        </w:rPr>
        <w:t>iering. Ungern inrättade programmet Finansiering för tillväxt. Det pågår också flera initiativ för att förbättra tillgången till finansiering för små och medelstora företag, särskilt med pengar från EU-fonderna. Portugal har t.ex. gjort resurser från de eu</w:t>
      </w:r>
      <w:r>
        <w:rPr>
          <w:rFonts w:ascii="Times New Roman" w:hAnsi="Times New Roman"/>
          <w:noProof/>
          <w:color w:val="000000"/>
          <w:sz w:val="24"/>
          <w:u w:color="000000"/>
          <w:bdr w:val="nil"/>
          <w:lang w:val="sv-SE" w:eastAsia="sv-SE" w:bidi="sv-SE"/>
        </w:rPr>
        <w:t xml:space="preserve">ropeiska strukturfonderna och nationella fonder tillgängliga för investeringar i aktie- och riskkapital. Malta kombinerar inhemskt kapital och EU-fonder för ge småföretagen skatteavdrag, bidrag eller finansiella garantier. </w:t>
      </w:r>
    </w:p>
    <w:p w:rsidR="008A54B8" w:rsidRDefault="00BD0CDB">
      <w:pPr>
        <w:pBdr>
          <w:top w:val="nil"/>
          <w:left w:val="nil"/>
          <w:bottom w:val="nil"/>
          <w:right w:val="nil"/>
          <w:between w:val="nil"/>
          <w:bar w:val="nil"/>
        </w:pBdr>
        <w:spacing w:before="120" w:after="120" w:line="240" w:lineRule="auto"/>
        <w:jc w:val="both"/>
        <w:rPr>
          <w:rFonts w:ascii="Times New Roman" w:eastAsia="Times New Roman" w:hAnsi="Times New Roman"/>
          <w:noProof/>
          <w:color w:val="000000"/>
          <w:sz w:val="24"/>
          <w:szCs w:val="24"/>
          <w:u w:color="000000"/>
          <w:bdr w:val="nil"/>
          <w:lang w:val="sv-SE" w:eastAsia="sv-SE" w:bidi="sv-SE"/>
        </w:rPr>
      </w:pPr>
      <w:r>
        <w:rPr>
          <w:rFonts w:ascii="Times New Roman" w:hAnsi="Times New Roman"/>
          <w:b/>
          <w:noProof/>
          <w:color w:val="000000"/>
          <w:sz w:val="24"/>
          <w:u w:color="000000"/>
          <w:bdr w:val="nil"/>
          <w:lang w:val="sv-SE" w:eastAsia="sv-SE" w:bidi="sv-SE"/>
        </w:rPr>
        <w:t xml:space="preserve">Flera medlemsländer har förbättrat sina insolvensregler. </w:t>
      </w:r>
      <w:r>
        <w:rPr>
          <w:rFonts w:ascii="Times New Roman" w:hAnsi="Times New Roman"/>
          <w:noProof/>
          <w:color w:val="000000"/>
          <w:sz w:val="24"/>
          <w:u w:color="000000"/>
          <w:bdr w:val="nil"/>
          <w:lang w:val="sv-SE" w:eastAsia="sv-SE" w:bidi="sv-SE"/>
        </w:rPr>
        <w:t>Kroatien har ändrat insolvenslagstiftningen för företag och privatpersoner. Irland har ändrat insolvensreglerna för att öka användningen av program för personers obestånd och personlig konkurs. Spani</w:t>
      </w:r>
      <w:r>
        <w:rPr>
          <w:rFonts w:ascii="Times New Roman" w:hAnsi="Times New Roman"/>
          <w:noProof/>
          <w:color w:val="000000"/>
          <w:sz w:val="24"/>
          <w:u w:color="000000"/>
          <w:bdr w:val="nil"/>
          <w:lang w:val="sv-SE" w:eastAsia="sv-SE" w:bidi="sv-SE"/>
        </w:rPr>
        <w:t>en har infört nya insolvensregler för personer och gjort insolvensförfarandena för företag och utomrättsliga förfaranden flexiblare.</w:t>
      </w:r>
    </w:p>
    <w:p w:rsidR="008A54B8" w:rsidRDefault="008A54B8">
      <w:pPr>
        <w:spacing w:before="120" w:after="120" w:line="240" w:lineRule="auto"/>
        <w:jc w:val="both"/>
        <w:rPr>
          <w:rFonts w:ascii="Times New Roman" w:eastAsia="Times New Roman" w:hAnsi="Times New Roman"/>
          <w:noProof/>
          <w:sz w:val="24"/>
          <w:szCs w:val="24"/>
          <w:lang w:val="sv-SE" w:eastAsia="sv-SE" w:bidi="sv-SE"/>
        </w:rPr>
      </w:pPr>
    </w:p>
    <w:p w:rsidR="008A54B8" w:rsidRDefault="00BD0CDB">
      <w:pPr>
        <w:spacing w:before="120" w:after="120" w:line="240" w:lineRule="auto"/>
        <w:jc w:val="both"/>
        <w:rPr>
          <w:rFonts w:ascii="Times New Roman" w:eastAsia="Times New Roman" w:hAnsi="Times New Roman"/>
          <w:i/>
          <w:noProof/>
          <w:sz w:val="24"/>
          <w:szCs w:val="24"/>
          <w:lang w:val="sv-SE" w:eastAsia="sv-SE" w:bidi="sv-SE"/>
        </w:rPr>
      </w:pPr>
      <w:r>
        <w:rPr>
          <w:rFonts w:ascii="Times New Roman" w:hAnsi="Times New Roman"/>
          <w:b/>
          <w:i/>
          <w:noProof/>
          <w:sz w:val="24"/>
          <w:lang w:val="sv-SE" w:eastAsia="sv-SE" w:bidi="sv-SE"/>
        </w:rPr>
        <w:t>5.2</w:t>
      </w:r>
      <w:r>
        <w:rPr>
          <w:noProof/>
          <w:lang w:val="sv-SE" w:eastAsia="sv-SE" w:bidi="sv-SE"/>
        </w:rPr>
        <w:tab/>
      </w:r>
      <w:r>
        <w:rPr>
          <w:rFonts w:ascii="Times New Roman" w:hAnsi="Times New Roman"/>
          <w:b/>
          <w:i/>
          <w:noProof/>
          <w:sz w:val="24"/>
          <w:lang w:val="sv-SE" w:eastAsia="sv-SE" w:bidi="sv-SE"/>
        </w:rPr>
        <w:t>Fortsätta med strukturreformer för att modernisera ekonomierna</w:t>
      </w:r>
    </w:p>
    <w:p w:rsidR="008A54B8" w:rsidRDefault="008A54B8">
      <w:pPr>
        <w:spacing w:before="120" w:after="120" w:line="120" w:lineRule="auto"/>
        <w:jc w:val="both"/>
        <w:rPr>
          <w:rFonts w:ascii="Times New Roman" w:hAnsi="Times New Roman"/>
          <w:noProof/>
          <w:sz w:val="24"/>
          <w:szCs w:val="24"/>
          <w:lang w:val="sv-SE" w:eastAsia="sv-SE" w:bidi="sv-SE"/>
        </w:rPr>
      </w:pPr>
    </w:p>
    <w:p w:rsidR="008A54B8" w:rsidRDefault="00BD0CDB">
      <w:pPr>
        <w:pBdr>
          <w:top w:val="nil"/>
          <w:left w:val="nil"/>
          <w:bottom w:val="nil"/>
          <w:right w:val="nil"/>
          <w:between w:val="nil"/>
          <w:bar w:val="nil"/>
        </w:pBdr>
        <w:spacing w:before="120" w:after="120" w:line="240" w:lineRule="auto"/>
        <w:jc w:val="both"/>
        <w:rPr>
          <w:rFonts w:ascii="Times New Roman" w:cs="Calibri"/>
          <w:bCs/>
          <w:noProof/>
          <w:color w:val="000000"/>
          <w:sz w:val="24"/>
          <w:szCs w:val="24"/>
          <w:u w:color="000000"/>
          <w:bdr w:val="nil"/>
          <w:lang w:val="sv-SE" w:eastAsia="sv-SE" w:bidi="sv-SE"/>
        </w:rPr>
      </w:pPr>
      <w:r>
        <w:rPr>
          <w:rFonts w:ascii="Times New Roman"/>
          <w:noProof/>
          <w:color w:val="000000"/>
          <w:sz w:val="24"/>
          <w:u w:color="000000"/>
          <w:bdr w:val="nil"/>
          <w:lang w:val="sv-SE" w:eastAsia="sv-SE" w:bidi="sv-SE"/>
        </w:rPr>
        <w:t xml:space="preserve">I den </w:t>
      </w:r>
      <w:r>
        <w:rPr>
          <w:rFonts w:ascii="Times New Roman"/>
          <w:noProof/>
          <w:color w:val="000000"/>
          <w:sz w:val="24"/>
          <w:u w:color="000000"/>
          <w:bdr w:val="nil"/>
          <w:lang w:val="sv-SE" w:eastAsia="sv-SE" w:bidi="sv-SE"/>
        </w:rPr>
        <w:t>å</w:t>
      </w:r>
      <w:r>
        <w:rPr>
          <w:rFonts w:ascii="Times New Roman"/>
          <w:noProof/>
          <w:color w:val="000000"/>
          <w:sz w:val="24"/>
          <w:u w:color="000000"/>
          <w:bdr w:val="nil"/>
          <w:lang w:val="sv-SE" w:eastAsia="sv-SE" w:bidi="sv-SE"/>
        </w:rPr>
        <w:t>rliga tillv</w:t>
      </w:r>
      <w:r>
        <w:rPr>
          <w:rFonts w:ascii="Times New Roman"/>
          <w:noProof/>
          <w:color w:val="000000"/>
          <w:sz w:val="24"/>
          <w:u w:color="000000"/>
          <w:bdr w:val="nil"/>
          <w:lang w:val="sv-SE" w:eastAsia="sv-SE" w:bidi="sv-SE"/>
        </w:rPr>
        <w:t>ä</w:t>
      </w:r>
      <w:r>
        <w:rPr>
          <w:rFonts w:ascii="Times New Roman"/>
          <w:noProof/>
          <w:color w:val="000000"/>
          <w:sz w:val="24"/>
          <w:u w:color="000000"/>
          <w:bdr w:val="nil"/>
          <w:lang w:val="sv-SE" w:eastAsia="sv-SE" w:bidi="sv-SE"/>
        </w:rPr>
        <w:t>xt</w:t>
      </w:r>
      <w:r>
        <w:rPr>
          <w:rFonts w:ascii="Times New Roman"/>
          <w:noProof/>
          <w:color w:val="000000"/>
          <w:sz w:val="24"/>
          <w:u w:color="000000"/>
          <w:bdr w:val="nil"/>
          <w:lang w:val="sv-SE" w:eastAsia="sv-SE" w:bidi="sv-SE"/>
        </w:rPr>
        <w:t>ö</w:t>
      </w:r>
      <w:r>
        <w:rPr>
          <w:rFonts w:ascii="Times New Roman"/>
          <w:noProof/>
          <w:color w:val="000000"/>
          <w:sz w:val="24"/>
          <w:u w:color="000000"/>
          <w:bdr w:val="nil"/>
          <w:lang w:val="sv-SE" w:eastAsia="sv-SE" w:bidi="sv-SE"/>
        </w:rPr>
        <w:t>versikten f</w:t>
      </w:r>
      <w:r>
        <w:rPr>
          <w:rFonts w:ascii="Times New Roman"/>
          <w:noProof/>
          <w:color w:val="000000"/>
          <w:sz w:val="24"/>
          <w:u w:color="000000"/>
          <w:bdr w:val="nil"/>
          <w:lang w:val="sv-SE" w:eastAsia="sv-SE" w:bidi="sv-SE"/>
        </w:rPr>
        <w:t>ö</w:t>
      </w:r>
      <w:r>
        <w:rPr>
          <w:rFonts w:ascii="Times New Roman"/>
          <w:noProof/>
          <w:color w:val="000000"/>
          <w:sz w:val="24"/>
          <w:u w:color="000000"/>
          <w:bdr w:val="nil"/>
          <w:lang w:val="sv-SE" w:eastAsia="sv-SE" w:bidi="sv-SE"/>
        </w:rPr>
        <w:t>r 2016 framh</w:t>
      </w:r>
      <w:r>
        <w:rPr>
          <w:rFonts w:ascii="Times New Roman"/>
          <w:noProof/>
          <w:color w:val="000000"/>
          <w:sz w:val="24"/>
          <w:u w:color="000000"/>
          <w:bdr w:val="nil"/>
          <w:lang w:val="sv-SE" w:eastAsia="sv-SE" w:bidi="sv-SE"/>
        </w:rPr>
        <w:t>ö</w:t>
      </w:r>
      <w:r>
        <w:rPr>
          <w:rFonts w:ascii="Times New Roman"/>
          <w:noProof/>
          <w:color w:val="000000"/>
          <w:sz w:val="24"/>
          <w:u w:color="000000"/>
          <w:bdr w:val="nil"/>
          <w:lang w:val="sv-SE" w:eastAsia="sv-SE" w:bidi="sv-SE"/>
        </w:rPr>
        <w:t xml:space="preserve">ll </w:t>
      </w:r>
      <w:r>
        <w:rPr>
          <w:rFonts w:ascii="Times New Roman"/>
          <w:noProof/>
          <w:color w:val="000000"/>
          <w:sz w:val="24"/>
          <w:u w:color="000000"/>
          <w:bdr w:val="nil"/>
          <w:lang w:val="sv-SE" w:eastAsia="sv-SE" w:bidi="sv-SE"/>
        </w:rPr>
        <w:t>kommissionen vikten av effektiv samordning mellan medlemsl</w:t>
      </w:r>
      <w:r>
        <w:rPr>
          <w:rFonts w:ascii="Times New Roman"/>
          <w:noProof/>
          <w:color w:val="000000"/>
          <w:sz w:val="24"/>
          <w:u w:color="000000"/>
          <w:bdr w:val="nil"/>
          <w:lang w:val="sv-SE" w:eastAsia="sv-SE" w:bidi="sv-SE"/>
        </w:rPr>
        <w:t>ä</w:t>
      </w:r>
      <w:r>
        <w:rPr>
          <w:rFonts w:ascii="Times New Roman"/>
          <w:noProof/>
          <w:color w:val="000000"/>
          <w:sz w:val="24"/>
          <w:u w:color="000000"/>
          <w:bdr w:val="nil"/>
          <w:lang w:val="sv-SE" w:eastAsia="sv-SE" w:bidi="sv-SE"/>
        </w:rPr>
        <w:t>nderna f</w:t>
      </w:r>
      <w:r>
        <w:rPr>
          <w:rFonts w:ascii="Times New Roman"/>
          <w:noProof/>
          <w:color w:val="000000"/>
          <w:sz w:val="24"/>
          <w:u w:color="000000"/>
          <w:bdr w:val="nil"/>
          <w:lang w:val="sv-SE" w:eastAsia="sv-SE" w:bidi="sv-SE"/>
        </w:rPr>
        <w:t>ö</w:t>
      </w:r>
      <w:r>
        <w:rPr>
          <w:rFonts w:ascii="Times New Roman"/>
          <w:noProof/>
          <w:color w:val="000000"/>
          <w:sz w:val="24"/>
          <w:u w:color="000000"/>
          <w:bdr w:val="nil"/>
          <w:lang w:val="sv-SE" w:eastAsia="sv-SE" w:bidi="sv-SE"/>
        </w:rPr>
        <w:t>r att f</w:t>
      </w:r>
      <w:r>
        <w:rPr>
          <w:rFonts w:ascii="Times New Roman"/>
          <w:noProof/>
          <w:color w:val="000000"/>
          <w:sz w:val="24"/>
          <w:u w:color="000000"/>
          <w:bdr w:val="nil"/>
          <w:lang w:val="sv-SE" w:eastAsia="sv-SE" w:bidi="sv-SE"/>
        </w:rPr>
        <w:t>å</w:t>
      </w:r>
      <w:r>
        <w:rPr>
          <w:rFonts w:ascii="Times New Roman"/>
          <w:noProof/>
          <w:color w:val="000000"/>
          <w:sz w:val="24"/>
          <w:u w:color="000000"/>
          <w:bdr w:val="nil"/>
          <w:lang w:val="sv-SE" w:eastAsia="sv-SE" w:bidi="sv-SE"/>
        </w:rPr>
        <w:t xml:space="preserve"> h</w:t>
      </w:r>
      <w:r>
        <w:rPr>
          <w:rFonts w:ascii="Times New Roman"/>
          <w:noProof/>
          <w:color w:val="000000"/>
          <w:sz w:val="24"/>
          <w:u w:color="000000"/>
          <w:bdr w:val="nil"/>
          <w:lang w:val="sv-SE" w:eastAsia="sv-SE" w:bidi="sv-SE"/>
        </w:rPr>
        <w:t>ö</w:t>
      </w:r>
      <w:r>
        <w:rPr>
          <w:rFonts w:ascii="Times New Roman"/>
          <w:noProof/>
          <w:color w:val="000000"/>
          <w:sz w:val="24"/>
          <w:u w:color="000000"/>
          <w:bdr w:val="nil"/>
          <w:lang w:val="sv-SE" w:eastAsia="sv-SE" w:bidi="sv-SE"/>
        </w:rPr>
        <w:t>gre produktivitet och upp</w:t>
      </w:r>
      <w:r>
        <w:rPr>
          <w:rFonts w:ascii="Times New Roman"/>
          <w:noProof/>
          <w:color w:val="000000"/>
          <w:sz w:val="24"/>
          <w:u w:color="000000"/>
          <w:bdr w:val="nil"/>
          <w:lang w:val="sv-SE" w:eastAsia="sv-SE" w:bidi="sv-SE"/>
        </w:rPr>
        <w:t>å</w:t>
      </w:r>
      <w:r>
        <w:rPr>
          <w:rFonts w:ascii="Times New Roman"/>
          <w:noProof/>
          <w:color w:val="000000"/>
          <w:sz w:val="24"/>
          <w:u w:color="000000"/>
          <w:bdr w:val="nil"/>
          <w:lang w:val="sv-SE" w:eastAsia="sv-SE" w:bidi="sv-SE"/>
        </w:rPr>
        <w:t>tg</w:t>
      </w:r>
      <w:r>
        <w:rPr>
          <w:rFonts w:ascii="Times New Roman"/>
          <w:noProof/>
          <w:color w:val="000000"/>
          <w:sz w:val="24"/>
          <w:u w:color="000000"/>
          <w:bdr w:val="nil"/>
          <w:lang w:val="sv-SE" w:eastAsia="sv-SE" w:bidi="sv-SE"/>
        </w:rPr>
        <w:t>å</w:t>
      </w:r>
      <w:r>
        <w:rPr>
          <w:rFonts w:ascii="Times New Roman"/>
          <w:noProof/>
          <w:color w:val="000000"/>
          <w:sz w:val="24"/>
          <w:u w:color="000000"/>
          <w:bdr w:val="nil"/>
          <w:lang w:val="sv-SE" w:eastAsia="sv-SE" w:bidi="sv-SE"/>
        </w:rPr>
        <w:t>ende konvergens. Man m</w:t>
      </w:r>
      <w:r>
        <w:rPr>
          <w:rFonts w:ascii="Times New Roman"/>
          <w:noProof/>
          <w:color w:val="000000"/>
          <w:sz w:val="24"/>
          <w:u w:color="000000"/>
          <w:bdr w:val="nil"/>
          <w:lang w:val="sv-SE" w:eastAsia="sv-SE" w:bidi="sv-SE"/>
        </w:rPr>
        <w:t>å</w:t>
      </w:r>
      <w:r>
        <w:rPr>
          <w:rFonts w:ascii="Times New Roman"/>
          <w:noProof/>
          <w:color w:val="000000"/>
          <w:sz w:val="24"/>
          <w:u w:color="000000"/>
          <w:bdr w:val="nil"/>
          <w:lang w:val="sv-SE" w:eastAsia="sv-SE" w:bidi="sv-SE"/>
        </w:rPr>
        <w:t>ste ocks</w:t>
      </w:r>
      <w:r>
        <w:rPr>
          <w:rFonts w:ascii="Times New Roman"/>
          <w:noProof/>
          <w:color w:val="000000"/>
          <w:sz w:val="24"/>
          <w:u w:color="000000"/>
          <w:bdr w:val="nil"/>
          <w:lang w:val="sv-SE" w:eastAsia="sv-SE" w:bidi="sv-SE"/>
        </w:rPr>
        <w:t>å</w:t>
      </w:r>
      <w:r>
        <w:rPr>
          <w:rFonts w:ascii="Times New Roman"/>
          <w:noProof/>
          <w:color w:val="000000"/>
          <w:sz w:val="24"/>
          <w:u w:color="000000"/>
          <w:bdr w:val="nil"/>
          <w:lang w:val="sv-SE" w:eastAsia="sv-SE" w:bidi="sv-SE"/>
        </w:rPr>
        <w:t xml:space="preserve"> hitta balansen mellan flexibilitet och trygghet inom arbetsmarknadspolitiken och skapa mer integrerade och konkurre</w:t>
      </w:r>
      <w:r>
        <w:rPr>
          <w:rFonts w:ascii="Times New Roman"/>
          <w:noProof/>
          <w:color w:val="000000"/>
          <w:sz w:val="24"/>
          <w:u w:color="000000"/>
          <w:bdr w:val="nil"/>
          <w:lang w:val="sv-SE" w:eastAsia="sv-SE" w:bidi="sv-SE"/>
        </w:rPr>
        <w:t>nskraftiga varu- och tj</w:t>
      </w:r>
      <w:r>
        <w:rPr>
          <w:rFonts w:ascii="Times New Roman"/>
          <w:noProof/>
          <w:color w:val="000000"/>
          <w:sz w:val="24"/>
          <w:u w:color="000000"/>
          <w:bdr w:val="nil"/>
          <w:lang w:val="sv-SE" w:eastAsia="sv-SE" w:bidi="sv-SE"/>
        </w:rPr>
        <w:t>ä</w:t>
      </w:r>
      <w:r>
        <w:rPr>
          <w:rFonts w:ascii="Times New Roman"/>
          <w:noProof/>
          <w:color w:val="000000"/>
          <w:sz w:val="24"/>
          <w:u w:color="000000"/>
          <w:bdr w:val="nil"/>
          <w:lang w:val="sv-SE" w:eastAsia="sv-SE" w:bidi="sv-SE"/>
        </w:rPr>
        <w:t>nstemarknader.</w:t>
      </w:r>
    </w:p>
    <w:p w:rsidR="008A54B8" w:rsidRDefault="008A54B8">
      <w:pPr>
        <w:pBdr>
          <w:top w:val="nil"/>
          <w:left w:val="nil"/>
          <w:bottom w:val="nil"/>
          <w:right w:val="nil"/>
          <w:between w:val="nil"/>
          <w:bar w:val="nil"/>
        </w:pBdr>
        <w:spacing w:before="120" w:after="120" w:line="240" w:lineRule="auto"/>
        <w:rPr>
          <w:rFonts w:ascii="Times New Roman" w:cs="Calibri"/>
          <w:bCs/>
          <w:i/>
          <w:noProof/>
          <w:color w:val="000000"/>
          <w:sz w:val="24"/>
          <w:szCs w:val="24"/>
          <w:u w:color="000000"/>
          <w:bdr w:val="nil"/>
          <w:lang w:val="sv-SE" w:eastAsia="sv-SE" w:bidi="sv-SE"/>
        </w:rPr>
      </w:pPr>
    </w:p>
    <w:p w:rsidR="008A54B8" w:rsidRDefault="00BD0CDB">
      <w:pPr>
        <w:pBdr>
          <w:top w:val="nil"/>
          <w:left w:val="nil"/>
          <w:bottom w:val="nil"/>
          <w:right w:val="nil"/>
          <w:between w:val="nil"/>
          <w:bar w:val="nil"/>
        </w:pBdr>
        <w:spacing w:before="120" w:after="120" w:line="240" w:lineRule="auto"/>
        <w:rPr>
          <w:rFonts w:ascii="Times New Roman" w:eastAsia="Times New Roman" w:hAnsi="Times New Roman"/>
          <w:i/>
          <w:noProof/>
          <w:color w:val="000000"/>
          <w:sz w:val="24"/>
          <w:szCs w:val="24"/>
          <w:u w:color="000000"/>
          <w:bdr w:val="nil"/>
          <w:lang w:val="sv-SE" w:eastAsia="sv-SE" w:bidi="sv-SE"/>
        </w:rPr>
      </w:pPr>
      <w:r>
        <w:rPr>
          <w:rFonts w:ascii="Times New Roman"/>
          <w:i/>
          <w:noProof/>
          <w:color w:val="000000"/>
          <w:sz w:val="24"/>
          <w:u w:color="000000"/>
          <w:bdr w:val="nil"/>
          <w:lang w:val="sv-SE" w:eastAsia="sv-SE" w:bidi="sv-SE"/>
        </w:rPr>
        <w:t>Syssels</w:t>
      </w:r>
      <w:r>
        <w:rPr>
          <w:rFonts w:ascii="Times New Roman"/>
          <w:i/>
          <w:noProof/>
          <w:color w:val="000000"/>
          <w:sz w:val="24"/>
          <w:u w:color="000000"/>
          <w:bdr w:val="nil"/>
          <w:lang w:val="sv-SE" w:eastAsia="sv-SE" w:bidi="sv-SE"/>
        </w:rPr>
        <w:t>ä</w:t>
      </w:r>
      <w:r>
        <w:rPr>
          <w:rFonts w:ascii="Times New Roman"/>
          <w:i/>
          <w:noProof/>
          <w:color w:val="000000"/>
          <w:sz w:val="24"/>
          <w:u w:color="000000"/>
          <w:bdr w:val="nil"/>
          <w:lang w:val="sv-SE" w:eastAsia="sv-SE" w:bidi="sv-SE"/>
        </w:rPr>
        <w:t xml:space="preserve">ttning och socialpolitik </w:t>
      </w:r>
    </w:p>
    <w:p w:rsidR="008A54B8" w:rsidRDefault="00BD0CDB">
      <w:pPr>
        <w:pBdr>
          <w:top w:val="nil"/>
          <w:left w:val="nil"/>
          <w:bottom w:val="nil"/>
          <w:right w:val="nil"/>
          <w:between w:val="nil"/>
          <w:bar w:val="nil"/>
        </w:pBdr>
        <w:spacing w:before="120" w:after="120" w:line="240" w:lineRule="auto"/>
        <w:jc w:val="both"/>
        <w:rPr>
          <w:rFonts w:cs="Calibri"/>
          <w:noProof/>
          <w:color w:val="000000"/>
          <w:u w:color="000000"/>
          <w:bdr w:val="nil"/>
          <w:lang w:val="sv-SE" w:eastAsia="sv-SE" w:bidi="sv-SE"/>
        </w:rPr>
      </w:pPr>
      <w:r>
        <w:rPr>
          <w:rFonts w:ascii="Times New Roman" w:hAnsi="Times New Roman"/>
          <w:b/>
          <w:noProof/>
          <w:color w:val="000000"/>
          <w:sz w:val="24"/>
          <w:u w:color="000000"/>
          <w:bdr w:val="nil"/>
          <w:lang w:val="sv-SE" w:eastAsia="sv-SE" w:bidi="sv-SE"/>
        </w:rPr>
        <w:t xml:space="preserve">Sysselsättningen ökar nu i både EU och euroområdet. </w:t>
      </w:r>
      <w:r>
        <w:rPr>
          <w:rFonts w:ascii="Times New Roman" w:hAnsi="Times New Roman"/>
          <w:noProof/>
          <w:color w:val="000000"/>
          <w:sz w:val="24"/>
          <w:u w:color="000000"/>
          <w:bdr w:val="nil"/>
          <w:lang w:val="sv-SE" w:eastAsia="sv-SE" w:bidi="sv-SE"/>
        </w:rPr>
        <w:t>Arbetslösheten sjunker, också bland ungdomar. Samtidigt fortsatte långtidsarbetslösheten att öka under 2015 jämfört med 2014, även</w:t>
      </w:r>
      <w:r>
        <w:rPr>
          <w:rFonts w:ascii="Times New Roman" w:hAnsi="Times New Roman"/>
          <w:noProof/>
          <w:color w:val="000000"/>
          <w:sz w:val="24"/>
          <w:u w:color="000000"/>
          <w:bdr w:val="nil"/>
          <w:lang w:val="sv-SE" w:eastAsia="sv-SE" w:bidi="sv-SE"/>
        </w:rPr>
        <w:t xml:space="preserve"> om en viss minskning har noterats under året. Det finns 10,5 miljoner långtidsarbetslösa, vilket motsvarar 48 % av den totala arbetslösheten. Ungdomsarbetslösheten är 20 %, vilket innebär att 4,5 miljoner unga går utan jobb. I vissa länder lämnar många un</w:t>
      </w:r>
      <w:r>
        <w:rPr>
          <w:rFonts w:ascii="Times New Roman" w:hAnsi="Times New Roman"/>
          <w:noProof/>
          <w:color w:val="000000"/>
          <w:sz w:val="24"/>
          <w:u w:color="000000"/>
          <w:bdr w:val="nil"/>
          <w:lang w:val="sv-SE" w:eastAsia="sv-SE" w:bidi="sv-SE"/>
        </w:rPr>
        <w:t>ga landet. I Grekland, Spanien, Kroatien och Italien ligger ungdomsarbetslösheten på runt 40 % eller högre. Dessutom har flera länder en stor andel unga som varken jobbar eller studerar. Andelen uppgår exempelvis till över 20 % i Bulgarien och Italien.</w:t>
      </w:r>
    </w:p>
    <w:p w:rsidR="008A54B8" w:rsidRDefault="00BD0CDB">
      <w:pPr>
        <w:pBdr>
          <w:top w:val="nil"/>
          <w:left w:val="nil"/>
          <w:bottom w:val="nil"/>
          <w:right w:val="nil"/>
          <w:between w:val="nil"/>
          <w:bar w:val="nil"/>
        </w:pBdr>
        <w:spacing w:before="120" w:after="120" w:line="240" w:lineRule="auto"/>
        <w:jc w:val="both"/>
        <w:rPr>
          <w:rFonts w:cs="Calibri"/>
          <w:noProof/>
          <w:color w:val="000000"/>
          <w:u w:color="000000"/>
          <w:bdr w:val="nil"/>
          <w:lang w:val="sv-SE" w:eastAsia="sv-SE" w:bidi="sv-SE"/>
        </w:rPr>
      </w:pPr>
      <w:r>
        <w:rPr>
          <w:rFonts w:ascii="Times New Roman" w:hAnsi="Times New Roman"/>
          <w:b/>
          <w:noProof/>
          <w:color w:val="000000"/>
          <w:sz w:val="24"/>
          <w:u w:color="000000"/>
          <w:bdr w:val="nil"/>
          <w:lang w:val="sv-SE" w:eastAsia="sv-SE" w:bidi="sv-SE"/>
        </w:rPr>
        <w:t>För</w:t>
      </w:r>
      <w:r>
        <w:rPr>
          <w:rFonts w:ascii="Times New Roman" w:hAnsi="Times New Roman"/>
          <w:b/>
          <w:noProof/>
          <w:color w:val="000000"/>
          <w:sz w:val="24"/>
          <w:u w:color="000000"/>
          <w:bdr w:val="nil"/>
          <w:lang w:val="sv-SE" w:eastAsia="sv-SE" w:bidi="sv-SE"/>
        </w:rPr>
        <w:t xml:space="preserve"> att stärka EU:s ställning konkurrensmässigt är det viktigt att reallönerna följer produktivitetsutvecklingen på medellång sikt.</w:t>
      </w:r>
      <w:r>
        <w:rPr>
          <w:rFonts w:ascii="Times New Roman" w:hAnsi="Times New Roman"/>
          <w:noProof/>
          <w:color w:val="000000"/>
          <w:sz w:val="24"/>
          <w:u w:color="000000"/>
          <w:bdr w:val="nil"/>
          <w:lang w:val="sv-SE" w:eastAsia="sv-SE" w:bidi="sv-SE"/>
        </w:rPr>
        <w:t xml:space="preserve"> Ett flertal länder har gjort insatser för att öka följsamheten på arbetsmarknaden och underlätta tillväxten i företagen. Bland </w:t>
      </w:r>
      <w:r>
        <w:rPr>
          <w:rFonts w:ascii="Times New Roman" w:hAnsi="Times New Roman"/>
          <w:noProof/>
          <w:color w:val="000000"/>
          <w:sz w:val="24"/>
          <w:u w:color="000000"/>
          <w:bdr w:val="nil"/>
          <w:lang w:val="sv-SE" w:eastAsia="sv-SE" w:bidi="sv-SE"/>
        </w:rPr>
        <w:t xml:space="preserve">annat har man tagit bort regler om tröskelvärden för företagen och gjort utfallet av arbetskonflikter mer förutsägbart, vilket kan underlätta företagens initiala rekryteringar. Löneutvecklingen har visserligen anpassat sig till produktiviteten totalt sett </w:t>
      </w:r>
      <w:r>
        <w:rPr>
          <w:rFonts w:ascii="Times New Roman" w:hAnsi="Times New Roman"/>
          <w:noProof/>
          <w:color w:val="000000"/>
          <w:sz w:val="24"/>
          <w:u w:color="000000"/>
          <w:bdr w:val="nil"/>
          <w:lang w:val="sv-SE" w:eastAsia="sv-SE" w:bidi="sv-SE"/>
        </w:rPr>
        <w:t>på EU-nivå, men framstegen i en del länder är ändå begränsade. I linje med de landsspecifika rekommendationerna för 2015 ingicks branschöverskridande överenskommelser om återhållsamma löneökningar i Finland för 2014–2015 och i Spanien för 2015–2017. Nya me</w:t>
      </w:r>
      <w:r>
        <w:rPr>
          <w:rFonts w:ascii="Times New Roman" w:hAnsi="Times New Roman"/>
          <w:noProof/>
          <w:color w:val="000000"/>
          <w:sz w:val="24"/>
          <w:u w:color="000000"/>
          <w:bdr w:val="nil"/>
          <w:lang w:val="sv-SE" w:eastAsia="sv-SE" w:bidi="sv-SE"/>
        </w:rPr>
        <w:t>kanismer för att fastställa minimilönen infördes i Irland och en obligatorisk nationell minimilön infördes i Tyskland.</w:t>
      </w:r>
    </w:p>
    <w:p w:rsidR="008A54B8" w:rsidRDefault="00BD0CDB">
      <w:pPr>
        <w:shd w:val="clear" w:color="auto" w:fill="FFFFFF"/>
        <w:spacing w:before="120" w:after="120" w:line="240" w:lineRule="auto"/>
        <w:jc w:val="both"/>
        <w:rPr>
          <w:rFonts w:ascii="Times New Roman" w:eastAsia="Times New Roman" w:hAnsi="Times New Roman"/>
          <w:noProof/>
          <w:sz w:val="24"/>
          <w:szCs w:val="24"/>
          <w:lang w:val="sv-SE" w:eastAsia="sv-SE" w:bidi="sv-SE"/>
        </w:rPr>
      </w:pPr>
      <w:r>
        <w:rPr>
          <w:rFonts w:ascii="Times New Roman" w:hAnsi="Times New Roman"/>
          <w:b/>
          <w:noProof/>
          <w:sz w:val="24"/>
          <w:lang w:val="sv-SE" w:eastAsia="sv-SE" w:bidi="sv-SE"/>
        </w:rPr>
        <w:t xml:space="preserve">Det krävs ytterligare insatser för att ta itu med segmenteringen på arbetsmarknaderna. </w:t>
      </w:r>
      <w:r>
        <w:rPr>
          <w:rFonts w:ascii="Times New Roman" w:hAnsi="Times New Roman"/>
          <w:noProof/>
          <w:sz w:val="24"/>
          <w:lang w:val="sv-SE" w:eastAsia="sv-SE" w:bidi="sv-SE"/>
        </w:rPr>
        <w:t>Att minska de lagstiftningsmässiga skillnaderna me</w:t>
      </w:r>
      <w:r>
        <w:rPr>
          <w:rFonts w:ascii="Times New Roman" w:hAnsi="Times New Roman"/>
          <w:noProof/>
          <w:sz w:val="24"/>
          <w:lang w:val="sv-SE" w:eastAsia="sv-SE" w:bidi="sv-SE"/>
        </w:rPr>
        <w:t>llan avtal om tillsvidareanställning och avtal som inte följer standarden kan främja en övergång till avtal om tillsvidareanställning och stimulera nya fasta jobb och uppmuntra arbetsgivare och anställda att investera i kompetens och livslångt lärande. Ref</w:t>
      </w:r>
      <w:r>
        <w:rPr>
          <w:rFonts w:ascii="Times New Roman" w:hAnsi="Times New Roman"/>
          <w:noProof/>
          <w:sz w:val="24"/>
          <w:lang w:val="sv-SE" w:eastAsia="sv-SE" w:bidi="sv-SE"/>
        </w:rPr>
        <w:t>ormer i den riktningen har fortsatt under 2015, i linje med de landsspecifika rekommendationerna, särskilt i de länder där tudelningen på arbetsmarknaden är särskilt markant, som i Italien och Polen. Som en del av en omfattande arbetsmarknadsreform har Ita</w:t>
      </w:r>
      <w:r>
        <w:rPr>
          <w:rFonts w:ascii="Times New Roman" w:hAnsi="Times New Roman"/>
          <w:noProof/>
          <w:sz w:val="24"/>
          <w:lang w:val="sv-SE" w:eastAsia="sv-SE" w:bidi="sv-SE"/>
        </w:rPr>
        <w:t>lien förenklat anställning och arbetsrättsliga förfaranden och har kringskurit möjligheterna till återanställning efter ogrundad uppsägning.</w:t>
      </w:r>
    </w:p>
    <w:p w:rsidR="008A54B8" w:rsidRDefault="00BD0CDB">
      <w:pPr>
        <w:shd w:val="clear" w:color="auto" w:fill="FFFFFF"/>
        <w:spacing w:before="120" w:after="120" w:line="240" w:lineRule="auto"/>
        <w:jc w:val="both"/>
        <w:rPr>
          <w:rFonts w:ascii="Times New Roman" w:eastAsia="Times New Roman" w:hAnsi="Times New Roman"/>
          <w:noProof/>
          <w:sz w:val="24"/>
          <w:szCs w:val="24"/>
          <w:lang w:val="sv-SE" w:eastAsia="sv-SE" w:bidi="sv-SE"/>
        </w:rPr>
      </w:pPr>
      <w:r>
        <w:rPr>
          <w:rFonts w:ascii="Times New Roman" w:hAnsi="Times New Roman"/>
          <w:b/>
          <w:noProof/>
          <w:sz w:val="24"/>
          <w:lang w:val="sv-SE" w:eastAsia="sv-SE" w:bidi="sv-SE"/>
        </w:rPr>
        <w:t xml:space="preserve">Ungdomsgarantin har varit i kraft i tre år och uppvisar nu resultat. </w:t>
      </w:r>
      <w:r>
        <w:rPr>
          <w:rFonts w:ascii="Times New Roman" w:hAnsi="Times New Roman"/>
          <w:noProof/>
          <w:sz w:val="24"/>
          <w:lang w:val="sv-SE" w:eastAsia="sv-SE" w:bidi="sv-SE"/>
        </w:rPr>
        <w:t xml:space="preserve">Situationen för unga människor i EU håller på </w:t>
      </w:r>
      <w:r>
        <w:rPr>
          <w:rFonts w:ascii="Times New Roman" w:hAnsi="Times New Roman"/>
          <w:noProof/>
          <w:sz w:val="24"/>
          <w:lang w:val="sv-SE" w:eastAsia="sv-SE" w:bidi="sv-SE"/>
        </w:rPr>
        <w:t>att förbättras, och länderna påskyndar arbetet med att underlätta övergången från skola till arbete, inklusive genom tidig aktivering och uppsökande verksamhet för unga som varken arbetar eller studerar. Bland de viktigaste resultaten finns bättre uppsökan</w:t>
      </w:r>
      <w:r>
        <w:rPr>
          <w:rFonts w:ascii="Times New Roman" w:hAnsi="Times New Roman"/>
          <w:noProof/>
          <w:sz w:val="24"/>
          <w:lang w:val="sv-SE" w:eastAsia="sv-SE" w:bidi="sv-SE"/>
        </w:rPr>
        <w:t>de verksamhet, mer skräddarsydd offentlig arbetsförmedling för unga, bättre utformning av aktiva arbetsmarknadsinstrument för unga och större fokus på läringsplatser av god kvalitet. Reformerna till följd av ungdomsgarantin har tagit fart, särskilt i de lä</w:t>
      </w:r>
      <w:r>
        <w:rPr>
          <w:rFonts w:ascii="Times New Roman" w:hAnsi="Times New Roman"/>
          <w:noProof/>
          <w:sz w:val="24"/>
          <w:lang w:val="sv-SE" w:eastAsia="sv-SE" w:bidi="sv-SE"/>
        </w:rPr>
        <w:t>nder som har stora problem som Italien och Portugal, och i de länder som får EU-stöd för storskaliga, innovativa åtgärder och strukturreformer.</w:t>
      </w:r>
    </w:p>
    <w:p w:rsidR="008A54B8" w:rsidRDefault="00BD0CDB">
      <w:pPr>
        <w:shd w:val="clear" w:color="auto" w:fill="FFFFFF"/>
        <w:spacing w:before="120" w:after="120" w:line="240" w:lineRule="auto"/>
        <w:jc w:val="both"/>
        <w:rPr>
          <w:rFonts w:ascii="Times New Roman" w:eastAsia="Times New Roman" w:hAnsi="Times New Roman"/>
          <w:noProof/>
          <w:sz w:val="24"/>
          <w:szCs w:val="24"/>
          <w:lang w:val="sv-SE" w:eastAsia="sv-SE" w:bidi="sv-SE"/>
        </w:rPr>
      </w:pPr>
      <w:r>
        <w:rPr>
          <w:rFonts w:ascii="Times New Roman" w:hAnsi="Times New Roman"/>
          <w:b/>
          <w:noProof/>
          <w:sz w:val="24"/>
          <w:lang w:val="sv-SE" w:eastAsia="sv-SE" w:bidi="sv-SE"/>
        </w:rPr>
        <w:t>Fler arbetslösa har visserligen tagit sig in på arbetsmarknaden igen, men det krävs ytterligare reformer av de a</w:t>
      </w:r>
      <w:r>
        <w:rPr>
          <w:rFonts w:ascii="Times New Roman" w:hAnsi="Times New Roman"/>
          <w:b/>
          <w:noProof/>
          <w:sz w:val="24"/>
          <w:lang w:val="sv-SE" w:eastAsia="sv-SE" w:bidi="sv-SE"/>
        </w:rPr>
        <w:t>ktiva arbetsmarknadsåtgärderna.</w:t>
      </w:r>
      <w:r>
        <w:rPr>
          <w:rFonts w:ascii="Times New Roman" w:hAnsi="Times New Roman"/>
          <w:noProof/>
          <w:sz w:val="24"/>
          <w:lang w:val="sv-SE" w:eastAsia="sv-SE" w:bidi="sv-SE"/>
        </w:rPr>
        <w:t xml:space="preserve"> Flera länder som Spanien, Frankrike, Lettland och Finland har dragit igång nya aktiva åtgärder för långtidarbetslösa. Italien har börjat reformera styrningen av de aktiva arbetsmarknadsåtgärderna och stärka kopplingen till p</w:t>
      </w:r>
      <w:r>
        <w:rPr>
          <w:rFonts w:ascii="Times New Roman" w:hAnsi="Times New Roman"/>
          <w:noProof/>
          <w:sz w:val="24"/>
          <w:lang w:val="sv-SE" w:eastAsia="sv-SE" w:bidi="sv-SE"/>
        </w:rPr>
        <w:t>assiva åtgärder. Man måste dock ta itu med vissa andra problem, t.ex. otillräcklig samordning mellan arbetsförmedling och socialtjänst, arbetsgivarnas bristande deltagande och partnerskap, det förhållandevis låga deltagandet i aktiva arbetsmarknadsåtgärder</w:t>
      </w:r>
      <w:r>
        <w:rPr>
          <w:rFonts w:ascii="Times New Roman" w:hAnsi="Times New Roman"/>
          <w:noProof/>
          <w:sz w:val="24"/>
          <w:lang w:val="sv-SE" w:eastAsia="sv-SE" w:bidi="sv-SE"/>
        </w:rPr>
        <w:t xml:space="preserve"> och underfinansieringen av dem. Vissa länder erbjuder dessutom inte individanpassade insatser på grundval av profilering, kompetensmatchning eller intensiv rådgivning. I rådets rekommendation om långtidsarbetslösas återinträde på arbetsmarknaden från dece</w:t>
      </w:r>
      <w:r>
        <w:rPr>
          <w:rFonts w:ascii="Times New Roman" w:hAnsi="Times New Roman"/>
          <w:noProof/>
          <w:sz w:val="24"/>
          <w:lang w:val="sv-SE" w:eastAsia="sv-SE" w:bidi="sv-SE"/>
        </w:rPr>
        <w:t>mber 2015</w:t>
      </w:r>
      <w:r>
        <w:rPr>
          <w:rFonts w:ascii="Times New Roman" w:hAnsi="Times New Roman"/>
          <w:noProof/>
          <w:sz w:val="24"/>
          <w:vertAlign w:val="superscript"/>
          <w:lang w:val="sv-SE" w:eastAsia="sv-SE" w:bidi="sv-SE"/>
        </w:rPr>
        <w:footnoteReference w:id="16"/>
      </w:r>
      <w:r>
        <w:rPr>
          <w:rFonts w:ascii="Times New Roman" w:hAnsi="Times New Roman"/>
          <w:noProof/>
          <w:sz w:val="24"/>
          <w:lang w:val="sv-SE" w:eastAsia="sv-SE" w:bidi="sv-SE"/>
        </w:rPr>
        <w:t xml:space="preserve"> får medlemsländerna råd om hur de kan intensifiera sina insatser mot långtidsarbetslösheten. </w:t>
      </w:r>
    </w:p>
    <w:p w:rsidR="008A54B8" w:rsidRDefault="00BD0CDB">
      <w:pPr>
        <w:shd w:val="clear" w:color="auto" w:fill="FFFFFF"/>
        <w:spacing w:before="120" w:after="120" w:line="240" w:lineRule="auto"/>
        <w:jc w:val="both"/>
        <w:rPr>
          <w:rFonts w:ascii="Times New Roman" w:eastAsia="Times New Roman" w:hAnsi="Times New Roman"/>
          <w:noProof/>
          <w:sz w:val="24"/>
          <w:szCs w:val="24"/>
          <w:lang w:val="sv-SE" w:eastAsia="sv-SE" w:bidi="sv-SE"/>
        </w:rPr>
      </w:pPr>
      <w:r>
        <w:rPr>
          <w:rFonts w:ascii="Times New Roman" w:hAnsi="Times New Roman"/>
          <w:b/>
          <w:noProof/>
          <w:sz w:val="24"/>
          <w:lang w:val="sv-SE" w:eastAsia="sv-SE" w:bidi="sv-SE"/>
        </w:rPr>
        <w:t xml:space="preserve">Fattigdomen kräver breda politiska satsningar. </w:t>
      </w:r>
      <w:r>
        <w:rPr>
          <w:rFonts w:ascii="Times New Roman" w:hAnsi="Times New Roman"/>
          <w:noProof/>
          <w:sz w:val="24"/>
          <w:lang w:val="sv-SE" w:eastAsia="sv-SE" w:bidi="sv-SE"/>
        </w:rPr>
        <w:t>Flera länder har eller håller på att vidta åtgärder i fråga om socialt bistånd, och i synnerhet, i fråga</w:t>
      </w:r>
      <w:r>
        <w:rPr>
          <w:rFonts w:ascii="Times New Roman" w:hAnsi="Times New Roman"/>
          <w:noProof/>
          <w:sz w:val="24"/>
          <w:lang w:val="sv-SE" w:eastAsia="sv-SE" w:bidi="sv-SE"/>
        </w:rPr>
        <w:t xml:space="preserve"> om minimiinkomsternas lämplighet och omfattning. Med tanke på att inkomststöd bör kombineras med bra matchning på arbetsmarknaden införs finansiella och andra incitament för att underlätta ett återinträde i arbetslivet. Det gäller t.ex. utformningen av ar</w:t>
      </w:r>
      <w:r>
        <w:rPr>
          <w:rFonts w:ascii="Times New Roman" w:hAnsi="Times New Roman"/>
          <w:noProof/>
          <w:sz w:val="24"/>
          <w:lang w:val="sv-SE" w:eastAsia="sv-SE" w:bidi="sv-SE"/>
        </w:rPr>
        <w:t xml:space="preserve">betslöshetsförmånerna i Danmark och Italien och arbetsrelaterade förmåner i Malta. För att hitta balansen mellan de båda målen att minska fattigdomen och att öka deltagandet på arbetsmarknaden försöker man i vissa länder som Storbritannien att föra samman </w:t>
      </w:r>
      <w:r>
        <w:rPr>
          <w:rFonts w:ascii="Times New Roman" w:hAnsi="Times New Roman"/>
          <w:noProof/>
          <w:sz w:val="24"/>
          <w:lang w:val="sv-SE" w:eastAsia="sv-SE" w:bidi="sv-SE"/>
        </w:rPr>
        <w:t>olika förmåner till bredare program. Till följd av oron över det växande antal barn som drabbas av fattigdom har vissa länder ökat motsvarande sociala förmåner. Framstegen med att inkludera romerna har varit begränsade i berörda medlemsländer.</w:t>
      </w:r>
    </w:p>
    <w:p w:rsidR="008A54B8" w:rsidRDefault="00BD0CDB">
      <w:pPr>
        <w:shd w:val="clear" w:color="auto" w:fill="FFFFFF"/>
        <w:spacing w:before="120" w:after="120" w:line="240" w:lineRule="auto"/>
        <w:jc w:val="both"/>
        <w:rPr>
          <w:rFonts w:ascii="Times New Roman" w:eastAsia="Times New Roman" w:hAnsi="Times New Roman"/>
          <w:noProof/>
          <w:sz w:val="24"/>
          <w:szCs w:val="24"/>
          <w:lang w:val="sv-SE" w:eastAsia="sv-SE" w:bidi="sv-SE"/>
        </w:rPr>
      </w:pPr>
      <w:r>
        <w:rPr>
          <w:rFonts w:ascii="Times New Roman" w:hAnsi="Times New Roman"/>
          <w:b/>
          <w:noProof/>
          <w:sz w:val="24"/>
          <w:lang w:val="sv-SE" w:eastAsia="sv-SE" w:bidi="sv-SE"/>
        </w:rPr>
        <w:t>Migranters o</w:t>
      </w:r>
      <w:r>
        <w:rPr>
          <w:rFonts w:ascii="Times New Roman" w:hAnsi="Times New Roman"/>
          <w:b/>
          <w:noProof/>
          <w:sz w:val="24"/>
          <w:lang w:val="sv-SE" w:eastAsia="sv-SE" w:bidi="sv-SE"/>
        </w:rPr>
        <w:t xml:space="preserve">ch flyktingars integration i medlemsländerna måste uppmärksammas särskilt. </w:t>
      </w:r>
      <w:r>
        <w:rPr>
          <w:rFonts w:ascii="Times New Roman" w:hAnsi="Times New Roman"/>
          <w:noProof/>
          <w:sz w:val="24"/>
          <w:lang w:val="sv-SE" w:eastAsia="sv-SE" w:bidi="sv-SE"/>
        </w:rPr>
        <w:t>Det stora antal migranter och flyktingar som kommit under det senaste året är en stor utmaning för många länder och för EU. Men det är också en möjlighet, särskilt för de länder som</w:t>
      </w:r>
      <w:r>
        <w:rPr>
          <w:rFonts w:ascii="Times New Roman" w:hAnsi="Times New Roman"/>
          <w:noProof/>
          <w:sz w:val="24"/>
          <w:lang w:val="sv-SE" w:eastAsia="sv-SE" w:bidi="sv-SE"/>
        </w:rPr>
        <w:t xml:space="preserve"> står inför stora demografiska förändringar. Erfarenheter från tidigare flyktingtillströmningar tyder dock på att flyktingar kanske får större problem med att komma ut på arbetsmarknaden än utomeuropeiska medborgare i genomsnitt. Framgångsrik integration k</w:t>
      </w:r>
      <w:r>
        <w:rPr>
          <w:rFonts w:ascii="Times New Roman" w:hAnsi="Times New Roman"/>
          <w:noProof/>
          <w:sz w:val="24"/>
          <w:lang w:val="sv-SE" w:eastAsia="sv-SE" w:bidi="sv-SE"/>
        </w:rPr>
        <w:t>räver bland annat snabb kompetensbedömning, snabbt erkännande av kvalifikationer och lämpliga språkkurser för att ge snabb och ändamålsenlig tillgång till arbetsmarknaden, vård och bostäder. Med tanke på andelen barn och unga (ca 26 %) måste främst utbildn</w:t>
      </w:r>
      <w:r>
        <w:rPr>
          <w:rFonts w:ascii="Times New Roman" w:hAnsi="Times New Roman"/>
          <w:noProof/>
          <w:sz w:val="24"/>
          <w:lang w:val="sv-SE" w:eastAsia="sv-SE" w:bidi="sv-SE"/>
        </w:rPr>
        <w:t>ingssystemen snabbt anpassas och erbjuda anpassade program för bas- och språkkunskaper. Kvinnornas integrering kräver dessutom särskilda insatser.</w:t>
      </w:r>
    </w:p>
    <w:p w:rsidR="008A54B8" w:rsidRDefault="00BD0CDB">
      <w:pPr>
        <w:pBdr>
          <w:top w:val="nil"/>
          <w:left w:val="nil"/>
          <w:bottom w:val="nil"/>
          <w:right w:val="nil"/>
          <w:between w:val="nil"/>
          <w:bar w:val="nil"/>
        </w:pBdr>
        <w:spacing w:before="120" w:after="120" w:line="240" w:lineRule="auto"/>
        <w:jc w:val="both"/>
        <w:rPr>
          <w:rFonts w:ascii="Times New Roman" w:hAnsi="Times New Roman"/>
          <w:noProof/>
          <w:color w:val="000000"/>
          <w:sz w:val="24"/>
          <w:szCs w:val="24"/>
          <w:u w:color="000000"/>
          <w:bdr w:val="nil"/>
          <w:lang w:val="sv-SE" w:eastAsia="sv-SE" w:bidi="sv-SE"/>
        </w:rPr>
      </w:pPr>
      <w:r>
        <w:rPr>
          <w:rFonts w:ascii="Times New Roman" w:hAnsi="Times New Roman"/>
          <w:b/>
          <w:noProof/>
          <w:color w:val="000000"/>
          <w:sz w:val="24"/>
          <w:u w:color="000000"/>
          <w:bdr w:val="nil"/>
          <w:lang w:val="sv-SE" w:eastAsia="sv-SE" w:bidi="sv-SE"/>
        </w:rPr>
        <w:t>Utbildningssystemens resultat är ett orosmoment i flera medlemsländer</w:t>
      </w:r>
      <w:r>
        <w:rPr>
          <w:rFonts w:ascii="Times New Roman" w:hAnsi="Times New Roman"/>
          <w:noProof/>
          <w:color w:val="000000"/>
          <w:sz w:val="24"/>
          <w:u w:color="000000"/>
          <w:bdr w:val="nil"/>
          <w:lang w:val="sv-SE" w:eastAsia="sv-SE" w:bidi="sv-SE"/>
        </w:rPr>
        <w:t>. Antalet elever som i förtid avbryter s</w:t>
      </w:r>
      <w:r>
        <w:rPr>
          <w:rFonts w:ascii="Times New Roman" w:hAnsi="Times New Roman"/>
          <w:noProof/>
          <w:color w:val="000000"/>
          <w:sz w:val="24"/>
          <w:u w:color="000000"/>
          <w:bdr w:val="nil"/>
          <w:lang w:val="sv-SE" w:eastAsia="sv-SE" w:bidi="sv-SE"/>
        </w:rPr>
        <w:t>in skolgång har visserligen sjunkit till i genomsnitt 11,1 %, men nio länder ligger fortfarande högre än Europa 2020-målet på 10 %. Dessa strukturella problem utgör ett hot mot EU:s potentiella tillväxt. I många länder har man tagit fram kompetensstrategie</w:t>
      </w:r>
      <w:r>
        <w:rPr>
          <w:rFonts w:ascii="Times New Roman" w:hAnsi="Times New Roman"/>
          <w:noProof/>
          <w:color w:val="000000"/>
          <w:sz w:val="24"/>
          <w:u w:color="000000"/>
          <w:bdr w:val="nil"/>
          <w:lang w:val="sv-SE" w:eastAsia="sv-SE" w:bidi="sv-SE"/>
        </w:rPr>
        <w:t>r och man genomför strukturreformer av utbildningssystemen. Tjeckien har antagit en högskolereform och Bulgarien har antagit en förskole- och skollag, som är ett konsoliderat regelverk för att öka utbildningens kvalitet och förbättra jämlikheten på grundsk</w:t>
      </w:r>
      <w:r>
        <w:rPr>
          <w:rFonts w:ascii="Times New Roman" w:hAnsi="Times New Roman"/>
          <w:noProof/>
          <w:color w:val="000000"/>
          <w:sz w:val="24"/>
          <w:u w:color="000000"/>
          <w:bdr w:val="nil"/>
          <w:lang w:val="sv-SE" w:eastAsia="sv-SE" w:bidi="sv-SE"/>
        </w:rPr>
        <w:t>ole- och gymnasienivå. Italien har infört en skolreform som gör skolorna mer självständiga, gör delar av lärarlönen meritbaserad och förbättrar rekryteringssystemet för lärare.</w:t>
      </w:r>
    </w:p>
    <w:p w:rsidR="008A54B8" w:rsidRDefault="00BD0CDB">
      <w:pPr>
        <w:shd w:val="clear" w:color="auto" w:fill="FFFFFF"/>
        <w:spacing w:before="120" w:after="120" w:line="240" w:lineRule="auto"/>
        <w:jc w:val="both"/>
        <w:rPr>
          <w:rFonts w:ascii="Times New Roman" w:eastAsia="Times New Roman" w:hAnsi="Times New Roman"/>
          <w:noProof/>
          <w:sz w:val="24"/>
          <w:szCs w:val="24"/>
          <w:lang w:val="sv-SE" w:eastAsia="sv-SE" w:bidi="sv-SE"/>
        </w:rPr>
      </w:pPr>
      <w:r>
        <w:rPr>
          <w:rFonts w:ascii="Times New Roman" w:hAnsi="Times New Roman"/>
          <w:b/>
          <w:noProof/>
          <w:sz w:val="24"/>
          <w:lang w:val="sv-SE" w:eastAsia="sv-SE" w:bidi="sv-SE"/>
        </w:rPr>
        <w:t xml:space="preserve">Skattebördan på arbete bör sänkas ytterligare. </w:t>
      </w:r>
      <w:r>
        <w:rPr>
          <w:rFonts w:ascii="Times New Roman" w:hAnsi="Times New Roman"/>
          <w:noProof/>
          <w:sz w:val="24"/>
          <w:lang w:val="sv-SE" w:eastAsia="sv-SE" w:bidi="sv-SE"/>
        </w:rPr>
        <w:t>Många medlemsländer har vidtagit</w:t>
      </w:r>
      <w:r>
        <w:rPr>
          <w:rFonts w:ascii="Times New Roman" w:hAnsi="Times New Roman"/>
          <w:noProof/>
          <w:sz w:val="24"/>
          <w:lang w:val="sv-SE" w:eastAsia="sv-SE" w:bidi="sv-SE"/>
        </w:rPr>
        <w:t xml:space="preserve"> åtgärder för att minska beskattningen av arbete. I Estland och Frankrike har man till exempel sänkt skatten för låginkomsttagare. Dessutom har man genomfört reformer av inkomstbeskattningen i några länder med hög arbetslöshet som Belgien, Spanien och Ital</w:t>
      </w:r>
      <w:r>
        <w:rPr>
          <w:rFonts w:ascii="Times New Roman" w:hAnsi="Times New Roman"/>
          <w:noProof/>
          <w:sz w:val="24"/>
          <w:lang w:val="sv-SE" w:eastAsia="sv-SE" w:bidi="sv-SE"/>
        </w:rPr>
        <w:t xml:space="preserve">ien. Men skattekilen för arbete, särskilt för låga inkomster, är fortsatt hög i flera länder och har till och med ökat i några. </w:t>
      </w:r>
    </w:p>
    <w:p w:rsidR="008A54B8" w:rsidRDefault="008A54B8">
      <w:pPr>
        <w:pBdr>
          <w:top w:val="nil"/>
          <w:left w:val="nil"/>
          <w:bottom w:val="nil"/>
          <w:right w:val="nil"/>
          <w:between w:val="nil"/>
          <w:bar w:val="nil"/>
        </w:pBdr>
        <w:spacing w:before="120" w:after="120" w:line="240" w:lineRule="auto"/>
        <w:jc w:val="both"/>
        <w:rPr>
          <w:rFonts w:ascii="Times New Roman" w:cs="Calibri"/>
          <w:noProof/>
          <w:color w:val="000000"/>
          <w:sz w:val="20"/>
          <w:szCs w:val="20"/>
          <w:u w:color="000000"/>
          <w:bdr w:val="nil"/>
          <w:lang w:val="sv-SE" w:eastAsia="sv-SE" w:bidi="sv-SE"/>
        </w:rPr>
      </w:pPr>
    </w:p>
    <w:p w:rsidR="008A54B8" w:rsidRDefault="00BD0CDB">
      <w:pPr>
        <w:pBdr>
          <w:top w:val="nil"/>
          <w:left w:val="nil"/>
          <w:bottom w:val="nil"/>
          <w:right w:val="nil"/>
          <w:between w:val="nil"/>
          <w:bar w:val="nil"/>
        </w:pBdr>
        <w:spacing w:before="120" w:after="120" w:line="240" w:lineRule="auto"/>
        <w:jc w:val="both"/>
        <w:rPr>
          <w:rFonts w:ascii="Times New Roman" w:eastAsia="Times New Roman" w:hAnsi="Times New Roman"/>
          <w:i/>
          <w:noProof/>
          <w:color w:val="000000"/>
          <w:sz w:val="24"/>
          <w:szCs w:val="24"/>
          <w:u w:color="000000"/>
          <w:bdr w:val="nil"/>
          <w:lang w:val="sv-SE" w:eastAsia="sv-SE" w:bidi="sv-SE"/>
        </w:rPr>
      </w:pPr>
      <w:r>
        <w:rPr>
          <w:rFonts w:ascii="Times New Roman" w:hAnsi="Times New Roman"/>
          <w:i/>
          <w:noProof/>
          <w:color w:val="000000"/>
          <w:sz w:val="24"/>
          <w:u w:color="000000"/>
          <w:bdr w:val="nil"/>
          <w:lang w:val="sv-SE" w:eastAsia="sv-SE" w:bidi="sv-SE"/>
        </w:rPr>
        <w:t>Företagsklimat och nätverksindustrier</w:t>
      </w:r>
    </w:p>
    <w:p w:rsidR="008A54B8" w:rsidRDefault="00BD0CDB">
      <w:pPr>
        <w:pBdr>
          <w:top w:val="nil"/>
          <w:left w:val="nil"/>
          <w:bottom w:val="nil"/>
          <w:right w:val="nil"/>
          <w:between w:val="nil"/>
          <w:bar w:val="nil"/>
        </w:pBdr>
        <w:spacing w:before="120" w:after="120" w:line="240" w:lineRule="auto"/>
        <w:jc w:val="both"/>
        <w:rPr>
          <w:rFonts w:ascii="Times New Roman" w:eastAsia="Times New Roman" w:hAnsi="Times New Roman"/>
          <w:noProof/>
          <w:color w:val="000000"/>
          <w:sz w:val="24"/>
          <w:szCs w:val="24"/>
          <w:u w:color="000000"/>
          <w:bdr w:val="nil"/>
          <w:lang w:val="sv-SE" w:eastAsia="sv-SE" w:bidi="sv-SE"/>
        </w:rPr>
      </w:pPr>
      <w:r>
        <w:rPr>
          <w:rFonts w:ascii="Times New Roman" w:hAnsi="Times New Roman"/>
          <w:b/>
          <w:noProof/>
          <w:color w:val="000000"/>
          <w:sz w:val="24"/>
          <w:u w:color="000000"/>
          <w:bdr w:val="nil"/>
          <w:lang w:val="sv-SE" w:eastAsia="sv-SE" w:bidi="sv-SE"/>
        </w:rPr>
        <w:t xml:space="preserve">Ett mer företags- och sysselsättningsvänligt regelverk fungerar som ett incitament för privata investeringar. </w:t>
      </w:r>
      <w:r>
        <w:rPr>
          <w:rFonts w:ascii="Times New Roman" w:hAnsi="Times New Roman"/>
          <w:noProof/>
          <w:color w:val="000000"/>
          <w:sz w:val="24"/>
          <w:u w:color="000000"/>
          <w:bdr w:val="nil"/>
          <w:lang w:val="sv-SE" w:eastAsia="sv-SE" w:bidi="sv-SE"/>
        </w:rPr>
        <w:t>Bättre rutiner i den offentliga förvaltningen, ingen korruption, ökad öppenhet och enkla och förutsägbara regler är faktorer som bidrar till att s</w:t>
      </w:r>
      <w:r>
        <w:rPr>
          <w:rFonts w:ascii="Times New Roman" w:hAnsi="Times New Roman"/>
          <w:noProof/>
          <w:color w:val="000000"/>
          <w:sz w:val="24"/>
          <w:u w:color="000000"/>
          <w:bdr w:val="nil"/>
          <w:lang w:val="sv-SE" w:eastAsia="sv-SE" w:bidi="sv-SE"/>
        </w:rPr>
        <w:t xml:space="preserve">tärka konkurrenskraften och tillväxten och till att skapa nya jobb. Det har gjorts framsteg i den riktningen. Italien har ytterligare reformerat och effektiviserat </w:t>
      </w:r>
      <w:r>
        <w:rPr>
          <w:rFonts w:ascii="Times New Roman" w:hAnsi="Times New Roman"/>
          <w:noProof/>
          <w:color w:val="000000"/>
          <w:sz w:val="24"/>
          <w:bdr w:val="nil"/>
          <w:lang w:val="sv-SE" w:eastAsia="sv-SE" w:bidi="sv-SE"/>
        </w:rPr>
        <w:t>insolvens- och utmätningsförfaranden.</w:t>
      </w:r>
      <w:r>
        <w:rPr>
          <w:rFonts w:ascii="Times New Roman" w:hAnsi="Times New Roman"/>
          <w:noProof/>
          <w:color w:val="000000"/>
          <w:sz w:val="24"/>
          <w:u w:color="000000"/>
          <w:bdr w:val="nil"/>
          <w:lang w:val="sv-SE" w:eastAsia="sv-SE" w:bidi="sv-SE"/>
        </w:rPr>
        <w:t xml:space="preserve"> Frankrike har gått vidare med sin ambitiösa förenkling</w:t>
      </w:r>
      <w:r>
        <w:rPr>
          <w:rFonts w:ascii="Times New Roman" w:hAnsi="Times New Roman"/>
          <w:noProof/>
          <w:color w:val="000000"/>
          <w:sz w:val="24"/>
          <w:u w:color="000000"/>
          <w:bdr w:val="nil"/>
          <w:lang w:val="sv-SE" w:eastAsia="sv-SE" w:bidi="sv-SE"/>
        </w:rPr>
        <w:t>sagenda som nu omfattar över 600 åtgärder, där en tredjedel hittills har genomförts. Kroatien har gjort vissa framsteg med att förbättra regelverket för företag före och vid insolvens. Malta har infört flera nya tekniska system och förfaranden för att mins</w:t>
      </w:r>
      <w:r>
        <w:rPr>
          <w:rFonts w:ascii="Times New Roman" w:hAnsi="Times New Roman"/>
          <w:noProof/>
          <w:color w:val="000000"/>
          <w:sz w:val="24"/>
          <w:u w:color="000000"/>
          <w:bdr w:val="nil"/>
          <w:lang w:val="sv-SE" w:eastAsia="sv-SE" w:bidi="sv-SE"/>
        </w:rPr>
        <w:t xml:space="preserve">ka byråkratin och dröjsmålen i tvistemålsdomstolarna. I Lettland har man gjort stora framsteg med regelverket för medling och skiljeförfarande. </w:t>
      </w:r>
      <w:r>
        <w:rPr>
          <w:rFonts w:ascii="Times New Roman" w:hAnsi="Times New Roman"/>
          <w:noProof/>
          <w:sz w:val="24"/>
          <w:lang w:val="sv-SE" w:eastAsia="sv-SE" w:bidi="sv-SE"/>
        </w:rPr>
        <w:t>Rättsväsendets kvalitet, oberoende och effektivitet är en utmaning i vissa länder, även om rättsliga reformer le</w:t>
      </w:r>
      <w:r>
        <w:rPr>
          <w:rFonts w:ascii="Times New Roman" w:hAnsi="Times New Roman"/>
          <w:noProof/>
          <w:sz w:val="24"/>
          <w:lang w:val="sv-SE" w:eastAsia="sv-SE" w:bidi="sv-SE"/>
        </w:rPr>
        <w:t>tt till vissa framsteg i Italien, Lettland och Slovenien.</w:t>
      </w:r>
    </w:p>
    <w:p w:rsidR="008A54B8" w:rsidRDefault="00BD0CDB">
      <w:pPr>
        <w:spacing w:line="240" w:lineRule="auto"/>
        <w:jc w:val="both"/>
        <w:rPr>
          <w:rFonts w:ascii="Times New Roman" w:eastAsia="Times New Roman" w:hAnsi="Times New Roman"/>
          <w:noProof/>
          <w:sz w:val="24"/>
          <w:szCs w:val="24"/>
          <w:lang w:val="sv-SE" w:eastAsia="sv-SE" w:bidi="sv-SE"/>
        </w:rPr>
      </w:pPr>
      <w:r>
        <w:rPr>
          <w:rFonts w:ascii="Times New Roman" w:hAnsi="Times New Roman"/>
          <w:b/>
          <w:noProof/>
          <w:sz w:val="24"/>
          <w:lang w:val="sv-SE" w:eastAsia="sv-SE" w:bidi="sv-SE"/>
        </w:rPr>
        <w:t>Det finns mer utrymme att skära i byråkratin, effektivisera förvaltningen och förbättra lagstiftningens kvalitet.</w:t>
      </w:r>
      <w:r>
        <w:rPr>
          <w:rFonts w:ascii="Times New Roman" w:hAnsi="Times New Roman"/>
          <w:noProof/>
          <w:sz w:val="24"/>
          <w:lang w:val="sv-SE" w:eastAsia="sv-SE" w:bidi="sv-SE"/>
        </w:rPr>
        <w:t xml:space="preserve"> Förseningar i tillståndsförfaranden är fortfarande betydande och i över två tredjedelar av länderna får man fortfarande betala mer än det tak på 100 euro för att starta företag som förslås i småföretagsakten. Strukturreformer försenas ofta på grund av bri</w:t>
      </w:r>
      <w:r>
        <w:rPr>
          <w:rFonts w:ascii="Times New Roman" w:hAnsi="Times New Roman"/>
          <w:noProof/>
          <w:sz w:val="24"/>
          <w:lang w:val="sv-SE" w:eastAsia="sv-SE" w:bidi="sv-SE"/>
        </w:rPr>
        <w:t xml:space="preserve">st på kapacitet att genomföra dem och instabila institutioner. De offentliga investeringarna blir ofta mindre effektiva på grund av brister vid projektutvärdering, upphandling och genomförande och på grund av dålig samordning mellan olika statliga nivåer. </w:t>
      </w:r>
      <w:r>
        <w:rPr>
          <w:rFonts w:ascii="Times New Roman" w:hAnsi="Times New Roman"/>
          <w:noProof/>
          <w:sz w:val="24"/>
          <w:lang w:val="sv-SE" w:eastAsia="sv-SE" w:bidi="sv-SE"/>
        </w:rPr>
        <w:t xml:space="preserve">En utmaning för många länder är att erbjuda företagen avancerade och integrerade e-tjänster inom förvaltningen. </w:t>
      </w:r>
    </w:p>
    <w:p w:rsidR="008A54B8" w:rsidRDefault="00BD0CDB">
      <w:pPr>
        <w:pBdr>
          <w:top w:val="nil"/>
          <w:left w:val="nil"/>
          <w:bottom w:val="nil"/>
          <w:right w:val="nil"/>
          <w:between w:val="nil"/>
          <w:bar w:val="nil"/>
        </w:pBdr>
        <w:spacing w:before="120" w:after="120" w:line="240" w:lineRule="auto"/>
        <w:jc w:val="both"/>
        <w:rPr>
          <w:rFonts w:ascii="Times New Roman" w:eastAsia="Times New Roman" w:hAnsi="Times New Roman"/>
          <w:noProof/>
          <w:color w:val="000000"/>
          <w:sz w:val="24"/>
          <w:szCs w:val="24"/>
          <w:u w:color="000000"/>
          <w:bdr w:val="nil"/>
          <w:lang w:val="sv-SE" w:eastAsia="sv-SE" w:bidi="sv-SE"/>
        </w:rPr>
      </w:pPr>
      <w:r>
        <w:rPr>
          <w:rFonts w:ascii="Times New Roman" w:hAnsi="Times New Roman"/>
          <w:b/>
          <w:noProof/>
          <w:color w:val="000000"/>
          <w:sz w:val="24"/>
          <w:u w:color="000000"/>
          <w:bdr w:val="nil"/>
          <w:lang w:val="sv-SE" w:eastAsia="sv-SE" w:bidi="sv-SE"/>
        </w:rPr>
        <w:t xml:space="preserve">Offentlig upphandling är ett område där fler förbättringar krävs. </w:t>
      </w:r>
      <w:r>
        <w:rPr>
          <w:rFonts w:ascii="Times New Roman" w:hAnsi="Times New Roman"/>
          <w:noProof/>
          <w:color w:val="000000"/>
          <w:sz w:val="24"/>
          <w:u w:color="000000"/>
          <w:bdr w:val="nil"/>
          <w:lang w:val="sv-SE" w:eastAsia="sv-SE" w:bidi="sv-SE"/>
        </w:rPr>
        <w:t>I vissa medlemsländer är bristerna vid offentlig upphandling en av de viktiga</w:t>
      </w:r>
      <w:r>
        <w:rPr>
          <w:rFonts w:ascii="Times New Roman" w:hAnsi="Times New Roman"/>
          <w:noProof/>
          <w:color w:val="000000"/>
          <w:sz w:val="24"/>
          <w:u w:color="000000"/>
          <w:bdr w:val="nil"/>
          <w:lang w:val="sv-SE" w:eastAsia="sv-SE" w:bidi="sv-SE"/>
        </w:rPr>
        <w:t xml:space="preserve">ste orsakerna till de oriktigheter som upptäckts vid revisioner av hur de europeiska struktur- och investeringsfonderna använts. Detta hämmar investeringarna och den inre marknaden. Offentlig upphandling är ett område där korruptionen oroar. </w:t>
      </w:r>
    </w:p>
    <w:p w:rsidR="008A54B8" w:rsidRDefault="00BD0CDB">
      <w:pPr>
        <w:pBdr>
          <w:top w:val="nil"/>
          <w:left w:val="nil"/>
          <w:bottom w:val="nil"/>
          <w:right w:val="nil"/>
          <w:between w:val="nil"/>
          <w:bar w:val="nil"/>
        </w:pBdr>
        <w:spacing w:before="120" w:after="120" w:line="240" w:lineRule="auto"/>
        <w:jc w:val="both"/>
        <w:rPr>
          <w:rFonts w:ascii="Times New Roman" w:eastAsia="Times New Roman" w:hAnsi="Times New Roman"/>
          <w:noProof/>
          <w:color w:val="000000"/>
          <w:sz w:val="24"/>
          <w:szCs w:val="24"/>
          <w:u w:color="000000"/>
          <w:bdr w:val="nil"/>
          <w:lang w:val="sv-SE" w:eastAsia="sv-SE" w:bidi="sv-SE"/>
        </w:rPr>
      </w:pPr>
      <w:r>
        <w:rPr>
          <w:rFonts w:ascii="Times New Roman" w:hAnsi="Times New Roman"/>
          <w:b/>
          <w:noProof/>
          <w:color w:val="000000"/>
          <w:sz w:val="24"/>
          <w:u w:color="000000"/>
          <w:bdr w:val="nil"/>
          <w:lang w:val="sv-SE" w:eastAsia="sv-SE" w:bidi="sv-SE"/>
        </w:rPr>
        <w:t>Investeringar</w:t>
      </w:r>
      <w:r>
        <w:rPr>
          <w:rFonts w:ascii="Times New Roman" w:hAnsi="Times New Roman"/>
          <w:b/>
          <w:noProof/>
          <w:color w:val="000000"/>
          <w:sz w:val="24"/>
          <w:u w:color="000000"/>
          <w:bdr w:val="nil"/>
          <w:lang w:val="sv-SE" w:eastAsia="sv-SE" w:bidi="sv-SE"/>
        </w:rPr>
        <w:t xml:space="preserve"> i energi- och transportnät bidrar till integrerade och mer välfungerande marknader och en tryggare försörjning. De är också viktiga för övergången till ett koldioxidsnålt samhälle.</w:t>
      </w:r>
      <w:r>
        <w:rPr>
          <w:rFonts w:ascii="Times New Roman" w:hAnsi="Times New Roman"/>
          <w:noProof/>
          <w:color w:val="000000"/>
          <w:sz w:val="24"/>
          <w:u w:color="000000"/>
          <w:bdr w:val="nil"/>
          <w:lang w:val="sv-SE" w:eastAsia="sv-SE" w:bidi="sv-SE"/>
        </w:rPr>
        <w:t xml:space="preserve"> Att exempelvis förbindelseledningarna för el och gas mellan Spanien och Fr</w:t>
      </w:r>
      <w:r>
        <w:rPr>
          <w:rFonts w:ascii="Times New Roman" w:hAnsi="Times New Roman"/>
          <w:noProof/>
          <w:color w:val="000000"/>
          <w:sz w:val="24"/>
          <w:u w:color="000000"/>
          <w:bdr w:val="nil"/>
          <w:lang w:val="sv-SE" w:eastAsia="sv-SE" w:bidi="sv-SE"/>
        </w:rPr>
        <w:t>ankrike byggs färdigt är viktigt för en trygg försörjning och kommer att göra att energimarknaderna fungerar bättre. Utbyggnaden av elöverföringskapaciteten och gasförbindelserna till och mellan de baltiska länderna går framåt. Målet är att integrera lände</w:t>
      </w:r>
      <w:r>
        <w:rPr>
          <w:rFonts w:ascii="Times New Roman" w:hAnsi="Times New Roman"/>
          <w:noProof/>
          <w:color w:val="000000"/>
          <w:sz w:val="24"/>
          <w:u w:color="000000"/>
          <w:bdr w:val="nil"/>
          <w:lang w:val="sv-SE" w:eastAsia="sv-SE" w:bidi="sv-SE"/>
        </w:rPr>
        <w:t>rna med näten och energimarknaderna i EU. Nyligen färdigställdes elförbindelserna mellan de tre baltiska länderna och Polen, Finland och Sverige och därmed är sammanlänkningsgraden nu runt 25 %, och ytterligare investeringar i förbindelselänkar mellan de b</w:t>
      </w:r>
      <w:r>
        <w:rPr>
          <w:rFonts w:ascii="Times New Roman" w:hAnsi="Times New Roman"/>
          <w:noProof/>
          <w:color w:val="000000"/>
          <w:sz w:val="24"/>
          <w:u w:color="000000"/>
          <w:bdr w:val="nil"/>
          <w:lang w:val="sv-SE" w:eastAsia="sv-SE" w:bidi="sv-SE"/>
        </w:rPr>
        <w:t>altiska länderna är på gång. Spanien har upprättat en fond för att förbättra vägförbindelserna till sina hamnar.</w:t>
      </w:r>
    </w:p>
    <w:p w:rsidR="008A54B8" w:rsidRDefault="00BD0CDB">
      <w:pPr>
        <w:pBdr>
          <w:top w:val="nil"/>
          <w:left w:val="nil"/>
          <w:bottom w:val="nil"/>
          <w:right w:val="nil"/>
          <w:between w:val="nil"/>
          <w:bar w:val="nil"/>
        </w:pBdr>
        <w:spacing w:before="120" w:after="120" w:line="240" w:lineRule="auto"/>
        <w:jc w:val="both"/>
        <w:rPr>
          <w:rFonts w:ascii="Times New Roman" w:eastAsia="Times New Roman" w:hAnsi="Times New Roman"/>
          <w:noProof/>
          <w:color w:val="000000"/>
          <w:sz w:val="24"/>
          <w:szCs w:val="24"/>
          <w:u w:color="000000"/>
          <w:bdr w:val="nil"/>
          <w:lang w:val="sv-SE" w:eastAsia="sv-SE" w:bidi="sv-SE"/>
        </w:rPr>
      </w:pPr>
      <w:r>
        <w:rPr>
          <w:rFonts w:ascii="Times New Roman" w:hAnsi="Times New Roman"/>
          <w:b/>
          <w:noProof/>
          <w:color w:val="000000"/>
          <w:sz w:val="24"/>
          <w:u w:color="000000"/>
          <w:bdr w:val="nil"/>
          <w:lang w:val="sv-SE" w:eastAsia="sv-SE" w:bidi="sv-SE"/>
        </w:rPr>
        <w:t>Moderniseringen av EU:s ekonomi kräver att den bristfälliga infrastrukturen i digitala kommunikationsnät åtgärdas</w:t>
      </w:r>
      <w:r>
        <w:rPr>
          <w:rFonts w:ascii="Times New Roman" w:hAnsi="Times New Roman"/>
          <w:noProof/>
          <w:color w:val="000000"/>
          <w:sz w:val="24"/>
          <w:u w:color="000000"/>
          <w:bdr w:val="nil"/>
          <w:lang w:val="sv-SE" w:eastAsia="sv-SE" w:bidi="sv-SE"/>
        </w:rPr>
        <w:t>. Den väntade efterfrågeökning</w:t>
      </w:r>
      <w:r>
        <w:rPr>
          <w:rFonts w:ascii="Times New Roman" w:hAnsi="Times New Roman"/>
          <w:noProof/>
          <w:color w:val="000000"/>
          <w:sz w:val="24"/>
          <w:u w:color="000000"/>
          <w:bdr w:val="nil"/>
          <w:lang w:val="sv-SE" w:eastAsia="sv-SE" w:bidi="sv-SE"/>
        </w:rPr>
        <w:t>en på mycket goda kommunikationsnät bör inte försenas på grund av sena reaktioner på utbudssidan. I vissa medlemsländer har man satsat stort på att förbättra täckningen för nya generationens kommunikationsnät, men det kommer ändå att bli svårt att nå den d</w:t>
      </w:r>
      <w:r>
        <w:rPr>
          <w:rFonts w:ascii="Times New Roman" w:hAnsi="Times New Roman"/>
          <w:noProof/>
          <w:color w:val="000000"/>
          <w:sz w:val="24"/>
          <w:u w:color="000000"/>
          <w:bdr w:val="nil"/>
          <w:lang w:val="sv-SE" w:eastAsia="sv-SE" w:bidi="sv-SE"/>
        </w:rPr>
        <w:t xml:space="preserve">igitala agendans täckningsmål för nästa generation nät på 30 Mbit/s eller mer för alla till 2020. </w:t>
      </w:r>
    </w:p>
    <w:p w:rsidR="008A54B8" w:rsidRDefault="008A54B8">
      <w:pPr>
        <w:pBdr>
          <w:top w:val="nil"/>
          <w:left w:val="nil"/>
          <w:bottom w:val="nil"/>
          <w:right w:val="nil"/>
          <w:between w:val="nil"/>
          <w:bar w:val="nil"/>
        </w:pBdr>
        <w:spacing w:before="120" w:after="120" w:line="240" w:lineRule="auto"/>
        <w:jc w:val="both"/>
        <w:rPr>
          <w:rFonts w:ascii="Times New Roman" w:eastAsia="Times New Roman" w:hAnsi="Times New Roman"/>
          <w:noProof/>
          <w:color w:val="000000"/>
          <w:sz w:val="24"/>
          <w:szCs w:val="24"/>
          <w:u w:color="000000"/>
          <w:bdr w:val="nil"/>
          <w:lang w:val="sv-SE" w:eastAsia="sv-SE" w:bidi="sv-SE"/>
        </w:rPr>
      </w:pPr>
    </w:p>
    <w:p w:rsidR="008A54B8" w:rsidRDefault="00BD0CDB">
      <w:pPr>
        <w:pBdr>
          <w:top w:val="nil"/>
          <w:left w:val="nil"/>
          <w:bottom w:val="nil"/>
          <w:right w:val="nil"/>
          <w:between w:val="nil"/>
          <w:bar w:val="nil"/>
        </w:pBdr>
        <w:spacing w:before="120" w:after="120" w:line="240" w:lineRule="auto"/>
        <w:jc w:val="both"/>
        <w:rPr>
          <w:rFonts w:ascii="Times New Roman" w:eastAsia="Times New Roman" w:hAnsi="Times New Roman"/>
          <w:i/>
          <w:noProof/>
          <w:color w:val="000000"/>
          <w:sz w:val="24"/>
          <w:szCs w:val="24"/>
          <w:u w:color="000000"/>
          <w:bdr w:val="nil"/>
          <w:lang w:val="sv-SE" w:eastAsia="sv-SE" w:bidi="sv-SE"/>
        </w:rPr>
      </w:pPr>
      <w:r>
        <w:rPr>
          <w:rFonts w:ascii="Times New Roman" w:hAnsi="Times New Roman"/>
          <w:i/>
          <w:noProof/>
          <w:color w:val="000000"/>
          <w:sz w:val="24"/>
          <w:u w:color="000000"/>
          <w:bdr w:val="nil"/>
          <w:lang w:val="sv-SE" w:eastAsia="sv-SE" w:bidi="sv-SE"/>
        </w:rPr>
        <w:t>Reformer av varu- och tjänstemarknaderna</w:t>
      </w:r>
    </w:p>
    <w:p w:rsidR="008A54B8" w:rsidRDefault="00BD0CDB">
      <w:pPr>
        <w:autoSpaceDE w:val="0"/>
        <w:autoSpaceDN w:val="0"/>
        <w:adjustRightInd w:val="0"/>
        <w:spacing w:line="240" w:lineRule="auto"/>
        <w:jc w:val="both"/>
        <w:rPr>
          <w:rFonts w:ascii="Times New Roman" w:eastAsia="Times New Roman" w:hAnsi="Times New Roman"/>
          <w:b/>
          <w:noProof/>
          <w:sz w:val="24"/>
          <w:szCs w:val="24"/>
          <w:lang w:val="sv-SE" w:eastAsia="sv-SE" w:bidi="sv-SE"/>
        </w:rPr>
      </w:pPr>
      <w:r>
        <w:rPr>
          <w:rFonts w:ascii="Times New Roman" w:hAnsi="Times New Roman"/>
          <w:b/>
          <w:noProof/>
          <w:sz w:val="24"/>
          <w:lang w:val="sv-SE" w:eastAsia="sv-SE" w:bidi="sv-SE"/>
        </w:rPr>
        <w:t>Det finns ännu många restriktioner på tjänstemarknaderna i många EU-länder.</w:t>
      </w:r>
      <w:r>
        <w:rPr>
          <w:rFonts w:ascii="Times New Roman" w:hAnsi="Times New Roman"/>
          <w:noProof/>
          <w:sz w:val="24"/>
          <w:lang w:val="sv-SE" w:eastAsia="sv-SE" w:bidi="sv-SE"/>
        </w:rPr>
        <w:t xml:space="preserve"> Enligt kommissionens senaste skattningar för strategin för den inre marknaden</w:t>
      </w:r>
      <w:r>
        <w:rPr>
          <w:rFonts w:ascii="Times New Roman" w:hAnsi="Times New Roman"/>
          <w:noProof/>
          <w:sz w:val="24"/>
          <w:vertAlign w:val="superscript"/>
          <w:lang w:val="sv-SE" w:eastAsia="sv-SE" w:bidi="sv-SE"/>
        </w:rPr>
        <w:footnoteReference w:id="17"/>
      </w:r>
      <w:r>
        <w:rPr>
          <w:rFonts w:ascii="Times New Roman" w:hAnsi="Times New Roman"/>
          <w:noProof/>
          <w:sz w:val="24"/>
          <w:lang w:val="sv-SE" w:eastAsia="sv-SE" w:bidi="sv-SE"/>
        </w:rPr>
        <w:t xml:space="preserve"> har rättsliga restriktioner visat sig ha en mycket negativ effekt på investeringar, tillväxt och sysselsättning. </w:t>
      </w:r>
    </w:p>
    <w:p w:rsidR="008A54B8" w:rsidRDefault="00BD0CDB">
      <w:pPr>
        <w:autoSpaceDE w:val="0"/>
        <w:autoSpaceDN w:val="0"/>
        <w:adjustRightInd w:val="0"/>
        <w:spacing w:line="240" w:lineRule="auto"/>
        <w:jc w:val="both"/>
        <w:rPr>
          <w:rFonts w:ascii="Times New Roman" w:eastAsia="Times New Roman" w:hAnsi="Times New Roman"/>
          <w:noProof/>
          <w:sz w:val="24"/>
          <w:szCs w:val="24"/>
          <w:lang w:val="sv-SE" w:eastAsia="sv-SE" w:bidi="sv-SE"/>
        </w:rPr>
      </w:pPr>
      <w:r>
        <w:rPr>
          <w:rFonts w:ascii="Times New Roman" w:hAnsi="Times New Roman"/>
          <w:b/>
          <w:noProof/>
          <w:sz w:val="24"/>
          <w:lang w:val="sv-SE" w:eastAsia="sv-SE" w:bidi="sv-SE"/>
        </w:rPr>
        <w:t>Europeiska planeringsterminen visar att reformer på det här om</w:t>
      </w:r>
      <w:r>
        <w:rPr>
          <w:rFonts w:ascii="Times New Roman" w:hAnsi="Times New Roman"/>
          <w:b/>
          <w:noProof/>
          <w:sz w:val="24"/>
          <w:lang w:val="sv-SE" w:eastAsia="sv-SE" w:bidi="sv-SE"/>
        </w:rPr>
        <w:t>rådet lönar sig</w:t>
      </w:r>
      <w:r>
        <w:rPr>
          <w:rFonts w:ascii="Times New Roman" w:hAnsi="Times New Roman"/>
          <w:noProof/>
          <w:sz w:val="24"/>
          <w:lang w:val="sv-SE" w:eastAsia="sv-SE" w:bidi="sv-SE"/>
        </w:rPr>
        <w:t>. OECD</w:t>
      </w:r>
      <w:r>
        <w:rPr>
          <w:rFonts w:ascii="Times New Roman" w:hAnsi="Times New Roman"/>
          <w:noProof/>
          <w:sz w:val="24"/>
          <w:vertAlign w:val="superscript"/>
          <w:lang w:val="sv-SE" w:eastAsia="sv-SE" w:bidi="sv-SE"/>
        </w:rPr>
        <w:footnoteReference w:id="18"/>
      </w:r>
      <w:r>
        <w:rPr>
          <w:rFonts w:ascii="Times New Roman" w:hAnsi="Times New Roman"/>
          <w:noProof/>
          <w:sz w:val="24"/>
          <w:lang w:val="sv-SE" w:eastAsia="sv-SE" w:bidi="sv-SE"/>
        </w:rPr>
        <w:t xml:space="preserve"> har beräknat att de strukturreformer som inleddes i Italien 2012 kan höja BNP med 1,5 procentenheter fem år efter starten. Många av reformerna gjordes till följd av rekommendationer som Italien fått inom planeringsterminen. Andra ref</w:t>
      </w:r>
      <w:r>
        <w:rPr>
          <w:rFonts w:ascii="Times New Roman" w:hAnsi="Times New Roman"/>
          <w:noProof/>
          <w:sz w:val="24"/>
          <w:lang w:val="sv-SE" w:eastAsia="sv-SE" w:bidi="sv-SE"/>
        </w:rPr>
        <w:t>ormer har gett snabbare resultat. Som svar på en rekommendation till Spanien 2012 ledde införandet av snabbtillstånd för kommersiella företag till att 7 000 ytterligare företag startades under första halvåret 2013.</w:t>
      </w:r>
    </w:p>
    <w:p w:rsidR="008A54B8" w:rsidRDefault="00BD0CDB">
      <w:pPr>
        <w:autoSpaceDE w:val="0"/>
        <w:autoSpaceDN w:val="0"/>
        <w:adjustRightInd w:val="0"/>
        <w:spacing w:line="240" w:lineRule="auto"/>
        <w:jc w:val="both"/>
        <w:rPr>
          <w:rFonts w:ascii="Times New Roman" w:eastAsia="Times New Roman" w:hAnsi="Times New Roman"/>
          <w:noProof/>
          <w:sz w:val="24"/>
          <w:szCs w:val="24"/>
          <w:lang w:val="sv-SE" w:eastAsia="sv-SE" w:bidi="sv-SE"/>
        </w:rPr>
      </w:pPr>
      <w:r>
        <w:rPr>
          <w:rFonts w:ascii="Times New Roman" w:hAnsi="Times New Roman"/>
          <w:b/>
          <w:noProof/>
          <w:sz w:val="24"/>
          <w:lang w:val="sv-SE" w:eastAsia="sv-SE" w:bidi="sv-SE"/>
        </w:rPr>
        <w:t xml:space="preserve">Enligt landsrapporterna gör många länder </w:t>
      </w:r>
      <w:r>
        <w:rPr>
          <w:rFonts w:ascii="Times New Roman" w:hAnsi="Times New Roman"/>
          <w:b/>
          <w:noProof/>
          <w:sz w:val="24"/>
          <w:lang w:val="sv-SE" w:eastAsia="sv-SE" w:bidi="sv-SE"/>
        </w:rPr>
        <w:t>positiva, men långsamma framsteg med reformerna av tjänstemarknaderna.</w:t>
      </w:r>
      <w:r>
        <w:rPr>
          <w:rFonts w:ascii="Times New Roman" w:hAnsi="Times New Roman"/>
          <w:noProof/>
          <w:sz w:val="24"/>
          <w:lang w:val="sv-SE" w:eastAsia="sv-SE" w:bidi="sv-SE"/>
        </w:rPr>
        <w:t xml:space="preserve"> Det är viktigt för moderniseringen av ekonomierna i EU att sektorn för företagstjänster bidrar till produktiviteten i tillverkningsindustrin och andra tjänstesektorer. Nivån på och anta</w:t>
      </w:r>
      <w:r>
        <w:rPr>
          <w:rFonts w:ascii="Times New Roman" w:hAnsi="Times New Roman"/>
          <w:noProof/>
          <w:sz w:val="24"/>
          <w:lang w:val="sv-SE" w:eastAsia="sv-SE" w:bidi="sv-SE"/>
        </w:rPr>
        <w:t xml:space="preserve">let restriktioner som finns kvar på marknaderna för yrkesmässiga tjänster, särskilt ingenjörs-, redovisnings- och arkitekttjänster samt juridiska tjänster, måste uppmärksammas särskilt. </w:t>
      </w:r>
    </w:p>
    <w:p w:rsidR="008A54B8" w:rsidRDefault="00BD0CDB">
      <w:pPr>
        <w:autoSpaceDE w:val="0"/>
        <w:autoSpaceDN w:val="0"/>
        <w:adjustRightInd w:val="0"/>
        <w:spacing w:line="240" w:lineRule="auto"/>
        <w:jc w:val="both"/>
        <w:rPr>
          <w:rFonts w:ascii="Times New Roman" w:hAnsi="Times New Roman"/>
          <w:noProof/>
          <w:sz w:val="24"/>
          <w:szCs w:val="24"/>
          <w:lang w:val="sv-SE" w:eastAsia="sv-SE" w:bidi="sv-SE"/>
        </w:rPr>
      </w:pPr>
      <w:r>
        <w:rPr>
          <w:rFonts w:ascii="Times New Roman" w:hAnsi="Times New Roman"/>
          <w:b/>
          <w:noProof/>
          <w:sz w:val="24"/>
          <w:lang w:val="sv-SE" w:eastAsia="sv-SE" w:bidi="sv-SE"/>
        </w:rPr>
        <w:t>Reformer av yrkesmässiga tjänster kan ge påtagliga resultat men utvec</w:t>
      </w:r>
      <w:r>
        <w:rPr>
          <w:rFonts w:ascii="Times New Roman" w:hAnsi="Times New Roman"/>
          <w:b/>
          <w:noProof/>
          <w:sz w:val="24"/>
          <w:lang w:val="sv-SE" w:eastAsia="sv-SE" w:bidi="sv-SE"/>
        </w:rPr>
        <w:t>klingen går långsamt.</w:t>
      </w:r>
      <w:r>
        <w:rPr>
          <w:rFonts w:ascii="Times New Roman" w:hAnsi="Times New Roman"/>
          <w:noProof/>
          <w:sz w:val="24"/>
          <w:lang w:val="sv-SE" w:eastAsia="sv-SE" w:bidi="sv-SE"/>
        </w:rPr>
        <w:t xml:space="preserve"> Till följd av en rekommendation 2011 antog Slovenien 2012 ett program för att avreglera de reglerade yrkena. De kommande åren utfärdades fler rekommendationer, vilket </w:t>
      </w:r>
      <w:r>
        <w:rPr>
          <w:rFonts w:ascii="Times New Roman" w:hAnsi="Times New Roman"/>
          <w:noProof/>
          <w:sz w:val="24"/>
          <w:szCs w:val="24"/>
          <w:lang w:val="sv-SE" w:eastAsia="sv-SE" w:bidi="sv-SE"/>
        </w:rPr>
        <w:t>har lett att de reglerade yrkena i dag är helt avreglerade eller ti</w:t>
      </w:r>
      <w:r>
        <w:rPr>
          <w:rFonts w:ascii="Times New Roman" w:hAnsi="Times New Roman"/>
          <w:noProof/>
          <w:sz w:val="24"/>
          <w:szCs w:val="24"/>
          <w:lang w:val="sv-SE" w:eastAsia="sv-SE" w:bidi="sv-SE"/>
        </w:rPr>
        <w:t>ll att tillgången förenklats inom flera branscher (byggsektorn, detaljhandeln och turistnäringen). Polen inledde 2012 en stegvis och omfattande process för att reformera de reglerade yrkena. Reformen omfattar 248 yrken och för de flesta har de gällande hin</w:t>
      </w:r>
      <w:r>
        <w:rPr>
          <w:rFonts w:ascii="Times New Roman" w:hAnsi="Times New Roman"/>
          <w:noProof/>
          <w:sz w:val="24"/>
          <w:szCs w:val="24"/>
          <w:lang w:val="sv-SE" w:eastAsia="sv-SE" w:bidi="sv-SE"/>
        </w:rPr>
        <w:t>dren delvis tagits bort, medan restriktionerna har tagits bort helt för 70 av dem. Polen antog den tredje och sista delen av avregleringen 2015. Till följd av en landsspecifik rekommendation från 2014 om juridiska tjänster hade Irland i slutet av 2015 gjor</w:t>
      </w:r>
      <w:r>
        <w:rPr>
          <w:rFonts w:ascii="Times New Roman" w:hAnsi="Times New Roman"/>
          <w:noProof/>
          <w:sz w:val="24"/>
          <w:szCs w:val="24"/>
          <w:lang w:val="sv-SE" w:eastAsia="sv-SE" w:bidi="sv-SE"/>
        </w:rPr>
        <w:t>t stora framsteg och antagit lagstiftning för att avreglera de tjänsterna.</w:t>
      </w:r>
    </w:p>
    <w:p w:rsidR="008A54B8" w:rsidRDefault="00BD0CDB">
      <w:pPr>
        <w:autoSpaceDE w:val="0"/>
        <w:autoSpaceDN w:val="0"/>
        <w:adjustRightInd w:val="0"/>
        <w:spacing w:line="240" w:lineRule="auto"/>
        <w:jc w:val="both"/>
        <w:rPr>
          <w:rFonts w:ascii="Times New Roman" w:hAnsi="Times New Roman"/>
          <w:noProof/>
          <w:sz w:val="24"/>
          <w:szCs w:val="24"/>
          <w:lang w:val="sv-SE" w:eastAsia="sv-SE" w:bidi="sv-SE"/>
        </w:rPr>
      </w:pPr>
      <w:r>
        <w:rPr>
          <w:rFonts w:ascii="Times New Roman" w:hAnsi="Times New Roman"/>
          <w:b/>
          <w:noProof/>
          <w:sz w:val="24"/>
          <w:lang w:val="sv-SE" w:eastAsia="sv-SE" w:bidi="sv-SE"/>
        </w:rPr>
        <w:t>Byggsektorn kan på ett betydande sätt bidra till att konsolidera återhämtningen, men reformer måste till</w:t>
      </w:r>
      <w:r>
        <w:rPr>
          <w:rFonts w:ascii="Times New Roman" w:hAnsi="Times New Roman"/>
          <w:noProof/>
          <w:sz w:val="24"/>
          <w:lang w:val="sv-SE" w:eastAsia="sv-SE" w:bidi="sv-SE"/>
        </w:rPr>
        <w:t>. Det har gått trögt med återhämtningen i sektorn efter krisen och reformer s</w:t>
      </w:r>
      <w:r>
        <w:rPr>
          <w:rFonts w:ascii="Times New Roman" w:hAnsi="Times New Roman"/>
          <w:noProof/>
          <w:sz w:val="24"/>
          <w:lang w:val="sv-SE" w:eastAsia="sv-SE" w:bidi="sv-SE"/>
        </w:rPr>
        <w:t>kulle bidra till att återställa aktiviteten, men man bör då inte ha de ohållbara nivåerna från tiden före krisen som riktvärde. Under 2015 gjorde kommissionen en långtgående granskning av hindren inom byggsektorn och där bekräftades att sektorn behandlas m</w:t>
      </w:r>
      <w:r>
        <w:rPr>
          <w:rFonts w:ascii="Times New Roman" w:hAnsi="Times New Roman"/>
          <w:noProof/>
          <w:sz w:val="24"/>
          <w:lang w:val="sv-SE" w:eastAsia="sv-SE" w:bidi="sv-SE"/>
        </w:rPr>
        <w:t xml:space="preserve">ycket olika i länderna. </w:t>
      </w:r>
    </w:p>
    <w:p w:rsidR="008A54B8" w:rsidRDefault="00BD0CDB">
      <w:pPr>
        <w:autoSpaceDE w:val="0"/>
        <w:autoSpaceDN w:val="0"/>
        <w:adjustRightInd w:val="0"/>
        <w:spacing w:line="240" w:lineRule="auto"/>
        <w:jc w:val="both"/>
        <w:rPr>
          <w:rFonts w:ascii="Times New Roman" w:hAnsi="Times New Roman"/>
          <w:noProof/>
          <w:sz w:val="24"/>
          <w:szCs w:val="24"/>
          <w:lang w:val="sv-SE" w:eastAsia="sv-SE" w:bidi="sv-SE"/>
        </w:rPr>
      </w:pPr>
      <w:r>
        <w:rPr>
          <w:rFonts w:ascii="Times New Roman" w:hAnsi="Times New Roman"/>
          <w:b/>
          <w:noProof/>
          <w:sz w:val="24"/>
          <w:lang w:val="sv-SE" w:eastAsia="sv-SE" w:bidi="sv-SE"/>
        </w:rPr>
        <w:t>På senare år har Danmark, Litauen, Polen, Slovakien, Sverige och Tyskland fått landsspecifika rekommendationer om att ta bort lagstiftningsmässiga restriktioner i byggsektorn.</w:t>
      </w:r>
      <w:r>
        <w:rPr>
          <w:rFonts w:ascii="Times New Roman" w:hAnsi="Times New Roman"/>
          <w:noProof/>
          <w:sz w:val="24"/>
          <w:lang w:val="sv-SE" w:eastAsia="sv-SE" w:bidi="sv-SE"/>
        </w:rPr>
        <w:t xml:space="preserve"> Hittills är framstegen begränsade. I juni 2015 kom en n</w:t>
      </w:r>
      <w:r>
        <w:rPr>
          <w:rFonts w:ascii="Times New Roman" w:hAnsi="Times New Roman"/>
          <w:noProof/>
          <w:sz w:val="24"/>
          <w:lang w:val="sv-SE" w:eastAsia="sv-SE" w:bidi="sv-SE"/>
        </w:rPr>
        <w:t>y bygglag i Polen som förenklar administrativa skyldigheter vid byggnation. Den löste dock inte alla problem. I Sverige har man tillsatt en utredning som ska utreda och lägga fram förslag om hur man kan främja konkurrensen inom bostadsbyggandet och byggmat</w:t>
      </w:r>
      <w:r>
        <w:rPr>
          <w:rFonts w:ascii="Times New Roman" w:hAnsi="Times New Roman"/>
          <w:noProof/>
          <w:sz w:val="24"/>
          <w:lang w:val="sv-SE" w:eastAsia="sv-SE" w:bidi="sv-SE"/>
        </w:rPr>
        <w:t xml:space="preserve">erialindustrierna. I Slovakien ändrades bygglagen i september 2015 för att rationalisera de administrativa förfarandena för att få markanvändningstillstånd och bygglov. </w:t>
      </w:r>
    </w:p>
    <w:p w:rsidR="008A54B8" w:rsidRDefault="00BD0CDB">
      <w:pPr>
        <w:autoSpaceDE w:val="0"/>
        <w:autoSpaceDN w:val="0"/>
        <w:adjustRightInd w:val="0"/>
        <w:spacing w:line="240" w:lineRule="auto"/>
        <w:jc w:val="both"/>
        <w:rPr>
          <w:rFonts w:ascii="Times New Roman" w:hAnsi="Times New Roman"/>
          <w:noProof/>
          <w:sz w:val="24"/>
          <w:szCs w:val="24"/>
          <w:lang w:val="sv-SE" w:eastAsia="sv-SE" w:bidi="sv-SE"/>
        </w:rPr>
      </w:pPr>
      <w:r>
        <w:rPr>
          <w:rFonts w:ascii="Times New Roman" w:hAnsi="Times New Roman"/>
          <w:b/>
          <w:noProof/>
          <w:sz w:val="24"/>
          <w:lang w:val="sv-SE" w:eastAsia="sv-SE" w:bidi="sv-SE"/>
        </w:rPr>
        <w:t>Fler reformer för att minska de lagstiftningsmässiga hindren inom detaljhandeln skulle</w:t>
      </w:r>
      <w:r>
        <w:rPr>
          <w:rFonts w:ascii="Times New Roman" w:hAnsi="Times New Roman"/>
          <w:b/>
          <w:noProof/>
          <w:sz w:val="24"/>
          <w:lang w:val="sv-SE" w:eastAsia="sv-SE" w:bidi="sv-SE"/>
        </w:rPr>
        <w:t xml:space="preserve"> få stora positiva effekter. </w:t>
      </w:r>
      <w:r>
        <w:rPr>
          <w:rFonts w:ascii="Times New Roman" w:hAnsi="Times New Roman"/>
          <w:noProof/>
          <w:sz w:val="24"/>
          <w:lang w:val="sv-SE" w:eastAsia="sv-SE" w:bidi="sv-SE"/>
        </w:rPr>
        <w:t>Ökad konkurrens till följd av borttagna hinder skulle förbättra marknadsstrukturen och investeringsdynamiken och fler effektiva och innovativa företag skulle kunna ta sig in på marknaden. Konsumenterna skulle dra nytta av lägre</w:t>
      </w:r>
      <w:r>
        <w:rPr>
          <w:rFonts w:ascii="Times New Roman" w:hAnsi="Times New Roman"/>
          <w:noProof/>
          <w:sz w:val="24"/>
          <w:lang w:val="sv-SE" w:eastAsia="sv-SE" w:bidi="sv-SE"/>
        </w:rPr>
        <w:t xml:space="preserve"> priser, större utbud, innovation och bättre kvalitet, vilket skulle stimulera konsumtionen.</w:t>
      </w:r>
    </w:p>
    <w:p w:rsidR="008A54B8" w:rsidRDefault="00BD0CDB">
      <w:pPr>
        <w:autoSpaceDE w:val="0"/>
        <w:autoSpaceDN w:val="0"/>
        <w:adjustRightInd w:val="0"/>
        <w:spacing w:line="240" w:lineRule="auto"/>
        <w:jc w:val="both"/>
        <w:rPr>
          <w:rFonts w:ascii="Times New Roman" w:eastAsia="Times New Roman" w:hAnsi="Times New Roman"/>
          <w:noProof/>
          <w:sz w:val="24"/>
          <w:szCs w:val="24"/>
          <w:lang w:val="sv-SE" w:eastAsia="sv-SE" w:bidi="sv-SE"/>
        </w:rPr>
      </w:pPr>
      <w:r>
        <w:rPr>
          <w:rFonts w:ascii="Times New Roman" w:hAnsi="Times New Roman"/>
          <w:b/>
          <w:noProof/>
          <w:sz w:val="24"/>
          <w:lang w:val="sv-SE" w:eastAsia="sv-SE" w:bidi="sv-SE"/>
        </w:rPr>
        <w:t>Totalt sett har medlemsländerna gjort vissa framsteg med att förbättra regelverket för detaljhandeln, men det krävs mer.</w:t>
      </w:r>
      <w:r>
        <w:rPr>
          <w:rFonts w:ascii="Times New Roman" w:hAnsi="Times New Roman"/>
          <w:noProof/>
          <w:sz w:val="24"/>
          <w:lang w:val="sv-SE" w:eastAsia="sv-SE" w:bidi="sv-SE"/>
        </w:rPr>
        <w:t xml:space="preserve"> Det är framför allt möjligt att förbättra </w:t>
      </w:r>
      <w:r>
        <w:rPr>
          <w:rFonts w:ascii="Times New Roman" w:hAnsi="Times New Roman"/>
          <w:noProof/>
          <w:sz w:val="24"/>
          <w:lang w:val="sv-SE" w:eastAsia="sv-SE" w:bidi="sv-SE"/>
        </w:rPr>
        <w:t>villkoren för etablering. Finland har upphävt lagen om öppettider och vissa åtgärder har vidtagits för att förbättra etableringsvillkoren i detaljhandeln genom ändringar av den fysiska planeringen. I Spanien har reformen av detaljhandeln från 2014 banat vä</w:t>
      </w:r>
      <w:r>
        <w:rPr>
          <w:rFonts w:ascii="Times New Roman" w:hAnsi="Times New Roman"/>
          <w:noProof/>
          <w:sz w:val="24"/>
          <w:lang w:val="sv-SE" w:eastAsia="sv-SE" w:bidi="sv-SE"/>
        </w:rPr>
        <w:t xml:space="preserve">g för enklare etablering och driftsvillkor. Men man kan bara skörda vinsterna av reformen om de autonoma regionerna antar de genomföranderegler som krävs. </w:t>
      </w:r>
    </w:p>
    <w:p w:rsidR="008A54B8" w:rsidRDefault="00BD0CDB">
      <w:pPr>
        <w:autoSpaceDE w:val="0"/>
        <w:autoSpaceDN w:val="0"/>
        <w:adjustRightInd w:val="0"/>
        <w:spacing w:line="240" w:lineRule="auto"/>
        <w:jc w:val="both"/>
        <w:rPr>
          <w:rFonts w:ascii="Times New Roman" w:eastAsia="Times New Roman" w:hAnsi="Times New Roman"/>
          <w:noProof/>
          <w:sz w:val="24"/>
          <w:szCs w:val="24"/>
          <w:lang w:val="sv-SE" w:eastAsia="sv-SE" w:bidi="sv-SE"/>
        </w:rPr>
      </w:pPr>
      <w:r>
        <w:rPr>
          <w:rFonts w:ascii="Times New Roman" w:hAnsi="Times New Roman"/>
          <w:b/>
          <w:noProof/>
          <w:sz w:val="24"/>
          <w:lang w:val="sv-SE" w:eastAsia="sv-SE" w:bidi="sv-SE"/>
        </w:rPr>
        <w:t>I landsrapporterna framhåller man också att det krävs fler reformer för att minska hindren på varuma</w:t>
      </w:r>
      <w:r>
        <w:rPr>
          <w:rFonts w:ascii="Times New Roman" w:hAnsi="Times New Roman"/>
          <w:b/>
          <w:noProof/>
          <w:sz w:val="24"/>
          <w:lang w:val="sv-SE" w:eastAsia="sv-SE" w:bidi="sv-SE"/>
        </w:rPr>
        <w:t>rknaderna.</w:t>
      </w:r>
      <w:r>
        <w:rPr>
          <w:rFonts w:ascii="Times New Roman" w:hAnsi="Times New Roman"/>
          <w:noProof/>
          <w:sz w:val="24"/>
          <w:lang w:val="sv-SE" w:eastAsia="sv-SE" w:bidi="sv-SE"/>
        </w:rPr>
        <w:t xml:space="preserve"> Italien har genomfört reformer på senare år för att minska marknadsrestriktioner och främja konkurrensen i form av ett liberaliseringspaket 2012 och nu senast en privatiseringsplan och en konkurrenslag. Man väntar sig att den ökade konkurrensen </w:t>
      </w:r>
      <w:r>
        <w:rPr>
          <w:rFonts w:ascii="Times New Roman" w:hAnsi="Times New Roman"/>
          <w:noProof/>
          <w:sz w:val="24"/>
          <w:lang w:val="sv-SE" w:eastAsia="sv-SE" w:bidi="sv-SE"/>
        </w:rPr>
        <w:t xml:space="preserve">i energi- och telekomsektorerna och privatiseringsplanen kan höja BNP med nästan 0,2 % under 2020. I vissa länder är regelbördan på produktmarknader som el, gas, telekom, post, järnväg och vägtransporter fortfarande jämförelsevis stor. </w:t>
      </w:r>
    </w:p>
    <w:p w:rsidR="008A54B8" w:rsidRDefault="00BD0CDB">
      <w:pPr>
        <w:autoSpaceDE w:val="0"/>
        <w:autoSpaceDN w:val="0"/>
        <w:adjustRightInd w:val="0"/>
        <w:spacing w:line="240" w:lineRule="auto"/>
        <w:jc w:val="both"/>
        <w:rPr>
          <w:rFonts w:ascii="Times New Roman" w:hAnsi="Times New Roman"/>
          <w:noProof/>
          <w:sz w:val="24"/>
          <w:szCs w:val="24"/>
          <w:lang w:val="sv-SE" w:eastAsia="sv-SE" w:bidi="sv-SE"/>
        </w:rPr>
      </w:pPr>
      <w:r>
        <w:rPr>
          <w:rFonts w:ascii="Times New Roman" w:hAnsi="Times New Roman"/>
          <w:b/>
          <w:noProof/>
          <w:sz w:val="24"/>
          <w:lang w:val="sv-SE" w:eastAsia="sv-SE" w:bidi="sv-SE"/>
        </w:rPr>
        <w:t xml:space="preserve">Ländernas reformer </w:t>
      </w:r>
      <w:r>
        <w:rPr>
          <w:rFonts w:ascii="Times New Roman" w:hAnsi="Times New Roman"/>
          <w:b/>
          <w:noProof/>
          <w:sz w:val="24"/>
          <w:lang w:val="sv-SE" w:eastAsia="sv-SE" w:bidi="sv-SE"/>
        </w:rPr>
        <w:t>för att effektivisera resursanvändningen och främja en mer cirkulär ekonomi kommer att bidra till fler investeringar.</w:t>
      </w:r>
      <w:r>
        <w:rPr>
          <w:rFonts w:ascii="Times New Roman" w:hAnsi="Times New Roman"/>
          <w:noProof/>
          <w:sz w:val="24"/>
          <w:lang w:val="sv-SE" w:eastAsia="sv-SE" w:bidi="sv-SE"/>
        </w:rPr>
        <w:t xml:space="preserve"> Flera länder gör satsningar i den riktningen. Program för den cirkulära ekonomin har införts i Belgien och Nederländerna. Portugal har gjort ett åtagande om grön tillväxt, där man beskriver en rad åtgärder för övergången till ett samhälle som är mer resur</w:t>
      </w:r>
      <w:r>
        <w:rPr>
          <w:rFonts w:ascii="Times New Roman" w:hAnsi="Times New Roman"/>
          <w:noProof/>
          <w:sz w:val="24"/>
          <w:lang w:val="sv-SE" w:eastAsia="sv-SE" w:bidi="sv-SE"/>
        </w:rPr>
        <w:t>seffektivt, grönare och mer koldioxidsnålt.</w:t>
      </w:r>
    </w:p>
    <w:p w:rsidR="008A54B8" w:rsidRDefault="008A54B8">
      <w:pPr>
        <w:autoSpaceDE w:val="0"/>
        <w:autoSpaceDN w:val="0"/>
        <w:adjustRightInd w:val="0"/>
        <w:spacing w:line="240" w:lineRule="auto"/>
        <w:jc w:val="both"/>
        <w:rPr>
          <w:rFonts w:ascii="Times New Roman" w:eastAsia="Times New Roman" w:hAnsi="Times New Roman"/>
          <w:noProof/>
          <w:sz w:val="24"/>
          <w:szCs w:val="24"/>
          <w:lang w:val="sv-SE" w:eastAsia="sv-SE" w:bidi="sv-SE"/>
        </w:rPr>
      </w:pPr>
    </w:p>
    <w:p w:rsidR="008A54B8" w:rsidRDefault="00BD0CDB">
      <w:pPr>
        <w:pBdr>
          <w:top w:val="nil"/>
          <w:left w:val="nil"/>
          <w:bottom w:val="nil"/>
          <w:right w:val="nil"/>
          <w:between w:val="nil"/>
          <w:bar w:val="nil"/>
        </w:pBdr>
        <w:spacing w:before="120" w:after="120" w:line="240" w:lineRule="auto"/>
        <w:jc w:val="both"/>
        <w:rPr>
          <w:rFonts w:ascii="Times New Roman" w:eastAsia="Times New Roman" w:hAnsi="Times New Roman"/>
          <w:i/>
          <w:noProof/>
          <w:sz w:val="24"/>
          <w:szCs w:val="24"/>
          <w:u w:color="000000"/>
          <w:bdr w:val="nil"/>
          <w:lang w:val="sv-SE" w:eastAsia="sv-SE" w:bidi="sv-SE"/>
        </w:rPr>
      </w:pPr>
      <w:r>
        <w:rPr>
          <w:rFonts w:ascii="Times New Roman" w:hAnsi="Times New Roman"/>
          <w:i/>
          <w:noProof/>
          <w:sz w:val="24"/>
          <w:u w:color="000000"/>
          <w:bdr w:val="nil"/>
          <w:lang w:val="sv-SE" w:eastAsia="sv-SE" w:bidi="sv-SE"/>
        </w:rPr>
        <w:t xml:space="preserve">Innovation </w:t>
      </w:r>
    </w:p>
    <w:p w:rsidR="008A54B8" w:rsidRDefault="00BD0CDB">
      <w:pPr>
        <w:pBdr>
          <w:top w:val="nil"/>
          <w:left w:val="nil"/>
          <w:bottom w:val="nil"/>
          <w:right w:val="nil"/>
          <w:between w:val="nil"/>
          <w:bar w:val="nil"/>
        </w:pBdr>
        <w:spacing w:before="120" w:after="120" w:line="240" w:lineRule="auto"/>
        <w:jc w:val="both"/>
        <w:rPr>
          <w:rFonts w:ascii="Times New Roman" w:eastAsia="Times New Roman" w:hAnsi="Times New Roman"/>
          <w:noProof/>
          <w:color w:val="000000"/>
          <w:sz w:val="24"/>
          <w:szCs w:val="24"/>
          <w:u w:color="000000"/>
          <w:bdr w:val="nil"/>
          <w:lang w:val="sv-SE" w:eastAsia="sv-SE" w:bidi="sv-SE"/>
        </w:rPr>
      </w:pPr>
      <w:r>
        <w:rPr>
          <w:rFonts w:ascii="Times New Roman" w:hAnsi="Times New Roman"/>
          <w:b/>
          <w:noProof/>
          <w:sz w:val="24"/>
          <w:lang w:val="sv-SE" w:eastAsia="sv-SE" w:bidi="sv-SE"/>
        </w:rPr>
        <w:t>Innovation driver på moderniseringen av ekonomin, drar till sig investeringar och stöder ekonomisk tillväxt.</w:t>
      </w:r>
      <w:r>
        <w:rPr>
          <w:i/>
          <w:noProof/>
          <w:lang w:val="sv-SE" w:eastAsia="sv-SE" w:bidi="sv-SE"/>
        </w:rPr>
        <w:t xml:space="preserve"> </w:t>
      </w:r>
      <w:r>
        <w:rPr>
          <w:rFonts w:ascii="Times New Roman" w:hAnsi="Times New Roman"/>
          <w:noProof/>
          <w:sz w:val="24"/>
          <w:u w:color="000000"/>
          <w:bdr w:val="nil"/>
          <w:lang w:val="sv-SE" w:eastAsia="sv-SE" w:bidi="sv-SE"/>
        </w:rPr>
        <w:t>Att skapa bra förhållanden för innovation kräver en kombination av ekonomiska incitament o</w:t>
      </w:r>
      <w:r>
        <w:rPr>
          <w:rFonts w:ascii="Times New Roman" w:hAnsi="Times New Roman"/>
          <w:noProof/>
          <w:sz w:val="24"/>
          <w:u w:color="000000"/>
          <w:bdr w:val="nil"/>
          <w:lang w:val="sv-SE" w:eastAsia="sv-SE" w:bidi="sv-SE"/>
        </w:rPr>
        <w:t xml:space="preserve">ch starka band mellan näringslivet och </w:t>
      </w:r>
      <w:r>
        <w:rPr>
          <w:rFonts w:ascii="Times New Roman" w:hAnsi="Times New Roman"/>
          <w:noProof/>
          <w:color w:val="000000"/>
          <w:sz w:val="24"/>
          <w:u w:color="000000"/>
          <w:bdr w:val="nil"/>
          <w:lang w:val="sv-SE" w:eastAsia="sv-SE" w:bidi="sv-SE"/>
        </w:rPr>
        <w:t>den akademiska världen.</w:t>
      </w:r>
      <w:r>
        <w:rPr>
          <w:rFonts w:ascii="Times New Roman" w:hAnsi="Times New Roman"/>
          <w:b/>
          <w:noProof/>
          <w:color w:val="000000"/>
          <w:sz w:val="24"/>
          <w:u w:color="000000"/>
          <w:bdr w:val="nil"/>
          <w:lang w:val="sv-SE" w:eastAsia="sv-SE" w:bidi="sv-SE"/>
        </w:rPr>
        <w:t xml:space="preserve"> </w:t>
      </w:r>
      <w:r>
        <w:rPr>
          <w:rFonts w:ascii="Times New Roman" w:hAnsi="Times New Roman"/>
          <w:noProof/>
          <w:color w:val="000000"/>
          <w:sz w:val="24"/>
          <w:u w:color="000000"/>
          <w:bdr w:val="nil"/>
          <w:lang w:val="sv-SE" w:eastAsia="sv-SE" w:bidi="sv-SE"/>
        </w:rPr>
        <w:t xml:space="preserve">För att stimulera forskning, utveckling och innovation förespråkar ett växande antal länder indirekta stödåtgärder, t.ex. skatteincitament. Polen införde i början av 2016 ett nytt </w:t>
      </w:r>
      <w:r>
        <w:rPr>
          <w:rFonts w:ascii="Times New Roman" w:hAnsi="Times New Roman"/>
          <w:noProof/>
          <w:color w:val="000000"/>
          <w:sz w:val="24"/>
          <w:u w:color="000000"/>
          <w:bdr w:val="nil"/>
          <w:lang w:val="sv-SE" w:eastAsia="sv-SE" w:bidi="sv-SE"/>
        </w:rPr>
        <w:t>skatteincitament för FoU. Det finns också nya skatteavdrag för fonder för försäljning av aktier i vissa företag, vilket är tänkt att främja riskkapitalinvesteringar för innovativa företag. Estland har lanserat initiativ för att främja innovation i offentli</w:t>
      </w:r>
      <w:r>
        <w:rPr>
          <w:rFonts w:ascii="Times New Roman" w:hAnsi="Times New Roman"/>
          <w:noProof/>
          <w:color w:val="000000"/>
          <w:sz w:val="24"/>
          <w:u w:color="000000"/>
          <w:bdr w:val="nil"/>
          <w:lang w:val="sv-SE" w:eastAsia="sv-SE" w:bidi="sv-SE"/>
        </w:rPr>
        <w:t>g upphandling och erbjuder finansiering för flera teknikcentrum och ett system med innovationsgarantier, som ska hjälpa småföretag att samarbeta med universitet och kompentenscentrum. Dock måste kopplingen mellan den akademiska världen, forskningen och för</w:t>
      </w:r>
      <w:r>
        <w:rPr>
          <w:rFonts w:ascii="Times New Roman" w:hAnsi="Times New Roman"/>
          <w:noProof/>
          <w:color w:val="000000"/>
          <w:sz w:val="24"/>
          <w:u w:color="000000"/>
          <w:bdr w:val="nil"/>
          <w:lang w:val="sv-SE" w:eastAsia="sv-SE" w:bidi="sv-SE"/>
        </w:rPr>
        <w:t>etagsinnovation stärkas i många länder, särskilt i de länder där de totala innovationsresultaten har stagnerat på senare tid eller till och med sjunkit, och i andra där det fortfarande, trots vissa framsteg, finns stora skillnader jämfört med innovationsle</w:t>
      </w:r>
      <w:r>
        <w:rPr>
          <w:rFonts w:ascii="Times New Roman" w:hAnsi="Times New Roman"/>
          <w:noProof/>
          <w:color w:val="000000"/>
          <w:sz w:val="24"/>
          <w:u w:color="000000"/>
          <w:bdr w:val="nil"/>
          <w:lang w:val="sv-SE" w:eastAsia="sv-SE" w:bidi="sv-SE"/>
        </w:rPr>
        <w:t>darna.</w:t>
      </w:r>
    </w:p>
    <w:p w:rsidR="008A54B8" w:rsidRDefault="008A54B8">
      <w:pPr>
        <w:pBdr>
          <w:top w:val="nil"/>
          <w:left w:val="nil"/>
          <w:bottom w:val="nil"/>
          <w:right w:val="nil"/>
          <w:between w:val="nil"/>
          <w:bar w:val="nil"/>
        </w:pBdr>
        <w:spacing w:before="120" w:after="120" w:line="240" w:lineRule="auto"/>
        <w:jc w:val="both"/>
        <w:rPr>
          <w:rFonts w:ascii="Times New Roman" w:eastAsia="Times New Roman" w:hAnsi="Times New Roman"/>
          <w:noProof/>
          <w:color w:val="000000"/>
          <w:sz w:val="24"/>
          <w:szCs w:val="24"/>
          <w:u w:color="000000"/>
          <w:bdr w:val="nil"/>
          <w:lang w:val="sv-SE" w:eastAsia="sv-SE" w:bidi="sv-SE"/>
        </w:rPr>
      </w:pPr>
    </w:p>
    <w:p w:rsidR="008A54B8" w:rsidRDefault="00BD0CDB">
      <w:pPr>
        <w:spacing w:before="120" w:after="120" w:line="240" w:lineRule="auto"/>
        <w:jc w:val="both"/>
        <w:rPr>
          <w:rFonts w:ascii="Times New Roman" w:hAnsi="Times New Roman"/>
          <w:b/>
          <w:i/>
          <w:noProof/>
          <w:sz w:val="24"/>
          <w:szCs w:val="24"/>
          <w:lang w:val="sv-SE" w:eastAsia="sv-SE" w:bidi="sv-SE"/>
        </w:rPr>
      </w:pPr>
      <w:r>
        <w:rPr>
          <w:rFonts w:ascii="Times New Roman" w:hAnsi="Times New Roman"/>
          <w:b/>
          <w:i/>
          <w:noProof/>
          <w:sz w:val="24"/>
          <w:lang w:val="sv-SE" w:eastAsia="sv-SE" w:bidi="sv-SE"/>
        </w:rPr>
        <w:t>5.3</w:t>
      </w:r>
      <w:r>
        <w:rPr>
          <w:noProof/>
          <w:lang w:val="sv-SE" w:eastAsia="sv-SE" w:bidi="sv-SE"/>
        </w:rPr>
        <w:tab/>
      </w:r>
      <w:r>
        <w:rPr>
          <w:rFonts w:ascii="Times New Roman" w:hAnsi="Times New Roman"/>
          <w:b/>
          <w:i/>
          <w:noProof/>
          <w:sz w:val="24"/>
          <w:lang w:val="sv-SE" w:eastAsia="sv-SE" w:bidi="sv-SE"/>
        </w:rPr>
        <w:t>Ansvarsfull finanspolitik</w:t>
      </w:r>
    </w:p>
    <w:p w:rsidR="008A54B8" w:rsidRDefault="008A54B8">
      <w:pPr>
        <w:spacing w:before="120" w:after="120" w:line="240" w:lineRule="auto"/>
        <w:jc w:val="both"/>
        <w:rPr>
          <w:rFonts w:ascii="Times New Roman" w:hAnsi="Times New Roman"/>
          <w:i/>
          <w:noProof/>
          <w:sz w:val="24"/>
          <w:szCs w:val="24"/>
          <w:lang w:val="sv-SE" w:eastAsia="sv-SE" w:bidi="sv-SE"/>
        </w:rPr>
      </w:pPr>
    </w:p>
    <w:p w:rsidR="008A54B8" w:rsidRDefault="00BD0CDB">
      <w:pPr>
        <w:pBdr>
          <w:top w:val="nil"/>
          <w:left w:val="nil"/>
          <w:bottom w:val="nil"/>
          <w:right w:val="nil"/>
          <w:between w:val="nil"/>
          <w:bar w:val="nil"/>
        </w:pBdr>
        <w:spacing w:before="120" w:after="120" w:line="240" w:lineRule="auto"/>
        <w:jc w:val="both"/>
        <w:rPr>
          <w:rFonts w:ascii="Times New Roman" w:cs="Calibri"/>
          <w:noProof/>
          <w:color w:val="000000"/>
          <w:sz w:val="24"/>
          <w:szCs w:val="24"/>
          <w:u w:color="000000"/>
          <w:bdr w:val="nil"/>
          <w:lang w:val="sv-SE" w:eastAsia="sv-SE" w:bidi="sv-SE"/>
        </w:rPr>
      </w:pPr>
      <w:r>
        <w:rPr>
          <w:rFonts w:ascii="Times New Roman"/>
          <w:b/>
          <w:noProof/>
          <w:color w:val="000000"/>
          <w:sz w:val="24"/>
          <w:u w:color="000000"/>
          <w:bdr w:val="nil"/>
          <w:lang w:val="sv-SE" w:eastAsia="sv-SE" w:bidi="sv-SE"/>
        </w:rPr>
        <w:t>Ä</w:t>
      </w:r>
      <w:r>
        <w:rPr>
          <w:rFonts w:ascii="Times New Roman"/>
          <w:b/>
          <w:noProof/>
          <w:color w:val="000000"/>
          <w:sz w:val="24"/>
          <w:u w:color="000000"/>
          <w:bdr w:val="nil"/>
          <w:lang w:val="sv-SE" w:eastAsia="sv-SE" w:bidi="sv-SE"/>
        </w:rPr>
        <w:t>ven om de totala budgetunderskotten har minskat betydligt p</w:t>
      </w:r>
      <w:r>
        <w:rPr>
          <w:rFonts w:ascii="Times New Roman"/>
          <w:b/>
          <w:noProof/>
          <w:color w:val="000000"/>
          <w:sz w:val="24"/>
          <w:u w:color="000000"/>
          <w:bdr w:val="nil"/>
          <w:lang w:val="sv-SE" w:eastAsia="sv-SE" w:bidi="sv-SE"/>
        </w:rPr>
        <w:t>å</w:t>
      </w:r>
      <w:r>
        <w:rPr>
          <w:rFonts w:ascii="Times New Roman"/>
          <w:b/>
          <w:noProof/>
          <w:color w:val="000000"/>
          <w:sz w:val="24"/>
          <w:u w:color="000000"/>
          <w:bdr w:val="nil"/>
          <w:lang w:val="sv-SE" w:eastAsia="sv-SE" w:bidi="sv-SE"/>
        </w:rPr>
        <w:t xml:space="preserve"> senare </w:t>
      </w:r>
      <w:r>
        <w:rPr>
          <w:rFonts w:ascii="Times New Roman"/>
          <w:b/>
          <w:noProof/>
          <w:color w:val="000000"/>
          <w:sz w:val="24"/>
          <w:u w:color="000000"/>
          <w:bdr w:val="nil"/>
          <w:lang w:val="sv-SE" w:eastAsia="sv-SE" w:bidi="sv-SE"/>
        </w:rPr>
        <w:t>å</w:t>
      </w:r>
      <w:r>
        <w:rPr>
          <w:rFonts w:ascii="Times New Roman"/>
          <w:b/>
          <w:noProof/>
          <w:color w:val="000000"/>
          <w:sz w:val="24"/>
          <w:u w:color="000000"/>
          <w:bdr w:val="nil"/>
          <w:lang w:val="sv-SE" w:eastAsia="sv-SE" w:bidi="sv-SE"/>
        </w:rPr>
        <w:t>r och de v</w:t>
      </w:r>
      <w:r>
        <w:rPr>
          <w:rFonts w:ascii="Times New Roman"/>
          <w:b/>
          <w:noProof/>
          <w:color w:val="000000"/>
          <w:sz w:val="24"/>
          <w:u w:color="000000"/>
          <w:bdr w:val="nil"/>
          <w:lang w:val="sv-SE" w:eastAsia="sv-SE" w:bidi="sv-SE"/>
        </w:rPr>
        <w:t>ä</w:t>
      </w:r>
      <w:r>
        <w:rPr>
          <w:rFonts w:ascii="Times New Roman"/>
          <w:b/>
          <w:noProof/>
          <w:color w:val="000000"/>
          <w:sz w:val="24"/>
          <w:u w:color="000000"/>
          <w:bdr w:val="nil"/>
          <w:lang w:val="sv-SE" w:eastAsia="sv-SE" w:bidi="sv-SE"/>
        </w:rPr>
        <w:t>ntas forts</w:t>
      </w:r>
      <w:r>
        <w:rPr>
          <w:rFonts w:ascii="Times New Roman"/>
          <w:b/>
          <w:noProof/>
          <w:color w:val="000000"/>
          <w:sz w:val="24"/>
          <w:u w:color="000000"/>
          <w:bdr w:val="nil"/>
          <w:lang w:val="sv-SE" w:eastAsia="sv-SE" w:bidi="sv-SE"/>
        </w:rPr>
        <w:t>ä</w:t>
      </w:r>
      <w:r>
        <w:rPr>
          <w:rFonts w:ascii="Times New Roman"/>
          <w:b/>
          <w:noProof/>
          <w:color w:val="000000"/>
          <w:sz w:val="24"/>
          <w:u w:color="000000"/>
          <w:bdr w:val="nil"/>
          <w:lang w:val="sv-SE" w:eastAsia="sv-SE" w:bidi="sv-SE"/>
        </w:rPr>
        <w:t xml:space="preserve">tta att sjunka, </w:t>
      </w:r>
      <w:r>
        <w:rPr>
          <w:rFonts w:ascii="Times New Roman"/>
          <w:b/>
          <w:noProof/>
          <w:color w:val="000000"/>
          <w:sz w:val="24"/>
          <w:u w:color="000000"/>
          <w:bdr w:val="nil"/>
          <w:lang w:val="sv-SE" w:eastAsia="sv-SE" w:bidi="sv-SE"/>
        </w:rPr>
        <w:t>ä</w:t>
      </w:r>
      <w:r>
        <w:rPr>
          <w:rFonts w:ascii="Times New Roman"/>
          <w:b/>
          <w:noProof/>
          <w:color w:val="000000"/>
          <w:sz w:val="24"/>
          <w:u w:color="000000"/>
          <w:bdr w:val="nil"/>
          <w:lang w:val="sv-SE" w:eastAsia="sv-SE" w:bidi="sv-SE"/>
        </w:rPr>
        <w:t xml:space="preserve">r det </w:t>
      </w:r>
      <w:r>
        <w:rPr>
          <w:rFonts w:ascii="Times New Roman"/>
          <w:b/>
          <w:noProof/>
          <w:color w:val="000000"/>
          <w:sz w:val="24"/>
          <w:u w:color="000000"/>
          <w:bdr w:val="nil"/>
          <w:lang w:val="sv-SE" w:eastAsia="sv-SE" w:bidi="sv-SE"/>
        </w:rPr>
        <w:t>ä</w:t>
      </w:r>
      <w:r>
        <w:rPr>
          <w:rFonts w:ascii="Times New Roman"/>
          <w:b/>
          <w:noProof/>
          <w:color w:val="000000"/>
          <w:sz w:val="24"/>
          <w:u w:color="000000"/>
          <w:bdr w:val="nil"/>
          <w:lang w:val="sv-SE" w:eastAsia="sv-SE" w:bidi="sv-SE"/>
        </w:rPr>
        <w:t>nd</w:t>
      </w:r>
      <w:r>
        <w:rPr>
          <w:rFonts w:ascii="Times New Roman"/>
          <w:b/>
          <w:noProof/>
          <w:color w:val="000000"/>
          <w:sz w:val="24"/>
          <w:u w:color="000000"/>
          <w:bdr w:val="nil"/>
          <w:lang w:val="sv-SE" w:eastAsia="sv-SE" w:bidi="sv-SE"/>
        </w:rPr>
        <w:t>å</w:t>
      </w:r>
      <w:r>
        <w:rPr>
          <w:rFonts w:ascii="Times New Roman"/>
          <w:b/>
          <w:noProof/>
          <w:color w:val="000000"/>
          <w:sz w:val="24"/>
          <w:u w:color="000000"/>
          <w:bdr w:val="nil"/>
          <w:lang w:val="sv-SE" w:eastAsia="sv-SE" w:bidi="sv-SE"/>
        </w:rPr>
        <w:t xml:space="preserve"> flera medlemsl</w:t>
      </w:r>
      <w:r>
        <w:rPr>
          <w:rFonts w:ascii="Times New Roman"/>
          <w:b/>
          <w:noProof/>
          <w:color w:val="000000"/>
          <w:sz w:val="24"/>
          <w:u w:color="000000"/>
          <w:bdr w:val="nil"/>
          <w:lang w:val="sv-SE" w:eastAsia="sv-SE" w:bidi="sv-SE"/>
        </w:rPr>
        <w:t>ä</w:t>
      </w:r>
      <w:r>
        <w:rPr>
          <w:rFonts w:ascii="Times New Roman"/>
          <w:b/>
          <w:noProof/>
          <w:color w:val="000000"/>
          <w:sz w:val="24"/>
          <w:u w:color="000000"/>
          <w:bdr w:val="nil"/>
          <w:lang w:val="sv-SE" w:eastAsia="sv-SE" w:bidi="sv-SE"/>
        </w:rPr>
        <w:t>nder som inte klarar kraven enligt stabilitets- och tillv</w:t>
      </w:r>
      <w:r>
        <w:rPr>
          <w:rFonts w:ascii="Times New Roman"/>
          <w:b/>
          <w:noProof/>
          <w:color w:val="000000"/>
          <w:sz w:val="24"/>
          <w:u w:color="000000"/>
          <w:bdr w:val="nil"/>
          <w:lang w:val="sv-SE" w:eastAsia="sv-SE" w:bidi="sv-SE"/>
        </w:rPr>
        <w:t>ä</w:t>
      </w:r>
      <w:r>
        <w:rPr>
          <w:rFonts w:ascii="Times New Roman"/>
          <w:b/>
          <w:noProof/>
          <w:color w:val="000000"/>
          <w:sz w:val="24"/>
          <w:u w:color="000000"/>
          <w:bdr w:val="nil"/>
          <w:lang w:val="sv-SE" w:eastAsia="sv-SE" w:bidi="sv-SE"/>
        </w:rPr>
        <w:t xml:space="preserve">xtpakten. </w:t>
      </w:r>
      <w:r>
        <w:rPr>
          <w:rFonts w:ascii="Times New Roman"/>
          <w:noProof/>
          <w:color w:val="000000"/>
          <w:sz w:val="24"/>
          <w:u w:color="000000"/>
          <w:bdr w:val="nil"/>
          <w:lang w:val="sv-SE" w:eastAsia="sv-SE" w:bidi="sv-SE"/>
        </w:rPr>
        <w:t xml:space="preserve">Skuldkvoten </w:t>
      </w:r>
      <w:r>
        <w:rPr>
          <w:rFonts w:ascii="Times New Roman"/>
          <w:noProof/>
          <w:color w:val="000000"/>
          <w:sz w:val="24"/>
          <w:u w:color="000000"/>
          <w:bdr w:val="nil"/>
          <w:lang w:val="sv-SE" w:eastAsia="sv-SE" w:bidi="sv-SE"/>
        </w:rPr>
        <w:t>ska enligt prognoserna sjunka gradvis fr</w:t>
      </w:r>
      <w:r>
        <w:rPr>
          <w:rFonts w:ascii="Times New Roman"/>
          <w:noProof/>
          <w:color w:val="000000"/>
          <w:sz w:val="24"/>
          <w:u w:color="000000"/>
          <w:bdr w:val="nil"/>
          <w:lang w:val="sv-SE" w:eastAsia="sv-SE" w:bidi="sv-SE"/>
        </w:rPr>
        <w:t>å</w:t>
      </w:r>
      <w:r>
        <w:rPr>
          <w:rFonts w:ascii="Times New Roman"/>
          <w:noProof/>
          <w:color w:val="000000"/>
          <w:sz w:val="24"/>
          <w:u w:color="000000"/>
          <w:bdr w:val="nil"/>
          <w:lang w:val="sv-SE" w:eastAsia="sv-SE" w:bidi="sv-SE"/>
        </w:rPr>
        <w:t>n toppniv</w:t>
      </w:r>
      <w:r>
        <w:rPr>
          <w:rFonts w:ascii="Times New Roman"/>
          <w:noProof/>
          <w:color w:val="000000"/>
          <w:sz w:val="24"/>
          <w:u w:color="000000"/>
          <w:bdr w:val="nil"/>
          <w:lang w:val="sv-SE" w:eastAsia="sv-SE" w:bidi="sv-SE"/>
        </w:rPr>
        <w:t>å</w:t>
      </w:r>
      <w:r>
        <w:rPr>
          <w:rFonts w:ascii="Times New Roman"/>
          <w:noProof/>
          <w:color w:val="000000"/>
          <w:sz w:val="24"/>
          <w:u w:color="000000"/>
          <w:bdr w:val="nil"/>
          <w:lang w:val="sv-SE" w:eastAsia="sv-SE" w:bidi="sv-SE"/>
        </w:rPr>
        <w:t>n 2014. Att underskotten krymper mellan 2015 och 2017 beror fr</w:t>
      </w:r>
      <w:r>
        <w:rPr>
          <w:rFonts w:ascii="Times New Roman"/>
          <w:noProof/>
          <w:color w:val="000000"/>
          <w:sz w:val="24"/>
          <w:u w:color="000000"/>
          <w:bdr w:val="nil"/>
          <w:lang w:val="sv-SE" w:eastAsia="sv-SE" w:bidi="sv-SE"/>
        </w:rPr>
        <w:t>ä</w:t>
      </w:r>
      <w:r>
        <w:rPr>
          <w:rFonts w:ascii="Times New Roman"/>
          <w:noProof/>
          <w:color w:val="000000"/>
          <w:sz w:val="24"/>
          <w:u w:color="000000"/>
          <w:bdr w:val="nil"/>
          <w:lang w:val="sv-SE" w:eastAsia="sv-SE" w:bidi="sv-SE"/>
        </w:rPr>
        <w:t>mst p</w:t>
      </w:r>
      <w:r>
        <w:rPr>
          <w:rFonts w:ascii="Times New Roman"/>
          <w:noProof/>
          <w:color w:val="000000"/>
          <w:sz w:val="24"/>
          <w:u w:color="000000"/>
          <w:bdr w:val="nil"/>
          <w:lang w:val="sv-SE" w:eastAsia="sv-SE" w:bidi="sv-SE"/>
        </w:rPr>
        <w:t>å</w:t>
      </w:r>
      <w:r>
        <w:rPr>
          <w:rFonts w:ascii="Times New Roman"/>
          <w:noProof/>
          <w:color w:val="000000"/>
          <w:sz w:val="24"/>
          <w:u w:color="000000"/>
          <w:bdr w:val="nil"/>
          <w:lang w:val="sv-SE" w:eastAsia="sv-SE" w:bidi="sv-SE"/>
        </w:rPr>
        <w:t xml:space="preserve"> den ekonomiska </w:t>
      </w:r>
      <w:r>
        <w:rPr>
          <w:rFonts w:ascii="Times New Roman"/>
          <w:noProof/>
          <w:color w:val="000000"/>
          <w:sz w:val="24"/>
          <w:u w:color="000000"/>
          <w:bdr w:val="nil"/>
          <w:lang w:val="sv-SE" w:eastAsia="sv-SE" w:bidi="sv-SE"/>
        </w:rPr>
        <w:t>å</w:t>
      </w:r>
      <w:r>
        <w:rPr>
          <w:rFonts w:ascii="Times New Roman"/>
          <w:noProof/>
          <w:color w:val="000000"/>
          <w:sz w:val="24"/>
          <w:u w:color="000000"/>
          <w:bdr w:val="nil"/>
          <w:lang w:val="sv-SE" w:eastAsia="sv-SE" w:bidi="sv-SE"/>
        </w:rPr>
        <w:t>terh</w:t>
      </w:r>
      <w:r>
        <w:rPr>
          <w:rFonts w:ascii="Times New Roman"/>
          <w:noProof/>
          <w:color w:val="000000"/>
          <w:sz w:val="24"/>
          <w:u w:color="000000"/>
          <w:bdr w:val="nil"/>
          <w:lang w:val="sv-SE" w:eastAsia="sv-SE" w:bidi="sv-SE"/>
        </w:rPr>
        <w:t>ä</w:t>
      </w:r>
      <w:r>
        <w:rPr>
          <w:rFonts w:ascii="Times New Roman"/>
          <w:noProof/>
          <w:color w:val="000000"/>
          <w:sz w:val="24"/>
          <w:u w:color="000000"/>
          <w:bdr w:val="nil"/>
          <w:lang w:val="sv-SE" w:eastAsia="sv-SE" w:bidi="sv-SE"/>
        </w:rPr>
        <w:t>mtningen och l</w:t>
      </w:r>
      <w:r>
        <w:rPr>
          <w:rFonts w:ascii="Times New Roman"/>
          <w:noProof/>
          <w:color w:val="000000"/>
          <w:sz w:val="24"/>
          <w:u w:color="000000"/>
          <w:bdr w:val="nil"/>
          <w:lang w:val="sv-SE" w:eastAsia="sv-SE" w:bidi="sv-SE"/>
        </w:rPr>
        <w:t>ä</w:t>
      </w:r>
      <w:r>
        <w:rPr>
          <w:rFonts w:ascii="Times New Roman"/>
          <w:noProof/>
          <w:color w:val="000000"/>
          <w:sz w:val="24"/>
          <w:u w:color="000000"/>
          <w:bdr w:val="nil"/>
          <w:lang w:val="sv-SE" w:eastAsia="sv-SE" w:bidi="sv-SE"/>
        </w:rPr>
        <w:t>gre r</w:t>
      </w:r>
      <w:r>
        <w:rPr>
          <w:rFonts w:ascii="Times New Roman"/>
          <w:noProof/>
          <w:color w:val="000000"/>
          <w:sz w:val="24"/>
          <w:u w:color="000000"/>
          <w:bdr w:val="nil"/>
          <w:lang w:val="sv-SE" w:eastAsia="sv-SE" w:bidi="sv-SE"/>
        </w:rPr>
        <w:t>ä</w:t>
      </w:r>
      <w:r>
        <w:rPr>
          <w:rFonts w:ascii="Times New Roman"/>
          <w:noProof/>
          <w:color w:val="000000"/>
          <w:sz w:val="24"/>
          <w:u w:color="000000"/>
          <w:bdr w:val="nil"/>
          <w:lang w:val="sv-SE" w:eastAsia="sv-SE" w:bidi="sv-SE"/>
        </w:rPr>
        <w:t xml:space="preserve">nteutgifter, medan andra utgifts- och inkomstposter </w:t>
      </w:r>
      <w:r>
        <w:rPr>
          <w:rFonts w:ascii="Times New Roman"/>
          <w:noProof/>
          <w:color w:val="000000"/>
          <w:sz w:val="24"/>
          <w:u w:color="000000"/>
          <w:bdr w:val="nil"/>
          <w:lang w:val="sv-SE" w:eastAsia="sv-SE" w:bidi="sv-SE"/>
        </w:rPr>
        <w:t>ö</w:t>
      </w:r>
      <w:r>
        <w:rPr>
          <w:rFonts w:ascii="Times New Roman"/>
          <w:noProof/>
          <w:color w:val="000000"/>
          <w:sz w:val="24"/>
          <w:u w:color="000000"/>
          <w:bdr w:val="nil"/>
          <w:lang w:val="sv-SE" w:eastAsia="sv-SE" w:bidi="sv-SE"/>
        </w:rPr>
        <w:t>kar totalt sett. Detta f</w:t>
      </w:r>
      <w:r>
        <w:rPr>
          <w:rFonts w:ascii="Times New Roman"/>
          <w:noProof/>
          <w:color w:val="000000"/>
          <w:sz w:val="24"/>
          <w:u w:color="000000"/>
          <w:bdr w:val="nil"/>
          <w:lang w:val="sv-SE" w:eastAsia="sv-SE" w:bidi="sv-SE"/>
        </w:rPr>
        <w:t>å</w:t>
      </w:r>
      <w:r>
        <w:rPr>
          <w:rFonts w:ascii="Times New Roman"/>
          <w:noProof/>
          <w:color w:val="000000"/>
          <w:sz w:val="24"/>
          <w:u w:color="000000"/>
          <w:bdr w:val="nil"/>
          <w:lang w:val="sv-SE" w:eastAsia="sv-SE" w:bidi="sv-SE"/>
        </w:rPr>
        <w:t>r till f</w:t>
      </w:r>
      <w:r>
        <w:rPr>
          <w:rFonts w:ascii="Times New Roman"/>
          <w:noProof/>
          <w:color w:val="000000"/>
          <w:sz w:val="24"/>
          <w:u w:color="000000"/>
          <w:bdr w:val="nil"/>
          <w:lang w:val="sv-SE" w:eastAsia="sv-SE" w:bidi="sv-SE"/>
        </w:rPr>
        <w:t>ö</w:t>
      </w:r>
      <w:r>
        <w:rPr>
          <w:rFonts w:ascii="Times New Roman"/>
          <w:noProof/>
          <w:color w:val="000000"/>
          <w:sz w:val="24"/>
          <w:u w:color="000000"/>
          <w:bdr w:val="nil"/>
          <w:lang w:val="sv-SE" w:eastAsia="sv-SE" w:bidi="sv-SE"/>
        </w:rPr>
        <w:t>ljd at</w:t>
      </w:r>
      <w:r>
        <w:rPr>
          <w:rFonts w:ascii="Times New Roman"/>
          <w:noProof/>
          <w:color w:val="000000"/>
          <w:sz w:val="24"/>
          <w:u w:color="000000"/>
          <w:bdr w:val="nil"/>
          <w:lang w:val="sv-SE" w:eastAsia="sv-SE" w:bidi="sv-SE"/>
        </w:rPr>
        <w:t xml:space="preserve">t det strukturella underskottet </w:t>
      </w:r>
      <w:r>
        <w:rPr>
          <w:rFonts w:ascii="Times New Roman"/>
          <w:noProof/>
          <w:color w:val="000000"/>
          <w:sz w:val="24"/>
          <w:u w:color="000000"/>
          <w:bdr w:val="nil"/>
          <w:lang w:val="sv-SE" w:eastAsia="sv-SE" w:bidi="sv-SE"/>
        </w:rPr>
        <w:t>ö</w:t>
      </w:r>
      <w:r>
        <w:rPr>
          <w:rFonts w:ascii="Times New Roman"/>
          <w:noProof/>
          <w:color w:val="000000"/>
          <w:sz w:val="24"/>
          <w:u w:color="000000"/>
          <w:bdr w:val="nil"/>
          <w:lang w:val="sv-SE" w:eastAsia="sv-SE" w:bidi="sv-SE"/>
        </w:rPr>
        <w:t>kar n</w:t>
      </w:r>
      <w:r>
        <w:rPr>
          <w:rFonts w:ascii="Times New Roman"/>
          <w:noProof/>
          <w:color w:val="000000"/>
          <w:sz w:val="24"/>
          <w:u w:color="000000"/>
          <w:bdr w:val="nil"/>
          <w:lang w:val="sv-SE" w:eastAsia="sv-SE" w:bidi="sv-SE"/>
        </w:rPr>
        <w:t>å</w:t>
      </w:r>
      <w:r>
        <w:rPr>
          <w:rFonts w:ascii="Times New Roman"/>
          <w:noProof/>
          <w:color w:val="000000"/>
          <w:sz w:val="24"/>
          <w:u w:color="000000"/>
          <w:bdr w:val="nil"/>
          <w:lang w:val="sv-SE" w:eastAsia="sv-SE" w:bidi="sv-SE"/>
        </w:rPr>
        <w:t>got i euroomr</w:t>
      </w:r>
      <w:r>
        <w:rPr>
          <w:rFonts w:ascii="Times New Roman"/>
          <w:noProof/>
          <w:color w:val="000000"/>
          <w:sz w:val="24"/>
          <w:u w:color="000000"/>
          <w:bdr w:val="nil"/>
          <w:lang w:val="sv-SE" w:eastAsia="sv-SE" w:bidi="sv-SE"/>
        </w:rPr>
        <w:t>å</w:t>
      </w:r>
      <w:r>
        <w:rPr>
          <w:rFonts w:ascii="Times New Roman"/>
          <w:noProof/>
          <w:color w:val="000000"/>
          <w:sz w:val="24"/>
          <w:u w:color="000000"/>
          <w:bdr w:val="nil"/>
          <w:lang w:val="sv-SE" w:eastAsia="sv-SE" w:bidi="sv-SE"/>
        </w:rPr>
        <w:t>det och stabiliseras f</w:t>
      </w:r>
      <w:r>
        <w:rPr>
          <w:rFonts w:ascii="Times New Roman"/>
          <w:noProof/>
          <w:color w:val="000000"/>
          <w:sz w:val="24"/>
          <w:u w:color="000000"/>
          <w:bdr w:val="nil"/>
          <w:lang w:val="sv-SE" w:eastAsia="sv-SE" w:bidi="sv-SE"/>
        </w:rPr>
        <w:t>ö</w:t>
      </w:r>
      <w:r>
        <w:rPr>
          <w:rFonts w:ascii="Times New Roman"/>
          <w:noProof/>
          <w:color w:val="000000"/>
          <w:sz w:val="24"/>
          <w:u w:color="000000"/>
          <w:bdr w:val="nil"/>
          <w:lang w:val="sv-SE" w:eastAsia="sv-SE" w:bidi="sv-SE"/>
        </w:rPr>
        <w:t xml:space="preserve">r EU:s del, efter flera </w:t>
      </w:r>
      <w:r>
        <w:rPr>
          <w:rFonts w:ascii="Times New Roman"/>
          <w:noProof/>
          <w:color w:val="000000"/>
          <w:sz w:val="24"/>
          <w:u w:color="000000"/>
          <w:bdr w:val="nil"/>
          <w:lang w:val="sv-SE" w:eastAsia="sv-SE" w:bidi="sv-SE"/>
        </w:rPr>
        <w:t>å</w:t>
      </w:r>
      <w:r>
        <w:rPr>
          <w:rFonts w:ascii="Times New Roman"/>
          <w:noProof/>
          <w:color w:val="000000"/>
          <w:sz w:val="24"/>
          <w:u w:color="000000"/>
          <w:bdr w:val="nil"/>
          <w:lang w:val="sv-SE" w:eastAsia="sv-SE" w:bidi="sv-SE"/>
        </w:rPr>
        <w:t>r av konstanta f</w:t>
      </w:r>
      <w:r>
        <w:rPr>
          <w:rFonts w:ascii="Times New Roman"/>
          <w:noProof/>
          <w:color w:val="000000"/>
          <w:sz w:val="24"/>
          <w:u w:color="000000"/>
          <w:bdr w:val="nil"/>
          <w:lang w:val="sv-SE" w:eastAsia="sv-SE" w:bidi="sv-SE"/>
        </w:rPr>
        <w:t>ö</w:t>
      </w:r>
      <w:r>
        <w:rPr>
          <w:rFonts w:ascii="Times New Roman"/>
          <w:noProof/>
          <w:color w:val="000000"/>
          <w:sz w:val="24"/>
          <w:u w:color="000000"/>
          <w:bdr w:val="nil"/>
          <w:lang w:val="sv-SE" w:eastAsia="sv-SE" w:bidi="sv-SE"/>
        </w:rPr>
        <w:t>rb</w:t>
      </w:r>
      <w:r>
        <w:rPr>
          <w:rFonts w:ascii="Times New Roman"/>
          <w:noProof/>
          <w:color w:val="000000"/>
          <w:sz w:val="24"/>
          <w:u w:color="000000"/>
          <w:bdr w:val="nil"/>
          <w:lang w:val="sv-SE" w:eastAsia="sv-SE" w:bidi="sv-SE"/>
        </w:rPr>
        <w:t>ä</w:t>
      </w:r>
      <w:r>
        <w:rPr>
          <w:rFonts w:ascii="Times New Roman"/>
          <w:noProof/>
          <w:color w:val="000000"/>
          <w:sz w:val="24"/>
          <w:u w:color="000000"/>
          <w:bdr w:val="nil"/>
          <w:lang w:val="sv-SE" w:eastAsia="sv-SE" w:bidi="sv-SE"/>
        </w:rPr>
        <w:t>ttringar. Finanspolitiken b</w:t>
      </w:r>
      <w:r>
        <w:rPr>
          <w:rFonts w:ascii="Times New Roman"/>
          <w:noProof/>
          <w:color w:val="000000"/>
          <w:sz w:val="24"/>
          <w:u w:color="000000"/>
          <w:bdr w:val="nil"/>
          <w:lang w:val="sv-SE" w:eastAsia="sv-SE" w:bidi="sv-SE"/>
        </w:rPr>
        <w:t>ö</w:t>
      </w:r>
      <w:r>
        <w:rPr>
          <w:rFonts w:ascii="Times New Roman"/>
          <w:noProof/>
          <w:color w:val="000000"/>
          <w:sz w:val="24"/>
          <w:u w:color="000000"/>
          <w:bdr w:val="nil"/>
          <w:lang w:val="sv-SE" w:eastAsia="sv-SE" w:bidi="sv-SE"/>
        </w:rPr>
        <w:t>r bed</w:t>
      </w:r>
      <w:r>
        <w:rPr>
          <w:rFonts w:ascii="Times New Roman"/>
          <w:noProof/>
          <w:color w:val="000000"/>
          <w:sz w:val="24"/>
          <w:u w:color="000000"/>
          <w:bdr w:val="nil"/>
          <w:lang w:val="sv-SE" w:eastAsia="sv-SE" w:bidi="sv-SE"/>
        </w:rPr>
        <w:t>ö</w:t>
      </w:r>
      <w:r>
        <w:rPr>
          <w:rFonts w:ascii="Times New Roman"/>
          <w:noProof/>
          <w:color w:val="000000"/>
          <w:sz w:val="24"/>
          <w:u w:color="000000"/>
          <w:bdr w:val="nil"/>
          <w:lang w:val="sv-SE" w:eastAsia="sv-SE" w:bidi="sv-SE"/>
        </w:rPr>
        <w:t>mas mot bakgrund av tv</w:t>
      </w:r>
      <w:r>
        <w:rPr>
          <w:rFonts w:ascii="Times New Roman"/>
          <w:noProof/>
          <w:color w:val="000000"/>
          <w:sz w:val="24"/>
          <w:u w:color="000000"/>
          <w:bdr w:val="nil"/>
          <w:lang w:val="sv-SE" w:eastAsia="sv-SE" w:bidi="sv-SE"/>
        </w:rPr>
        <w:t>å</w:t>
      </w:r>
      <w:r>
        <w:rPr>
          <w:rFonts w:ascii="Times New Roman"/>
          <w:noProof/>
          <w:color w:val="000000"/>
          <w:sz w:val="24"/>
          <w:u w:color="000000"/>
          <w:bdr w:val="nil"/>
          <w:lang w:val="sv-SE" w:eastAsia="sv-SE" w:bidi="sv-SE"/>
        </w:rPr>
        <w:t xml:space="preserve"> n</w:t>
      </w:r>
      <w:r>
        <w:rPr>
          <w:rFonts w:ascii="Times New Roman"/>
          <w:noProof/>
          <w:color w:val="000000"/>
          <w:sz w:val="24"/>
          <w:u w:color="000000"/>
          <w:bdr w:val="nil"/>
          <w:lang w:val="sv-SE" w:eastAsia="sv-SE" w:bidi="sv-SE"/>
        </w:rPr>
        <w:t>ä</w:t>
      </w:r>
      <w:r>
        <w:rPr>
          <w:rFonts w:ascii="Times New Roman"/>
          <w:noProof/>
          <w:color w:val="000000"/>
          <w:sz w:val="24"/>
          <w:u w:color="000000"/>
          <w:bdr w:val="nil"/>
          <w:lang w:val="sv-SE" w:eastAsia="sv-SE" w:bidi="sv-SE"/>
        </w:rPr>
        <w:t>rliggande m</w:t>
      </w:r>
      <w:r>
        <w:rPr>
          <w:rFonts w:ascii="Times New Roman"/>
          <w:noProof/>
          <w:color w:val="000000"/>
          <w:sz w:val="24"/>
          <w:u w:color="000000"/>
          <w:bdr w:val="nil"/>
          <w:lang w:val="sv-SE" w:eastAsia="sv-SE" w:bidi="sv-SE"/>
        </w:rPr>
        <w:t>å</w:t>
      </w:r>
      <w:r>
        <w:rPr>
          <w:rFonts w:ascii="Times New Roman"/>
          <w:noProof/>
          <w:color w:val="000000"/>
          <w:sz w:val="24"/>
          <w:u w:color="000000"/>
          <w:bdr w:val="nil"/>
          <w:lang w:val="sv-SE" w:eastAsia="sv-SE" w:bidi="sv-SE"/>
        </w:rPr>
        <w:t>l, n</w:t>
      </w:r>
      <w:r>
        <w:rPr>
          <w:rFonts w:ascii="Times New Roman"/>
          <w:noProof/>
          <w:color w:val="000000"/>
          <w:sz w:val="24"/>
          <w:u w:color="000000"/>
          <w:bdr w:val="nil"/>
          <w:lang w:val="sv-SE" w:eastAsia="sv-SE" w:bidi="sv-SE"/>
        </w:rPr>
        <w:t>ä</w:t>
      </w:r>
      <w:r>
        <w:rPr>
          <w:rFonts w:ascii="Times New Roman"/>
          <w:noProof/>
          <w:color w:val="000000"/>
          <w:sz w:val="24"/>
          <w:u w:color="000000"/>
          <w:bdr w:val="nil"/>
          <w:lang w:val="sv-SE" w:eastAsia="sv-SE" w:bidi="sv-SE"/>
        </w:rPr>
        <w:t>mligen de offentliga finansernas l</w:t>
      </w:r>
      <w:r>
        <w:rPr>
          <w:rFonts w:ascii="Times New Roman"/>
          <w:noProof/>
          <w:color w:val="000000"/>
          <w:sz w:val="24"/>
          <w:u w:color="000000"/>
          <w:bdr w:val="nil"/>
          <w:lang w:val="sv-SE" w:eastAsia="sv-SE" w:bidi="sv-SE"/>
        </w:rPr>
        <w:t>å</w:t>
      </w:r>
      <w:r>
        <w:rPr>
          <w:rFonts w:ascii="Times New Roman"/>
          <w:noProof/>
          <w:color w:val="000000"/>
          <w:sz w:val="24"/>
          <w:u w:color="000000"/>
          <w:bdr w:val="nil"/>
          <w:lang w:val="sv-SE" w:eastAsia="sv-SE" w:bidi="sv-SE"/>
        </w:rPr>
        <w:t>ngsiktiga h</w:t>
      </w:r>
      <w:r>
        <w:rPr>
          <w:rFonts w:ascii="Times New Roman"/>
          <w:noProof/>
          <w:color w:val="000000"/>
          <w:sz w:val="24"/>
          <w:u w:color="000000"/>
          <w:bdr w:val="nil"/>
          <w:lang w:val="sv-SE" w:eastAsia="sv-SE" w:bidi="sv-SE"/>
        </w:rPr>
        <w:t>å</w:t>
      </w:r>
      <w:r>
        <w:rPr>
          <w:rFonts w:ascii="Times New Roman"/>
          <w:noProof/>
          <w:color w:val="000000"/>
          <w:sz w:val="24"/>
          <w:u w:color="000000"/>
          <w:bdr w:val="nil"/>
          <w:lang w:val="sv-SE" w:eastAsia="sv-SE" w:bidi="sv-SE"/>
        </w:rPr>
        <w:t>llbarhet oc</w:t>
      </w:r>
      <w:r>
        <w:rPr>
          <w:rFonts w:ascii="Times New Roman"/>
          <w:noProof/>
          <w:color w:val="000000"/>
          <w:sz w:val="24"/>
          <w:u w:color="000000"/>
          <w:bdr w:val="nil"/>
          <w:lang w:val="sv-SE" w:eastAsia="sv-SE" w:bidi="sv-SE"/>
        </w:rPr>
        <w:t>h behovet av att st</w:t>
      </w:r>
      <w:r>
        <w:rPr>
          <w:rFonts w:ascii="Times New Roman"/>
          <w:noProof/>
          <w:color w:val="000000"/>
          <w:sz w:val="24"/>
          <w:u w:color="000000"/>
          <w:bdr w:val="nil"/>
          <w:lang w:val="sv-SE" w:eastAsia="sv-SE" w:bidi="sv-SE"/>
        </w:rPr>
        <w:t>ö</w:t>
      </w:r>
      <w:r>
        <w:rPr>
          <w:rFonts w:ascii="Times New Roman"/>
          <w:noProof/>
          <w:color w:val="000000"/>
          <w:sz w:val="24"/>
          <w:u w:color="000000"/>
          <w:bdr w:val="nil"/>
          <w:lang w:val="sv-SE" w:eastAsia="sv-SE" w:bidi="sv-SE"/>
        </w:rPr>
        <w:t xml:space="preserve">dja den blygsamma </w:t>
      </w:r>
      <w:r>
        <w:rPr>
          <w:rFonts w:ascii="Times New Roman"/>
          <w:noProof/>
          <w:color w:val="000000"/>
          <w:sz w:val="24"/>
          <w:u w:color="000000"/>
          <w:bdr w:val="nil"/>
          <w:lang w:val="sv-SE" w:eastAsia="sv-SE" w:bidi="sv-SE"/>
        </w:rPr>
        <w:t>å</w:t>
      </w:r>
      <w:r>
        <w:rPr>
          <w:rFonts w:ascii="Times New Roman"/>
          <w:noProof/>
          <w:color w:val="000000"/>
          <w:sz w:val="24"/>
          <w:u w:color="000000"/>
          <w:bdr w:val="nil"/>
          <w:lang w:val="sv-SE" w:eastAsia="sv-SE" w:bidi="sv-SE"/>
        </w:rPr>
        <w:t>terh</w:t>
      </w:r>
      <w:r>
        <w:rPr>
          <w:rFonts w:ascii="Times New Roman"/>
          <w:noProof/>
          <w:color w:val="000000"/>
          <w:sz w:val="24"/>
          <w:u w:color="000000"/>
          <w:bdr w:val="nil"/>
          <w:lang w:val="sv-SE" w:eastAsia="sv-SE" w:bidi="sv-SE"/>
        </w:rPr>
        <w:t>ä</w:t>
      </w:r>
      <w:r>
        <w:rPr>
          <w:rFonts w:ascii="Times New Roman"/>
          <w:noProof/>
          <w:color w:val="000000"/>
          <w:sz w:val="24"/>
          <w:u w:color="000000"/>
          <w:bdr w:val="nil"/>
          <w:lang w:val="sv-SE" w:eastAsia="sv-SE" w:bidi="sv-SE"/>
        </w:rPr>
        <w:t xml:space="preserve">mtningen. </w:t>
      </w:r>
    </w:p>
    <w:p w:rsidR="008A54B8" w:rsidRDefault="00BD0CDB">
      <w:pPr>
        <w:pBdr>
          <w:top w:val="nil"/>
          <w:left w:val="nil"/>
          <w:bottom w:val="nil"/>
          <w:right w:val="nil"/>
          <w:between w:val="nil"/>
          <w:bar w:val="nil"/>
        </w:pBdr>
        <w:spacing w:before="120" w:after="120" w:line="240" w:lineRule="auto"/>
        <w:jc w:val="both"/>
        <w:rPr>
          <w:rFonts w:ascii="Times New Roman" w:cs="Calibri"/>
          <w:noProof/>
          <w:color w:val="000000"/>
          <w:sz w:val="24"/>
          <w:szCs w:val="24"/>
          <w:u w:color="000000"/>
          <w:bdr w:val="nil"/>
          <w:lang w:val="sv-SE" w:eastAsia="sv-SE" w:bidi="sv-SE"/>
        </w:rPr>
      </w:pPr>
      <w:r>
        <w:rPr>
          <w:rFonts w:ascii="Times New Roman"/>
          <w:b/>
          <w:noProof/>
          <w:color w:val="000000"/>
          <w:sz w:val="24"/>
          <w:u w:color="000000"/>
          <w:bdr w:val="nil"/>
          <w:lang w:val="sv-SE" w:eastAsia="sv-SE" w:bidi="sv-SE"/>
        </w:rPr>
        <w:t>Tillv</w:t>
      </w:r>
      <w:r>
        <w:rPr>
          <w:rFonts w:ascii="Times New Roman"/>
          <w:b/>
          <w:noProof/>
          <w:color w:val="000000"/>
          <w:sz w:val="24"/>
          <w:u w:color="000000"/>
          <w:bdr w:val="nil"/>
          <w:lang w:val="sv-SE" w:eastAsia="sv-SE" w:bidi="sv-SE"/>
        </w:rPr>
        <w:t>ä</w:t>
      </w:r>
      <w:r>
        <w:rPr>
          <w:rFonts w:ascii="Times New Roman"/>
          <w:b/>
          <w:noProof/>
          <w:color w:val="000000"/>
          <w:sz w:val="24"/>
          <w:u w:color="000000"/>
          <w:bdr w:val="nil"/>
          <w:lang w:val="sv-SE" w:eastAsia="sv-SE" w:bidi="sv-SE"/>
        </w:rPr>
        <w:t>xten kan underst</w:t>
      </w:r>
      <w:r>
        <w:rPr>
          <w:rFonts w:ascii="Times New Roman"/>
          <w:b/>
          <w:noProof/>
          <w:color w:val="000000"/>
          <w:sz w:val="24"/>
          <w:u w:color="000000"/>
          <w:bdr w:val="nil"/>
          <w:lang w:val="sv-SE" w:eastAsia="sv-SE" w:bidi="sv-SE"/>
        </w:rPr>
        <w:t>ö</w:t>
      </w:r>
      <w:r>
        <w:rPr>
          <w:rFonts w:ascii="Times New Roman"/>
          <w:b/>
          <w:noProof/>
          <w:color w:val="000000"/>
          <w:sz w:val="24"/>
          <w:u w:color="000000"/>
          <w:bdr w:val="nil"/>
          <w:lang w:val="sv-SE" w:eastAsia="sv-SE" w:bidi="sv-SE"/>
        </w:rPr>
        <w:t>djas genom att en mer tillv</w:t>
      </w:r>
      <w:r>
        <w:rPr>
          <w:rFonts w:ascii="Times New Roman"/>
          <w:b/>
          <w:noProof/>
          <w:color w:val="000000"/>
          <w:sz w:val="24"/>
          <w:u w:color="000000"/>
          <w:bdr w:val="nil"/>
          <w:lang w:val="sv-SE" w:eastAsia="sv-SE" w:bidi="sv-SE"/>
        </w:rPr>
        <w:t>ä</w:t>
      </w:r>
      <w:r>
        <w:rPr>
          <w:rFonts w:ascii="Times New Roman"/>
          <w:b/>
          <w:noProof/>
          <w:color w:val="000000"/>
          <w:sz w:val="24"/>
          <w:u w:color="000000"/>
          <w:bdr w:val="nil"/>
          <w:lang w:val="sv-SE" w:eastAsia="sv-SE" w:bidi="sv-SE"/>
        </w:rPr>
        <w:t>xtv</w:t>
      </w:r>
      <w:r>
        <w:rPr>
          <w:rFonts w:ascii="Times New Roman"/>
          <w:b/>
          <w:noProof/>
          <w:color w:val="000000"/>
          <w:sz w:val="24"/>
          <w:u w:color="000000"/>
          <w:bdr w:val="nil"/>
          <w:lang w:val="sv-SE" w:eastAsia="sv-SE" w:bidi="sv-SE"/>
        </w:rPr>
        <w:t>ä</w:t>
      </w:r>
      <w:r>
        <w:rPr>
          <w:rFonts w:ascii="Times New Roman"/>
          <w:b/>
          <w:noProof/>
          <w:color w:val="000000"/>
          <w:sz w:val="24"/>
          <w:u w:color="000000"/>
          <w:bdr w:val="nil"/>
          <w:lang w:val="sv-SE" w:eastAsia="sv-SE" w:bidi="sv-SE"/>
        </w:rPr>
        <w:t>nlig sammans</w:t>
      </w:r>
      <w:r>
        <w:rPr>
          <w:rFonts w:ascii="Times New Roman"/>
          <w:b/>
          <w:noProof/>
          <w:color w:val="000000"/>
          <w:sz w:val="24"/>
          <w:u w:color="000000"/>
          <w:bdr w:val="nil"/>
          <w:lang w:val="sv-SE" w:eastAsia="sv-SE" w:bidi="sv-SE"/>
        </w:rPr>
        <w:t>ä</w:t>
      </w:r>
      <w:r>
        <w:rPr>
          <w:rFonts w:ascii="Times New Roman"/>
          <w:b/>
          <w:noProof/>
          <w:color w:val="000000"/>
          <w:sz w:val="24"/>
          <w:u w:color="000000"/>
          <w:bdr w:val="nil"/>
          <w:lang w:val="sv-SE" w:eastAsia="sv-SE" w:bidi="sv-SE"/>
        </w:rPr>
        <w:t>ttning av inkomster och utgifter.</w:t>
      </w:r>
      <w:r>
        <w:rPr>
          <w:rFonts w:ascii="Times New Roman"/>
          <w:noProof/>
          <w:color w:val="000000"/>
          <w:sz w:val="24"/>
          <w:u w:color="000000"/>
          <w:bdr w:val="nil"/>
          <w:lang w:val="sv-SE" w:eastAsia="sv-SE" w:bidi="sv-SE"/>
        </w:rPr>
        <w:t xml:space="preserve"> Det m</w:t>
      </w:r>
      <w:r>
        <w:rPr>
          <w:rFonts w:ascii="Times New Roman"/>
          <w:noProof/>
          <w:color w:val="000000"/>
          <w:sz w:val="24"/>
          <w:u w:color="000000"/>
          <w:bdr w:val="nil"/>
          <w:lang w:val="sv-SE" w:eastAsia="sv-SE" w:bidi="sv-SE"/>
        </w:rPr>
        <w:t>å</w:t>
      </w:r>
      <w:r>
        <w:rPr>
          <w:rFonts w:ascii="Times New Roman"/>
          <w:noProof/>
          <w:color w:val="000000"/>
          <w:sz w:val="24"/>
          <w:u w:color="000000"/>
          <w:bdr w:val="nil"/>
          <w:lang w:val="sv-SE" w:eastAsia="sv-SE" w:bidi="sv-SE"/>
        </w:rPr>
        <w:t>ste g</w:t>
      </w:r>
      <w:r>
        <w:rPr>
          <w:rFonts w:ascii="Times New Roman"/>
          <w:noProof/>
          <w:color w:val="000000"/>
          <w:sz w:val="24"/>
          <w:u w:color="000000"/>
          <w:bdr w:val="nil"/>
          <w:lang w:val="sv-SE" w:eastAsia="sv-SE" w:bidi="sv-SE"/>
        </w:rPr>
        <w:t>ö</w:t>
      </w:r>
      <w:r>
        <w:rPr>
          <w:rFonts w:ascii="Times New Roman"/>
          <w:noProof/>
          <w:color w:val="000000"/>
          <w:sz w:val="24"/>
          <w:u w:color="000000"/>
          <w:bdr w:val="nil"/>
          <w:lang w:val="sv-SE" w:eastAsia="sv-SE" w:bidi="sv-SE"/>
        </w:rPr>
        <w:t>ras mer f</w:t>
      </w:r>
      <w:r>
        <w:rPr>
          <w:rFonts w:ascii="Times New Roman"/>
          <w:noProof/>
          <w:color w:val="000000"/>
          <w:sz w:val="24"/>
          <w:u w:color="000000"/>
          <w:bdr w:val="nil"/>
          <w:lang w:val="sv-SE" w:eastAsia="sv-SE" w:bidi="sv-SE"/>
        </w:rPr>
        <w:t>ö</w:t>
      </w:r>
      <w:r>
        <w:rPr>
          <w:rFonts w:ascii="Times New Roman"/>
          <w:noProof/>
          <w:color w:val="000000"/>
          <w:sz w:val="24"/>
          <w:u w:color="000000"/>
          <w:bdr w:val="nil"/>
          <w:lang w:val="sv-SE" w:eastAsia="sv-SE" w:bidi="sv-SE"/>
        </w:rPr>
        <w:t>r att minska skatteb</w:t>
      </w:r>
      <w:r>
        <w:rPr>
          <w:rFonts w:ascii="Times New Roman"/>
          <w:noProof/>
          <w:color w:val="000000"/>
          <w:sz w:val="24"/>
          <w:u w:color="000000"/>
          <w:bdr w:val="nil"/>
          <w:lang w:val="sv-SE" w:eastAsia="sv-SE" w:bidi="sv-SE"/>
        </w:rPr>
        <w:t>ö</w:t>
      </w:r>
      <w:r>
        <w:rPr>
          <w:rFonts w:ascii="Times New Roman"/>
          <w:noProof/>
          <w:color w:val="000000"/>
          <w:sz w:val="24"/>
          <w:u w:color="000000"/>
          <w:bdr w:val="nil"/>
          <w:lang w:val="sv-SE" w:eastAsia="sv-SE" w:bidi="sv-SE"/>
        </w:rPr>
        <w:t>rdan p</w:t>
      </w:r>
      <w:r>
        <w:rPr>
          <w:rFonts w:ascii="Times New Roman"/>
          <w:noProof/>
          <w:color w:val="000000"/>
          <w:sz w:val="24"/>
          <w:u w:color="000000"/>
          <w:bdr w:val="nil"/>
          <w:lang w:val="sv-SE" w:eastAsia="sv-SE" w:bidi="sv-SE"/>
        </w:rPr>
        <w:t>å</w:t>
      </w:r>
      <w:r>
        <w:rPr>
          <w:rFonts w:ascii="Times New Roman"/>
          <w:noProof/>
          <w:color w:val="000000"/>
          <w:sz w:val="24"/>
          <w:u w:color="000000"/>
          <w:bdr w:val="nil"/>
          <w:lang w:val="sv-SE" w:eastAsia="sv-SE" w:bidi="sv-SE"/>
        </w:rPr>
        <w:t xml:space="preserve"> arbete. L</w:t>
      </w:r>
      <w:r>
        <w:rPr>
          <w:rFonts w:ascii="Times New Roman"/>
          <w:noProof/>
          <w:color w:val="000000"/>
          <w:sz w:val="24"/>
          <w:u w:color="000000"/>
          <w:bdr w:val="nil"/>
          <w:lang w:val="sv-SE" w:eastAsia="sv-SE" w:bidi="sv-SE"/>
        </w:rPr>
        <w:t>ä</w:t>
      </w:r>
      <w:r>
        <w:rPr>
          <w:rFonts w:ascii="Times New Roman"/>
          <w:noProof/>
          <w:color w:val="000000"/>
          <w:sz w:val="24"/>
          <w:u w:color="000000"/>
          <w:bdr w:val="nil"/>
          <w:lang w:val="sv-SE" w:eastAsia="sv-SE" w:bidi="sv-SE"/>
        </w:rPr>
        <w:t>nderna b</w:t>
      </w:r>
      <w:r>
        <w:rPr>
          <w:rFonts w:ascii="Times New Roman"/>
          <w:noProof/>
          <w:color w:val="000000"/>
          <w:sz w:val="24"/>
          <w:u w:color="000000"/>
          <w:bdr w:val="nil"/>
          <w:lang w:val="sv-SE" w:eastAsia="sv-SE" w:bidi="sv-SE"/>
        </w:rPr>
        <w:t>ö</w:t>
      </w:r>
      <w:r>
        <w:rPr>
          <w:rFonts w:ascii="Times New Roman"/>
          <w:noProof/>
          <w:color w:val="000000"/>
          <w:sz w:val="24"/>
          <w:u w:color="000000"/>
          <w:bdr w:val="nil"/>
          <w:lang w:val="sv-SE" w:eastAsia="sv-SE" w:bidi="sv-SE"/>
        </w:rPr>
        <w:t>r bygga vidare p</w:t>
      </w:r>
      <w:r>
        <w:rPr>
          <w:rFonts w:ascii="Times New Roman"/>
          <w:noProof/>
          <w:color w:val="000000"/>
          <w:sz w:val="24"/>
          <w:u w:color="000000"/>
          <w:bdr w:val="nil"/>
          <w:lang w:val="sv-SE" w:eastAsia="sv-SE" w:bidi="sv-SE"/>
        </w:rPr>
        <w:t>å</w:t>
      </w:r>
      <w:r>
        <w:rPr>
          <w:rFonts w:ascii="Times New Roman"/>
          <w:noProof/>
          <w:color w:val="000000"/>
          <w:sz w:val="24"/>
          <w:u w:color="000000"/>
          <w:bdr w:val="nil"/>
          <w:lang w:val="sv-SE" w:eastAsia="sv-SE" w:bidi="sv-SE"/>
        </w:rPr>
        <w:t xml:space="preserve"> framstegen </w:t>
      </w:r>
      <w:r>
        <w:rPr>
          <w:rFonts w:ascii="Times New Roman"/>
          <w:noProof/>
          <w:color w:val="000000"/>
          <w:sz w:val="24"/>
          <w:u w:color="000000"/>
          <w:bdr w:val="nil"/>
          <w:lang w:val="sv-SE" w:eastAsia="sv-SE" w:bidi="sv-SE"/>
        </w:rPr>
        <w:t>som gjorts med att bek</w:t>
      </w:r>
      <w:r>
        <w:rPr>
          <w:rFonts w:ascii="Times New Roman"/>
          <w:noProof/>
          <w:color w:val="000000"/>
          <w:sz w:val="24"/>
          <w:u w:color="000000"/>
          <w:bdr w:val="nil"/>
          <w:lang w:val="sv-SE" w:eastAsia="sv-SE" w:bidi="sv-SE"/>
        </w:rPr>
        <w:t>ä</w:t>
      </w:r>
      <w:r>
        <w:rPr>
          <w:rFonts w:ascii="Times New Roman"/>
          <w:noProof/>
          <w:color w:val="000000"/>
          <w:sz w:val="24"/>
          <w:u w:color="000000"/>
          <w:bdr w:val="nil"/>
          <w:lang w:val="sv-SE" w:eastAsia="sv-SE" w:bidi="sv-SE"/>
        </w:rPr>
        <w:t>mpa skatteflykt. De b</w:t>
      </w:r>
      <w:r>
        <w:rPr>
          <w:rFonts w:ascii="Times New Roman"/>
          <w:noProof/>
          <w:color w:val="000000"/>
          <w:sz w:val="24"/>
          <w:u w:color="000000"/>
          <w:bdr w:val="nil"/>
          <w:lang w:val="sv-SE" w:eastAsia="sv-SE" w:bidi="sv-SE"/>
        </w:rPr>
        <w:t>ö</w:t>
      </w:r>
      <w:r>
        <w:rPr>
          <w:rFonts w:ascii="Times New Roman"/>
          <w:noProof/>
          <w:color w:val="000000"/>
          <w:sz w:val="24"/>
          <w:u w:color="000000"/>
          <w:bdr w:val="nil"/>
          <w:lang w:val="sv-SE" w:eastAsia="sv-SE" w:bidi="sv-SE"/>
        </w:rPr>
        <w:t>r ocks</w:t>
      </w:r>
      <w:r>
        <w:rPr>
          <w:rFonts w:ascii="Times New Roman"/>
          <w:noProof/>
          <w:color w:val="000000"/>
          <w:sz w:val="24"/>
          <w:u w:color="000000"/>
          <w:bdr w:val="nil"/>
          <w:lang w:val="sv-SE" w:eastAsia="sv-SE" w:bidi="sv-SE"/>
        </w:rPr>
        <w:t>å</w:t>
      </w:r>
      <w:r>
        <w:rPr>
          <w:rFonts w:ascii="Times New Roman"/>
          <w:noProof/>
          <w:color w:val="000000"/>
          <w:sz w:val="24"/>
          <w:u w:color="000000"/>
          <w:bdr w:val="nil"/>
          <w:lang w:val="sv-SE" w:eastAsia="sv-SE" w:bidi="sv-SE"/>
        </w:rPr>
        <w:t xml:space="preserve"> f</w:t>
      </w:r>
      <w:r>
        <w:rPr>
          <w:rFonts w:ascii="Times New Roman"/>
          <w:noProof/>
          <w:color w:val="000000"/>
          <w:sz w:val="24"/>
          <w:u w:color="000000"/>
          <w:bdr w:val="nil"/>
          <w:lang w:val="sv-SE" w:eastAsia="sv-SE" w:bidi="sv-SE"/>
        </w:rPr>
        <w:t>ö</w:t>
      </w:r>
      <w:r>
        <w:rPr>
          <w:rFonts w:ascii="Times New Roman"/>
          <w:noProof/>
          <w:color w:val="000000"/>
          <w:sz w:val="24"/>
          <w:u w:color="000000"/>
          <w:bdr w:val="nil"/>
          <w:lang w:val="sv-SE" w:eastAsia="sv-SE" w:bidi="sv-SE"/>
        </w:rPr>
        <w:t>rb</w:t>
      </w:r>
      <w:r>
        <w:rPr>
          <w:rFonts w:ascii="Times New Roman"/>
          <w:noProof/>
          <w:color w:val="000000"/>
          <w:sz w:val="24"/>
          <w:u w:color="000000"/>
          <w:bdr w:val="nil"/>
          <w:lang w:val="sv-SE" w:eastAsia="sv-SE" w:bidi="sv-SE"/>
        </w:rPr>
        <w:t>ä</w:t>
      </w:r>
      <w:r>
        <w:rPr>
          <w:rFonts w:ascii="Times New Roman"/>
          <w:noProof/>
          <w:color w:val="000000"/>
          <w:sz w:val="24"/>
          <w:u w:color="000000"/>
          <w:bdr w:val="nil"/>
          <w:lang w:val="sv-SE" w:eastAsia="sv-SE" w:bidi="sv-SE"/>
        </w:rPr>
        <w:t>ttra skattef</w:t>
      </w:r>
      <w:r>
        <w:rPr>
          <w:rFonts w:ascii="Times New Roman"/>
          <w:noProof/>
          <w:color w:val="000000"/>
          <w:sz w:val="24"/>
          <w:u w:color="000000"/>
          <w:bdr w:val="nil"/>
          <w:lang w:val="sv-SE" w:eastAsia="sv-SE" w:bidi="sv-SE"/>
        </w:rPr>
        <w:t>ö</w:t>
      </w:r>
      <w:r>
        <w:rPr>
          <w:rFonts w:ascii="Times New Roman"/>
          <w:noProof/>
          <w:color w:val="000000"/>
          <w:sz w:val="24"/>
          <w:u w:color="000000"/>
          <w:bdr w:val="nil"/>
          <w:lang w:val="sv-SE" w:eastAsia="sv-SE" w:bidi="sv-SE"/>
        </w:rPr>
        <w:t>rvaltningen och satsa p</w:t>
      </w:r>
      <w:r>
        <w:rPr>
          <w:rFonts w:ascii="Times New Roman"/>
          <w:noProof/>
          <w:color w:val="000000"/>
          <w:sz w:val="24"/>
          <w:u w:color="000000"/>
          <w:bdr w:val="nil"/>
          <w:lang w:val="sv-SE" w:eastAsia="sv-SE" w:bidi="sv-SE"/>
        </w:rPr>
        <w:t>å</w:t>
      </w:r>
      <w:r>
        <w:rPr>
          <w:rFonts w:ascii="Times New Roman"/>
          <w:noProof/>
          <w:color w:val="000000"/>
          <w:sz w:val="24"/>
          <w:u w:color="000000"/>
          <w:bdr w:val="nil"/>
          <w:lang w:val="sv-SE" w:eastAsia="sv-SE" w:bidi="sv-SE"/>
        </w:rPr>
        <w:t xml:space="preserve"> att g</w:t>
      </w:r>
      <w:r>
        <w:rPr>
          <w:rFonts w:ascii="Times New Roman"/>
          <w:noProof/>
          <w:color w:val="000000"/>
          <w:sz w:val="24"/>
          <w:u w:color="000000"/>
          <w:bdr w:val="nil"/>
          <w:lang w:val="sv-SE" w:eastAsia="sv-SE" w:bidi="sv-SE"/>
        </w:rPr>
        <w:t>ö</w:t>
      </w:r>
      <w:r>
        <w:rPr>
          <w:rFonts w:ascii="Times New Roman"/>
          <w:noProof/>
          <w:color w:val="000000"/>
          <w:sz w:val="24"/>
          <w:u w:color="000000"/>
          <w:bdr w:val="nil"/>
          <w:lang w:val="sv-SE" w:eastAsia="sv-SE" w:bidi="sv-SE"/>
        </w:rPr>
        <w:t>ra skattesystemen r</w:t>
      </w:r>
      <w:r>
        <w:rPr>
          <w:rFonts w:ascii="Times New Roman"/>
          <w:noProof/>
          <w:color w:val="000000"/>
          <w:sz w:val="24"/>
          <w:u w:color="000000"/>
          <w:bdr w:val="nil"/>
          <w:lang w:val="sv-SE" w:eastAsia="sv-SE" w:bidi="sv-SE"/>
        </w:rPr>
        <w:t>ä</w:t>
      </w:r>
      <w:r>
        <w:rPr>
          <w:rFonts w:ascii="Times New Roman"/>
          <w:noProof/>
          <w:color w:val="000000"/>
          <w:sz w:val="24"/>
          <w:u w:color="000000"/>
          <w:bdr w:val="nil"/>
          <w:lang w:val="sv-SE" w:eastAsia="sv-SE" w:bidi="sv-SE"/>
        </w:rPr>
        <w:t>ttvisare och effektivare och ta itu med negativa incitament f</w:t>
      </w:r>
      <w:r>
        <w:rPr>
          <w:rFonts w:ascii="Times New Roman"/>
          <w:noProof/>
          <w:color w:val="000000"/>
          <w:sz w:val="24"/>
          <w:u w:color="000000"/>
          <w:bdr w:val="nil"/>
          <w:lang w:val="sv-SE" w:eastAsia="sv-SE" w:bidi="sv-SE"/>
        </w:rPr>
        <w:t>ö</w:t>
      </w:r>
      <w:r>
        <w:rPr>
          <w:rFonts w:ascii="Times New Roman"/>
          <w:noProof/>
          <w:color w:val="000000"/>
          <w:sz w:val="24"/>
          <w:u w:color="000000"/>
          <w:bdr w:val="nil"/>
          <w:lang w:val="sv-SE" w:eastAsia="sv-SE" w:bidi="sv-SE"/>
        </w:rPr>
        <w:t>r jobbskapande, prioritera tillv</w:t>
      </w:r>
      <w:r>
        <w:rPr>
          <w:rFonts w:ascii="Times New Roman"/>
          <w:noProof/>
          <w:color w:val="000000"/>
          <w:sz w:val="24"/>
          <w:u w:color="000000"/>
          <w:bdr w:val="nil"/>
          <w:lang w:val="sv-SE" w:eastAsia="sv-SE" w:bidi="sv-SE"/>
        </w:rPr>
        <w:t>ä</w:t>
      </w:r>
      <w:r>
        <w:rPr>
          <w:rFonts w:ascii="Times New Roman"/>
          <w:noProof/>
          <w:color w:val="000000"/>
          <w:sz w:val="24"/>
          <w:u w:color="000000"/>
          <w:bdr w:val="nil"/>
          <w:lang w:val="sv-SE" w:eastAsia="sv-SE" w:bidi="sv-SE"/>
        </w:rPr>
        <w:t>xtv</w:t>
      </w:r>
      <w:r>
        <w:rPr>
          <w:rFonts w:ascii="Times New Roman"/>
          <w:noProof/>
          <w:color w:val="000000"/>
          <w:sz w:val="24"/>
          <w:u w:color="000000"/>
          <w:bdr w:val="nil"/>
          <w:lang w:val="sv-SE" w:eastAsia="sv-SE" w:bidi="sv-SE"/>
        </w:rPr>
        <w:t>ä</w:t>
      </w:r>
      <w:r>
        <w:rPr>
          <w:rFonts w:ascii="Times New Roman"/>
          <w:noProof/>
          <w:color w:val="000000"/>
          <w:sz w:val="24"/>
          <w:u w:color="000000"/>
          <w:bdr w:val="nil"/>
          <w:lang w:val="sv-SE" w:eastAsia="sv-SE" w:bidi="sv-SE"/>
        </w:rPr>
        <w:t>nliga utgifter och bevara produktiv</w:t>
      </w:r>
      <w:r>
        <w:rPr>
          <w:rFonts w:ascii="Times New Roman"/>
          <w:noProof/>
          <w:color w:val="000000"/>
          <w:sz w:val="24"/>
          <w:u w:color="000000"/>
          <w:bdr w:val="nil"/>
          <w:lang w:val="sv-SE" w:eastAsia="sv-SE" w:bidi="sv-SE"/>
        </w:rPr>
        <w:t>a offentliga investeringar. Enligt prognoserna kommer de offentliga investeringarnas andel av BNP att sjunka mellan 2015 och 2017, vilket visar att det kr</w:t>
      </w:r>
      <w:r>
        <w:rPr>
          <w:rFonts w:ascii="Times New Roman"/>
          <w:noProof/>
          <w:color w:val="000000"/>
          <w:sz w:val="24"/>
          <w:u w:color="000000"/>
          <w:bdr w:val="nil"/>
          <w:lang w:val="sv-SE" w:eastAsia="sv-SE" w:bidi="sv-SE"/>
        </w:rPr>
        <w:t>ä</w:t>
      </w:r>
      <w:r>
        <w:rPr>
          <w:rFonts w:ascii="Times New Roman"/>
          <w:noProof/>
          <w:color w:val="000000"/>
          <w:sz w:val="24"/>
          <w:u w:color="000000"/>
          <w:bdr w:val="nil"/>
          <w:lang w:val="sv-SE" w:eastAsia="sv-SE" w:bidi="sv-SE"/>
        </w:rPr>
        <w:t>vs mer satsningar.</w:t>
      </w:r>
    </w:p>
    <w:p w:rsidR="008A54B8" w:rsidRDefault="008A54B8">
      <w:pPr>
        <w:spacing w:after="0" w:line="240" w:lineRule="auto"/>
        <w:rPr>
          <w:rFonts w:ascii="Times New Roman" w:cs="Calibri"/>
          <w:noProof/>
          <w:sz w:val="24"/>
          <w:szCs w:val="24"/>
          <w:u w:color="000000"/>
          <w:bdr w:val="nil"/>
          <w:lang w:val="sv-SE" w:eastAsia="sv-SE" w:bidi="sv-SE"/>
        </w:rPr>
      </w:pPr>
    </w:p>
    <w:tbl>
      <w:tblPr>
        <w:tblW w:w="9288"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288"/>
      </w:tblGrid>
      <w:tr w:rsidR="008A54B8" w:rsidRPr="00BD0CDB">
        <w:trPr>
          <w:trHeight w:val="601"/>
        </w:trPr>
        <w:tc>
          <w:tcPr>
            <w:tcW w:w="9288"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rsidR="008A54B8" w:rsidRDefault="00BD0CDB">
            <w:pPr>
              <w:autoSpaceDE w:val="0"/>
              <w:autoSpaceDN w:val="0"/>
              <w:adjustRightInd w:val="0"/>
              <w:spacing w:before="120" w:after="120" w:line="240" w:lineRule="auto"/>
              <w:jc w:val="both"/>
              <w:rPr>
                <w:rFonts w:ascii="Times New Roman" w:eastAsia="Times New Roman" w:hAnsi="Times New Roman"/>
                <w:noProof/>
                <w:sz w:val="20"/>
                <w:szCs w:val="20"/>
                <w:lang w:val="sv-SE" w:eastAsia="sv-SE" w:bidi="sv-SE"/>
              </w:rPr>
            </w:pPr>
            <w:r>
              <w:rPr>
                <w:rFonts w:ascii="Times New Roman" w:eastAsia="Times New Roman" w:hAnsi="Times New Roman"/>
                <w:b/>
                <w:i/>
                <w:noProof/>
                <w:color w:val="000000"/>
                <w:sz w:val="20"/>
                <w:szCs w:val="24"/>
                <w:lang w:val="sv-SE" w:eastAsia="sv-SE" w:bidi="sv-SE"/>
              </w:rPr>
              <w:t>Ruta 1. Uppdatering av tillsynen enligt stabilitets- och tillväxtpakten</w:t>
            </w:r>
          </w:p>
          <w:p w:rsidR="008A54B8" w:rsidRDefault="00BD0CDB">
            <w:pPr>
              <w:autoSpaceDE w:val="0"/>
              <w:autoSpaceDN w:val="0"/>
              <w:adjustRightInd w:val="0"/>
              <w:spacing w:before="120" w:after="120" w:line="240" w:lineRule="auto"/>
              <w:jc w:val="both"/>
              <w:rPr>
                <w:rFonts w:ascii="Times New Roman" w:eastAsia="Times New Roman" w:hAnsi="Times New Roman"/>
                <w:noProof/>
                <w:color w:val="000000"/>
                <w:sz w:val="20"/>
                <w:szCs w:val="20"/>
                <w:lang w:val="sv-SE" w:eastAsia="sv-SE" w:bidi="sv-SE"/>
              </w:rPr>
            </w:pPr>
            <w:r>
              <w:rPr>
                <w:rFonts w:ascii="Times New Roman" w:eastAsia="Times New Roman" w:hAnsi="Times New Roman"/>
                <w:noProof/>
                <w:sz w:val="20"/>
                <w:szCs w:val="24"/>
                <w:lang w:val="sv-SE" w:eastAsia="sv-SE" w:bidi="sv-SE"/>
              </w:rPr>
              <w:t xml:space="preserve">I sin </w:t>
            </w:r>
            <w:r>
              <w:rPr>
                <w:rFonts w:ascii="Times New Roman" w:eastAsia="Times New Roman" w:hAnsi="Times New Roman"/>
                <w:noProof/>
                <w:sz w:val="20"/>
                <w:szCs w:val="24"/>
                <w:lang w:val="sv-SE" w:eastAsia="sv-SE" w:bidi="sv-SE"/>
              </w:rPr>
              <w:t>utvärdering av euroländernas utkast till budgetplaner för 2016, som lades fram i november 2015, gjorde kommissionen bedömningen att fyra länders planer (Spanien, Italien, Litauen och Österike</w:t>
            </w:r>
            <w:r>
              <w:rPr>
                <w:rFonts w:ascii="Times New Roman" w:eastAsia="Times New Roman" w:hAnsi="Times New Roman"/>
                <w:noProof/>
                <w:color w:val="000000"/>
                <w:sz w:val="20"/>
                <w:szCs w:val="24"/>
                <w:vertAlign w:val="superscript"/>
                <w:lang w:val="sv-SE" w:eastAsia="sv-SE" w:bidi="sv-SE"/>
              </w:rPr>
              <w:footnoteReference w:id="19"/>
            </w:r>
            <w:r>
              <w:rPr>
                <w:rFonts w:ascii="Times New Roman" w:eastAsia="Times New Roman" w:hAnsi="Times New Roman"/>
                <w:noProof/>
                <w:color w:val="000000"/>
                <w:sz w:val="20"/>
                <w:szCs w:val="24"/>
                <w:lang w:val="sv-SE" w:eastAsia="sv-SE" w:bidi="sv-SE"/>
              </w:rPr>
              <w:t>)</w:t>
            </w:r>
            <w:r>
              <w:rPr>
                <w:rFonts w:ascii="Times New Roman" w:eastAsia="Times New Roman" w:hAnsi="Times New Roman"/>
                <w:noProof/>
                <w:sz w:val="20"/>
                <w:szCs w:val="24"/>
                <w:lang w:val="sv-SE" w:eastAsia="sv-SE" w:bidi="sv-SE"/>
              </w:rPr>
              <w:t xml:space="preserve"> riskerade att bryta mot stabilitets- och tillväxtpaktens bestämmelser. Sju länder (Belgien, Irland, Frankrike, Lettland, Malta, Slovenien och Finland) följde i stort sett bestämmelserna, medan Tysklands, Estlands, Luxemburgs, Nederländernas och Slovakiens</w:t>
            </w:r>
            <w:r>
              <w:rPr>
                <w:rFonts w:ascii="Times New Roman" w:eastAsia="Times New Roman" w:hAnsi="Times New Roman"/>
                <w:noProof/>
                <w:sz w:val="20"/>
                <w:szCs w:val="24"/>
                <w:lang w:val="sv-SE" w:eastAsia="sv-SE" w:bidi="sv-SE"/>
              </w:rPr>
              <w:t xml:space="preserve"> planer följde reglerna för 2016. Portugal skickade inte in något utkast till budgetplan inom utsatt tid utan först den 22 januari 2016, på grund av nationella val i oktober 2015 och den tid det tog att bilda ny regering</w:t>
            </w:r>
            <w:r>
              <w:rPr>
                <w:rFonts w:ascii="Times New Roman" w:eastAsia="Times New Roman" w:hAnsi="Times New Roman"/>
                <w:noProof/>
                <w:color w:val="000000"/>
                <w:sz w:val="20"/>
                <w:szCs w:val="24"/>
                <w:lang w:val="sv-SE" w:eastAsia="sv-SE" w:bidi="sv-SE"/>
              </w:rPr>
              <w:t xml:space="preserve">. </w:t>
            </w:r>
          </w:p>
          <w:p w:rsidR="008A54B8" w:rsidRDefault="00BD0CDB">
            <w:pPr>
              <w:autoSpaceDE w:val="0"/>
              <w:autoSpaceDN w:val="0"/>
              <w:adjustRightInd w:val="0"/>
              <w:spacing w:before="120" w:after="120" w:line="240" w:lineRule="auto"/>
              <w:jc w:val="both"/>
              <w:rPr>
                <w:rFonts w:ascii="Times New Roman" w:eastAsia="Times New Roman" w:hAnsi="Times New Roman"/>
                <w:noProof/>
                <w:color w:val="000000"/>
                <w:sz w:val="20"/>
                <w:szCs w:val="20"/>
                <w:lang w:val="sv-SE" w:eastAsia="sv-SE" w:bidi="sv-SE"/>
              </w:rPr>
            </w:pPr>
            <w:r>
              <w:rPr>
                <w:rFonts w:ascii="Times New Roman" w:eastAsia="Times New Roman" w:hAnsi="Times New Roman"/>
                <w:noProof/>
                <w:color w:val="000000"/>
                <w:sz w:val="20"/>
                <w:szCs w:val="20"/>
                <w:lang w:val="sv-SE" w:eastAsia="sv-SE" w:bidi="sv-SE"/>
              </w:rPr>
              <w:t>De flesta medlemsländer har nu fä</w:t>
            </w:r>
            <w:r>
              <w:rPr>
                <w:rFonts w:ascii="Times New Roman" w:eastAsia="Times New Roman" w:hAnsi="Times New Roman"/>
                <w:noProof/>
                <w:color w:val="000000"/>
                <w:sz w:val="20"/>
                <w:szCs w:val="20"/>
                <w:lang w:val="sv-SE" w:eastAsia="sv-SE" w:bidi="sv-SE"/>
              </w:rPr>
              <w:t xml:space="preserve">rdigställt sina budgetar och </w:t>
            </w:r>
            <w:r>
              <w:rPr>
                <w:rFonts w:ascii="Times New Roman" w:eastAsia="Times New Roman" w:hAnsi="Times New Roman"/>
                <w:noProof/>
                <w:sz w:val="20"/>
                <w:szCs w:val="20"/>
                <w:lang w:val="sv-SE" w:eastAsia="sv-SE" w:bidi="sv-SE"/>
              </w:rPr>
              <w:t xml:space="preserve">kommissionens vinterprognos utgör grunden för bedömningen av hur länderna har </w:t>
            </w:r>
            <w:r>
              <w:rPr>
                <w:rFonts w:ascii="Times New Roman" w:eastAsia="Times New Roman" w:hAnsi="Times New Roman"/>
                <w:noProof/>
                <w:color w:val="000000"/>
                <w:sz w:val="20"/>
                <w:szCs w:val="20"/>
                <w:lang w:val="sv-SE" w:eastAsia="sv-SE" w:bidi="sv-SE"/>
              </w:rPr>
              <w:t>tagit</w:t>
            </w:r>
            <w:r>
              <w:rPr>
                <w:rFonts w:ascii="Times New Roman" w:eastAsia="Times New Roman" w:hAnsi="Times New Roman"/>
                <w:noProof/>
                <w:color w:val="000000"/>
                <w:sz w:val="20"/>
                <w:szCs w:val="24"/>
                <w:lang w:val="sv-SE" w:eastAsia="sv-SE" w:bidi="sv-SE"/>
              </w:rPr>
              <w:t xml:space="preserve"> hänsyn till kommissionens yttrande om deras utkast till budgetplaner och om de lever upp till de åtaganden de gjort i Eurogruppen. </w:t>
            </w:r>
          </w:p>
          <w:p w:rsidR="008A54B8" w:rsidRDefault="00BD0CDB">
            <w:pPr>
              <w:numPr>
                <w:ilvl w:val="0"/>
                <w:numId w:val="38"/>
              </w:numPr>
              <w:autoSpaceDE w:val="0"/>
              <w:autoSpaceDN w:val="0"/>
              <w:adjustRightInd w:val="0"/>
              <w:spacing w:before="120" w:after="120" w:line="240" w:lineRule="auto"/>
              <w:jc w:val="both"/>
              <w:rPr>
                <w:rFonts w:ascii="Times New Roman" w:eastAsia="Times New Roman" w:hAnsi="Times New Roman"/>
                <w:noProof/>
                <w:color w:val="000000"/>
                <w:sz w:val="20"/>
                <w:szCs w:val="20"/>
                <w:lang w:val="sv-SE" w:eastAsia="sv-SE" w:bidi="sv-SE"/>
              </w:rPr>
            </w:pPr>
            <w:r>
              <w:rPr>
                <w:rFonts w:ascii="Times New Roman" w:eastAsia="Times New Roman" w:hAnsi="Times New Roman"/>
                <w:noProof/>
                <w:sz w:val="20"/>
                <w:szCs w:val="24"/>
                <w:lang w:val="sv-SE" w:eastAsia="sv-SE" w:bidi="sv-SE"/>
              </w:rPr>
              <w:t>Enligt prog</w:t>
            </w:r>
            <w:r>
              <w:rPr>
                <w:rFonts w:ascii="Times New Roman" w:eastAsia="Times New Roman" w:hAnsi="Times New Roman"/>
                <w:noProof/>
                <w:sz w:val="20"/>
                <w:szCs w:val="24"/>
                <w:lang w:val="sv-SE" w:eastAsia="sv-SE" w:bidi="sv-SE"/>
              </w:rPr>
              <w:t xml:space="preserve">noserna klarar inte Spanien målet för det totala underskottet under 2015 och kommer sannolikt inte att lyckas med en snabb och varaktig korrigering till 2016, eftersom den rekommenderade finanspolitiska insatsen inte görs. </w:t>
            </w:r>
          </w:p>
          <w:p w:rsidR="008A54B8" w:rsidRDefault="00BD0CDB">
            <w:pPr>
              <w:numPr>
                <w:ilvl w:val="0"/>
                <w:numId w:val="38"/>
              </w:numPr>
              <w:autoSpaceDE w:val="0"/>
              <w:autoSpaceDN w:val="0"/>
              <w:adjustRightInd w:val="0"/>
              <w:spacing w:after="120" w:line="240" w:lineRule="auto"/>
              <w:ind w:left="714" w:hanging="357"/>
              <w:jc w:val="both"/>
              <w:rPr>
                <w:rFonts w:ascii="Times New Roman" w:eastAsia="Times New Roman" w:hAnsi="Times New Roman"/>
                <w:noProof/>
                <w:color w:val="000000"/>
                <w:sz w:val="20"/>
                <w:szCs w:val="20"/>
                <w:lang w:val="sv-SE" w:eastAsia="sv-SE" w:bidi="sv-SE"/>
              </w:rPr>
            </w:pPr>
            <w:r>
              <w:rPr>
                <w:rFonts w:ascii="Times New Roman" w:eastAsia="Times New Roman" w:hAnsi="Times New Roman"/>
                <w:noProof/>
                <w:sz w:val="20"/>
                <w:szCs w:val="24"/>
                <w:lang w:val="sv-SE" w:eastAsia="sv-SE" w:bidi="sv-SE"/>
              </w:rPr>
              <w:t>För Belgiens, Finlands och Itali</w:t>
            </w:r>
            <w:r>
              <w:rPr>
                <w:rFonts w:ascii="Times New Roman" w:eastAsia="Times New Roman" w:hAnsi="Times New Roman"/>
                <w:noProof/>
                <w:sz w:val="20"/>
                <w:szCs w:val="24"/>
                <w:lang w:val="sv-SE" w:eastAsia="sv-SE" w:bidi="sv-SE"/>
              </w:rPr>
              <w:t>ens del fortsätter kommissionen sin noggranna övervakning av skuldkriteriet och betonar hur viktigt det är att länderna fortsätter att genomföra de rekommenderade strukturella korrigeringarna enligt pakten. Kommissionen kommer att utvärdera läget igen i ma</w:t>
            </w:r>
            <w:r>
              <w:rPr>
                <w:rFonts w:ascii="Times New Roman" w:eastAsia="Times New Roman" w:hAnsi="Times New Roman"/>
                <w:noProof/>
                <w:sz w:val="20"/>
                <w:szCs w:val="24"/>
                <w:lang w:val="sv-SE" w:eastAsia="sv-SE" w:bidi="sv-SE"/>
              </w:rPr>
              <w:t>j utifrån statistik om utfallet för 2015, de kommande stabilitetsprogrammen och kommissionen vårprognos 2016.</w:t>
            </w:r>
          </w:p>
          <w:p w:rsidR="008A54B8" w:rsidRDefault="00BD0CDB">
            <w:pPr>
              <w:numPr>
                <w:ilvl w:val="0"/>
                <w:numId w:val="38"/>
              </w:numPr>
              <w:autoSpaceDE w:val="0"/>
              <w:autoSpaceDN w:val="0"/>
              <w:adjustRightInd w:val="0"/>
              <w:spacing w:after="0" w:line="240" w:lineRule="auto"/>
              <w:jc w:val="both"/>
              <w:rPr>
                <w:rFonts w:ascii="Times New Roman" w:eastAsia="Times New Roman" w:hAnsi="Times New Roman"/>
                <w:noProof/>
                <w:sz w:val="20"/>
                <w:szCs w:val="20"/>
                <w:lang w:val="sv-SE" w:eastAsia="sv-SE" w:bidi="sv-SE"/>
              </w:rPr>
            </w:pPr>
            <w:r>
              <w:rPr>
                <w:rFonts w:ascii="Times New Roman" w:eastAsia="Times New Roman" w:hAnsi="Times New Roman"/>
                <w:noProof/>
                <w:sz w:val="20"/>
                <w:szCs w:val="24"/>
                <w:lang w:val="sv-SE" w:eastAsia="sv-SE" w:bidi="sv-SE"/>
              </w:rPr>
              <w:t>Portugal skickade in sitt utkast till budgetplan den 22 januari 2016. I sitt yttrande om utkastet till budgetplan gör kommissionen bedömningen att</w:t>
            </w:r>
            <w:r>
              <w:rPr>
                <w:rFonts w:ascii="Times New Roman" w:eastAsia="Times New Roman" w:hAnsi="Times New Roman"/>
                <w:noProof/>
                <w:sz w:val="20"/>
                <w:szCs w:val="24"/>
                <w:lang w:val="sv-SE" w:eastAsia="sv-SE" w:bidi="sv-SE"/>
              </w:rPr>
              <w:t xml:space="preserve"> regeringens plan riskerar att inte uppfylla stabilitets- och tillväxtpaktens bestämmelser och uppmanade myndigheterna att vidta nödvändiga åtgärder inom den nationella budgetprocessen för att se till att budgeten för 2016 är i överensstämmelse med stabili</w:t>
            </w:r>
            <w:r>
              <w:rPr>
                <w:rFonts w:ascii="Times New Roman" w:eastAsia="Times New Roman" w:hAnsi="Times New Roman"/>
                <w:noProof/>
                <w:sz w:val="20"/>
                <w:szCs w:val="24"/>
                <w:lang w:val="sv-SE" w:eastAsia="sv-SE" w:bidi="sv-SE"/>
              </w:rPr>
              <w:t>tets- och tillväxtpakten.</w:t>
            </w:r>
            <w:r>
              <w:rPr>
                <w:rFonts w:ascii="Times New Roman" w:eastAsia="Times New Roman" w:hAnsi="Times New Roman"/>
                <w:noProof/>
                <w:color w:val="000000"/>
                <w:sz w:val="20"/>
                <w:szCs w:val="24"/>
                <w:lang w:val="sv-SE" w:eastAsia="sv-SE" w:bidi="sv-SE"/>
              </w:rPr>
              <w:t xml:space="preserve"> </w:t>
            </w:r>
            <w:r>
              <w:rPr>
                <w:rFonts w:ascii="Times New Roman" w:eastAsia="Times New Roman" w:hAnsi="Times New Roman"/>
                <w:noProof/>
                <w:sz w:val="20"/>
                <w:szCs w:val="24"/>
                <w:lang w:val="sv-SE" w:eastAsia="sv-SE" w:bidi="sv-SE"/>
              </w:rPr>
              <w:t>Kommissionen kommer att bedöma läget igen i maj på basis av Portugals nationella reformprogram.</w:t>
            </w:r>
          </w:p>
          <w:p w:rsidR="008A54B8" w:rsidRDefault="00BD0CDB">
            <w:pPr>
              <w:autoSpaceDE w:val="0"/>
              <w:autoSpaceDN w:val="0"/>
              <w:adjustRightInd w:val="0"/>
              <w:spacing w:before="120" w:after="120" w:line="240" w:lineRule="auto"/>
              <w:jc w:val="both"/>
              <w:rPr>
                <w:rFonts w:ascii="Times New Roman" w:eastAsia="Times New Roman" w:hAnsi="Times New Roman"/>
                <w:b/>
                <w:bCs/>
                <w:i/>
                <w:iCs/>
                <w:noProof/>
                <w:color w:val="000000"/>
                <w:sz w:val="24"/>
                <w:szCs w:val="24"/>
                <w:lang w:val="sv-SE" w:eastAsia="sv-SE" w:bidi="sv-SE"/>
              </w:rPr>
            </w:pPr>
            <w:r>
              <w:rPr>
                <w:rFonts w:ascii="Times New Roman" w:eastAsia="Times New Roman" w:hAnsi="Times New Roman"/>
                <w:noProof/>
                <w:sz w:val="20"/>
                <w:szCs w:val="24"/>
                <w:lang w:val="sv-SE" w:eastAsia="sv-SE" w:bidi="sv-SE"/>
              </w:rPr>
              <w:t xml:space="preserve">Kommissionen kommer att följa utvecklingen för budgetarna i alla medlemsländer inom den europeiska planeringsterminen, på basis av de </w:t>
            </w:r>
            <w:r>
              <w:rPr>
                <w:rFonts w:ascii="Times New Roman" w:eastAsia="Times New Roman" w:hAnsi="Times New Roman"/>
                <w:noProof/>
                <w:sz w:val="20"/>
                <w:szCs w:val="24"/>
                <w:lang w:val="sv-SE" w:eastAsia="sv-SE" w:bidi="sv-SE"/>
              </w:rPr>
              <w:t>nationella reformprogram och stabilitets- och konvergensprogram som ska skickas in i mitten av april, och kommer att publicera sina rekommendationer i maj, om nödvändigt tillsammans med andra steg i förfarandet enligt pakten.</w:t>
            </w:r>
          </w:p>
        </w:tc>
      </w:tr>
    </w:tbl>
    <w:p w:rsidR="008A54B8" w:rsidRDefault="008A54B8">
      <w:pPr>
        <w:autoSpaceDE w:val="0"/>
        <w:autoSpaceDN w:val="0"/>
        <w:adjustRightInd w:val="0"/>
        <w:spacing w:before="120" w:after="120" w:line="240" w:lineRule="auto"/>
        <w:jc w:val="both"/>
        <w:rPr>
          <w:rFonts w:ascii="Times New Roman" w:hAnsi="Times New Roman"/>
          <w:noProof/>
          <w:sz w:val="24"/>
          <w:szCs w:val="24"/>
          <w:lang w:val="sv-SE" w:eastAsia="sv-SE" w:bidi="sv-SE"/>
        </w:rPr>
      </w:pPr>
    </w:p>
    <w:p w:rsidR="008A54B8" w:rsidRDefault="00BD0CDB">
      <w:pPr>
        <w:autoSpaceDE w:val="0"/>
        <w:autoSpaceDN w:val="0"/>
        <w:adjustRightInd w:val="0"/>
        <w:spacing w:before="120" w:after="120" w:line="240" w:lineRule="auto"/>
        <w:jc w:val="both"/>
        <w:rPr>
          <w:rFonts w:ascii="Times New Roman" w:hAnsi="Times New Roman"/>
          <w:noProof/>
          <w:sz w:val="24"/>
          <w:szCs w:val="24"/>
          <w:lang w:val="sv-SE" w:eastAsia="sv-SE" w:bidi="sv-SE"/>
        </w:rPr>
      </w:pPr>
      <w:r>
        <w:rPr>
          <w:rFonts w:ascii="Times New Roman" w:hAnsi="Times New Roman"/>
          <w:noProof/>
          <w:sz w:val="24"/>
          <w:lang w:val="sv-SE" w:eastAsia="sv-SE" w:bidi="sv-SE"/>
        </w:rPr>
        <w:t xml:space="preserve">Landsrapporterna innehåller också en utvärdering av vad medlemsländerna gjort som svar på rekommendationerna om en förstärkning av finanspolitikens institutionella och långsiktiga aspekter. </w:t>
      </w:r>
    </w:p>
    <w:p w:rsidR="008A54B8" w:rsidRDefault="00BD0CDB">
      <w:pPr>
        <w:spacing w:before="120" w:after="120" w:line="240" w:lineRule="auto"/>
        <w:jc w:val="both"/>
        <w:rPr>
          <w:rFonts w:ascii="Times New Roman" w:hAnsi="Times New Roman"/>
          <w:i/>
          <w:noProof/>
          <w:sz w:val="24"/>
          <w:szCs w:val="24"/>
          <w:lang w:val="sv-SE" w:eastAsia="sv-SE" w:bidi="sv-SE"/>
        </w:rPr>
      </w:pPr>
      <w:r>
        <w:rPr>
          <w:rFonts w:ascii="Times New Roman" w:hAnsi="Times New Roman"/>
          <w:i/>
          <w:noProof/>
          <w:sz w:val="24"/>
          <w:lang w:val="sv-SE" w:eastAsia="sv-SE" w:bidi="sv-SE"/>
        </w:rPr>
        <w:t>Finanspolitiska institutioner och styrning samt de offentliga fin</w:t>
      </w:r>
      <w:r>
        <w:rPr>
          <w:rFonts w:ascii="Times New Roman" w:hAnsi="Times New Roman"/>
          <w:i/>
          <w:noProof/>
          <w:sz w:val="24"/>
          <w:lang w:val="sv-SE" w:eastAsia="sv-SE" w:bidi="sv-SE"/>
        </w:rPr>
        <w:t>ansernas långsiktiga hållbarhet</w:t>
      </w:r>
    </w:p>
    <w:p w:rsidR="008A54B8" w:rsidRDefault="00BD0CDB">
      <w:pPr>
        <w:spacing w:before="120" w:after="120" w:line="240" w:lineRule="auto"/>
        <w:jc w:val="both"/>
        <w:rPr>
          <w:rFonts w:ascii="Times New Roman" w:hAnsi="Times New Roman"/>
          <w:noProof/>
          <w:sz w:val="24"/>
          <w:szCs w:val="24"/>
          <w:lang w:val="sv-SE" w:eastAsia="sv-SE" w:bidi="sv-SE"/>
        </w:rPr>
      </w:pPr>
      <w:r>
        <w:rPr>
          <w:rFonts w:ascii="Times New Roman" w:hAnsi="Times New Roman"/>
          <w:b/>
          <w:noProof/>
          <w:sz w:val="24"/>
          <w:lang w:val="sv-SE" w:eastAsia="sv-SE" w:bidi="sv-SE"/>
        </w:rPr>
        <w:t>Många medlemsländer har stärkt olika aspekter av sina finanspolitiska ramverk.</w:t>
      </w:r>
      <w:r>
        <w:rPr>
          <w:rFonts w:ascii="Times New Roman" w:hAnsi="Times New Roman"/>
          <w:noProof/>
          <w:sz w:val="24"/>
          <w:lang w:val="sv-SE" w:eastAsia="sv-SE" w:bidi="sv-SE"/>
        </w:rPr>
        <w:t xml:space="preserve"> Det har gjorts framsteg med att stärka de nationella finanspolitiska ramverken, vilket är mycket viktigt för att komma fram till och driva rätt f</w:t>
      </w:r>
      <w:r>
        <w:rPr>
          <w:rFonts w:ascii="Times New Roman" w:hAnsi="Times New Roman"/>
          <w:noProof/>
          <w:sz w:val="24"/>
          <w:lang w:val="sv-SE" w:eastAsia="sv-SE" w:bidi="sv-SE"/>
        </w:rPr>
        <w:t>inanspolitik. Bulgarien har antagit lagstiftning som specificerar villkoren för att korrigera avvikelser, Kroatien har gjort vidtagit vissa åtgärder för att förbättra budgetplaneringen och skärpa utgiftskontrollen, Portugal har åter reformerat sin budgetra</w:t>
      </w:r>
      <w:r>
        <w:rPr>
          <w:rFonts w:ascii="Times New Roman" w:hAnsi="Times New Roman"/>
          <w:noProof/>
          <w:sz w:val="24"/>
          <w:lang w:val="sv-SE" w:eastAsia="sv-SE" w:bidi="sv-SE"/>
        </w:rPr>
        <w:t xml:space="preserve">mlag och Slovenien har antagit genomföranderegler för den grundlagsfästa regeln om budgetbalans. I de flesta länderna har man inrättat eller stärkt oberoende finanspolitiska institutioner som ska övervaka tillämpningen av nationella finanspolitiska regler </w:t>
      </w:r>
      <w:r>
        <w:rPr>
          <w:rFonts w:ascii="Times New Roman" w:hAnsi="Times New Roman"/>
          <w:noProof/>
          <w:sz w:val="24"/>
          <w:lang w:val="sv-SE" w:eastAsia="sv-SE" w:bidi="sv-SE"/>
        </w:rPr>
        <w:t xml:space="preserve">och planer. Just nu är Tjeckien och Polen de enda medlemsländerna som inte lagstiftat om finanspolitiska råd. </w:t>
      </w:r>
    </w:p>
    <w:p w:rsidR="008A54B8" w:rsidRDefault="00BD0CDB">
      <w:pPr>
        <w:spacing w:before="120" w:after="120" w:line="240" w:lineRule="auto"/>
        <w:jc w:val="both"/>
        <w:rPr>
          <w:rFonts w:ascii="Times New Roman" w:hAnsi="Times New Roman"/>
          <w:noProof/>
          <w:sz w:val="24"/>
          <w:szCs w:val="24"/>
          <w:lang w:val="sv-SE" w:eastAsia="sv-SE" w:bidi="sv-SE"/>
        </w:rPr>
      </w:pPr>
      <w:r>
        <w:rPr>
          <w:rFonts w:ascii="Times New Roman" w:hAnsi="Times New Roman"/>
          <w:b/>
          <w:noProof/>
          <w:sz w:val="24"/>
          <w:lang w:val="sv-SE" w:eastAsia="sv-SE" w:bidi="sv-SE"/>
        </w:rPr>
        <w:t>Kommissionen håller på att se över införlivandet av reglerna i den så kallade finanspakten,</w:t>
      </w:r>
      <w:r>
        <w:rPr>
          <w:rFonts w:ascii="Times New Roman" w:hAnsi="Times New Roman"/>
          <w:b/>
          <w:noProof/>
          <w:color w:val="000000"/>
          <w:sz w:val="20"/>
          <w:vertAlign w:val="superscript"/>
          <w:lang w:val="sv-SE" w:eastAsia="sv-SE" w:bidi="sv-SE"/>
        </w:rPr>
        <w:footnoteReference w:id="20"/>
      </w:r>
      <w:r>
        <w:rPr>
          <w:rFonts w:ascii="Times New Roman" w:hAnsi="Times New Roman"/>
          <w:noProof/>
          <w:sz w:val="24"/>
          <w:lang w:val="sv-SE" w:eastAsia="sv-SE" w:bidi="sv-SE"/>
        </w:rPr>
        <w:t xml:space="preserve"> som öka överensstämmelsen mellan ländernas och EU:s </w:t>
      </w:r>
      <w:r>
        <w:rPr>
          <w:rFonts w:ascii="Times New Roman" w:hAnsi="Times New Roman"/>
          <w:noProof/>
          <w:sz w:val="24"/>
          <w:lang w:val="sv-SE" w:eastAsia="sv-SE" w:bidi="sv-SE"/>
        </w:rPr>
        <w:t>finanspolitiska ramverk och stärka egenansvaret i länderna. Kommissionen håller också samråd med avtalsparterna för att bereda dem möjlighet att lämna synpunkter på kommissionens slutsatser inför antagandet av en rapport under 2016, enligt artikel 8.1 i fö</w:t>
      </w:r>
      <w:r>
        <w:rPr>
          <w:rFonts w:ascii="Times New Roman" w:hAnsi="Times New Roman"/>
          <w:noProof/>
          <w:sz w:val="24"/>
          <w:lang w:val="sv-SE" w:eastAsia="sv-SE" w:bidi="sv-SE"/>
        </w:rPr>
        <w:t>rdraget om stabilitet, samordning och styrning inom den ekonomiska och monetära unionen.</w:t>
      </w:r>
    </w:p>
    <w:p w:rsidR="008A54B8" w:rsidRDefault="00BD0CDB">
      <w:pPr>
        <w:pBdr>
          <w:top w:val="nil"/>
          <w:left w:val="nil"/>
          <w:bottom w:val="nil"/>
          <w:right w:val="nil"/>
          <w:between w:val="nil"/>
          <w:bar w:val="nil"/>
        </w:pBdr>
        <w:spacing w:before="120" w:after="120" w:line="240" w:lineRule="auto"/>
        <w:jc w:val="both"/>
        <w:rPr>
          <w:rFonts w:ascii="Times New Roman" w:hAnsi="Times New Roman" w:cs="Calibri"/>
          <w:noProof/>
          <w:color w:val="000000"/>
          <w:sz w:val="24"/>
          <w:szCs w:val="24"/>
          <w:u w:color="000000"/>
          <w:bdr w:val="nil"/>
          <w:lang w:val="sv-SE" w:eastAsia="sv-SE" w:bidi="sv-SE"/>
        </w:rPr>
      </w:pPr>
      <w:r>
        <w:rPr>
          <w:rFonts w:ascii="Times New Roman" w:hAnsi="Times New Roman"/>
          <w:b/>
          <w:noProof/>
          <w:color w:val="000000"/>
          <w:sz w:val="24"/>
          <w:u w:color="000000"/>
          <w:bdr w:val="nil"/>
          <w:lang w:val="sv-SE" w:eastAsia="sv-SE" w:bidi="sv-SE"/>
        </w:rPr>
        <w:t>Den förväntade ökningen av åldersrelaterade utgifter kan utgöra en risk för de offentliga finansernas hållbarhet på medellång till lång sikt</w:t>
      </w:r>
      <w:r>
        <w:rPr>
          <w:rFonts w:ascii="Times New Roman" w:hAnsi="Times New Roman"/>
          <w:noProof/>
          <w:color w:val="000000"/>
          <w:sz w:val="24"/>
          <w:u w:color="000000"/>
          <w:bdr w:val="nil"/>
          <w:lang w:val="sv-SE" w:eastAsia="sv-SE" w:bidi="sv-SE"/>
        </w:rPr>
        <w:t xml:space="preserve">. Befolkningen blir snabbt </w:t>
      </w:r>
      <w:r>
        <w:rPr>
          <w:rFonts w:ascii="Times New Roman" w:hAnsi="Times New Roman"/>
          <w:noProof/>
          <w:color w:val="000000"/>
          <w:sz w:val="24"/>
          <w:u w:color="000000"/>
          <w:bdr w:val="nil"/>
          <w:lang w:val="sv-SE" w:eastAsia="sv-SE" w:bidi="sv-SE"/>
        </w:rPr>
        <w:t>äldre i EU och i euroområdet i synnerhet. Befolkningen i arbetsför ålder väntas sjunka med i genomsnitt 0,4 % årligen under de fyra kommande årtiondena. Den åldrande befolkningen har direkt genomslag på de offentliga finanserna i form av utgifter för pensi</w:t>
      </w:r>
      <w:r>
        <w:rPr>
          <w:rFonts w:ascii="Times New Roman" w:hAnsi="Times New Roman"/>
          <w:noProof/>
          <w:color w:val="000000"/>
          <w:sz w:val="24"/>
          <w:u w:color="000000"/>
          <w:bdr w:val="nil"/>
          <w:lang w:val="sv-SE" w:eastAsia="sv-SE" w:bidi="sv-SE"/>
        </w:rPr>
        <w:t>oner, vård och omsorg. Om inte korrigerande åtgärder vidtas, kommer över hälften av medlemsländerna att få stora eller ganska stora hållbarhetsproblem.</w:t>
      </w:r>
      <w:r>
        <w:rPr>
          <w:rFonts w:ascii="Times New Roman" w:hAnsi="Times New Roman"/>
          <w:noProof/>
          <w:color w:val="000000"/>
          <w:sz w:val="24"/>
          <w:u w:color="000000"/>
          <w:bdr w:val="nil"/>
          <w:vertAlign w:val="superscript"/>
          <w:lang w:val="sv-SE" w:eastAsia="sv-SE" w:bidi="sv-SE"/>
        </w:rPr>
        <w:footnoteReference w:id="21"/>
      </w:r>
      <w:r>
        <w:rPr>
          <w:rFonts w:ascii="Times New Roman" w:hAnsi="Times New Roman"/>
          <w:noProof/>
          <w:color w:val="000000"/>
          <w:sz w:val="24"/>
          <w:u w:color="000000"/>
          <w:bdr w:val="nil"/>
          <w:lang w:val="sv-SE" w:eastAsia="sv-SE" w:bidi="sv-SE"/>
        </w:rPr>
        <w:t xml:space="preserve"> Det har gjorts goda framsteg i flera länder och de långsiktiga hållbarhetsproblemen har minskat sedan krisen inleddes, främst på grund av genomförda pensionsreformer och finanspolitisk konsolidering. Det återstår dock stora utmaningar med tanke på den för</w:t>
      </w:r>
      <w:r>
        <w:rPr>
          <w:rFonts w:ascii="Times New Roman" w:hAnsi="Times New Roman"/>
          <w:noProof/>
          <w:color w:val="000000"/>
          <w:sz w:val="24"/>
          <w:u w:color="000000"/>
          <w:bdr w:val="nil"/>
          <w:lang w:val="sv-SE" w:eastAsia="sv-SE" w:bidi="sv-SE"/>
        </w:rPr>
        <w:t>väntade utvecklingen för de åldersrelaterade utgifterna.</w:t>
      </w:r>
    </w:p>
    <w:p w:rsidR="008A54B8" w:rsidRDefault="00BD0CDB">
      <w:pPr>
        <w:pBdr>
          <w:top w:val="nil"/>
          <w:left w:val="nil"/>
          <w:bottom w:val="nil"/>
          <w:right w:val="nil"/>
          <w:between w:val="nil"/>
          <w:bar w:val="nil"/>
        </w:pBdr>
        <w:spacing w:before="120" w:after="120" w:line="240" w:lineRule="auto"/>
        <w:jc w:val="both"/>
        <w:rPr>
          <w:rFonts w:ascii="Times New Roman" w:eastAsia="Times New Roman" w:hAnsi="Times New Roman"/>
          <w:noProof/>
          <w:color w:val="000000"/>
          <w:sz w:val="24"/>
          <w:szCs w:val="24"/>
          <w:u w:color="000000"/>
          <w:bdr w:val="nil"/>
          <w:lang w:val="sv-SE" w:eastAsia="sv-SE" w:bidi="sv-SE"/>
        </w:rPr>
      </w:pPr>
      <w:r>
        <w:rPr>
          <w:rFonts w:ascii="Times New Roman" w:hAnsi="Times New Roman"/>
          <w:b/>
          <w:noProof/>
          <w:color w:val="000000"/>
          <w:sz w:val="24"/>
          <w:u w:color="000000"/>
          <w:bdr w:val="nil"/>
          <w:lang w:val="sv-SE" w:eastAsia="sv-SE" w:bidi="sv-SE"/>
        </w:rPr>
        <w:t xml:space="preserve">Utfallet för pensionsreformerna varierar mellan medlemsländerna. </w:t>
      </w:r>
      <w:r>
        <w:rPr>
          <w:rFonts w:ascii="Times New Roman" w:hAnsi="Times New Roman"/>
          <w:noProof/>
          <w:color w:val="000000"/>
          <w:sz w:val="24"/>
          <w:u w:color="000000"/>
          <w:bdr w:val="nil"/>
          <w:lang w:val="sv-SE" w:eastAsia="sv-SE" w:bidi="sv-SE"/>
        </w:rPr>
        <w:t>Pensionssystemet pekades ut som ett långsiktigt problem i flera länder (Belgien, Bulgarien, Kroatien, Litauen, Luxemburg, Malta, Polen</w:t>
      </w:r>
      <w:r>
        <w:rPr>
          <w:rFonts w:ascii="Times New Roman" w:hAnsi="Times New Roman"/>
          <w:noProof/>
          <w:color w:val="000000"/>
          <w:sz w:val="24"/>
          <w:u w:color="000000"/>
          <w:bdr w:val="nil"/>
          <w:lang w:val="sv-SE" w:eastAsia="sv-SE" w:bidi="sv-SE"/>
        </w:rPr>
        <w:t xml:space="preserve">, Portugal, Rumänien, Slovenien och Österrike) i förra årets landsspecifika rekommendationer. Belgien har antagit den sista delen av den pensionsreform som man enades om 2014, främst en höjning av den lagstadgade pensionsåldern till 66 år från 2025 och 67 </w:t>
      </w:r>
      <w:r>
        <w:rPr>
          <w:rFonts w:ascii="Times New Roman" w:hAnsi="Times New Roman"/>
          <w:noProof/>
          <w:color w:val="000000"/>
          <w:sz w:val="24"/>
          <w:u w:color="000000"/>
          <w:bdr w:val="nil"/>
          <w:lang w:val="sv-SE" w:eastAsia="sv-SE" w:bidi="sv-SE"/>
        </w:rPr>
        <w:t>från 2030. I Finland antog riksdagen en pensionsreform i november 2015. Den lägsta pensionsåldern ska stegvis höjas till 65 år till 2025. Från 2027 ska den lägsta pensionsåldern kopplas till den förväntade livslängden så att förhållandet mellan det antal å</w:t>
      </w:r>
      <w:r>
        <w:rPr>
          <w:rFonts w:ascii="Times New Roman" w:hAnsi="Times New Roman"/>
          <w:noProof/>
          <w:color w:val="000000"/>
          <w:sz w:val="24"/>
          <w:u w:color="000000"/>
          <w:bdr w:val="nil"/>
          <w:lang w:val="sv-SE" w:eastAsia="sv-SE" w:bidi="sv-SE"/>
        </w:rPr>
        <w:t>r man måste arbeta och antalet år som pensionär ligger kvar på samma nivå som 2025. I Frankrike väntas den överenskommelse som ingicks mellan arbetsmarknadens parter i oktober 2015 förbättra det finansiella läget för systemet för kompletterande pensioner.</w:t>
      </w:r>
    </w:p>
    <w:p w:rsidR="008A54B8" w:rsidRDefault="00BD0CDB">
      <w:pPr>
        <w:pBdr>
          <w:top w:val="nil"/>
          <w:left w:val="nil"/>
          <w:bottom w:val="nil"/>
          <w:right w:val="nil"/>
          <w:between w:val="nil"/>
          <w:bar w:val="nil"/>
        </w:pBdr>
        <w:spacing w:before="120" w:after="120" w:line="240" w:lineRule="auto"/>
        <w:jc w:val="both"/>
        <w:rPr>
          <w:rFonts w:ascii="Times New Roman" w:hAnsi="Times New Roman" w:cs="Calibri"/>
          <w:noProof/>
          <w:color w:val="000000"/>
          <w:sz w:val="24"/>
          <w:szCs w:val="24"/>
          <w:u w:color="000000"/>
          <w:bdr w:val="nil"/>
          <w:lang w:val="sv-SE" w:eastAsia="sv-SE" w:bidi="sv-SE"/>
        </w:rPr>
      </w:pPr>
      <w:r>
        <w:rPr>
          <w:rFonts w:ascii="Times New Roman" w:hAnsi="Times New Roman"/>
          <w:b/>
          <w:noProof/>
          <w:color w:val="000000"/>
          <w:sz w:val="24"/>
          <w:u w:color="000000"/>
          <w:bdr w:val="nil"/>
          <w:lang w:val="sv-SE" w:eastAsia="sv-SE" w:bidi="sv-SE"/>
        </w:rPr>
        <w:t xml:space="preserve">För flera länder pekades hälso- och sjukvården ut som ett problemområde i de landsspecifika rekommendationerna. </w:t>
      </w:r>
      <w:r>
        <w:rPr>
          <w:rFonts w:ascii="Times New Roman" w:hAnsi="Times New Roman"/>
          <w:noProof/>
          <w:color w:val="000000"/>
          <w:sz w:val="24"/>
          <w:u w:color="000000"/>
          <w:bdr w:val="nil"/>
          <w:lang w:val="sv-SE" w:eastAsia="sv-SE" w:bidi="sv-SE"/>
        </w:rPr>
        <w:t>Vilka framsteg som gjorts med att reformera hälso- och sjukvården för att effektivisera den och säkra prisvärd tillgång till vård varierar mella</w:t>
      </w:r>
      <w:r>
        <w:rPr>
          <w:rFonts w:ascii="Times New Roman" w:hAnsi="Times New Roman"/>
          <w:noProof/>
          <w:color w:val="000000"/>
          <w:sz w:val="24"/>
          <w:u w:color="000000"/>
          <w:bdr w:val="nil"/>
          <w:lang w:val="sv-SE" w:eastAsia="sv-SE" w:bidi="sv-SE"/>
        </w:rPr>
        <w:t>n länderna. Irland, Spanien och Rumänien har vidtagit åtgärder för att få kontroll på läkemedelsutgifterna. Rumänien har gjort framsteg för att råda bot på sin ineffektiva resursanvändning och Irland har lyckats införa aktivitetsbaserad finansiering. Slova</w:t>
      </w:r>
      <w:r>
        <w:rPr>
          <w:rFonts w:ascii="Times New Roman" w:hAnsi="Times New Roman"/>
          <w:noProof/>
          <w:color w:val="000000"/>
          <w:sz w:val="24"/>
          <w:u w:color="000000"/>
          <w:bdr w:val="nil"/>
          <w:lang w:val="sv-SE" w:eastAsia="sv-SE" w:bidi="sv-SE"/>
        </w:rPr>
        <w:t>kien har stärkt allmänläkarnas roll som ”grindvakter”, sin finansiella revision och informationssystemen. Tjeckien håller på att effektivisera sina sjukhus, öka insynen i avtalen mellan de försäkrade och försäkringsgivarna och centralisera upphandlingsförf</w:t>
      </w:r>
      <w:r>
        <w:rPr>
          <w:rFonts w:ascii="Times New Roman" w:hAnsi="Times New Roman"/>
          <w:noProof/>
          <w:color w:val="000000"/>
          <w:sz w:val="24"/>
          <w:u w:color="000000"/>
          <w:bdr w:val="nil"/>
          <w:lang w:val="sv-SE" w:eastAsia="sv-SE" w:bidi="sv-SE"/>
        </w:rPr>
        <w:t>arandena. De reformer som ett flertal medlemsländer har inlett måste fortsätta och vidareutvecklas för att säkra en hållbar finansiering av vården och tillräcklig tillgång till effektiv vård för alla.</w:t>
      </w:r>
    </w:p>
    <w:p w:rsidR="008A54B8" w:rsidRDefault="008A54B8">
      <w:pPr>
        <w:pBdr>
          <w:top w:val="nil"/>
          <w:left w:val="nil"/>
          <w:bottom w:val="nil"/>
          <w:right w:val="nil"/>
          <w:between w:val="nil"/>
          <w:bar w:val="nil"/>
        </w:pBdr>
        <w:spacing w:before="120" w:after="120" w:line="240" w:lineRule="auto"/>
        <w:jc w:val="both"/>
        <w:rPr>
          <w:rFonts w:ascii="Times New Roman" w:hAnsi="Times New Roman" w:cs="Calibri"/>
          <w:noProof/>
          <w:color w:val="000000"/>
          <w:sz w:val="24"/>
          <w:szCs w:val="24"/>
          <w:u w:color="000000"/>
          <w:bdr w:val="nil"/>
          <w:lang w:val="sv-SE" w:eastAsia="sv-SE" w:bidi="sv-SE"/>
        </w:rPr>
      </w:pPr>
    </w:p>
    <w:p w:rsidR="008A54B8" w:rsidRDefault="00BD0CDB">
      <w:pPr>
        <w:spacing w:before="120" w:after="120" w:line="240" w:lineRule="auto"/>
        <w:jc w:val="both"/>
        <w:rPr>
          <w:rFonts w:ascii="Times New Roman Bold" w:hAnsi="Times New Roman Bold"/>
          <w:b/>
          <w:smallCaps/>
          <w:noProof/>
          <w:sz w:val="26"/>
          <w:szCs w:val="24"/>
          <w:lang w:val="sv-SE" w:eastAsia="sv-SE" w:bidi="sv-SE"/>
        </w:rPr>
      </w:pPr>
      <w:r>
        <w:rPr>
          <w:rFonts w:ascii="Times New Roman Bold" w:hAnsi="Times New Roman Bold"/>
          <w:b/>
          <w:smallCaps/>
          <w:noProof/>
          <w:sz w:val="26"/>
          <w:lang w:val="sv-SE" w:eastAsia="sv-SE" w:bidi="sv-SE"/>
        </w:rPr>
        <w:t>6.</w:t>
      </w:r>
      <w:r>
        <w:rPr>
          <w:noProof/>
          <w:lang w:val="sv-SE" w:eastAsia="sv-SE" w:bidi="sv-SE"/>
        </w:rPr>
        <w:tab/>
      </w:r>
      <w:r>
        <w:rPr>
          <w:rFonts w:ascii="Times New Roman Bold" w:hAnsi="Times New Roman Bold"/>
          <w:b/>
          <w:smallCaps/>
          <w:noProof/>
          <w:sz w:val="26"/>
          <w:lang w:val="sv-SE" w:eastAsia="sv-SE" w:bidi="sv-SE"/>
        </w:rPr>
        <w:t>Nästa steg</w:t>
      </w:r>
    </w:p>
    <w:p w:rsidR="008A54B8" w:rsidRDefault="00BD0CDB">
      <w:pPr>
        <w:spacing w:before="120" w:after="120" w:line="240" w:lineRule="auto"/>
        <w:jc w:val="both"/>
        <w:rPr>
          <w:rFonts w:ascii="Times New Roman" w:hAnsi="Times New Roman"/>
          <w:noProof/>
          <w:sz w:val="24"/>
          <w:szCs w:val="24"/>
          <w:lang w:val="sv-SE" w:eastAsia="sv-SE" w:bidi="sv-SE"/>
        </w:rPr>
      </w:pPr>
      <w:r>
        <w:rPr>
          <w:rFonts w:ascii="Times New Roman" w:hAnsi="Times New Roman"/>
          <w:noProof/>
          <w:sz w:val="24"/>
          <w:szCs w:val="24"/>
          <w:lang w:val="sv-SE" w:eastAsia="sv-SE" w:bidi="sv-SE"/>
        </w:rPr>
        <w:br/>
      </w:r>
      <w:r>
        <w:rPr>
          <w:rFonts w:ascii="Times New Roman" w:hAnsi="Times New Roman"/>
          <w:noProof/>
          <w:sz w:val="24"/>
          <w:lang w:val="sv-SE" w:eastAsia="sv-SE" w:bidi="sv-SE"/>
        </w:rPr>
        <w:t xml:space="preserve">Efter diskussioner i rådet och en </w:t>
      </w:r>
      <w:r>
        <w:rPr>
          <w:rFonts w:ascii="Times New Roman" w:hAnsi="Times New Roman"/>
          <w:noProof/>
          <w:sz w:val="24"/>
          <w:lang w:val="sv-SE" w:eastAsia="sv-SE" w:bidi="sv-SE"/>
        </w:rPr>
        <w:t>bredare dialog med Europaparlamentet, arbetsmarknadens parter och intressenterna godkände Europeiska rådet rekommendationerna om den ekonomiska politiken för euroområdet på sitt möte den 18–19 februari 2016.</w:t>
      </w:r>
    </w:p>
    <w:p w:rsidR="008A54B8" w:rsidRDefault="00BD0CDB">
      <w:pPr>
        <w:spacing w:before="120" w:after="120" w:line="240" w:lineRule="auto"/>
        <w:jc w:val="both"/>
        <w:rPr>
          <w:rFonts w:ascii="Times New Roman" w:hAnsi="Times New Roman"/>
          <w:noProof/>
          <w:sz w:val="24"/>
          <w:szCs w:val="24"/>
          <w:lang w:val="sv-SE" w:eastAsia="sv-SE" w:bidi="sv-SE"/>
        </w:rPr>
      </w:pPr>
      <w:r>
        <w:rPr>
          <w:rFonts w:ascii="Times New Roman" w:hAnsi="Times New Roman"/>
          <w:noProof/>
          <w:sz w:val="24"/>
          <w:lang w:val="sv-SE" w:eastAsia="sv-SE" w:bidi="sv-SE"/>
        </w:rPr>
        <w:t xml:space="preserve">Analyserna i landsrapporterna ska nu diskuteras </w:t>
      </w:r>
      <w:r>
        <w:rPr>
          <w:rFonts w:ascii="Times New Roman" w:hAnsi="Times New Roman"/>
          <w:noProof/>
          <w:sz w:val="24"/>
          <w:lang w:val="sv-SE" w:eastAsia="sv-SE" w:bidi="sv-SE"/>
        </w:rPr>
        <w:t xml:space="preserve">med medlemsländerna i bilaterala möten. Kommissionens vice ordförande och kommissionärerna kommer att träffa regeringar, nationella parlament, arbetsmarknadens parter och andra intressenter. </w:t>
      </w:r>
    </w:p>
    <w:p w:rsidR="008A54B8" w:rsidRDefault="00BD0CDB">
      <w:pPr>
        <w:spacing w:before="120" w:after="120" w:line="240" w:lineRule="auto"/>
        <w:jc w:val="both"/>
        <w:rPr>
          <w:rFonts w:ascii="Times New Roman" w:hAnsi="Times New Roman"/>
          <w:noProof/>
          <w:sz w:val="24"/>
          <w:szCs w:val="24"/>
          <w:lang w:val="sv-SE" w:eastAsia="sv-SE" w:bidi="sv-SE"/>
        </w:rPr>
      </w:pPr>
      <w:r>
        <w:rPr>
          <w:rFonts w:ascii="Times New Roman" w:hAnsi="Times New Roman"/>
          <w:noProof/>
          <w:sz w:val="24"/>
          <w:lang w:val="sv-SE" w:eastAsia="sv-SE" w:bidi="sv-SE"/>
        </w:rPr>
        <w:t>Medlemsländerna förväntas ta upp de identifierade problemen i de</w:t>
      </w:r>
      <w:r>
        <w:rPr>
          <w:rFonts w:ascii="Times New Roman" w:hAnsi="Times New Roman"/>
          <w:noProof/>
          <w:sz w:val="24"/>
          <w:lang w:val="sv-SE" w:eastAsia="sv-SE" w:bidi="sv-SE"/>
        </w:rPr>
        <w:t xml:space="preserve"> nationella reformprogram och stabilitets- och konvergensprogram som ska publiceras och läggas fram för kommissionen i mitten av april. Kommissionen har uppmanat länderna att samråda med de nationella parlamenten och arbetsmarknadens parter under arbetet m</w:t>
      </w:r>
      <w:r>
        <w:rPr>
          <w:rFonts w:ascii="Times New Roman" w:hAnsi="Times New Roman"/>
          <w:noProof/>
          <w:sz w:val="24"/>
          <w:lang w:val="sv-SE" w:eastAsia="sv-SE" w:bidi="sv-SE"/>
        </w:rPr>
        <w:t xml:space="preserve">ed de nationella programmen. </w:t>
      </w:r>
    </w:p>
    <w:p w:rsidR="008A54B8" w:rsidRDefault="00BD0CDB">
      <w:pPr>
        <w:spacing w:before="120" w:after="120" w:line="240" w:lineRule="auto"/>
        <w:jc w:val="both"/>
        <w:rPr>
          <w:noProof/>
          <w:lang w:val="sv-SE" w:eastAsia="sv-SE" w:bidi="sv-SE"/>
        </w:rPr>
      </w:pPr>
      <w:r>
        <w:rPr>
          <w:rFonts w:ascii="Times New Roman" w:hAnsi="Times New Roman"/>
          <w:noProof/>
          <w:sz w:val="24"/>
          <w:lang w:val="sv-SE" w:eastAsia="sv-SE" w:bidi="sv-SE"/>
        </w:rPr>
        <w:t xml:space="preserve"> </w:t>
      </w:r>
    </w:p>
    <w:p w:rsidR="008A54B8" w:rsidRDefault="00BD0CDB">
      <w:pPr>
        <w:keepNext/>
        <w:pageBreakBefore/>
        <w:tabs>
          <w:tab w:val="left" w:pos="0"/>
        </w:tabs>
        <w:spacing w:before="120" w:after="120" w:line="240" w:lineRule="auto"/>
        <w:outlineLvl w:val="0"/>
        <w:rPr>
          <w:rFonts w:ascii="Times New Roman" w:eastAsia="Times New Roman" w:hAnsi="Times New Roman"/>
          <w:b/>
          <w:smallCaps/>
          <w:noProof/>
          <w:sz w:val="24"/>
          <w:szCs w:val="24"/>
          <w:lang w:val="sv-SE" w:eastAsia="sv-SE" w:bidi="sv-SE"/>
        </w:rPr>
      </w:pPr>
      <w:r>
        <w:rPr>
          <w:rFonts w:ascii="Times New Roman" w:hAnsi="Times New Roman"/>
          <w:b/>
          <w:smallCaps/>
          <w:noProof/>
          <w:sz w:val="24"/>
          <w:lang w:val="sv-SE" w:eastAsia="sv-SE" w:bidi="sv-SE"/>
        </w:rPr>
        <w:t>Bilaga 1 – Integrerad övervakning av makroekonomiska och finanspolitiska obalanser</w:t>
      </w:r>
      <w:r>
        <w:rPr>
          <w:rFonts w:ascii="Times New Roman" w:eastAsia="Times New Roman" w:hAnsi="Times New Roman"/>
          <w:b/>
          <w:smallCaps/>
          <w:noProof/>
          <w:sz w:val="24"/>
          <w:szCs w:val="24"/>
          <w:lang w:val="sv-SE" w:eastAsia="sv-SE" w:bidi="sv-SE"/>
        </w:rPr>
        <w:br/>
      </w:r>
    </w:p>
    <w:tbl>
      <w:tblPr>
        <w:tblW w:w="8868" w:type="dxa"/>
        <w:jc w:val="center"/>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607"/>
        <w:gridCol w:w="2116"/>
        <w:gridCol w:w="2923"/>
        <w:gridCol w:w="3222"/>
      </w:tblGrid>
      <w:tr w:rsidR="008A54B8" w:rsidRPr="00BD0CDB">
        <w:trPr>
          <w:trHeight w:val="263"/>
          <w:jc w:val="center"/>
        </w:trPr>
        <w:tc>
          <w:tcPr>
            <w:tcW w:w="607" w:type="dxa"/>
            <w:tcBorders>
              <w:top w:val="single" w:sz="12" w:space="0" w:color="auto"/>
              <w:left w:val="nil"/>
              <w:right w:val="single" w:sz="4" w:space="0" w:color="auto"/>
            </w:tcBorders>
            <w:vAlign w:val="center"/>
          </w:tcPr>
          <w:p w:rsidR="008A54B8" w:rsidRDefault="008A54B8">
            <w:pPr>
              <w:spacing w:before="120" w:after="120" w:line="240" w:lineRule="auto"/>
              <w:jc w:val="center"/>
              <w:rPr>
                <w:rFonts w:ascii="Times New Roman" w:eastAsia="Times New Roman" w:hAnsi="Times New Roman"/>
                <w:b/>
                <w:noProof/>
                <w:sz w:val="18"/>
                <w:szCs w:val="18"/>
                <w:lang w:val="sv-SE" w:eastAsia="sv-SE" w:bidi="sv-SE"/>
              </w:rPr>
            </w:pPr>
          </w:p>
        </w:tc>
        <w:tc>
          <w:tcPr>
            <w:tcW w:w="2116" w:type="dxa"/>
            <w:tcBorders>
              <w:top w:val="single" w:sz="12" w:space="0" w:color="auto"/>
              <w:left w:val="single" w:sz="4" w:space="0" w:color="auto"/>
              <w:right w:val="single" w:sz="4" w:space="0" w:color="auto"/>
            </w:tcBorders>
            <w:vAlign w:val="center"/>
          </w:tcPr>
          <w:p w:rsidR="008A54B8" w:rsidRDefault="00BD0CDB">
            <w:pPr>
              <w:spacing w:before="120" w:after="120" w:line="240" w:lineRule="auto"/>
              <w:jc w:val="center"/>
              <w:rPr>
                <w:rFonts w:ascii="Times New Roman" w:eastAsia="Times New Roman" w:hAnsi="Times New Roman"/>
                <w:b/>
                <w:noProof/>
                <w:sz w:val="18"/>
                <w:szCs w:val="18"/>
                <w:lang w:val="sv-SE" w:eastAsia="sv-SE" w:bidi="sv-SE"/>
              </w:rPr>
            </w:pPr>
            <w:r>
              <w:rPr>
                <w:rFonts w:ascii="Times New Roman" w:hAnsi="Times New Roman"/>
                <w:b/>
                <w:noProof/>
                <w:sz w:val="18"/>
                <w:lang w:val="sv-SE" w:eastAsia="sv-SE" w:bidi="sv-SE"/>
              </w:rPr>
              <w:t>Resultatet av de fördjupade granskningarna 2016 inom förfarandet vid makroekonomiska obalanser</w:t>
            </w:r>
            <w:r>
              <w:rPr>
                <w:rFonts w:ascii="Times New Roman" w:hAnsi="Times New Roman"/>
                <w:b/>
                <w:noProof/>
                <w:sz w:val="18"/>
                <w:vertAlign w:val="superscript"/>
                <w:lang w:val="sv-SE" w:eastAsia="sv-SE" w:bidi="sv-SE"/>
              </w:rPr>
              <w:footnoteReference w:id="22"/>
            </w:r>
          </w:p>
        </w:tc>
        <w:tc>
          <w:tcPr>
            <w:tcW w:w="2923" w:type="dxa"/>
            <w:tcBorders>
              <w:top w:val="single" w:sz="12" w:space="0" w:color="auto"/>
              <w:left w:val="single" w:sz="4" w:space="0" w:color="auto"/>
              <w:right w:val="nil"/>
            </w:tcBorders>
            <w:vAlign w:val="center"/>
          </w:tcPr>
          <w:p w:rsidR="008A54B8" w:rsidRDefault="00BD0CDB">
            <w:pPr>
              <w:spacing w:before="120" w:after="120" w:line="240" w:lineRule="auto"/>
              <w:jc w:val="center"/>
              <w:rPr>
                <w:rFonts w:ascii="Times New Roman" w:eastAsia="Times New Roman" w:hAnsi="Times New Roman"/>
                <w:b/>
                <w:noProof/>
                <w:sz w:val="18"/>
                <w:szCs w:val="18"/>
                <w:lang w:val="sv-SE" w:eastAsia="sv-SE" w:bidi="sv-SE"/>
              </w:rPr>
            </w:pPr>
            <w:r>
              <w:rPr>
                <w:rFonts w:ascii="Times New Roman" w:hAnsi="Times New Roman"/>
                <w:b/>
                <w:noProof/>
                <w:sz w:val="18"/>
                <w:lang w:val="sv-SE" w:eastAsia="sv-SE" w:bidi="sv-SE"/>
              </w:rPr>
              <w:t>Stabilitet- och tillväxtpakten</w:t>
            </w:r>
          </w:p>
          <w:p w:rsidR="008A54B8" w:rsidRDefault="00BD0CDB">
            <w:pPr>
              <w:spacing w:before="120" w:after="120" w:line="240" w:lineRule="auto"/>
              <w:jc w:val="center"/>
              <w:rPr>
                <w:rFonts w:ascii="Times New Roman" w:eastAsia="Times New Roman" w:hAnsi="Times New Roman"/>
                <w:b/>
                <w:noProof/>
                <w:sz w:val="18"/>
                <w:szCs w:val="18"/>
                <w:lang w:val="sv-SE" w:eastAsia="sv-SE" w:bidi="sv-SE"/>
              </w:rPr>
            </w:pPr>
            <w:r>
              <w:rPr>
                <w:rFonts w:ascii="Times New Roman" w:hAnsi="Times New Roman"/>
                <w:b/>
                <w:noProof/>
                <w:sz w:val="18"/>
                <w:lang w:val="sv-SE" w:eastAsia="sv-SE" w:bidi="sv-SE"/>
              </w:rPr>
              <w:t>(MTO: medelf</w:t>
            </w:r>
            <w:r>
              <w:rPr>
                <w:rFonts w:ascii="Times New Roman" w:hAnsi="Times New Roman"/>
                <w:b/>
                <w:noProof/>
                <w:sz w:val="18"/>
                <w:lang w:val="sv-SE" w:eastAsia="sv-SE" w:bidi="sv-SE"/>
              </w:rPr>
              <w:t>ristigt budgetmål/ EDP: förfarandet vid alltför stora underskott)</w:t>
            </w:r>
            <w:r>
              <w:rPr>
                <w:rFonts w:ascii="Times New Roman" w:hAnsi="Times New Roman"/>
                <w:b/>
                <w:noProof/>
                <w:sz w:val="18"/>
                <w:vertAlign w:val="superscript"/>
                <w:lang w:val="sv-SE" w:eastAsia="sv-SE" w:bidi="sv-SE"/>
              </w:rPr>
              <w:footnoteReference w:id="23"/>
            </w:r>
          </w:p>
        </w:tc>
        <w:tc>
          <w:tcPr>
            <w:tcW w:w="3222" w:type="dxa"/>
            <w:tcBorders>
              <w:top w:val="single" w:sz="12" w:space="0" w:color="auto"/>
              <w:left w:val="single" w:sz="4" w:space="0" w:color="auto"/>
              <w:right w:val="nil"/>
            </w:tcBorders>
            <w:vAlign w:val="center"/>
          </w:tcPr>
          <w:p w:rsidR="008A54B8" w:rsidRDefault="00BD0CDB">
            <w:pPr>
              <w:spacing w:before="120" w:after="120" w:line="240" w:lineRule="auto"/>
              <w:jc w:val="center"/>
              <w:rPr>
                <w:rFonts w:ascii="Times New Roman" w:eastAsia="Times New Roman" w:hAnsi="Times New Roman"/>
                <w:b/>
                <w:noProof/>
                <w:sz w:val="18"/>
                <w:szCs w:val="18"/>
                <w:lang w:val="sv-SE" w:eastAsia="sv-SE" w:bidi="sv-SE"/>
              </w:rPr>
            </w:pPr>
            <w:r>
              <w:rPr>
                <w:rFonts w:ascii="Times New Roman" w:hAnsi="Times New Roman"/>
                <w:b/>
                <w:noProof/>
                <w:sz w:val="18"/>
                <w:lang w:val="sv-SE" w:eastAsia="sv-SE" w:bidi="sv-SE"/>
              </w:rPr>
              <w:t>Kommentarer, inklusive ändringar till och med den 8 mars 2016</w:t>
            </w:r>
          </w:p>
        </w:tc>
      </w:tr>
      <w:tr w:rsidR="008A54B8">
        <w:trPr>
          <w:trHeight w:val="454"/>
          <w:jc w:val="center"/>
        </w:trPr>
        <w:tc>
          <w:tcPr>
            <w:tcW w:w="607" w:type="dxa"/>
            <w:tcBorders>
              <w:top w:val="single" w:sz="12" w:space="0" w:color="auto"/>
              <w:left w:val="nil"/>
              <w:bottom w:val="single" w:sz="4" w:space="0" w:color="auto"/>
              <w:right w:val="single" w:sz="4" w:space="0" w:color="auto"/>
            </w:tcBorders>
            <w:shd w:val="clear" w:color="auto" w:fill="FFFFFF"/>
            <w:vAlign w:val="center"/>
          </w:tcPr>
          <w:p w:rsidR="008A54B8" w:rsidRDefault="00BD0CDB">
            <w:pPr>
              <w:spacing w:before="60" w:after="60" w:line="240" w:lineRule="auto"/>
              <w:jc w:val="center"/>
              <w:rPr>
                <w:rFonts w:ascii="Times New Roman" w:eastAsia="Times New Roman" w:hAnsi="Times New Roman"/>
                <w:b/>
                <w:noProof/>
                <w:sz w:val="18"/>
                <w:szCs w:val="18"/>
                <w:lang w:val="sv-SE" w:eastAsia="sv-SE" w:bidi="sv-SE"/>
              </w:rPr>
            </w:pPr>
            <w:r>
              <w:rPr>
                <w:rFonts w:ascii="Times New Roman" w:hAnsi="Times New Roman"/>
                <w:b/>
                <w:noProof/>
                <w:sz w:val="18"/>
                <w:lang w:val="sv-SE" w:eastAsia="sv-SE" w:bidi="sv-SE"/>
              </w:rPr>
              <w:t>BE</w:t>
            </w:r>
          </w:p>
        </w:tc>
        <w:tc>
          <w:tcPr>
            <w:tcW w:w="2116" w:type="dxa"/>
            <w:tcBorders>
              <w:top w:val="single" w:sz="12" w:space="0" w:color="auto"/>
              <w:left w:val="single" w:sz="4" w:space="0" w:color="auto"/>
              <w:bottom w:val="single" w:sz="4" w:space="0" w:color="auto"/>
              <w:right w:val="single" w:sz="4" w:space="0" w:color="auto"/>
            </w:tcBorders>
            <w:shd w:val="clear" w:color="auto" w:fill="FFFFFF"/>
            <w:vAlign w:val="center"/>
          </w:tcPr>
          <w:p w:rsidR="008A54B8" w:rsidRDefault="00BD0CDB">
            <w:pPr>
              <w:spacing w:before="60" w:after="60" w:line="240" w:lineRule="auto"/>
              <w:jc w:val="center"/>
              <w:rPr>
                <w:rFonts w:ascii="Times New Roman" w:eastAsia="Times New Roman" w:hAnsi="Times New Roman"/>
                <w:noProof/>
                <w:sz w:val="18"/>
                <w:szCs w:val="18"/>
                <w:lang w:val="sv-SE" w:eastAsia="sv-SE" w:bidi="sv-SE"/>
              </w:rPr>
            </w:pPr>
            <w:r>
              <w:rPr>
                <w:rFonts w:ascii="Times New Roman" w:hAnsi="Times New Roman"/>
                <w:noProof/>
                <w:sz w:val="18"/>
                <w:lang w:val="sv-SE" w:eastAsia="sv-SE" w:bidi="sv-SE"/>
              </w:rPr>
              <w:t>Inga obalanser</w:t>
            </w:r>
          </w:p>
        </w:tc>
        <w:tc>
          <w:tcPr>
            <w:tcW w:w="2923" w:type="dxa"/>
            <w:tcBorders>
              <w:top w:val="single" w:sz="12" w:space="0" w:color="auto"/>
              <w:left w:val="single" w:sz="4" w:space="0" w:color="auto"/>
              <w:bottom w:val="single" w:sz="4" w:space="0" w:color="auto"/>
              <w:right w:val="nil"/>
            </w:tcBorders>
            <w:shd w:val="clear" w:color="auto" w:fill="FFFFFF"/>
            <w:vAlign w:val="center"/>
          </w:tcPr>
          <w:p w:rsidR="008A54B8" w:rsidRDefault="00BD0CDB">
            <w:pPr>
              <w:spacing w:before="60" w:after="60" w:line="240" w:lineRule="auto"/>
              <w:jc w:val="center"/>
              <w:rPr>
                <w:rFonts w:ascii="Times New Roman" w:eastAsia="Times New Roman" w:hAnsi="Times New Roman"/>
                <w:noProof/>
                <w:sz w:val="18"/>
                <w:szCs w:val="18"/>
                <w:lang w:val="sv-SE" w:eastAsia="sv-SE" w:bidi="sv-SE"/>
              </w:rPr>
            </w:pPr>
            <w:r>
              <w:rPr>
                <w:rFonts w:ascii="Times New Roman" w:hAnsi="Times New Roman"/>
                <w:noProof/>
                <w:sz w:val="18"/>
                <w:lang w:val="sv-SE" w:eastAsia="sv-SE" w:bidi="sv-SE"/>
              </w:rPr>
              <w:t>Förebyggande del</w:t>
            </w:r>
          </w:p>
          <w:p w:rsidR="008A54B8" w:rsidRDefault="00BD0CDB">
            <w:pPr>
              <w:spacing w:before="60" w:after="60" w:line="240" w:lineRule="auto"/>
              <w:jc w:val="center"/>
              <w:rPr>
                <w:rFonts w:ascii="Times New Roman" w:eastAsia="Times New Roman" w:hAnsi="Times New Roman"/>
                <w:noProof/>
                <w:sz w:val="18"/>
                <w:szCs w:val="18"/>
                <w:lang w:val="sv-SE" w:eastAsia="sv-SE" w:bidi="sv-SE"/>
              </w:rPr>
            </w:pPr>
            <w:r>
              <w:rPr>
                <w:rFonts w:ascii="Times New Roman" w:hAnsi="Times New Roman"/>
                <w:noProof/>
                <w:sz w:val="18"/>
                <w:lang w:val="sv-SE" w:eastAsia="sv-SE" w:bidi="sv-SE"/>
              </w:rPr>
              <w:t>Ännu inte nått MTO, omfattas av övergångsregler för skuldkriteriet</w:t>
            </w:r>
            <w:r>
              <w:rPr>
                <w:rFonts w:ascii="Times New Roman" w:hAnsi="Times New Roman"/>
                <w:noProof/>
                <w:sz w:val="18"/>
                <w:vertAlign w:val="superscript"/>
                <w:lang w:val="sv-SE" w:eastAsia="sv-SE" w:bidi="sv-SE"/>
              </w:rPr>
              <w:footnoteReference w:id="24"/>
            </w:r>
          </w:p>
        </w:tc>
        <w:tc>
          <w:tcPr>
            <w:tcW w:w="3222" w:type="dxa"/>
            <w:tcBorders>
              <w:top w:val="single" w:sz="12" w:space="0" w:color="auto"/>
              <w:left w:val="single" w:sz="4" w:space="0" w:color="auto"/>
              <w:bottom w:val="single" w:sz="4" w:space="0" w:color="auto"/>
              <w:right w:val="nil"/>
            </w:tcBorders>
            <w:shd w:val="clear" w:color="auto" w:fill="FFFFFF"/>
            <w:vAlign w:val="center"/>
          </w:tcPr>
          <w:p w:rsidR="008A54B8" w:rsidRDefault="00BD0CDB">
            <w:pPr>
              <w:spacing w:before="60" w:after="60" w:line="240" w:lineRule="auto"/>
              <w:jc w:val="center"/>
              <w:rPr>
                <w:rFonts w:ascii="Times New Roman" w:eastAsia="Times New Roman" w:hAnsi="Times New Roman"/>
                <w:noProof/>
                <w:sz w:val="18"/>
                <w:szCs w:val="18"/>
                <w:lang w:val="sv-SE" w:eastAsia="sv-SE" w:bidi="sv-SE"/>
              </w:rPr>
            </w:pPr>
            <w:r>
              <w:rPr>
                <w:rFonts w:ascii="Times New Roman" w:hAnsi="Times New Roman"/>
                <w:noProof/>
                <w:color w:val="000000"/>
                <w:sz w:val="18"/>
                <w:lang w:val="sv-SE" w:eastAsia="sv-SE" w:bidi="sv-SE"/>
              </w:rPr>
              <w:t>Lämnat MIP</w:t>
            </w:r>
          </w:p>
        </w:tc>
      </w:tr>
      <w:tr w:rsidR="008A54B8" w:rsidRPr="00BD0CDB">
        <w:trPr>
          <w:jc w:val="center"/>
        </w:trPr>
        <w:tc>
          <w:tcPr>
            <w:tcW w:w="607" w:type="dxa"/>
            <w:tcBorders>
              <w:top w:val="single" w:sz="4" w:space="0" w:color="auto"/>
              <w:left w:val="nil"/>
              <w:bottom w:val="single" w:sz="4" w:space="0" w:color="auto"/>
              <w:right w:val="single" w:sz="4" w:space="0" w:color="auto"/>
            </w:tcBorders>
            <w:shd w:val="clear" w:color="auto" w:fill="FFFFFF"/>
            <w:vAlign w:val="center"/>
          </w:tcPr>
          <w:p w:rsidR="008A54B8" w:rsidRDefault="00BD0CDB">
            <w:pPr>
              <w:spacing w:before="60" w:after="60" w:line="240" w:lineRule="auto"/>
              <w:jc w:val="center"/>
              <w:rPr>
                <w:rFonts w:ascii="Times New Roman" w:eastAsia="Times New Roman" w:hAnsi="Times New Roman"/>
                <w:noProof/>
                <w:sz w:val="18"/>
                <w:szCs w:val="18"/>
                <w:lang w:val="sv-SE" w:eastAsia="sv-SE" w:bidi="sv-SE"/>
              </w:rPr>
            </w:pPr>
            <w:r>
              <w:rPr>
                <w:rFonts w:ascii="Times New Roman" w:hAnsi="Times New Roman"/>
                <w:b/>
                <w:noProof/>
                <w:sz w:val="18"/>
                <w:lang w:val="sv-SE" w:eastAsia="sv-SE" w:bidi="sv-SE"/>
              </w:rPr>
              <w:t>BG</w:t>
            </w:r>
          </w:p>
        </w:tc>
        <w:tc>
          <w:tcPr>
            <w:tcW w:w="2116" w:type="dxa"/>
            <w:tcBorders>
              <w:top w:val="single" w:sz="4" w:space="0" w:color="auto"/>
              <w:left w:val="single" w:sz="4" w:space="0" w:color="auto"/>
              <w:bottom w:val="single" w:sz="4" w:space="0" w:color="auto"/>
              <w:right w:val="single" w:sz="4" w:space="0" w:color="auto"/>
            </w:tcBorders>
            <w:shd w:val="clear" w:color="auto" w:fill="FFFFFF"/>
            <w:vAlign w:val="center"/>
          </w:tcPr>
          <w:p w:rsidR="008A54B8" w:rsidRDefault="00BD0CDB">
            <w:pPr>
              <w:spacing w:before="60" w:after="60" w:line="240" w:lineRule="auto"/>
              <w:jc w:val="center"/>
              <w:rPr>
                <w:rFonts w:ascii="Times New Roman" w:eastAsia="Times New Roman" w:hAnsi="Times New Roman"/>
                <w:noProof/>
                <w:sz w:val="18"/>
                <w:szCs w:val="18"/>
                <w:lang w:val="sv-SE" w:eastAsia="sv-SE" w:bidi="sv-SE"/>
              </w:rPr>
            </w:pPr>
            <w:r>
              <w:rPr>
                <w:rFonts w:ascii="Times New Roman" w:hAnsi="Times New Roman"/>
                <w:noProof/>
                <w:sz w:val="18"/>
                <w:lang w:val="sv-SE" w:eastAsia="sv-SE" w:bidi="sv-SE"/>
              </w:rPr>
              <w:t xml:space="preserve">Alltför </w:t>
            </w:r>
            <w:r>
              <w:rPr>
                <w:rFonts w:ascii="Times New Roman" w:hAnsi="Times New Roman"/>
                <w:noProof/>
                <w:sz w:val="18"/>
                <w:lang w:val="sv-SE" w:eastAsia="sv-SE" w:bidi="sv-SE"/>
              </w:rPr>
              <w:t>stora obalanser</w:t>
            </w:r>
          </w:p>
        </w:tc>
        <w:tc>
          <w:tcPr>
            <w:tcW w:w="2923" w:type="dxa"/>
            <w:tcBorders>
              <w:top w:val="single" w:sz="4" w:space="0" w:color="auto"/>
              <w:left w:val="single" w:sz="4" w:space="0" w:color="auto"/>
              <w:bottom w:val="single" w:sz="4" w:space="0" w:color="auto"/>
              <w:right w:val="nil"/>
            </w:tcBorders>
            <w:shd w:val="clear" w:color="auto" w:fill="FFFFFF"/>
            <w:vAlign w:val="center"/>
          </w:tcPr>
          <w:p w:rsidR="008A54B8" w:rsidRDefault="00BD0CDB">
            <w:pPr>
              <w:spacing w:before="60" w:after="60" w:line="240" w:lineRule="auto"/>
              <w:jc w:val="center"/>
              <w:rPr>
                <w:rFonts w:ascii="Times New Roman" w:eastAsia="Times New Roman" w:hAnsi="Times New Roman"/>
                <w:noProof/>
                <w:sz w:val="18"/>
                <w:szCs w:val="18"/>
                <w:lang w:val="sv-SE" w:eastAsia="sv-SE" w:bidi="sv-SE"/>
              </w:rPr>
            </w:pPr>
            <w:r>
              <w:rPr>
                <w:rFonts w:ascii="Times New Roman" w:hAnsi="Times New Roman"/>
                <w:noProof/>
                <w:sz w:val="18"/>
                <w:lang w:val="sv-SE" w:eastAsia="sv-SE" w:bidi="sv-SE"/>
              </w:rPr>
              <w:t>Förebyggande del</w:t>
            </w:r>
          </w:p>
          <w:p w:rsidR="008A54B8" w:rsidRDefault="00BD0CDB">
            <w:pPr>
              <w:spacing w:before="60" w:after="60" w:line="240" w:lineRule="auto"/>
              <w:jc w:val="center"/>
              <w:rPr>
                <w:rFonts w:ascii="Times New Roman" w:eastAsia="Times New Roman" w:hAnsi="Times New Roman"/>
                <w:noProof/>
                <w:sz w:val="18"/>
                <w:szCs w:val="18"/>
                <w:lang w:val="sv-SE" w:eastAsia="sv-SE" w:bidi="sv-SE"/>
              </w:rPr>
            </w:pPr>
            <w:r>
              <w:rPr>
                <w:rFonts w:ascii="Times New Roman" w:hAnsi="Times New Roman"/>
                <w:noProof/>
                <w:sz w:val="18"/>
                <w:lang w:val="sv-SE" w:eastAsia="sv-SE" w:bidi="sv-SE"/>
              </w:rPr>
              <w:t>Ännu inte nått MTO</w:t>
            </w:r>
          </w:p>
        </w:tc>
        <w:tc>
          <w:tcPr>
            <w:tcW w:w="3222" w:type="dxa"/>
            <w:tcBorders>
              <w:top w:val="single" w:sz="4" w:space="0" w:color="auto"/>
              <w:left w:val="single" w:sz="4" w:space="0" w:color="auto"/>
              <w:bottom w:val="single" w:sz="4" w:space="0" w:color="auto"/>
              <w:right w:val="nil"/>
            </w:tcBorders>
            <w:shd w:val="clear" w:color="auto" w:fill="FFFFFF"/>
            <w:vAlign w:val="center"/>
          </w:tcPr>
          <w:p w:rsidR="008A54B8" w:rsidRDefault="008A54B8">
            <w:pPr>
              <w:spacing w:before="60" w:after="60" w:line="240" w:lineRule="auto"/>
              <w:jc w:val="center"/>
              <w:rPr>
                <w:rFonts w:ascii="Times New Roman" w:eastAsia="Times New Roman" w:hAnsi="Times New Roman"/>
                <w:noProof/>
                <w:sz w:val="18"/>
                <w:szCs w:val="18"/>
                <w:lang w:val="sv-SE" w:eastAsia="sv-SE" w:bidi="sv-SE"/>
              </w:rPr>
            </w:pPr>
          </w:p>
        </w:tc>
      </w:tr>
      <w:tr w:rsidR="008A54B8">
        <w:trPr>
          <w:jc w:val="center"/>
        </w:trPr>
        <w:tc>
          <w:tcPr>
            <w:tcW w:w="607" w:type="dxa"/>
            <w:tcBorders>
              <w:top w:val="single" w:sz="4" w:space="0" w:color="auto"/>
              <w:left w:val="nil"/>
              <w:bottom w:val="single" w:sz="4" w:space="0" w:color="auto"/>
              <w:right w:val="single" w:sz="4" w:space="0" w:color="auto"/>
            </w:tcBorders>
            <w:shd w:val="clear" w:color="auto" w:fill="FFFFFF"/>
            <w:vAlign w:val="center"/>
            <w:hideMark/>
          </w:tcPr>
          <w:p w:rsidR="008A54B8" w:rsidRDefault="00BD0CDB">
            <w:pPr>
              <w:spacing w:before="60" w:after="60" w:line="240" w:lineRule="auto"/>
              <w:jc w:val="center"/>
              <w:rPr>
                <w:rFonts w:ascii="Times New Roman" w:eastAsia="Times New Roman" w:hAnsi="Times New Roman"/>
                <w:b/>
                <w:noProof/>
                <w:sz w:val="18"/>
                <w:szCs w:val="18"/>
                <w:lang w:val="sv-SE" w:eastAsia="sv-SE" w:bidi="sv-SE"/>
              </w:rPr>
            </w:pPr>
            <w:r>
              <w:rPr>
                <w:rFonts w:ascii="Times New Roman" w:hAnsi="Times New Roman"/>
                <w:b/>
                <w:noProof/>
                <w:sz w:val="18"/>
                <w:lang w:val="sv-SE" w:eastAsia="sv-SE" w:bidi="sv-SE"/>
              </w:rPr>
              <w:t>CZ</w:t>
            </w:r>
          </w:p>
        </w:tc>
        <w:tc>
          <w:tcPr>
            <w:tcW w:w="2116" w:type="dxa"/>
            <w:tcBorders>
              <w:top w:val="single" w:sz="4" w:space="0" w:color="auto"/>
              <w:left w:val="single" w:sz="4" w:space="0" w:color="auto"/>
              <w:bottom w:val="single" w:sz="4" w:space="0" w:color="auto"/>
              <w:right w:val="single" w:sz="4" w:space="0" w:color="auto"/>
            </w:tcBorders>
            <w:shd w:val="clear" w:color="auto" w:fill="FFFFFF"/>
            <w:vAlign w:val="center"/>
          </w:tcPr>
          <w:p w:rsidR="008A54B8" w:rsidRDefault="008A54B8">
            <w:pPr>
              <w:spacing w:before="60" w:after="60" w:line="240" w:lineRule="auto"/>
              <w:jc w:val="center"/>
              <w:rPr>
                <w:rFonts w:ascii="Times New Roman" w:eastAsia="Times New Roman" w:hAnsi="Times New Roman"/>
                <w:noProof/>
                <w:sz w:val="18"/>
                <w:szCs w:val="18"/>
                <w:lang w:val="sv-SE" w:eastAsia="sv-SE" w:bidi="sv-SE"/>
              </w:rPr>
            </w:pPr>
          </w:p>
        </w:tc>
        <w:tc>
          <w:tcPr>
            <w:tcW w:w="2923" w:type="dxa"/>
            <w:tcBorders>
              <w:top w:val="single" w:sz="4" w:space="0" w:color="auto"/>
              <w:left w:val="single" w:sz="4" w:space="0" w:color="auto"/>
              <w:bottom w:val="single" w:sz="4" w:space="0" w:color="auto"/>
              <w:right w:val="nil"/>
            </w:tcBorders>
            <w:shd w:val="clear" w:color="auto" w:fill="FFFFFF"/>
            <w:vAlign w:val="center"/>
          </w:tcPr>
          <w:p w:rsidR="008A54B8" w:rsidRDefault="00BD0CDB">
            <w:pPr>
              <w:spacing w:before="60" w:after="60" w:line="240" w:lineRule="auto"/>
              <w:jc w:val="center"/>
              <w:rPr>
                <w:rFonts w:ascii="Times New Roman" w:eastAsia="Times New Roman" w:hAnsi="Times New Roman"/>
                <w:noProof/>
                <w:sz w:val="18"/>
                <w:szCs w:val="18"/>
                <w:lang w:val="sv-SE" w:eastAsia="sv-SE" w:bidi="sv-SE"/>
              </w:rPr>
            </w:pPr>
            <w:r>
              <w:rPr>
                <w:rFonts w:ascii="Times New Roman" w:hAnsi="Times New Roman"/>
                <w:noProof/>
                <w:sz w:val="18"/>
                <w:lang w:val="sv-SE" w:eastAsia="sv-SE" w:bidi="sv-SE"/>
              </w:rPr>
              <w:t>Förebyggande del</w:t>
            </w:r>
          </w:p>
          <w:p w:rsidR="008A54B8" w:rsidRDefault="00BD0CDB">
            <w:pPr>
              <w:spacing w:before="60" w:after="60" w:line="240" w:lineRule="auto"/>
              <w:jc w:val="center"/>
              <w:rPr>
                <w:rFonts w:ascii="Times New Roman" w:eastAsia="Times New Roman" w:hAnsi="Times New Roman"/>
                <w:noProof/>
                <w:sz w:val="18"/>
                <w:szCs w:val="18"/>
                <w:lang w:val="sv-SE" w:eastAsia="sv-SE" w:bidi="sv-SE"/>
              </w:rPr>
            </w:pPr>
            <w:r>
              <w:rPr>
                <w:rFonts w:ascii="Times New Roman" w:hAnsi="Times New Roman"/>
                <w:noProof/>
                <w:sz w:val="18"/>
                <w:lang w:val="sv-SE" w:eastAsia="sv-SE" w:bidi="sv-SE"/>
              </w:rPr>
              <w:t>Vid MTO</w:t>
            </w:r>
          </w:p>
        </w:tc>
        <w:tc>
          <w:tcPr>
            <w:tcW w:w="3222" w:type="dxa"/>
            <w:tcBorders>
              <w:top w:val="single" w:sz="4" w:space="0" w:color="auto"/>
              <w:left w:val="single" w:sz="4" w:space="0" w:color="auto"/>
              <w:bottom w:val="single" w:sz="4" w:space="0" w:color="auto"/>
              <w:right w:val="nil"/>
            </w:tcBorders>
            <w:shd w:val="clear" w:color="auto" w:fill="FFFFFF"/>
            <w:vAlign w:val="center"/>
          </w:tcPr>
          <w:p w:rsidR="008A54B8" w:rsidRDefault="008A54B8">
            <w:pPr>
              <w:spacing w:before="60" w:after="60" w:line="240" w:lineRule="auto"/>
              <w:jc w:val="center"/>
              <w:rPr>
                <w:rFonts w:ascii="Times New Roman" w:eastAsia="Times New Roman" w:hAnsi="Times New Roman"/>
                <w:noProof/>
                <w:sz w:val="18"/>
                <w:szCs w:val="18"/>
                <w:lang w:val="sv-SE" w:eastAsia="sv-SE" w:bidi="sv-SE"/>
              </w:rPr>
            </w:pPr>
          </w:p>
        </w:tc>
      </w:tr>
      <w:tr w:rsidR="008A54B8" w:rsidRPr="00BD0CDB">
        <w:trPr>
          <w:jc w:val="center"/>
        </w:trPr>
        <w:tc>
          <w:tcPr>
            <w:tcW w:w="607" w:type="dxa"/>
            <w:tcBorders>
              <w:top w:val="single" w:sz="4" w:space="0" w:color="auto"/>
              <w:left w:val="nil"/>
              <w:bottom w:val="single" w:sz="4" w:space="0" w:color="auto"/>
              <w:right w:val="single" w:sz="4" w:space="0" w:color="auto"/>
            </w:tcBorders>
            <w:shd w:val="clear" w:color="auto" w:fill="FFFFFF"/>
            <w:vAlign w:val="center"/>
          </w:tcPr>
          <w:p w:rsidR="008A54B8" w:rsidRDefault="00BD0CDB">
            <w:pPr>
              <w:spacing w:before="60" w:after="60" w:line="240" w:lineRule="auto"/>
              <w:jc w:val="center"/>
              <w:rPr>
                <w:rFonts w:ascii="Times New Roman" w:eastAsia="Times New Roman" w:hAnsi="Times New Roman"/>
                <w:b/>
                <w:noProof/>
                <w:sz w:val="18"/>
                <w:szCs w:val="18"/>
                <w:lang w:val="sv-SE" w:eastAsia="sv-SE" w:bidi="sv-SE"/>
              </w:rPr>
            </w:pPr>
            <w:r>
              <w:rPr>
                <w:rFonts w:ascii="Times New Roman" w:hAnsi="Times New Roman"/>
                <w:b/>
                <w:noProof/>
                <w:sz w:val="18"/>
                <w:lang w:val="sv-SE" w:eastAsia="sv-SE" w:bidi="sv-SE"/>
              </w:rPr>
              <w:t>DK</w:t>
            </w:r>
          </w:p>
        </w:tc>
        <w:tc>
          <w:tcPr>
            <w:tcW w:w="2116" w:type="dxa"/>
            <w:tcBorders>
              <w:top w:val="single" w:sz="4" w:space="0" w:color="auto"/>
              <w:left w:val="single" w:sz="4" w:space="0" w:color="auto"/>
              <w:bottom w:val="single" w:sz="4" w:space="0" w:color="auto"/>
              <w:right w:val="single" w:sz="4" w:space="0" w:color="auto"/>
            </w:tcBorders>
            <w:shd w:val="clear" w:color="auto" w:fill="FFFFFF"/>
            <w:vAlign w:val="center"/>
          </w:tcPr>
          <w:p w:rsidR="008A54B8" w:rsidRDefault="008A54B8">
            <w:pPr>
              <w:spacing w:before="60" w:after="60" w:line="240" w:lineRule="auto"/>
              <w:jc w:val="center"/>
              <w:rPr>
                <w:rFonts w:ascii="Times New Roman" w:eastAsia="Times New Roman" w:hAnsi="Times New Roman"/>
                <w:noProof/>
                <w:sz w:val="18"/>
                <w:szCs w:val="18"/>
                <w:lang w:val="sv-SE" w:eastAsia="sv-SE" w:bidi="sv-SE"/>
              </w:rPr>
            </w:pPr>
          </w:p>
        </w:tc>
        <w:tc>
          <w:tcPr>
            <w:tcW w:w="2923" w:type="dxa"/>
            <w:tcBorders>
              <w:top w:val="single" w:sz="4" w:space="0" w:color="auto"/>
              <w:left w:val="single" w:sz="4" w:space="0" w:color="auto"/>
              <w:bottom w:val="single" w:sz="4" w:space="0" w:color="auto"/>
              <w:right w:val="nil"/>
            </w:tcBorders>
            <w:shd w:val="clear" w:color="auto" w:fill="FFFFFF"/>
            <w:vAlign w:val="center"/>
          </w:tcPr>
          <w:p w:rsidR="008A54B8" w:rsidRDefault="00BD0CDB">
            <w:pPr>
              <w:spacing w:before="60" w:after="60" w:line="240" w:lineRule="auto"/>
              <w:jc w:val="center"/>
              <w:rPr>
                <w:rFonts w:ascii="Times New Roman" w:eastAsia="Times New Roman" w:hAnsi="Times New Roman"/>
                <w:noProof/>
                <w:sz w:val="18"/>
                <w:szCs w:val="18"/>
                <w:lang w:val="sv-SE" w:eastAsia="sv-SE" w:bidi="sv-SE"/>
              </w:rPr>
            </w:pPr>
            <w:r>
              <w:rPr>
                <w:rFonts w:ascii="Times New Roman" w:hAnsi="Times New Roman"/>
                <w:noProof/>
                <w:sz w:val="18"/>
                <w:lang w:val="sv-SE" w:eastAsia="sv-SE" w:bidi="sv-SE"/>
              </w:rPr>
              <w:t>Förebyggande del</w:t>
            </w:r>
          </w:p>
          <w:p w:rsidR="008A54B8" w:rsidRDefault="00BD0CDB">
            <w:pPr>
              <w:spacing w:before="60" w:after="60" w:line="240" w:lineRule="auto"/>
              <w:jc w:val="center"/>
              <w:rPr>
                <w:rFonts w:ascii="Times New Roman" w:eastAsia="Times New Roman" w:hAnsi="Times New Roman"/>
                <w:noProof/>
                <w:sz w:val="18"/>
                <w:szCs w:val="18"/>
                <w:lang w:val="sv-SE" w:eastAsia="sv-SE" w:bidi="sv-SE"/>
              </w:rPr>
            </w:pPr>
            <w:r>
              <w:rPr>
                <w:rFonts w:ascii="Times New Roman" w:hAnsi="Times New Roman"/>
                <w:noProof/>
                <w:sz w:val="18"/>
                <w:lang w:val="sv-SE" w:eastAsia="sv-SE" w:bidi="sv-SE"/>
              </w:rPr>
              <w:t>Ännu inte nått MTO</w:t>
            </w:r>
          </w:p>
        </w:tc>
        <w:tc>
          <w:tcPr>
            <w:tcW w:w="3222" w:type="dxa"/>
            <w:tcBorders>
              <w:top w:val="single" w:sz="4" w:space="0" w:color="auto"/>
              <w:left w:val="single" w:sz="4" w:space="0" w:color="auto"/>
              <w:bottom w:val="single" w:sz="4" w:space="0" w:color="auto"/>
              <w:right w:val="nil"/>
            </w:tcBorders>
            <w:shd w:val="clear" w:color="auto" w:fill="FFFFFF"/>
            <w:vAlign w:val="center"/>
          </w:tcPr>
          <w:p w:rsidR="008A54B8" w:rsidRDefault="008A54B8">
            <w:pPr>
              <w:spacing w:before="60" w:after="60" w:line="240" w:lineRule="auto"/>
              <w:jc w:val="center"/>
              <w:rPr>
                <w:rFonts w:ascii="Times New Roman" w:eastAsia="Times New Roman" w:hAnsi="Times New Roman"/>
                <w:noProof/>
                <w:sz w:val="18"/>
                <w:szCs w:val="18"/>
                <w:lang w:val="sv-SE" w:eastAsia="sv-SE" w:bidi="sv-SE"/>
              </w:rPr>
            </w:pPr>
          </w:p>
        </w:tc>
      </w:tr>
      <w:tr w:rsidR="008A54B8" w:rsidRPr="00BD0CDB">
        <w:trPr>
          <w:jc w:val="center"/>
        </w:trPr>
        <w:tc>
          <w:tcPr>
            <w:tcW w:w="607" w:type="dxa"/>
            <w:tcBorders>
              <w:top w:val="single" w:sz="4" w:space="0" w:color="auto"/>
              <w:left w:val="nil"/>
              <w:bottom w:val="single" w:sz="4" w:space="0" w:color="auto"/>
              <w:right w:val="single" w:sz="4" w:space="0" w:color="auto"/>
            </w:tcBorders>
            <w:shd w:val="clear" w:color="auto" w:fill="FFFFFF"/>
            <w:vAlign w:val="center"/>
          </w:tcPr>
          <w:p w:rsidR="008A54B8" w:rsidRDefault="00BD0CDB">
            <w:pPr>
              <w:spacing w:before="60" w:after="60" w:line="240" w:lineRule="auto"/>
              <w:jc w:val="center"/>
              <w:rPr>
                <w:rFonts w:ascii="Times New Roman" w:eastAsia="Times New Roman" w:hAnsi="Times New Roman"/>
                <w:b/>
                <w:noProof/>
                <w:sz w:val="18"/>
                <w:szCs w:val="18"/>
                <w:lang w:val="sv-SE" w:eastAsia="sv-SE" w:bidi="sv-SE"/>
              </w:rPr>
            </w:pPr>
            <w:r>
              <w:rPr>
                <w:rFonts w:ascii="Times New Roman" w:hAnsi="Times New Roman"/>
                <w:b/>
                <w:noProof/>
                <w:sz w:val="18"/>
                <w:lang w:val="sv-SE" w:eastAsia="sv-SE" w:bidi="sv-SE"/>
              </w:rPr>
              <w:t>DE</w:t>
            </w:r>
          </w:p>
        </w:tc>
        <w:tc>
          <w:tcPr>
            <w:tcW w:w="2116" w:type="dxa"/>
            <w:tcBorders>
              <w:top w:val="single" w:sz="4" w:space="0" w:color="auto"/>
              <w:left w:val="single" w:sz="4" w:space="0" w:color="auto"/>
              <w:bottom w:val="single" w:sz="4" w:space="0" w:color="auto"/>
              <w:right w:val="single" w:sz="4" w:space="0" w:color="auto"/>
            </w:tcBorders>
            <w:shd w:val="clear" w:color="auto" w:fill="FFFFFF"/>
            <w:vAlign w:val="center"/>
          </w:tcPr>
          <w:p w:rsidR="008A54B8" w:rsidRDefault="00BD0CDB">
            <w:pPr>
              <w:spacing w:before="60" w:after="60" w:line="240" w:lineRule="auto"/>
              <w:jc w:val="center"/>
              <w:rPr>
                <w:rFonts w:ascii="Times New Roman" w:eastAsia="Times New Roman" w:hAnsi="Times New Roman"/>
                <w:noProof/>
                <w:sz w:val="18"/>
                <w:szCs w:val="18"/>
                <w:lang w:val="sv-SE" w:eastAsia="sv-SE" w:bidi="sv-SE"/>
              </w:rPr>
            </w:pPr>
            <w:r>
              <w:rPr>
                <w:rFonts w:ascii="Times New Roman" w:hAnsi="Times New Roman"/>
                <w:noProof/>
                <w:sz w:val="18"/>
                <w:lang w:val="sv-SE" w:eastAsia="sv-SE" w:bidi="sv-SE"/>
              </w:rPr>
              <w:t>Obalanser</w:t>
            </w:r>
          </w:p>
        </w:tc>
        <w:tc>
          <w:tcPr>
            <w:tcW w:w="2923" w:type="dxa"/>
            <w:tcBorders>
              <w:top w:val="single" w:sz="4" w:space="0" w:color="auto"/>
              <w:left w:val="single" w:sz="4" w:space="0" w:color="auto"/>
              <w:bottom w:val="single" w:sz="4" w:space="0" w:color="auto"/>
              <w:right w:val="nil"/>
            </w:tcBorders>
            <w:shd w:val="clear" w:color="auto" w:fill="FFFFFF"/>
            <w:vAlign w:val="center"/>
          </w:tcPr>
          <w:p w:rsidR="008A54B8" w:rsidRDefault="00BD0CDB">
            <w:pPr>
              <w:spacing w:before="60" w:after="60" w:line="240" w:lineRule="auto"/>
              <w:jc w:val="center"/>
              <w:rPr>
                <w:rFonts w:ascii="Times New Roman" w:eastAsia="Times New Roman" w:hAnsi="Times New Roman"/>
                <w:noProof/>
                <w:sz w:val="18"/>
                <w:szCs w:val="18"/>
                <w:lang w:val="sv-SE" w:eastAsia="sv-SE" w:bidi="sv-SE"/>
              </w:rPr>
            </w:pPr>
            <w:r>
              <w:rPr>
                <w:rFonts w:ascii="Times New Roman" w:hAnsi="Times New Roman"/>
                <w:noProof/>
                <w:sz w:val="18"/>
                <w:lang w:val="sv-SE" w:eastAsia="sv-SE" w:bidi="sv-SE"/>
              </w:rPr>
              <w:t>Förebyggande del</w:t>
            </w:r>
          </w:p>
          <w:p w:rsidR="008A54B8" w:rsidRDefault="00BD0CDB">
            <w:pPr>
              <w:spacing w:before="60" w:after="60" w:line="240" w:lineRule="auto"/>
              <w:jc w:val="center"/>
              <w:rPr>
                <w:rFonts w:ascii="Times New Roman" w:eastAsia="Times New Roman" w:hAnsi="Times New Roman"/>
                <w:noProof/>
                <w:sz w:val="18"/>
                <w:szCs w:val="18"/>
                <w:lang w:val="sv-SE" w:eastAsia="sv-SE" w:bidi="sv-SE"/>
              </w:rPr>
            </w:pPr>
            <w:r>
              <w:rPr>
                <w:rFonts w:ascii="Times New Roman" w:hAnsi="Times New Roman"/>
                <w:noProof/>
                <w:sz w:val="18"/>
                <w:lang w:val="sv-SE" w:eastAsia="sv-SE" w:bidi="sv-SE"/>
              </w:rPr>
              <w:t>Överträffar MTO, omfattas av övergångsregler för skuldkriteriet</w:t>
            </w:r>
          </w:p>
        </w:tc>
        <w:tc>
          <w:tcPr>
            <w:tcW w:w="3222" w:type="dxa"/>
            <w:tcBorders>
              <w:top w:val="single" w:sz="4" w:space="0" w:color="auto"/>
              <w:left w:val="single" w:sz="4" w:space="0" w:color="auto"/>
              <w:bottom w:val="single" w:sz="4" w:space="0" w:color="auto"/>
              <w:right w:val="nil"/>
            </w:tcBorders>
            <w:shd w:val="clear" w:color="auto" w:fill="FFFFFF"/>
            <w:vAlign w:val="center"/>
          </w:tcPr>
          <w:p w:rsidR="008A54B8" w:rsidRDefault="008A54B8">
            <w:pPr>
              <w:spacing w:before="60" w:after="60" w:line="240" w:lineRule="auto"/>
              <w:jc w:val="center"/>
              <w:rPr>
                <w:rFonts w:ascii="Times New Roman" w:eastAsia="Times New Roman" w:hAnsi="Times New Roman"/>
                <w:noProof/>
                <w:sz w:val="18"/>
                <w:szCs w:val="18"/>
                <w:lang w:val="sv-SE" w:eastAsia="sv-SE" w:bidi="sv-SE"/>
              </w:rPr>
            </w:pPr>
          </w:p>
        </w:tc>
      </w:tr>
      <w:tr w:rsidR="008A54B8">
        <w:trPr>
          <w:jc w:val="center"/>
        </w:trPr>
        <w:tc>
          <w:tcPr>
            <w:tcW w:w="607" w:type="dxa"/>
            <w:tcBorders>
              <w:top w:val="single" w:sz="4" w:space="0" w:color="auto"/>
              <w:left w:val="nil"/>
              <w:bottom w:val="single" w:sz="4" w:space="0" w:color="auto"/>
              <w:right w:val="single" w:sz="4" w:space="0" w:color="auto"/>
            </w:tcBorders>
            <w:shd w:val="clear" w:color="auto" w:fill="FFFFFF"/>
            <w:vAlign w:val="center"/>
            <w:hideMark/>
          </w:tcPr>
          <w:p w:rsidR="008A54B8" w:rsidRDefault="00BD0CDB">
            <w:pPr>
              <w:spacing w:before="60" w:after="60" w:line="240" w:lineRule="auto"/>
              <w:jc w:val="center"/>
              <w:rPr>
                <w:rFonts w:ascii="Times New Roman" w:eastAsia="Times New Roman" w:hAnsi="Times New Roman"/>
                <w:b/>
                <w:noProof/>
                <w:sz w:val="18"/>
                <w:szCs w:val="18"/>
                <w:lang w:val="sv-SE" w:eastAsia="sv-SE" w:bidi="sv-SE"/>
              </w:rPr>
            </w:pPr>
            <w:r>
              <w:rPr>
                <w:rFonts w:ascii="Times New Roman" w:hAnsi="Times New Roman"/>
                <w:b/>
                <w:noProof/>
                <w:sz w:val="18"/>
                <w:lang w:val="sv-SE" w:eastAsia="sv-SE" w:bidi="sv-SE"/>
              </w:rPr>
              <w:t>EE</w:t>
            </w:r>
          </w:p>
        </w:tc>
        <w:tc>
          <w:tcPr>
            <w:tcW w:w="2116" w:type="dxa"/>
            <w:tcBorders>
              <w:top w:val="single" w:sz="4" w:space="0" w:color="auto"/>
              <w:left w:val="single" w:sz="4" w:space="0" w:color="auto"/>
              <w:bottom w:val="single" w:sz="4" w:space="0" w:color="auto"/>
              <w:right w:val="single" w:sz="4" w:space="0" w:color="auto"/>
            </w:tcBorders>
            <w:shd w:val="clear" w:color="auto" w:fill="FFFFFF"/>
            <w:vAlign w:val="center"/>
          </w:tcPr>
          <w:p w:rsidR="008A54B8" w:rsidRDefault="00BD0CDB">
            <w:pPr>
              <w:spacing w:before="60" w:after="60" w:line="240" w:lineRule="auto"/>
              <w:jc w:val="center"/>
              <w:rPr>
                <w:rFonts w:ascii="Times New Roman" w:eastAsia="Times New Roman" w:hAnsi="Times New Roman"/>
                <w:noProof/>
                <w:sz w:val="18"/>
                <w:szCs w:val="18"/>
                <w:lang w:val="sv-SE" w:eastAsia="sv-SE" w:bidi="sv-SE"/>
              </w:rPr>
            </w:pPr>
            <w:r>
              <w:rPr>
                <w:rFonts w:ascii="Times New Roman" w:hAnsi="Times New Roman"/>
                <w:noProof/>
                <w:sz w:val="18"/>
                <w:lang w:val="sv-SE" w:eastAsia="sv-SE" w:bidi="sv-SE"/>
              </w:rPr>
              <w:t>Inga obalanser</w:t>
            </w:r>
          </w:p>
        </w:tc>
        <w:tc>
          <w:tcPr>
            <w:tcW w:w="2923" w:type="dxa"/>
            <w:tcBorders>
              <w:top w:val="single" w:sz="4" w:space="0" w:color="auto"/>
              <w:left w:val="single" w:sz="4" w:space="0" w:color="auto"/>
              <w:bottom w:val="single" w:sz="4" w:space="0" w:color="auto"/>
              <w:right w:val="nil"/>
            </w:tcBorders>
            <w:shd w:val="clear" w:color="auto" w:fill="FFFFFF"/>
            <w:vAlign w:val="center"/>
          </w:tcPr>
          <w:p w:rsidR="008A54B8" w:rsidRDefault="00BD0CDB">
            <w:pPr>
              <w:spacing w:before="60" w:after="60" w:line="240" w:lineRule="auto"/>
              <w:jc w:val="center"/>
              <w:rPr>
                <w:rFonts w:ascii="Times New Roman" w:eastAsia="Times New Roman" w:hAnsi="Times New Roman"/>
                <w:noProof/>
                <w:sz w:val="18"/>
                <w:szCs w:val="18"/>
                <w:lang w:val="sv-SE" w:eastAsia="sv-SE" w:bidi="sv-SE"/>
              </w:rPr>
            </w:pPr>
            <w:r>
              <w:rPr>
                <w:rFonts w:ascii="Times New Roman" w:hAnsi="Times New Roman"/>
                <w:noProof/>
                <w:sz w:val="18"/>
                <w:lang w:val="sv-SE" w:eastAsia="sv-SE" w:bidi="sv-SE"/>
              </w:rPr>
              <w:t xml:space="preserve">Förebyggande </w:t>
            </w:r>
            <w:r>
              <w:rPr>
                <w:rFonts w:ascii="Times New Roman" w:hAnsi="Times New Roman"/>
                <w:noProof/>
                <w:sz w:val="18"/>
                <w:lang w:val="sv-SE" w:eastAsia="sv-SE" w:bidi="sv-SE"/>
              </w:rPr>
              <w:t>del</w:t>
            </w:r>
          </w:p>
          <w:p w:rsidR="008A54B8" w:rsidRDefault="00BD0CDB">
            <w:pPr>
              <w:spacing w:before="60" w:after="60" w:line="240" w:lineRule="auto"/>
              <w:jc w:val="center"/>
              <w:rPr>
                <w:rFonts w:ascii="Times New Roman" w:eastAsia="Times New Roman" w:hAnsi="Times New Roman"/>
                <w:noProof/>
                <w:sz w:val="18"/>
                <w:szCs w:val="18"/>
                <w:lang w:val="sv-SE" w:eastAsia="sv-SE" w:bidi="sv-SE"/>
              </w:rPr>
            </w:pPr>
            <w:r>
              <w:rPr>
                <w:rFonts w:ascii="Times New Roman" w:hAnsi="Times New Roman"/>
                <w:noProof/>
                <w:sz w:val="18"/>
                <w:lang w:val="sv-SE" w:eastAsia="sv-SE" w:bidi="sv-SE"/>
              </w:rPr>
              <w:t>Överträffar MTO</w:t>
            </w:r>
          </w:p>
        </w:tc>
        <w:tc>
          <w:tcPr>
            <w:tcW w:w="3222" w:type="dxa"/>
            <w:tcBorders>
              <w:top w:val="single" w:sz="4" w:space="0" w:color="auto"/>
              <w:left w:val="single" w:sz="4" w:space="0" w:color="auto"/>
              <w:bottom w:val="single" w:sz="4" w:space="0" w:color="auto"/>
              <w:right w:val="nil"/>
            </w:tcBorders>
            <w:shd w:val="clear" w:color="auto" w:fill="FFFFFF"/>
            <w:vAlign w:val="center"/>
          </w:tcPr>
          <w:p w:rsidR="008A54B8" w:rsidRDefault="008A54B8">
            <w:pPr>
              <w:spacing w:before="60" w:after="60" w:line="240" w:lineRule="auto"/>
              <w:jc w:val="center"/>
              <w:rPr>
                <w:rFonts w:ascii="Times New Roman" w:eastAsia="Times New Roman" w:hAnsi="Times New Roman"/>
                <w:noProof/>
                <w:sz w:val="18"/>
                <w:szCs w:val="18"/>
                <w:lang w:val="sv-SE" w:eastAsia="sv-SE" w:bidi="sv-SE"/>
              </w:rPr>
            </w:pPr>
          </w:p>
        </w:tc>
      </w:tr>
      <w:tr w:rsidR="008A54B8" w:rsidRPr="00BD0CDB">
        <w:trPr>
          <w:jc w:val="center"/>
        </w:trPr>
        <w:tc>
          <w:tcPr>
            <w:tcW w:w="607" w:type="dxa"/>
            <w:tcBorders>
              <w:top w:val="single" w:sz="4" w:space="0" w:color="auto"/>
              <w:left w:val="nil"/>
              <w:bottom w:val="single" w:sz="4" w:space="0" w:color="auto"/>
              <w:right w:val="single" w:sz="4" w:space="0" w:color="auto"/>
            </w:tcBorders>
            <w:shd w:val="clear" w:color="auto" w:fill="FFFFFF"/>
            <w:vAlign w:val="center"/>
          </w:tcPr>
          <w:p w:rsidR="008A54B8" w:rsidRDefault="00BD0CDB">
            <w:pPr>
              <w:spacing w:before="60" w:after="60" w:line="240" w:lineRule="auto"/>
              <w:jc w:val="center"/>
              <w:rPr>
                <w:rFonts w:ascii="Times New Roman" w:eastAsia="Times New Roman" w:hAnsi="Times New Roman"/>
                <w:b/>
                <w:noProof/>
                <w:sz w:val="18"/>
                <w:szCs w:val="18"/>
                <w:lang w:val="sv-SE" w:eastAsia="sv-SE" w:bidi="sv-SE"/>
              </w:rPr>
            </w:pPr>
            <w:r>
              <w:rPr>
                <w:rFonts w:ascii="Times New Roman" w:hAnsi="Times New Roman"/>
                <w:b/>
                <w:noProof/>
                <w:sz w:val="18"/>
                <w:lang w:val="sv-SE" w:eastAsia="sv-SE" w:bidi="sv-SE"/>
              </w:rPr>
              <w:t>IE</w:t>
            </w:r>
          </w:p>
        </w:tc>
        <w:tc>
          <w:tcPr>
            <w:tcW w:w="2116" w:type="dxa"/>
            <w:tcBorders>
              <w:top w:val="single" w:sz="4" w:space="0" w:color="auto"/>
              <w:left w:val="single" w:sz="4" w:space="0" w:color="auto"/>
              <w:bottom w:val="single" w:sz="4" w:space="0" w:color="auto"/>
              <w:right w:val="single" w:sz="4" w:space="0" w:color="auto"/>
            </w:tcBorders>
            <w:shd w:val="clear" w:color="auto" w:fill="FFFFFF"/>
            <w:vAlign w:val="center"/>
          </w:tcPr>
          <w:p w:rsidR="008A54B8" w:rsidRDefault="00BD0CDB">
            <w:pPr>
              <w:spacing w:before="60" w:after="60" w:line="240" w:lineRule="auto"/>
              <w:jc w:val="center"/>
              <w:rPr>
                <w:rFonts w:ascii="Times New Roman" w:eastAsia="Times New Roman" w:hAnsi="Times New Roman"/>
                <w:noProof/>
                <w:sz w:val="18"/>
                <w:szCs w:val="18"/>
                <w:lang w:val="sv-SE" w:eastAsia="sv-SE" w:bidi="sv-SE"/>
              </w:rPr>
            </w:pPr>
            <w:r>
              <w:rPr>
                <w:rFonts w:ascii="Times New Roman" w:hAnsi="Times New Roman"/>
                <w:noProof/>
                <w:sz w:val="18"/>
                <w:lang w:val="sv-SE" w:eastAsia="sv-SE" w:bidi="sv-SE"/>
              </w:rPr>
              <w:t>Obalanser</w:t>
            </w:r>
          </w:p>
        </w:tc>
        <w:tc>
          <w:tcPr>
            <w:tcW w:w="2923" w:type="dxa"/>
            <w:tcBorders>
              <w:top w:val="single" w:sz="4" w:space="0" w:color="auto"/>
              <w:left w:val="single" w:sz="4" w:space="0" w:color="auto"/>
              <w:bottom w:val="single" w:sz="4" w:space="0" w:color="auto"/>
              <w:right w:val="nil"/>
            </w:tcBorders>
            <w:shd w:val="clear" w:color="auto" w:fill="FFFFFF"/>
            <w:vAlign w:val="center"/>
          </w:tcPr>
          <w:p w:rsidR="008A54B8" w:rsidRDefault="00BD0CDB">
            <w:pPr>
              <w:spacing w:before="60" w:after="60" w:line="240" w:lineRule="auto"/>
              <w:jc w:val="center"/>
              <w:rPr>
                <w:rFonts w:ascii="Times New Roman" w:eastAsia="Times New Roman" w:hAnsi="Times New Roman"/>
                <w:noProof/>
                <w:sz w:val="18"/>
                <w:szCs w:val="18"/>
                <w:lang w:val="sv-SE" w:eastAsia="sv-SE" w:bidi="sv-SE"/>
              </w:rPr>
            </w:pPr>
            <w:r>
              <w:rPr>
                <w:rFonts w:ascii="Times New Roman" w:hAnsi="Times New Roman"/>
                <w:noProof/>
                <w:sz w:val="18"/>
                <w:lang w:val="sv-SE" w:eastAsia="sv-SE" w:bidi="sv-SE"/>
              </w:rPr>
              <w:t>Korrigerande del</w:t>
            </w:r>
          </w:p>
          <w:p w:rsidR="008A54B8" w:rsidRDefault="00BD0CDB">
            <w:pPr>
              <w:spacing w:before="60" w:after="60" w:line="240" w:lineRule="auto"/>
              <w:jc w:val="center"/>
              <w:rPr>
                <w:rFonts w:ascii="Times New Roman" w:eastAsia="Times New Roman" w:hAnsi="Times New Roman"/>
                <w:noProof/>
                <w:sz w:val="18"/>
                <w:szCs w:val="18"/>
                <w:lang w:val="sv-SE" w:eastAsia="sv-SE" w:bidi="sv-SE"/>
              </w:rPr>
            </w:pPr>
            <w:r>
              <w:rPr>
                <w:rFonts w:ascii="Times New Roman" w:hAnsi="Times New Roman"/>
                <w:noProof/>
                <w:sz w:val="18"/>
                <w:lang w:val="sv-SE" w:eastAsia="sv-SE" w:bidi="sv-SE"/>
              </w:rPr>
              <w:t xml:space="preserve">Alltför stort underskott, deadline för korrigering: 2015 </w:t>
            </w:r>
          </w:p>
          <w:p w:rsidR="008A54B8" w:rsidRDefault="00BD0CDB">
            <w:pPr>
              <w:spacing w:before="60" w:after="60" w:line="240" w:lineRule="auto"/>
              <w:jc w:val="center"/>
              <w:rPr>
                <w:rFonts w:ascii="Times New Roman" w:eastAsia="Times New Roman" w:hAnsi="Times New Roman"/>
                <w:noProof/>
                <w:sz w:val="18"/>
                <w:szCs w:val="18"/>
                <w:lang w:val="sv-SE" w:eastAsia="sv-SE" w:bidi="sv-SE"/>
              </w:rPr>
            </w:pPr>
            <w:r>
              <w:rPr>
                <w:rFonts w:ascii="Times New Roman" w:hAnsi="Times New Roman"/>
                <w:noProof/>
                <w:sz w:val="18"/>
                <w:lang w:val="sv-SE" w:eastAsia="sv-SE" w:bidi="sv-SE"/>
              </w:rPr>
              <w:t>Ännu inte nått MTO, omfattas av övergångsregler för skuldkriteriet</w:t>
            </w:r>
            <w:r>
              <w:rPr>
                <w:rFonts w:ascii="Times New Roman" w:hAnsi="Times New Roman"/>
                <w:b/>
                <w:noProof/>
                <w:sz w:val="18"/>
                <w:vertAlign w:val="superscript"/>
                <w:lang w:val="sv-SE" w:eastAsia="sv-SE" w:bidi="sv-SE"/>
              </w:rPr>
              <w:footnoteReference w:id="25"/>
            </w:r>
          </w:p>
        </w:tc>
        <w:tc>
          <w:tcPr>
            <w:tcW w:w="3222" w:type="dxa"/>
            <w:tcBorders>
              <w:top w:val="single" w:sz="4" w:space="0" w:color="auto"/>
              <w:left w:val="single" w:sz="4" w:space="0" w:color="auto"/>
              <w:bottom w:val="single" w:sz="4" w:space="0" w:color="auto"/>
              <w:right w:val="nil"/>
            </w:tcBorders>
            <w:shd w:val="clear" w:color="auto" w:fill="FFFFFF"/>
            <w:vAlign w:val="center"/>
          </w:tcPr>
          <w:p w:rsidR="008A54B8" w:rsidRDefault="008A54B8">
            <w:pPr>
              <w:spacing w:before="60" w:after="60" w:line="240" w:lineRule="auto"/>
              <w:jc w:val="center"/>
              <w:rPr>
                <w:rFonts w:ascii="Times New Roman" w:eastAsia="Times New Roman" w:hAnsi="Times New Roman"/>
                <w:noProof/>
                <w:sz w:val="18"/>
                <w:szCs w:val="18"/>
                <w:lang w:val="sv-SE" w:eastAsia="sv-SE" w:bidi="sv-SE"/>
              </w:rPr>
            </w:pPr>
          </w:p>
        </w:tc>
      </w:tr>
      <w:tr w:rsidR="008A54B8" w:rsidRPr="00BD0CDB">
        <w:trPr>
          <w:jc w:val="center"/>
        </w:trPr>
        <w:tc>
          <w:tcPr>
            <w:tcW w:w="607" w:type="dxa"/>
            <w:tcBorders>
              <w:top w:val="single" w:sz="4" w:space="0" w:color="auto"/>
              <w:left w:val="nil"/>
              <w:bottom w:val="single" w:sz="4" w:space="0" w:color="auto"/>
              <w:right w:val="single" w:sz="4" w:space="0" w:color="auto"/>
            </w:tcBorders>
            <w:shd w:val="clear" w:color="auto" w:fill="FFFFFF"/>
            <w:vAlign w:val="center"/>
          </w:tcPr>
          <w:p w:rsidR="008A54B8" w:rsidRDefault="00BD0CDB">
            <w:pPr>
              <w:spacing w:before="60" w:after="60" w:line="240" w:lineRule="auto"/>
              <w:jc w:val="center"/>
              <w:rPr>
                <w:rFonts w:ascii="Times New Roman" w:eastAsia="Times New Roman" w:hAnsi="Times New Roman"/>
                <w:b/>
                <w:noProof/>
                <w:sz w:val="18"/>
                <w:szCs w:val="18"/>
                <w:lang w:val="sv-SE" w:eastAsia="sv-SE" w:bidi="sv-SE"/>
              </w:rPr>
            </w:pPr>
            <w:r>
              <w:rPr>
                <w:rFonts w:ascii="Times New Roman" w:hAnsi="Times New Roman"/>
                <w:b/>
                <w:noProof/>
                <w:sz w:val="18"/>
                <w:lang w:val="sv-SE" w:eastAsia="sv-SE" w:bidi="sv-SE"/>
              </w:rPr>
              <w:t>EL</w:t>
            </w:r>
          </w:p>
        </w:tc>
        <w:tc>
          <w:tcPr>
            <w:tcW w:w="2116" w:type="dxa"/>
            <w:tcBorders>
              <w:top w:val="single" w:sz="4" w:space="0" w:color="auto"/>
              <w:left w:val="single" w:sz="4" w:space="0" w:color="auto"/>
              <w:bottom w:val="single" w:sz="4" w:space="0" w:color="auto"/>
              <w:right w:val="single" w:sz="4" w:space="0" w:color="auto"/>
            </w:tcBorders>
            <w:shd w:val="clear" w:color="auto" w:fill="FFFFFF"/>
            <w:vAlign w:val="center"/>
          </w:tcPr>
          <w:p w:rsidR="008A54B8" w:rsidRDefault="008A54B8">
            <w:pPr>
              <w:spacing w:before="60" w:after="60" w:line="240" w:lineRule="auto"/>
              <w:jc w:val="center"/>
              <w:rPr>
                <w:rFonts w:ascii="Times New Roman" w:eastAsia="Times New Roman" w:hAnsi="Times New Roman"/>
                <w:noProof/>
                <w:sz w:val="18"/>
                <w:szCs w:val="18"/>
                <w:lang w:val="sv-SE" w:eastAsia="sv-SE" w:bidi="sv-SE"/>
              </w:rPr>
            </w:pPr>
          </w:p>
        </w:tc>
        <w:tc>
          <w:tcPr>
            <w:tcW w:w="2923" w:type="dxa"/>
            <w:tcBorders>
              <w:top w:val="single" w:sz="4" w:space="0" w:color="auto"/>
              <w:left w:val="single" w:sz="4" w:space="0" w:color="auto"/>
              <w:bottom w:val="single" w:sz="4" w:space="0" w:color="auto"/>
              <w:right w:val="nil"/>
            </w:tcBorders>
            <w:shd w:val="clear" w:color="auto" w:fill="FFFFFF"/>
            <w:vAlign w:val="center"/>
          </w:tcPr>
          <w:p w:rsidR="008A54B8" w:rsidRDefault="00BD0CDB">
            <w:pPr>
              <w:spacing w:before="60" w:after="60" w:line="240" w:lineRule="auto"/>
              <w:jc w:val="center"/>
              <w:rPr>
                <w:rFonts w:ascii="Times New Roman" w:eastAsia="Times New Roman" w:hAnsi="Times New Roman"/>
                <w:noProof/>
                <w:sz w:val="18"/>
                <w:szCs w:val="18"/>
                <w:lang w:val="sv-SE" w:eastAsia="sv-SE" w:bidi="sv-SE"/>
              </w:rPr>
            </w:pPr>
            <w:r>
              <w:rPr>
                <w:rFonts w:ascii="Times New Roman" w:hAnsi="Times New Roman"/>
                <w:noProof/>
                <w:sz w:val="18"/>
                <w:lang w:val="sv-SE" w:eastAsia="sv-SE" w:bidi="sv-SE"/>
              </w:rPr>
              <w:t>Korrigerande del</w:t>
            </w:r>
          </w:p>
          <w:p w:rsidR="008A54B8" w:rsidRDefault="00BD0CDB">
            <w:pPr>
              <w:spacing w:before="60" w:after="60" w:line="240" w:lineRule="auto"/>
              <w:jc w:val="center"/>
              <w:rPr>
                <w:rFonts w:ascii="Times New Roman" w:eastAsia="Times New Roman" w:hAnsi="Times New Roman"/>
                <w:noProof/>
                <w:sz w:val="18"/>
                <w:szCs w:val="18"/>
                <w:lang w:val="sv-SE" w:eastAsia="sv-SE" w:bidi="sv-SE"/>
              </w:rPr>
            </w:pPr>
            <w:r>
              <w:rPr>
                <w:rFonts w:ascii="Times New Roman" w:hAnsi="Times New Roman"/>
                <w:noProof/>
                <w:sz w:val="18"/>
                <w:lang w:val="sv-SE" w:eastAsia="sv-SE" w:bidi="sv-SE"/>
              </w:rPr>
              <w:t xml:space="preserve">Alltför stort underskott, deadline för korrigering: </w:t>
            </w:r>
            <w:r>
              <w:rPr>
                <w:rFonts w:ascii="Times New Roman" w:hAnsi="Times New Roman"/>
                <w:noProof/>
                <w:sz w:val="18"/>
                <w:lang w:val="sv-SE" w:eastAsia="sv-SE" w:bidi="sv-SE"/>
              </w:rPr>
              <w:t>2016</w:t>
            </w:r>
          </w:p>
        </w:tc>
        <w:tc>
          <w:tcPr>
            <w:tcW w:w="3222" w:type="dxa"/>
            <w:tcBorders>
              <w:top w:val="single" w:sz="4" w:space="0" w:color="auto"/>
              <w:left w:val="single" w:sz="4" w:space="0" w:color="auto"/>
              <w:bottom w:val="single" w:sz="4" w:space="0" w:color="auto"/>
              <w:right w:val="nil"/>
            </w:tcBorders>
            <w:shd w:val="clear" w:color="auto" w:fill="FFFFFF"/>
            <w:vAlign w:val="center"/>
          </w:tcPr>
          <w:p w:rsidR="008A54B8" w:rsidRDefault="00BD0CDB">
            <w:pPr>
              <w:spacing w:before="60" w:after="60" w:line="240" w:lineRule="auto"/>
              <w:jc w:val="center"/>
              <w:rPr>
                <w:rFonts w:ascii="Times New Roman" w:eastAsia="Times New Roman" w:hAnsi="Times New Roman"/>
                <w:noProof/>
                <w:sz w:val="18"/>
                <w:szCs w:val="18"/>
                <w:lang w:val="sv-SE" w:eastAsia="sv-SE" w:bidi="sv-SE"/>
              </w:rPr>
            </w:pPr>
            <w:r>
              <w:rPr>
                <w:rFonts w:ascii="Times New Roman" w:hAnsi="Times New Roman"/>
                <w:noProof/>
                <w:sz w:val="18"/>
                <w:lang w:val="sv-SE" w:eastAsia="sv-SE" w:bidi="sv-SE"/>
              </w:rPr>
              <w:t>Omfattas av särskilt program för finansiellt stöd</w:t>
            </w:r>
          </w:p>
        </w:tc>
      </w:tr>
      <w:tr w:rsidR="008A54B8" w:rsidRPr="00BD0CDB">
        <w:trPr>
          <w:jc w:val="center"/>
        </w:trPr>
        <w:tc>
          <w:tcPr>
            <w:tcW w:w="607" w:type="dxa"/>
            <w:tcBorders>
              <w:top w:val="single" w:sz="4" w:space="0" w:color="auto"/>
              <w:left w:val="nil"/>
              <w:bottom w:val="single" w:sz="4" w:space="0" w:color="auto"/>
              <w:right w:val="single" w:sz="4" w:space="0" w:color="auto"/>
            </w:tcBorders>
            <w:shd w:val="clear" w:color="auto" w:fill="FFFFFF"/>
            <w:vAlign w:val="center"/>
          </w:tcPr>
          <w:p w:rsidR="008A54B8" w:rsidRDefault="00BD0CDB">
            <w:pPr>
              <w:spacing w:before="60" w:after="60" w:line="240" w:lineRule="auto"/>
              <w:jc w:val="center"/>
              <w:rPr>
                <w:rFonts w:ascii="Times New Roman" w:eastAsia="Times New Roman" w:hAnsi="Times New Roman"/>
                <w:b/>
                <w:noProof/>
                <w:sz w:val="18"/>
                <w:szCs w:val="18"/>
                <w:lang w:val="sv-SE" w:eastAsia="sv-SE" w:bidi="sv-SE"/>
              </w:rPr>
            </w:pPr>
            <w:r>
              <w:rPr>
                <w:rFonts w:ascii="Times New Roman" w:hAnsi="Times New Roman"/>
                <w:b/>
                <w:noProof/>
                <w:sz w:val="18"/>
                <w:lang w:val="sv-SE" w:eastAsia="sv-SE" w:bidi="sv-SE"/>
              </w:rPr>
              <w:t>ES</w:t>
            </w:r>
          </w:p>
        </w:tc>
        <w:tc>
          <w:tcPr>
            <w:tcW w:w="2116" w:type="dxa"/>
            <w:tcBorders>
              <w:top w:val="single" w:sz="4" w:space="0" w:color="auto"/>
              <w:left w:val="single" w:sz="4" w:space="0" w:color="auto"/>
              <w:bottom w:val="single" w:sz="4" w:space="0" w:color="auto"/>
              <w:right w:val="single" w:sz="4" w:space="0" w:color="auto"/>
            </w:tcBorders>
            <w:shd w:val="clear" w:color="auto" w:fill="FFFFFF"/>
            <w:vAlign w:val="center"/>
          </w:tcPr>
          <w:p w:rsidR="008A54B8" w:rsidRDefault="00BD0CDB">
            <w:pPr>
              <w:spacing w:before="60" w:after="60" w:line="240" w:lineRule="auto"/>
              <w:jc w:val="center"/>
              <w:rPr>
                <w:rFonts w:ascii="Times New Roman" w:eastAsia="Times New Roman" w:hAnsi="Times New Roman"/>
                <w:noProof/>
                <w:sz w:val="18"/>
                <w:szCs w:val="18"/>
                <w:lang w:val="sv-SE" w:eastAsia="sv-SE" w:bidi="sv-SE"/>
              </w:rPr>
            </w:pPr>
            <w:r>
              <w:rPr>
                <w:rFonts w:ascii="Times New Roman" w:hAnsi="Times New Roman"/>
                <w:noProof/>
                <w:sz w:val="18"/>
                <w:lang w:val="sv-SE" w:eastAsia="sv-SE" w:bidi="sv-SE"/>
              </w:rPr>
              <w:t>Obalanser</w:t>
            </w:r>
          </w:p>
        </w:tc>
        <w:tc>
          <w:tcPr>
            <w:tcW w:w="2923" w:type="dxa"/>
            <w:tcBorders>
              <w:top w:val="single" w:sz="4" w:space="0" w:color="auto"/>
              <w:left w:val="single" w:sz="4" w:space="0" w:color="auto"/>
              <w:bottom w:val="single" w:sz="4" w:space="0" w:color="auto"/>
              <w:right w:val="nil"/>
            </w:tcBorders>
            <w:shd w:val="clear" w:color="auto" w:fill="FFFFFF"/>
            <w:vAlign w:val="center"/>
          </w:tcPr>
          <w:p w:rsidR="008A54B8" w:rsidRDefault="00BD0CDB">
            <w:pPr>
              <w:spacing w:before="60" w:after="60" w:line="240" w:lineRule="auto"/>
              <w:jc w:val="center"/>
              <w:rPr>
                <w:rFonts w:ascii="Times New Roman" w:eastAsia="Times New Roman" w:hAnsi="Times New Roman"/>
                <w:noProof/>
                <w:sz w:val="18"/>
                <w:szCs w:val="18"/>
                <w:lang w:val="sv-SE" w:eastAsia="sv-SE" w:bidi="sv-SE"/>
              </w:rPr>
            </w:pPr>
            <w:r>
              <w:rPr>
                <w:rFonts w:ascii="Times New Roman" w:hAnsi="Times New Roman"/>
                <w:noProof/>
                <w:sz w:val="18"/>
                <w:lang w:val="sv-SE" w:eastAsia="sv-SE" w:bidi="sv-SE"/>
              </w:rPr>
              <w:t>Korrigerande del</w:t>
            </w:r>
          </w:p>
          <w:p w:rsidR="008A54B8" w:rsidRDefault="00BD0CDB">
            <w:pPr>
              <w:spacing w:before="60" w:after="60" w:line="240" w:lineRule="auto"/>
              <w:jc w:val="center"/>
              <w:rPr>
                <w:rFonts w:ascii="Times New Roman" w:eastAsia="Times New Roman" w:hAnsi="Times New Roman"/>
                <w:noProof/>
                <w:sz w:val="18"/>
                <w:szCs w:val="18"/>
                <w:lang w:val="sv-SE" w:eastAsia="sv-SE" w:bidi="sv-SE"/>
              </w:rPr>
            </w:pPr>
            <w:r>
              <w:rPr>
                <w:rFonts w:ascii="Times New Roman" w:hAnsi="Times New Roman"/>
                <w:noProof/>
                <w:sz w:val="18"/>
                <w:lang w:val="sv-SE" w:eastAsia="sv-SE" w:bidi="sv-SE"/>
              </w:rPr>
              <w:t>Alltför stort underskott, deadline för korrigering: 2016</w:t>
            </w:r>
          </w:p>
        </w:tc>
        <w:tc>
          <w:tcPr>
            <w:tcW w:w="3222" w:type="dxa"/>
            <w:tcBorders>
              <w:top w:val="single" w:sz="4" w:space="0" w:color="auto"/>
              <w:left w:val="single" w:sz="4" w:space="0" w:color="auto"/>
              <w:bottom w:val="single" w:sz="4" w:space="0" w:color="auto"/>
              <w:right w:val="nil"/>
            </w:tcBorders>
            <w:shd w:val="clear" w:color="auto" w:fill="FFFFFF"/>
            <w:vAlign w:val="center"/>
          </w:tcPr>
          <w:p w:rsidR="008A54B8" w:rsidRDefault="00BD0CDB">
            <w:pPr>
              <w:spacing w:before="60" w:after="60" w:line="240" w:lineRule="auto"/>
              <w:jc w:val="center"/>
              <w:rPr>
                <w:rFonts w:ascii="Times New Roman" w:eastAsia="Times New Roman" w:hAnsi="Times New Roman"/>
                <w:noProof/>
                <w:sz w:val="18"/>
                <w:szCs w:val="18"/>
                <w:lang w:val="sv-SE" w:eastAsia="sv-SE" w:bidi="sv-SE"/>
              </w:rPr>
            </w:pPr>
            <w:r>
              <w:rPr>
                <w:rFonts w:ascii="Times New Roman" w:hAnsi="Times New Roman"/>
                <w:noProof/>
                <w:sz w:val="18"/>
                <w:lang w:val="sv-SE" w:eastAsia="sv-SE" w:bidi="sv-SE"/>
              </w:rPr>
              <w:t>Fristående finanspolitisk rekommendation med tanke på riskerna för den snabba korrigeringen</w:t>
            </w:r>
          </w:p>
        </w:tc>
      </w:tr>
      <w:tr w:rsidR="008A54B8" w:rsidRPr="00BD0CDB">
        <w:trPr>
          <w:jc w:val="center"/>
        </w:trPr>
        <w:tc>
          <w:tcPr>
            <w:tcW w:w="607" w:type="dxa"/>
            <w:tcBorders>
              <w:top w:val="single" w:sz="4" w:space="0" w:color="auto"/>
              <w:left w:val="nil"/>
              <w:bottom w:val="single" w:sz="4" w:space="0" w:color="auto"/>
              <w:right w:val="single" w:sz="4" w:space="0" w:color="auto"/>
            </w:tcBorders>
            <w:shd w:val="clear" w:color="auto" w:fill="FFFFFF"/>
            <w:vAlign w:val="center"/>
            <w:hideMark/>
          </w:tcPr>
          <w:p w:rsidR="008A54B8" w:rsidRDefault="00BD0CDB">
            <w:pPr>
              <w:spacing w:before="60" w:after="60" w:line="240" w:lineRule="auto"/>
              <w:jc w:val="center"/>
              <w:rPr>
                <w:rFonts w:ascii="Times New Roman" w:eastAsia="Times New Roman" w:hAnsi="Times New Roman"/>
                <w:b/>
                <w:noProof/>
                <w:sz w:val="18"/>
                <w:szCs w:val="18"/>
                <w:lang w:val="sv-SE" w:eastAsia="sv-SE" w:bidi="sv-SE"/>
              </w:rPr>
            </w:pPr>
            <w:r>
              <w:rPr>
                <w:rFonts w:ascii="Times New Roman" w:hAnsi="Times New Roman"/>
                <w:b/>
                <w:noProof/>
                <w:sz w:val="18"/>
                <w:lang w:val="sv-SE" w:eastAsia="sv-SE" w:bidi="sv-SE"/>
              </w:rPr>
              <w:t>FR</w:t>
            </w:r>
          </w:p>
        </w:tc>
        <w:tc>
          <w:tcPr>
            <w:tcW w:w="2116" w:type="dxa"/>
            <w:tcBorders>
              <w:top w:val="single" w:sz="4" w:space="0" w:color="auto"/>
              <w:left w:val="single" w:sz="4" w:space="0" w:color="auto"/>
              <w:bottom w:val="single" w:sz="4" w:space="0" w:color="auto"/>
              <w:right w:val="single" w:sz="4" w:space="0" w:color="auto"/>
            </w:tcBorders>
            <w:shd w:val="clear" w:color="auto" w:fill="FFFFFF"/>
            <w:vAlign w:val="center"/>
          </w:tcPr>
          <w:p w:rsidR="008A54B8" w:rsidRDefault="00BD0CDB">
            <w:pPr>
              <w:spacing w:before="60" w:after="60" w:line="240" w:lineRule="auto"/>
              <w:jc w:val="center"/>
              <w:rPr>
                <w:rFonts w:ascii="Times New Roman" w:eastAsia="Times New Roman" w:hAnsi="Times New Roman"/>
                <w:noProof/>
                <w:sz w:val="18"/>
                <w:szCs w:val="18"/>
                <w:lang w:val="sv-SE" w:eastAsia="sv-SE" w:bidi="sv-SE"/>
              </w:rPr>
            </w:pPr>
            <w:r>
              <w:rPr>
                <w:rFonts w:ascii="Times New Roman" w:hAnsi="Times New Roman"/>
                <w:noProof/>
                <w:sz w:val="18"/>
                <w:lang w:val="sv-SE" w:eastAsia="sv-SE" w:bidi="sv-SE"/>
              </w:rPr>
              <w:t xml:space="preserve">Alltför stora </w:t>
            </w:r>
            <w:r>
              <w:rPr>
                <w:rFonts w:ascii="Times New Roman" w:hAnsi="Times New Roman"/>
                <w:noProof/>
                <w:sz w:val="18"/>
                <w:lang w:val="sv-SE" w:eastAsia="sv-SE" w:bidi="sv-SE"/>
              </w:rPr>
              <w:t>obalanser</w:t>
            </w:r>
          </w:p>
        </w:tc>
        <w:tc>
          <w:tcPr>
            <w:tcW w:w="2923" w:type="dxa"/>
            <w:tcBorders>
              <w:top w:val="single" w:sz="4" w:space="0" w:color="auto"/>
              <w:left w:val="single" w:sz="4" w:space="0" w:color="auto"/>
              <w:bottom w:val="single" w:sz="4" w:space="0" w:color="auto"/>
              <w:right w:val="nil"/>
            </w:tcBorders>
            <w:shd w:val="clear" w:color="auto" w:fill="FFFFFF"/>
            <w:vAlign w:val="center"/>
          </w:tcPr>
          <w:p w:rsidR="008A54B8" w:rsidRDefault="00BD0CDB">
            <w:pPr>
              <w:spacing w:before="60" w:after="60" w:line="240" w:lineRule="auto"/>
              <w:jc w:val="center"/>
              <w:rPr>
                <w:rFonts w:ascii="Times New Roman" w:eastAsia="Times New Roman" w:hAnsi="Times New Roman"/>
                <w:noProof/>
                <w:sz w:val="18"/>
                <w:szCs w:val="18"/>
                <w:lang w:val="sv-SE" w:eastAsia="sv-SE" w:bidi="sv-SE"/>
              </w:rPr>
            </w:pPr>
            <w:r>
              <w:rPr>
                <w:rFonts w:ascii="Times New Roman" w:hAnsi="Times New Roman"/>
                <w:noProof/>
                <w:sz w:val="18"/>
                <w:lang w:val="sv-SE" w:eastAsia="sv-SE" w:bidi="sv-SE"/>
              </w:rPr>
              <w:t>Korrigerande del</w:t>
            </w:r>
          </w:p>
          <w:p w:rsidR="008A54B8" w:rsidRDefault="00BD0CDB">
            <w:pPr>
              <w:spacing w:before="60" w:after="60" w:line="240" w:lineRule="auto"/>
              <w:jc w:val="center"/>
              <w:rPr>
                <w:rFonts w:ascii="Times New Roman" w:eastAsia="Times New Roman" w:hAnsi="Times New Roman"/>
                <w:noProof/>
                <w:sz w:val="18"/>
                <w:szCs w:val="18"/>
                <w:lang w:val="sv-SE" w:eastAsia="sv-SE" w:bidi="sv-SE"/>
              </w:rPr>
            </w:pPr>
            <w:r>
              <w:rPr>
                <w:rFonts w:ascii="Times New Roman" w:hAnsi="Times New Roman"/>
                <w:noProof/>
                <w:sz w:val="18"/>
                <w:lang w:val="sv-SE" w:eastAsia="sv-SE" w:bidi="sv-SE"/>
              </w:rPr>
              <w:t>Alltför stort underskott, deadline för korrigering: 2017</w:t>
            </w:r>
          </w:p>
        </w:tc>
        <w:tc>
          <w:tcPr>
            <w:tcW w:w="3222" w:type="dxa"/>
            <w:tcBorders>
              <w:top w:val="single" w:sz="4" w:space="0" w:color="auto"/>
              <w:left w:val="single" w:sz="4" w:space="0" w:color="auto"/>
              <w:bottom w:val="single" w:sz="4" w:space="0" w:color="auto"/>
              <w:right w:val="nil"/>
            </w:tcBorders>
            <w:shd w:val="clear" w:color="auto" w:fill="FFFFFF"/>
            <w:vAlign w:val="center"/>
          </w:tcPr>
          <w:p w:rsidR="008A54B8" w:rsidRDefault="008A54B8">
            <w:pPr>
              <w:spacing w:before="60" w:after="60" w:line="240" w:lineRule="auto"/>
              <w:jc w:val="center"/>
              <w:rPr>
                <w:rFonts w:ascii="Times New Roman" w:eastAsia="Times New Roman" w:hAnsi="Times New Roman"/>
                <w:noProof/>
                <w:sz w:val="18"/>
                <w:szCs w:val="18"/>
                <w:lang w:val="sv-SE" w:eastAsia="sv-SE" w:bidi="sv-SE"/>
              </w:rPr>
            </w:pPr>
          </w:p>
        </w:tc>
      </w:tr>
      <w:tr w:rsidR="008A54B8" w:rsidRPr="00BD0CDB">
        <w:trPr>
          <w:jc w:val="center"/>
        </w:trPr>
        <w:tc>
          <w:tcPr>
            <w:tcW w:w="607" w:type="dxa"/>
            <w:tcBorders>
              <w:top w:val="single" w:sz="4" w:space="0" w:color="auto"/>
              <w:left w:val="nil"/>
              <w:bottom w:val="single" w:sz="4" w:space="0" w:color="auto"/>
              <w:right w:val="single" w:sz="4" w:space="0" w:color="auto"/>
            </w:tcBorders>
            <w:shd w:val="clear" w:color="auto" w:fill="FFFFFF"/>
            <w:vAlign w:val="center"/>
            <w:hideMark/>
          </w:tcPr>
          <w:p w:rsidR="008A54B8" w:rsidRDefault="00BD0CDB">
            <w:pPr>
              <w:spacing w:before="60" w:after="60" w:line="240" w:lineRule="auto"/>
              <w:jc w:val="center"/>
              <w:rPr>
                <w:rFonts w:ascii="Times New Roman" w:eastAsia="Times New Roman" w:hAnsi="Times New Roman"/>
                <w:b/>
                <w:noProof/>
                <w:sz w:val="18"/>
                <w:szCs w:val="18"/>
                <w:lang w:val="sv-SE" w:eastAsia="sv-SE" w:bidi="sv-SE"/>
              </w:rPr>
            </w:pPr>
            <w:r>
              <w:rPr>
                <w:rFonts w:ascii="Times New Roman" w:hAnsi="Times New Roman"/>
                <w:b/>
                <w:noProof/>
                <w:sz w:val="18"/>
                <w:lang w:val="sv-SE" w:eastAsia="sv-SE" w:bidi="sv-SE"/>
              </w:rPr>
              <w:t>HR</w:t>
            </w:r>
          </w:p>
        </w:tc>
        <w:tc>
          <w:tcPr>
            <w:tcW w:w="2116" w:type="dxa"/>
            <w:tcBorders>
              <w:top w:val="single" w:sz="4" w:space="0" w:color="auto"/>
              <w:left w:val="single" w:sz="4" w:space="0" w:color="auto"/>
              <w:bottom w:val="single" w:sz="4" w:space="0" w:color="auto"/>
              <w:right w:val="single" w:sz="4" w:space="0" w:color="auto"/>
            </w:tcBorders>
            <w:shd w:val="clear" w:color="auto" w:fill="FFFFFF"/>
            <w:vAlign w:val="center"/>
          </w:tcPr>
          <w:p w:rsidR="008A54B8" w:rsidRDefault="00BD0CDB">
            <w:pPr>
              <w:spacing w:before="60" w:after="60" w:line="240" w:lineRule="auto"/>
              <w:jc w:val="center"/>
              <w:rPr>
                <w:rFonts w:ascii="Times New Roman" w:eastAsia="Times New Roman" w:hAnsi="Times New Roman"/>
                <w:noProof/>
                <w:sz w:val="18"/>
                <w:szCs w:val="18"/>
                <w:lang w:val="sv-SE" w:eastAsia="sv-SE" w:bidi="sv-SE"/>
              </w:rPr>
            </w:pPr>
            <w:r>
              <w:rPr>
                <w:rFonts w:ascii="Times New Roman" w:hAnsi="Times New Roman"/>
                <w:noProof/>
                <w:sz w:val="18"/>
                <w:lang w:val="sv-SE" w:eastAsia="sv-SE" w:bidi="sv-SE"/>
              </w:rPr>
              <w:t xml:space="preserve">Alltför stora obalanser </w:t>
            </w:r>
          </w:p>
        </w:tc>
        <w:tc>
          <w:tcPr>
            <w:tcW w:w="2923" w:type="dxa"/>
            <w:tcBorders>
              <w:top w:val="single" w:sz="4" w:space="0" w:color="auto"/>
              <w:left w:val="single" w:sz="4" w:space="0" w:color="auto"/>
              <w:bottom w:val="single" w:sz="4" w:space="0" w:color="auto"/>
              <w:right w:val="nil"/>
            </w:tcBorders>
            <w:shd w:val="clear" w:color="auto" w:fill="FFFFFF"/>
            <w:vAlign w:val="center"/>
          </w:tcPr>
          <w:p w:rsidR="008A54B8" w:rsidRDefault="00BD0CDB">
            <w:pPr>
              <w:spacing w:before="60" w:after="60" w:line="240" w:lineRule="auto"/>
              <w:jc w:val="center"/>
              <w:rPr>
                <w:rFonts w:ascii="Times New Roman" w:eastAsia="Times New Roman" w:hAnsi="Times New Roman"/>
                <w:noProof/>
                <w:sz w:val="18"/>
                <w:szCs w:val="18"/>
                <w:lang w:val="sv-SE" w:eastAsia="sv-SE" w:bidi="sv-SE"/>
              </w:rPr>
            </w:pPr>
            <w:r>
              <w:rPr>
                <w:rFonts w:ascii="Times New Roman" w:hAnsi="Times New Roman"/>
                <w:noProof/>
                <w:sz w:val="18"/>
                <w:lang w:val="sv-SE" w:eastAsia="sv-SE" w:bidi="sv-SE"/>
              </w:rPr>
              <w:t>Korrigerande del</w:t>
            </w:r>
          </w:p>
          <w:p w:rsidR="008A54B8" w:rsidRDefault="00BD0CDB">
            <w:pPr>
              <w:spacing w:before="60" w:after="60" w:line="240" w:lineRule="auto"/>
              <w:jc w:val="center"/>
              <w:rPr>
                <w:rFonts w:ascii="Times New Roman" w:eastAsia="Times New Roman" w:hAnsi="Times New Roman"/>
                <w:noProof/>
                <w:sz w:val="18"/>
                <w:szCs w:val="18"/>
                <w:lang w:val="sv-SE" w:eastAsia="sv-SE" w:bidi="sv-SE"/>
              </w:rPr>
            </w:pPr>
            <w:r>
              <w:rPr>
                <w:rFonts w:ascii="Times New Roman" w:hAnsi="Times New Roman"/>
                <w:noProof/>
                <w:sz w:val="18"/>
                <w:lang w:val="sv-SE" w:eastAsia="sv-SE" w:bidi="sv-SE"/>
              </w:rPr>
              <w:t>Alltför stort underskott, deadline för korrigering: 2016</w:t>
            </w:r>
          </w:p>
        </w:tc>
        <w:tc>
          <w:tcPr>
            <w:tcW w:w="3222" w:type="dxa"/>
            <w:tcBorders>
              <w:top w:val="single" w:sz="4" w:space="0" w:color="auto"/>
              <w:left w:val="single" w:sz="4" w:space="0" w:color="auto"/>
              <w:bottom w:val="single" w:sz="4" w:space="0" w:color="auto"/>
              <w:right w:val="nil"/>
            </w:tcBorders>
            <w:shd w:val="clear" w:color="auto" w:fill="FFFFFF"/>
            <w:vAlign w:val="center"/>
          </w:tcPr>
          <w:p w:rsidR="008A54B8" w:rsidRDefault="008A54B8">
            <w:pPr>
              <w:spacing w:before="60" w:after="60" w:line="240" w:lineRule="auto"/>
              <w:jc w:val="center"/>
              <w:rPr>
                <w:rFonts w:ascii="Times New Roman" w:eastAsia="Times New Roman" w:hAnsi="Times New Roman"/>
                <w:noProof/>
                <w:sz w:val="18"/>
                <w:szCs w:val="18"/>
                <w:lang w:val="sv-SE" w:eastAsia="sv-SE" w:bidi="sv-SE"/>
              </w:rPr>
            </w:pPr>
          </w:p>
        </w:tc>
      </w:tr>
      <w:tr w:rsidR="008A54B8" w:rsidRPr="00BD0CDB">
        <w:trPr>
          <w:jc w:val="center"/>
        </w:trPr>
        <w:tc>
          <w:tcPr>
            <w:tcW w:w="607" w:type="dxa"/>
            <w:tcBorders>
              <w:top w:val="single" w:sz="4" w:space="0" w:color="auto"/>
              <w:left w:val="nil"/>
              <w:bottom w:val="single" w:sz="4" w:space="0" w:color="auto"/>
              <w:right w:val="single" w:sz="4" w:space="0" w:color="auto"/>
            </w:tcBorders>
            <w:shd w:val="clear" w:color="auto" w:fill="FFFFFF"/>
            <w:vAlign w:val="center"/>
            <w:hideMark/>
          </w:tcPr>
          <w:p w:rsidR="008A54B8" w:rsidRDefault="00BD0CDB">
            <w:pPr>
              <w:spacing w:before="60" w:after="60" w:line="240" w:lineRule="auto"/>
              <w:jc w:val="center"/>
              <w:rPr>
                <w:rFonts w:ascii="Times New Roman" w:eastAsia="Times New Roman" w:hAnsi="Times New Roman"/>
                <w:b/>
                <w:noProof/>
                <w:sz w:val="18"/>
                <w:szCs w:val="18"/>
                <w:lang w:val="sv-SE" w:eastAsia="sv-SE" w:bidi="sv-SE"/>
              </w:rPr>
            </w:pPr>
            <w:r>
              <w:rPr>
                <w:rFonts w:ascii="Times New Roman" w:hAnsi="Times New Roman"/>
                <w:b/>
                <w:noProof/>
                <w:sz w:val="18"/>
                <w:lang w:val="sv-SE" w:eastAsia="sv-SE" w:bidi="sv-SE"/>
              </w:rPr>
              <w:t>IT</w:t>
            </w:r>
          </w:p>
        </w:tc>
        <w:tc>
          <w:tcPr>
            <w:tcW w:w="2116" w:type="dxa"/>
            <w:tcBorders>
              <w:top w:val="single" w:sz="4" w:space="0" w:color="auto"/>
              <w:left w:val="single" w:sz="4" w:space="0" w:color="auto"/>
              <w:bottom w:val="single" w:sz="4" w:space="0" w:color="auto"/>
              <w:right w:val="single" w:sz="4" w:space="0" w:color="auto"/>
            </w:tcBorders>
            <w:shd w:val="clear" w:color="auto" w:fill="FFFFFF"/>
            <w:vAlign w:val="center"/>
          </w:tcPr>
          <w:p w:rsidR="008A54B8" w:rsidRDefault="00BD0CDB">
            <w:pPr>
              <w:spacing w:before="60" w:after="60" w:line="240" w:lineRule="auto"/>
              <w:jc w:val="center"/>
              <w:rPr>
                <w:rFonts w:ascii="Times New Roman" w:eastAsia="Times New Roman" w:hAnsi="Times New Roman"/>
                <w:noProof/>
                <w:sz w:val="18"/>
                <w:szCs w:val="18"/>
                <w:lang w:val="sv-SE" w:eastAsia="sv-SE" w:bidi="sv-SE"/>
              </w:rPr>
            </w:pPr>
            <w:r>
              <w:rPr>
                <w:rFonts w:ascii="Times New Roman" w:hAnsi="Times New Roman"/>
                <w:noProof/>
                <w:sz w:val="18"/>
                <w:lang w:val="sv-SE" w:eastAsia="sv-SE" w:bidi="sv-SE"/>
              </w:rPr>
              <w:t>Alltför stora obalanser</w:t>
            </w:r>
          </w:p>
        </w:tc>
        <w:tc>
          <w:tcPr>
            <w:tcW w:w="2923" w:type="dxa"/>
            <w:tcBorders>
              <w:top w:val="single" w:sz="4" w:space="0" w:color="auto"/>
              <w:left w:val="single" w:sz="4" w:space="0" w:color="auto"/>
              <w:bottom w:val="single" w:sz="4" w:space="0" w:color="auto"/>
              <w:right w:val="nil"/>
            </w:tcBorders>
            <w:shd w:val="clear" w:color="auto" w:fill="FFFFFF"/>
            <w:vAlign w:val="center"/>
          </w:tcPr>
          <w:p w:rsidR="008A54B8" w:rsidRDefault="00BD0CDB">
            <w:pPr>
              <w:spacing w:before="60" w:after="60" w:line="240" w:lineRule="auto"/>
              <w:jc w:val="center"/>
              <w:rPr>
                <w:rFonts w:ascii="Times New Roman" w:eastAsia="Times New Roman" w:hAnsi="Times New Roman"/>
                <w:noProof/>
                <w:sz w:val="18"/>
                <w:szCs w:val="18"/>
                <w:lang w:val="sv-SE" w:eastAsia="sv-SE" w:bidi="sv-SE"/>
              </w:rPr>
            </w:pPr>
            <w:r>
              <w:rPr>
                <w:rFonts w:ascii="Times New Roman" w:hAnsi="Times New Roman"/>
                <w:noProof/>
                <w:sz w:val="18"/>
                <w:lang w:val="sv-SE" w:eastAsia="sv-SE" w:bidi="sv-SE"/>
              </w:rPr>
              <w:t>Förebyggande del</w:t>
            </w:r>
          </w:p>
          <w:p w:rsidR="008A54B8" w:rsidRDefault="00BD0CDB">
            <w:pPr>
              <w:spacing w:before="60" w:after="60" w:line="240" w:lineRule="auto"/>
              <w:jc w:val="center"/>
              <w:rPr>
                <w:rFonts w:ascii="Times New Roman" w:eastAsia="Times New Roman" w:hAnsi="Times New Roman"/>
                <w:noProof/>
                <w:sz w:val="18"/>
                <w:szCs w:val="18"/>
                <w:lang w:val="sv-SE" w:eastAsia="sv-SE" w:bidi="sv-SE"/>
              </w:rPr>
            </w:pPr>
            <w:r>
              <w:rPr>
                <w:rFonts w:ascii="Times New Roman" w:hAnsi="Times New Roman"/>
                <w:noProof/>
                <w:sz w:val="18"/>
                <w:lang w:val="sv-SE" w:eastAsia="sv-SE" w:bidi="sv-SE"/>
              </w:rPr>
              <w:t xml:space="preserve">Ännu inte nått MTO, </w:t>
            </w:r>
            <w:r>
              <w:rPr>
                <w:rFonts w:ascii="Times New Roman" w:hAnsi="Times New Roman"/>
                <w:noProof/>
                <w:sz w:val="18"/>
                <w:lang w:val="sv-SE" w:eastAsia="sv-SE" w:bidi="sv-SE"/>
              </w:rPr>
              <w:t>omfattas av övergångsregler för skuldkriteriet</w:t>
            </w:r>
          </w:p>
        </w:tc>
        <w:tc>
          <w:tcPr>
            <w:tcW w:w="3222" w:type="dxa"/>
            <w:tcBorders>
              <w:top w:val="single" w:sz="4" w:space="0" w:color="auto"/>
              <w:left w:val="single" w:sz="4" w:space="0" w:color="auto"/>
              <w:bottom w:val="single" w:sz="4" w:space="0" w:color="auto"/>
              <w:right w:val="nil"/>
            </w:tcBorders>
            <w:shd w:val="clear" w:color="auto" w:fill="FFFFFF"/>
            <w:vAlign w:val="center"/>
          </w:tcPr>
          <w:p w:rsidR="008A54B8" w:rsidRDefault="008A54B8">
            <w:pPr>
              <w:spacing w:before="60" w:after="60" w:line="240" w:lineRule="auto"/>
              <w:jc w:val="center"/>
              <w:rPr>
                <w:rFonts w:ascii="Times New Roman" w:eastAsia="Times New Roman" w:hAnsi="Times New Roman"/>
                <w:noProof/>
                <w:sz w:val="18"/>
                <w:szCs w:val="18"/>
                <w:lang w:val="sv-SE" w:eastAsia="sv-SE" w:bidi="sv-SE"/>
              </w:rPr>
            </w:pPr>
          </w:p>
        </w:tc>
      </w:tr>
      <w:tr w:rsidR="008A54B8" w:rsidRPr="00BD0CDB">
        <w:trPr>
          <w:jc w:val="center"/>
        </w:trPr>
        <w:tc>
          <w:tcPr>
            <w:tcW w:w="607" w:type="dxa"/>
            <w:tcBorders>
              <w:top w:val="single" w:sz="4" w:space="0" w:color="auto"/>
              <w:left w:val="nil"/>
              <w:bottom w:val="single" w:sz="4" w:space="0" w:color="auto"/>
              <w:right w:val="single" w:sz="4" w:space="0" w:color="auto"/>
            </w:tcBorders>
            <w:shd w:val="clear" w:color="auto" w:fill="FFFFFF"/>
            <w:vAlign w:val="center"/>
            <w:hideMark/>
          </w:tcPr>
          <w:p w:rsidR="008A54B8" w:rsidRDefault="00BD0CDB">
            <w:pPr>
              <w:spacing w:before="60" w:after="60" w:line="240" w:lineRule="auto"/>
              <w:jc w:val="center"/>
              <w:rPr>
                <w:rFonts w:ascii="Times New Roman" w:eastAsia="Times New Roman" w:hAnsi="Times New Roman"/>
                <w:b/>
                <w:noProof/>
                <w:sz w:val="18"/>
                <w:szCs w:val="18"/>
                <w:lang w:val="sv-SE" w:eastAsia="sv-SE" w:bidi="sv-SE"/>
              </w:rPr>
            </w:pPr>
            <w:r>
              <w:rPr>
                <w:rFonts w:ascii="Times New Roman" w:hAnsi="Times New Roman"/>
                <w:b/>
                <w:noProof/>
                <w:sz w:val="18"/>
                <w:lang w:val="sv-SE" w:eastAsia="sv-SE" w:bidi="sv-SE"/>
              </w:rPr>
              <w:t>CY</w:t>
            </w:r>
          </w:p>
        </w:tc>
        <w:tc>
          <w:tcPr>
            <w:tcW w:w="2116" w:type="dxa"/>
            <w:tcBorders>
              <w:top w:val="single" w:sz="4" w:space="0" w:color="auto"/>
              <w:left w:val="single" w:sz="4" w:space="0" w:color="auto"/>
              <w:bottom w:val="single" w:sz="4" w:space="0" w:color="auto"/>
              <w:right w:val="single" w:sz="4" w:space="0" w:color="auto"/>
            </w:tcBorders>
            <w:shd w:val="clear" w:color="auto" w:fill="FFFFFF"/>
            <w:vAlign w:val="center"/>
          </w:tcPr>
          <w:p w:rsidR="008A54B8" w:rsidRDefault="008A54B8">
            <w:pPr>
              <w:spacing w:before="60" w:after="60" w:line="240" w:lineRule="auto"/>
              <w:jc w:val="center"/>
              <w:rPr>
                <w:rFonts w:ascii="Times New Roman" w:eastAsia="Times New Roman" w:hAnsi="Times New Roman"/>
                <w:noProof/>
                <w:sz w:val="18"/>
                <w:szCs w:val="18"/>
                <w:lang w:val="sv-SE" w:eastAsia="sv-SE" w:bidi="sv-SE"/>
              </w:rPr>
            </w:pPr>
          </w:p>
        </w:tc>
        <w:tc>
          <w:tcPr>
            <w:tcW w:w="2923" w:type="dxa"/>
            <w:tcBorders>
              <w:top w:val="single" w:sz="4" w:space="0" w:color="auto"/>
              <w:left w:val="single" w:sz="4" w:space="0" w:color="auto"/>
              <w:bottom w:val="single" w:sz="4" w:space="0" w:color="auto"/>
              <w:right w:val="nil"/>
            </w:tcBorders>
            <w:shd w:val="clear" w:color="auto" w:fill="FFFFFF"/>
            <w:vAlign w:val="center"/>
          </w:tcPr>
          <w:p w:rsidR="008A54B8" w:rsidRDefault="00BD0CDB">
            <w:pPr>
              <w:spacing w:before="60" w:after="60" w:line="240" w:lineRule="auto"/>
              <w:jc w:val="center"/>
              <w:rPr>
                <w:rFonts w:ascii="Times New Roman" w:eastAsia="Times New Roman" w:hAnsi="Times New Roman"/>
                <w:noProof/>
                <w:sz w:val="18"/>
                <w:szCs w:val="18"/>
                <w:lang w:val="sv-SE" w:eastAsia="sv-SE" w:bidi="sv-SE"/>
              </w:rPr>
            </w:pPr>
            <w:r>
              <w:rPr>
                <w:rFonts w:ascii="Times New Roman" w:hAnsi="Times New Roman"/>
                <w:noProof/>
                <w:sz w:val="18"/>
                <w:lang w:val="sv-SE" w:eastAsia="sv-SE" w:bidi="sv-SE"/>
              </w:rPr>
              <w:t>Korrigerande del</w:t>
            </w:r>
          </w:p>
          <w:p w:rsidR="008A54B8" w:rsidRDefault="00BD0CDB">
            <w:pPr>
              <w:spacing w:before="60" w:after="60" w:line="240" w:lineRule="auto"/>
              <w:jc w:val="center"/>
              <w:rPr>
                <w:rFonts w:ascii="Times New Roman" w:eastAsia="Times New Roman" w:hAnsi="Times New Roman"/>
                <w:noProof/>
                <w:sz w:val="18"/>
                <w:szCs w:val="18"/>
                <w:lang w:val="sv-SE" w:eastAsia="sv-SE" w:bidi="sv-SE"/>
              </w:rPr>
            </w:pPr>
            <w:r>
              <w:rPr>
                <w:rFonts w:ascii="Times New Roman" w:hAnsi="Times New Roman"/>
                <w:noProof/>
                <w:sz w:val="18"/>
                <w:lang w:val="sv-SE" w:eastAsia="sv-SE" w:bidi="sv-SE"/>
              </w:rPr>
              <w:t>Alltför stort underskott, deadline för korrigering: 2016</w:t>
            </w:r>
          </w:p>
        </w:tc>
        <w:tc>
          <w:tcPr>
            <w:tcW w:w="3222" w:type="dxa"/>
            <w:tcBorders>
              <w:top w:val="single" w:sz="4" w:space="0" w:color="auto"/>
              <w:left w:val="single" w:sz="4" w:space="0" w:color="auto"/>
              <w:bottom w:val="single" w:sz="4" w:space="0" w:color="auto"/>
              <w:right w:val="nil"/>
            </w:tcBorders>
            <w:shd w:val="clear" w:color="auto" w:fill="FFFFFF"/>
            <w:vAlign w:val="center"/>
          </w:tcPr>
          <w:p w:rsidR="008A54B8" w:rsidRDefault="00BD0CDB">
            <w:pPr>
              <w:spacing w:before="60" w:after="60" w:line="240" w:lineRule="auto"/>
              <w:jc w:val="center"/>
              <w:rPr>
                <w:rFonts w:ascii="Times New Roman" w:eastAsia="Times New Roman" w:hAnsi="Times New Roman"/>
                <w:noProof/>
                <w:sz w:val="18"/>
                <w:szCs w:val="18"/>
                <w:lang w:val="sv-SE" w:eastAsia="sv-SE" w:bidi="sv-SE"/>
              </w:rPr>
            </w:pPr>
            <w:r>
              <w:rPr>
                <w:rFonts w:ascii="Times New Roman" w:hAnsi="Times New Roman"/>
                <w:noProof/>
                <w:sz w:val="18"/>
                <w:lang w:val="sv-SE" w:eastAsia="sv-SE" w:bidi="sv-SE"/>
              </w:rPr>
              <w:t>Omfattas av särskilt program för finansiellt stöd</w:t>
            </w:r>
          </w:p>
        </w:tc>
      </w:tr>
      <w:tr w:rsidR="008A54B8" w:rsidRPr="00BD0CDB">
        <w:trPr>
          <w:jc w:val="center"/>
        </w:trPr>
        <w:tc>
          <w:tcPr>
            <w:tcW w:w="607" w:type="dxa"/>
            <w:tcBorders>
              <w:top w:val="single" w:sz="4" w:space="0" w:color="auto"/>
              <w:left w:val="nil"/>
              <w:bottom w:val="single" w:sz="4" w:space="0" w:color="auto"/>
              <w:right w:val="single" w:sz="4" w:space="0" w:color="auto"/>
            </w:tcBorders>
            <w:shd w:val="clear" w:color="auto" w:fill="FFFFFF"/>
            <w:vAlign w:val="center"/>
          </w:tcPr>
          <w:p w:rsidR="008A54B8" w:rsidRDefault="00BD0CDB">
            <w:pPr>
              <w:spacing w:before="60" w:after="60" w:line="240" w:lineRule="auto"/>
              <w:jc w:val="center"/>
              <w:rPr>
                <w:rFonts w:ascii="Times New Roman" w:eastAsia="Times New Roman" w:hAnsi="Times New Roman"/>
                <w:b/>
                <w:noProof/>
                <w:sz w:val="18"/>
                <w:szCs w:val="18"/>
                <w:lang w:val="sv-SE" w:eastAsia="sv-SE" w:bidi="sv-SE"/>
              </w:rPr>
            </w:pPr>
            <w:r>
              <w:rPr>
                <w:rFonts w:ascii="Times New Roman" w:hAnsi="Times New Roman"/>
                <w:b/>
                <w:noProof/>
                <w:sz w:val="18"/>
                <w:lang w:val="sv-SE" w:eastAsia="sv-SE" w:bidi="sv-SE"/>
              </w:rPr>
              <w:t>LV</w:t>
            </w:r>
          </w:p>
        </w:tc>
        <w:tc>
          <w:tcPr>
            <w:tcW w:w="2116" w:type="dxa"/>
            <w:tcBorders>
              <w:top w:val="single" w:sz="4" w:space="0" w:color="auto"/>
              <w:left w:val="single" w:sz="4" w:space="0" w:color="auto"/>
              <w:bottom w:val="single" w:sz="4" w:space="0" w:color="auto"/>
              <w:right w:val="single" w:sz="4" w:space="0" w:color="auto"/>
            </w:tcBorders>
            <w:shd w:val="clear" w:color="auto" w:fill="FFFFFF"/>
            <w:vAlign w:val="center"/>
          </w:tcPr>
          <w:p w:rsidR="008A54B8" w:rsidRDefault="008A54B8">
            <w:pPr>
              <w:spacing w:before="60" w:after="60" w:line="240" w:lineRule="auto"/>
              <w:jc w:val="center"/>
              <w:rPr>
                <w:rFonts w:ascii="Times New Roman" w:eastAsia="Times New Roman" w:hAnsi="Times New Roman"/>
                <w:noProof/>
                <w:sz w:val="18"/>
                <w:szCs w:val="18"/>
                <w:lang w:val="sv-SE" w:eastAsia="sv-SE" w:bidi="sv-SE"/>
              </w:rPr>
            </w:pPr>
          </w:p>
        </w:tc>
        <w:tc>
          <w:tcPr>
            <w:tcW w:w="2923" w:type="dxa"/>
            <w:tcBorders>
              <w:top w:val="single" w:sz="4" w:space="0" w:color="auto"/>
              <w:left w:val="single" w:sz="4" w:space="0" w:color="auto"/>
              <w:bottom w:val="single" w:sz="4" w:space="0" w:color="auto"/>
              <w:right w:val="nil"/>
            </w:tcBorders>
            <w:shd w:val="clear" w:color="auto" w:fill="FFFFFF"/>
            <w:vAlign w:val="center"/>
          </w:tcPr>
          <w:p w:rsidR="008A54B8" w:rsidRDefault="00BD0CDB">
            <w:pPr>
              <w:spacing w:before="60" w:after="60" w:line="240" w:lineRule="auto"/>
              <w:jc w:val="center"/>
              <w:rPr>
                <w:rFonts w:ascii="Times New Roman" w:eastAsia="Times New Roman" w:hAnsi="Times New Roman"/>
                <w:noProof/>
                <w:sz w:val="18"/>
                <w:szCs w:val="18"/>
                <w:lang w:val="sv-SE" w:eastAsia="sv-SE" w:bidi="sv-SE"/>
              </w:rPr>
            </w:pPr>
            <w:r>
              <w:rPr>
                <w:rFonts w:ascii="Times New Roman" w:hAnsi="Times New Roman"/>
                <w:noProof/>
                <w:sz w:val="18"/>
                <w:lang w:val="sv-SE" w:eastAsia="sv-SE" w:bidi="sv-SE"/>
              </w:rPr>
              <w:t>Förebyggande del</w:t>
            </w:r>
          </w:p>
          <w:p w:rsidR="008A54B8" w:rsidRDefault="00BD0CDB">
            <w:pPr>
              <w:spacing w:before="60" w:after="60" w:line="240" w:lineRule="auto"/>
              <w:jc w:val="center"/>
              <w:rPr>
                <w:rFonts w:ascii="Times New Roman" w:eastAsia="Times New Roman" w:hAnsi="Times New Roman"/>
                <w:noProof/>
                <w:sz w:val="18"/>
                <w:szCs w:val="18"/>
                <w:lang w:val="sv-SE" w:eastAsia="sv-SE" w:bidi="sv-SE"/>
              </w:rPr>
            </w:pPr>
            <w:r>
              <w:rPr>
                <w:rFonts w:ascii="Times New Roman" w:hAnsi="Times New Roman"/>
                <w:noProof/>
                <w:sz w:val="18"/>
                <w:lang w:val="sv-SE" w:eastAsia="sv-SE" w:bidi="sv-SE"/>
              </w:rPr>
              <w:t>Ännu inte nått MTO</w:t>
            </w:r>
          </w:p>
        </w:tc>
        <w:tc>
          <w:tcPr>
            <w:tcW w:w="3222" w:type="dxa"/>
            <w:tcBorders>
              <w:top w:val="single" w:sz="4" w:space="0" w:color="auto"/>
              <w:left w:val="single" w:sz="4" w:space="0" w:color="auto"/>
              <w:bottom w:val="single" w:sz="4" w:space="0" w:color="auto"/>
              <w:right w:val="nil"/>
            </w:tcBorders>
            <w:shd w:val="clear" w:color="auto" w:fill="FFFFFF"/>
            <w:vAlign w:val="center"/>
          </w:tcPr>
          <w:p w:rsidR="008A54B8" w:rsidRDefault="008A54B8">
            <w:pPr>
              <w:spacing w:before="60" w:after="60" w:line="240" w:lineRule="auto"/>
              <w:jc w:val="center"/>
              <w:rPr>
                <w:rFonts w:ascii="Times New Roman" w:eastAsia="Times New Roman" w:hAnsi="Times New Roman"/>
                <w:noProof/>
                <w:sz w:val="18"/>
                <w:szCs w:val="18"/>
                <w:lang w:val="sv-SE" w:eastAsia="sv-SE" w:bidi="sv-SE"/>
              </w:rPr>
            </w:pPr>
          </w:p>
        </w:tc>
      </w:tr>
      <w:tr w:rsidR="008A54B8" w:rsidRPr="00BD0CDB">
        <w:trPr>
          <w:jc w:val="center"/>
        </w:trPr>
        <w:tc>
          <w:tcPr>
            <w:tcW w:w="607" w:type="dxa"/>
            <w:tcBorders>
              <w:top w:val="single" w:sz="4" w:space="0" w:color="auto"/>
              <w:left w:val="nil"/>
              <w:bottom w:val="single" w:sz="4" w:space="0" w:color="auto"/>
              <w:right w:val="single" w:sz="4" w:space="0" w:color="auto"/>
            </w:tcBorders>
            <w:shd w:val="clear" w:color="auto" w:fill="FFFFFF"/>
            <w:vAlign w:val="center"/>
          </w:tcPr>
          <w:p w:rsidR="008A54B8" w:rsidRDefault="00BD0CDB">
            <w:pPr>
              <w:spacing w:before="60" w:after="60" w:line="240" w:lineRule="auto"/>
              <w:jc w:val="center"/>
              <w:rPr>
                <w:rFonts w:ascii="Times New Roman" w:eastAsia="Times New Roman" w:hAnsi="Times New Roman"/>
                <w:b/>
                <w:noProof/>
                <w:sz w:val="18"/>
                <w:szCs w:val="18"/>
                <w:lang w:val="sv-SE" w:eastAsia="sv-SE" w:bidi="sv-SE"/>
              </w:rPr>
            </w:pPr>
            <w:r>
              <w:rPr>
                <w:rFonts w:ascii="Times New Roman" w:hAnsi="Times New Roman"/>
                <w:b/>
                <w:noProof/>
                <w:sz w:val="18"/>
                <w:lang w:val="sv-SE" w:eastAsia="sv-SE" w:bidi="sv-SE"/>
              </w:rPr>
              <w:t>LT</w:t>
            </w:r>
          </w:p>
        </w:tc>
        <w:tc>
          <w:tcPr>
            <w:tcW w:w="2116" w:type="dxa"/>
            <w:tcBorders>
              <w:top w:val="single" w:sz="4" w:space="0" w:color="auto"/>
              <w:left w:val="single" w:sz="4" w:space="0" w:color="auto"/>
              <w:bottom w:val="single" w:sz="4" w:space="0" w:color="auto"/>
              <w:right w:val="single" w:sz="4" w:space="0" w:color="auto"/>
            </w:tcBorders>
            <w:shd w:val="clear" w:color="auto" w:fill="FFFFFF"/>
            <w:vAlign w:val="center"/>
          </w:tcPr>
          <w:p w:rsidR="008A54B8" w:rsidRDefault="008A54B8">
            <w:pPr>
              <w:spacing w:before="60" w:after="60" w:line="240" w:lineRule="auto"/>
              <w:jc w:val="center"/>
              <w:rPr>
                <w:rFonts w:ascii="Times New Roman" w:eastAsia="Times New Roman" w:hAnsi="Times New Roman"/>
                <w:noProof/>
                <w:sz w:val="18"/>
                <w:szCs w:val="18"/>
                <w:lang w:val="sv-SE" w:eastAsia="sv-SE" w:bidi="sv-SE"/>
              </w:rPr>
            </w:pPr>
          </w:p>
        </w:tc>
        <w:tc>
          <w:tcPr>
            <w:tcW w:w="2923" w:type="dxa"/>
            <w:tcBorders>
              <w:top w:val="single" w:sz="4" w:space="0" w:color="auto"/>
              <w:left w:val="single" w:sz="4" w:space="0" w:color="auto"/>
              <w:bottom w:val="single" w:sz="4" w:space="0" w:color="auto"/>
              <w:right w:val="nil"/>
            </w:tcBorders>
            <w:shd w:val="clear" w:color="auto" w:fill="FFFFFF"/>
            <w:vAlign w:val="center"/>
          </w:tcPr>
          <w:p w:rsidR="008A54B8" w:rsidRDefault="00BD0CDB">
            <w:pPr>
              <w:spacing w:before="60" w:after="60" w:line="240" w:lineRule="auto"/>
              <w:jc w:val="center"/>
              <w:rPr>
                <w:rFonts w:ascii="Times New Roman" w:eastAsia="Times New Roman" w:hAnsi="Times New Roman"/>
                <w:noProof/>
                <w:sz w:val="18"/>
                <w:szCs w:val="18"/>
                <w:lang w:val="sv-SE" w:eastAsia="sv-SE" w:bidi="sv-SE"/>
              </w:rPr>
            </w:pPr>
            <w:r>
              <w:rPr>
                <w:rFonts w:ascii="Times New Roman" w:hAnsi="Times New Roman"/>
                <w:noProof/>
                <w:sz w:val="18"/>
                <w:lang w:val="sv-SE" w:eastAsia="sv-SE" w:bidi="sv-SE"/>
              </w:rPr>
              <w:t>Förebyggande del</w:t>
            </w:r>
          </w:p>
          <w:p w:rsidR="008A54B8" w:rsidRDefault="00BD0CDB">
            <w:pPr>
              <w:spacing w:before="60" w:after="60" w:line="240" w:lineRule="auto"/>
              <w:jc w:val="center"/>
              <w:rPr>
                <w:rFonts w:ascii="Times New Roman" w:eastAsia="Times New Roman" w:hAnsi="Times New Roman"/>
                <w:noProof/>
                <w:sz w:val="18"/>
                <w:szCs w:val="18"/>
                <w:lang w:val="sv-SE" w:eastAsia="sv-SE" w:bidi="sv-SE"/>
              </w:rPr>
            </w:pPr>
            <w:r>
              <w:rPr>
                <w:rFonts w:ascii="Times New Roman" w:hAnsi="Times New Roman"/>
                <w:noProof/>
                <w:sz w:val="18"/>
                <w:lang w:val="sv-SE" w:eastAsia="sv-SE" w:bidi="sv-SE"/>
              </w:rPr>
              <w:t xml:space="preserve">Ännu inte nått </w:t>
            </w:r>
            <w:r>
              <w:rPr>
                <w:rFonts w:ascii="Times New Roman" w:hAnsi="Times New Roman"/>
                <w:noProof/>
                <w:sz w:val="18"/>
                <w:lang w:val="sv-SE" w:eastAsia="sv-SE" w:bidi="sv-SE"/>
              </w:rPr>
              <w:t>MTO</w:t>
            </w:r>
          </w:p>
        </w:tc>
        <w:tc>
          <w:tcPr>
            <w:tcW w:w="3222" w:type="dxa"/>
            <w:tcBorders>
              <w:top w:val="single" w:sz="4" w:space="0" w:color="auto"/>
              <w:left w:val="single" w:sz="4" w:space="0" w:color="auto"/>
              <w:bottom w:val="single" w:sz="4" w:space="0" w:color="auto"/>
              <w:right w:val="nil"/>
            </w:tcBorders>
            <w:shd w:val="clear" w:color="auto" w:fill="FFFFFF"/>
            <w:vAlign w:val="center"/>
          </w:tcPr>
          <w:p w:rsidR="008A54B8" w:rsidRDefault="008A54B8">
            <w:pPr>
              <w:spacing w:before="60" w:after="60" w:line="240" w:lineRule="auto"/>
              <w:jc w:val="center"/>
              <w:rPr>
                <w:rFonts w:ascii="Times New Roman" w:eastAsia="Times New Roman" w:hAnsi="Times New Roman"/>
                <w:noProof/>
                <w:sz w:val="18"/>
                <w:szCs w:val="18"/>
                <w:lang w:val="sv-SE" w:eastAsia="sv-SE" w:bidi="sv-SE"/>
              </w:rPr>
            </w:pPr>
          </w:p>
        </w:tc>
      </w:tr>
      <w:tr w:rsidR="008A54B8">
        <w:trPr>
          <w:jc w:val="center"/>
        </w:trPr>
        <w:tc>
          <w:tcPr>
            <w:tcW w:w="607" w:type="dxa"/>
            <w:tcBorders>
              <w:top w:val="single" w:sz="4" w:space="0" w:color="auto"/>
              <w:left w:val="nil"/>
              <w:bottom w:val="single" w:sz="4" w:space="0" w:color="auto"/>
              <w:right w:val="single" w:sz="4" w:space="0" w:color="auto"/>
            </w:tcBorders>
            <w:shd w:val="clear" w:color="auto" w:fill="FFFFFF"/>
            <w:vAlign w:val="center"/>
          </w:tcPr>
          <w:p w:rsidR="008A54B8" w:rsidRDefault="00BD0CDB">
            <w:pPr>
              <w:spacing w:before="60" w:after="60" w:line="240" w:lineRule="auto"/>
              <w:jc w:val="center"/>
              <w:rPr>
                <w:rFonts w:ascii="Times New Roman" w:eastAsia="Times New Roman" w:hAnsi="Times New Roman"/>
                <w:b/>
                <w:noProof/>
                <w:sz w:val="18"/>
                <w:szCs w:val="18"/>
                <w:lang w:val="sv-SE" w:eastAsia="sv-SE" w:bidi="sv-SE"/>
              </w:rPr>
            </w:pPr>
            <w:r>
              <w:rPr>
                <w:rFonts w:ascii="Times New Roman" w:hAnsi="Times New Roman"/>
                <w:b/>
                <w:noProof/>
                <w:sz w:val="18"/>
                <w:lang w:val="sv-SE" w:eastAsia="sv-SE" w:bidi="sv-SE"/>
              </w:rPr>
              <w:t>LU</w:t>
            </w:r>
          </w:p>
        </w:tc>
        <w:tc>
          <w:tcPr>
            <w:tcW w:w="2116" w:type="dxa"/>
            <w:tcBorders>
              <w:top w:val="single" w:sz="4" w:space="0" w:color="auto"/>
              <w:left w:val="single" w:sz="4" w:space="0" w:color="auto"/>
              <w:bottom w:val="single" w:sz="4" w:space="0" w:color="auto"/>
              <w:right w:val="single" w:sz="4" w:space="0" w:color="auto"/>
            </w:tcBorders>
            <w:shd w:val="clear" w:color="auto" w:fill="FFFFFF"/>
            <w:vAlign w:val="center"/>
          </w:tcPr>
          <w:p w:rsidR="008A54B8" w:rsidRDefault="008A54B8">
            <w:pPr>
              <w:spacing w:before="60" w:after="60" w:line="240" w:lineRule="auto"/>
              <w:jc w:val="center"/>
              <w:rPr>
                <w:rFonts w:ascii="Times New Roman" w:eastAsia="Times New Roman" w:hAnsi="Times New Roman"/>
                <w:noProof/>
                <w:sz w:val="18"/>
                <w:szCs w:val="18"/>
                <w:lang w:val="sv-SE" w:eastAsia="sv-SE" w:bidi="sv-SE"/>
              </w:rPr>
            </w:pPr>
          </w:p>
        </w:tc>
        <w:tc>
          <w:tcPr>
            <w:tcW w:w="2923" w:type="dxa"/>
            <w:tcBorders>
              <w:top w:val="single" w:sz="4" w:space="0" w:color="auto"/>
              <w:left w:val="single" w:sz="4" w:space="0" w:color="auto"/>
              <w:bottom w:val="single" w:sz="4" w:space="0" w:color="auto"/>
              <w:right w:val="nil"/>
            </w:tcBorders>
            <w:shd w:val="clear" w:color="auto" w:fill="FFFFFF"/>
            <w:vAlign w:val="center"/>
          </w:tcPr>
          <w:p w:rsidR="008A54B8" w:rsidRDefault="00BD0CDB">
            <w:pPr>
              <w:spacing w:before="60" w:after="60" w:line="240" w:lineRule="auto"/>
              <w:jc w:val="center"/>
              <w:rPr>
                <w:rFonts w:ascii="Times New Roman" w:eastAsia="Times New Roman" w:hAnsi="Times New Roman"/>
                <w:noProof/>
                <w:sz w:val="18"/>
                <w:szCs w:val="18"/>
                <w:lang w:val="sv-SE" w:eastAsia="sv-SE" w:bidi="sv-SE"/>
              </w:rPr>
            </w:pPr>
            <w:r>
              <w:rPr>
                <w:rFonts w:ascii="Times New Roman" w:hAnsi="Times New Roman"/>
                <w:noProof/>
                <w:sz w:val="18"/>
                <w:lang w:val="sv-SE" w:eastAsia="sv-SE" w:bidi="sv-SE"/>
              </w:rPr>
              <w:t>Förebyggande del</w:t>
            </w:r>
          </w:p>
          <w:p w:rsidR="008A54B8" w:rsidRDefault="00BD0CDB">
            <w:pPr>
              <w:spacing w:before="60" w:after="60" w:line="240" w:lineRule="auto"/>
              <w:jc w:val="center"/>
              <w:rPr>
                <w:rFonts w:ascii="Times New Roman" w:eastAsia="Times New Roman" w:hAnsi="Times New Roman"/>
                <w:noProof/>
                <w:sz w:val="18"/>
                <w:szCs w:val="18"/>
                <w:lang w:val="sv-SE" w:eastAsia="sv-SE" w:bidi="sv-SE"/>
              </w:rPr>
            </w:pPr>
            <w:r>
              <w:rPr>
                <w:rFonts w:ascii="Times New Roman" w:hAnsi="Times New Roman"/>
                <w:noProof/>
                <w:sz w:val="18"/>
                <w:lang w:val="sv-SE" w:eastAsia="sv-SE" w:bidi="sv-SE"/>
              </w:rPr>
              <w:t>Överträffar MTO</w:t>
            </w:r>
          </w:p>
        </w:tc>
        <w:tc>
          <w:tcPr>
            <w:tcW w:w="3222" w:type="dxa"/>
            <w:tcBorders>
              <w:top w:val="single" w:sz="4" w:space="0" w:color="auto"/>
              <w:left w:val="single" w:sz="4" w:space="0" w:color="auto"/>
              <w:bottom w:val="single" w:sz="4" w:space="0" w:color="auto"/>
              <w:right w:val="nil"/>
            </w:tcBorders>
            <w:shd w:val="clear" w:color="auto" w:fill="FFFFFF"/>
            <w:vAlign w:val="center"/>
          </w:tcPr>
          <w:p w:rsidR="008A54B8" w:rsidRDefault="008A54B8">
            <w:pPr>
              <w:spacing w:before="60" w:after="60" w:line="240" w:lineRule="auto"/>
              <w:jc w:val="center"/>
              <w:rPr>
                <w:rFonts w:ascii="Times New Roman" w:eastAsia="Times New Roman" w:hAnsi="Times New Roman"/>
                <w:noProof/>
                <w:sz w:val="18"/>
                <w:szCs w:val="18"/>
                <w:lang w:val="sv-SE" w:eastAsia="sv-SE" w:bidi="sv-SE"/>
              </w:rPr>
            </w:pPr>
          </w:p>
        </w:tc>
      </w:tr>
      <w:tr w:rsidR="008A54B8">
        <w:trPr>
          <w:jc w:val="center"/>
        </w:trPr>
        <w:tc>
          <w:tcPr>
            <w:tcW w:w="607" w:type="dxa"/>
            <w:tcBorders>
              <w:top w:val="single" w:sz="4" w:space="0" w:color="auto"/>
              <w:left w:val="nil"/>
              <w:bottom w:val="single" w:sz="4" w:space="0" w:color="auto"/>
              <w:right w:val="single" w:sz="4" w:space="0" w:color="auto"/>
            </w:tcBorders>
            <w:shd w:val="clear" w:color="auto" w:fill="FFFFFF"/>
            <w:vAlign w:val="center"/>
          </w:tcPr>
          <w:p w:rsidR="008A54B8" w:rsidRDefault="00BD0CDB">
            <w:pPr>
              <w:spacing w:before="60" w:after="60" w:line="240" w:lineRule="auto"/>
              <w:jc w:val="center"/>
              <w:rPr>
                <w:rFonts w:ascii="Times New Roman" w:eastAsia="Times New Roman" w:hAnsi="Times New Roman"/>
                <w:b/>
                <w:noProof/>
                <w:sz w:val="18"/>
                <w:szCs w:val="18"/>
                <w:lang w:val="sv-SE" w:eastAsia="sv-SE" w:bidi="sv-SE"/>
              </w:rPr>
            </w:pPr>
            <w:r>
              <w:rPr>
                <w:rFonts w:ascii="Times New Roman" w:hAnsi="Times New Roman"/>
                <w:b/>
                <w:noProof/>
                <w:sz w:val="18"/>
                <w:lang w:val="sv-SE" w:eastAsia="sv-SE" w:bidi="sv-SE"/>
              </w:rPr>
              <w:t>HU</w:t>
            </w:r>
          </w:p>
        </w:tc>
        <w:tc>
          <w:tcPr>
            <w:tcW w:w="2116" w:type="dxa"/>
            <w:tcBorders>
              <w:top w:val="single" w:sz="4" w:space="0" w:color="auto"/>
              <w:left w:val="single" w:sz="4" w:space="0" w:color="auto"/>
              <w:bottom w:val="single" w:sz="4" w:space="0" w:color="auto"/>
              <w:right w:val="single" w:sz="4" w:space="0" w:color="auto"/>
            </w:tcBorders>
            <w:shd w:val="clear" w:color="auto" w:fill="FFFFFF"/>
            <w:vAlign w:val="center"/>
          </w:tcPr>
          <w:p w:rsidR="008A54B8" w:rsidRDefault="00BD0CDB">
            <w:pPr>
              <w:spacing w:before="60" w:after="60" w:line="240" w:lineRule="auto"/>
              <w:jc w:val="center"/>
              <w:rPr>
                <w:rFonts w:ascii="Times New Roman" w:eastAsia="Times New Roman" w:hAnsi="Times New Roman"/>
                <w:noProof/>
                <w:sz w:val="18"/>
                <w:szCs w:val="18"/>
                <w:lang w:val="sv-SE" w:eastAsia="sv-SE" w:bidi="sv-SE"/>
              </w:rPr>
            </w:pPr>
            <w:r>
              <w:rPr>
                <w:rFonts w:ascii="Times New Roman" w:hAnsi="Times New Roman"/>
                <w:noProof/>
                <w:sz w:val="18"/>
                <w:lang w:val="sv-SE" w:eastAsia="sv-SE" w:bidi="sv-SE"/>
              </w:rPr>
              <w:t>Inga obalanser</w:t>
            </w:r>
          </w:p>
        </w:tc>
        <w:tc>
          <w:tcPr>
            <w:tcW w:w="2923" w:type="dxa"/>
            <w:tcBorders>
              <w:top w:val="single" w:sz="4" w:space="0" w:color="auto"/>
              <w:left w:val="single" w:sz="4" w:space="0" w:color="auto"/>
              <w:bottom w:val="single" w:sz="4" w:space="0" w:color="auto"/>
              <w:right w:val="nil"/>
            </w:tcBorders>
            <w:shd w:val="clear" w:color="auto" w:fill="FFFFFF"/>
            <w:vAlign w:val="center"/>
          </w:tcPr>
          <w:p w:rsidR="008A54B8" w:rsidRDefault="00BD0CDB">
            <w:pPr>
              <w:spacing w:before="60" w:after="60" w:line="240" w:lineRule="auto"/>
              <w:jc w:val="center"/>
              <w:rPr>
                <w:rFonts w:ascii="Times New Roman" w:eastAsia="Times New Roman" w:hAnsi="Times New Roman"/>
                <w:noProof/>
                <w:sz w:val="18"/>
                <w:szCs w:val="18"/>
                <w:lang w:val="sv-SE" w:eastAsia="sv-SE" w:bidi="sv-SE"/>
              </w:rPr>
            </w:pPr>
            <w:r>
              <w:rPr>
                <w:rFonts w:ascii="Times New Roman" w:hAnsi="Times New Roman"/>
                <w:noProof/>
                <w:sz w:val="18"/>
                <w:lang w:val="sv-SE" w:eastAsia="sv-SE" w:bidi="sv-SE"/>
              </w:rPr>
              <w:t>Förebyggande del</w:t>
            </w:r>
          </w:p>
          <w:p w:rsidR="008A54B8" w:rsidRDefault="00BD0CDB">
            <w:pPr>
              <w:spacing w:before="60" w:after="60" w:line="240" w:lineRule="auto"/>
              <w:jc w:val="center"/>
              <w:rPr>
                <w:rFonts w:ascii="Times New Roman" w:eastAsia="Times New Roman" w:hAnsi="Times New Roman"/>
                <w:noProof/>
                <w:sz w:val="18"/>
                <w:szCs w:val="18"/>
                <w:lang w:val="sv-SE" w:eastAsia="sv-SE" w:bidi="sv-SE"/>
              </w:rPr>
            </w:pPr>
            <w:r>
              <w:rPr>
                <w:rFonts w:ascii="Times New Roman" w:hAnsi="Times New Roman"/>
                <w:noProof/>
                <w:sz w:val="18"/>
                <w:lang w:val="sv-SE" w:eastAsia="sv-SE" w:bidi="sv-SE"/>
              </w:rPr>
              <w:t>Ännu inte nått MTO, omfattas av övergångsregler för skuldkriteriet</w:t>
            </w:r>
          </w:p>
        </w:tc>
        <w:tc>
          <w:tcPr>
            <w:tcW w:w="3222" w:type="dxa"/>
            <w:tcBorders>
              <w:top w:val="single" w:sz="4" w:space="0" w:color="auto"/>
              <w:left w:val="single" w:sz="4" w:space="0" w:color="auto"/>
              <w:bottom w:val="single" w:sz="4" w:space="0" w:color="auto"/>
              <w:right w:val="nil"/>
            </w:tcBorders>
            <w:shd w:val="clear" w:color="auto" w:fill="FFFFFF"/>
            <w:vAlign w:val="center"/>
          </w:tcPr>
          <w:p w:rsidR="008A54B8" w:rsidRDefault="00BD0CDB">
            <w:pPr>
              <w:spacing w:before="60" w:after="60" w:line="240" w:lineRule="auto"/>
              <w:jc w:val="center"/>
              <w:rPr>
                <w:rFonts w:ascii="Times New Roman" w:eastAsia="Times New Roman" w:hAnsi="Times New Roman"/>
                <w:noProof/>
                <w:sz w:val="18"/>
                <w:szCs w:val="18"/>
                <w:lang w:val="sv-SE" w:eastAsia="sv-SE" w:bidi="sv-SE"/>
              </w:rPr>
            </w:pPr>
            <w:r>
              <w:rPr>
                <w:rFonts w:ascii="Times New Roman" w:hAnsi="Times New Roman"/>
                <w:noProof/>
                <w:color w:val="000000"/>
                <w:sz w:val="18"/>
                <w:lang w:val="sv-SE" w:eastAsia="sv-SE" w:bidi="sv-SE"/>
              </w:rPr>
              <w:t>Lämnat MIP</w:t>
            </w:r>
          </w:p>
        </w:tc>
      </w:tr>
      <w:tr w:rsidR="008A54B8" w:rsidRPr="00BD0CDB">
        <w:trPr>
          <w:jc w:val="center"/>
        </w:trPr>
        <w:tc>
          <w:tcPr>
            <w:tcW w:w="607" w:type="dxa"/>
            <w:tcBorders>
              <w:top w:val="single" w:sz="4" w:space="0" w:color="auto"/>
              <w:left w:val="nil"/>
              <w:bottom w:val="single" w:sz="4" w:space="0" w:color="auto"/>
              <w:right w:val="single" w:sz="4" w:space="0" w:color="auto"/>
            </w:tcBorders>
            <w:shd w:val="clear" w:color="auto" w:fill="FFFFFF"/>
            <w:vAlign w:val="center"/>
          </w:tcPr>
          <w:p w:rsidR="008A54B8" w:rsidRDefault="00BD0CDB">
            <w:pPr>
              <w:spacing w:before="60" w:after="60" w:line="240" w:lineRule="auto"/>
              <w:jc w:val="center"/>
              <w:rPr>
                <w:rFonts w:ascii="Times New Roman" w:eastAsia="Times New Roman" w:hAnsi="Times New Roman"/>
                <w:b/>
                <w:noProof/>
                <w:sz w:val="18"/>
                <w:szCs w:val="18"/>
                <w:lang w:val="sv-SE" w:eastAsia="sv-SE" w:bidi="sv-SE"/>
              </w:rPr>
            </w:pPr>
            <w:r>
              <w:rPr>
                <w:rFonts w:ascii="Times New Roman" w:hAnsi="Times New Roman"/>
                <w:b/>
                <w:noProof/>
                <w:sz w:val="18"/>
                <w:lang w:val="sv-SE" w:eastAsia="sv-SE" w:bidi="sv-SE"/>
              </w:rPr>
              <w:t>MT</w:t>
            </w:r>
          </w:p>
        </w:tc>
        <w:tc>
          <w:tcPr>
            <w:tcW w:w="2116" w:type="dxa"/>
            <w:tcBorders>
              <w:top w:val="single" w:sz="4" w:space="0" w:color="auto"/>
              <w:left w:val="single" w:sz="4" w:space="0" w:color="auto"/>
              <w:bottom w:val="single" w:sz="4" w:space="0" w:color="auto"/>
              <w:right w:val="single" w:sz="4" w:space="0" w:color="auto"/>
            </w:tcBorders>
            <w:shd w:val="clear" w:color="auto" w:fill="FFFFFF"/>
            <w:vAlign w:val="center"/>
          </w:tcPr>
          <w:p w:rsidR="008A54B8" w:rsidRDefault="008A54B8">
            <w:pPr>
              <w:spacing w:before="60" w:after="60" w:line="240" w:lineRule="auto"/>
              <w:jc w:val="center"/>
              <w:rPr>
                <w:rFonts w:ascii="Times New Roman" w:eastAsia="Times New Roman" w:hAnsi="Times New Roman"/>
                <w:noProof/>
                <w:sz w:val="18"/>
                <w:szCs w:val="18"/>
                <w:lang w:val="sv-SE" w:eastAsia="sv-SE" w:bidi="sv-SE"/>
              </w:rPr>
            </w:pPr>
          </w:p>
        </w:tc>
        <w:tc>
          <w:tcPr>
            <w:tcW w:w="2923" w:type="dxa"/>
            <w:tcBorders>
              <w:top w:val="single" w:sz="4" w:space="0" w:color="auto"/>
              <w:left w:val="single" w:sz="4" w:space="0" w:color="auto"/>
              <w:bottom w:val="single" w:sz="4" w:space="0" w:color="auto"/>
              <w:right w:val="nil"/>
            </w:tcBorders>
            <w:shd w:val="clear" w:color="auto" w:fill="FFFFFF"/>
            <w:vAlign w:val="center"/>
          </w:tcPr>
          <w:p w:rsidR="008A54B8" w:rsidRDefault="00BD0CDB">
            <w:pPr>
              <w:spacing w:before="60" w:after="60" w:line="240" w:lineRule="auto"/>
              <w:jc w:val="center"/>
              <w:rPr>
                <w:rFonts w:ascii="Times New Roman" w:eastAsia="Times New Roman" w:hAnsi="Times New Roman"/>
                <w:noProof/>
                <w:sz w:val="18"/>
                <w:szCs w:val="18"/>
                <w:lang w:val="sv-SE" w:eastAsia="sv-SE" w:bidi="sv-SE"/>
              </w:rPr>
            </w:pPr>
            <w:r>
              <w:rPr>
                <w:rFonts w:ascii="Times New Roman" w:hAnsi="Times New Roman"/>
                <w:noProof/>
                <w:sz w:val="18"/>
                <w:lang w:val="sv-SE" w:eastAsia="sv-SE" w:bidi="sv-SE"/>
              </w:rPr>
              <w:t>Förebyggande del</w:t>
            </w:r>
          </w:p>
          <w:p w:rsidR="008A54B8" w:rsidRDefault="00BD0CDB">
            <w:pPr>
              <w:spacing w:before="60" w:after="60" w:line="240" w:lineRule="auto"/>
              <w:jc w:val="center"/>
              <w:rPr>
                <w:rFonts w:ascii="Times New Roman" w:eastAsia="Times New Roman" w:hAnsi="Times New Roman"/>
                <w:noProof/>
                <w:sz w:val="18"/>
                <w:szCs w:val="18"/>
                <w:lang w:val="sv-SE" w:eastAsia="sv-SE" w:bidi="sv-SE"/>
              </w:rPr>
            </w:pPr>
            <w:r>
              <w:rPr>
                <w:rFonts w:ascii="Times New Roman" w:hAnsi="Times New Roman"/>
                <w:noProof/>
                <w:sz w:val="18"/>
                <w:lang w:val="sv-SE" w:eastAsia="sv-SE" w:bidi="sv-SE"/>
              </w:rPr>
              <w:t>Ännu inte nått MTO, omfattas av övergångsregler för skuldkriteriet</w:t>
            </w:r>
          </w:p>
        </w:tc>
        <w:tc>
          <w:tcPr>
            <w:tcW w:w="3222" w:type="dxa"/>
            <w:tcBorders>
              <w:top w:val="single" w:sz="4" w:space="0" w:color="auto"/>
              <w:left w:val="single" w:sz="4" w:space="0" w:color="auto"/>
              <w:bottom w:val="single" w:sz="4" w:space="0" w:color="auto"/>
              <w:right w:val="nil"/>
            </w:tcBorders>
            <w:shd w:val="clear" w:color="auto" w:fill="FFFFFF"/>
            <w:vAlign w:val="center"/>
          </w:tcPr>
          <w:p w:rsidR="008A54B8" w:rsidRDefault="008A54B8">
            <w:pPr>
              <w:spacing w:before="60" w:after="60" w:line="240" w:lineRule="auto"/>
              <w:jc w:val="center"/>
              <w:rPr>
                <w:rFonts w:ascii="Times New Roman" w:eastAsia="Times New Roman" w:hAnsi="Times New Roman"/>
                <w:noProof/>
                <w:sz w:val="18"/>
                <w:szCs w:val="18"/>
                <w:lang w:val="sv-SE" w:eastAsia="sv-SE" w:bidi="sv-SE"/>
              </w:rPr>
            </w:pPr>
          </w:p>
        </w:tc>
      </w:tr>
      <w:tr w:rsidR="008A54B8" w:rsidRPr="00BD0CDB">
        <w:trPr>
          <w:jc w:val="center"/>
        </w:trPr>
        <w:tc>
          <w:tcPr>
            <w:tcW w:w="607" w:type="dxa"/>
            <w:tcBorders>
              <w:top w:val="single" w:sz="4" w:space="0" w:color="auto"/>
              <w:left w:val="nil"/>
              <w:bottom w:val="single" w:sz="4" w:space="0" w:color="auto"/>
              <w:right w:val="single" w:sz="4" w:space="0" w:color="auto"/>
            </w:tcBorders>
            <w:shd w:val="clear" w:color="auto" w:fill="FFFFFF"/>
            <w:vAlign w:val="center"/>
          </w:tcPr>
          <w:p w:rsidR="008A54B8" w:rsidRDefault="00BD0CDB">
            <w:pPr>
              <w:spacing w:before="60" w:after="60" w:line="240" w:lineRule="auto"/>
              <w:jc w:val="center"/>
              <w:rPr>
                <w:rFonts w:ascii="Times New Roman" w:eastAsia="Times New Roman" w:hAnsi="Times New Roman"/>
                <w:b/>
                <w:noProof/>
                <w:sz w:val="18"/>
                <w:szCs w:val="18"/>
                <w:lang w:val="sv-SE" w:eastAsia="sv-SE" w:bidi="sv-SE"/>
              </w:rPr>
            </w:pPr>
            <w:r>
              <w:rPr>
                <w:rFonts w:ascii="Times New Roman" w:hAnsi="Times New Roman"/>
                <w:b/>
                <w:noProof/>
                <w:sz w:val="18"/>
                <w:lang w:val="sv-SE" w:eastAsia="sv-SE" w:bidi="sv-SE"/>
              </w:rPr>
              <w:t>NL</w:t>
            </w:r>
          </w:p>
        </w:tc>
        <w:tc>
          <w:tcPr>
            <w:tcW w:w="2116" w:type="dxa"/>
            <w:tcBorders>
              <w:top w:val="single" w:sz="4" w:space="0" w:color="auto"/>
              <w:left w:val="single" w:sz="4" w:space="0" w:color="auto"/>
              <w:bottom w:val="single" w:sz="4" w:space="0" w:color="auto"/>
              <w:right w:val="single" w:sz="4" w:space="0" w:color="auto"/>
            </w:tcBorders>
            <w:shd w:val="clear" w:color="auto" w:fill="FFFFFF"/>
            <w:vAlign w:val="center"/>
          </w:tcPr>
          <w:p w:rsidR="008A54B8" w:rsidRDefault="00BD0CDB">
            <w:pPr>
              <w:spacing w:before="60" w:after="60" w:line="240" w:lineRule="auto"/>
              <w:jc w:val="center"/>
              <w:rPr>
                <w:rFonts w:ascii="Times New Roman" w:eastAsia="Times New Roman" w:hAnsi="Times New Roman"/>
                <w:noProof/>
                <w:sz w:val="18"/>
                <w:szCs w:val="18"/>
                <w:lang w:val="sv-SE" w:eastAsia="sv-SE" w:bidi="sv-SE"/>
              </w:rPr>
            </w:pPr>
            <w:r>
              <w:rPr>
                <w:rFonts w:ascii="Times New Roman" w:hAnsi="Times New Roman"/>
                <w:noProof/>
                <w:sz w:val="18"/>
                <w:lang w:val="sv-SE" w:eastAsia="sv-SE" w:bidi="sv-SE"/>
              </w:rPr>
              <w:t>Obalanser</w:t>
            </w:r>
          </w:p>
        </w:tc>
        <w:tc>
          <w:tcPr>
            <w:tcW w:w="2923" w:type="dxa"/>
            <w:tcBorders>
              <w:top w:val="single" w:sz="4" w:space="0" w:color="auto"/>
              <w:left w:val="single" w:sz="4" w:space="0" w:color="auto"/>
              <w:bottom w:val="single" w:sz="4" w:space="0" w:color="auto"/>
              <w:right w:val="nil"/>
            </w:tcBorders>
            <w:shd w:val="clear" w:color="auto" w:fill="FFFFFF"/>
            <w:vAlign w:val="center"/>
          </w:tcPr>
          <w:p w:rsidR="008A54B8" w:rsidRDefault="00BD0CDB">
            <w:pPr>
              <w:spacing w:before="60" w:after="60" w:line="240" w:lineRule="auto"/>
              <w:jc w:val="center"/>
              <w:rPr>
                <w:rFonts w:ascii="Times New Roman" w:eastAsia="Times New Roman" w:hAnsi="Times New Roman"/>
                <w:noProof/>
                <w:sz w:val="18"/>
                <w:szCs w:val="18"/>
                <w:lang w:val="sv-SE" w:eastAsia="sv-SE" w:bidi="sv-SE"/>
              </w:rPr>
            </w:pPr>
            <w:r>
              <w:rPr>
                <w:rFonts w:ascii="Times New Roman" w:hAnsi="Times New Roman"/>
                <w:noProof/>
                <w:sz w:val="18"/>
                <w:lang w:val="sv-SE" w:eastAsia="sv-SE" w:bidi="sv-SE"/>
              </w:rPr>
              <w:t>Förebyggande del</w:t>
            </w:r>
          </w:p>
          <w:p w:rsidR="008A54B8" w:rsidRDefault="00BD0CDB">
            <w:pPr>
              <w:spacing w:before="60" w:after="60" w:line="240" w:lineRule="auto"/>
              <w:jc w:val="center"/>
              <w:rPr>
                <w:rFonts w:ascii="Times New Roman" w:eastAsia="Times New Roman" w:hAnsi="Times New Roman"/>
                <w:noProof/>
                <w:sz w:val="18"/>
                <w:szCs w:val="18"/>
                <w:lang w:val="sv-SE" w:eastAsia="sv-SE" w:bidi="sv-SE"/>
              </w:rPr>
            </w:pPr>
            <w:r>
              <w:rPr>
                <w:rFonts w:ascii="Times New Roman" w:hAnsi="Times New Roman"/>
                <w:noProof/>
                <w:sz w:val="18"/>
                <w:lang w:val="sv-SE" w:eastAsia="sv-SE" w:bidi="sv-SE"/>
              </w:rPr>
              <w:t>Ännu inte nått MTO, omfattas av övergångsregler för skuldkriteriet</w:t>
            </w:r>
          </w:p>
        </w:tc>
        <w:tc>
          <w:tcPr>
            <w:tcW w:w="3222" w:type="dxa"/>
            <w:tcBorders>
              <w:top w:val="single" w:sz="4" w:space="0" w:color="auto"/>
              <w:left w:val="single" w:sz="4" w:space="0" w:color="auto"/>
              <w:bottom w:val="single" w:sz="4" w:space="0" w:color="auto"/>
              <w:right w:val="nil"/>
            </w:tcBorders>
            <w:shd w:val="clear" w:color="auto" w:fill="FFFFFF"/>
            <w:vAlign w:val="center"/>
          </w:tcPr>
          <w:p w:rsidR="008A54B8" w:rsidRDefault="008A54B8">
            <w:pPr>
              <w:spacing w:before="60" w:after="60" w:line="240" w:lineRule="auto"/>
              <w:jc w:val="center"/>
              <w:rPr>
                <w:rFonts w:ascii="Times New Roman" w:eastAsia="Times New Roman" w:hAnsi="Times New Roman"/>
                <w:noProof/>
                <w:sz w:val="18"/>
                <w:szCs w:val="18"/>
                <w:lang w:val="sv-SE" w:eastAsia="sv-SE" w:bidi="sv-SE"/>
              </w:rPr>
            </w:pPr>
          </w:p>
        </w:tc>
      </w:tr>
      <w:tr w:rsidR="008A54B8" w:rsidRPr="00BD0CDB">
        <w:trPr>
          <w:jc w:val="center"/>
        </w:trPr>
        <w:tc>
          <w:tcPr>
            <w:tcW w:w="607" w:type="dxa"/>
            <w:tcBorders>
              <w:top w:val="single" w:sz="4" w:space="0" w:color="auto"/>
              <w:left w:val="nil"/>
              <w:bottom w:val="single" w:sz="4" w:space="0" w:color="auto"/>
              <w:right w:val="single" w:sz="4" w:space="0" w:color="auto"/>
            </w:tcBorders>
            <w:shd w:val="clear" w:color="auto" w:fill="FFFFFF"/>
            <w:vAlign w:val="center"/>
          </w:tcPr>
          <w:p w:rsidR="008A54B8" w:rsidRDefault="00BD0CDB">
            <w:pPr>
              <w:spacing w:before="60" w:after="60" w:line="240" w:lineRule="auto"/>
              <w:jc w:val="center"/>
              <w:rPr>
                <w:rFonts w:ascii="Times New Roman" w:eastAsia="Times New Roman" w:hAnsi="Times New Roman"/>
                <w:b/>
                <w:noProof/>
                <w:sz w:val="18"/>
                <w:szCs w:val="18"/>
                <w:lang w:val="sv-SE" w:eastAsia="sv-SE" w:bidi="sv-SE"/>
              </w:rPr>
            </w:pPr>
            <w:r>
              <w:rPr>
                <w:rFonts w:ascii="Times New Roman" w:hAnsi="Times New Roman"/>
                <w:b/>
                <w:noProof/>
                <w:sz w:val="18"/>
                <w:lang w:val="sv-SE" w:eastAsia="sv-SE" w:bidi="sv-SE"/>
              </w:rPr>
              <w:t>AT</w:t>
            </w:r>
          </w:p>
        </w:tc>
        <w:tc>
          <w:tcPr>
            <w:tcW w:w="2116" w:type="dxa"/>
            <w:tcBorders>
              <w:top w:val="single" w:sz="4" w:space="0" w:color="auto"/>
              <w:left w:val="single" w:sz="4" w:space="0" w:color="auto"/>
              <w:bottom w:val="single" w:sz="4" w:space="0" w:color="auto"/>
              <w:right w:val="single" w:sz="4" w:space="0" w:color="auto"/>
            </w:tcBorders>
            <w:shd w:val="clear" w:color="auto" w:fill="FFFFFF"/>
            <w:vAlign w:val="center"/>
          </w:tcPr>
          <w:p w:rsidR="008A54B8" w:rsidRDefault="00BD0CDB">
            <w:pPr>
              <w:spacing w:before="60" w:after="60" w:line="240" w:lineRule="auto"/>
              <w:jc w:val="center"/>
              <w:rPr>
                <w:rFonts w:ascii="Times New Roman" w:eastAsia="Times New Roman" w:hAnsi="Times New Roman"/>
                <w:noProof/>
                <w:sz w:val="18"/>
                <w:szCs w:val="18"/>
                <w:lang w:val="sv-SE" w:eastAsia="sv-SE" w:bidi="sv-SE"/>
              </w:rPr>
            </w:pPr>
            <w:r>
              <w:rPr>
                <w:rFonts w:ascii="Times New Roman" w:hAnsi="Times New Roman"/>
                <w:noProof/>
                <w:sz w:val="18"/>
                <w:lang w:val="sv-SE" w:eastAsia="sv-SE" w:bidi="sv-SE"/>
              </w:rPr>
              <w:t>Inga obalanser</w:t>
            </w:r>
          </w:p>
        </w:tc>
        <w:tc>
          <w:tcPr>
            <w:tcW w:w="2923" w:type="dxa"/>
            <w:tcBorders>
              <w:top w:val="single" w:sz="4" w:space="0" w:color="auto"/>
              <w:left w:val="single" w:sz="4" w:space="0" w:color="auto"/>
              <w:bottom w:val="single" w:sz="4" w:space="0" w:color="auto"/>
              <w:right w:val="nil"/>
            </w:tcBorders>
            <w:shd w:val="clear" w:color="auto" w:fill="FFFFFF"/>
            <w:vAlign w:val="center"/>
          </w:tcPr>
          <w:p w:rsidR="008A54B8" w:rsidRDefault="00BD0CDB">
            <w:pPr>
              <w:spacing w:before="60" w:after="60" w:line="240" w:lineRule="auto"/>
              <w:jc w:val="center"/>
              <w:rPr>
                <w:rFonts w:ascii="Times New Roman" w:eastAsia="Times New Roman" w:hAnsi="Times New Roman"/>
                <w:noProof/>
                <w:sz w:val="18"/>
                <w:szCs w:val="18"/>
                <w:lang w:val="sv-SE" w:eastAsia="sv-SE" w:bidi="sv-SE"/>
              </w:rPr>
            </w:pPr>
            <w:r>
              <w:rPr>
                <w:rFonts w:ascii="Times New Roman" w:hAnsi="Times New Roman"/>
                <w:noProof/>
                <w:sz w:val="18"/>
                <w:lang w:val="sv-SE" w:eastAsia="sv-SE" w:bidi="sv-SE"/>
              </w:rPr>
              <w:t>Förebyggande del</w:t>
            </w:r>
          </w:p>
          <w:p w:rsidR="008A54B8" w:rsidRDefault="00BD0CDB">
            <w:pPr>
              <w:spacing w:before="60" w:after="60" w:line="240" w:lineRule="auto"/>
              <w:jc w:val="center"/>
              <w:rPr>
                <w:rFonts w:ascii="Times New Roman" w:eastAsia="Times New Roman" w:hAnsi="Times New Roman"/>
                <w:noProof/>
                <w:sz w:val="18"/>
                <w:szCs w:val="18"/>
                <w:lang w:val="sv-SE" w:eastAsia="sv-SE" w:bidi="sv-SE"/>
              </w:rPr>
            </w:pPr>
            <w:r>
              <w:rPr>
                <w:rFonts w:ascii="Times New Roman" w:hAnsi="Times New Roman"/>
                <w:noProof/>
                <w:sz w:val="18"/>
                <w:lang w:val="sv-SE" w:eastAsia="sv-SE" w:bidi="sv-SE"/>
              </w:rPr>
              <w:t>Ännu inte nått MTO, omfattas av övergångsregler för skuldkriteriet</w:t>
            </w:r>
          </w:p>
        </w:tc>
        <w:tc>
          <w:tcPr>
            <w:tcW w:w="3222" w:type="dxa"/>
            <w:tcBorders>
              <w:top w:val="single" w:sz="4" w:space="0" w:color="auto"/>
              <w:left w:val="single" w:sz="4" w:space="0" w:color="auto"/>
              <w:bottom w:val="single" w:sz="4" w:space="0" w:color="auto"/>
              <w:right w:val="nil"/>
            </w:tcBorders>
            <w:shd w:val="clear" w:color="auto" w:fill="FFFFFF"/>
            <w:vAlign w:val="center"/>
          </w:tcPr>
          <w:p w:rsidR="008A54B8" w:rsidRDefault="008A54B8">
            <w:pPr>
              <w:spacing w:before="60" w:after="60" w:line="240" w:lineRule="auto"/>
              <w:jc w:val="center"/>
              <w:rPr>
                <w:rFonts w:ascii="Times New Roman" w:eastAsia="Times New Roman" w:hAnsi="Times New Roman"/>
                <w:noProof/>
                <w:sz w:val="18"/>
                <w:szCs w:val="18"/>
                <w:lang w:val="sv-SE" w:eastAsia="sv-SE" w:bidi="sv-SE"/>
              </w:rPr>
            </w:pPr>
          </w:p>
        </w:tc>
      </w:tr>
      <w:tr w:rsidR="008A54B8" w:rsidRPr="00BD0CDB">
        <w:trPr>
          <w:jc w:val="center"/>
        </w:trPr>
        <w:tc>
          <w:tcPr>
            <w:tcW w:w="607" w:type="dxa"/>
            <w:tcBorders>
              <w:top w:val="single" w:sz="4" w:space="0" w:color="auto"/>
              <w:left w:val="nil"/>
              <w:bottom w:val="single" w:sz="4" w:space="0" w:color="auto"/>
              <w:right w:val="single" w:sz="4" w:space="0" w:color="auto"/>
            </w:tcBorders>
            <w:shd w:val="clear" w:color="auto" w:fill="FFFFFF"/>
            <w:vAlign w:val="center"/>
          </w:tcPr>
          <w:p w:rsidR="008A54B8" w:rsidRDefault="00BD0CDB">
            <w:pPr>
              <w:spacing w:before="60" w:after="60" w:line="240" w:lineRule="auto"/>
              <w:jc w:val="center"/>
              <w:rPr>
                <w:rFonts w:ascii="Times New Roman" w:eastAsia="Times New Roman" w:hAnsi="Times New Roman"/>
                <w:b/>
                <w:noProof/>
                <w:sz w:val="18"/>
                <w:szCs w:val="18"/>
                <w:lang w:val="sv-SE" w:eastAsia="sv-SE" w:bidi="sv-SE"/>
              </w:rPr>
            </w:pPr>
            <w:r>
              <w:rPr>
                <w:rFonts w:ascii="Times New Roman" w:hAnsi="Times New Roman"/>
                <w:b/>
                <w:noProof/>
                <w:sz w:val="18"/>
                <w:lang w:val="sv-SE" w:eastAsia="sv-SE" w:bidi="sv-SE"/>
              </w:rPr>
              <w:t>PL</w:t>
            </w:r>
          </w:p>
        </w:tc>
        <w:tc>
          <w:tcPr>
            <w:tcW w:w="2116" w:type="dxa"/>
            <w:tcBorders>
              <w:top w:val="single" w:sz="4" w:space="0" w:color="auto"/>
              <w:left w:val="single" w:sz="4" w:space="0" w:color="auto"/>
              <w:bottom w:val="single" w:sz="4" w:space="0" w:color="auto"/>
              <w:right w:val="single" w:sz="4" w:space="0" w:color="auto"/>
            </w:tcBorders>
            <w:shd w:val="clear" w:color="auto" w:fill="FFFFFF"/>
            <w:vAlign w:val="center"/>
          </w:tcPr>
          <w:p w:rsidR="008A54B8" w:rsidRDefault="008A54B8">
            <w:pPr>
              <w:spacing w:before="60" w:after="60" w:line="240" w:lineRule="auto"/>
              <w:jc w:val="center"/>
              <w:rPr>
                <w:rFonts w:ascii="Times New Roman" w:eastAsia="Times New Roman" w:hAnsi="Times New Roman"/>
                <w:noProof/>
                <w:sz w:val="18"/>
                <w:szCs w:val="18"/>
                <w:lang w:val="sv-SE" w:eastAsia="sv-SE" w:bidi="sv-SE"/>
              </w:rPr>
            </w:pPr>
          </w:p>
        </w:tc>
        <w:tc>
          <w:tcPr>
            <w:tcW w:w="2923" w:type="dxa"/>
            <w:tcBorders>
              <w:top w:val="single" w:sz="4" w:space="0" w:color="auto"/>
              <w:left w:val="single" w:sz="4" w:space="0" w:color="auto"/>
              <w:bottom w:val="single" w:sz="4" w:space="0" w:color="auto"/>
              <w:right w:val="nil"/>
            </w:tcBorders>
            <w:shd w:val="clear" w:color="auto" w:fill="FFFFFF"/>
            <w:vAlign w:val="center"/>
          </w:tcPr>
          <w:p w:rsidR="008A54B8" w:rsidRDefault="00BD0CDB">
            <w:pPr>
              <w:spacing w:before="60" w:after="60" w:line="240" w:lineRule="auto"/>
              <w:jc w:val="center"/>
              <w:rPr>
                <w:rFonts w:ascii="Times New Roman" w:eastAsia="Times New Roman" w:hAnsi="Times New Roman"/>
                <w:noProof/>
                <w:sz w:val="18"/>
                <w:szCs w:val="18"/>
                <w:lang w:val="sv-SE" w:eastAsia="sv-SE" w:bidi="sv-SE"/>
              </w:rPr>
            </w:pPr>
            <w:r>
              <w:rPr>
                <w:rFonts w:ascii="Times New Roman" w:hAnsi="Times New Roman"/>
                <w:noProof/>
                <w:sz w:val="18"/>
                <w:lang w:val="sv-SE" w:eastAsia="sv-SE" w:bidi="sv-SE"/>
              </w:rPr>
              <w:t>Förebyggande del</w:t>
            </w:r>
          </w:p>
          <w:p w:rsidR="008A54B8" w:rsidRDefault="00BD0CDB">
            <w:pPr>
              <w:spacing w:before="60" w:after="60" w:line="240" w:lineRule="auto"/>
              <w:jc w:val="center"/>
              <w:rPr>
                <w:rFonts w:ascii="Times New Roman" w:eastAsia="Times New Roman" w:hAnsi="Times New Roman"/>
                <w:noProof/>
                <w:sz w:val="18"/>
                <w:szCs w:val="18"/>
                <w:lang w:val="sv-SE" w:eastAsia="sv-SE" w:bidi="sv-SE"/>
              </w:rPr>
            </w:pPr>
            <w:r>
              <w:rPr>
                <w:rFonts w:ascii="Times New Roman" w:hAnsi="Times New Roman"/>
                <w:noProof/>
                <w:sz w:val="18"/>
                <w:lang w:val="sv-SE" w:eastAsia="sv-SE" w:bidi="sv-SE"/>
              </w:rPr>
              <w:t>Ännu inte nått MTO</w:t>
            </w:r>
          </w:p>
        </w:tc>
        <w:tc>
          <w:tcPr>
            <w:tcW w:w="3222" w:type="dxa"/>
            <w:tcBorders>
              <w:top w:val="single" w:sz="4" w:space="0" w:color="auto"/>
              <w:left w:val="single" w:sz="4" w:space="0" w:color="auto"/>
              <w:bottom w:val="single" w:sz="4" w:space="0" w:color="auto"/>
              <w:right w:val="nil"/>
            </w:tcBorders>
            <w:shd w:val="clear" w:color="auto" w:fill="FFFFFF"/>
            <w:vAlign w:val="center"/>
          </w:tcPr>
          <w:p w:rsidR="008A54B8" w:rsidRDefault="008A54B8">
            <w:pPr>
              <w:spacing w:before="60" w:after="60" w:line="240" w:lineRule="auto"/>
              <w:jc w:val="center"/>
              <w:rPr>
                <w:rFonts w:ascii="Times New Roman" w:eastAsia="Times New Roman" w:hAnsi="Times New Roman"/>
                <w:noProof/>
                <w:sz w:val="18"/>
                <w:szCs w:val="18"/>
                <w:lang w:val="sv-SE" w:eastAsia="sv-SE" w:bidi="sv-SE"/>
              </w:rPr>
            </w:pPr>
          </w:p>
        </w:tc>
      </w:tr>
      <w:tr w:rsidR="008A54B8" w:rsidRPr="00BD0CDB">
        <w:trPr>
          <w:jc w:val="center"/>
        </w:trPr>
        <w:tc>
          <w:tcPr>
            <w:tcW w:w="607" w:type="dxa"/>
            <w:tcBorders>
              <w:top w:val="single" w:sz="4" w:space="0" w:color="auto"/>
              <w:left w:val="nil"/>
              <w:bottom w:val="single" w:sz="4" w:space="0" w:color="auto"/>
              <w:right w:val="single" w:sz="4" w:space="0" w:color="auto"/>
            </w:tcBorders>
            <w:shd w:val="clear" w:color="auto" w:fill="FFFFFF"/>
            <w:vAlign w:val="center"/>
          </w:tcPr>
          <w:p w:rsidR="008A54B8" w:rsidRDefault="00BD0CDB">
            <w:pPr>
              <w:spacing w:before="60" w:after="60" w:line="240" w:lineRule="auto"/>
              <w:jc w:val="center"/>
              <w:rPr>
                <w:rFonts w:ascii="Times New Roman" w:eastAsia="Times New Roman" w:hAnsi="Times New Roman"/>
                <w:b/>
                <w:noProof/>
                <w:sz w:val="18"/>
                <w:szCs w:val="18"/>
                <w:lang w:val="sv-SE" w:eastAsia="sv-SE" w:bidi="sv-SE"/>
              </w:rPr>
            </w:pPr>
            <w:r>
              <w:rPr>
                <w:rFonts w:ascii="Times New Roman" w:hAnsi="Times New Roman"/>
                <w:b/>
                <w:noProof/>
                <w:sz w:val="18"/>
                <w:lang w:val="sv-SE" w:eastAsia="sv-SE" w:bidi="sv-SE"/>
              </w:rPr>
              <w:t>PT</w:t>
            </w:r>
          </w:p>
        </w:tc>
        <w:tc>
          <w:tcPr>
            <w:tcW w:w="2116" w:type="dxa"/>
            <w:tcBorders>
              <w:top w:val="single" w:sz="4" w:space="0" w:color="auto"/>
              <w:left w:val="single" w:sz="4" w:space="0" w:color="auto"/>
              <w:bottom w:val="single" w:sz="4" w:space="0" w:color="auto"/>
              <w:right w:val="single" w:sz="4" w:space="0" w:color="auto"/>
            </w:tcBorders>
            <w:shd w:val="clear" w:color="auto" w:fill="FFFFFF"/>
            <w:vAlign w:val="center"/>
          </w:tcPr>
          <w:p w:rsidR="008A54B8" w:rsidRDefault="00BD0CDB">
            <w:pPr>
              <w:spacing w:before="60" w:after="60" w:line="240" w:lineRule="auto"/>
              <w:jc w:val="center"/>
              <w:rPr>
                <w:rFonts w:ascii="Times New Roman" w:eastAsia="Times New Roman" w:hAnsi="Times New Roman"/>
                <w:noProof/>
                <w:sz w:val="18"/>
                <w:szCs w:val="18"/>
                <w:lang w:val="sv-SE" w:eastAsia="sv-SE" w:bidi="sv-SE"/>
              </w:rPr>
            </w:pPr>
            <w:r>
              <w:rPr>
                <w:rFonts w:ascii="Times New Roman" w:hAnsi="Times New Roman"/>
                <w:noProof/>
                <w:sz w:val="18"/>
                <w:lang w:val="sv-SE" w:eastAsia="sv-SE" w:bidi="sv-SE"/>
              </w:rPr>
              <w:t xml:space="preserve">Alltför </w:t>
            </w:r>
            <w:r>
              <w:rPr>
                <w:rFonts w:ascii="Times New Roman" w:hAnsi="Times New Roman"/>
                <w:noProof/>
                <w:sz w:val="18"/>
                <w:lang w:val="sv-SE" w:eastAsia="sv-SE" w:bidi="sv-SE"/>
              </w:rPr>
              <w:t>stora obalanser</w:t>
            </w:r>
          </w:p>
        </w:tc>
        <w:tc>
          <w:tcPr>
            <w:tcW w:w="2923" w:type="dxa"/>
            <w:tcBorders>
              <w:top w:val="single" w:sz="4" w:space="0" w:color="auto"/>
              <w:left w:val="single" w:sz="4" w:space="0" w:color="auto"/>
              <w:bottom w:val="single" w:sz="4" w:space="0" w:color="auto"/>
              <w:right w:val="nil"/>
            </w:tcBorders>
            <w:shd w:val="clear" w:color="auto" w:fill="FFFFFF"/>
            <w:vAlign w:val="center"/>
          </w:tcPr>
          <w:p w:rsidR="008A54B8" w:rsidRDefault="00BD0CDB">
            <w:pPr>
              <w:spacing w:before="60" w:after="60" w:line="240" w:lineRule="auto"/>
              <w:jc w:val="center"/>
              <w:rPr>
                <w:rFonts w:ascii="Times New Roman" w:eastAsia="Times New Roman" w:hAnsi="Times New Roman"/>
                <w:noProof/>
                <w:sz w:val="18"/>
                <w:szCs w:val="18"/>
                <w:lang w:val="sv-SE" w:eastAsia="sv-SE" w:bidi="sv-SE"/>
              </w:rPr>
            </w:pPr>
            <w:r>
              <w:rPr>
                <w:rFonts w:ascii="Times New Roman" w:hAnsi="Times New Roman"/>
                <w:noProof/>
                <w:sz w:val="18"/>
                <w:lang w:val="sv-SE" w:eastAsia="sv-SE" w:bidi="sv-SE"/>
              </w:rPr>
              <w:t>Korrigerande del</w:t>
            </w:r>
          </w:p>
          <w:p w:rsidR="008A54B8" w:rsidRDefault="00BD0CDB">
            <w:pPr>
              <w:spacing w:before="60" w:after="60" w:line="240" w:lineRule="auto"/>
              <w:jc w:val="center"/>
              <w:rPr>
                <w:rFonts w:ascii="Times New Roman" w:eastAsia="Times New Roman" w:hAnsi="Times New Roman"/>
                <w:noProof/>
                <w:sz w:val="18"/>
                <w:szCs w:val="18"/>
                <w:lang w:val="sv-SE" w:eastAsia="sv-SE" w:bidi="sv-SE"/>
              </w:rPr>
            </w:pPr>
            <w:r>
              <w:rPr>
                <w:rFonts w:ascii="Times New Roman" w:hAnsi="Times New Roman"/>
                <w:noProof/>
                <w:sz w:val="18"/>
                <w:lang w:val="sv-SE" w:eastAsia="sv-SE" w:bidi="sv-SE"/>
              </w:rPr>
              <w:t xml:space="preserve">Alltför stort underskott, deadline för korrigering: 2015 </w:t>
            </w:r>
          </w:p>
          <w:p w:rsidR="008A54B8" w:rsidRDefault="00BD0CDB">
            <w:pPr>
              <w:spacing w:before="60" w:after="60" w:line="240" w:lineRule="auto"/>
              <w:jc w:val="center"/>
              <w:rPr>
                <w:rFonts w:ascii="Times New Roman" w:eastAsia="Times New Roman" w:hAnsi="Times New Roman"/>
                <w:noProof/>
                <w:sz w:val="18"/>
                <w:szCs w:val="18"/>
                <w:lang w:val="sv-SE" w:eastAsia="sv-SE" w:bidi="sv-SE"/>
              </w:rPr>
            </w:pPr>
            <w:r>
              <w:rPr>
                <w:rFonts w:ascii="Times New Roman" w:hAnsi="Times New Roman"/>
                <w:noProof/>
                <w:sz w:val="18"/>
                <w:lang w:val="sv-SE" w:eastAsia="sv-SE" w:bidi="sv-SE"/>
              </w:rPr>
              <w:t>Ännu inte nått MTO, omfattas av övergångsregler för skuldkriteriet</w:t>
            </w:r>
          </w:p>
        </w:tc>
        <w:tc>
          <w:tcPr>
            <w:tcW w:w="3222" w:type="dxa"/>
            <w:tcBorders>
              <w:top w:val="single" w:sz="4" w:space="0" w:color="auto"/>
              <w:left w:val="single" w:sz="4" w:space="0" w:color="auto"/>
              <w:bottom w:val="single" w:sz="4" w:space="0" w:color="auto"/>
              <w:right w:val="nil"/>
            </w:tcBorders>
            <w:shd w:val="clear" w:color="auto" w:fill="FFFFFF"/>
            <w:vAlign w:val="center"/>
          </w:tcPr>
          <w:p w:rsidR="008A54B8" w:rsidRDefault="008A54B8">
            <w:pPr>
              <w:spacing w:before="60" w:after="60" w:line="240" w:lineRule="auto"/>
              <w:jc w:val="center"/>
              <w:rPr>
                <w:rFonts w:ascii="Times New Roman" w:eastAsia="Times New Roman" w:hAnsi="Times New Roman"/>
                <w:noProof/>
                <w:sz w:val="18"/>
                <w:szCs w:val="18"/>
                <w:lang w:val="sv-SE" w:eastAsia="sv-SE" w:bidi="sv-SE"/>
              </w:rPr>
            </w:pPr>
          </w:p>
        </w:tc>
      </w:tr>
      <w:tr w:rsidR="008A54B8">
        <w:trPr>
          <w:jc w:val="center"/>
        </w:trPr>
        <w:tc>
          <w:tcPr>
            <w:tcW w:w="607" w:type="dxa"/>
            <w:tcBorders>
              <w:top w:val="single" w:sz="4" w:space="0" w:color="auto"/>
              <w:left w:val="nil"/>
              <w:bottom w:val="single" w:sz="4" w:space="0" w:color="auto"/>
              <w:right w:val="single" w:sz="4" w:space="0" w:color="auto"/>
            </w:tcBorders>
            <w:shd w:val="clear" w:color="auto" w:fill="FFFFFF"/>
            <w:vAlign w:val="center"/>
          </w:tcPr>
          <w:p w:rsidR="008A54B8" w:rsidRDefault="00BD0CDB">
            <w:pPr>
              <w:spacing w:before="60" w:after="60" w:line="240" w:lineRule="auto"/>
              <w:jc w:val="center"/>
              <w:rPr>
                <w:rFonts w:ascii="Times New Roman" w:eastAsia="Times New Roman" w:hAnsi="Times New Roman"/>
                <w:b/>
                <w:noProof/>
                <w:sz w:val="18"/>
                <w:szCs w:val="18"/>
                <w:lang w:val="sv-SE" w:eastAsia="sv-SE" w:bidi="sv-SE"/>
              </w:rPr>
            </w:pPr>
            <w:r>
              <w:rPr>
                <w:rFonts w:ascii="Times New Roman" w:hAnsi="Times New Roman"/>
                <w:b/>
                <w:noProof/>
                <w:sz w:val="18"/>
                <w:lang w:val="sv-SE" w:eastAsia="sv-SE" w:bidi="sv-SE"/>
              </w:rPr>
              <w:t>RO</w:t>
            </w:r>
          </w:p>
        </w:tc>
        <w:tc>
          <w:tcPr>
            <w:tcW w:w="2116" w:type="dxa"/>
            <w:tcBorders>
              <w:top w:val="single" w:sz="4" w:space="0" w:color="auto"/>
              <w:left w:val="single" w:sz="4" w:space="0" w:color="auto"/>
              <w:bottom w:val="single" w:sz="4" w:space="0" w:color="auto"/>
              <w:right w:val="single" w:sz="4" w:space="0" w:color="auto"/>
            </w:tcBorders>
            <w:shd w:val="clear" w:color="auto" w:fill="FFFFFF"/>
            <w:vAlign w:val="center"/>
          </w:tcPr>
          <w:p w:rsidR="008A54B8" w:rsidRDefault="00BD0CDB">
            <w:pPr>
              <w:spacing w:before="60" w:after="60" w:line="240" w:lineRule="auto"/>
              <w:jc w:val="center"/>
              <w:rPr>
                <w:rFonts w:ascii="Times New Roman" w:eastAsia="Times New Roman" w:hAnsi="Times New Roman"/>
                <w:noProof/>
                <w:sz w:val="18"/>
                <w:szCs w:val="18"/>
                <w:lang w:val="sv-SE" w:eastAsia="sv-SE" w:bidi="sv-SE"/>
              </w:rPr>
            </w:pPr>
            <w:r>
              <w:rPr>
                <w:rFonts w:ascii="Times New Roman" w:hAnsi="Times New Roman"/>
                <w:noProof/>
                <w:sz w:val="18"/>
                <w:lang w:val="sv-SE" w:eastAsia="sv-SE" w:bidi="sv-SE"/>
              </w:rPr>
              <w:t>Inga obalanser</w:t>
            </w:r>
          </w:p>
        </w:tc>
        <w:tc>
          <w:tcPr>
            <w:tcW w:w="2923" w:type="dxa"/>
            <w:tcBorders>
              <w:top w:val="single" w:sz="4" w:space="0" w:color="auto"/>
              <w:left w:val="single" w:sz="4" w:space="0" w:color="auto"/>
              <w:bottom w:val="single" w:sz="4" w:space="0" w:color="auto"/>
              <w:right w:val="nil"/>
            </w:tcBorders>
            <w:shd w:val="clear" w:color="auto" w:fill="FFFFFF"/>
            <w:vAlign w:val="center"/>
          </w:tcPr>
          <w:p w:rsidR="008A54B8" w:rsidRDefault="00BD0CDB">
            <w:pPr>
              <w:spacing w:before="60" w:after="60" w:line="240" w:lineRule="auto"/>
              <w:jc w:val="center"/>
              <w:rPr>
                <w:rFonts w:ascii="Times New Roman" w:eastAsia="Times New Roman" w:hAnsi="Times New Roman"/>
                <w:noProof/>
                <w:sz w:val="18"/>
                <w:szCs w:val="18"/>
                <w:lang w:val="sv-SE" w:eastAsia="sv-SE" w:bidi="sv-SE"/>
              </w:rPr>
            </w:pPr>
            <w:r>
              <w:rPr>
                <w:rFonts w:ascii="Times New Roman" w:hAnsi="Times New Roman"/>
                <w:noProof/>
                <w:sz w:val="18"/>
                <w:lang w:val="sv-SE" w:eastAsia="sv-SE" w:bidi="sv-SE"/>
              </w:rPr>
              <w:t>Förebyggande del</w:t>
            </w:r>
          </w:p>
          <w:p w:rsidR="008A54B8" w:rsidRDefault="00BD0CDB">
            <w:pPr>
              <w:spacing w:before="60" w:after="60" w:line="240" w:lineRule="auto"/>
              <w:jc w:val="center"/>
              <w:rPr>
                <w:rFonts w:ascii="Times New Roman" w:eastAsia="Times New Roman" w:hAnsi="Times New Roman"/>
                <w:noProof/>
                <w:sz w:val="18"/>
                <w:szCs w:val="18"/>
                <w:lang w:val="sv-SE" w:eastAsia="sv-SE" w:bidi="sv-SE"/>
              </w:rPr>
            </w:pPr>
            <w:r>
              <w:rPr>
                <w:rFonts w:ascii="Times New Roman" w:hAnsi="Times New Roman"/>
                <w:noProof/>
                <w:sz w:val="18"/>
                <w:lang w:val="sv-SE" w:eastAsia="sv-SE" w:bidi="sv-SE"/>
              </w:rPr>
              <w:t>Ännu inte nått MTO</w:t>
            </w:r>
          </w:p>
        </w:tc>
        <w:tc>
          <w:tcPr>
            <w:tcW w:w="3222" w:type="dxa"/>
            <w:tcBorders>
              <w:top w:val="single" w:sz="4" w:space="0" w:color="auto"/>
              <w:left w:val="single" w:sz="4" w:space="0" w:color="auto"/>
              <w:bottom w:val="single" w:sz="4" w:space="0" w:color="auto"/>
              <w:right w:val="nil"/>
            </w:tcBorders>
            <w:shd w:val="clear" w:color="auto" w:fill="FFFFFF"/>
            <w:vAlign w:val="center"/>
          </w:tcPr>
          <w:p w:rsidR="008A54B8" w:rsidRDefault="00BD0CDB">
            <w:pPr>
              <w:spacing w:before="60" w:after="60" w:line="240" w:lineRule="auto"/>
              <w:jc w:val="center"/>
              <w:rPr>
                <w:rFonts w:ascii="Times New Roman" w:eastAsia="Times New Roman" w:hAnsi="Times New Roman"/>
                <w:noProof/>
                <w:sz w:val="18"/>
                <w:szCs w:val="18"/>
                <w:lang w:val="sv-SE" w:eastAsia="sv-SE" w:bidi="sv-SE"/>
              </w:rPr>
            </w:pPr>
            <w:r>
              <w:rPr>
                <w:rFonts w:ascii="Times New Roman" w:hAnsi="Times New Roman"/>
                <w:noProof/>
                <w:color w:val="000000"/>
                <w:sz w:val="18"/>
                <w:lang w:val="sv-SE" w:eastAsia="sv-SE" w:bidi="sv-SE"/>
              </w:rPr>
              <w:t>Lämnat MIP</w:t>
            </w:r>
          </w:p>
        </w:tc>
      </w:tr>
      <w:tr w:rsidR="008A54B8" w:rsidRPr="00BD0CDB">
        <w:trPr>
          <w:jc w:val="center"/>
        </w:trPr>
        <w:tc>
          <w:tcPr>
            <w:tcW w:w="607" w:type="dxa"/>
            <w:tcBorders>
              <w:top w:val="single" w:sz="4" w:space="0" w:color="auto"/>
              <w:left w:val="nil"/>
              <w:bottom w:val="single" w:sz="4" w:space="0" w:color="auto"/>
              <w:right w:val="single" w:sz="4" w:space="0" w:color="auto"/>
            </w:tcBorders>
            <w:shd w:val="clear" w:color="auto" w:fill="FFFFFF"/>
            <w:vAlign w:val="center"/>
          </w:tcPr>
          <w:p w:rsidR="008A54B8" w:rsidRDefault="00BD0CDB">
            <w:pPr>
              <w:spacing w:before="60" w:after="60" w:line="240" w:lineRule="auto"/>
              <w:jc w:val="center"/>
              <w:rPr>
                <w:rFonts w:ascii="Times New Roman" w:eastAsia="Times New Roman" w:hAnsi="Times New Roman"/>
                <w:b/>
                <w:noProof/>
                <w:sz w:val="18"/>
                <w:szCs w:val="18"/>
                <w:lang w:val="sv-SE" w:eastAsia="sv-SE" w:bidi="sv-SE"/>
              </w:rPr>
            </w:pPr>
            <w:r>
              <w:rPr>
                <w:rFonts w:ascii="Times New Roman" w:hAnsi="Times New Roman"/>
                <w:b/>
                <w:noProof/>
                <w:sz w:val="18"/>
                <w:lang w:val="sv-SE" w:eastAsia="sv-SE" w:bidi="sv-SE"/>
              </w:rPr>
              <w:t>SI</w:t>
            </w:r>
          </w:p>
        </w:tc>
        <w:tc>
          <w:tcPr>
            <w:tcW w:w="2116" w:type="dxa"/>
            <w:tcBorders>
              <w:top w:val="single" w:sz="4" w:space="0" w:color="auto"/>
              <w:left w:val="single" w:sz="4" w:space="0" w:color="auto"/>
              <w:bottom w:val="single" w:sz="4" w:space="0" w:color="auto"/>
              <w:right w:val="single" w:sz="4" w:space="0" w:color="auto"/>
            </w:tcBorders>
            <w:shd w:val="clear" w:color="auto" w:fill="FFFFFF"/>
            <w:vAlign w:val="center"/>
          </w:tcPr>
          <w:p w:rsidR="008A54B8" w:rsidRDefault="00BD0CDB">
            <w:pPr>
              <w:spacing w:before="60" w:after="60" w:line="240" w:lineRule="auto"/>
              <w:jc w:val="center"/>
              <w:rPr>
                <w:rFonts w:ascii="Times New Roman" w:eastAsia="Times New Roman" w:hAnsi="Times New Roman"/>
                <w:noProof/>
                <w:sz w:val="18"/>
                <w:szCs w:val="18"/>
                <w:lang w:val="sv-SE" w:eastAsia="sv-SE" w:bidi="sv-SE"/>
              </w:rPr>
            </w:pPr>
            <w:r>
              <w:rPr>
                <w:rFonts w:ascii="Times New Roman" w:hAnsi="Times New Roman"/>
                <w:noProof/>
                <w:sz w:val="18"/>
                <w:lang w:val="sv-SE" w:eastAsia="sv-SE" w:bidi="sv-SE"/>
              </w:rPr>
              <w:t>Obalanser</w:t>
            </w:r>
          </w:p>
        </w:tc>
        <w:tc>
          <w:tcPr>
            <w:tcW w:w="2923" w:type="dxa"/>
            <w:tcBorders>
              <w:top w:val="single" w:sz="4" w:space="0" w:color="auto"/>
              <w:left w:val="single" w:sz="4" w:space="0" w:color="auto"/>
              <w:bottom w:val="single" w:sz="4" w:space="0" w:color="auto"/>
              <w:right w:val="nil"/>
            </w:tcBorders>
            <w:shd w:val="clear" w:color="auto" w:fill="FFFFFF"/>
            <w:vAlign w:val="center"/>
          </w:tcPr>
          <w:p w:rsidR="008A54B8" w:rsidRDefault="00BD0CDB">
            <w:pPr>
              <w:spacing w:before="60" w:after="60" w:line="240" w:lineRule="auto"/>
              <w:jc w:val="center"/>
              <w:rPr>
                <w:rFonts w:ascii="Times New Roman" w:eastAsia="Times New Roman" w:hAnsi="Times New Roman"/>
                <w:noProof/>
                <w:sz w:val="18"/>
                <w:szCs w:val="18"/>
                <w:lang w:val="sv-SE" w:eastAsia="sv-SE" w:bidi="sv-SE"/>
              </w:rPr>
            </w:pPr>
            <w:r>
              <w:rPr>
                <w:rFonts w:ascii="Times New Roman" w:hAnsi="Times New Roman"/>
                <w:noProof/>
                <w:sz w:val="18"/>
                <w:lang w:val="sv-SE" w:eastAsia="sv-SE" w:bidi="sv-SE"/>
              </w:rPr>
              <w:t>Korrigerande del</w:t>
            </w:r>
          </w:p>
          <w:p w:rsidR="008A54B8" w:rsidRDefault="00BD0CDB">
            <w:pPr>
              <w:spacing w:before="60" w:after="60" w:line="240" w:lineRule="auto"/>
              <w:jc w:val="center"/>
              <w:rPr>
                <w:rFonts w:ascii="Times New Roman" w:eastAsia="Times New Roman" w:hAnsi="Times New Roman"/>
                <w:noProof/>
                <w:sz w:val="18"/>
                <w:szCs w:val="18"/>
                <w:lang w:val="sv-SE" w:eastAsia="sv-SE" w:bidi="sv-SE"/>
              </w:rPr>
            </w:pPr>
            <w:r>
              <w:rPr>
                <w:rFonts w:ascii="Times New Roman" w:hAnsi="Times New Roman"/>
                <w:noProof/>
                <w:sz w:val="18"/>
                <w:lang w:val="sv-SE" w:eastAsia="sv-SE" w:bidi="sv-SE"/>
              </w:rPr>
              <w:t>Alltför stort underskott, deadline för korrigering: 2015</w:t>
            </w:r>
          </w:p>
          <w:p w:rsidR="008A54B8" w:rsidRDefault="00BD0CDB">
            <w:pPr>
              <w:spacing w:before="60" w:after="60" w:line="240" w:lineRule="auto"/>
              <w:jc w:val="center"/>
              <w:rPr>
                <w:rFonts w:ascii="Times New Roman" w:eastAsia="Times New Roman" w:hAnsi="Times New Roman"/>
                <w:noProof/>
                <w:sz w:val="18"/>
                <w:szCs w:val="18"/>
                <w:lang w:val="sv-SE" w:eastAsia="sv-SE" w:bidi="sv-SE"/>
              </w:rPr>
            </w:pPr>
            <w:r>
              <w:rPr>
                <w:rFonts w:ascii="Times New Roman" w:hAnsi="Times New Roman"/>
                <w:noProof/>
                <w:sz w:val="18"/>
                <w:lang w:val="sv-SE" w:eastAsia="sv-SE" w:bidi="sv-SE"/>
              </w:rPr>
              <w:t>Ännu inte nått MTO, omfattas av övergångsregler för skuldkriteriet</w:t>
            </w:r>
          </w:p>
        </w:tc>
        <w:tc>
          <w:tcPr>
            <w:tcW w:w="3222" w:type="dxa"/>
            <w:tcBorders>
              <w:top w:val="single" w:sz="4" w:space="0" w:color="auto"/>
              <w:left w:val="single" w:sz="4" w:space="0" w:color="auto"/>
              <w:bottom w:val="single" w:sz="4" w:space="0" w:color="auto"/>
              <w:right w:val="nil"/>
            </w:tcBorders>
            <w:shd w:val="clear" w:color="auto" w:fill="FFFFFF"/>
            <w:vAlign w:val="center"/>
          </w:tcPr>
          <w:p w:rsidR="008A54B8" w:rsidRDefault="008A54B8">
            <w:pPr>
              <w:spacing w:before="60" w:after="60" w:line="240" w:lineRule="auto"/>
              <w:jc w:val="center"/>
              <w:rPr>
                <w:rFonts w:ascii="Times New Roman" w:eastAsia="Times New Roman" w:hAnsi="Times New Roman"/>
                <w:noProof/>
                <w:sz w:val="18"/>
                <w:szCs w:val="18"/>
                <w:lang w:val="sv-SE" w:eastAsia="sv-SE" w:bidi="sv-SE"/>
              </w:rPr>
            </w:pPr>
          </w:p>
        </w:tc>
      </w:tr>
      <w:tr w:rsidR="008A54B8" w:rsidRPr="00BD0CDB">
        <w:trPr>
          <w:jc w:val="center"/>
        </w:trPr>
        <w:tc>
          <w:tcPr>
            <w:tcW w:w="607" w:type="dxa"/>
            <w:tcBorders>
              <w:top w:val="single" w:sz="4" w:space="0" w:color="auto"/>
              <w:left w:val="nil"/>
              <w:bottom w:val="single" w:sz="4" w:space="0" w:color="auto"/>
              <w:right w:val="single" w:sz="4" w:space="0" w:color="auto"/>
            </w:tcBorders>
            <w:shd w:val="clear" w:color="auto" w:fill="FFFFFF"/>
            <w:vAlign w:val="center"/>
          </w:tcPr>
          <w:p w:rsidR="008A54B8" w:rsidRDefault="00BD0CDB">
            <w:pPr>
              <w:spacing w:before="60" w:after="60" w:line="240" w:lineRule="auto"/>
              <w:jc w:val="center"/>
              <w:rPr>
                <w:rFonts w:ascii="Times New Roman" w:eastAsia="Times New Roman" w:hAnsi="Times New Roman"/>
                <w:b/>
                <w:noProof/>
                <w:sz w:val="18"/>
                <w:szCs w:val="18"/>
                <w:lang w:val="sv-SE" w:eastAsia="sv-SE" w:bidi="sv-SE"/>
              </w:rPr>
            </w:pPr>
            <w:r>
              <w:rPr>
                <w:rFonts w:ascii="Times New Roman" w:hAnsi="Times New Roman"/>
                <w:b/>
                <w:noProof/>
                <w:sz w:val="18"/>
                <w:lang w:val="sv-SE" w:eastAsia="sv-SE" w:bidi="sv-SE"/>
              </w:rPr>
              <w:t>SK</w:t>
            </w:r>
          </w:p>
        </w:tc>
        <w:tc>
          <w:tcPr>
            <w:tcW w:w="2116" w:type="dxa"/>
            <w:tcBorders>
              <w:top w:val="single" w:sz="4" w:space="0" w:color="auto"/>
              <w:left w:val="single" w:sz="4" w:space="0" w:color="auto"/>
              <w:bottom w:val="single" w:sz="4" w:space="0" w:color="auto"/>
              <w:right w:val="single" w:sz="4" w:space="0" w:color="auto"/>
            </w:tcBorders>
            <w:shd w:val="clear" w:color="auto" w:fill="FFFFFF"/>
            <w:vAlign w:val="center"/>
          </w:tcPr>
          <w:p w:rsidR="008A54B8" w:rsidRDefault="008A54B8">
            <w:pPr>
              <w:spacing w:before="60" w:after="60" w:line="240" w:lineRule="auto"/>
              <w:jc w:val="center"/>
              <w:rPr>
                <w:rFonts w:ascii="Times New Roman" w:eastAsia="Times New Roman" w:hAnsi="Times New Roman"/>
                <w:noProof/>
                <w:sz w:val="18"/>
                <w:szCs w:val="18"/>
                <w:lang w:val="sv-SE" w:eastAsia="sv-SE" w:bidi="sv-SE"/>
              </w:rPr>
            </w:pPr>
          </w:p>
        </w:tc>
        <w:tc>
          <w:tcPr>
            <w:tcW w:w="2923" w:type="dxa"/>
            <w:tcBorders>
              <w:top w:val="single" w:sz="4" w:space="0" w:color="auto"/>
              <w:left w:val="single" w:sz="4" w:space="0" w:color="auto"/>
              <w:bottom w:val="single" w:sz="4" w:space="0" w:color="auto"/>
              <w:right w:val="nil"/>
            </w:tcBorders>
            <w:shd w:val="clear" w:color="auto" w:fill="FFFFFF"/>
            <w:vAlign w:val="center"/>
          </w:tcPr>
          <w:p w:rsidR="008A54B8" w:rsidRDefault="00BD0CDB">
            <w:pPr>
              <w:spacing w:before="60" w:after="60" w:line="240" w:lineRule="auto"/>
              <w:jc w:val="center"/>
              <w:rPr>
                <w:rFonts w:ascii="Times New Roman" w:eastAsia="Times New Roman" w:hAnsi="Times New Roman"/>
                <w:noProof/>
                <w:sz w:val="18"/>
                <w:szCs w:val="18"/>
                <w:lang w:val="sv-SE" w:eastAsia="sv-SE" w:bidi="sv-SE"/>
              </w:rPr>
            </w:pPr>
            <w:r>
              <w:rPr>
                <w:rFonts w:ascii="Times New Roman" w:hAnsi="Times New Roman"/>
                <w:noProof/>
                <w:sz w:val="18"/>
                <w:lang w:val="sv-SE" w:eastAsia="sv-SE" w:bidi="sv-SE"/>
              </w:rPr>
              <w:t>Förebyggande del</w:t>
            </w:r>
          </w:p>
          <w:p w:rsidR="008A54B8" w:rsidRDefault="00BD0CDB">
            <w:pPr>
              <w:spacing w:before="60" w:after="60" w:line="240" w:lineRule="auto"/>
              <w:jc w:val="center"/>
              <w:rPr>
                <w:rFonts w:ascii="Times New Roman" w:eastAsia="Times New Roman" w:hAnsi="Times New Roman"/>
                <w:noProof/>
                <w:sz w:val="18"/>
                <w:szCs w:val="18"/>
                <w:lang w:val="sv-SE" w:eastAsia="sv-SE" w:bidi="sv-SE"/>
              </w:rPr>
            </w:pPr>
            <w:r>
              <w:rPr>
                <w:rFonts w:ascii="Times New Roman" w:hAnsi="Times New Roman"/>
                <w:noProof/>
                <w:sz w:val="18"/>
                <w:lang w:val="sv-SE" w:eastAsia="sv-SE" w:bidi="sv-SE"/>
              </w:rPr>
              <w:t>Ännu inte nått MTO</w:t>
            </w:r>
          </w:p>
        </w:tc>
        <w:tc>
          <w:tcPr>
            <w:tcW w:w="3222" w:type="dxa"/>
            <w:tcBorders>
              <w:top w:val="single" w:sz="4" w:space="0" w:color="auto"/>
              <w:left w:val="single" w:sz="4" w:space="0" w:color="auto"/>
              <w:bottom w:val="single" w:sz="4" w:space="0" w:color="auto"/>
              <w:right w:val="nil"/>
            </w:tcBorders>
            <w:shd w:val="clear" w:color="auto" w:fill="FFFFFF"/>
            <w:vAlign w:val="center"/>
          </w:tcPr>
          <w:p w:rsidR="008A54B8" w:rsidRDefault="008A54B8">
            <w:pPr>
              <w:spacing w:before="60" w:after="60" w:line="240" w:lineRule="auto"/>
              <w:jc w:val="center"/>
              <w:rPr>
                <w:rFonts w:ascii="Times New Roman" w:eastAsia="Times New Roman" w:hAnsi="Times New Roman"/>
                <w:noProof/>
                <w:sz w:val="18"/>
                <w:szCs w:val="18"/>
                <w:lang w:val="sv-SE" w:eastAsia="sv-SE" w:bidi="sv-SE"/>
              </w:rPr>
            </w:pPr>
          </w:p>
        </w:tc>
      </w:tr>
      <w:tr w:rsidR="008A54B8" w:rsidRPr="00BD0CDB">
        <w:trPr>
          <w:jc w:val="center"/>
        </w:trPr>
        <w:tc>
          <w:tcPr>
            <w:tcW w:w="607" w:type="dxa"/>
            <w:tcBorders>
              <w:top w:val="single" w:sz="4" w:space="0" w:color="auto"/>
              <w:left w:val="nil"/>
              <w:bottom w:val="single" w:sz="4" w:space="0" w:color="auto"/>
              <w:right w:val="single" w:sz="4" w:space="0" w:color="auto"/>
            </w:tcBorders>
            <w:shd w:val="clear" w:color="auto" w:fill="FFFFFF"/>
            <w:vAlign w:val="center"/>
          </w:tcPr>
          <w:p w:rsidR="008A54B8" w:rsidRDefault="00BD0CDB">
            <w:pPr>
              <w:spacing w:before="60" w:after="60" w:line="240" w:lineRule="auto"/>
              <w:jc w:val="center"/>
              <w:rPr>
                <w:rFonts w:ascii="Times New Roman" w:eastAsia="Times New Roman" w:hAnsi="Times New Roman"/>
                <w:b/>
                <w:noProof/>
                <w:sz w:val="18"/>
                <w:szCs w:val="18"/>
                <w:lang w:val="sv-SE" w:eastAsia="sv-SE" w:bidi="sv-SE"/>
              </w:rPr>
            </w:pPr>
            <w:r>
              <w:rPr>
                <w:rFonts w:ascii="Times New Roman" w:hAnsi="Times New Roman"/>
                <w:b/>
                <w:noProof/>
                <w:sz w:val="18"/>
                <w:lang w:val="sv-SE" w:eastAsia="sv-SE" w:bidi="sv-SE"/>
              </w:rPr>
              <w:t>FI</w:t>
            </w:r>
          </w:p>
        </w:tc>
        <w:tc>
          <w:tcPr>
            <w:tcW w:w="2116" w:type="dxa"/>
            <w:tcBorders>
              <w:top w:val="single" w:sz="4" w:space="0" w:color="auto"/>
              <w:left w:val="single" w:sz="4" w:space="0" w:color="auto"/>
              <w:bottom w:val="single" w:sz="4" w:space="0" w:color="auto"/>
              <w:right w:val="single" w:sz="4" w:space="0" w:color="auto"/>
            </w:tcBorders>
            <w:shd w:val="clear" w:color="auto" w:fill="FFFFFF"/>
            <w:vAlign w:val="center"/>
          </w:tcPr>
          <w:p w:rsidR="008A54B8" w:rsidRDefault="00BD0CDB">
            <w:pPr>
              <w:spacing w:before="60" w:after="60" w:line="240" w:lineRule="auto"/>
              <w:jc w:val="center"/>
              <w:rPr>
                <w:rFonts w:ascii="Times New Roman" w:eastAsia="Times New Roman" w:hAnsi="Times New Roman"/>
                <w:noProof/>
                <w:sz w:val="18"/>
                <w:szCs w:val="18"/>
                <w:lang w:val="sv-SE" w:eastAsia="sv-SE" w:bidi="sv-SE"/>
              </w:rPr>
            </w:pPr>
            <w:r>
              <w:rPr>
                <w:rFonts w:ascii="Times New Roman" w:hAnsi="Times New Roman"/>
                <w:noProof/>
                <w:sz w:val="18"/>
                <w:lang w:val="sv-SE" w:eastAsia="sv-SE" w:bidi="sv-SE"/>
              </w:rPr>
              <w:t>Obalanser</w:t>
            </w:r>
          </w:p>
        </w:tc>
        <w:tc>
          <w:tcPr>
            <w:tcW w:w="2923" w:type="dxa"/>
            <w:tcBorders>
              <w:top w:val="single" w:sz="4" w:space="0" w:color="auto"/>
              <w:left w:val="single" w:sz="4" w:space="0" w:color="auto"/>
              <w:bottom w:val="single" w:sz="4" w:space="0" w:color="auto"/>
              <w:right w:val="nil"/>
            </w:tcBorders>
            <w:shd w:val="clear" w:color="auto" w:fill="FFFFFF"/>
            <w:vAlign w:val="center"/>
          </w:tcPr>
          <w:p w:rsidR="008A54B8" w:rsidRDefault="00BD0CDB">
            <w:pPr>
              <w:spacing w:before="60" w:after="60" w:line="240" w:lineRule="auto"/>
              <w:jc w:val="center"/>
              <w:rPr>
                <w:rFonts w:ascii="Times New Roman" w:eastAsia="Times New Roman" w:hAnsi="Times New Roman"/>
                <w:noProof/>
                <w:sz w:val="18"/>
                <w:szCs w:val="18"/>
                <w:lang w:val="sv-SE" w:eastAsia="sv-SE" w:bidi="sv-SE"/>
              </w:rPr>
            </w:pPr>
            <w:r>
              <w:rPr>
                <w:rFonts w:ascii="Times New Roman" w:hAnsi="Times New Roman"/>
                <w:noProof/>
                <w:sz w:val="18"/>
                <w:lang w:val="sv-SE" w:eastAsia="sv-SE" w:bidi="sv-SE"/>
              </w:rPr>
              <w:t>Förebyggande del</w:t>
            </w:r>
          </w:p>
          <w:p w:rsidR="008A54B8" w:rsidRDefault="00BD0CDB">
            <w:pPr>
              <w:spacing w:before="60" w:after="60" w:line="240" w:lineRule="auto"/>
              <w:jc w:val="center"/>
              <w:rPr>
                <w:rFonts w:ascii="Times New Roman" w:eastAsia="Times New Roman" w:hAnsi="Times New Roman"/>
                <w:noProof/>
                <w:sz w:val="18"/>
                <w:szCs w:val="18"/>
                <w:lang w:val="sv-SE" w:eastAsia="sv-SE" w:bidi="sv-SE"/>
              </w:rPr>
            </w:pPr>
            <w:r>
              <w:rPr>
                <w:rFonts w:ascii="Times New Roman" w:hAnsi="Times New Roman"/>
                <w:noProof/>
                <w:sz w:val="18"/>
                <w:lang w:val="sv-SE" w:eastAsia="sv-SE" w:bidi="sv-SE"/>
              </w:rPr>
              <w:t xml:space="preserve">Ännu inte nått MTO, skulden överskider referensvärdet på </w:t>
            </w:r>
            <w:r>
              <w:rPr>
                <w:rFonts w:ascii="Times New Roman" w:hAnsi="Times New Roman"/>
                <w:noProof/>
                <w:sz w:val="18"/>
                <w:lang w:val="sv-SE" w:eastAsia="sv-SE" w:bidi="sv-SE"/>
              </w:rPr>
              <w:t>60 % av BNP</w:t>
            </w:r>
          </w:p>
        </w:tc>
        <w:tc>
          <w:tcPr>
            <w:tcW w:w="3222" w:type="dxa"/>
            <w:tcBorders>
              <w:top w:val="single" w:sz="4" w:space="0" w:color="auto"/>
              <w:left w:val="single" w:sz="4" w:space="0" w:color="auto"/>
              <w:bottom w:val="single" w:sz="4" w:space="0" w:color="auto"/>
              <w:right w:val="nil"/>
            </w:tcBorders>
            <w:shd w:val="clear" w:color="auto" w:fill="FFFFFF"/>
            <w:vAlign w:val="center"/>
          </w:tcPr>
          <w:p w:rsidR="008A54B8" w:rsidRDefault="008A54B8">
            <w:pPr>
              <w:spacing w:before="60" w:after="60" w:line="240" w:lineRule="auto"/>
              <w:jc w:val="center"/>
              <w:rPr>
                <w:rFonts w:ascii="Times New Roman" w:eastAsia="Times New Roman" w:hAnsi="Times New Roman"/>
                <w:noProof/>
                <w:sz w:val="18"/>
                <w:szCs w:val="18"/>
                <w:lang w:val="sv-SE" w:eastAsia="sv-SE" w:bidi="sv-SE"/>
              </w:rPr>
            </w:pPr>
          </w:p>
        </w:tc>
      </w:tr>
      <w:tr w:rsidR="008A54B8">
        <w:trPr>
          <w:jc w:val="center"/>
        </w:trPr>
        <w:tc>
          <w:tcPr>
            <w:tcW w:w="607" w:type="dxa"/>
            <w:tcBorders>
              <w:top w:val="single" w:sz="4" w:space="0" w:color="auto"/>
              <w:left w:val="nil"/>
              <w:bottom w:val="single" w:sz="4" w:space="0" w:color="auto"/>
              <w:right w:val="single" w:sz="4" w:space="0" w:color="auto"/>
            </w:tcBorders>
            <w:shd w:val="clear" w:color="auto" w:fill="FFFFFF"/>
            <w:vAlign w:val="center"/>
          </w:tcPr>
          <w:p w:rsidR="008A54B8" w:rsidRDefault="00BD0CDB">
            <w:pPr>
              <w:spacing w:before="60" w:after="60" w:line="240" w:lineRule="auto"/>
              <w:jc w:val="center"/>
              <w:rPr>
                <w:rFonts w:ascii="Times New Roman" w:eastAsia="Times New Roman" w:hAnsi="Times New Roman"/>
                <w:b/>
                <w:noProof/>
                <w:sz w:val="18"/>
                <w:szCs w:val="18"/>
                <w:lang w:val="sv-SE" w:eastAsia="sv-SE" w:bidi="sv-SE"/>
              </w:rPr>
            </w:pPr>
            <w:r>
              <w:rPr>
                <w:rFonts w:ascii="Times New Roman" w:hAnsi="Times New Roman"/>
                <w:b/>
                <w:noProof/>
                <w:sz w:val="18"/>
                <w:lang w:val="sv-SE" w:eastAsia="sv-SE" w:bidi="sv-SE"/>
              </w:rPr>
              <w:t>SE</w:t>
            </w:r>
          </w:p>
        </w:tc>
        <w:tc>
          <w:tcPr>
            <w:tcW w:w="2116" w:type="dxa"/>
            <w:tcBorders>
              <w:top w:val="single" w:sz="4" w:space="0" w:color="auto"/>
              <w:left w:val="single" w:sz="4" w:space="0" w:color="auto"/>
              <w:bottom w:val="single" w:sz="4" w:space="0" w:color="auto"/>
              <w:right w:val="single" w:sz="4" w:space="0" w:color="auto"/>
            </w:tcBorders>
            <w:shd w:val="clear" w:color="auto" w:fill="FFFFFF"/>
            <w:vAlign w:val="center"/>
          </w:tcPr>
          <w:p w:rsidR="008A54B8" w:rsidRDefault="00BD0CDB">
            <w:pPr>
              <w:spacing w:before="60" w:after="60" w:line="240" w:lineRule="auto"/>
              <w:jc w:val="center"/>
              <w:rPr>
                <w:rFonts w:ascii="Times New Roman" w:eastAsia="Times New Roman" w:hAnsi="Times New Roman"/>
                <w:noProof/>
                <w:sz w:val="18"/>
                <w:szCs w:val="18"/>
                <w:lang w:val="sv-SE" w:eastAsia="sv-SE" w:bidi="sv-SE"/>
              </w:rPr>
            </w:pPr>
            <w:r>
              <w:rPr>
                <w:rFonts w:ascii="Times New Roman" w:hAnsi="Times New Roman"/>
                <w:noProof/>
                <w:sz w:val="18"/>
                <w:lang w:val="sv-SE" w:eastAsia="sv-SE" w:bidi="sv-SE"/>
              </w:rPr>
              <w:t>Obalanser</w:t>
            </w:r>
          </w:p>
        </w:tc>
        <w:tc>
          <w:tcPr>
            <w:tcW w:w="2923" w:type="dxa"/>
            <w:tcBorders>
              <w:top w:val="single" w:sz="4" w:space="0" w:color="auto"/>
              <w:left w:val="single" w:sz="4" w:space="0" w:color="auto"/>
              <w:bottom w:val="single" w:sz="4" w:space="0" w:color="auto"/>
              <w:right w:val="nil"/>
            </w:tcBorders>
            <w:shd w:val="clear" w:color="auto" w:fill="FFFFFF"/>
            <w:vAlign w:val="center"/>
          </w:tcPr>
          <w:p w:rsidR="008A54B8" w:rsidRDefault="00BD0CDB">
            <w:pPr>
              <w:spacing w:before="60" w:after="60" w:line="240" w:lineRule="auto"/>
              <w:jc w:val="center"/>
              <w:rPr>
                <w:rFonts w:ascii="Times New Roman" w:eastAsia="Times New Roman" w:hAnsi="Times New Roman"/>
                <w:noProof/>
                <w:sz w:val="18"/>
                <w:szCs w:val="18"/>
                <w:lang w:val="sv-SE" w:eastAsia="sv-SE" w:bidi="sv-SE"/>
              </w:rPr>
            </w:pPr>
            <w:r>
              <w:rPr>
                <w:rFonts w:ascii="Times New Roman" w:hAnsi="Times New Roman"/>
                <w:noProof/>
                <w:sz w:val="18"/>
                <w:lang w:val="sv-SE" w:eastAsia="sv-SE" w:bidi="sv-SE"/>
              </w:rPr>
              <w:t>Förebyggande del</w:t>
            </w:r>
          </w:p>
          <w:p w:rsidR="008A54B8" w:rsidRDefault="00BD0CDB">
            <w:pPr>
              <w:spacing w:before="60" w:after="60" w:line="240" w:lineRule="auto"/>
              <w:jc w:val="center"/>
              <w:rPr>
                <w:rFonts w:ascii="Times New Roman" w:eastAsia="Times New Roman" w:hAnsi="Times New Roman"/>
                <w:noProof/>
                <w:sz w:val="18"/>
                <w:szCs w:val="18"/>
                <w:lang w:val="sv-SE" w:eastAsia="sv-SE" w:bidi="sv-SE"/>
              </w:rPr>
            </w:pPr>
            <w:r>
              <w:rPr>
                <w:rFonts w:ascii="Times New Roman" w:hAnsi="Times New Roman"/>
                <w:noProof/>
                <w:sz w:val="18"/>
                <w:lang w:val="sv-SE" w:eastAsia="sv-SE" w:bidi="sv-SE"/>
              </w:rPr>
              <w:t>Vid MTO</w:t>
            </w:r>
          </w:p>
        </w:tc>
        <w:tc>
          <w:tcPr>
            <w:tcW w:w="3222" w:type="dxa"/>
            <w:tcBorders>
              <w:top w:val="single" w:sz="4" w:space="0" w:color="auto"/>
              <w:left w:val="single" w:sz="4" w:space="0" w:color="auto"/>
              <w:bottom w:val="single" w:sz="4" w:space="0" w:color="auto"/>
              <w:right w:val="nil"/>
            </w:tcBorders>
            <w:shd w:val="clear" w:color="auto" w:fill="FFFFFF"/>
            <w:vAlign w:val="center"/>
          </w:tcPr>
          <w:p w:rsidR="008A54B8" w:rsidRDefault="008A54B8">
            <w:pPr>
              <w:spacing w:before="60" w:after="60" w:line="240" w:lineRule="auto"/>
              <w:jc w:val="center"/>
              <w:rPr>
                <w:rFonts w:ascii="Times New Roman" w:eastAsia="Times New Roman" w:hAnsi="Times New Roman"/>
                <w:noProof/>
                <w:sz w:val="18"/>
                <w:szCs w:val="18"/>
                <w:lang w:val="sv-SE" w:eastAsia="sv-SE" w:bidi="sv-SE"/>
              </w:rPr>
            </w:pPr>
          </w:p>
        </w:tc>
      </w:tr>
      <w:tr w:rsidR="008A54B8">
        <w:trPr>
          <w:jc w:val="center"/>
        </w:trPr>
        <w:tc>
          <w:tcPr>
            <w:tcW w:w="607" w:type="dxa"/>
            <w:tcBorders>
              <w:top w:val="single" w:sz="4" w:space="0" w:color="auto"/>
              <w:left w:val="nil"/>
              <w:bottom w:val="single" w:sz="4" w:space="0" w:color="auto"/>
              <w:right w:val="single" w:sz="4" w:space="0" w:color="auto"/>
            </w:tcBorders>
            <w:shd w:val="clear" w:color="auto" w:fill="FFFFFF"/>
            <w:vAlign w:val="center"/>
          </w:tcPr>
          <w:p w:rsidR="008A54B8" w:rsidRDefault="00BD0CDB">
            <w:pPr>
              <w:spacing w:before="60" w:after="60" w:line="240" w:lineRule="auto"/>
              <w:jc w:val="center"/>
              <w:rPr>
                <w:rFonts w:ascii="Times New Roman" w:eastAsia="Times New Roman" w:hAnsi="Times New Roman"/>
                <w:b/>
                <w:noProof/>
                <w:sz w:val="18"/>
                <w:szCs w:val="18"/>
                <w:lang w:val="sv-SE" w:eastAsia="sv-SE" w:bidi="sv-SE"/>
              </w:rPr>
            </w:pPr>
            <w:r>
              <w:rPr>
                <w:rFonts w:ascii="Times New Roman" w:hAnsi="Times New Roman"/>
                <w:b/>
                <w:noProof/>
                <w:sz w:val="18"/>
                <w:lang w:val="sv-SE" w:eastAsia="sv-SE" w:bidi="sv-SE"/>
              </w:rPr>
              <w:t>UK</w:t>
            </w:r>
          </w:p>
        </w:tc>
        <w:tc>
          <w:tcPr>
            <w:tcW w:w="2116" w:type="dxa"/>
            <w:tcBorders>
              <w:top w:val="single" w:sz="4" w:space="0" w:color="auto"/>
              <w:left w:val="single" w:sz="4" w:space="0" w:color="auto"/>
              <w:bottom w:val="single" w:sz="4" w:space="0" w:color="auto"/>
              <w:right w:val="single" w:sz="4" w:space="0" w:color="auto"/>
            </w:tcBorders>
            <w:shd w:val="clear" w:color="auto" w:fill="FFFFFF"/>
            <w:vAlign w:val="center"/>
          </w:tcPr>
          <w:p w:rsidR="008A54B8" w:rsidRDefault="00BD0CDB">
            <w:pPr>
              <w:spacing w:before="60" w:after="60" w:line="240" w:lineRule="auto"/>
              <w:jc w:val="center"/>
              <w:rPr>
                <w:rFonts w:ascii="Times New Roman" w:eastAsia="Times New Roman" w:hAnsi="Times New Roman"/>
                <w:noProof/>
                <w:sz w:val="18"/>
                <w:szCs w:val="18"/>
                <w:lang w:val="sv-SE" w:eastAsia="sv-SE" w:bidi="sv-SE"/>
              </w:rPr>
            </w:pPr>
            <w:r>
              <w:rPr>
                <w:rFonts w:ascii="Times New Roman" w:hAnsi="Times New Roman"/>
                <w:noProof/>
                <w:sz w:val="18"/>
                <w:lang w:val="sv-SE" w:eastAsia="sv-SE" w:bidi="sv-SE"/>
              </w:rPr>
              <w:t>Inga obalanser</w:t>
            </w:r>
          </w:p>
        </w:tc>
        <w:tc>
          <w:tcPr>
            <w:tcW w:w="2923" w:type="dxa"/>
            <w:tcBorders>
              <w:top w:val="single" w:sz="4" w:space="0" w:color="auto"/>
              <w:left w:val="single" w:sz="4" w:space="0" w:color="auto"/>
              <w:bottom w:val="single" w:sz="4" w:space="0" w:color="auto"/>
              <w:right w:val="nil"/>
            </w:tcBorders>
            <w:shd w:val="clear" w:color="auto" w:fill="FFFFFF"/>
            <w:vAlign w:val="center"/>
          </w:tcPr>
          <w:p w:rsidR="008A54B8" w:rsidRDefault="00BD0CDB">
            <w:pPr>
              <w:spacing w:before="60" w:after="60" w:line="240" w:lineRule="auto"/>
              <w:jc w:val="center"/>
              <w:rPr>
                <w:rFonts w:ascii="Times New Roman" w:eastAsia="Times New Roman" w:hAnsi="Times New Roman"/>
                <w:noProof/>
                <w:sz w:val="18"/>
                <w:szCs w:val="18"/>
                <w:lang w:val="sv-SE" w:eastAsia="sv-SE" w:bidi="sv-SE"/>
              </w:rPr>
            </w:pPr>
            <w:r>
              <w:rPr>
                <w:rFonts w:ascii="Times New Roman" w:hAnsi="Times New Roman"/>
                <w:noProof/>
                <w:sz w:val="18"/>
                <w:lang w:val="sv-SE" w:eastAsia="sv-SE" w:bidi="sv-SE"/>
              </w:rPr>
              <w:t>Korrigerande del</w:t>
            </w:r>
          </w:p>
          <w:p w:rsidR="008A54B8" w:rsidRDefault="00BD0CDB">
            <w:pPr>
              <w:spacing w:before="60" w:after="60" w:line="240" w:lineRule="auto"/>
              <w:jc w:val="center"/>
              <w:rPr>
                <w:rFonts w:ascii="Times New Roman" w:eastAsia="Times New Roman" w:hAnsi="Times New Roman"/>
                <w:noProof/>
                <w:sz w:val="18"/>
                <w:szCs w:val="18"/>
                <w:lang w:val="sv-SE" w:eastAsia="sv-SE" w:bidi="sv-SE"/>
              </w:rPr>
            </w:pPr>
            <w:r>
              <w:rPr>
                <w:rFonts w:ascii="Times New Roman" w:hAnsi="Times New Roman"/>
                <w:noProof/>
                <w:sz w:val="18"/>
                <w:lang w:val="sv-SE" w:eastAsia="sv-SE" w:bidi="sv-SE"/>
              </w:rPr>
              <w:t>Alltför stort underskott, deadline för korrigering: 2016–17</w:t>
            </w:r>
          </w:p>
        </w:tc>
        <w:tc>
          <w:tcPr>
            <w:tcW w:w="3222" w:type="dxa"/>
            <w:tcBorders>
              <w:top w:val="single" w:sz="4" w:space="0" w:color="auto"/>
              <w:left w:val="single" w:sz="4" w:space="0" w:color="auto"/>
              <w:bottom w:val="single" w:sz="4" w:space="0" w:color="auto"/>
              <w:right w:val="nil"/>
            </w:tcBorders>
            <w:shd w:val="clear" w:color="auto" w:fill="FFFFFF"/>
            <w:vAlign w:val="center"/>
          </w:tcPr>
          <w:p w:rsidR="008A54B8" w:rsidRDefault="00BD0CDB">
            <w:pPr>
              <w:spacing w:before="60" w:after="60" w:line="240" w:lineRule="auto"/>
              <w:jc w:val="center"/>
              <w:rPr>
                <w:rFonts w:ascii="Times New Roman" w:eastAsia="Times New Roman" w:hAnsi="Times New Roman"/>
                <w:noProof/>
                <w:sz w:val="18"/>
                <w:szCs w:val="18"/>
                <w:lang w:val="sv-SE" w:eastAsia="sv-SE" w:bidi="sv-SE"/>
              </w:rPr>
            </w:pPr>
            <w:r>
              <w:rPr>
                <w:rFonts w:ascii="Times New Roman" w:hAnsi="Times New Roman"/>
                <w:noProof/>
                <w:color w:val="000000"/>
                <w:sz w:val="18"/>
                <w:lang w:val="sv-SE" w:eastAsia="sv-SE" w:bidi="sv-SE"/>
              </w:rPr>
              <w:t>Lämnat MIP</w:t>
            </w:r>
          </w:p>
        </w:tc>
      </w:tr>
    </w:tbl>
    <w:p w:rsidR="008A54B8" w:rsidRDefault="00BD0CDB">
      <w:pPr>
        <w:spacing w:before="120" w:after="120" w:line="240" w:lineRule="auto"/>
        <w:rPr>
          <w:rFonts w:ascii="Times New Roman" w:hAnsi="Times New Roman"/>
          <w:noProof/>
          <w:sz w:val="18"/>
          <w:szCs w:val="18"/>
          <w:lang w:val="sv-SE" w:eastAsia="sv-SE" w:bidi="sv-SE"/>
        </w:rPr>
      </w:pPr>
      <w:r>
        <w:rPr>
          <w:rFonts w:ascii="Times New Roman" w:hAnsi="Times New Roman"/>
          <w:noProof/>
          <w:sz w:val="18"/>
          <w:lang w:val="sv-SE" w:eastAsia="sv-SE" w:bidi="sv-SE"/>
        </w:rPr>
        <w:t>(Läget den 8 mars 2016)</w:t>
      </w:r>
    </w:p>
    <w:p w:rsidR="008A54B8" w:rsidRDefault="00BD0CDB">
      <w:pPr>
        <w:spacing w:before="120" w:after="120" w:line="240" w:lineRule="auto"/>
        <w:rPr>
          <w:rFonts w:ascii="Times New Roman" w:eastAsia="Times New Roman" w:hAnsi="Times New Roman"/>
          <w:b/>
          <w:smallCaps/>
          <w:noProof/>
          <w:sz w:val="24"/>
          <w:szCs w:val="24"/>
          <w:lang w:val="sv-SE" w:eastAsia="sv-SE" w:bidi="sv-SE"/>
        </w:rPr>
      </w:pPr>
      <w:r>
        <w:rPr>
          <w:noProof/>
          <w:lang w:val="sv-SE" w:eastAsia="sv-SE" w:bidi="sv-SE"/>
        </w:rPr>
        <w:br w:type="page"/>
      </w:r>
      <w:r>
        <w:rPr>
          <w:rFonts w:ascii="Times New Roman" w:hAnsi="Times New Roman"/>
          <w:b/>
          <w:smallCaps/>
          <w:noProof/>
          <w:sz w:val="24"/>
          <w:lang w:val="sv-SE" w:eastAsia="sv-SE" w:bidi="sv-SE"/>
        </w:rPr>
        <w:t>Bilaga 2 – Målen för Europa 2020-strategi – Resultat</w:t>
      </w:r>
    </w:p>
    <w:p w:rsidR="008A54B8" w:rsidRDefault="008A54B8">
      <w:pPr>
        <w:spacing w:before="120" w:after="120" w:line="240" w:lineRule="auto"/>
        <w:rPr>
          <w:rFonts w:ascii="Times New Roman" w:eastAsia="Times New Roman" w:hAnsi="Times New Roman"/>
          <w:b/>
          <w:smallCaps/>
          <w:noProof/>
          <w:sz w:val="20"/>
          <w:szCs w:val="20"/>
          <w:lang w:val="sv-SE" w:eastAsia="sv-SE" w:bidi="sv-SE"/>
        </w:rPr>
      </w:pPr>
    </w:p>
    <w:tbl>
      <w:tblPr>
        <w:tblStyle w:val="TableGrid1"/>
        <w:tblW w:w="0" w:type="auto"/>
        <w:tblBorders>
          <w:left w:val="none" w:sz="0" w:space="0" w:color="auto"/>
          <w:right w:val="none" w:sz="0" w:space="0" w:color="auto"/>
        </w:tblBorders>
        <w:tblLook w:val="04A0" w:firstRow="1" w:lastRow="0" w:firstColumn="1" w:lastColumn="0" w:noHBand="0" w:noVBand="1"/>
      </w:tblPr>
      <w:tblGrid>
        <w:gridCol w:w="2637"/>
        <w:gridCol w:w="2271"/>
        <w:gridCol w:w="2076"/>
        <w:gridCol w:w="2305"/>
      </w:tblGrid>
      <w:tr w:rsidR="008A54B8">
        <w:tc>
          <w:tcPr>
            <w:tcW w:w="2802" w:type="dxa"/>
          </w:tcPr>
          <w:p w:rsidR="008A54B8" w:rsidRDefault="00BD0CDB">
            <w:pPr>
              <w:jc w:val="center"/>
              <w:rPr>
                <w:rFonts w:ascii="Times New Roman" w:hAnsi="Times New Roman"/>
                <w:b/>
                <w:noProof/>
                <w:sz w:val="20"/>
                <w:szCs w:val="20"/>
                <w:lang w:eastAsia="sv-SE"/>
              </w:rPr>
            </w:pPr>
            <w:r>
              <w:rPr>
                <w:rFonts w:ascii="Times New Roman" w:hAnsi="Times New Roman"/>
                <w:b/>
                <w:noProof/>
                <w:sz w:val="20"/>
                <w:lang w:eastAsia="sv-SE"/>
              </w:rPr>
              <w:t xml:space="preserve">Europa </w:t>
            </w:r>
            <w:r>
              <w:rPr>
                <w:rFonts w:ascii="Times New Roman" w:hAnsi="Times New Roman"/>
                <w:b/>
                <w:noProof/>
                <w:sz w:val="20"/>
                <w:lang w:eastAsia="sv-SE"/>
              </w:rPr>
              <w:t>2020-strategins mål för EU</w:t>
            </w:r>
          </w:p>
        </w:tc>
        <w:tc>
          <w:tcPr>
            <w:tcW w:w="1701" w:type="dxa"/>
          </w:tcPr>
          <w:p w:rsidR="008A54B8" w:rsidRDefault="00BD0CDB">
            <w:pPr>
              <w:jc w:val="center"/>
              <w:rPr>
                <w:rFonts w:ascii="Times New Roman" w:hAnsi="Times New Roman"/>
                <w:b/>
                <w:noProof/>
                <w:sz w:val="20"/>
                <w:szCs w:val="20"/>
                <w:lang w:eastAsia="sv-SE"/>
              </w:rPr>
            </w:pPr>
            <w:r>
              <w:rPr>
                <w:rFonts w:ascii="Times New Roman" w:hAnsi="Times New Roman"/>
                <w:b/>
                <w:noProof/>
                <w:sz w:val="20"/>
                <w:lang w:eastAsia="sv-SE"/>
              </w:rPr>
              <w:t>Uppgifter för 2010</w:t>
            </w:r>
          </w:p>
        </w:tc>
        <w:tc>
          <w:tcPr>
            <w:tcW w:w="2268" w:type="dxa"/>
          </w:tcPr>
          <w:p w:rsidR="008A54B8" w:rsidRDefault="00BD0CDB">
            <w:pPr>
              <w:jc w:val="center"/>
              <w:rPr>
                <w:rFonts w:ascii="Times New Roman" w:hAnsi="Times New Roman"/>
                <w:b/>
                <w:noProof/>
                <w:sz w:val="20"/>
                <w:szCs w:val="20"/>
                <w:lang w:eastAsia="sv-SE"/>
              </w:rPr>
            </w:pPr>
            <w:r>
              <w:rPr>
                <w:rFonts w:ascii="Times New Roman" w:hAnsi="Times New Roman"/>
                <w:b/>
                <w:noProof/>
                <w:sz w:val="20"/>
                <w:lang w:eastAsia="sv-SE"/>
              </w:rPr>
              <w:t>Senast tillgängliga uppgifter</w:t>
            </w:r>
          </w:p>
        </w:tc>
        <w:tc>
          <w:tcPr>
            <w:tcW w:w="2517" w:type="dxa"/>
          </w:tcPr>
          <w:p w:rsidR="008A54B8" w:rsidRDefault="00BD0CDB">
            <w:pPr>
              <w:jc w:val="center"/>
              <w:rPr>
                <w:rFonts w:ascii="Times New Roman" w:hAnsi="Times New Roman"/>
                <w:b/>
                <w:noProof/>
                <w:sz w:val="20"/>
                <w:szCs w:val="20"/>
                <w:lang w:eastAsia="sv-SE"/>
              </w:rPr>
            </w:pPr>
            <w:r>
              <w:rPr>
                <w:rFonts w:ascii="Times New Roman" w:hAnsi="Times New Roman"/>
                <w:b/>
                <w:noProof/>
                <w:sz w:val="20"/>
                <w:lang w:eastAsia="sv-SE"/>
              </w:rPr>
              <w:t>Vid 2020, utifrån senaste utvecklingen</w:t>
            </w:r>
          </w:p>
        </w:tc>
      </w:tr>
      <w:tr w:rsidR="008A54B8">
        <w:tc>
          <w:tcPr>
            <w:tcW w:w="2802" w:type="dxa"/>
          </w:tcPr>
          <w:p w:rsidR="008A54B8" w:rsidRDefault="00BD0CDB">
            <w:pPr>
              <w:jc w:val="center"/>
              <w:rPr>
                <w:rFonts w:ascii="Times New Roman" w:hAnsi="Times New Roman"/>
                <w:b/>
                <w:noProof/>
                <w:sz w:val="20"/>
                <w:szCs w:val="20"/>
                <w:lang w:eastAsia="sv-SE"/>
              </w:rPr>
            </w:pPr>
            <w:r>
              <w:rPr>
                <w:rFonts w:ascii="Times New Roman" w:hAnsi="Times New Roman"/>
                <w:noProof/>
                <w:sz w:val="20"/>
                <w:lang w:eastAsia="sv-SE"/>
              </w:rPr>
              <w:t>1. Sysselsättningen bland befolkningen i arbetsför ålder (20–64 år) ska vara minst 75 %</w:t>
            </w:r>
          </w:p>
        </w:tc>
        <w:tc>
          <w:tcPr>
            <w:tcW w:w="1701" w:type="dxa"/>
          </w:tcPr>
          <w:p w:rsidR="008A54B8" w:rsidRDefault="00BD0CDB">
            <w:pPr>
              <w:jc w:val="center"/>
              <w:rPr>
                <w:rFonts w:ascii="Times New Roman" w:hAnsi="Times New Roman"/>
                <w:noProof/>
                <w:sz w:val="20"/>
                <w:szCs w:val="20"/>
                <w:lang w:eastAsia="sv-SE"/>
              </w:rPr>
            </w:pPr>
            <w:r>
              <w:rPr>
                <w:rFonts w:ascii="Times New Roman" w:hAnsi="Times New Roman"/>
                <w:noProof/>
                <w:sz w:val="20"/>
                <w:lang w:eastAsia="sv-SE"/>
              </w:rPr>
              <w:t>68,6 %</w:t>
            </w:r>
          </w:p>
        </w:tc>
        <w:tc>
          <w:tcPr>
            <w:tcW w:w="2268" w:type="dxa"/>
          </w:tcPr>
          <w:p w:rsidR="008A54B8" w:rsidRDefault="00BD0CDB">
            <w:pPr>
              <w:jc w:val="center"/>
              <w:rPr>
                <w:rFonts w:ascii="Times New Roman" w:hAnsi="Times New Roman"/>
                <w:noProof/>
                <w:sz w:val="20"/>
                <w:szCs w:val="20"/>
                <w:lang w:eastAsia="sv-SE"/>
              </w:rPr>
            </w:pPr>
            <w:r>
              <w:rPr>
                <w:rFonts w:ascii="Times New Roman" w:hAnsi="Times New Roman"/>
                <w:noProof/>
                <w:sz w:val="20"/>
                <w:lang w:eastAsia="sv-SE"/>
              </w:rPr>
              <w:t>69,2 % (2014)</w:t>
            </w:r>
            <w:r>
              <w:rPr>
                <w:rFonts w:ascii="Times New Roman" w:hAnsi="Times New Roman"/>
                <w:noProof/>
                <w:sz w:val="20"/>
                <w:szCs w:val="20"/>
                <w:lang w:eastAsia="sv-SE"/>
              </w:rPr>
              <w:br/>
            </w:r>
            <w:r>
              <w:rPr>
                <w:rFonts w:ascii="Times New Roman" w:hAnsi="Times New Roman"/>
                <w:noProof/>
                <w:sz w:val="20"/>
                <w:lang w:eastAsia="sv-SE"/>
              </w:rPr>
              <w:t>70,5 % (3:e kv. 2015)</w:t>
            </w:r>
          </w:p>
        </w:tc>
        <w:tc>
          <w:tcPr>
            <w:tcW w:w="2517" w:type="dxa"/>
          </w:tcPr>
          <w:p w:rsidR="008A54B8" w:rsidRDefault="00BD0CDB">
            <w:pPr>
              <w:jc w:val="center"/>
              <w:rPr>
                <w:rFonts w:ascii="Times New Roman" w:hAnsi="Times New Roman"/>
                <w:noProof/>
                <w:sz w:val="20"/>
                <w:szCs w:val="20"/>
                <w:lang w:eastAsia="sv-SE"/>
              </w:rPr>
            </w:pPr>
            <w:r>
              <w:rPr>
                <w:rFonts w:ascii="Times New Roman" w:hAnsi="Times New Roman"/>
                <w:noProof/>
                <w:sz w:val="20"/>
                <w:lang w:eastAsia="sv-SE"/>
              </w:rPr>
              <w:t>Målet nås</w:t>
            </w:r>
            <w:r>
              <w:rPr>
                <w:rFonts w:ascii="Times New Roman" w:hAnsi="Times New Roman"/>
                <w:noProof/>
                <w:sz w:val="20"/>
                <w:lang w:eastAsia="sv-SE"/>
              </w:rPr>
              <w:t xml:space="preserve"> sannolikt inte</w:t>
            </w:r>
          </w:p>
        </w:tc>
      </w:tr>
      <w:tr w:rsidR="008A54B8">
        <w:tc>
          <w:tcPr>
            <w:tcW w:w="2802" w:type="dxa"/>
          </w:tcPr>
          <w:p w:rsidR="008A54B8" w:rsidRDefault="00BD0CDB">
            <w:pPr>
              <w:jc w:val="center"/>
              <w:rPr>
                <w:rFonts w:ascii="Times New Roman" w:hAnsi="Times New Roman"/>
                <w:b/>
                <w:noProof/>
                <w:sz w:val="20"/>
                <w:szCs w:val="20"/>
                <w:lang w:eastAsia="sv-SE"/>
              </w:rPr>
            </w:pPr>
            <w:r>
              <w:rPr>
                <w:rFonts w:ascii="Times New Roman" w:hAnsi="Times New Roman"/>
                <w:noProof/>
                <w:sz w:val="20"/>
                <w:lang w:eastAsia="sv-SE"/>
              </w:rPr>
              <w:t>2. De offentliga och privata FoU-investeringarna i ska tillsammans uppgå till 3 % av BNP</w:t>
            </w:r>
          </w:p>
        </w:tc>
        <w:tc>
          <w:tcPr>
            <w:tcW w:w="1701" w:type="dxa"/>
          </w:tcPr>
          <w:p w:rsidR="008A54B8" w:rsidRDefault="00BD0CDB">
            <w:pPr>
              <w:jc w:val="center"/>
              <w:rPr>
                <w:rFonts w:ascii="Times New Roman" w:hAnsi="Times New Roman"/>
                <w:noProof/>
                <w:sz w:val="20"/>
                <w:szCs w:val="20"/>
                <w:lang w:eastAsia="sv-SE"/>
              </w:rPr>
            </w:pPr>
            <w:r>
              <w:rPr>
                <w:rFonts w:ascii="Times New Roman" w:hAnsi="Times New Roman"/>
                <w:noProof/>
                <w:sz w:val="20"/>
                <w:lang w:eastAsia="sv-SE"/>
              </w:rPr>
              <w:t>1,93 %</w:t>
            </w:r>
          </w:p>
        </w:tc>
        <w:tc>
          <w:tcPr>
            <w:tcW w:w="2268" w:type="dxa"/>
          </w:tcPr>
          <w:p w:rsidR="008A54B8" w:rsidRDefault="00BD0CDB">
            <w:pPr>
              <w:jc w:val="center"/>
              <w:rPr>
                <w:rFonts w:ascii="Times New Roman" w:hAnsi="Times New Roman"/>
                <w:noProof/>
                <w:sz w:val="20"/>
                <w:szCs w:val="20"/>
                <w:lang w:eastAsia="sv-SE"/>
              </w:rPr>
            </w:pPr>
            <w:r>
              <w:rPr>
                <w:rFonts w:ascii="Times New Roman" w:hAnsi="Times New Roman"/>
                <w:noProof/>
                <w:sz w:val="20"/>
                <w:lang w:eastAsia="sv-SE"/>
              </w:rPr>
              <w:t>2,03 % (2014)</w:t>
            </w:r>
          </w:p>
        </w:tc>
        <w:tc>
          <w:tcPr>
            <w:tcW w:w="2517" w:type="dxa"/>
          </w:tcPr>
          <w:p w:rsidR="008A54B8" w:rsidRDefault="00BD0CDB">
            <w:pPr>
              <w:jc w:val="center"/>
              <w:rPr>
                <w:rFonts w:ascii="Times New Roman" w:hAnsi="Times New Roman"/>
                <w:noProof/>
                <w:sz w:val="20"/>
                <w:szCs w:val="20"/>
                <w:lang w:eastAsia="sv-SE"/>
              </w:rPr>
            </w:pPr>
            <w:r>
              <w:rPr>
                <w:rFonts w:ascii="Times New Roman" w:hAnsi="Times New Roman"/>
                <w:noProof/>
                <w:sz w:val="20"/>
                <w:lang w:eastAsia="sv-SE"/>
              </w:rPr>
              <w:t>Målet nås sannolikt inte</w:t>
            </w:r>
          </w:p>
        </w:tc>
      </w:tr>
      <w:tr w:rsidR="008A54B8">
        <w:tc>
          <w:tcPr>
            <w:tcW w:w="2802" w:type="dxa"/>
          </w:tcPr>
          <w:p w:rsidR="008A54B8" w:rsidRDefault="00BD0CDB">
            <w:pPr>
              <w:jc w:val="center"/>
              <w:rPr>
                <w:rFonts w:ascii="Times New Roman" w:hAnsi="Times New Roman"/>
                <w:b/>
                <w:noProof/>
                <w:sz w:val="20"/>
                <w:szCs w:val="20"/>
                <w:lang w:eastAsia="sv-SE"/>
              </w:rPr>
            </w:pPr>
            <w:r>
              <w:rPr>
                <w:rFonts w:ascii="Times New Roman" w:hAnsi="Times New Roman"/>
                <w:noProof/>
                <w:sz w:val="20"/>
                <w:lang w:eastAsia="sv-SE"/>
              </w:rPr>
              <w:t>3a. Utsläppen av växthusgaser ska sänkas med minst 20 % jämfört med 1990 års nivå</w:t>
            </w:r>
          </w:p>
        </w:tc>
        <w:tc>
          <w:tcPr>
            <w:tcW w:w="1701" w:type="dxa"/>
          </w:tcPr>
          <w:p w:rsidR="008A54B8" w:rsidRDefault="00BD0CDB">
            <w:pPr>
              <w:jc w:val="center"/>
              <w:rPr>
                <w:rFonts w:ascii="Times New Roman" w:hAnsi="Times New Roman"/>
                <w:noProof/>
                <w:sz w:val="20"/>
                <w:szCs w:val="20"/>
                <w:lang w:eastAsia="sv-SE"/>
              </w:rPr>
            </w:pPr>
            <w:r>
              <w:rPr>
                <w:rFonts w:ascii="Times New Roman" w:hAnsi="Times New Roman"/>
                <w:noProof/>
                <w:sz w:val="20"/>
                <w:lang w:eastAsia="sv-SE"/>
              </w:rPr>
              <w:t>Minskning med 14,3 %</w:t>
            </w:r>
          </w:p>
        </w:tc>
        <w:tc>
          <w:tcPr>
            <w:tcW w:w="2268" w:type="dxa"/>
          </w:tcPr>
          <w:p w:rsidR="008A54B8" w:rsidRDefault="00BD0CDB">
            <w:pPr>
              <w:jc w:val="center"/>
              <w:rPr>
                <w:rFonts w:ascii="Times New Roman" w:hAnsi="Times New Roman"/>
                <w:noProof/>
                <w:sz w:val="20"/>
                <w:szCs w:val="20"/>
                <w:lang w:eastAsia="sv-SE"/>
              </w:rPr>
            </w:pPr>
            <w:r>
              <w:rPr>
                <w:rFonts w:ascii="Times New Roman" w:hAnsi="Times New Roman"/>
                <w:noProof/>
                <w:sz w:val="20"/>
                <w:lang w:eastAsia="sv-SE"/>
              </w:rPr>
              <w:t>Minskning med 23 % (2014)</w:t>
            </w:r>
          </w:p>
        </w:tc>
        <w:tc>
          <w:tcPr>
            <w:tcW w:w="2517" w:type="dxa"/>
          </w:tcPr>
          <w:p w:rsidR="008A54B8" w:rsidRDefault="00BD0CDB">
            <w:pPr>
              <w:jc w:val="center"/>
              <w:rPr>
                <w:rFonts w:ascii="Times New Roman" w:hAnsi="Times New Roman"/>
                <w:noProof/>
                <w:sz w:val="20"/>
                <w:szCs w:val="20"/>
                <w:lang w:eastAsia="sv-SE"/>
              </w:rPr>
            </w:pPr>
            <w:r>
              <w:rPr>
                <w:rFonts w:ascii="Times New Roman" w:hAnsi="Times New Roman"/>
                <w:noProof/>
                <w:sz w:val="20"/>
                <w:lang w:eastAsia="sv-SE"/>
              </w:rPr>
              <w:t>Målet nås troligtvis</w:t>
            </w:r>
          </w:p>
        </w:tc>
      </w:tr>
      <w:tr w:rsidR="008A54B8">
        <w:tc>
          <w:tcPr>
            <w:tcW w:w="2802" w:type="dxa"/>
          </w:tcPr>
          <w:p w:rsidR="008A54B8" w:rsidRDefault="00BD0CDB">
            <w:pPr>
              <w:jc w:val="center"/>
              <w:rPr>
                <w:rFonts w:ascii="Times New Roman" w:hAnsi="Times New Roman"/>
                <w:b/>
                <w:noProof/>
                <w:sz w:val="20"/>
                <w:szCs w:val="20"/>
                <w:lang w:eastAsia="sv-SE"/>
              </w:rPr>
            </w:pPr>
            <w:r>
              <w:rPr>
                <w:rFonts w:ascii="Times New Roman" w:hAnsi="Times New Roman"/>
                <w:noProof/>
                <w:sz w:val="20"/>
                <w:lang w:eastAsia="sv-SE"/>
              </w:rPr>
              <w:t>3b. Andelen förnybar energi i den slutliga energiförbrukningen ska uppgå till 20 %</w:t>
            </w:r>
          </w:p>
        </w:tc>
        <w:tc>
          <w:tcPr>
            <w:tcW w:w="1701" w:type="dxa"/>
          </w:tcPr>
          <w:p w:rsidR="008A54B8" w:rsidRDefault="00BD0CDB">
            <w:pPr>
              <w:jc w:val="center"/>
              <w:rPr>
                <w:rFonts w:ascii="Times New Roman" w:hAnsi="Times New Roman"/>
                <w:noProof/>
                <w:sz w:val="20"/>
                <w:szCs w:val="20"/>
                <w:lang w:eastAsia="sv-SE"/>
              </w:rPr>
            </w:pPr>
            <w:r>
              <w:rPr>
                <w:rFonts w:ascii="Times New Roman" w:hAnsi="Times New Roman"/>
                <w:noProof/>
                <w:sz w:val="20"/>
                <w:lang w:eastAsia="sv-SE"/>
              </w:rPr>
              <w:t>12,8 %</w:t>
            </w:r>
          </w:p>
        </w:tc>
        <w:tc>
          <w:tcPr>
            <w:tcW w:w="2268" w:type="dxa"/>
          </w:tcPr>
          <w:p w:rsidR="008A54B8" w:rsidRDefault="00BD0CDB">
            <w:pPr>
              <w:jc w:val="center"/>
              <w:rPr>
                <w:rFonts w:ascii="Times New Roman" w:hAnsi="Times New Roman"/>
                <w:noProof/>
                <w:sz w:val="20"/>
                <w:szCs w:val="20"/>
                <w:lang w:eastAsia="sv-SE"/>
              </w:rPr>
            </w:pPr>
            <w:r>
              <w:rPr>
                <w:rFonts w:ascii="Times New Roman" w:hAnsi="Times New Roman"/>
                <w:noProof/>
                <w:sz w:val="20"/>
                <w:lang w:eastAsia="sv-SE"/>
              </w:rPr>
              <w:t>16 % (2014)</w:t>
            </w:r>
          </w:p>
        </w:tc>
        <w:tc>
          <w:tcPr>
            <w:tcW w:w="2517" w:type="dxa"/>
          </w:tcPr>
          <w:p w:rsidR="008A54B8" w:rsidRDefault="00BD0CDB">
            <w:pPr>
              <w:jc w:val="center"/>
              <w:rPr>
                <w:rFonts w:ascii="Times New Roman" w:hAnsi="Times New Roman"/>
                <w:noProof/>
                <w:sz w:val="20"/>
                <w:szCs w:val="20"/>
                <w:lang w:eastAsia="sv-SE"/>
              </w:rPr>
            </w:pPr>
            <w:r>
              <w:rPr>
                <w:rFonts w:ascii="Times New Roman" w:hAnsi="Times New Roman"/>
                <w:noProof/>
                <w:sz w:val="20"/>
                <w:lang w:eastAsia="sv-SE"/>
              </w:rPr>
              <w:t>Målet nås troligtvis</w:t>
            </w:r>
          </w:p>
        </w:tc>
      </w:tr>
      <w:tr w:rsidR="008A54B8">
        <w:tc>
          <w:tcPr>
            <w:tcW w:w="2802" w:type="dxa"/>
          </w:tcPr>
          <w:p w:rsidR="008A54B8" w:rsidRDefault="00BD0CDB">
            <w:pPr>
              <w:jc w:val="center"/>
              <w:rPr>
                <w:rFonts w:ascii="Times New Roman" w:hAnsi="Times New Roman"/>
                <w:b/>
                <w:noProof/>
                <w:sz w:val="20"/>
                <w:szCs w:val="20"/>
                <w:lang w:eastAsia="sv-SE"/>
              </w:rPr>
            </w:pPr>
            <w:r>
              <w:rPr>
                <w:rFonts w:ascii="Times New Roman" w:hAnsi="Times New Roman"/>
                <w:noProof/>
                <w:sz w:val="20"/>
                <w:lang w:eastAsia="sv-SE"/>
              </w:rPr>
              <w:t>3c. Energieffektiviteten ska gå mot en förbättring på 20 %</w:t>
            </w:r>
          </w:p>
        </w:tc>
        <w:tc>
          <w:tcPr>
            <w:tcW w:w="1701" w:type="dxa"/>
          </w:tcPr>
          <w:p w:rsidR="008A54B8" w:rsidRDefault="00BD0CDB">
            <w:pPr>
              <w:jc w:val="center"/>
              <w:rPr>
                <w:rFonts w:ascii="Times New Roman" w:hAnsi="Times New Roman"/>
                <w:noProof/>
                <w:sz w:val="20"/>
                <w:szCs w:val="20"/>
                <w:lang w:eastAsia="sv-SE"/>
              </w:rPr>
            </w:pPr>
            <w:r>
              <w:rPr>
                <w:rFonts w:ascii="Times New Roman" w:hAnsi="Times New Roman"/>
                <w:noProof/>
                <w:sz w:val="20"/>
                <w:lang w:eastAsia="sv-SE"/>
              </w:rPr>
              <w:t>Förbättring på 5,6 % (för</w:t>
            </w:r>
            <w:r>
              <w:rPr>
                <w:rFonts w:ascii="Times New Roman" w:hAnsi="Times New Roman"/>
                <w:noProof/>
                <w:sz w:val="20"/>
                <w:lang w:eastAsia="sv-SE"/>
              </w:rPr>
              <w:t xml:space="preserve"> primärenergiförbrukning)</w:t>
            </w:r>
          </w:p>
        </w:tc>
        <w:tc>
          <w:tcPr>
            <w:tcW w:w="2268" w:type="dxa"/>
          </w:tcPr>
          <w:p w:rsidR="008A54B8" w:rsidRDefault="00BD0CDB">
            <w:pPr>
              <w:jc w:val="center"/>
              <w:rPr>
                <w:rFonts w:ascii="Times New Roman" w:hAnsi="Times New Roman"/>
                <w:noProof/>
                <w:sz w:val="20"/>
                <w:szCs w:val="20"/>
                <w:lang w:eastAsia="sv-SE"/>
              </w:rPr>
            </w:pPr>
            <w:r>
              <w:rPr>
                <w:rFonts w:ascii="Times New Roman" w:hAnsi="Times New Roman"/>
                <w:noProof/>
                <w:sz w:val="20"/>
                <w:lang w:eastAsia="sv-SE"/>
              </w:rPr>
              <w:t>Förbättring på 15,7 % (2014)</w:t>
            </w:r>
          </w:p>
        </w:tc>
        <w:tc>
          <w:tcPr>
            <w:tcW w:w="2517" w:type="dxa"/>
          </w:tcPr>
          <w:p w:rsidR="008A54B8" w:rsidRDefault="00BD0CDB">
            <w:pPr>
              <w:jc w:val="center"/>
              <w:rPr>
                <w:rFonts w:ascii="Times New Roman" w:hAnsi="Times New Roman"/>
                <w:noProof/>
                <w:sz w:val="20"/>
                <w:szCs w:val="20"/>
                <w:lang w:eastAsia="sv-SE"/>
              </w:rPr>
            </w:pPr>
            <w:r>
              <w:rPr>
                <w:rFonts w:ascii="Times New Roman" w:hAnsi="Times New Roman"/>
                <w:noProof/>
                <w:sz w:val="20"/>
                <w:lang w:eastAsia="sv-SE"/>
              </w:rPr>
              <w:t>Målet nås troligtvis</w:t>
            </w:r>
          </w:p>
        </w:tc>
      </w:tr>
      <w:tr w:rsidR="008A54B8">
        <w:tc>
          <w:tcPr>
            <w:tcW w:w="2802" w:type="dxa"/>
          </w:tcPr>
          <w:p w:rsidR="008A54B8" w:rsidRDefault="00BD0CDB">
            <w:pPr>
              <w:jc w:val="center"/>
              <w:rPr>
                <w:rFonts w:ascii="Times New Roman" w:hAnsi="Times New Roman"/>
                <w:b/>
                <w:noProof/>
                <w:sz w:val="20"/>
                <w:szCs w:val="20"/>
                <w:lang w:eastAsia="sv-SE"/>
              </w:rPr>
            </w:pPr>
            <w:r>
              <w:rPr>
                <w:rFonts w:ascii="Times New Roman" w:hAnsi="Times New Roman"/>
                <w:noProof/>
                <w:sz w:val="20"/>
                <w:lang w:eastAsia="sv-SE"/>
              </w:rPr>
              <w:t>4 a. Minska antalet elever som i förtid avbryter sin skolgång till mindre än 10 %</w:t>
            </w:r>
          </w:p>
        </w:tc>
        <w:tc>
          <w:tcPr>
            <w:tcW w:w="1701" w:type="dxa"/>
          </w:tcPr>
          <w:p w:rsidR="008A54B8" w:rsidRDefault="00BD0CDB">
            <w:pPr>
              <w:jc w:val="center"/>
              <w:rPr>
                <w:rFonts w:ascii="Times New Roman" w:hAnsi="Times New Roman"/>
                <w:noProof/>
                <w:sz w:val="20"/>
                <w:szCs w:val="20"/>
                <w:lang w:eastAsia="sv-SE"/>
              </w:rPr>
            </w:pPr>
            <w:r>
              <w:rPr>
                <w:rFonts w:ascii="Times New Roman" w:hAnsi="Times New Roman"/>
                <w:noProof/>
                <w:sz w:val="20"/>
                <w:lang w:eastAsia="sv-SE"/>
              </w:rPr>
              <w:t>13,9 %</w:t>
            </w:r>
          </w:p>
        </w:tc>
        <w:tc>
          <w:tcPr>
            <w:tcW w:w="2268" w:type="dxa"/>
          </w:tcPr>
          <w:p w:rsidR="008A54B8" w:rsidRDefault="00BD0CDB">
            <w:pPr>
              <w:jc w:val="center"/>
              <w:rPr>
                <w:rFonts w:ascii="Times New Roman" w:hAnsi="Times New Roman"/>
                <w:noProof/>
                <w:sz w:val="20"/>
                <w:szCs w:val="20"/>
                <w:lang w:eastAsia="sv-SE"/>
              </w:rPr>
            </w:pPr>
            <w:r>
              <w:rPr>
                <w:rFonts w:ascii="Times New Roman" w:hAnsi="Times New Roman"/>
                <w:noProof/>
                <w:sz w:val="20"/>
                <w:lang w:eastAsia="sv-SE"/>
              </w:rPr>
              <w:t>11,2 % (2014)</w:t>
            </w:r>
          </w:p>
        </w:tc>
        <w:tc>
          <w:tcPr>
            <w:tcW w:w="2517" w:type="dxa"/>
          </w:tcPr>
          <w:p w:rsidR="008A54B8" w:rsidRDefault="00BD0CDB">
            <w:pPr>
              <w:jc w:val="center"/>
              <w:rPr>
                <w:rFonts w:ascii="Times New Roman" w:hAnsi="Times New Roman"/>
                <w:noProof/>
                <w:sz w:val="20"/>
                <w:szCs w:val="20"/>
                <w:lang w:eastAsia="sv-SE"/>
              </w:rPr>
            </w:pPr>
            <w:r>
              <w:rPr>
                <w:rFonts w:ascii="Times New Roman" w:hAnsi="Times New Roman"/>
                <w:noProof/>
                <w:sz w:val="20"/>
                <w:lang w:eastAsia="sv-SE"/>
              </w:rPr>
              <w:t>Målet nås troligtvis</w:t>
            </w:r>
          </w:p>
        </w:tc>
      </w:tr>
      <w:tr w:rsidR="008A54B8">
        <w:tc>
          <w:tcPr>
            <w:tcW w:w="2802" w:type="dxa"/>
          </w:tcPr>
          <w:p w:rsidR="008A54B8" w:rsidRDefault="00BD0CDB">
            <w:pPr>
              <w:jc w:val="center"/>
              <w:rPr>
                <w:rFonts w:ascii="Times New Roman" w:hAnsi="Times New Roman"/>
                <w:b/>
                <w:noProof/>
                <w:sz w:val="20"/>
                <w:szCs w:val="20"/>
                <w:lang w:eastAsia="sv-SE"/>
              </w:rPr>
            </w:pPr>
            <w:r>
              <w:rPr>
                <w:rFonts w:ascii="Times New Roman" w:hAnsi="Times New Roman"/>
                <w:noProof/>
                <w:sz w:val="20"/>
                <w:lang w:eastAsia="sv-SE"/>
              </w:rPr>
              <w:t xml:space="preserve">4b. Öka andelen i befolkningen i åldern 30–34 som har </w:t>
            </w:r>
            <w:r>
              <w:rPr>
                <w:rFonts w:ascii="Times New Roman" w:hAnsi="Times New Roman"/>
                <w:noProof/>
                <w:sz w:val="20"/>
                <w:lang w:eastAsia="sv-SE"/>
              </w:rPr>
              <w:t>avslutad högre utbildning till minst 40 %</w:t>
            </w:r>
          </w:p>
        </w:tc>
        <w:tc>
          <w:tcPr>
            <w:tcW w:w="1701" w:type="dxa"/>
          </w:tcPr>
          <w:p w:rsidR="008A54B8" w:rsidRDefault="00BD0CDB">
            <w:pPr>
              <w:jc w:val="center"/>
              <w:rPr>
                <w:rFonts w:ascii="Times New Roman" w:hAnsi="Times New Roman"/>
                <w:noProof/>
                <w:sz w:val="20"/>
                <w:szCs w:val="20"/>
                <w:lang w:eastAsia="sv-SE"/>
              </w:rPr>
            </w:pPr>
            <w:r>
              <w:rPr>
                <w:rFonts w:ascii="Times New Roman" w:hAnsi="Times New Roman"/>
                <w:noProof/>
                <w:sz w:val="20"/>
                <w:lang w:eastAsia="sv-SE"/>
              </w:rPr>
              <w:t>33,8 %</w:t>
            </w:r>
          </w:p>
        </w:tc>
        <w:tc>
          <w:tcPr>
            <w:tcW w:w="2268" w:type="dxa"/>
          </w:tcPr>
          <w:p w:rsidR="008A54B8" w:rsidRDefault="00BD0CDB">
            <w:pPr>
              <w:jc w:val="center"/>
              <w:rPr>
                <w:rFonts w:ascii="Times New Roman" w:hAnsi="Times New Roman"/>
                <w:noProof/>
                <w:sz w:val="20"/>
                <w:szCs w:val="20"/>
                <w:lang w:eastAsia="sv-SE"/>
              </w:rPr>
            </w:pPr>
            <w:r>
              <w:rPr>
                <w:rFonts w:ascii="Times New Roman" w:hAnsi="Times New Roman"/>
                <w:noProof/>
                <w:sz w:val="20"/>
                <w:lang w:eastAsia="sv-SE"/>
              </w:rPr>
              <w:t>37,9 % (2014)</w:t>
            </w:r>
          </w:p>
        </w:tc>
        <w:tc>
          <w:tcPr>
            <w:tcW w:w="2517" w:type="dxa"/>
          </w:tcPr>
          <w:p w:rsidR="008A54B8" w:rsidRDefault="00BD0CDB">
            <w:pPr>
              <w:jc w:val="center"/>
              <w:rPr>
                <w:rFonts w:ascii="Times New Roman" w:hAnsi="Times New Roman"/>
                <w:noProof/>
                <w:sz w:val="20"/>
                <w:szCs w:val="20"/>
                <w:lang w:eastAsia="sv-SE"/>
              </w:rPr>
            </w:pPr>
            <w:r>
              <w:rPr>
                <w:rFonts w:ascii="Times New Roman" w:hAnsi="Times New Roman"/>
                <w:noProof/>
                <w:sz w:val="20"/>
                <w:lang w:eastAsia="sv-SE"/>
              </w:rPr>
              <w:t>Målet nås troligtvis</w:t>
            </w:r>
          </w:p>
        </w:tc>
      </w:tr>
      <w:tr w:rsidR="008A54B8">
        <w:tc>
          <w:tcPr>
            <w:tcW w:w="2802" w:type="dxa"/>
          </w:tcPr>
          <w:p w:rsidR="008A54B8" w:rsidRDefault="00BD0CDB">
            <w:pPr>
              <w:jc w:val="center"/>
              <w:rPr>
                <w:rFonts w:ascii="Times New Roman" w:hAnsi="Times New Roman"/>
                <w:b/>
                <w:noProof/>
                <w:sz w:val="20"/>
                <w:szCs w:val="20"/>
                <w:lang w:eastAsia="sv-SE"/>
              </w:rPr>
            </w:pPr>
            <w:r>
              <w:rPr>
                <w:rFonts w:ascii="Times New Roman" w:hAnsi="Times New Roman"/>
                <w:noProof/>
                <w:sz w:val="20"/>
                <w:lang w:eastAsia="sv-SE"/>
              </w:rPr>
              <w:t>5. Lyfta minst 20 miljoner ur risk från fattigdom och social utestängning</w:t>
            </w:r>
          </w:p>
        </w:tc>
        <w:tc>
          <w:tcPr>
            <w:tcW w:w="1701" w:type="dxa"/>
          </w:tcPr>
          <w:p w:rsidR="008A54B8" w:rsidRDefault="00BD0CDB">
            <w:pPr>
              <w:jc w:val="center"/>
              <w:rPr>
                <w:rFonts w:ascii="Times New Roman" w:hAnsi="Times New Roman"/>
                <w:noProof/>
                <w:sz w:val="20"/>
                <w:szCs w:val="20"/>
                <w:lang w:eastAsia="sv-SE"/>
              </w:rPr>
            </w:pPr>
            <w:r>
              <w:rPr>
                <w:rFonts w:ascii="Times New Roman" w:hAnsi="Times New Roman"/>
                <w:noProof/>
                <w:sz w:val="20"/>
                <w:lang w:eastAsia="sv-SE"/>
              </w:rPr>
              <w:t>Ökning med 1,4 miljoner (jämfört med basåret 2008)</w:t>
            </w:r>
          </w:p>
        </w:tc>
        <w:tc>
          <w:tcPr>
            <w:tcW w:w="2268" w:type="dxa"/>
          </w:tcPr>
          <w:p w:rsidR="008A54B8" w:rsidRDefault="00BD0CDB">
            <w:pPr>
              <w:jc w:val="center"/>
              <w:rPr>
                <w:rFonts w:ascii="Times New Roman" w:hAnsi="Times New Roman"/>
                <w:noProof/>
                <w:sz w:val="20"/>
                <w:szCs w:val="20"/>
                <w:lang w:eastAsia="sv-SE"/>
              </w:rPr>
            </w:pPr>
            <w:r>
              <w:rPr>
                <w:rFonts w:ascii="Times New Roman" w:hAnsi="Times New Roman"/>
                <w:noProof/>
                <w:sz w:val="20"/>
                <w:lang w:eastAsia="sv-SE"/>
              </w:rPr>
              <w:t>Ökning med 4,5 miljoner (2014)</w:t>
            </w:r>
          </w:p>
        </w:tc>
        <w:tc>
          <w:tcPr>
            <w:tcW w:w="2517" w:type="dxa"/>
          </w:tcPr>
          <w:p w:rsidR="008A54B8" w:rsidRDefault="00BD0CDB">
            <w:pPr>
              <w:jc w:val="center"/>
              <w:rPr>
                <w:rFonts w:ascii="Times New Roman" w:hAnsi="Times New Roman"/>
                <w:noProof/>
                <w:sz w:val="20"/>
                <w:szCs w:val="20"/>
                <w:lang w:eastAsia="sv-SE"/>
              </w:rPr>
            </w:pPr>
            <w:r>
              <w:rPr>
                <w:rFonts w:ascii="Times New Roman" w:hAnsi="Times New Roman"/>
                <w:noProof/>
                <w:sz w:val="20"/>
                <w:lang w:eastAsia="sv-SE"/>
              </w:rPr>
              <w:t>Målet nås sanno</w:t>
            </w:r>
            <w:r>
              <w:rPr>
                <w:rFonts w:ascii="Times New Roman" w:hAnsi="Times New Roman"/>
                <w:noProof/>
                <w:sz w:val="20"/>
                <w:lang w:eastAsia="sv-SE"/>
              </w:rPr>
              <w:t>likt inte</w:t>
            </w:r>
          </w:p>
        </w:tc>
      </w:tr>
    </w:tbl>
    <w:p w:rsidR="008A54B8" w:rsidRDefault="008A54B8">
      <w:pPr>
        <w:rPr>
          <w:b/>
          <w:noProof/>
          <w:lang w:val="sv-SE" w:eastAsia="sv-SE" w:bidi="sv-SE"/>
        </w:rPr>
      </w:pPr>
    </w:p>
    <w:p w:rsidR="008A54B8" w:rsidRDefault="008A54B8">
      <w:pPr>
        <w:spacing w:before="120" w:after="120" w:line="240" w:lineRule="auto"/>
        <w:jc w:val="both"/>
        <w:rPr>
          <w:rFonts w:ascii="Times New Roman" w:hAnsi="Times New Roman"/>
          <w:noProof/>
          <w:lang w:val="sv-SE" w:eastAsia="sv-SE" w:bidi="sv-SE"/>
        </w:rPr>
      </w:pPr>
    </w:p>
    <w:p w:rsidR="008A54B8" w:rsidRDefault="008A54B8">
      <w:pPr>
        <w:spacing w:before="120" w:after="120" w:line="240" w:lineRule="auto"/>
        <w:jc w:val="center"/>
        <w:rPr>
          <w:noProof/>
          <w:lang w:val="sv-SE" w:eastAsia="sv-SE" w:bidi="sv-SE"/>
        </w:rPr>
      </w:pPr>
    </w:p>
    <w:p w:rsidR="008A54B8" w:rsidRDefault="008A54B8">
      <w:pPr>
        <w:spacing w:before="120" w:after="120" w:line="240" w:lineRule="auto"/>
        <w:ind w:left="3600"/>
        <w:rPr>
          <w:rFonts w:ascii="Times New Roman" w:hAnsi="Times New Roman"/>
          <w:noProof/>
          <w:lang w:val="sv-SE" w:eastAsia="sv-SE" w:bidi="sv-SE"/>
        </w:rPr>
      </w:pPr>
    </w:p>
    <w:p w:rsidR="008A54B8" w:rsidRDefault="008A54B8">
      <w:pPr>
        <w:spacing w:before="120" w:after="120" w:line="240" w:lineRule="auto"/>
        <w:ind w:left="3600"/>
        <w:rPr>
          <w:rFonts w:ascii="Times New Roman" w:hAnsi="Times New Roman"/>
          <w:noProof/>
          <w:lang w:val="sv-SE" w:eastAsia="sv-SE" w:bidi="sv-SE"/>
        </w:rPr>
      </w:pPr>
    </w:p>
    <w:p w:rsidR="008A54B8" w:rsidRDefault="00BD0CDB">
      <w:pPr>
        <w:spacing w:before="120" w:after="120" w:line="240" w:lineRule="auto"/>
        <w:rPr>
          <w:rFonts w:ascii="Times New Roman" w:eastAsia="Times New Roman" w:hAnsi="Times New Roman"/>
          <w:b/>
          <w:smallCaps/>
          <w:noProof/>
          <w:sz w:val="24"/>
          <w:szCs w:val="20"/>
          <w:lang w:val="sv-SE" w:eastAsia="sv-SE" w:bidi="sv-SE"/>
        </w:rPr>
      </w:pPr>
      <w:r>
        <w:rPr>
          <w:noProof/>
          <w:lang w:val="sv-SE" w:eastAsia="sv-SE" w:bidi="sv-SE"/>
        </w:rPr>
        <w:br w:type="page"/>
      </w:r>
      <w:r>
        <w:rPr>
          <w:rFonts w:ascii="Times New Roman" w:hAnsi="Times New Roman"/>
          <w:b/>
          <w:smallCaps/>
          <w:noProof/>
          <w:sz w:val="24"/>
          <w:lang w:val="sv-SE" w:eastAsia="sv-SE" w:bidi="sv-SE"/>
        </w:rPr>
        <w:t xml:space="preserve"> Bilaga 3 – Resultaten från de fördjupade granskningarna av medlemsländerna</w:t>
      </w:r>
    </w:p>
    <w:p w:rsidR="008A54B8" w:rsidRDefault="008A54B8">
      <w:pPr>
        <w:spacing w:after="0" w:line="240" w:lineRule="auto"/>
        <w:jc w:val="both"/>
        <w:rPr>
          <w:rFonts w:ascii="Times New Roman" w:hAnsi="Times New Roman"/>
          <w:b/>
          <w:noProof/>
          <w:sz w:val="24"/>
          <w:szCs w:val="24"/>
          <w:lang w:val="sv-SE" w:eastAsia="sv-SE" w:bidi="sv-SE"/>
        </w:rPr>
      </w:pPr>
    </w:p>
    <w:p w:rsidR="008A54B8" w:rsidRDefault="00BD0CDB">
      <w:pPr>
        <w:spacing w:after="0" w:line="240" w:lineRule="auto"/>
        <w:jc w:val="both"/>
        <w:rPr>
          <w:rFonts w:ascii="Times New Roman" w:eastAsiaTheme="minorHAnsi" w:hAnsi="Times New Roman"/>
          <w:noProof/>
          <w:sz w:val="24"/>
          <w:szCs w:val="24"/>
          <w:lang w:val="sv-SE" w:eastAsia="sv-SE" w:bidi="sv-SE"/>
        </w:rPr>
      </w:pPr>
      <w:r>
        <w:rPr>
          <w:rFonts w:ascii="Times New Roman" w:eastAsiaTheme="minorHAnsi" w:hAnsi="Times New Roman"/>
          <w:b/>
          <w:noProof/>
          <w:sz w:val="24"/>
          <w:szCs w:val="24"/>
          <w:lang w:val="sv-SE" w:eastAsia="sv-SE" w:bidi="sv-SE"/>
        </w:rPr>
        <w:t xml:space="preserve">Belgien </w:t>
      </w:r>
      <w:r>
        <w:rPr>
          <w:rFonts w:ascii="Times New Roman" w:eastAsiaTheme="minorHAnsi" w:hAnsi="Times New Roman"/>
          <w:noProof/>
          <w:sz w:val="24"/>
          <w:szCs w:val="24"/>
          <w:lang w:val="sv-SE" w:eastAsia="sv-SE" w:bidi="sv-SE"/>
        </w:rPr>
        <w:t xml:space="preserve">har inga makroekonomiska obalanser. Ett svagt export- och konkurrenskraftsresultat tillsammans med hög offentlig skuldsättning kan vara riskfyllt framöver. Den senaste utvecklingen pekar emellertid på en stabilisering av exportmarknadsandelen och minskade </w:t>
      </w:r>
      <w:r>
        <w:rPr>
          <w:rFonts w:ascii="Times New Roman" w:eastAsiaTheme="minorHAnsi" w:hAnsi="Times New Roman"/>
          <w:noProof/>
          <w:sz w:val="24"/>
          <w:szCs w:val="24"/>
          <w:lang w:val="sv-SE" w:eastAsia="sv-SE" w:bidi="sv-SE"/>
        </w:rPr>
        <w:t>löneökningar. Trots att den offentliga skuldsättningen är hög och inte sjunker på något stabilt sätt, vilket är en svaghet, verkar de kortsiktiga riskerna ändå vara under kontroll. Nya politiska åtgärder omfattar en återhållsam löneutveckling och sänkta so</w:t>
      </w:r>
      <w:r>
        <w:rPr>
          <w:rFonts w:ascii="Times New Roman" w:eastAsiaTheme="minorHAnsi" w:hAnsi="Times New Roman"/>
          <w:noProof/>
          <w:sz w:val="24"/>
          <w:szCs w:val="24"/>
          <w:lang w:val="sv-SE" w:eastAsia="sv-SE" w:bidi="sv-SE"/>
        </w:rPr>
        <w:t>ciala avgifter. För att se till att korrigeringen blir varaktig krävs det strukturreformer av lönebildningsmodellen. Den finanspolitiska insats som krävs för att säkra de offentliga finansernas långsiktiga hållbarhet är med tanke på den dämpade nominella t</w:t>
      </w:r>
      <w:r>
        <w:rPr>
          <w:rFonts w:ascii="Times New Roman" w:eastAsiaTheme="minorHAnsi" w:hAnsi="Times New Roman"/>
          <w:noProof/>
          <w:sz w:val="24"/>
          <w:szCs w:val="24"/>
          <w:lang w:val="sv-SE" w:eastAsia="sv-SE" w:bidi="sv-SE"/>
        </w:rPr>
        <w:t xml:space="preserve">illväxten mer krävande. </w:t>
      </w:r>
    </w:p>
    <w:p w:rsidR="008A54B8" w:rsidRDefault="008A54B8">
      <w:pPr>
        <w:spacing w:after="0" w:line="240" w:lineRule="auto"/>
        <w:jc w:val="both"/>
        <w:rPr>
          <w:rFonts w:ascii="Times New Roman" w:eastAsiaTheme="minorHAnsi" w:hAnsi="Times New Roman"/>
          <w:noProof/>
          <w:sz w:val="24"/>
          <w:szCs w:val="24"/>
          <w:lang w:val="sv-SE" w:eastAsia="sv-SE" w:bidi="sv-SE"/>
        </w:rPr>
      </w:pPr>
    </w:p>
    <w:p w:rsidR="008A54B8" w:rsidRDefault="00BD0CDB">
      <w:pPr>
        <w:spacing w:after="0" w:line="240" w:lineRule="auto"/>
        <w:jc w:val="both"/>
        <w:rPr>
          <w:rFonts w:ascii="Times New Roman" w:hAnsi="Times New Roman"/>
          <w:noProof/>
          <w:sz w:val="24"/>
          <w:szCs w:val="24"/>
          <w:lang w:val="sv-SE" w:eastAsia="sv-SE" w:bidi="sv-SE"/>
        </w:rPr>
      </w:pPr>
      <w:r>
        <w:rPr>
          <w:rFonts w:ascii="Times New Roman" w:hAnsi="Times New Roman"/>
          <w:b/>
          <w:noProof/>
          <w:sz w:val="24"/>
          <w:lang w:val="sv-SE" w:eastAsia="sv-SE" w:bidi="sv-SE"/>
        </w:rPr>
        <w:t xml:space="preserve">Bulgarien </w:t>
      </w:r>
      <w:r>
        <w:rPr>
          <w:rFonts w:ascii="Times New Roman" w:hAnsi="Times New Roman"/>
          <w:noProof/>
          <w:sz w:val="24"/>
          <w:lang w:val="sv-SE" w:eastAsia="sv-SE" w:bidi="sv-SE"/>
        </w:rPr>
        <w:t>har alltför stora makroekonomiska obalanser. Ekonomin kännetecknas av fortsatta svagheter i den finansiella sektorn och hög skuldsättning i företagssektorn mot bakgrund av hög arbetslöshet. Även om likvidititen och lönsa</w:t>
      </w:r>
      <w:r>
        <w:rPr>
          <w:rFonts w:ascii="Times New Roman" w:hAnsi="Times New Roman"/>
          <w:noProof/>
          <w:sz w:val="24"/>
          <w:lang w:val="sv-SE" w:eastAsia="sv-SE" w:bidi="sv-SE"/>
        </w:rPr>
        <w:t>mheten i banksektorn har förbättrats, kan en mer gedigen bedömning av sektorn bara grunda sig på stresstester och den kommande översynen av tillgångarnas kvalitet. Långtidsarbetslösheten har stigit ytterligare mot bakgrund av korrigeringsproblem med koppli</w:t>
      </w:r>
      <w:r>
        <w:rPr>
          <w:rFonts w:ascii="Times New Roman" w:hAnsi="Times New Roman"/>
          <w:noProof/>
          <w:sz w:val="24"/>
          <w:lang w:val="sv-SE" w:eastAsia="sv-SE" w:bidi="sv-SE"/>
        </w:rPr>
        <w:t>ng till friktioner på arbetsmarknaden, medan kompetensglapp hämmar framväxten av nya jobb. Om vi tittar framåt har planen att reformera och utveckla banktillsynen ännu inte genomförts helt och hållet och det är en utmaning att effektivisera insolvensförfar</w:t>
      </w:r>
      <w:r>
        <w:rPr>
          <w:rFonts w:ascii="Times New Roman" w:hAnsi="Times New Roman"/>
          <w:noProof/>
          <w:sz w:val="24"/>
          <w:lang w:val="sv-SE" w:eastAsia="sv-SE" w:bidi="sv-SE"/>
        </w:rPr>
        <w:t>anden, men lagförslag håller på att utarbetas. Det finns dessutom sårbarheter i icke-banksektorn som måste lösas.</w:t>
      </w:r>
    </w:p>
    <w:p w:rsidR="008A54B8" w:rsidRDefault="008A54B8">
      <w:pPr>
        <w:spacing w:after="0" w:line="240" w:lineRule="auto"/>
        <w:jc w:val="both"/>
        <w:rPr>
          <w:rFonts w:ascii="Times New Roman" w:hAnsi="Times New Roman"/>
          <w:noProof/>
          <w:sz w:val="24"/>
          <w:szCs w:val="24"/>
          <w:lang w:val="sv-SE" w:eastAsia="sv-SE" w:bidi="sv-SE"/>
        </w:rPr>
      </w:pPr>
    </w:p>
    <w:p w:rsidR="008A54B8" w:rsidRDefault="00BD0CDB">
      <w:pPr>
        <w:spacing w:after="0" w:line="240" w:lineRule="auto"/>
        <w:jc w:val="both"/>
        <w:rPr>
          <w:rFonts w:ascii="Times New Roman" w:hAnsi="Times New Roman"/>
          <w:noProof/>
          <w:sz w:val="24"/>
          <w:szCs w:val="24"/>
          <w:lang w:val="sv-SE" w:eastAsia="sv-SE" w:bidi="sv-SE"/>
        </w:rPr>
      </w:pPr>
      <w:r>
        <w:rPr>
          <w:rFonts w:ascii="Times New Roman" w:hAnsi="Times New Roman"/>
          <w:b/>
          <w:noProof/>
          <w:sz w:val="24"/>
          <w:lang w:val="sv-SE" w:eastAsia="sv-SE" w:bidi="sv-SE"/>
        </w:rPr>
        <w:t xml:space="preserve">Tyskland </w:t>
      </w:r>
      <w:r>
        <w:rPr>
          <w:rFonts w:ascii="Times New Roman" w:hAnsi="Times New Roman"/>
          <w:noProof/>
          <w:sz w:val="24"/>
          <w:lang w:val="sv-SE" w:eastAsia="sv-SE" w:bidi="sv-SE"/>
        </w:rPr>
        <w:t>har makroekonomiska obalanser. Det stora och ihållande bytesbalansöverskottet är av internationell relevans och speglar ett mycket h</w:t>
      </w:r>
      <w:r>
        <w:rPr>
          <w:rFonts w:ascii="Times New Roman" w:hAnsi="Times New Roman"/>
          <w:noProof/>
          <w:sz w:val="24"/>
          <w:lang w:val="sv-SE" w:eastAsia="sv-SE" w:bidi="sv-SE"/>
        </w:rPr>
        <w:t>ögt sparande och dämpade investeringar i både den privata och den offentliga sektorn. Svaga inhemska investeringar hämmar den potentiella tillväxten och det starka beroendet av extern efterfrågan medför makroekonomiska risker mot bakgrund av dämpad utländs</w:t>
      </w:r>
      <w:r>
        <w:rPr>
          <w:rFonts w:ascii="Times New Roman" w:hAnsi="Times New Roman"/>
          <w:noProof/>
          <w:sz w:val="24"/>
          <w:lang w:val="sv-SE" w:eastAsia="sv-SE" w:bidi="sv-SE"/>
        </w:rPr>
        <w:t>k efterfrågan. Medan den privata konsumtionen har ökat något, verkar den låga investeringstakten vara djupt rotad. De offentliga investeringarna har fallit, trots det tillgängliga finanspolitiska utrymmet och gynnsamma finansieringsvillkor, och de åtgärder</w:t>
      </w:r>
      <w:r>
        <w:rPr>
          <w:rFonts w:ascii="Times New Roman" w:hAnsi="Times New Roman"/>
          <w:noProof/>
          <w:sz w:val="24"/>
          <w:lang w:val="sv-SE" w:eastAsia="sv-SE" w:bidi="sv-SE"/>
        </w:rPr>
        <w:t xml:space="preserve"> som vidtagits för att öka dem är inte tillräckliga för att rätta till investeringsgapet för infrastruktur. Det krävs ytterligare åtgärder för att förbättra villkoren för privata investeringar, t.ex. genom att reformera tjänstesektorn och effektivisera ska</w:t>
      </w:r>
      <w:r>
        <w:rPr>
          <w:rFonts w:ascii="Times New Roman" w:hAnsi="Times New Roman"/>
          <w:noProof/>
          <w:sz w:val="24"/>
          <w:lang w:val="sv-SE" w:eastAsia="sv-SE" w:bidi="sv-SE"/>
        </w:rPr>
        <w:t>ttesystemet.</w:t>
      </w:r>
    </w:p>
    <w:p w:rsidR="008A54B8" w:rsidRDefault="008A54B8">
      <w:pPr>
        <w:spacing w:after="0" w:line="240" w:lineRule="auto"/>
        <w:jc w:val="both"/>
        <w:rPr>
          <w:rFonts w:ascii="Times New Roman" w:hAnsi="Times New Roman"/>
          <w:noProof/>
          <w:sz w:val="24"/>
          <w:szCs w:val="24"/>
          <w:lang w:val="sv-SE" w:eastAsia="sv-SE" w:bidi="sv-SE"/>
        </w:rPr>
      </w:pPr>
    </w:p>
    <w:p w:rsidR="008A54B8" w:rsidRDefault="00BD0CDB">
      <w:pPr>
        <w:spacing w:after="0" w:line="240" w:lineRule="auto"/>
        <w:jc w:val="both"/>
        <w:rPr>
          <w:rFonts w:ascii="Times New Roman" w:hAnsi="Times New Roman"/>
          <w:noProof/>
          <w:sz w:val="24"/>
          <w:szCs w:val="24"/>
          <w:lang w:val="sv-SE" w:eastAsia="sv-SE" w:bidi="sv-SE"/>
        </w:rPr>
      </w:pPr>
      <w:r>
        <w:rPr>
          <w:rFonts w:ascii="Times New Roman" w:hAnsi="Times New Roman"/>
          <w:b/>
          <w:noProof/>
          <w:sz w:val="24"/>
          <w:lang w:val="sv-SE" w:eastAsia="sv-SE" w:bidi="sv-SE"/>
        </w:rPr>
        <w:t xml:space="preserve">Estland </w:t>
      </w:r>
      <w:r>
        <w:rPr>
          <w:rFonts w:ascii="Times New Roman" w:hAnsi="Times New Roman"/>
          <w:noProof/>
          <w:sz w:val="24"/>
          <w:lang w:val="sv-SE" w:eastAsia="sv-SE" w:bidi="sv-SE"/>
        </w:rPr>
        <w:t>har inga makroekonomiska obalanser. Den stigande enhetsarbetskostnaden kan exponera landet för konkurrenskraftsförluster, men de ska enligt prognoserna bli måttliga mot bakgrund av produktivitetsökningar och fallande reallöneökningar.</w:t>
      </w:r>
      <w:r>
        <w:rPr>
          <w:rFonts w:ascii="Times New Roman" w:hAnsi="Times New Roman"/>
          <w:noProof/>
          <w:sz w:val="24"/>
          <w:lang w:val="sv-SE" w:eastAsia="sv-SE" w:bidi="sv-SE"/>
        </w:rPr>
        <w:t xml:space="preserve"> Bostadspriserna har ökat markant, men i linje med inkomstutvecklingen, och utbudet på bostäder väntas anpassa sig till efterfrågan som återhämtat sig. Ytterligare prisökningar kan dock utgöra en risk för den reala ekonomin, vilket måste uppmärksammas. Pol</w:t>
      </w:r>
      <w:r>
        <w:rPr>
          <w:rFonts w:ascii="Times New Roman" w:hAnsi="Times New Roman"/>
          <w:noProof/>
          <w:sz w:val="24"/>
          <w:lang w:val="sv-SE" w:eastAsia="sv-SE" w:bidi="sv-SE"/>
        </w:rPr>
        <w:t>itiska insatser för att stärka produktiviteten och den export som har ett högre förädlingsvärde måste påskyndas. Insatser för att öka arbetskraftsutbudet och lätta på lönetrycket är ännu i ett tidigt stadium. Flera åtgärder för makroekonomisk tillsyn med e</w:t>
      </w:r>
      <w:r>
        <w:rPr>
          <w:rFonts w:ascii="Times New Roman" w:hAnsi="Times New Roman"/>
          <w:noProof/>
          <w:sz w:val="24"/>
          <w:lang w:val="sv-SE" w:eastAsia="sv-SE" w:bidi="sv-SE"/>
        </w:rPr>
        <w:t>n effekt på bostadspriserna har genomfört men har ännu inte utvärderats.</w:t>
      </w:r>
    </w:p>
    <w:p w:rsidR="008A54B8" w:rsidRDefault="008A54B8">
      <w:pPr>
        <w:spacing w:after="0" w:line="240" w:lineRule="auto"/>
        <w:jc w:val="both"/>
        <w:rPr>
          <w:rFonts w:ascii="Times New Roman" w:hAnsi="Times New Roman"/>
          <w:noProof/>
          <w:sz w:val="24"/>
          <w:szCs w:val="24"/>
          <w:lang w:val="sv-SE" w:eastAsia="sv-SE" w:bidi="sv-SE"/>
        </w:rPr>
      </w:pPr>
    </w:p>
    <w:p w:rsidR="008A54B8" w:rsidRDefault="00BD0CDB">
      <w:pPr>
        <w:spacing w:after="0" w:line="240" w:lineRule="auto"/>
        <w:jc w:val="both"/>
        <w:rPr>
          <w:rFonts w:ascii="Times New Roman" w:hAnsi="Times New Roman"/>
          <w:noProof/>
          <w:sz w:val="24"/>
          <w:szCs w:val="24"/>
          <w:lang w:val="sv-SE" w:eastAsia="sv-SE" w:bidi="sv-SE"/>
        </w:rPr>
      </w:pPr>
      <w:r>
        <w:rPr>
          <w:rFonts w:ascii="Times New Roman" w:hAnsi="Times New Roman"/>
          <w:b/>
          <w:noProof/>
          <w:sz w:val="24"/>
          <w:lang w:val="sv-SE" w:eastAsia="sv-SE" w:bidi="sv-SE"/>
        </w:rPr>
        <w:t>Irland</w:t>
      </w:r>
      <w:r>
        <w:rPr>
          <w:rFonts w:ascii="Times New Roman" w:hAnsi="Times New Roman"/>
          <w:noProof/>
          <w:sz w:val="24"/>
          <w:lang w:val="sv-SE" w:eastAsia="sv-SE" w:bidi="sv-SE"/>
        </w:rPr>
        <w:t xml:space="preserve"> har makroekonomiska obalanser. Stora stockar av nettoutlandskulder och av offentliga och privata skulder utgör sårbarheter, trots förbättringar. Nettoutlandsskulderna är snabb</w:t>
      </w:r>
      <w:r>
        <w:rPr>
          <w:rFonts w:ascii="Times New Roman" w:hAnsi="Times New Roman"/>
          <w:noProof/>
          <w:sz w:val="24"/>
          <w:lang w:val="sv-SE" w:eastAsia="sv-SE" w:bidi="sv-SE"/>
        </w:rPr>
        <w:t>t på väg neråt till följd av ett stort bytesbalansöverskott och stärkt konkurrenskraft. Den offentliga och privata skuldsättningen är på väg neråt, mot bakgrund av de gynnsamma tillväxtförhållandena. Bankerna har återkapitaliserats och deras lönsamhet håll</w:t>
      </w:r>
      <w:r>
        <w:rPr>
          <w:rFonts w:ascii="Times New Roman" w:hAnsi="Times New Roman"/>
          <w:noProof/>
          <w:sz w:val="24"/>
          <w:lang w:val="sv-SE" w:eastAsia="sv-SE" w:bidi="sv-SE"/>
        </w:rPr>
        <w:t>er på att förbättras. Antalet nödlidande lån minskar från höga nivåer. Trots att bostadspriserna återhämtade sig mycket under 2014, finns inga tydliga bevis på övervärdering. Ekonomin är dock ännu utsatt för potentiellt stora konjunktursvängningar och exte</w:t>
      </w:r>
      <w:r>
        <w:rPr>
          <w:rFonts w:ascii="Times New Roman" w:hAnsi="Times New Roman"/>
          <w:noProof/>
          <w:sz w:val="24"/>
          <w:lang w:val="sv-SE" w:eastAsia="sv-SE" w:bidi="sv-SE"/>
        </w:rPr>
        <w:t>rna chocker. Ett brett spektrum av politiska åtgärder har vidtagits, framför allt under programmet för finansiellt stöd, för att ta itu med de viktigaste utmaningarna i termer av återställande av banksektorn, ramverket för insolvens, bostadsmarknaden och f</w:t>
      </w:r>
      <w:r>
        <w:rPr>
          <w:rFonts w:ascii="Times New Roman" w:hAnsi="Times New Roman"/>
          <w:noProof/>
          <w:sz w:val="24"/>
          <w:lang w:val="sv-SE" w:eastAsia="sv-SE" w:bidi="sv-SE"/>
        </w:rPr>
        <w:t>inanspolitisk hållbarhet.</w:t>
      </w:r>
    </w:p>
    <w:p w:rsidR="008A54B8" w:rsidRDefault="008A54B8">
      <w:pPr>
        <w:spacing w:after="0" w:line="240" w:lineRule="auto"/>
        <w:jc w:val="both"/>
        <w:rPr>
          <w:rFonts w:ascii="Times New Roman" w:hAnsi="Times New Roman"/>
          <w:noProof/>
          <w:sz w:val="24"/>
          <w:szCs w:val="24"/>
          <w:lang w:val="sv-SE" w:eastAsia="sv-SE" w:bidi="sv-SE"/>
        </w:rPr>
      </w:pPr>
    </w:p>
    <w:p w:rsidR="008A54B8" w:rsidRDefault="00BD0CDB">
      <w:pPr>
        <w:spacing w:after="0" w:line="240" w:lineRule="auto"/>
        <w:jc w:val="both"/>
        <w:rPr>
          <w:rFonts w:ascii="Times New Roman" w:hAnsi="Times New Roman"/>
          <w:noProof/>
          <w:sz w:val="24"/>
          <w:szCs w:val="24"/>
          <w:lang w:val="sv-SE" w:eastAsia="sv-SE" w:bidi="sv-SE"/>
        </w:rPr>
      </w:pPr>
      <w:r>
        <w:rPr>
          <w:rFonts w:ascii="Times New Roman" w:hAnsi="Times New Roman"/>
          <w:b/>
          <w:noProof/>
          <w:sz w:val="24"/>
          <w:lang w:val="sv-SE" w:eastAsia="sv-SE" w:bidi="sv-SE"/>
        </w:rPr>
        <w:t xml:space="preserve">Spanien </w:t>
      </w:r>
      <w:r>
        <w:rPr>
          <w:rFonts w:ascii="Times New Roman" w:hAnsi="Times New Roman"/>
          <w:noProof/>
          <w:sz w:val="24"/>
          <w:lang w:val="sv-SE" w:eastAsia="sv-SE" w:bidi="sv-SE"/>
        </w:rPr>
        <w:t>har makroekonomiska obalanser</w:t>
      </w:r>
      <w:r>
        <w:rPr>
          <w:rFonts w:ascii="Times New Roman" w:hAnsi="Times New Roman"/>
          <w:i/>
          <w:noProof/>
          <w:sz w:val="24"/>
          <w:lang w:val="sv-SE" w:eastAsia="sv-SE" w:bidi="sv-SE"/>
        </w:rPr>
        <w:t>.</w:t>
      </w:r>
      <w:r>
        <w:rPr>
          <w:rFonts w:ascii="Times New Roman" w:hAnsi="Times New Roman"/>
          <w:noProof/>
          <w:sz w:val="24"/>
          <w:lang w:val="sv-SE" w:eastAsia="sv-SE" w:bidi="sv-SE"/>
        </w:rPr>
        <w:t xml:space="preserve"> Stora obalanser i form av externa och inhemska skulder, både offentliga och privata, fortsätter att utgöra sårbarheter mot bakgrund av hög arbetslöshet och sårbarheterna är av internationell relevans. Bytesbalansen och den kostnadsrelaterade konkurrenskra</w:t>
      </w:r>
      <w:r>
        <w:rPr>
          <w:rFonts w:ascii="Times New Roman" w:hAnsi="Times New Roman"/>
          <w:noProof/>
          <w:sz w:val="24"/>
          <w:lang w:val="sv-SE" w:eastAsia="sv-SE" w:bidi="sv-SE"/>
        </w:rPr>
        <w:t>ften håller på att förbättras men nettoutlandskulderna ska enligt prognoserna inte nå säkra nivåer inom kort. Skuldsaneringen i den privata sektorn är på rätt väg och får nu stöd av gynnsamma tillväxtförhållanden, medan den offentliga skuldsättningen forts</w:t>
      </w:r>
      <w:r>
        <w:rPr>
          <w:rFonts w:ascii="Times New Roman" w:hAnsi="Times New Roman"/>
          <w:noProof/>
          <w:sz w:val="24"/>
          <w:lang w:val="sv-SE" w:eastAsia="sv-SE" w:bidi="sv-SE"/>
        </w:rPr>
        <w:t>ätter att öka. Åtgärder har vidtagit inom den finansiella sektorn och i fråga om ramverket för företags och enskildas insolvens och lagstiftningen om anställningsskydd. Det krävs dock ytterligare åtgärder, särskilt i fråga om systemet för lönebildning, inn</w:t>
      </w:r>
      <w:r>
        <w:rPr>
          <w:rFonts w:ascii="Times New Roman" w:hAnsi="Times New Roman"/>
          <w:noProof/>
          <w:sz w:val="24"/>
          <w:lang w:val="sv-SE" w:eastAsia="sv-SE" w:bidi="sv-SE"/>
        </w:rPr>
        <w:t xml:space="preserve">ovation och kompentens samt efterlevnaden av stabilitets- och tillväxtpakten. </w:t>
      </w:r>
    </w:p>
    <w:p w:rsidR="008A54B8" w:rsidRDefault="008A54B8">
      <w:pPr>
        <w:spacing w:after="0" w:line="240" w:lineRule="auto"/>
        <w:jc w:val="both"/>
        <w:rPr>
          <w:rFonts w:ascii="Times New Roman" w:hAnsi="Times New Roman"/>
          <w:noProof/>
          <w:sz w:val="24"/>
          <w:szCs w:val="24"/>
          <w:lang w:val="sv-SE" w:eastAsia="sv-SE" w:bidi="sv-SE"/>
        </w:rPr>
      </w:pPr>
    </w:p>
    <w:p w:rsidR="008A54B8" w:rsidRDefault="00BD0CDB">
      <w:pPr>
        <w:spacing w:after="0" w:line="240" w:lineRule="auto"/>
        <w:jc w:val="both"/>
        <w:rPr>
          <w:rFonts w:ascii="Times New Roman" w:hAnsi="Times New Roman"/>
          <w:noProof/>
          <w:sz w:val="24"/>
          <w:szCs w:val="24"/>
          <w:lang w:val="sv-SE" w:eastAsia="sv-SE" w:bidi="sv-SE"/>
        </w:rPr>
      </w:pPr>
      <w:r>
        <w:rPr>
          <w:rFonts w:ascii="Times New Roman" w:hAnsi="Times New Roman"/>
          <w:b/>
          <w:noProof/>
          <w:sz w:val="24"/>
          <w:lang w:val="sv-SE" w:eastAsia="sv-SE" w:bidi="sv-SE"/>
        </w:rPr>
        <w:t xml:space="preserve">Frankrike </w:t>
      </w:r>
      <w:r>
        <w:rPr>
          <w:rFonts w:ascii="Times New Roman" w:hAnsi="Times New Roman"/>
          <w:noProof/>
          <w:sz w:val="24"/>
          <w:lang w:val="sv-SE" w:eastAsia="sv-SE" w:bidi="sv-SE"/>
        </w:rPr>
        <w:t xml:space="preserve">har alltför stora makroekonomiska obalanser. Stor offentlig skuldsättning tillsammans med fallande produktivitet och konkurrenskraft kan innebära framtida risker med </w:t>
      </w:r>
      <w:r>
        <w:rPr>
          <w:rFonts w:ascii="Times New Roman" w:hAnsi="Times New Roman"/>
          <w:noProof/>
          <w:sz w:val="24"/>
          <w:lang w:val="sv-SE" w:eastAsia="sv-SE" w:bidi="sv-SE"/>
        </w:rPr>
        <w:t>relevans för EU. Den offentliga skuldsättningen fortsätter att öka och den senaste utvecklingen tyder inte på någon tydlig positiv utveckling för konkurrenskraften och produktiviteten. Även om vinstmarginalerna har ökat väntas ingen återhämtning för invest</w:t>
      </w:r>
      <w:r>
        <w:rPr>
          <w:rFonts w:ascii="Times New Roman" w:hAnsi="Times New Roman"/>
          <w:noProof/>
          <w:sz w:val="24"/>
          <w:lang w:val="sv-SE" w:eastAsia="sv-SE" w:bidi="sv-SE"/>
        </w:rPr>
        <w:t xml:space="preserve">eringarna före 2017. Politiska åtgärder har vidtagits för att minska skattekilen på arbete och fler politiska åtaganden har nyligen gjorts. Men ett effektivt genomförande av strukturreformerna är mycket viktigt, däribland för systemet för lönebildning och </w:t>
      </w:r>
      <w:r>
        <w:rPr>
          <w:rFonts w:ascii="Times New Roman" w:hAnsi="Times New Roman"/>
          <w:noProof/>
          <w:sz w:val="24"/>
          <w:lang w:val="sv-SE" w:eastAsia="sv-SE" w:bidi="sv-SE"/>
        </w:rPr>
        <w:t>lagstiftningshinder för företagens tillväxt, samtidigt som man måste visa större ambition när man ser över utgifterna.</w:t>
      </w:r>
    </w:p>
    <w:p w:rsidR="008A54B8" w:rsidRDefault="008A54B8">
      <w:pPr>
        <w:spacing w:after="0" w:line="240" w:lineRule="auto"/>
        <w:jc w:val="both"/>
        <w:rPr>
          <w:rFonts w:ascii="Times New Roman" w:hAnsi="Times New Roman"/>
          <w:noProof/>
          <w:sz w:val="24"/>
          <w:szCs w:val="24"/>
          <w:lang w:val="sv-SE" w:eastAsia="sv-SE" w:bidi="sv-SE"/>
        </w:rPr>
      </w:pPr>
    </w:p>
    <w:p w:rsidR="008A54B8" w:rsidRDefault="00BD0CDB">
      <w:pPr>
        <w:spacing w:after="0" w:line="240" w:lineRule="auto"/>
        <w:jc w:val="both"/>
        <w:rPr>
          <w:rFonts w:ascii="Times New Roman" w:hAnsi="Times New Roman"/>
          <w:noProof/>
          <w:sz w:val="24"/>
          <w:szCs w:val="24"/>
          <w:lang w:val="sv-SE" w:eastAsia="sv-SE" w:bidi="sv-SE"/>
        </w:rPr>
      </w:pPr>
      <w:r>
        <w:rPr>
          <w:rFonts w:ascii="Times New Roman" w:hAnsi="Times New Roman"/>
          <w:b/>
          <w:noProof/>
          <w:sz w:val="24"/>
          <w:lang w:val="sv-SE" w:eastAsia="sv-SE" w:bidi="sv-SE"/>
        </w:rPr>
        <w:t xml:space="preserve">Kroatien </w:t>
      </w:r>
      <w:r>
        <w:rPr>
          <w:rFonts w:ascii="Times New Roman" w:hAnsi="Times New Roman"/>
          <w:noProof/>
          <w:sz w:val="24"/>
          <w:lang w:val="sv-SE" w:eastAsia="sv-SE" w:bidi="sv-SE"/>
        </w:rPr>
        <w:t>har alltför stora makroekonomiska obalanser. Sårbarheterna hänger samman med hög skuldsättning i den offentliga sektorn och för</w:t>
      </w:r>
      <w:r>
        <w:rPr>
          <w:rFonts w:ascii="Times New Roman" w:hAnsi="Times New Roman"/>
          <w:noProof/>
          <w:sz w:val="24"/>
          <w:lang w:val="sv-SE" w:eastAsia="sv-SE" w:bidi="sv-SE"/>
        </w:rPr>
        <w:t>etagssektorn och stora utlandsskulder mot bakgrund av hög arbetslöshet. Den måttliga ekonomiska återhämtningen kan underlätta skuldsaneringen i företagssektorn, och den förbättrade bytesbalansen bör bidra till minskade utlandsskulder, men den offentliga sk</w:t>
      </w:r>
      <w:r>
        <w:rPr>
          <w:rFonts w:ascii="Times New Roman" w:hAnsi="Times New Roman"/>
          <w:noProof/>
          <w:sz w:val="24"/>
          <w:lang w:val="sv-SE" w:eastAsia="sv-SE" w:bidi="sv-SE"/>
        </w:rPr>
        <w:t>uldsättningen väntas fortsätta att öka. I banksektorn finns ännu många nödlidande lån och lönsamheten är dålig. Det krävs ytterligare konsolidering och förbättringar av den finanspolitiska styrningen. Fastän det har vidtagit åtgärder för att förbättra inso</w:t>
      </w:r>
      <w:r>
        <w:rPr>
          <w:rFonts w:ascii="Times New Roman" w:hAnsi="Times New Roman"/>
          <w:noProof/>
          <w:sz w:val="24"/>
          <w:lang w:val="sv-SE" w:eastAsia="sv-SE" w:bidi="sv-SE"/>
        </w:rPr>
        <w:t xml:space="preserve">lvensreglerna och öka flexibiliteten på arbetsmarknaden, finns ännu stora brister i politiken som kräver specifika politiska åtgärder, i synnerhet vad gäller styrningen av statsägda företag, offentlig förvaltning och avveckling av nödlidande lån. </w:t>
      </w:r>
    </w:p>
    <w:p w:rsidR="008A54B8" w:rsidRDefault="008A54B8">
      <w:pPr>
        <w:spacing w:after="0" w:line="240" w:lineRule="auto"/>
        <w:jc w:val="both"/>
        <w:rPr>
          <w:rFonts w:ascii="Times New Roman" w:hAnsi="Times New Roman"/>
          <w:noProof/>
          <w:sz w:val="24"/>
          <w:szCs w:val="24"/>
          <w:lang w:val="sv-SE" w:eastAsia="sv-SE" w:bidi="sv-SE"/>
        </w:rPr>
      </w:pPr>
    </w:p>
    <w:p w:rsidR="008A54B8" w:rsidRDefault="00BD0CDB">
      <w:pPr>
        <w:spacing w:after="0" w:line="240" w:lineRule="auto"/>
        <w:jc w:val="both"/>
        <w:rPr>
          <w:rFonts w:ascii="Times New Roman" w:hAnsi="Times New Roman"/>
          <w:noProof/>
          <w:sz w:val="24"/>
          <w:szCs w:val="24"/>
          <w:lang w:val="sv-SE" w:eastAsia="sv-SE" w:bidi="sv-SE"/>
        </w:rPr>
      </w:pPr>
      <w:r>
        <w:rPr>
          <w:rFonts w:ascii="Times New Roman" w:hAnsi="Times New Roman"/>
          <w:b/>
          <w:noProof/>
          <w:sz w:val="24"/>
          <w:lang w:val="sv-SE" w:eastAsia="sv-SE" w:bidi="sv-SE"/>
        </w:rPr>
        <w:t>Italien</w:t>
      </w:r>
      <w:r>
        <w:rPr>
          <w:rFonts w:ascii="Times New Roman" w:hAnsi="Times New Roman"/>
          <w:b/>
          <w:noProof/>
          <w:sz w:val="24"/>
          <w:lang w:val="sv-SE" w:eastAsia="sv-SE" w:bidi="sv-SE"/>
        </w:rPr>
        <w:t xml:space="preserve"> </w:t>
      </w:r>
      <w:r>
        <w:rPr>
          <w:rFonts w:ascii="Times New Roman" w:hAnsi="Times New Roman"/>
          <w:noProof/>
          <w:sz w:val="24"/>
          <w:lang w:val="sv-SE" w:eastAsia="sv-SE" w:bidi="sv-SE"/>
        </w:rPr>
        <w:t>har alltför stora makroekonomiska obalanser. Hög offentlig skuldsättning och utdragen svag produktivitetsutveckling innebär risker om man ser framåt och riskerna har betydelse för andra EU-länder. Trots måttliga löneökningar är konkurrenskraften svag efte</w:t>
      </w:r>
      <w:r>
        <w:rPr>
          <w:rFonts w:ascii="Times New Roman" w:hAnsi="Times New Roman"/>
          <w:noProof/>
          <w:sz w:val="24"/>
          <w:lang w:val="sv-SE" w:eastAsia="sv-SE" w:bidi="sv-SE"/>
        </w:rPr>
        <w:t>rsom produktivitetsutvecklingen har försämrats, vilket inverkar negativt på korrigeringen av enhetsarbetskostnaden. Den långsamma avvecklingen av nödlidande lån tynger bankernas balansräkningar. Hög långtidsarbetslöshet försämrar tillväxtutsikterna. En min</w:t>
      </w:r>
      <w:r>
        <w:rPr>
          <w:rFonts w:ascii="Times New Roman" w:hAnsi="Times New Roman"/>
          <w:noProof/>
          <w:sz w:val="24"/>
          <w:lang w:val="sv-SE" w:eastAsia="sv-SE" w:bidi="sv-SE"/>
        </w:rPr>
        <w:t>skning av den offentliga skuldsättningen skulle kräva högre primära överskott och varaktig nominell tillväxt framöver. Det har vidtagits politiska åtgärder för att reformera arbetsmarknadsinstitutionerna, ta itu med nödlidande lån och den offentliga förval</w:t>
      </w:r>
      <w:r>
        <w:rPr>
          <w:rFonts w:ascii="Times New Roman" w:hAnsi="Times New Roman"/>
          <w:noProof/>
          <w:sz w:val="24"/>
          <w:lang w:val="sv-SE" w:eastAsia="sv-SE" w:bidi="sv-SE"/>
        </w:rPr>
        <w:t>tningen, rättsväsendet och utbildningssektorn. Det finns fortfarande brister i politiken, särskilt vad gäller privatiseringar, systemet för kollektiva avtalsförhandlingar, utgiftsöversynen, åtgärder för marknadsliberalisering, beskattning och kampen mot ko</w:t>
      </w:r>
      <w:r>
        <w:rPr>
          <w:rFonts w:ascii="Times New Roman" w:hAnsi="Times New Roman"/>
          <w:noProof/>
          <w:sz w:val="24"/>
          <w:lang w:val="sv-SE" w:eastAsia="sv-SE" w:bidi="sv-SE"/>
        </w:rPr>
        <w:t>rruptionen.</w:t>
      </w:r>
    </w:p>
    <w:p w:rsidR="008A54B8" w:rsidRDefault="008A54B8">
      <w:pPr>
        <w:spacing w:after="0" w:line="240" w:lineRule="auto"/>
        <w:jc w:val="both"/>
        <w:rPr>
          <w:rFonts w:ascii="Times New Roman" w:hAnsi="Times New Roman"/>
          <w:noProof/>
          <w:sz w:val="24"/>
          <w:szCs w:val="24"/>
          <w:lang w:val="sv-SE" w:eastAsia="sv-SE" w:bidi="sv-SE"/>
        </w:rPr>
      </w:pPr>
    </w:p>
    <w:p w:rsidR="008A54B8" w:rsidRDefault="00BD0CDB">
      <w:pPr>
        <w:spacing w:after="0" w:line="240" w:lineRule="auto"/>
        <w:jc w:val="both"/>
        <w:rPr>
          <w:rFonts w:ascii="Times New Roman" w:hAnsi="Times New Roman"/>
          <w:noProof/>
          <w:sz w:val="24"/>
          <w:szCs w:val="24"/>
          <w:lang w:val="sv-SE" w:eastAsia="sv-SE" w:bidi="sv-SE"/>
        </w:rPr>
      </w:pPr>
      <w:r>
        <w:rPr>
          <w:rFonts w:ascii="Times New Roman" w:hAnsi="Times New Roman"/>
          <w:b/>
          <w:noProof/>
          <w:sz w:val="24"/>
          <w:lang w:val="sv-SE" w:eastAsia="sv-SE" w:bidi="sv-SE"/>
        </w:rPr>
        <w:t xml:space="preserve">Ungern </w:t>
      </w:r>
      <w:r>
        <w:rPr>
          <w:rFonts w:ascii="Times New Roman" w:hAnsi="Times New Roman"/>
          <w:noProof/>
          <w:sz w:val="24"/>
          <w:lang w:val="sv-SE" w:eastAsia="sv-SE" w:bidi="sv-SE"/>
        </w:rPr>
        <w:t>har inga makroekonomiska obalanser. Det stora behovet av att omsätta utlandsskulden och andelen nödlidande lön är fortfarande orosmoment, men riskerna med koppling till extern och inhemsk skuldsättning har ändå minskat. Den påtagliga mi</w:t>
      </w:r>
      <w:r>
        <w:rPr>
          <w:rFonts w:ascii="Times New Roman" w:hAnsi="Times New Roman"/>
          <w:noProof/>
          <w:sz w:val="24"/>
          <w:lang w:val="sv-SE" w:eastAsia="sv-SE" w:bidi="sv-SE"/>
        </w:rPr>
        <w:t>nskningen av nettoutlandsskulderna beror främst på höga överskott i bytes- och kapitalbalanserna. Kreditflödet till den privata sektorn är fortfarande dämpat mot bakgrund av bankernas dåliga lönsamhet. Det har vidtagits politiska åtgärder för att göra rege</w:t>
      </w:r>
      <w:r>
        <w:rPr>
          <w:rFonts w:ascii="Times New Roman" w:hAnsi="Times New Roman"/>
          <w:noProof/>
          <w:sz w:val="24"/>
          <w:lang w:val="sv-SE" w:eastAsia="sv-SE" w:bidi="sv-SE"/>
        </w:rPr>
        <w:t xml:space="preserve">lverket mer förutsägbar inom den finansiella sektorn, sänka skattebördan på bankerna, minska den andel av skulden som är utställd i utländsk valuta och införa subventionerade låneprogram. Det återstår att se vilka effekter de här nya åtgärderna kommer att </w:t>
      </w:r>
      <w:r>
        <w:rPr>
          <w:rFonts w:ascii="Times New Roman" w:hAnsi="Times New Roman"/>
          <w:noProof/>
          <w:sz w:val="24"/>
          <w:lang w:val="sv-SE" w:eastAsia="sv-SE" w:bidi="sv-SE"/>
        </w:rPr>
        <w:t>få. Det finns fortfarande brister i politiken i fråga om den icke-kostnadsrelaterade konkurrenskraften, produktiviteten och det övergripande företagsklimatet.</w:t>
      </w:r>
    </w:p>
    <w:p w:rsidR="008A54B8" w:rsidRDefault="008A54B8">
      <w:pPr>
        <w:spacing w:after="0" w:line="240" w:lineRule="auto"/>
        <w:jc w:val="both"/>
        <w:rPr>
          <w:rFonts w:ascii="Times New Roman" w:hAnsi="Times New Roman"/>
          <w:noProof/>
          <w:sz w:val="24"/>
          <w:szCs w:val="24"/>
          <w:lang w:val="sv-SE" w:eastAsia="sv-SE" w:bidi="sv-SE"/>
        </w:rPr>
      </w:pPr>
    </w:p>
    <w:p w:rsidR="008A54B8" w:rsidRDefault="00BD0CDB">
      <w:pPr>
        <w:spacing w:after="0" w:line="240" w:lineRule="auto"/>
        <w:jc w:val="both"/>
        <w:rPr>
          <w:rFonts w:ascii="Times New Roman" w:hAnsi="Times New Roman"/>
          <w:noProof/>
          <w:sz w:val="24"/>
          <w:szCs w:val="24"/>
          <w:lang w:val="sv-SE" w:eastAsia="sv-SE" w:bidi="sv-SE"/>
        </w:rPr>
      </w:pPr>
      <w:r>
        <w:rPr>
          <w:rFonts w:ascii="Times New Roman" w:hAnsi="Times New Roman"/>
          <w:b/>
          <w:noProof/>
          <w:sz w:val="24"/>
          <w:lang w:val="sv-SE" w:eastAsia="sv-SE" w:bidi="sv-SE"/>
        </w:rPr>
        <w:t>Nederländerna</w:t>
      </w:r>
      <w:r>
        <w:rPr>
          <w:rFonts w:ascii="Times New Roman" w:hAnsi="Times New Roman"/>
          <w:noProof/>
          <w:sz w:val="24"/>
          <w:lang w:val="sv-SE" w:eastAsia="sv-SE" w:bidi="sv-SE"/>
        </w:rPr>
        <w:t xml:space="preserve"> har makroekonomiska obalanser. Det stora och varaktiga bytesbalansöverskottet är a</w:t>
      </w:r>
      <w:r>
        <w:rPr>
          <w:rFonts w:ascii="Times New Roman" w:hAnsi="Times New Roman"/>
          <w:noProof/>
          <w:sz w:val="24"/>
          <w:lang w:val="sv-SE" w:eastAsia="sv-SE" w:bidi="sv-SE"/>
        </w:rPr>
        <w:t>v betydelse för de andra medlemsländerna. Överskottet speglar i huvudsak strukturella drag i ekonomin och de politiska ramarna för icke-finansiella företag. Hushållssektorn kännetecknas av mycket stora skuldstockar och ett stort behov av skuldsanering. Byt</w:t>
      </w:r>
      <w:r>
        <w:rPr>
          <w:rFonts w:ascii="Times New Roman" w:hAnsi="Times New Roman"/>
          <w:noProof/>
          <w:sz w:val="24"/>
          <w:lang w:val="sv-SE" w:eastAsia="sv-SE" w:bidi="sv-SE"/>
        </w:rPr>
        <w:t>esbalansöverskottet har krympt något sedan 2013 på grund av den förbättrade konjunkturen men hushållens skuldsanering bidrar till att överskottet ligger kvar på en hög nivå. Åtgärder har vidtagits för att stödja hushållens skuldsaneringsprocess, men infasn</w:t>
      </w:r>
      <w:r>
        <w:rPr>
          <w:rFonts w:ascii="Times New Roman" w:hAnsi="Times New Roman"/>
          <w:noProof/>
          <w:sz w:val="24"/>
          <w:lang w:val="sv-SE" w:eastAsia="sv-SE" w:bidi="sv-SE"/>
        </w:rPr>
        <w:t>ingen tar tid. Ett skattepaket väntas stärka konsumtionen och därmed bidra till ett sjunkande överskott under 2016.</w:t>
      </w:r>
    </w:p>
    <w:p w:rsidR="008A54B8" w:rsidRDefault="008A54B8">
      <w:pPr>
        <w:spacing w:after="0" w:line="240" w:lineRule="auto"/>
        <w:jc w:val="both"/>
        <w:rPr>
          <w:rFonts w:ascii="Times New Roman" w:hAnsi="Times New Roman"/>
          <w:b/>
          <w:noProof/>
          <w:sz w:val="24"/>
          <w:szCs w:val="24"/>
          <w:lang w:val="sv-SE" w:eastAsia="sv-SE" w:bidi="sv-SE"/>
        </w:rPr>
      </w:pPr>
    </w:p>
    <w:p w:rsidR="008A54B8" w:rsidRDefault="00BD0CDB">
      <w:pPr>
        <w:spacing w:after="0" w:line="240" w:lineRule="auto"/>
        <w:jc w:val="both"/>
        <w:rPr>
          <w:rFonts w:ascii="Times New Roman" w:hAnsi="Times New Roman"/>
          <w:noProof/>
          <w:sz w:val="24"/>
          <w:szCs w:val="24"/>
          <w:lang w:val="sv-SE" w:eastAsia="sv-SE" w:bidi="sv-SE"/>
        </w:rPr>
      </w:pPr>
      <w:r>
        <w:rPr>
          <w:rFonts w:ascii="Times New Roman" w:hAnsi="Times New Roman"/>
          <w:b/>
          <w:noProof/>
          <w:sz w:val="24"/>
          <w:lang w:val="sv-SE" w:eastAsia="sv-SE" w:bidi="sv-SE"/>
        </w:rPr>
        <w:t xml:space="preserve">Österrike </w:t>
      </w:r>
      <w:r>
        <w:rPr>
          <w:rFonts w:ascii="Times New Roman" w:hAnsi="Times New Roman"/>
          <w:noProof/>
          <w:sz w:val="24"/>
          <w:lang w:val="sv-SE" w:eastAsia="sv-SE" w:bidi="sv-SE"/>
        </w:rPr>
        <w:t xml:space="preserve">har inga makroekonomiska obalanser. De österrikiska bankernas exponering utomlands och lån i utländsk valuta medför en risk för </w:t>
      </w:r>
      <w:r>
        <w:rPr>
          <w:rFonts w:ascii="Times New Roman" w:hAnsi="Times New Roman"/>
          <w:noProof/>
          <w:sz w:val="24"/>
          <w:lang w:val="sv-SE" w:eastAsia="sv-SE" w:bidi="sv-SE"/>
        </w:rPr>
        <w:t>negativa spridningseffekter, också med tanke på bankernas kapitalsituation och utsikter för lönsamheten. Bankernas utländska exponeringar har dock minskat, samtidigt som bättre kapitalisering och åtgärder för riskreducering väntas gradvis stödja banksektor</w:t>
      </w:r>
      <w:r>
        <w:rPr>
          <w:rFonts w:ascii="Times New Roman" w:hAnsi="Times New Roman"/>
          <w:noProof/>
          <w:sz w:val="24"/>
          <w:lang w:val="sv-SE" w:eastAsia="sv-SE" w:bidi="sv-SE"/>
        </w:rPr>
        <w:t>ns lånekapacitet. Omstruktureringen av finansinstituten har påverkat de offentliga finanserna men flyter nu på utan att det krävs mer offentligt stöd. Tillsynsåtgärder har stärkt den inhemska banksektorns motståndskraft och kapacitet att bära risker och fö</w:t>
      </w:r>
      <w:r>
        <w:rPr>
          <w:rFonts w:ascii="Times New Roman" w:hAnsi="Times New Roman"/>
          <w:noProof/>
          <w:sz w:val="24"/>
          <w:lang w:val="sv-SE" w:eastAsia="sv-SE" w:bidi="sv-SE"/>
        </w:rPr>
        <w:t>rbättrat den lokala finansieringsbasen och kvaliteten på tillgångarna för utlandstransaktioner. Exportmarknadsandelen har krympt men är nu stabilare efter år av förluster.</w:t>
      </w:r>
    </w:p>
    <w:p w:rsidR="008A54B8" w:rsidRDefault="008A54B8">
      <w:pPr>
        <w:spacing w:after="0" w:line="240" w:lineRule="auto"/>
        <w:jc w:val="both"/>
        <w:rPr>
          <w:rFonts w:ascii="Times New Roman" w:hAnsi="Times New Roman"/>
          <w:b/>
          <w:noProof/>
          <w:sz w:val="24"/>
          <w:szCs w:val="24"/>
          <w:lang w:val="sv-SE" w:eastAsia="sv-SE" w:bidi="sv-SE"/>
        </w:rPr>
      </w:pPr>
    </w:p>
    <w:p w:rsidR="008A54B8" w:rsidRDefault="00BD0CDB">
      <w:pPr>
        <w:spacing w:after="0" w:line="240" w:lineRule="auto"/>
        <w:jc w:val="both"/>
        <w:rPr>
          <w:rFonts w:ascii="Times New Roman" w:hAnsi="Times New Roman"/>
          <w:noProof/>
          <w:sz w:val="24"/>
          <w:szCs w:val="24"/>
          <w:lang w:val="sv-SE" w:eastAsia="sv-SE" w:bidi="sv-SE"/>
        </w:rPr>
      </w:pPr>
      <w:r>
        <w:rPr>
          <w:rFonts w:ascii="Times New Roman" w:hAnsi="Times New Roman"/>
          <w:b/>
          <w:noProof/>
          <w:sz w:val="24"/>
          <w:lang w:val="sv-SE" w:eastAsia="sv-SE" w:bidi="sv-SE"/>
        </w:rPr>
        <w:t xml:space="preserve">Portugal </w:t>
      </w:r>
      <w:r>
        <w:rPr>
          <w:rFonts w:ascii="Times New Roman" w:hAnsi="Times New Roman"/>
          <w:noProof/>
          <w:sz w:val="24"/>
          <w:lang w:val="sv-SE" w:eastAsia="sv-SE" w:bidi="sv-SE"/>
        </w:rPr>
        <w:t>har alltför stora makroekonomiska obalanser. De stora stockarna av nettout</w:t>
      </w:r>
      <w:r>
        <w:rPr>
          <w:rFonts w:ascii="Times New Roman" w:hAnsi="Times New Roman"/>
          <w:noProof/>
          <w:sz w:val="24"/>
          <w:lang w:val="sv-SE" w:eastAsia="sv-SE" w:bidi="sv-SE"/>
        </w:rPr>
        <w:t xml:space="preserve">landsskulder, den privata och offentliga skuldsättningen och en hög andel nödlidande lån är sårbarheter mot bakgrund av hög arbetslöshet. Bytesbalansen har korrigerats och uppvisar ett litet överskott. Hushållens skuldsättning har visserligen sjunkit, men </w:t>
      </w:r>
      <w:r>
        <w:rPr>
          <w:rFonts w:ascii="Times New Roman" w:hAnsi="Times New Roman"/>
          <w:noProof/>
          <w:sz w:val="24"/>
          <w:lang w:val="sv-SE" w:eastAsia="sv-SE" w:bidi="sv-SE"/>
        </w:rPr>
        <w:t>skuldsättningen i företagssektorn tynger fortfarande företagens resultat. Den offentliga skuldsättningen väntas sjunka från en mycket hög nivå. Det har vidtagit politiska åtgärder i fråga om den finansiella sektorn, tillgång till finansiering, insolvensför</w:t>
      </w:r>
      <w:r>
        <w:rPr>
          <w:rFonts w:ascii="Times New Roman" w:hAnsi="Times New Roman"/>
          <w:noProof/>
          <w:sz w:val="24"/>
          <w:lang w:val="sv-SE" w:eastAsia="sv-SE" w:bidi="sv-SE"/>
        </w:rPr>
        <w:t>faranden, arbetsmarknadens funktion, utbildningssystemet och långsiktig finanspolitisk hållbarhet. Men det finns ännu brister i politiken vad gäller varu- och tjänstemarknaderna, omstruktureringen av företagens skulder, finanspolitiska frågor och vissa del</w:t>
      </w:r>
      <w:r>
        <w:rPr>
          <w:rFonts w:ascii="Times New Roman" w:hAnsi="Times New Roman"/>
          <w:noProof/>
          <w:sz w:val="24"/>
          <w:lang w:val="sv-SE" w:eastAsia="sv-SE" w:bidi="sv-SE"/>
        </w:rPr>
        <w:t xml:space="preserve">ar av arbetsmarknaden. </w:t>
      </w:r>
    </w:p>
    <w:p w:rsidR="008A54B8" w:rsidRDefault="008A54B8">
      <w:pPr>
        <w:spacing w:after="0" w:line="240" w:lineRule="auto"/>
        <w:jc w:val="both"/>
        <w:rPr>
          <w:rFonts w:ascii="Times New Roman" w:hAnsi="Times New Roman"/>
          <w:noProof/>
          <w:sz w:val="24"/>
          <w:szCs w:val="24"/>
          <w:lang w:val="sv-SE" w:eastAsia="sv-SE" w:bidi="sv-SE"/>
        </w:rPr>
      </w:pPr>
    </w:p>
    <w:p w:rsidR="008A54B8" w:rsidRDefault="00BD0CDB">
      <w:pPr>
        <w:spacing w:after="0" w:line="240" w:lineRule="auto"/>
        <w:jc w:val="both"/>
        <w:rPr>
          <w:rFonts w:ascii="Times New Roman" w:hAnsi="Times New Roman"/>
          <w:noProof/>
          <w:sz w:val="24"/>
          <w:szCs w:val="24"/>
          <w:lang w:val="sv-SE" w:eastAsia="sv-SE" w:bidi="sv-SE"/>
        </w:rPr>
      </w:pPr>
      <w:r>
        <w:rPr>
          <w:rFonts w:ascii="Times New Roman" w:hAnsi="Times New Roman"/>
          <w:b/>
          <w:noProof/>
          <w:sz w:val="24"/>
          <w:lang w:val="sv-SE" w:eastAsia="sv-SE" w:bidi="sv-SE"/>
        </w:rPr>
        <w:t xml:space="preserve">Rumänien </w:t>
      </w:r>
      <w:r>
        <w:rPr>
          <w:rFonts w:ascii="Times New Roman" w:hAnsi="Times New Roman"/>
          <w:noProof/>
          <w:sz w:val="24"/>
          <w:lang w:val="sv-SE" w:eastAsia="sv-SE" w:bidi="sv-SE"/>
        </w:rPr>
        <w:t>har inga makroekonomiska obalanser. Riskerna hör samman med den stora stocken av utlandsskulder, sårbarheter i banksektorn och procyklisk finanspolitik tillsammans med stora löneökningar. Mot bakgrund av en stark återhämtn</w:t>
      </w:r>
      <w:r>
        <w:rPr>
          <w:rFonts w:ascii="Times New Roman" w:hAnsi="Times New Roman"/>
          <w:noProof/>
          <w:sz w:val="24"/>
          <w:lang w:val="sv-SE" w:eastAsia="sv-SE" w:bidi="sv-SE"/>
        </w:rPr>
        <w:t>ing har nettoutlandsskulden sjunkit från en hög nivå. Med hjälp av kommissionen har Rumänien vidtagit åtgärder för att stärka den finansiella sektorn. Banksektorn är nu välkapitaliserad och likvid, men flera lagstiftningsinitiativ som är under diskussion u</w:t>
      </w:r>
      <w:r>
        <w:rPr>
          <w:rFonts w:ascii="Times New Roman" w:hAnsi="Times New Roman"/>
          <w:noProof/>
          <w:sz w:val="24"/>
          <w:lang w:val="sv-SE" w:eastAsia="sv-SE" w:bidi="sv-SE"/>
        </w:rPr>
        <w:t xml:space="preserve">tgör en risk för sektorns stabilitet. Lönerna i den offentliga sektorn och minimilönen har höjts och man har gjort skattesänkningar. Därmed riskerar finanspolitiken att bli procyklisk. </w:t>
      </w:r>
    </w:p>
    <w:p w:rsidR="008A54B8" w:rsidRDefault="00BD0CDB">
      <w:pPr>
        <w:spacing w:after="0" w:line="240" w:lineRule="auto"/>
        <w:jc w:val="both"/>
        <w:rPr>
          <w:rFonts w:ascii="Times New Roman" w:hAnsi="Times New Roman"/>
          <w:noProof/>
          <w:sz w:val="24"/>
          <w:szCs w:val="24"/>
          <w:highlight w:val="yellow"/>
          <w:lang w:val="sv-SE" w:eastAsia="sv-SE" w:bidi="sv-SE"/>
        </w:rPr>
      </w:pPr>
      <w:r>
        <w:rPr>
          <w:rFonts w:ascii="Times New Roman" w:hAnsi="Times New Roman"/>
          <w:noProof/>
          <w:sz w:val="24"/>
          <w:highlight w:val="yellow"/>
          <w:lang w:val="sv-SE" w:eastAsia="sv-SE" w:bidi="sv-SE"/>
        </w:rPr>
        <w:t xml:space="preserve"> </w:t>
      </w:r>
    </w:p>
    <w:p w:rsidR="008A54B8" w:rsidRDefault="00BD0CDB">
      <w:pPr>
        <w:spacing w:after="0" w:line="240" w:lineRule="auto"/>
        <w:jc w:val="both"/>
        <w:rPr>
          <w:rFonts w:ascii="Times New Roman" w:hAnsi="Times New Roman"/>
          <w:noProof/>
          <w:sz w:val="24"/>
          <w:szCs w:val="24"/>
          <w:lang w:val="sv-SE" w:eastAsia="sv-SE" w:bidi="sv-SE"/>
        </w:rPr>
      </w:pPr>
      <w:r>
        <w:rPr>
          <w:rFonts w:ascii="Times New Roman" w:hAnsi="Times New Roman"/>
          <w:b/>
          <w:noProof/>
          <w:sz w:val="24"/>
          <w:lang w:val="sv-SE" w:eastAsia="sv-SE" w:bidi="sv-SE"/>
        </w:rPr>
        <w:t xml:space="preserve">Slovenien </w:t>
      </w:r>
      <w:r>
        <w:rPr>
          <w:rFonts w:ascii="Times New Roman" w:hAnsi="Times New Roman"/>
          <w:noProof/>
          <w:sz w:val="24"/>
          <w:lang w:val="sv-SE" w:eastAsia="sv-SE" w:bidi="sv-SE"/>
        </w:rPr>
        <w:t>har makroekonomiska obalanser. Svagheter i banksektorn, sk</w:t>
      </w:r>
      <w:r>
        <w:rPr>
          <w:rFonts w:ascii="Times New Roman" w:hAnsi="Times New Roman"/>
          <w:noProof/>
          <w:sz w:val="24"/>
          <w:lang w:val="sv-SE" w:eastAsia="sv-SE" w:bidi="sv-SE"/>
        </w:rPr>
        <w:t>uldsättningen i företagssektorn och finanspolitiska risker utgör sårbarheter. Utlandsskulden fortsätter att sjunka, banksektorn har stabiliserats och man har tagit itu med sårbarheterna i företagssektorn i form av omstrukturering av drift och finanser. Try</w:t>
      </w:r>
      <w:r>
        <w:rPr>
          <w:rFonts w:ascii="Times New Roman" w:hAnsi="Times New Roman"/>
          <w:noProof/>
          <w:sz w:val="24"/>
          <w:lang w:val="sv-SE" w:eastAsia="sv-SE" w:bidi="sv-SE"/>
        </w:rPr>
        <w:t>cket på skuldsanering har lättat, men tynger fortfarande företagens investeringar och tillväxtutsikterna. Administrativa bördor försämrar ännu företagsklimatet. Politiska åtgärder har vidtagits i fråga om företagsstyrningen i förvaltningsbolaget för bankti</w:t>
      </w:r>
      <w:r>
        <w:rPr>
          <w:rFonts w:ascii="Times New Roman" w:hAnsi="Times New Roman"/>
          <w:noProof/>
          <w:sz w:val="24"/>
          <w:lang w:val="sv-SE" w:eastAsia="sv-SE" w:bidi="sv-SE"/>
        </w:rPr>
        <w:t>llgångar och stora framsteg har gjorts vad gäller styrningen av statsägda företag. Däremot har inga större framsteg gjorts med de administrativa bördorna, och strategin för utländska direktinvesteringar har inte genomförts fullt ut. Det krävs ytterligare å</w:t>
      </w:r>
      <w:r>
        <w:rPr>
          <w:rFonts w:ascii="Times New Roman" w:hAnsi="Times New Roman"/>
          <w:noProof/>
          <w:sz w:val="24"/>
          <w:lang w:val="sv-SE" w:eastAsia="sv-SE" w:bidi="sv-SE"/>
        </w:rPr>
        <w:t>tgärder för att skulderna ska fortsätta att sjunka på ett hållbart sätt.</w:t>
      </w:r>
    </w:p>
    <w:p w:rsidR="008A54B8" w:rsidRDefault="008A54B8">
      <w:pPr>
        <w:spacing w:after="0" w:line="240" w:lineRule="auto"/>
        <w:jc w:val="both"/>
        <w:rPr>
          <w:rFonts w:ascii="Times New Roman" w:hAnsi="Times New Roman"/>
          <w:noProof/>
          <w:sz w:val="24"/>
          <w:szCs w:val="24"/>
          <w:lang w:val="sv-SE" w:eastAsia="sv-SE" w:bidi="sv-SE"/>
        </w:rPr>
      </w:pPr>
    </w:p>
    <w:p w:rsidR="008A54B8" w:rsidRDefault="00BD0CDB">
      <w:pPr>
        <w:spacing w:after="0" w:line="240" w:lineRule="auto"/>
        <w:jc w:val="both"/>
        <w:rPr>
          <w:rFonts w:ascii="Times New Roman" w:hAnsi="Times New Roman"/>
          <w:noProof/>
          <w:sz w:val="24"/>
          <w:szCs w:val="24"/>
          <w:lang w:val="sv-SE" w:eastAsia="sv-SE" w:bidi="sv-SE"/>
        </w:rPr>
      </w:pPr>
      <w:r>
        <w:rPr>
          <w:rFonts w:ascii="Times New Roman" w:hAnsi="Times New Roman"/>
          <w:b/>
          <w:noProof/>
          <w:sz w:val="24"/>
          <w:lang w:val="sv-SE" w:eastAsia="sv-SE" w:bidi="sv-SE"/>
        </w:rPr>
        <w:t xml:space="preserve">Finland </w:t>
      </w:r>
      <w:r>
        <w:rPr>
          <w:rFonts w:ascii="Times New Roman" w:hAnsi="Times New Roman"/>
          <w:noProof/>
          <w:sz w:val="24"/>
          <w:lang w:val="sv-SE" w:eastAsia="sv-SE" w:bidi="sv-SE"/>
        </w:rPr>
        <w:t>har makroekonomiska obalanser. Landet har förlorat konkurrenskraft till följd av nedgången i viktiga sektorer och företag och löneökningar som överskridit produktivitetsutvec</w:t>
      </w:r>
      <w:r>
        <w:rPr>
          <w:rFonts w:ascii="Times New Roman" w:hAnsi="Times New Roman"/>
          <w:noProof/>
          <w:sz w:val="24"/>
          <w:lang w:val="sv-SE" w:eastAsia="sv-SE" w:bidi="sv-SE"/>
        </w:rPr>
        <w:t>klingen. Det ledde till en kraftigt fallande bytesbalans. Den privata skuldsättningen är hög, vilket kan utgöra en sårbarhet, men den finansiella sektorn är stabil. Den kostnadsrelaterade konkurrenskraften har börjat förbättras och fallet i exportmarknadsa</w:t>
      </w:r>
      <w:r>
        <w:rPr>
          <w:rFonts w:ascii="Times New Roman" w:hAnsi="Times New Roman"/>
          <w:noProof/>
          <w:sz w:val="24"/>
          <w:lang w:val="sv-SE" w:eastAsia="sv-SE" w:bidi="sv-SE"/>
        </w:rPr>
        <w:t>ndel har avtagit och bytesbalansen håller på att övergå i ett överskott. Trycket på skuldsanering väntas vara fortsatt litet. Arbetsmarknadens parter har enats om måttfulla löneökningar och det har tagits initiativ till att gjuta nytt liv i högteknologisek</w:t>
      </w:r>
      <w:r>
        <w:rPr>
          <w:rFonts w:ascii="Times New Roman" w:hAnsi="Times New Roman"/>
          <w:noProof/>
          <w:sz w:val="24"/>
          <w:lang w:val="sv-SE" w:eastAsia="sv-SE" w:bidi="sv-SE"/>
        </w:rPr>
        <w:t xml:space="preserve">torn och exporten. Nya åtgärder för hushållens bostadslån kan begränsa ökningen av hushållens skulder. </w:t>
      </w:r>
    </w:p>
    <w:p w:rsidR="008A54B8" w:rsidRDefault="008A54B8">
      <w:pPr>
        <w:spacing w:after="0" w:line="240" w:lineRule="auto"/>
        <w:jc w:val="both"/>
        <w:rPr>
          <w:rFonts w:ascii="Times New Roman" w:hAnsi="Times New Roman"/>
          <w:b/>
          <w:noProof/>
          <w:sz w:val="24"/>
          <w:szCs w:val="24"/>
          <w:lang w:val="sv-SE" w:eastAsia="sv-SE" w:bidi="sv-SE"/>
        </w:rPr>
      </w:pPr>
    </w:p>
    <w:p w:rsidR="008A54B8" w:rsidRDefault="00BD0CDB">
      <w:pPr>
        <w:spacing w:after="0" w:line="240" w:lineRule="auto"/>
        <w:jc w:val="both"/>
        <w:rPr>
          <w:rFonts w:ascii="Times New Roman" w:hAnsi="Times New Roman"/>
          <w:noProof/>
          <w:sz w:val="24"/>
          <w:szCs w:val="24"/>
          <w:lang w:val="sv-SE" w:eastAsia="sv-SE" w:bidi="sv-SE"/>
        </w:rPr>
      </w:pPr>
      <w:r>
        <w:rPr>
          <w:rFonts w:ascii="Times New Roman" w:hAnsi="Times New Roman"/>
          <w:b/>
          <w:noProof/>
          <w:sz w:val="24"/>
          <w:lang w:val="sv-SE" w:eastAsia="sv-SE" w:bidi="sv-SE"/>
        </w:rPr>
        <w:t xml:space="preserve">Sverige </w:t>
      </w:r>
      <w:r>
        <w:rPr>
          <w:rFonts w:ascii="Times New Roman" w:hAnsi="Times New Roman"/>
          <w:noProof/>
          <w:sz w:val="24"/>
          <w:lang w:val="sv-SE" w:eastAsia="sv-SE" w:bidi="sv-SE"/>
        </w:rPr>
        <w:t>har makroekonomiska obalanser. Hushållens skuldsättning är hög och ökar och är kopplad till höga och stigande bostadspriser mot bakgrund av pos</w:t>
      </w:r>
      <w:r>
        <w:rPr>
          <w:rFonts w:ascii="Times New Roman" w:hAnsi="Times New Roman"/>
          <w:noProof/>
          <w:sz w:val="24"/>
          <w:lang w:val="sv-SE" w:eastAsia="sv-SE" w:bidi="sv-SE"/>
        </w:rPr>
        <w:t>itiva kreditflöden. Det utgör en risk för en oordnad korrigering med återverkningar på den reala ekonomin och banksektorn. Ingen korrigering av bostadspriserna har ägt rum och de drivkrafter som gör att priserna ökar kommer troligtvis att finnas kvar på ko</w:t>
      </w:r>
      <w:r>
        <w:rPr>
          <w:rFonts w:ascii="Times New Roman" w:hAnsi="Times New Roman"/>
          <w:noProof/>
          <w:sz w:val="24"/>
          <w:lang w:val="sv-SE" w:eastAsia="sv-SE" w:bidi="sv-SE"/>
        </w:rPr>
        <w:t>rt sikt. Makrotillsynsåtgärder har vidtagits, men de kan vara otillräckliga. Totalt sett finns brister i politiken för bostadsrelaterad beskattning, amortering av bostadslån och bostadsutbudets och hyresmarknadens funktion.</w:t>
      </w:r>
    </w:p>
    <w:p w:rsidR="008A54B8" w:rsidRDefault="008A54B8">
      <w:pPr>
        <w:spacing w:after="0" w:line="240" w:lineRule="auto"/>
        <w:jc w:val="both"/>
        <w:rPr>
          <w:rFonts w:ascii="Times New Roman" w:hAnsi="Times New Roman"/>
          <w:noProof/>
          <w:sz w:val="24"/>
          <w:szCs w:val="24"/>
          <w:highlight w:val="yellow"/>
          <w:lang w:val="sv-SE" w:eastAsia="sv-SE" w:bidi="sv-SE"/>
        </w:rPr>
      </w:pPr>
    </w:p>
    <w:p w:rsidR="008A54B8" w:rsidRDefault="00BD0CDB">
      <w:pPr>
        <w:spacing w:after="0" w:line="240" w:lineRule="auto"/>
        <w:jc w:val="both"/>
        <w:rPr>
          <w:rFonts w:ascii="Times New Roman" w:hAnsi="Times New Roman"/>
          <w:noProof/>
          <w:sz w:val="24"/>
          <w:szCs w:val="24"/>
          <w:lang w:val="sv-SE" w:eastAsia="sv-SE" w:bidi="sv-SE"/>
        </w:rPr>
      </w:pPr>
      <w:r>
        <w:rPr>
          <w:rFonts w:ascii="Times New Roman" w:hAnsi="Times New Roman"/>
          <w:b/>
          <w:noProof/>
          <w:sz w:val="24"/>
          <w:lang w:val="sv-SE" w:eastAsia="sv-SE" w:bidi="sv-SE"/>
        </w:rPr>
        <w:t xml:space="preserve">Storbritannien </w:t>
      </w:r>
      <w:r>
        <w:rPr>
          <w:rFonts w:ascii="Times New Roman" w:hAnsi="Times New Roman"/>
          <w:noProof/>
          <w:sz w:val="24"/>
          <w:lang w:val="sv-SE" w:eastAsia="sv-SE" w:bidi="sv-SE"/>
        </w:rPr>
        <w:t>har inga makroek</w:t>
      </w:r>
      <w:r>
        <w:rPr>
          <w:rFonts w:ascii="Times New Roman" w:hAnsi="Times New Roman"/>
          <w:noProof/>
          <w:sz w:val="24"/>
          <w:lang w:val="sv-SE" w:eastAsia="sv-SE" w:bidi="sv-SE"/>
        </w:rPr>
        <w:t>onomiska obalanser. Hushållens skuldsättning och bostadspriserna är höga liksom bytesbalansunderskottet, vilket kan utgöra sårbarheter. Men hushållens balansräkning är stark totalt sett och både hushållens skuldsättning och tillväxttakten i bostadspriserna</w:t>
      </w:r>
      <w:r>
        <w:rPr>
          <w:rFonts w:ascii="Times New Roman" w:hAnsi="Times New Roman"/>
          <w:noProof/>
          <w:sz w:val="24"/>
          <w:lang w:val="sv-SE" w:eastAsia="sv-SE" w:bidi="sv-SE"/>
        </w:rPr>
        <w:t xml:space="preserve"> har avtagit sedan 2014. Dessutom dämpas riskerna med det stora bytesbalansunderskottet av gynnsamma institutionella ramar och låga skulder i utländsk valuta, och underskottet väntas sjunka när de negativa konjunkturförhållandena avtar. Flera regeringsinit</w:t>
      </w:r>
      <w:r>
        <w:rPr>
          <w:rFonts w:ascii="Times New Roman" w:hAnsi="Times New Roman"/>
          <w:noProof/>
          <w:sz w:val="24"/>
          <w:lang w:val="sv-SE" w:eastAsia="sv-SE" w:bidi="sv-SE"/>
        </w:rPr>
        <w:t>iativ har ännu inte fått praktiskt genomslag på obalansen mellan efterfrågan och utbudet på bostäder.</w:t>
      </w:r>
    </w:p>
    <w:p w:rsidR="008A54B8" w:rsidRDefault="008A54B8">
      <w:pPr>
        <w:spacing w:before="120" w:after="120" w:line="240" w:lineRule="auto"/>
        <w:jc w:val="both"/>
        <w:rPr>
          <w:rFonts w:ascii="Times New Roman" w:hAnsi="Times New Roman"/>
          <w:noProof/>
          <w:sz w:val="24"/>
          <w:szCs w:val="24"/>
          <w:lang w:val="sv-SE" w:eastAsia="sv-SE" w:bidi="sv-SE"/>
        </w:rPr>
      </w:pPr>
    </w:p>
    <w:p w:rsidR="008A54B8" w:rsidRDefault="00BD0CDB">
      <w:pPr>
        <w:spacing w:before="120" w:after="120" w:line="240" w:lineRule="auto"/>
        <w:ind w:left="284"/>
        <w:jc w:val="center"/>
        <w:rPr>
          <w:rFonts w:ascii="Times New Roman" w:eastAsia="Times New Roman" w:hAnsi="Times New Roman"/>
          <w:noProof/>
          <w:sz w:val="24"/>
          <w:szCs w:val="24"/>
          <w:lang w:val="sv-SE" w:eastAsia="sv-SE" w:bidi="sv-SE"/>
        </w:rPr>
      </w:pPr>
      <w:r>
        <w:rPr>
          <w:rFonts w:ascii="Times New Roman" w:hAnsi="Times New Roman"/>
          <w:noProof/>
          <w:sz w:val="24"/>
          <w:lang w:val="sv-SE" w:eastAsia="sv-SE" w:bidi="sv-SE"/>
        </w:rPr>
        <w:t>____________________________</w:t>
      </w:r>
    </w:p>
    <w:p w:rsidR="008A54B8" w:rsidRDefault="008A54B8">
      <w:pPr>
        <w:spacing w:before="120" w:after="120" w:line="240" w:lineRule="auto"/>
        <w:rPr>
          <w:rFonts w:ascii="Times New Roman" w:eastAsia="Times New Roman" w:hAnsi="Times New Roman"/>
          <w:noProof/>
          <w:sz w:val="24"/>
          <w:szCs w:val="24"/>
          <w:lang w:val="sv-SE" w:eastAsia="sv-SE" w:bidi="sv-SE"/>
        </w:rPr>
      </w:pPr>
    </w:p>
    <w:p w:rsidR="008A54B8" w:rsidRDefault="008A54B8">
      <w:pPr>
        <w:spacing w:before="120" w:after="120" w:line="240" w:lineRule="auto"/>
        <w:ind w:left="284"/>
        <w:jc w:val="center"/>
        <w:rPr>
          <w:rFonts w:ascii="Times New Roman" w:eastAsia="Times New Roman" w:hAnsi="Times New Roman"/>
          <w:noProof/>
          <w:sz w:val="24"/>
          <w:szCs w:val="24"/>
          <w:lang w:val="sv-SE" w:eastAsia="sv-SE" w:bidi="sv-SE"/>
        </w:rPr>
      </w:pPr>
    </w:p>
    <w:p w:rsidR="008A54B8" w:rsidRDefault="008A54B8">
      <w:pPr>
        <w:spacing w:before="120" w:after="120" w:line="240" w:lineRule="auto"/>
        <w:rPr>
          <w:rFonts w:ascii="Times New Roman" w:eastAsia="Times New Roman" w:hAnsi="Times New Roman"/>
          <w:noProof/>
          <w:sz w:val="24"/>
          <w:szCs w:val="24"/>
          <w:lang w:eastAsia="en-GB"/>
        </w:rPr>
      </w:pPr>
    </w:p>
    <w:sectPr w:rsidR="008A54B8">
      <w:headerReference w:type="even" r:id="rId16"/>
      <w:headerReference w:type="default" r:id="rId17"/>
      <w:footerReference w:type="even" r:id="rId18"/>
      <w:footerReference w:type="default" r:id="rId19"/>
      <w:headerReference w:type="first" r:id="rId20"/>
      <w:footerReference w:type="first" r:id="rId21"/>
      <w:pgSz w:w="11907" w:h="16839"/>
      <w:pgMar w:top="1300" w:right="1417" w:bottom="1300" w:left="1417"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54B8" w:rsidRDefault="00BD0CDB">
      <w:pPr>
        <w:spacing w:after="0" w:line="240" w:lineRule="auto"/>
      </w:pPr>
      <w:r>
        <w:separator/>
      </w:r>
    </w:p>
  </w:endnote>
  <w:endnote w:type="continuationSeparator" w:id="0">
    <w:p w:rsidR="008A54B8" w:rsidRDefault="00BD0CDB">
      <w:pPr>
        <w:spacing w:after="0" w:line="240" w:lineRule="auto"/>
      </w:pPr>
      <w:r>
        <w:continuationSeparator/>
      </w:r>
    </w:p>
  </w:endnote>
  <w:endnote w:type="continuationNotice" w:id="1">
    <w:p w:rsidR="008A54B8" w:rsidRDefault="008A54B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Times New Roman Bold">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54B8" w:rsidRDefault="008A54B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54B8" w:rsidRDefault="00BD0CDB">
    <w:pPr>
      <w:pStyle w:val="FooterCoverPage"/>
      <w:rPr>
        <w:rFonts w:ascii="Arial" w:hAnsi="Arial" w:cs="Arial"/>
        <w:b/>
        <w:sz w:val="48"/>
      </w:rPr>
    </w:pPr>
    <w:r>
      <w:rPr>
        <w:rFonts w:ascii="Arial" w:hAnsi="Arial" w:cs="Arial"/>
        <w:b/>
        <w:sz w:val="48"/>
      </w:rPr>
      <w:t>SV</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SV</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54B8" w:rsidRDefault="008A54B8">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54B8" w:rsidRDefault="008A54B8">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04713"/>
      <w:docPartObj>
        <w:docPartGallery w:val="Page Numbers (Bottom of Page)"/>
        <w:docPartUnique/>
      </w:docPartObj>
    </w:sdtPr>
    <w:sdtEndPr>
      <w:rPr>
        <w:noProof/>
      </w:rPr>
    </w:sdtEndPr>
    <w:sdtContent>
      <w:p w:rsidR="008A54B8" w:rsidRDefault="00BD0CDB">
        <w:pPr>
          <w:pStyle w:val="Footer"/>
          <w:jc w:val="center"/>
        </w:pPr>
        <w:r>
          <w:fldChar w:fldCharType="begin"/>
        </w:r>
        <w:r>
          <w:instrText xml:space="preserve"> PAGE   \* MERGEFORMAT </w:instrText>
        </w:r>
        <w:r>
          <w:fldChar w:fldCharType="separate"/>
        </w:r>
        <w:r>
          <w:rPr>
            <w:noProof/>
          </w:rPr>
          <w:t>24</w:t>
        </w:r>
        <w:r>
          <w:rPr>
            <w:noProof/>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54B8" w:rsidRDefault="008A54B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54B8" w:rsidRDefault="00BD0CDB">
      <w:pPr>
        <w:spacing w:after="0" w:line="240" w:lineRule="auto"/>
      </w:pPr>
      <w:r>
        <w:separator/>
      </w:r>
    </w:p>
  </w:footnote>
  <w:footnote w:type="continuationSeparator" w:id="0">
    <w:p w:rsidR="008A54B8" w:rsidRDefault="00BD0CDB">
      <w:pPr>
        <w:spacing w:after="0" w:line="240" w:lineRule="auto"/>
      </w:pPr>
      <w:r>
        <w:continuationSeparator/>
      </w:r>
    </w:p>
  </w:footnote>
  <w:footnote w:type="continuationNotice" w:id="1">
    <w:p w:rsidR="008A54B8" w:rsidRDefault="008A54B8">
      <w:pPr>
        <w:spacing w:after="0" w:line="240" w:lineRule="auto"/>
      </w:pPr>
    </w:p>
  </w:footnote>
  <w:footnote w:id="2">
    <w:p w:rsidR="008A54B8" w:rsidRDefault="00BD0CDB">
      <w:pPr>
        <w:pStyle w:val="FootnoteText"/>
        <w:rPr>
          <w:lang w:val="sv-SE"/>
        </w:rPr>
      </w:pPr>
      <w:r>
        <w:rPr>
          <w:rStyle w:val="FootnoteReference"/>
        </w:rPr>
        <w:footnoteRef/>
      </w:r>
      <w:r>
        <w:rPr>
          <w:lang w:val="sv-SE"/>
        </w:rPr>
        <w:t xml:space="preserve"> COM(2015) 600. </w:t>
      </w:r>
    </w:p>
  </w:footnote>
  <w:footnote w:id="3">
    <w:p w:rsidR="008A54B8" w:rsidRDefault="00BD0CDB">
      <w:pPr>
        <w:pStyle w:val="FootnoteText"/>
        <w:rPr>
          <w:lang w:val="sv-SE"/>
        </w:rPr>
      </w:pPr>
      <w:r>
        <w:rPr>
          <w:rStyle w:val="FootnoteReference"/>
        </w:rPr>
        <w:footnoteRef/>
      </w:r>
      <w:r>
        <w:rPr>
          <w:lang w:val="sv-SE"/>
        </w:rPr>
        <w:t xml:space="preserve"> COM(2015) 690.</w:t>
      </w:r>
    </w:p>
  </w:footnote>
  <w:footnote w:id="4">
    <w:p w:rsidR="008A54B8" w:rsidRDefault="00BD0CDB">
      <w:pPr>
        <w:pStyle w:val="Default"/>
        <w:rPr>
          <w:lang w:val="sv-SE"/>
        </w:rPr>
      </w:pPr>
      <w:r>
        <w:rPr>
          <w:rStyle w:val="FootnoteReference"/>
          <w:color w:val="auto"/>
          <w:sz w:val="20"/>
        </w:rPr>
        <w:footnoteRef/>
      </w:r>
      <w:r>
        <w:rPr>
          <w:rStyle w:val="FootnoteReference"/>
          <w:color w:val="auto"/>
          <w:sz w:val="20"/>
          <w:lang w:val="sv-SE"/>
        </w:rPr>
        <w:t xml:space="preserve"> </w:t>
      </w:r>
      <w:r>
        <w:rPr>
          <w:color w:val="auto"/>
          <w:sz w:val="20"/>
          <w:lang w:val="sv-SE"/>
        </w:rPr>
        <w:t xml:space="preserve">Rådets dokument 14860/1/15 rev. 1, som </w:t>
      </w:r>
      <w:r>
        <w:rPr>
          <w:color w:val="auto"/>
          <w:sz w:val="20"/>
          <w:lang w:val="sv-SE"/>
        </w:rPr>
        <w:t>godkändes av Europeiska rådet den 18–19 februari 2016.</w:t>
      </w:r>
    </w:p>
  </w:footnote>
  <w:footnote w:id="5">
    <w:p w:rsidR="008A54B8" w:rsidRDefault="00BD0CDB">
      <w:pPr>
        <w:pStyle w:val="FootnoteText"/>
        <w:rPr>
          <w:lang w:val="sv-SE"/>
        </w:rPr>
      </w:pPr>
      <w:r>
        <w:rPr>
          <w:rStyle w:val="FootnoteReference"/>
        </w:rPr>
        <w:footnoteRef/>
      </w:r>
      <w:r>
        <w:rPr>
          <w:lang w:val="sv-SE"/>
        </w:rPr>
        <w:t xml:space="preserve"> Utom för Grekland och Cypern, som omfattas av makroekonomiska biståndsprogram.</w:t>
      </w:r>
    </w:p>
  </w:footnote>
  <w:footnote w:id="6">
    <w:p w:rsidR="008A54B8" w:rsidRDefault="00BD0CDB">
      <w:pPr>
        <w:pStyle w:val="FootnoteText"/>
        <w:rPr>
          <w:lang w:val="sv-SE"/>
        </w:rPr>
      </w:pPr>
      <w:r>
        <w:rPr>
          <w:rStyle w:val="FootnoteReference"/>
        </w:rPr>
        <w:footnoteRef/>
      </w:r>
      <w:r>
        <w:rPr>
          <w:lang w:val="sv-SE"/>
        </w:rPr>
        <w:t xml:space="preserve"> Tillståndet i energiunionen 2015 (COM(2015) 572) och lägesrapport om klimatåtgärder (COM(2015) 576).</w:t>
      </w:r>
    </w:p>
  </w:footnote>
  <w:footnote w:id="7">
    <w:p w:rsidR="008A54B8" w:rsidRDefault="00BD0CDB">
      <w:pPr>
        <w:pStyle w:val="FootnoteText"/>
        <w:rPr>
          <w:lang w:val="sv-SE"/>
        </w:rPr>
      </w:pPr>
      <w:r>
        <w:rPr>
          <w:rStyle w:val="FootnoteReference"/>
        </w:rPr>
        <w:footnoteRef/>
      </w:r>
      <w:r>
        <w:rPr>
          <w:lang w:val="sv-SE"/>
        </w:rPr>
        <w:t xml:space="preserve"> Europeiska komm</w:t>
      </w:r>
      <w:r>
        <w:rPr>
          <w:lang w:val="sv-SE"/>
        </w:rPr>
        <w:t>issionens ekonomiska vinterprognos 2016.</w:t>
      </w:r>
    </w:p>
  </w:footnote>
  <w:footnote w:id="8">
    <w:p w:rsidR="008A54B8" w:rsidRDefault="00BD0CDB">
      <w:pPr>
        <w:pStyle w:val="FootnoteText"/>
        <w:rPr>
          <w:lang w:val="sv-SE"/>
        </w:rPr>
      </w:pPr>
      <w:r>
        <w:rPr>
          <w:rStyle w:val="FootnoteReference"/>
        </w:rPr>
        <w:footnoteRef/>
      </w:r>
      <w:r>
        <w:rPr>
          <w:lang w:val="sv-SE"/>
        </w:rPr>
        <w:t xml:space="preserve"> COM(2015) 12.</w:t>
      </w:r>
    </w:p>
  </w:footnote>
  <w:footnote w:id="9">
    <w:p w:rsidR="008A54B8" w:rsidRDefault="00BD0CDB">
      <w:pPr>
        <w:pStyle w:val="FootnoteText"/>
        <w:rPr>
          <w:lang w:val="sv-SE"/>
        </w:rPr>
      </w:pPr>
      <w:r>
        <w:rPr>
          <w:rStyle w:val="FootnoteReference"/>
        </w:rPr>
        <w:footnoteRef/>
      </w:r>
      <w:r>
        <w:rPr>
          <w:lang w:val="sv-SE"/>
        </w:rPr>
        <w:t xml:space="preserve"> COM(2014) 903.</w:t>
      </w:r>
    </w:p>
  </w:footnote>
  <w:footnote w:id="10">
    <w:p w:rsidR="008A54B8" w:rsidRDefault="00BD0CDB">
      <w:pPr>
        <w:pStyle w:val="FootnoteText"/>
        <w:rPr>
          <w:lang w:val="sv-SE"/>
        </w:rPr>
      </w:pPr>
      <w:r>
        <w:rPr>
          <w:rStyle w:val="FootnoteReference"/>
        </w:rPr>
        <w:footnoteRef/>
      </w:r>
      <w:r>
        <w:rPr>
          <w:lang w:val="sv-SE"/>
        </w:rPr>
        <w:t xml:space="preserve"> Europeiska kommissionens ekonomiska vinterprognos 2016.</w:t>
      </w:r>
    </w:p>
  </w:footnote>
  <w:footnote w:id="11">
    <w:p w:rsidR="008A54B8" w:rsidRDefault="00BD0CDB">
      <w:pPr>
        <w:pStyle w:val="FootnoteText"/>
        <w:rPr>
          <w:lang w:val="sv-SE"/>
        </w:rPr>
      </w:pPr>
      <w:r>
        <w:rPr>
          <w:rStyle w:val="FootnoteReference"/>
        </w:rPr>
        <w:footnoteRef/>
      </w:r>
      <w:r>
        <w:rPr>
          <w:lang w:val="sv-SE"/>
        </w:rPr>
        <w:t xml:space="preserve"> COM(2015) 600.</w:t>
      </w:r>
    </w:p>
  </w:footnote>
  <w:footnote w:id="12">
    <w:p w:rsidR="008A54B8" w:rsidRDefault="00BD0CDB">
      <w:pPr>
        <w:pStyle w:val="FootnoteText"/>
        <w:rPr>
          <w:lang w:val="sv-SE"/>
        </w:rPr>
      </w:pPr>
      <w:r>
        <w:rPr>
          <w:rStyle w:val="FootnoteReference"/>
        </w:rPr>
        <w:footnoteRef/>
      </w:r>
      <w:r>
        <w:rPr>
          <w:lang w:val="sv-SE"/>
        </w:rPr>
        <w:t xml:space="preserve"> COM(2015) 691.</w:t>
      </w:r>
    </w:p>
  </w:footnote>
  <w:footnote w:id="13">
    <w:p w:rsidR="008A54B8" w:rsidRDefault="00BD0CDB">
      <w:pPr>
        <w:pStyle w:val="FootnoteText"/>
        <w:rPr>
          <w:lang w:val="sv-SE"/>
        </w:rPr>
      </w:pPr>
      <w:r>
        <w:rPr>
          <w:rStyle w:val="FootnoteReference"/>
        </w:rPr>
        <w:footnoteRef/>
      </w:r>
      <w:r>
        <w:rPr>
          <w:lang w:val="sv-SE"/>
        </w:rPr>
        <w:t xml:space="preserve"> SWD(2015) 400.</w:t>
      </w:r>
    </w:p>
  </w:footnote>
  <w:footnote w:id="14">
    <w:p w:rsidR="008A54B8" w:rsidRDefault="00BD0CDB">
      <w:pPr>
        <w:pStyle w:val="FootnoteText"/>
        <w:rPr>
          <w:lang w:val="sv-SE"/>
        </w:rPr>
      </w:pPr>
      <w:r>
        <w:rPr>
          <w:rStyle w:val="FootnoteReference"/>
        </w:rPr>
        <w:footnoteRef/>
      </w:r>
      <w:r>
        <w:rPr>
          <w:lang w:val="sv-SE"/>
        </w:rPr>
        <w:t xml:space="preserve"> Europeiska kommissionens ekonomiska vinterprognos 2016.</w:t>
      </w:r>
    </w:p>
  </w:footnote>
  <w:footnote w:id="15">
    <w:p w:rsidR="008A54B8" w:rsidRDefault="00BD0CDB">
      <w:pPr>
        <w:pStyle w:val="FootnoteText"/>
        <w:rPr>
          <w:lang w:val="sv-SE"/>
        </w:rPr>
      </w:pPr>
      <w:r>
        <w:rPr>
          <w:rStyle w:val="FootnoteReference"/>
        </w:rPr>
        <w:footnoteRef/>
      </w:r>
      <w:r>
        <w:rPr>
          <w:lang w:val="sv-SE"/>
        </w:rPr>
        <w:t xml:space="preserve"> Europeiska centralbanken, </w:t>
      </w:r>
      <w:r>
        <w:rPr>
          <w:i/>
          <w:lang w:val="sv-SE"/>
        </w:rPr>
        <w:t>The euro area bank lending survey</w:t>
      </w:r>
      <w:r>
        <w:rPr>
          <w:lang w:val="sv-SE"/>
        </w:rPr>
        <w:t>, fjärde kvartalet 2015, januari 2016.</w:t>
      </w:r>
    </w:p>
  </w:footnote>
  <w:footnote w:id="16">
    <w:p w:rsidR="008A54B8" w:rsidRDefault="00BD0CDB">
      <w:pPr>
        <w:pStyle w:val="Default"/>
      </w:pPr>
      <w:r>
        <w:rPr>
          <w:rStyle w:val="FootnoteReference"/>
          <w:color w:val="auto"/>
          <w:sz w:val="20"/>
        </w:rPr>
        <w:footnoteRef/>
      </w:r>
      <w:r>
        <w:rPr>
          <w:rStyle w:val="FootnoteReference"/>
          <w:color w:val="auto"/>
          <w:sz w:val="20"/>
        </w:rPr>
        <w:t xml:space="preserve"> </w:t>
      </w:r>
      <w:r>
        <w:rPr>
          <w:color w:val="auto"/>
          <w:sz w:val="20"/>
        </w:rPr>
        <w:t>Rådets dokument 14361/15.</w:t>
      </w:r>
    </w:p>
  </w:footnote>
  <w:footnote w:id="17">
    <w:p w:rsidR="008A54B8" w:rsidRDefault="00BD0CDB">
      <w:pPr>
        <w:pStyle w:val="Default"/>
        <w:rPr>
          <w:rStyle w:val="FootnoteReference"/>
          <w:sz w:val="20"/>
          <w:szCs w:val="20"/>
        </w:rPr>
      </w:pPr>
      <w:r>
        <w:rPr>
          <w:rStyle w:val="FootnoteReference"/>
          <w:color w:val="auto"/>
          <w:sz w:val="20"/>
        </w:rPr>
        <w:footnoteRef/>
      </w:r>
      <w:r>
        <w:rPr>
          <w:rStyle w:val="FootnoteReference"/>
          <w:color w:val="auto"/>
          <w:sz w:val="20"/>
        </w:rPr>
        <w:t xml:space="preserve"> </w:t>
      </w:r>
      <w:r>
        <w:rPr>
          <w:rStyle w:val="FootnoteReference"/>
          <w:sz w:val="20"/>
          <w:vertAlign w:val="baseline"/>
        </w:rPr>
        <w:t>COM(2015) 550.</w:t>
      </w:r>
    </w:p>
  </w:footnote>
  <w:footnote w:id="18">
    <w:p w:rsidR="008A54B8" w:rsidRDefault="00BD0CDB">
      <w:pPr>
        <w:pStyle w:val="Default"/>
        <w:rPr>
          <w:sz w:val="20"/>
          <w:szCs w:val="20"/>
        </w:rPr>
      </w:pPr>
      <w:r>
        <w:rPr>
          <w:rStyle w:val="FootnoteReference"/>
          <w:color w:val="auto"/>
          <w:sz w:val="20"/>
        </w:rPr>
        <w:footnoteRef/>
      </w:r>
      <w:r>
        <w:rPr>
          <w:rStyle w:val="FootnoteReference"/>
        </w:rPr>
        <w:t xml:space="preserve"> </w:t>
      </w:r>
      <w:r>
        <w:rPr>
          <w:rStyle w:val="FootnoteReference"/>
          <w:sz w:val="20"/>
          <w:vertAlign w:val="baseline"/>
        </w:rPr>
        <w:t xml:space="preserve">OECD, Italien. </w:t>
      </w:r>
      <w:r>
        <w:rPr>
          <w:rStyle w:val="FootnoteReference"/>
          <w:i/>
          <w:sz w:val="20"/>
          <w:vertAlign w:val="baseline"/>
        </w:rPr>
        <w:t>Structural Reforms:</w:t>
      </w:r>
      <w:r>
        <w:rPr>
          <w:rStyle w:val="FootnoteReference"/>
          <w:sz w:val="20"/>
          <w:vertAlign w:val="baseline"/>
        </w:rPr>
        <w:t xml:space="preserve"> </w:t>
      </w:r>
      <w:r>
        <w:rPr>
          <w:rStyle w:val="FootnoteReference"/>
          <w:i/>
          <w:sz w:val="20"/>
          <w:vertAlign w:val="baseline"/>
        </w:rPr>
        <w:t>Impact on Growth Employment,</w:t>
      </w:r>
      <w:r>
        <w:rPr>
          <w:rStyle w:val="FootnoteReference"/>
          <w:sz w:val="20"/>
          <w:vertAlign w:val="baseline"/>
        </w:rPr>
        <w:t xml:space="preserve"> februari 2015.</w:t>
      </w:r>
    </w:p>
  </w:footnote>
  <w:footnote w:id="19">
    <w:p w:rsidR="008A54B8" w:rsidRDefault="00BD0CDB">
      <w:pPr>
        <w:pStyle w:val="FootnoteText"/>
        <w:ind w:left="142" w:hanging="142"/>
        <w:jc w:val="left"/>
        <w:rPr>
          <w:lang w:val="sv-SE"/>
        </w:rPr>
      </w:pPr>
      <w:r>
        <w:rPr>
          <w:rStyle w:val="FootnoteReference"/>
        </w:rPr>
        <w:footnoteRef/>
      </w:r>
      <w:r>
        <w:rPr>
          <w:lang w:val="sv-SE"/>
        </w:rPr>
        <w:t xml:space="preserve"> När det gäller Österrike var </w:t>
      </w:r>
      <w:r>
        <w:rPr>
          <w:lang w:val="sv-SE"/>
        </w:rPr>
        <w:t>budgetplanen i stort i överensstämmelse efter en korrigering av de planerade extra kostnaderna till följd av den exceptionella tillströmningen av flyktingar och migranter.</w:t>
      </w:r>
    </w:p>
  </w:footnote>
  <w:footnote w:id="20">
    <w:p w:rsidR="008A54B8" w:rsidRDefault="00BD0CDB">
      <w:pPr>
        <w:pStyle w:val="FootnoteText"/>
        <w:rPr>
          <w:lang w:val="sv-SE"/>
        </w:rPr>
      </w:pPr>
      <w:r>
        <w:rPr>
          <w:rStyle w:val="FootnoteReference"/>
        </w:rPr>
        <w:footnoteRef/>
      </w:r>
      <w:r>
        <w:rPr>
          <w:lang w:val="sv-SE"/>
        </w:rPr>
        <w:t xml:space="preserve"> Dvs. den finanspolitiska delen av fördraget om stabilitet, samordning och styrning</w:t>
      </w:r>
      <w:r>
        <w:rPr>
          <w:lang w:val="sv-SE"/>
        </w:rPr>
        <w:t xml:space="preserve"> inom EMU.</w:t>
      </w:r>
    </w:p>
  </w:footnote>
  <w:footnote w:id="21">
    <w:p w:rsidR="008A54B8" w:rsidRDefault="00BD0CDB">
      <w:pPr>
        <w:autoSpaceDE w:val="0"/>
        <w:autoSpaceDN w:val="0"/>
        <w:adjustRightInd w:val="0"/>
        <w:spacing w:after="120" w:line="240" w:lineRule="auto"/>
        <w:rPr>
          <w:lang w:val="sv-SE"/>
        </w:rPr>
      </w:pPr>
      <w:r>
        <w:rPr>
          <w:rStyle w:val="FootnoteReference"/>
          <w:rFonts w:ascii="Times New Roman" w:hAnsi="Times New Roman"/>
          <w:sz w:val="20"/>
        </w:rPr>
        <w:footnoteRef/>
      </w:r>
      <w:r>
        <w:rPr>
          <w:rFonts w:ascii="Times New Roman" w:hAnsi="Times New Roman"/>
          <w:sz w:val="20"/>
          <w:lang w:val="sv-SE"/>
        </w:rPr>
        <w:t xml:space="preserve"> Läs en bedömning av de finanspolitiska utmaningarna i Europeiska kommissionen (2016), </w:t>
      </w:r>
      <w:r>
        <w:rPr>
          <w:rFonts w:ascii="Times New Roman" w:hAnsi="Times New Roman"/>
          <w:i/>
          <w:sz w:val="20"/>
          <w:lang w:val="sv-SE"/>
        </w:rPr>
        <w:t>Fiscal Sustainability Report 2015</w:t>
      </w:r>
      <w:r>
        <w:rPr>
          <w:rFonts w:ascii="Times New Roman" w:hAnsi="Times New Roman"/>
          <w:sz w:val="20"/>
          <w:lang w:val="sv-SE"/>
        </w:rPr>
        <w:t xml:space="preserve">, </w:t>
      </w:r>
      <w:r>
        <w:rPr>
          <w:rFonts w:ascii="Times New Roman" w:hAnsi="Times New Roman"/>
          <w:i/>
          <w:sz w:val="20"/>
          <w:lang w:val="sv-SE"/>
        </w:rPr>
        <w:t>European Economy, Institutional papers</w:t>
      </w:r>
      <w:r>
        <w:rPr>
          <w:rFonts w:ascii="Times New Roman" w:hAnsi="Times New Roman"/>
          <w:sz w:val="20"/>
          <w:lang w:val="sv-SE"/>
        </w:rPr>
        <w:t xml:space="preserve">, nr 18. </w:t>
      </w:r>
    </w:p>
  </w:footnote>
  <w:footnote w:id="22">
    <w:p w:rsidR="008A54B8" w:rsidRDefault="00BD0CDB">
      <w:pPr>
        <w:pStyle w:val="FootnoteText"/>
        <w:ind w:left="142" w:hanging="142"/>
        <w:rPr>
          <w:lang w:val="sv-SE"/>
        </w:rPr>
      </w:pPr>
      <w:r>
        <w:rPr>
          <w:rStyle w:val="FootnoteReference"/>
        </w:rPr>
        <w:footnoteRef/>
      </w:r>
      <w:r>
        <w:rPr>
          <w:lang w:val="sv-SE"/>
        </w:rPr>
        <w:t xml:space="preserve"> </w:t>
      </w:r>
      <w:r>
        <w:rPr>
          <w:sz w:val="18"/>
          <w:lang w:val="sv-SE"/>
        </w:rPr>
        <w:t xml:space="preserve">Såväl kategorin ”obalanser” som ”alltför stora obalanser” kräver särskild övervakning, som anpassas efter problemens allvar. </w:t>
      </w:r>
    </w:p>
  </w:footnote>
  <w:footnote w:id="23">
    <w:p w:rsidR="008A54B8" w:rsidRDefault="00BD0CDB">
      <w:pPr>
        <w:pStyle w:val="FootnoteText"/>
        <w:rPr>
          <w:lang w:val="sv-SE"/>
        </w:rPr>
      </w:pPr>
      <w:r>
        <w:rPr>
          <w:rStyle w:val="FootnoteReference"/>
        </w:rPr>
        <w:footnoteRef/>
      </w:r>
      <w:r>
        <w:rPr>
          <w:lang w:val="sv-SE"/>
        </w:rPr>
        <w:t xml:space="preserve"> </w:t>
      </w:r>
      <w:r>
        <w:rPr>
          <w:sz w:val="18"/>
          <w:lang w:val="sv-SE"/>
        </w:rPr>
        <w:t>Kategoriseringen bygger på det väntade utfallet för 2016 enligt kommissionens vinterprogos 2016.</w:t>
      </w:r>
    </w:p>
  </w:footnote>
  <w:footnote w:id="24">
    <w:p w:rsidR="008A54B8" w:rsidRDefault="00BD0CDB">
      <w:pPr>
        <w:pStyle w:val="FootnoteText"/>
        <w:ind w:left="142" w:hanging="142"/>
        <w:rPr>
          <w:lang w:val="sv-SE"/>
        </w:rPr>
      </w:pPr>
      <w:r>
        <w:rPr>
          <w:rStyle w:val="FootnoteReference"/>
        </w:rPr>
        <w:footnoteRef/>
      </w:r>
      <w:r>
        <w:rPr>
          <w:lang w:val="sv-SE"/>
        </w:rPr>
        <w:t xml:space="preserve"> </w:t>
      </w:r>
      <w:r>
        <w:rPr>
          <w:sz w:val="18"/>
          <w:lang w:val="sv-SE"/>
        </w:rPr>
        <w:t xml:space="preserve">Skuldkriteriet: Om skuldens </w:t>
      </w:r>
      <w:r>
        <w:rPr>
          <w:sz w:val="18"/>
          <w:lang w:val="sv-SE"/>
        </w:rPr>
        <w:t>andel av BNP överstiger referensvärdet på 60 % och skillnaden inte minskas med en tjugondedel årligen (genomsnittet över tre år), inleds ett förfarande vid alltför stora underskott för det berörda landet, efter att alla relevanta faktorer och effekten av k</w:t>
      </w:r>
      <w:r>
        <w:rPr>
          <w:sz w:val="18"/>
          <w:lang w:val="sv-SE"/>
        </w:rPr>
        <w:t>onjunkturen beaktats. Övergångsreglerna för skuldkriteriet: Ett medlemsland som omfattas av förfarandet vid alltför stora underskott får en period på tre år på sig efter korrigeringen av det alltför stora underskottet att uppfylla skuldkriteriet. Det inneb</w:t>
      </w:r>
      <w:r>
        <w:rPr>
          <w:sz w:val="18"/>
          <w:lang w:val="sv-SE"/>
        </w:rPr>
        <w:t>är inte att skuldkriteriet inte gäller alls under den perioden, eftersom landet bör göra tillräckliga framsteg under denna övergångsperiod för att uppfylla sitt mål. Om utvärderingen av framstegen för att nå referensvärdet för skulden är negativ under över</w:t>
      </w:r>
      <w:r>
        <w:rPr>
          <w:sz w:val="18"/>
          <w:lang w:val="sv-SE"/>
        </w:rPr>
        <w:t>gångsperioden kan det leda till att ett förfarande vid alltför stora underskott inleds.</w:t>
      </w:r>
    </w:p>
  </w:footnote>
  <w:footnote w:id="25">
    <w:p w:rsidR="008A54B8" w:rsidRDefault="00BD0CDB">
      <w:pPr>
        <w:pStyle w:val="FootnoteText"/>
        <w:rPr>
          <w:lang w:val="sv-SE"/>
        </w:rPr>
      </w:pPr>
      <w:r>
        <w:rPr>
          <w:rStyle w:val="FootnoteReference"/>
        </w:rPr>
        <w:footnoteRef/>
      </w:r>
      <w:r>
        <w:rPr>
          <w:lang w:val="sv-SE"/>
        </w:rPr>
        <w:t xml:space="preserve"> </w:t>
      </w:r>
      <w:r>
        <w:rPr>
          <w:sz w:val="18"/>
          <w:lang w:val="sv-SE"/>
        </w:rPr>
        <w:t>På villkor att EDP-beslutet upphävs på basis av uppgifter om utfallet 2015.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54B8" w:rsidRDefault="008A54B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54B8" w:rsidRDefault="008A54B8">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54B8" w:rsidRDefault="008A54B8">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54B8" w:rsidRDefault="008A54B8">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54B8" w:rsidRDefault="008A54B8">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54B8" w:rsidRDefault="008A54B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61A2E2AE"/>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72F80AC0"/>
    <w:lvl w:ilvl="0">
      <w:start w:val="1"/>
      <w:numFmt w:val="decimal"/>
      <w:pStyle w:val="ListNumber3"/>
      <w:lvlText w:val="%1."/>
      <w:lvlJc w:val="left"/>
      <w:pPr>
        <w:tabs>
          <w:tab w:val="num" w:pos="926"/>
        </w:tabs>
        <w:ind w:left="926" w:hanging="360"/>
      </w:pPr>
    </w:lvl>
  </w:abstractNum>
  <w:abstractNum w:abstractNumId="2">
    <w:nsid w:val="FFFFFF7F"/>
    <w:multiLevelType w:val="singleLevel"/>
    <w:tmpl w:val="B3BCAD4E"/>
    <w:lvl w:ilvl="0">
      <w:start w:val="1"/>
      <w:numFmt w:val="decimal"/>
      <w:pStyle w:val="ListNumber2"/>
      <w:lvlText w:val="%1."/>
      <w:lvlJc w:val="left"/>
      <w:pPr>
        <w:tabs>
          <w:tab w:val="num" w:pos="643"/>
        </w:tabs>
        <w:ind w:left="643" w:hanging="360"/>
      </w:pPr>
    </w:lvl>
  </w:abstractNum>
  <w:abstractNum w:abstractNumId="3">
    <w:nsid w:val="FFFFFF81"/>
    <w:multiLevelType w:val="singleLevel"/>
    <w:tmpl w:val="3F181022"/>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031A4CBA"/>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59708FB0"/>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A240FE84"/>
    <w:lvl w:ilvl="0">
      <w:start w:val="1"/>
      <w:numFmt w:val="decimal"/>
      <w:pStyle w:val="ListNumber"/>
      <w:lvlText w:val="%1."/>
      <w:lvlJc w:val="left"/>
      <w:pPr>
        <w:tabs>
          <w:tab w:val="num" w:pos="360"/>
        </w:tabs>
        <w:ind w:left="360" w:hanging="360"/>
      </w:pPr>
    </w:lvl>
  </w:abstractNum>
  <w:abstractNum w:abstractNumId="7">
    <w:nsid w:val="FFFFFF89"/>
    <w:multiLevelType w:val="singleLevel"/>
    <w:tmpl w:val="C76619FE"/>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A207E1C"/>
    <w:multiLevelType w:val="hybridMultilevel"/>
    <w:tmpl w:val="7F94F1DA"/>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2">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3">
    <w:nsid w:val="33267FF8"/>
    <w:multiLevelType w:val="hybridMultilevel"/>
    <w:tmpl w:val="E578B2DE"/>
    <w:lvl w:ilvl="0" w:tplc="48707CA2">
      <w:numFmt w:val="bullet"/>
      <w:lvlText w:val="-"/>
      <w:lvlJc w:val="left"/>
      <w:pPr>
        <w:ind w:left="720" w:hanging="360"/>
      </w:pPr>
      <w:rPr>
        <w:rFonts w:ascii="Calibri" w:eastAsia="SimSun"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nsid w:val="33493D87"/>
    <w:multiLevelType w:val="hybridMultilevel"/>
    <w:tmpl w:val="C15696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354262F9"/>
    <w:multiLevelType w:val="hybridMultilevel"/>
    <w:tmpl w:val="37FC1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97757AB"/>
    <w:multiLevelType w:val="hybridMultilevel"/>
    <w:tmpl w:val="EB2A3D44"/>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A8E17EB"/>
    <w:multiLevelType w:val="hybridMultilevel"/>
    <w:tmpl w:val="7F9024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9">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2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1">
    <w:nsid w:val="5144660F"/>
    <w:multiLevelType w:val="hybridMultilevel"/>
    <w:tmpl w:val="34065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52DF0084"/>
    <w:multiLevelType w:val="hybridMultilevel"/>
    <w:tmpl w:val="B8146406"/>
    <w:lvl w:ilvl="0" w:tplc="08090005">
      <w:start w:val="1"/>
      <w:numFmt w:val="bullet"/>
      <w:lvlText w:val=""/>
      <w:lvlJc w:val="left"/>
      <w:pPr>
        <w:ind w:left="720" w:hanging="360"/>
      </w:pPr>
      <w:rPr>
        <w:rFonts w:ascii="Wingdings" w:hAnsi="Wingdings" w:hint="default"/>
      </w:rPr>
    </w:lvl>
    <w:lvl w:ilvl="1" w:tplc="08090005">
      <w:start w:val="1"/>
      <w:numFmt w:val="bullet"/>
      <w:lvlText w:val=""/>
      <w:lvlJc w:val="left"/>
      <w:pPr>
        <w:ind w:left="1440" w:hanging="360"/>
      </w:pPr>
      <w:rPr>
        <w:rFonts w:ascii="Wingdings" w:hAnsi="Wingding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4">
    <w:nsid w:val="5ABF1D1B"/>
    <w:multiLevelType w:val="hybridMultilevel"/>
    <w:tmpl w:val="8A5444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6">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7">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8">
    <w:nsid w:val="5DB23442"/>
    <w:multiLevelType w:val="hybridMultilevel"/>
    <w:tmpl w:val="60EA56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nsid w:val="665055BD"/>
    <w:multiLevelType w:val="hybridMultilevel"/>
    <w:tmpl w:val="09DEECE2"/>
    <w:lvl w:ilvl="0" w:tplc="08090005">
      <w:start w:val="1"/>
      <w:numFmt w:val="bullet"/>
      <w:lvlText w:val=""/>
      <w:lvlJc w:val="left"/>
      <w:pPr>
        <w:ind w:left="778" w:hanging="360"/>
      </w:pPr>
      <w:rPr>
        <w:rFonts w:ascii="Wingdings" w:hAnsi="Wingdings"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31">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32">
    <w:nsid w:val="6823489E"/>
    <w:multiLevelType w:val="hybridMultilevel"/>
    <w:tmpl w:val="1DEC55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nsid w:val="6F0D1CAC"/>
    <w:multiLevelType w:val="hybridMultilevel"/>
    <w:tmpl w:val="40E855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6173"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71644DE1"/>
    <w:multiLevelType w:val="hybridMultilevel"/>
    <w:tmpl w:val="D4C0871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754B1388"/>
    <w:multiLevelType w:val="hybridMultilevel"/>
    <w:tmpl w:val="2B6046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25"/>
    <w:lvlOverride w:ilvl="0">
      <w:startOverride w:val="1"/>
    </w:lvlOverride>
  </w:num>
  <w:num w:numId="10">
    <w:abstractNumId w:val="27"/>
  </w:num>
  <w:num w:numId="11">
    <w:abstractNumId w:val="18"/>
  </w:num>
  <w:num w:numId="12">
    <w:abstractNumId w:val="31"/>
  </w:num>
  <w:num w:numId="13">
    <w:abstractNumId w:val="12"/>
  </w:num>
  <w:num w:numId="14">
    <w:abstractNumId w:val="19"/>
  </w:num>
  <w:num w:numId="15">
    <w:abstractNumId w:val="10"/>
  </w:num>
  <w:num w:numId="16">
    <w:abstractNumId w:val="29"/>
  </w:num>
  <w:num w:numId="17">
    <w:abstractNumId w:val="9"/>
  </w:num>
  <w:num w:numId="18">
    <w:abstractNumId w:val="20"/>
  </w:num>
  <w:num w:numId="19">
    <w:abstractNumId w:val="26"/>
  </w:num>
  <w:num w:numId="20">
    <w:abstractNumId w:val="11"/>
  </w:num>
  <w:num w:numId="21">
    <w:abstractNumId w:val="23"/>
  </w:num>
  <w:num w:numId="22">
    <w:abstractNumId w:val="36"/>
  </w:num>
  <w:num w:numId="23">
    <w:abstractNumId w:val="33"/>
  </w:num>
  <w:num w:numId="24">
    <w:abstractNumId w:val="22"/>
  </w:num>
  <w:num w:numId="25">
    <w:abstractNumId w:val="30"/>
  </w:num>
  <w:num w:numId="26">
    <w:abstractNumId w:val="21"/>
  </w:num>
  <w:num w:numId="27">
    <w:abstractNumId w:val="24"/>
  </w:num>
  <w:num w:numId="28">
    <w:abstractNumId w:val="35"/>
  </w:num>
  <w:num w:numId="29">
    <w:abstractNumId w:val="34"/>
  </w:num>
  <w:num w:numId="30">
    <w:abstractNumId w:val="25"/>
  </w:num>
  <w:num w:numId="31">
    <w:abstractNumId w:val="14"/>
  </w:num>
  <w:num w:numId="32">
    <w:abstractNumId w:val="8"/>
  </w:num>
  <w:num w:numId="33">
    <w:abstractNumId w:val="28"/>
  </w:num>
  <w:num w:numId="34">
    <w:abstractNumId w:val="16"/>
  </w:num>
  <w:num w:numId="35">
    <w:abstractNumId w:val="13"/>
  </w:num>
  <w:num w:numId="36">
    <w:abstractNumId w:val="32"/>
  </w:num>
  <w:num w:numId="37">
    <w:abstractNumId w:val="17"/>
  </w:num>
  <w:num w:numId="3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2"/>
  <w:removePersonalInformation/>
  <w:removeDateAndTime/>
  <w:hideSpellingErrors/>
  <w:hideGrammaticalErrors/>
  <w:defaultTabStop w:val="720"/>
  <w:hyphenationZone w:val="425"/>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LW_CONFIDENCE" w:val=" "/>
    <w:docVar w:name="LW_CONST_RESTREINT_UE" w:val="RESTREINT UE"/>
    <w:docVar w:name="LW_CORRIGENDUM" w:val="&lt;UNUSED&gt;"/>
    <w:docVar w:name="LW_COVERPAGE_GUID" w:val="8F8BBC6F2943488690F4A6D4D9706A39"/>
    <w:docVar w:name="LW_CROSSREFERENCE" w:val="&lt;UNUSED&gt;"/>
    <w:docVar w:name="LW_DocType" w:val="NORMAL"/>
    <w:docVar w:name="LW_EMISSION" w:val="8.3.2016"/>
    <w:docVar w:name="LW_EMISSION_ISODATE" w:val="2016-03-08"/>
    <w:docVar w:name="LW_EMISSION_LOCATION" w:val="STR"/>
    <w:docVar w:name="LW_EMISSION_PREFIX" w:val="Strasbourg den "/>
    <w:docVar w:name="LW_EMISSION_SUFFIX" w:val=" "/>
    <w:docVar w:name="LW_ID_DOCTYPE_NONLW" w:val="CP-035"/>
    <w:docVar w:name="LW_LANGUE" w:val="SV"/>
    <w:docVar w:name="LW_MARKING" w:val="&lt;UNUSED&gt;"/>
    <w:docVar w:name="LW_NOM.INST" w:val="EUROPEISKA KOMMISSIONEN"/>
    <w:docVar w:name="LW_NOM.INST_JOINTDOC" w:val="&lt;EMPTY&gt;"/>
    <w:docVar w:name="LW_PART_NBR" w:val="1"/>
    <w:docVar w:name="LW_PART_NBR_TOTAL" w:val="1"/>
    <w:docVar w:name="LW_REF.II.NEW.CP" w:val="&lt;UNUSED&gt;"/>
    <w:docVar w:name="LW_REF.II.NEW.CP_NUMBER" w:val="&lt;UNUSED&gt;"/>
    <w:docVar w:name="LW_REF.II.NEW.CP_YEAR" w:val="2016"/>
    <w:docVar w:name="LW_REF.INST.NEW" w:val="COM"/>
    <w:docVar w:name="LW_REF.INST.NEW_ADOPTED" w:val="final"/>
    <w:docVar w:name="LW_REF.INST.NEW_TEXT" w:val="(2016) 95"/>
    <w:docVar w:name="LW_REF.INTERNE" w:val="&lt;UNUSED&gt;"/>
    <w:docVar w:name="LW_SOUS.TITRE.OBJ.CP" w:val="&lt;UNUSED&gt;"/>
    <w:docVar w:name="LW_SUPERTITRE" w:val="&lt;UNUSED&gt;"/>
    <w:docVar w:name="LW_TITRE.OBJ.CP" w:val="_x000b__x000b_Europeiska planeringsterminen2016: Bedömning av framstegen med strukturreformer, förebyggande och korrigering av makroekonomiska obalanser samt resultatet av de fördjupade granskningarna enligt förordning (EU) nr 1176/2011_x000b__x000b_{SWD(2016) 71 to SWD(2016) 96}_x000b_"/>
    <w:docVar w:name="LW_TYPE.DOC.CP" w:val="MEDDELANDE FRÅN KOMMISSIONEN TILL EUROPAPARLAMENTET, RÅDET, EUROPEISKA CENTRALBANKEN OCH EUROGRUPPEN"/>
  </w:docVars>
  <w:rsids>
    <w:rsidRoot w:val="008A54B8"/>
    <w:rsid w:val="008A54B8"/>
    <w:rsid w:val="00BD0C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Text1"/>
    <w:link w:val="Heading1Char"/>
    <w:uiPriority w:val="9"/>
    <w:qFormat/>
    <w:pPr>
      <w:keepNext/>
      <w:numPr>
        <w:numId w:val="16"/>
      </w:numPr>
      <w:spacing w:before="360" w:after="120" w:line="240" w:lineRule="auto"/>
      <w:jc w:val="both"/>
      <w:outlineLvl w:val="0"/>
    </w:pPr>
    <w:rPr>
      <w:rFonts w:ascii="Times New Roman" w:eastAsia="Times New Roman" w:hAnsi="Times New Roman"/>
      <w:b/>
      <w:bCs/>
      <w:smallCaps/>
      <w:sz w:val="24"/>
      <w:szCs w:val="28"/>
      <w:lang w:eastAsia="en-GB"/>
    </w:rPr>
  </w:style>
  <w:style w:type="paragraph" w:styleId="Heading2">
    <w:name w:val="heading 2"/>
    <w:basedOn w:val="Normal"/>
    <w:next w:val="Text1"/>
    <w:link w:val="Heading2Char"/>
    <w:uiPriority w:val="9"/>
    <w:qFormat/>
    <w:pPr>
      <w:keepNext/>
      <w:numPr>
        <w:ilvl w:val="1"/>
        <w:numId w:val="16"/>
      </w:numPr>
      <w:spacing w:before="120" w:after="120" w:line="240" w:lineRule="auto"/>
      <w:jc w:val="both"/>
      <w:outlineLvl w:val="1"/>
    </w:pPr>
    <w:rPr>
      <w:rFonts w:ascii="Times New Roman" w:eastAsia="Times New Roman" w:hAnsi="Times New Roman"/>
      <w:b/>
      <w:bCs/>
      <w:sz w:val="24"/>
      <w:szCs w:val="26"/>
      <w:lang w:eastAsia="en-GB"/>
    </w:rPr>
  </w:style>
  <w:style w:type="paragraph" w:styleId="Heading3">
    <w:name w:val="heading 3"/>
    <w:basedOn w:val="Normal"/>
    <w:next w:val="Text1"/>
    <w:link w:val="Heading3Char"/>
    <w:uiPriority w:val="9"/>
    <w:qFormat/>
    <w:pPr>
      <w:keepNext/>
      <w:numPr>
        <w:ilvl w:val="2"/>
        <w:numId w:val="16"/>
      </w:numPr>
      <w:spacing w:before="120" w:after="120" w:line="240" w:lineRule="auto"/>
      <w:jc w:val="both"/>
      <w:outlineLvl w:val="2"/>
    </w:pPr>
    <w:rPr>
      <w:rFonts w:ascii="Times New Roman" w:eastAsia="Times New Roman" w:hAnsi="Times New Roman"/>
      <w:bCs/>
      <w:i/>
      <w:sz w:val="24"/>
      <w:szCs w:val="20"/>
      <w:lang w:eastAsia="en-GB"/>
    </w:rPr>
  </w:style>
  <w:style w:type="paragraph" w:styleId="Heading4">
    <w:name w:val="heading 4"/>
    <w:basedOn w:val="Normal"/>
    <w:next w:val="Text1"/>
    <w:link w:val="Heading4Char"/>
    <w:uiPriority w:val="9"/>
    <w:qFormat/>
    <w:pPr>
      <w:keepNext/>
      <w:numPr>
        <w:ilvl w:val="3"/>
        <w:numId w:val="16"/>
      </w:numPr>
      <w:spacing w:before="120" w:after="120" w:line="240" w:lineRule="auto"/>
      <w:jc w:val="both"/>
      <w:outlineLvl w:val="3"/>
    </w:pPr>
    <w:rPr>
      <w:rFonts w:ascii="Times New Roman" w:eastAsia="Times New Roman" w:hAnsi="Times New Roman"/>
      <w:bCs/>
      <w:iCs/>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Times New Roman" w:eastAsia="Times New Roman" w:hAnsi="Times New Roman" w:cs="Times New Roman"/>
      <w:b/>
      <w:bCs/>
      <w:smallCaps/>
      <w:sz w:val="24"/>
      <w:szCs w:val="28"/>
      <w:lang w:eastAsia="en-GB"/>
    </w:rPr>
  </w:style>
  <w:style w:type="character" w:customStyle="1" w:styleId="Heading2Char">
    <w:name w:val="Heading 2 Char"/>
    <w:link w:val="Heading2"/>
    <w:uiPriority w:val="9"/>
    <w:rPr>
      <w:rFonts w:ascii="Times New Roman" w:eastAsia="Times New Roman" w:hAnsi="Times New Roman" w:cs="Times New Roman"/>
      <w:b/>
      <w:bCs/>
      <w:sz w:val="24"/>
      <w:szCs w:val="26"/>
      <w:lang w:eastAsia="en-GB"/>
    </w:rPr>
  </w:style>
  <w:style w:type="character" w:customStyle="1" w:styleId="Heading3Char">
    <w:name w:val="Heading 3 Char"/>
    <w:link w:val="Heading3"/>
    <w:uiPriority w:val="9"/>
    <w:rPr>
      <w:rFonts w:ascii="Times New Roman" w:eastAsia="Times New Roman" w:hAnsi="Times New Roman" w:cs="Times New Roman"/>
      <w:bCs/>
      <w:i/>
      <w:sz w:val="24"/>
      <w:szCs w:val="20"/>
      <w:lang w:eastAsia="en-GB"/>
    </w:rPr>
  </w:style>
  <w:style w:type="character" w:customStyle="1" w:styleId="Heading4Char">
    <w:name w:val="Heading 4 Char"/>
    <w:link w:val="Heading4"/>
    <w:uiPriority w:val="9"/>
    <w:rPr>
      <w:rFonts w:ascii="Times New Roman" w:eastAsia="Times New Roman" w:hAnsi="Times New Roman" w:cs="Times New Roman"/>
      <w:bCs/>
      <w:iCs/>
      <w:sz w:val="24"/>
      <w:szCs w:val="20"/>
      <w:lang w:eastAsia="en-GB"/>
    </w:rPr>
  </w:style>
  <w:style w:type="numbering" w:customStyle="1" w:styleId="NoList1">
    <w:name w:val="No List1"/>
    <w:next w:val="NoList"/>
    <w:uiPriority w:val="99"/>
    <w:semiHidden/>
    <w:unhideWhenUsed/>
  </w:style>
  <w:style w:type="character" w:customStyle="1" w:styleId="Marker">
    <w:name w:val="Marker"/>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sz w:val="24"/>
      <w:lang w:val="fr-BE"/>
    </w:rPr>
  </w:style>
  <w:style w:type="paragraph" w:styleId="Header">
    <w:name w:val="header"/>
    <w:basedOn w:val="Normal"/>
    <w:link w:val="HeaderChar"/>
    <w:uiPriority w:val="99"/>
    <w:unhideWhenUsed/>
    <w:pPr>
      <w:tabs>
        <w:tab w:val="center" w:pos="4536"/>
        <w:tab w:val="right" w:pos="9072"/>
      </w:tabs>
    </w:pPr>
    <w:rPr>
      <w:lang w:val="fr-BE"/>
    </w:rPr>
  </w:style>
  <w:style w:type="character" w:customStyle="1" w:styleId="HeaderChar">
    <w:name w:val="Header Char"/>
    <w:link w:val="Header"/>
    <w:uiPriority w:val="99"/>
    <w:rPr>
      <w:rFonts w:ascii="Calibri" w:eastAsia="Calibri" w:hAnsi="Calibri" w:cs="Times New Roman"/>
      <w:lang w:val="fr-BE"/>
    </w:rPr>
  </w:style>
  <w:style w:type="paragraph" w:styleId="Footer">
    <w:name w:val="footer"/>
    <w:basedOn w:val="Normal"/>
    <w:link w:val="FooterChar"/>
    <w:uiPriority w:val="99"/>
    <w:unhideWhenUsed/>
    <w:pPr>
      <w:tabs>
        <w:tab w:val="center" w:pos="4536"/>
        <w:tab w:val="right" w:pos="9072"/>
      </w:tabs>
    </w:pPr>
    <w:rPr>
      <w:lang w:val="fr-BE"/>
    </w:rPr>
  </w:style>
  <w:style w:type="character" w:customStyle="1" w:styleId="FooterChar">
    <w:name w:val="Footer Char"/>
    <w:link w:val="Footer"/>
    <w:uiPriority w:val="99"/>
    <w:rPr>
      <w:rFonts w:ascii="Calibri" w:eastAsia="Calibri" w:hAnsi="Calibri" w:cs="Times New Roman"/>
      <w:lang w:val="fr-BE"/>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sz w:val="24"/>
      <w:szCs w:val="20"/>
      <w:lang w:val="fr-BE" w:eastAsia="en-GB"/>
    </w:rPr>
  </w:style>
  <w:style w:type="character" w:customStyle="1" w:styleId="FooterCoverPageChar">
    <w:name w:val="Footer Cover Page Char"/>
    <w:link w:val="FooterCoverPage"/>
    <w:rPr>
      <w:rFonts w:ascii="Times New Roman" w:hAnsi="Times New Roman"/>
      <w:sz w:val="24"/>
      <w:lang w:val="fr-BE"/>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sz w:val="24"/>
      <w:szCs w:val="20"/>
      <w:lang w:val="fr-BE" w:eastAsia="en-GB"/>
    </w:rPr>
  </w:style>
  <w:style w:type="character" w:customStyle="1" w:styleId="HeaderCoverPageChar">
    <w:name w:val="Header Cover Page Char"/>
    <w:link w:val="HeaderCoverPage"/>
    <w:rPr>
      <w:rFonts w:ascii="Times New Roman" w:hAnsi="Times New Roman"/>
      <w:sz w:val="24"/>
      <w:lang w:val="fr-BE"/>
    </w:rPr>
  </w:style>
  <w:style w:type="paragraph" w:styleId="ListBullet">
    <w:name w:val="List Bullet"/>
    <w:basedOn w:val="Normal"/>
    <w:uiPriority w:val="99"/>
    <w:pPr>
      <w:numPr>
        <w:numId w:val="1"/>
      </w:numPr>
      <w:spacing w:before="120" w:after="120" w:line="240" w:lineRule="auto"/>
      <w:jc w:val="both"/>
    </w:pPr>
    <w:rPr>
      <w:rFonts w:ascii="Times New Roman" w:eastAsia="Times New Roman" w:hAnsi="Times New Roman"/>
      <w:sz w:val="24"/>
      <w:szCs w:val="24"/>
      <w:lang w:eastAsia="en-GB"/>
    </w:rPr>
  </w:style>
  <w:style w:type="character" w:styleId="CommentReference">
    <w:name w:val="annotation reference"/>
    <w:uiPriority w:val="99"/>
    <w:rPr>
      <w:sz w:val="16"/>
    </w:rPr>
  </w:style>
  <w:style w:type="paragraph" w:styleId="ListBullet2">
    <w:name w:val="List Bullet 2"/>
    <w:basedOn w:val="Normal"/>
    <w:uiPriority w:val="99"/>
    <w:semiHidden/>
    <w:unhideWhenUsed/>
    <w:pPr>
      <w:numPr>
        <w:numId w:val="2"/>
      </w:numPr>
      <w:spacing w:before="120" w:after="120" w:line="240" w:lineRule="auto"/>
      <w:contextualSpacing/>
      <w:jc w:val="both"/>
    </w:pPr>
    <w:rPr>
      <w:rFonts w:ascii="Times New Roman" w:eastAsia="Times New Roman" w:hAnsi="Times New Roman"/>
      <w:sz w:val="24"/>
      <w:szCs w:val="20"/>
      <w:lang w:eastAsia="en-GB"/>
    </w:rPr>
  </w:style>
  <w:style w:type="paragraph" w:styleId="ListBullet3">
    <w:name w:val="List Bullet 3"/>
    <w:basedOn w:val="Normal"/>
    <w:uiPriority w:val="99"/>
    <w:semiHidden/>
    <w:unhideWhenUsed/>
    <w:pPr>
      <w:numPr>
        <w:numId w:val="3"/>
      </w:numPr>
      <w:spacing w:before="120" w:after="120" w:line="240" w:lineRule="auto"/>
      <w:contextualSpacing/>
      <w:jc w:val="both"/>
    </w:pPr>
    <w:rPr>
      <w:rFonts w:ascii="Times New Roman" w:eastAsia="Times New Roman" w:hAnsi="Times New Roman"/>
      <w:sz w:val="24"/>
      <w:szCs w:val="20"/>
      <w:lang w:eastAsia="en-GB"/>
    </w:rPr>
  </w:style>
  <w:style w:type="paragraph" w:styleId="ListBullet4">
    <w:name w:val="List Bullet 4"/>
    <w:basedOn w:val="Normal"/>
    <w:uiPriority w:val="99"/>
    <w:semiHidden/>
    <w:unhideWhenUsed/>
    <w:pPr>
      <w:numPr>
        <w:numId w:val="4"/>
      </w:numPr>
      <w:spacing w:before="120" w:after="120" w:line="240" w:lineRule="auto"/>
      <w:contextualSpacing/>
      <w:jc w:val="both"/>
    </w:pPr>
    <w:rPr>
      <w:rFonts w:ascii="Times New Roman" w:eastAsia="Times New Roman" w:hAnsi="Times New Roman"/>
      <w:sz w:val="24"/>
      <w:szCs w:val="20"/>
      <w:lang w:eastAsia="en-GB"/>
    </w:rPr>
  </w:style>
  <w:style w:type="paragraph" w:styleId="BalloonText">
    <w:name w:val="Balloon Text"/>
    <w:basedOn w:val="Normal"/>
    <w:link w:val="BalloonTextChar"/>
    <w:uiPriority w:val="99"/>
    <w:semiHidden/>
    <w:unhideWhenUsed/>
    <w:pPr>
      <w:spacing w:after="0" w:line="240" w:lineRule="auto"/>
      <w:jc w:val="both"/>
    </w:pPr>
    <w:rPr>
      <w:rFonts w:ascii="Tahoma" w:eastAsia="Times New Roman" w:hAnsi="Tahoma" w:cs="Tahoma"/>
      <w:sz w:val="16"/>
      <w:szCs w:val="16"/>
      <w:lang w:eastAsia="en-GB"/>
    </w:rPr>
  </w:style>
  <w:style w:type="character" w:customStyle="1" w:styleId="BalloonTextChar">
    <w:name w:val="Balloon Text Char"/>
    <w:link w:val="BalloonText"/>
    <w:uiPriority w:val="99"/>
    <w:semiHidden/>
    <w:rPr>
      <w:rFonts w:ascii="Tahoma" w:eastAsia="Times New Roman" w:hAnsi="Tahoma" w:cs="Tahoma"/>
      <w:sz w:val="16"/>
      <w:szCs w:val="16"/>
      <w:lang w:eastAsia="en-GB"/>
    </w:rPr>
  </w:style>
  <w:style w:type="character" w:styleId="Hyperlink">
    <w:name w:val="Hyperlink"/>
    <w:uiPriority w:val="99"/>
    <w:unhideWhenUsed/>
    <w:rPr>
      <w:color w:val="0000FF"/>
      <w:u w:val="single"/>
    </w:rPr>
  </w:style>
  <w:style w:type="paragraph" w:styleId="CommentText">
    <w:name w:val="annotation text"/>
    <w:basedOn w:val="Normal"/>
    <w:link w:val="CommentTextChar"/>
    <w:uiPriority w:val="99"/>
    <w:unhideWhenUsed/>
    <w:pPr>
      <w:spacing w:before="120" w:after="120" w:line="240" w:lineRule="auto"/>
      <w:jc w:val="both"/>
    </w:pPr>
    <w:rPr>
      <w:rFonts w:ascii="Times New Roman" w:eastAsia="Times New Roman" w:hAnsi="Times New Roman"/>
      <w:sz w:val="20"/>
      <w:szCs w:val="20"/>
      <w:lang w:eastAsia="en-GB"/>
    </w:rPr>
  </w:style>
  <w:style w:type="character" w:customStyle="1" w:styleId="CommentTextChar">
    <w:name w:val="Comment Text Char"/>
    <w:link w:val="CommentText"/>
    <w:uiPriority w:val="99"/>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rFonts w:ascii="Times New Roman" w:eastAsia="Times New Roman" w:hAnsi="Times New Roman" w:cs="Times New Roman"/>
      <w:b/>
      <w:bCs/>
      <w:sz w:val="20"/>
      <w:szCs w:val="20"/>
      <w:lang w:eastAsia="en-GB"/>
    </w:rPr>
  </w:style>
  <w:style w:type="paragraph" w:customStyle="1" w:styleId="Default">
    <w:name w:val="Default"/>
    <w:pPr>
      <w:autoSpaceDE w:val="0"/>
      <w:autoSpaceDN w:val="0"/>
      <w:adjustRightInd w:val="0"/>
    </w:pPr>
    <w:rPr>
      <w:rFonts w:ascii="Times New Roman" w:eastAsia="Times New Roman" w:hAnsi="Times New Roman"/>
      <w:color w:val="000000"/>
      <w:sz w:val="24"/>
      <w:szCs w:val="24"/>
    </w:rPr>
  </w:style>
  <w:style w:type="paragraph" w:customStyle="1" w:styleId="HeaderTitleRight30">
    <w:name w:val="Header Title Right (30)"/>
    <w:basedOn w:val="Normal"/>
    <w:next w:val="Normal"/>
    <w:pPr>
      <w:spacing w:before="100" w:after="40" w:line="240" w:lineRule="auto"/>
      <w:ind w:right="-850"/>
      <w:jc w:val="right"/>
    </w:pPr>
    <w:rPr>
      <w:rFonts w:ascii="Century Gothic" w:eastAsia="Times New Roman" w:hAnsi="Century Gothic"/>
      <w:color w:val="333399"/>
      <w:sz w:val="14"/>
      <w:szCs w:val="24"/>
      <w:lang w:eastAsia="en-GB"/>
    </w:rPr>
  </w:style>
  <w:style w:type="table" w:styleId="TableGrid">
    <w:name w:val="Table Grid"/>
    <w:basedOn w:val="TableNormal"/>
    <w:uiPriority w:val="5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qFormat/>
    <w:pPr>
      <w:spacing w:before="120" w:after="120" w:line="240" w:lineRule="auto"/>
      <w:jc w:val="both"/>
    </w:pPr>
    <w:rPr>
      <w:rFonts w:ascii="Times New Roman" w:eastAsia="Times New Roman" w:hAnsi="Times New Roman"/>
      <w:b/>
      <w:bCs/>
      <w:sz w:val="20"/>
      <w:szCs w:val="20"/>
      <w:lang w:eastAsia="en-GB"/>
    </w:rPr>
  </w:style>
  <w:style w:type="paragraph" w:styleId="TableofFigures">
    <w:name w:val="table of figures"/>
    <w:basedOn w:val="Normal"/>
    <w:next w:val="Normal"/>
    <w:uiPriority w:val="99"/>
    <w:semiHidden/>
    <w:unhideWhenUsed/>
    <w:pPr>
      <w:spacing w:before="120" w:after="120" w:line="240" w:lineRule="auto"/>
      <w:jc w:val="both"/>
    </w:pPr>
    <w:rPr>
      <w:rFonts w:ascii="Times New Roman" w:eastAsia="Times New Roman" w:hAnsi="Times New Roman"/>
      <w:sz w:val="24"/>
      <w:szCs w:val="20"/>
      <w:lang w:eastAsia="en-GB"/>
    </w:rPr>
  </w:style>
  <w:style w:type="paragraph" w:styleId="ListNumber">
    <w:name w:val="List Number"/>
    <w:basedOn w:val="Normal"/>
    <w:uiPriority w:val="99"/>
    <w:semiHidden/>
    <w:unhideWhenUsed/>
    <w:pPr>
      <w:numPr>
        <w:numId w:val="5"/>
      </w:numPr>
      <w:spacing w:before="120" w:after="120" w:line="240" w:lineRule="auto"/>
      <w:contextualSpacing/>
      <w:jc w:val="both"/>
    </w:pPr>
    <w:rPr>
      <w:rFonts w:ascii="Times New Roman" w:eastAsia="Times New Roman" w:hAnsi="Times New Roman"/>
      <w:sz w:val="24"/>
      <w:szCs w:val="20"/>
      <w:lang w:eastAsia="en-GB"/>
    </w:rPr>
  </w:style>
  <w:style w:type="paragraph" w:styleId="ListNumber2">
    <w:name w:val="List Number 2"/>
    <w:basedOn w:val="Normal"/>
    <w:uiPriority w:val="99"/>
    <w:semiHidden/>
    <w:unhideWhenUsed/>
    <w:pPr>
      <w:numPr>
        <w:numId w:val="6"/>
      </w:numPr>
      <w:spacing w:before="120" w:after="120" w:line="240" w:lineRule="auto"/>
      <w:contextualSpacing/>
      <w:jc w:val="both"/>
    </w:pPr>
    <w:rPr>
      <w:rFonts w:ascii="Times New Roman" w:eastAsia="Times New Roman" w:hAnsi="Times New Roman"/>
      <w:sz w:val="24"/>
      <w:szCs w:val="20"/>
      <w:lang w:eastAsia="en-GB"/>
    </w:rPr>
  </w:style>
  <w:style w:type="paragraph" w:styleId="ListNumber3">
    <w:name w:val="List Number 3"/>
    <w:basedOn w:val="Normal"/>
    <w:uiPriority w:val="99"/>
    <w:semiHidden/>
    <w:unhideWhenUsed/>
    <w:pPr>
      <w:numPr>
        <w:numId w:val="7"/>
      </w:numPr>
      <w:spacing w:before="120" w:after="120" w:line="240" w:lineRule="auto"/>
      <w:contextualSpacing/>
      <w:jc w:val="both"/>
    </w:pPr>
    <w:rPr>
      <w:rFonts w:ascii="Times New Roman" w:eastAsia="Times New Roman" w:hAnsi="Times New Roman"/>
      <w:sz w:val="24"/>
      <w:szCs w:val="20"/>
      <w:lang w:eastAsia="en-GB"/>
    </w:rPr>
  </w:style>
  <w:style w:type="paragraph" w:styleId="ListNumber4">
    <w:name w:val="List Number 4"/>
    <w:basedOn w:val="Normal"/>
    <w:uiPriority w:val="99"/>
    <w:semiHidden/>
    <w:unhideWhenUsed/>
    <w:pPr>
      <w:numPr>
        <w:numId w:val="8"/>
      </w:numPr>
      <w:spacing w:before="120" w:after="120" w:line="240" w:lineRule="auto"/>
      <w:contextualSpacing/>
      <w:jc w:val="both"/>
    </w:pPr>
    <w:rPr>
      <w:rFonts w:ascii="Times New Roman" w:eastAsia="Times New Roman" w:hAnsi="Times New Roman"/>
      <w:sz w:val="24"/>
      <w:szCs w:val="20"/>
      <w:lang w:eastAsia="en-GB"/>
    </w:rPr>
  </w:style>
  <w:style w:type="paragraph" w:styleId="FootnoteText">
    <w:name w:val="footnote text"/>
    <w:aliases w:val="Podrozdział,Footnote Text Char1 Char,Footnote Text Char Char Char,Footnote Text Char2 Char Char Char,Footnote Text Char1 Char Char Char Char,Footnote Text Char Char Char Char Char Char,Plonk,Footnote text PFR,fn,o,f,Footnote Text Char2 Cha"/>
    <w:basedOn w:val="Normal"/>
    <w:link w:val="FootnoteTextChar"/>
    <w:uiPriority w:val="99"/>
    <w:unhideWhenUsed/>
    <w:pPr>
      <w:spacing w:after="0" w:line="240" w:lineRule="auto"/>
      <w:ind w:left="720" w:hanging="720"/>
      <w:jc w:val="both"/>
    </w:pPr>
    <w:rPr>
      <w:rFonts w:ascii="Times New Roman" w:eastAsia="Times New Roman" w:hAnsi="Times New Roman"/>
      <w:sz w:val="20"/>
      <w:szCs w:val="20"/>
      <w:lang w:eastAsia="en-GB"/>
    </w:rPr>
  </w:style>
  <w:style w:type="character" w:customStyle="1" w:styleId="FootnoteTextChar">
    <w:name w:val="Footnote Text Char"/>
    <w:aliases w:val="Podrozdział Char,Footnote Text Char1 Char Char,Footnote Text Char Char Char Char,Footnote Text Char2 Char Char Char Char,Footnote Text Char1 Char Char Char Char Char,Footnote Text Char Char Char Char Char Char Char,Plonk Char,fn Char"/>
    <w:link w:val="FootnoteText"/>
    <w:uiPriority w:val="99"/>
    <w:rPr>
      <w:rFonts w:ascii="Times New Roman" w:eastAsia="Times New Roman" w:hAnsi="Times New Roman" w:cs="Times New Roman"/>
      <w:sz w:val="20"/>
      <w:szCs w:val="20"/>
      <w:lang w:eastAsia="en-GB"/>
    </w:rPr>
  </w:style>
  <w:style w:type="paragraph" w:customStyle="1" w:styleId="En-ttedetabledesmatires">
    <w:name w:val="En-tête de table des matières"/>
    <w:basedOn w:val="Normal"/>
    <w:next w:val="Normal"/>
    <w:uiPriority w:val="39"/>
    <w:semiHidden/>
    <w:unhideWhenUsed/>
    <w:qFormat/>
    <w:pPr>
      <w:spacing w:before="120" w:after="240" w:line="240" w:lineRule="auto"/>
      <w:jc w:val="center"/>
    </w:pPr>
    <w:rPr>
      <w:rFonts w:ascii="Times New Roman" w:eastAsia="Times New Roman" w:hAnsi="Times New Roman"/>
      <w:b/>
      <w:sz w:val="28"/>
      <w:szCs w:val="20"/>
      <w:lang w:eastAsia="en-GB"/>
    </w:rPr>
  </w:style>
  <w:style w:type="paragraph" w:styleId="TOC1">
    <w:name w:val="toc 1"/>
    <w:basedOn w:val="Normal"/>
    <w:next w:val="Normal"/>
    <w:uiPriority w:val="39"/>
    <w:semiHidden/>
    <w:unhideWhenUsed/>
    <w:pPr>
      <w:tabs>
        <w:tab w:val="right" w:leader="dot" w:pos="9071"/>
      </w:tabs>
      <w:spacing w:before="60" w:after="120" w:line="240" w:lineRule="auto"/>
      <w:ind w:left="850" w:hanging="850"/>
    </w:pPr>
    <w:rPr>
      <w:rFonts w:ascii="Times New Roman" w:eastAsia="Times New Roman" w:hAnsi="Times New Roman"/>
      <w:sz w:val="24"/>
      <w:szCs w:val="20"/>
      <w:lang w:eastAsia="en-GB"/>
    </w:rPr>
  </w:style>
  <w:style w:type="paragraph" w:styleId="TOC2">
    <w:name w:val="toc 2"/>
    <w:basedOn w:val="Normal"/>
    <w:next w:val="Normal"/>
    <w:uiPriority w:val="39"/>
    <w:semiHidden/>
    <w:unhideWhenUsed/>
    <w:pPr>
      <w:tabs>
        <w:tab w:val="right" w:leader="dot" w:pos="9071"/>
      </w:tabs>
      <w:spacing w:before="60" w:after="120" w:line="240" w:lineRule="auto"/>
      <w:ind w:left="850" w:hanging="850"/>
    </w:pPr>
    <w:rPr>
      <w:rFonts w:ascii="Times New Roman" w:eastAsia="Times New Roman" w:hAnsi="Times New Roman"/>
      <w:sz w:val="24"/>
      <w:szCs w:val="20"/>
      <w:lang w:eastAsia="en-GB"/>
    </w:rPr>
  </w:style>
  <w:style w:type="paragraph" w:styleId="TOC3">
    <w:name w:val="toc 3"/>
    <w:basedOn w:val="Normal"/>
    <w:next w:val="Normal"/>
    <w:uiPriority w:val="39"/>
    <w:semiHidden/>
    <w:unhideWhenUsed/>
    <w:pPr>
      <w:tabs>
        <w:tab w:val="right" w:leader="dot" w:pos="9071"/>
      </w:tabs>
      <w:spacing w:before="60" w:after="120" w:line="240" w:lineRule="auto"/>
      <w:ind w:left="850" w:hanging="850"/>
    </w:pPr>
    <w:rPr>
      <w:rFonts w:ascii="Times New Roman" w:eastAsia="Times New Roman" w:hAnsi="Times New Roman"/>
      <w:sz w:val="24"/>
      <w:szCs w:val="20"/>
      <w:lang w:eastAsia="en-GB"/>
    </w:rPr>
  </w:style>
  <w:style w:type="paragraph" w:styleId="TOC4">
    <w:name w:val="toc 4"/>
    <w:basedOn w:val="Normal"/>
    <w:next w:val="Normal"/>
    <w:uiPriority w:val="39"/>
    <w:semiHidden/>
    <w:unhideWhenUsed/>
    <w:pPr>
      <w:tabs>
        <w:tab w:val="right" w:leader="dot" w:pos="9071"/>
      </w:tabs>
      <w:spacing w:before="60" w:after="120" w:line="240" w:lineRule="auto"/>
      <w:ind w:left="850" w:hanging="850"/>
    </w:pPr>
    <w:rPr>
      <w:rFonts w:ascii="Times New Roman" w:eastAsia="Times New Roman" w:hAnsi="Times New Roman"/>
      <w:sz w:val="24"/>
      <w:szCs w:val="20"/>
      <w:lang w:eastAsia="en-GB"/>
    </w:rPr>
  </w:style>
  <w:style w:type="paragraph" w:styleId="TOC5">
    <w:name w:val="toc 5"/>
    <w:basedOn w:val="Normal"/>
    <w:next w:val="Normal"/>
    <w:uiPriority w:val="39"/>
    <w:semiHidden/>
    <w:unhideWhenUsed/>
    <w:pPr>
      <w:tabs>
        <w:tab w:val="right" w:leader="dot" w:pos="9071"/>
      </w:tabs>
      <w:spacing w:before="300" w:after="120" w:line="240" w:lineRule="auto"/>
    </w:pPr>
    <w:rPr>
      <w:rFonts w:ascii="Times New Roman" w:eastAsia="Times New Roman" w:hAnsi="Times New Roman"/>
      <w:sz w:val="24"/>
      <w:szCs w:val="20"/>
      <w:lang w:eastAsia="en-GB"/>
    </w:rPr>
  </w:style>
  <w:style w:type="paragraph" w:styleId="TOC6">
    <w:name w:val="toc 6"/>
    <w:basedOn w:val="Normal"/>
    <w:next w:val="Normal"/>
    <w:uiPriority w:val="39"/>
    <w:semiHidden/>
    <w:unhideWhenUsed/>
    <w:pPr>
      <w:tabs>
        <w:tab w:val="right" w:leader="dot" w:pos="9071"/>
      </w:tabs>
      <w:spacing w:before="240" w:after="120" w:line="240" w:lineRule="auto"/>
    </w:pPr>
    <w:rPr>
      <w:rFonts w:ascii="Times New Roman" w:eastAsia="Times New Roman" w:hAnsi="Times New Roman"/>
      <w:sz w:val="24"/>
      <w:szCs w:val="20"/>
      <w:lang w:eastAsia="en-GB"/>
    </w:rPr>
  </w:style>
  <w:style w:type="paragraph" w:styleId="TOC7">
    <w:name w:val="toc 7"/>
    <w:basedOn w:val="Normal"/>
    <w:next w:val="Normal"/>
    <w:uiPriority w:val="39"/>
    <w:semiHidden/>
    <w:unhideWhenUsed/>
    <w:pPr>
      <w:tabs>
        <w:tab w:val="right" w:leader="dot" w:pos="9071"/>
      </w:tabs>
      <w:spacing w:before="180" w:after="120" w:line="240" w:lineRule="auto"/>
    </w:pPr>
    <w:rPr>
      <w:rFonts w:ascii="Times New Roman" w:eastAsia="Times New Roman" w:hAnsi="Times New Roman"/>
      <w:sz w:val="24"/>
      <w:szCs w:val="20"/>
      <w:lang w:eastAsia="en-GB"/>
    </w:rPr>
  </w:style>
  <w:style w:type="paragraph" w:styleId="TOC8">
    <w:name w:val="toc 8"/>
    <w:basedOn w:val="Normal"/>
    <w:next w:val="Normal"/>
    <w:uiPriority w:val="39"/>
    <w:semiHidden/>
    <w:unhideWhenUsed/>
    <w:pPr>
      <w:tabs>
        <w:tab w:val="right" w:leader="dot" w:pos="9071"/>
      </w:tabs>
      <w:spacing w:before="120" w:after="120" w:line="240" w:lineRule="auto"/>
    </w:pPr>
    <w:rPr>
      <w:rFonts w:ascii="Times New Roman" w:eastAsia="Times New Roman" w:hAnsi="Times New Roman"/>
      <w:sz w:val="24"/>
      <w:szCs w:val="20"/>
      <w:lang w:eastAsia="en-GB"/>
    </w:rPr>
  </w:style>
  <w:style w:type="paragraph" w:styleId="TOC9">
    <w:name w:val="toc 9"/>
    <w:basedOn w:val="Normal"/>
    <w:next w:val="Normal"/>
    <w:uiPriority w:val="39"/>
    <w:semiHidden/>
    <w:unhideWhenUsed/>
    <w:pPr>
      <w:tabs>
        <w:tab w:val="right" w:leader="dot" w:pos="9071"/>
      </w:tabs>
      <w:spacing w:before="120" w:after="120" w:line="240" w:lineRule="auto"/>
      <w:jc w:val="both"/>
    </w:pPr>
    <w:rPr>
      <w:rFonts w:ascii="Times New Roman" w:eastAsia="Times New Roman" w:hAnsi="Times New Roman"/>
      <w:sz w:val="24"/>
      <w:szCs w:val="20"/>
      <w:lang w:eastAsia="en-GB"/>
    </w:rPr>
  </w:style>
  <w:style w:type="paragraph" w:customStyle="1" w:styleId="HeaderLandscape">
    <w:name w:val="HeaderLandscape"/>
    <w:basedOn w:val="Normal"/>
    <w:pPr>
      <w:tabs>
        <w:tab w:val="center" w:pos="7285"/>
        <w:tab w:val="right" w:pos="14003"/>
      </w:tabs>
      <w:spacing w:after="120" w:line="240" w:lineRule="auto"/>
      <w:jc w:val="both"/>
    </w:pPr>
    <w:rPr>
      <w:rFonts w:ascii="Times New Roman" w:hAnsi="Times New Roman"/>
      <w:sz w:val="24"/>
    </w:rPr>
  </w:style>
  <w:style w:type="paragraph" w:customStyle="1" w:styleId="FooterLandscape">
    <w:name w:val="FooterLandscape"/>
    <w:basedOn w:val="Normal"/>
    <w:pPr>
      <w:tabs>
        <w:tab w:val="center" w:pos="7285"/>
        <w:tab w:val="center" w:pos="10913"/>
        <w:tab w:val="right" w:pos="15137"/>
      </w:tabs>
      <w:spacing w:before="360" w:after="0" w:line="240" w:lineRule="auto"/>
      <w:ind w:left="-567" w:right="-567"/>
    </w:pPr>
    <w:rPr>
      <w:rFonts w:ascii="Times New Roman" w:eastAsia="Times New Roman" w:hAnsi="Times New Roman"/>
      <w:sz w:val="24"/>
      <w:szCs w:val="20"/>
      <w:lang w:eastAsia="en-GB"/>
    </w:rPr>
  </w:style>
  <w:style w:type="character" w:styleId="FootnoteReference">
    <w:name w:val="footnote reference"/>
    <w:aliases w:val="Footnote symbol,Footnote reference number,Times 10 Point,Exposant 3 Point,EN Footnote Reference,note TESI,SUPERS,Nota,Footnote number, Char1,Char1,Ref,de nota al pie,EN Footnote text, Exposant 3 Point,Footnote Reference_LVL6,E...,numb"/>
    <w:link w:val="FootnotesymbolCarZchn"/>
    <w:uiPriority w:val="99"/>
    <w:unhideWhenUsed/>
    <w:qFormat/>
    <w:rPr>
      <w:vertAlign w:val="superscript"/>
    </w:rPr>
  </w:style>
  <w:style w:type="paragraph" w:customStyle="1" w:styleId="Text1">
    <w:name w:val="Text 1"/>
    <w:basedOn w:val="Normal"/>
    <w:pPr>
      <w:spacing w:before="120" w:after="120" w:line="240" w:lineRule="auto"/>
      <w:ind w:left="850"/>
      <w:jc w:val="both"/>
    </w:pPr>
    <w:rPr>
      <w:rFonts w:ascii="Times New Roman" w:eastAsia="Times New Roman" w:hAnsi="Times New Roman"/>
      <w:sz w:val="24"/>
      <w:szCs w:val="20"/>
      <w:lang w:eastAsia="en-GB"/>
    </w:rPr>
  </w:style>
  <w:style w:type="paragraph" w:customStyle="1" w:styleId="Text2">
    <w:name w:val="Text 2"/>
    <w:basedOn w:val="Normal"/>
    <w:pPr>
      <w:spacing w:before="120" w:after="120" w:line="240" w:lineRule="auto"/>
      <w:ind w:left="1417"/>
      <w:jc w:val="both"/>
    </w:pPr>
    <w:rPr>
      <w:rFonts w:ascii="Times New Roman" w:eastAsia="Times New Roman" w:hAnsi="Times New Roman"/>
      <w:sz w:val="24"/>
      <w:szCs w:val="20"/>
      <w:lang w:eastAsia="en-GB"/>
    </w:rPr>
  </w:style>
  <w:style w:type="paragraph" w:customStyle="1" w:styleId="Text3">
    <w:name w:val="Text 3"/>
    <w:basedOn w:val="Normal"/>
    <w:pPr>
      <w:spacing w:before="120" w:after="120" w:line="240" w:lineRule="auto"/>
      <w:ind w:left="1984"/>
      <w:jc w:val="both"/>
    </w:pPr>
    <w:rPr>
      <w:rFonts w:ascii="Times New Roman" w:eastAsia="Times New Roman" w:hAnsi="Times New Roman"/>
      <w:sz w:val="24"/>
      <w:szCs w:val="20"/>
      <w:lang w:eastAsia="en-GB"/>
    </w:rPr>
  </w:style>
  <w:style w:type="paragraph" w:customStyle="1" w:styleId="Text4">
    <w:name w:val="Text 4"/>
    <w:basedOn w:val="Normal"/>
    <w:pPr>
      <w:spacing w:before="120" w:after="120" w:line="240" w:lineRule="auto"/>
      <w:ind w:left="2551"/>
      <w:jc w:val="both"/>
    </w:pPr>
    <w:rPr>
      <w:rFonts w:ascii="Times New Roman" w:eastAsia="Times New Roman" w:hAnsi="Times New Roman"/>
      <w:sz w:val="24"/>
      <w:szCs w:val="20"/>
      <w:lang w:eastAsia="en-GB"/>
    </w:rPr>
  </w:style>
  <w:style w:type="paragraph" w:customStyle="1" w:styleId="NormalCentered">
    <w:name w:val="Normal Centered"/>
    <w:basedOn w:val="Normal"/>
    <w:pPr>
      <w:spacing w:before="120" w:after="120" w:line="240" w:lineRule="auto"/>
      <w:jc w:val="center"/>
    </w:pPr>
    <w:rPr>
      <w:rFonts w:ascii="Times New Roman" w:eastAsia="Times New Roman" w:hAnsi="Times New Roman"/>
      <w:sz w:val="24"/>
      <w:szCs w:val="20"/>
      <w:lang w:eastAsia="en-GB"/>
    </w:rPr>
  </w:style>
  <w:style w:type="paragraph" w:customStyle="1" w:styleId="NormalLeft">
    <w:name w:val="Normal Left"/>
    <w:basedOn w:val="Normal"/>
    <w:pPr>
      <w:spacing w:before="120" w:after="120" w:line="240" w:lineRule="auto"/>
    </w:pPr>
    <w:rPr>
      <w:rFonts w:ascii="Times New Roman" w:eastAsia="Times New Roman" w:hAnsi="Times New Roman"/>
      <w:sz w:val="24"/>
      <w:szCs w:val="20"/>
      <w:lang w:eastAsia="en-GB"/>
    </w:rPr>
  </w:style>
  <w:style w:type="paragraph" w:customStyle="1" w:styleId="NormalRight">
    <w:name w:val="Normal Right"/>
    <w:basedOn w:val="Normal"/>
    <w:pPr>
      <w:spacing w:before="120" w:after="120" w:line="240" w:lineRule="auto"/>
      <w:jc w:val="right"/>
    </w:pPr>
    <w:rPr>
      <w:rFonts w:ascii="Times New Roman" w:eastAsia="Times New Roman" w:hAnsi="Times New Roman"/>
      <w:sz w:val="24"/>
      <w:szCs w:val="20"/>
      <w:lang w:eastAsia="en-GB"/>
    </w:rPr>
  </w:style>
  <w:style w:type="paragraph" w:customStyle="1" w:styleId="QuotedText">
    <w:name w:val="Quoted Text"/>
    <w:basedOn w:val="Normal"/>
    <w:pPr>
      <w:spacing w:before="120" w:after="120" w:line="240" w:lineRule="auto"/>
      <w:ind w:left="1417"/>
      <w:jc w:val="both"/>
    </w:pPr>
    <w:rPr>
      <w:rFonts w:ascii="Times New Roman" w:eastAsia="Times New Roman" w:hAnsi="Times New Roman"/>
      <w:sz w:val="24"/>
      <w:szCs w:val="20"/>
      <w:lang w:eastAsia="en-GB"/>
    </w:rPr>
  </w:style>
  <w:style w:type="paragraph" w:customStyle="1" w:styleId="Point0">
    <w:name w:val="Point 0"/>
    <w:basedOn w:val="Normal"/>
    <w:pPr>
      <w:spacing w:before="120" w:after="120" w:line="240" w:lineRule="auto"/>
      <w:ind w:left="850" w:hanging="850"/>
      <w:jc w:val="both"/>
    </w:pPr>
    <w:rPr>
      <w:rFonts w:ascii="Times New Roman" w:eastAsia="Times New Roman" w:hAnsi="Times New Roman"/>
      <w:sz w:val="24"/>
      <w:szCs w:val="20"/>
      <w:lang w:eastAsia="en-GB"/>
    </w:rPr>
  </w:style>
  <w:style w:type="paragraph" w:customStyle="1" w:styleId="Point1">
    <w:name w:val="Point 1"/>
    <w:basedOn w:val="Normal"/>
    <w:pPr>
      <w:spacing w:before="120" w:after="120" w:line="240" w:lineRule="auto"/>
      <w:ind w:left="1417" w:hanging="567"/>
      <w:jc w:val="both"/>
    </w:pPr>
    <w:rPr>
      <w:rFonts w:ascii="Times New Roman" w:eastAsia="Times New Roman" w:hAnsi="Times New Roman"/>
      <w:sz w:val="24"/>
      <w:szCs w:val="20"/>
      <w:lang w:eastAsia="en-GB"/>
    </w:rPr>
  </w:style>
  <w:style w:type="paragraph" w:customStyle="1" w:styleId="Point2">
    <w:name w:val="Point 2"/>
    <w:basedOn w:val="Normal"/>
    <w:pPr>
      <w:spacing w:before="120" w:after="120" w:line="240" w:lineRule="auto"/>
      <w:ind w:left="1984" w:hanging="567"/>
      <w:jc w:val="both"/>
    </w:pPr>
    <w:rPr>
      <w:rFonts w:ascii="Times New Roman" w:eastAsia="Times New Roman" w:hAnsi="Times New Roman"/>
      <w:sz w:val="24"/>
      <w:szCs w:val="20"/>
      <w:lang w:eastAsia="en-GB"/>
    </w:rPr>
  </w:style>
  <w:style w:type="paragraph" w:customStyle="1" w:styleId="Point3">
    <w:name w:val="Point 3"/>
    <w:basedOn w:val="Normal"/>
    <w:pPr>
      <w:spacing w:before="120" w:after="120" w:line="240" w:lineRule="auto"/>
      <w:ind w:left="2551" w:hanging="567"/>
      <w:jc w:val="both"/>
    </w:pPr>
    <w:rPr>
      <w:rFonts w:ascii="Times New Roman" w:eastAsia="Times New Roman" w:hAnsi="Times New Roman"/>
      <w:sz w:val="24"/>
      <w:szCs w:val="20"/>
      <w:lang w:eastAsia="en-GB"/>
    </w:rPr>
  </w:style>
  <w:style w:type="paragraph" w:customStyle="1" w:styleId="Point4">
    <w:name w:val="Point 4"/>
    <w:basedOn w:val="Normal"/>
    <w:pPr>
      <w:spacing w:before="120" w:after="120" w:line="240" w:lineRule="auto"/>
      <w:ind w:left="3118" w:hanging="567"/>
      <w:jc w:val="both"/>
    </w:pPr>
    <w:rPr>
      <w:rFonts w:ascii="Times New Roman" w:eastAsia="Times New Roman" w:hAnsi="Times New Roman"/>
      <w:sz w:val="24"/>
      <w:szCs w:val="20"/>
      <w:lang w:eastAsia="en-GB"/>
    </w:rPr>
  </w:style>
  <w:style w:type="paragraph" w:customStyle="1" w:styleId="Tiret0">
    <w:name w:val="Tiret 0"/>
    <w:basedOn w:val="Point0"/>
    <w:pPr>
      <w:numPr>
        <w:numId w:val="10"/>
      </w:numPr>
    </w:pPr>
  </w:style>
  <w:style w:type="paragraph" w:customStyle="1" w:styleId="Tiret1">
    <w:name w:val="Tiret 1"/>
    <w:basedOn w:val="Point1"/>
    <w:pPr>
      <w:numPr>
        <w:numId w:val="11"/>
      </w:numPr>
    </w:pPr>
  </w:style>
  <w:style w:type="paragraph" w:customStyle="1" w:styleId="Tiret2">
    <w:name w:val="Tiret 2"/>
    <w:basedOn w:val="Point2"/>
    <w:pPr>
      <w:numPr>
        <w:numId w:val="12"/>
      </w:numPr>
    </w:pPr>
  </w:style>
  <w:style w:type="paragraph" w:customStyle="1" w:styleId="Tiret3">
    <w:name w:val="Tiret 3"/>
    <w:basedOn w:val="Point3"/>
    <w:pPr>
      <w:numPr>
        <w:numId w:val="13"/>
      </w:numPr>
    </w:pPr>
  </w:style>
  <w:style w:type="paragraph" w:customStyle="1" w:styleId="Tiret4">
    <w:name w:val="Tiret 4"/>
    <w:basedOn w:val="Point4"/>
    <w:pPr>
      <w:numPr>
        <w:numId w:val="14"/>
      </w:numPr>
    </w:pPr>
  </w:style>
  <w:style w:type="paragraph" w:customStyle="1" w:styleId="PointDouble0">
    <w:name w:val="PointDouble 0"/>
    <w:basedOn w:val="Normal"/>
    <w:pPr>
      <w:tabs>
        <w:tab w:val="left" w:pos="850"/>
      </w:tabs>
      <w:spacing w:before="120" w:after="120" w:line="240" w:lineRule="auto"/>
      <w:ind w:left="1417" w:hanging="1417"/>
      <w:jc w:val="both"/>
    </w:pPr>
    <w:rPr>
      <w:rFonts w:ascii="Times New Roman" w:eastAsia="Times New Roman" w:hAnsi="Times New Roman"/>
      <w:sz w:val="24"/>
      <w:szCs w:val="20"/>
      <w:lang w:eastAsia="en-GB"/>
    </w:rPr>
  </w:style>
  <w:style w:type="paragraph" w:customStyle="1" w:styleId="PointDouble1">
    <w:name w:val="PointDouble 1"/>
    <w:basedOn w:val="Normal"/>
    <w:pPr>
      <w:tabs>
        <w:tab w:val="left" w:pos="1417"/>
      </w:tabs>
      <w:spacing w:before="120" w:after="120" w:line="240" w:lineRule="auto"/>
      <w:ind w:left="1984" w:hanging="1134"/>
      <w:jc w:val="both"/>
    </w:pPr>
    <w:rPr>
      <w:rFonts w:ascii="Times New Roman" w:eastAsia="Times New Roman" w:hAnsi="Times New Roman"/>
      <w:sz w:val="24"/>
      <w:szCs w:val="20"/>
      <w:lang w:eastAsia="en-GB"/>
    </w:rPr>
  </w:style>
  <w:style w:type="paragraph" w:customStyle="1" w:styleId="PointDouble2">
    <w:name w:val="PointDouble 2"/>
    <w:basedOn w:val="Normal"/>
    <w:pPr>
      <w:tabs>
        <w:tab w:val="left" w:pos="1984"/>
      </w:tabs>
      <w:spacing w:before="120" w:after="120" w:line="240" w:lineRule="auto"/>
      <w:ind w:left="2551" w:hanging="1134"/>
      <w:jc w:val="both"/>
    </w:pPr>
    <w:rPr>
      <w:rFonts w:ascii="Times New Roman" w:eastAsia="Times New Roman" w:hAnsi="Times New Roman"/>
      <w:sz w:val="24"/>
      <w:szCs w:val="20"/>
      <w:lang w:eastAsia="en-GB"/>
    </w:rPr>
  </w:style>
  <w:style w:type="paragraph" w:customStyle="1" w:styleId="PointDouble3">
    <w:name w:val="PointDouble 3"/>
    <w:basedOn w:val="Normal"/>
    <w:pPr>
      <w:tabs>
        <w:tab w:val="left" w:pos="2551"/>
      </w:tabs>
      <w:spacing w:before="120" w:after="120" w:line="240" w:lineRule="auto"/>
      <w:ind w:left="3118" w:hanging="1134"/>
      <w:jc w:val="both"/>
    </w:pPr>
    <w:rPr>
      <w:rFonts w:ascii="Times New Roman" w:eastAsia="Times New Roman" w:hAnsi="Times New Roman"/>
      <w:sz w:val="24"/>
      <w:szCs w:val="20"/>
      <w:lang w:eastAsia="en-GB"/>
    </w:rPr>
  </w:style>
  <w:style w:type="paragraph" w:customStyle="1" w:styleId="PointDouble4">
    <w:name w:val="PointDouble 4"/>
    <w:basedOn w:val="Normal"/>
    <w:pPr>
      <w:tabs>
        <w:tab w:val="left" w:pos="3118"/>
      </w:tabs>
      <w:spacing w:before="120" w:after="120" w:line="240" w:lineRule="auto"/>
      <w:ind w:left="3685" w:hanging="1134"/>
      <w:jc w:val="both"/>
    </w:pPr>
    <w:rPr>
      <w:rFonts w:ascii="Times New Roman" w:eastAsia="Times New Roman" w:hAnsi="Times New Roman"/>
      <w:sz w:val="24"/>
      <w:szCs w:val="20"/>
      <w:lang w:eastAsia="en-GB"/>
    </w:rPr>
  </w:style>
  <w:style w:type="paragraph" w:customStyle="1" w:styleId="PointTriple0">
    <w:name w:val="PointTriple 0"/>
    <w:basedOn w:val="Normal"/>
    <w:pPr>
      <w:tabs>
        <w:tab w:val="left" w:pos="850"/>
        <w:tab w:val="left" w:pos="1417"/>
      </w:tabs>
      <w:spacing w:before="120" w:after="120" w:line="240" w:lineRule="auto"/>
      <w:ind w:left="1984" w:hanging="1984"/>
      <w:jc w:val="both"/>
    </w:pPr>
    <w:rPr>
      <w:rFonts w:ascii="Times New Roman" w:eastAsia="Times New Roman" w:hAnsi="Times New Roman"/>
      <w:sz w:val="24"/>
      <w:szCs w:val="20"/>
      <w:lang w:eastAsia="en-GB"/>
    </w:rPr>
  </w:style>
  <w:style w:type="paragraph" w:customStyle="1" w:styleId="PointTriple1">
    <w:name w:val="PointTriple 1"/>
    <w:basedOn w:val="Normal"/>
    <w:pPr>
      <w:tabs>
        <w:tab w:val="left" w:pos="1417"/>
        <w:tab w:val="left" w:pos="1984"/>
      </w:tabs>
      <w:spacing w:before="120" w:after="120" w:line="240" w:lineRule="auto"/>
      <w:ind w:left="2551" w:hanging="1701"/>
      <w:jc w:val="both"/>
    </w:pPr>
    <w:rPr>
      <w:rFonts w:ascii="Times New Roman" w:eastAsia="Times New Roman" w:hAnsi="Times New Roman"/>
      <w:sz w:val="24"/>
      <w:szCs w:val="20"/>
      <w:lang w:eastAsia="en-GB"/>
    </w:rPr>
  </w:style>
  <w:style w:type="paragraph" w:customStyle="1" w:styleId="PointTriple2">
    <w:name w:val="PointTriple 2"/>
    <w:basedOn w:val="Normal"/>
    <w:pPr>
      <w:tabs>
        <w:tab w:val="left" w:pos="1984"/>
        <w:tab w:val="left" w:pos="2551"/>
      </w:tabs>
      <w:spacing w:before="120" w:after="120" w:line="240" w:lineRule="auto"/>
      <w:ind w:left="3118" w:hanging="1701"/>
      <w:jc w:val="both"/>
    </w:pPr>
    <w:rPr>
      <w:rFonts w:ascii="Times New Roman" w:eastAsia="Times New Roman" w:hAnsi="Times New Roman"/>
      <w:sz w:val="24"/>
      <w:szCs w:val="20"/>
      <w:lang w:eastAsia="en-GB"/>
    </w:rPr>
  </w:style>
  <w:style w:type="paragraph" w:customStyle="1" w:styleId="PointTriple3">
    <w:name w:val="PointTriple 3"/>
    <w:basedOn w:val="Normal"/>
    <w:pPr>
      <w:tabs>
        <w:tab w:val="left" w:pos="2551"/>
        <w:tab w:val="left" w:pos="3118"/>
      </w:tabs>
      <w:spacing w:before="120" w:after="120" w:line="240" w:lineRule="auto"/>
      <w:ind w:left="3685" w:hanging="1701"/>
      <w:jc w:val="both"/>
    </w:pPr>
    <w:rPr>
      <w:rFonts w:ascii="Times New Roman" w:eastAsia="Times New Roman" w:hAnsi="Times New Roman"/>
      <w:sz w:val="24"/>
      <w:szCs w:val="20"/>
      <w:lang w:eastAsia="en-GB"/>
    </w:rPr>
  </w:style>
  <w:style w:type="paragraph" w:customStyle="1" w:styleId="PointTriple4">
    <w:name w:val="PointTriple 4"/>
    <w:basedOn w:val="Normal"/>
    <w:pPr>
      <w:tabs>
        <w:tab w:val="left" w:pos="3118"/>
        <w:tab w:val="left" w:pos="3685"/>
      </w:tabs>
      <w:spacing w:before="120" w:after="120" w:line="240" w:lineRule="auto"/>
      <w:ind w:left="4252" w:hanging="1701"/>
      <w:jc w:val="both"/>
    </w:pPr>
    <w:rPr>
      <w:rFonts w:ascii="Times New Roman" w:eastAsia="Times New Roman" w:hAnsi="Times New Roman"/>
      <w:sz w:val="24"/>
      <w:szCs w:val="20"/>
      <w:lang w:eastAsia="en-GB"/>
    </w:rPr>
  </w:style>
  <w:style w:type="paragraph" w:customStyle="1" w:styleId="NumPar1">
    <w:name w:val="NumPar 1"/>
    <w:basedOn w:val="Normal"/>
    <w:next w:val="Text1"/>
    <w:pPr>
      <w:numPr>
        <w:numId w:val="15"/>
      </w:numPr>
      <w:spacing w:before="120" w:after="120" w:line="240" w:lineRule="auto"/>
      <w:jc w:val="both"/>
    </w:pPr>
    <w:rPr>
      <w:rFonts w:ascii="Times New Roman" w:eastAsia="Times New Roman" w:hAnsi="Times New Roman"/>
      <w:sz w:val="24"/>
      <w:szCs w:val="20"/>
      <w:lang w:eastAsia="en-GB"/>
    </w:rPr>
  </w:style>
  <w:style w:type="paragraph" w:customStyle="1" w:styleId="NumPar2">
    <w:name w:val="NumPar 2"/>
    <w:basedOn w:val="Normal"/>
    <w:next w:val="Text1"/>
    <w:pPr>
      <w:numPr>
        <w:ilvl w:val="1"/>
        <w:numId w:val="15"/>
      </w:numPr>
      <w:spacing w:before="120" w:after="120" w:line="240" w:lineRule="auto"/>
      <w:jc w:val="both"/>
    </w:pPr>
    <w:rPr>
      <w:rFonts w:ascii="Times New Roman" w:eastAsia="Times New Roman" w:hAnsi="Times New Roman"/>
      <w:sz w:val="24"/>
      <w:szCs w:val="20"/>
      <w:lang w:eastAsia="en-GB"/>
    </w:rPr>
  </w:style>
  <w:style w:type="paragraph" w:customStyle="1" w:styleId="NumPar3">
    <w:name w:val="NumPar 3"/>
    <w:basedOn w:val="Normal"/>
    <w:next w:val="Text1"/>
    <w:pPr>
      <w:numPr>
        <w:ilvl w:val="2"/>
        <w:numId w:val="15"/>
      </w:numPr>
      <w:spacing w:before="120" w:after="120" w:line="240" w:lineRule="auto"/>
      <w:jc w:val="both"/>
    </w:pPr>
    <w:rPr>
      <w:rFonts w:ascii="Times New Roman" w:eastAsia="Times New Roman" w:hAnsi="Times New Roman"/>
      <w:sz w:val="24"/>
      <w:szCs w:val="20"/>
      <w:lang w:eastAsia="en-GB"/>
    </w:rPr>
  </w:style>
  <w:style w:type="paragraph" w:customStyle="1" w:styleId="NumPar4">
    <w:name w:val="NumPar 4"/>
    <w:basedOn w:val="Normal"/>
    <w:next w:val="Text1"/>
    <w:pPr>
      <w:numPr>
        <w:ilvl w:val="3"/>
        <w:numId w:val="15"/>
      </w:numPr>
      <w:spacing w:before="120" w:after="120" w:line="240" w:lineRule="auto"/>
      <w:jc w:val="both"/>
    </w:pPr>
    <w:rPr>
      <w:rFonts w:ascii="Times New Roman" w:eastAsia="Times New Roman" w:hAnsi="Times New Roman"/>
      <w:sz w:val="24"/>
      <w:szCs w:val="20"/>
      <w:lang w:eastAsia="en-GB"/>
    </w:rPr>
  </w:style>
  <w:style w:type="paragraph" w:customStyle="1" w:styleId="ManualNumPar1">
    <w:name w:val="Manual NumPar 1"/>
    <w:basedOn w:val="Normal"/>
    <w:next w:val="Text1"/>
    <w:pPr>
      <w:spacing w:before="120" w:after="120" w:line="240" w:lineRule="auto"/>
      <w:ind w:left="850" w:hanging="850"/>
      <w:jc w:val="both"/>
    </w:pPr>
    <w:rPr>
      <w:rFonts w:ascii="Times New Roman" w:eastAsia="Times New Roman" w:hAnsi="Times New Roman"/>
      <w:sz w:val="24"/>
      <w:szCs w:val="20"/>
      <w:lang w:eastAsia="en-GB"/>
    </w:rPr>
  </w:style>
  <w:style w:type="paragraph" w:customStyle="1" w:styleId="ManualNumPar2">
    <w:name w:val="Manual NumPar 2"/>
    <w:basedOn w:val="Normal"/>
    <w:next w:val="Text1"/>
    <w:pPr>
      <w:spacing w:before="120" w:after="120" w:line="240" w:lineRule="auto"/>
      <w:ind w:left="850" w:hanging="850"/>
      <w:jc w:val="both"/>
    </w:pPr>
    <w:rPr>
      <w:rFonts w:ascii="Times New Roman" w:eastAsia="Times New Roman" w:hAnsi="Times New Roman"/>
      <w:sz w:val="24"/>
      <w:szCs w:val="20"/>
      <w:lang w:eastAsia="en-GB"/>
    </w:rPr>
  </w:style>
  <w:style w:type="paragraph" w:customStyle="1" w:styleId="ManualNumPar3">
    <w:name w:val="Manual NumPar 3"/>
    <w:basedOn w:val="Normal"/>
    <w:next w:val="Text1"/>
    <w:pPr>
      <w:spacing w:before="120" w:after="120" w:line="240" w:lineRule="auto"/>
      <w:ind w:left="850" w:hanging="850"/>
      <w:jc w:val="both"/>
    </w:pPr>
    <w:rPr>
      <w:rFonts w:ascii="Times New Roman" w:eastAsia="Times New Roman" w:hAnsi="Times New Roman"/>
      <w:sz w:val="24"/>
      <w:szCs w:val="20"/>
      <w:lang w:eastAsia="en-GB"/>
    </w:rPr>
  </w:style>
  <w:style w:type="paragraph" w:customStyle="1" w:styleId="ManualNumPar4">
    <w:name w:val="Manual NumPar 4"/>
    <w:basedOn w:val="Normal"/>
    <w:next w:val="Text1"/>
    <w:pPr>
      <w:spacing w:before="120" w:after="120" w:line="240" w:lineRule="auto"/>
      <w:ind w:left="850" w:hanging="850"/>
      <w:jc w:val="both"/>
    </w:pPr>
    <w:rPr>
      <w:rFonts w:ascii="Times New Roman" w:eastAsia="Times New Roman" w:hAnsi="Times New Roman"/>
      <w:sz w:val="24"/>
      <w:szCs w:val="20"/>
      <w:lang w:eastAsia="en-GB"/>
    </w:rPr>
  </w:style>
  <w:style w:type="paragraph" w:customStyle="1" w:styleId="QuotedNumPar">
    <w:name w:val="Quoted NumPar"/>
    <w:basedOn w:val="Normal"/>
    <w:pPr>
      <w:spacing w:before="120" w:after="120" w:line="240" w:lineRule="auto"/>
      <w:ind w:left="1417" w:hanging="567"/>
      <w:jc w:val="both"/>
    </w:pPr>
    <w:rPr>
      <w:rFonts w:ascii="Times New Roman" w:eastAsia="Times New Roman" w:hAnsi="Times New Roman"/>
      <w:sz w:val="24"/>
      <w:szCs w:val="20"/>
      <w:lang w:eastAsia="en-GB"/>
    </w:rPr>
  </w:style>
  <w:style w:type="paragraph" w:customStyle="1" w:styleId="ManualHeading1">
    <w:name w:val="Manual Heading 1"/>
    <w:basedOn w:val="Normal"/>
    <w:next w:val="Text1"/>
    <w:pPr>
      <w:keepNext/>
      <w:tabs>
        <w:tab w:val="left" w:pos="850"/>
      </w:tabs>
      <w:spacing w:before="360" w:after="120" w:line="240" w:lineRule="auto"/>
      <w:ind w:left="850" w:hanging="850"/>
      <w:jc w:val="both"/>
      <w:outlineLvl w:val="0"/>
    </w:pPr>
    <w:rPr>
      <w:rFonts w:ascii="Times New Roman" w:eastAsia="Times New Roman" w:hAnsi="Times New Roman"/>
      <w:b/>
      <w:smallCaps/>
      <w:sz w:val="24"/>
      <w:szCs w:val="20"/>
      <w:lang w:eastAsia="en-GB"/>
    </w:rPr>
  </w:style>
  <w:style w:type="paragraph" w:customStyle="1" w:styleId="ManualHeading2">
    <w:name w:val="Manual Heading 2"/>
    <w:basedOn w:val="Normal"/>
    <w:next w:val="Text1"/>
    <w:pPr>
      <w:keepNext/>
      <w:tabs>
        <w:tab w:val="left" w:pos="850"/>
      </w:tabs>
      <w:spacing w:before="120" w:after="120" w:line="240" w:lineRule="auto"/>
      <w:ind w:left="850" w:hanging="850"/>
      <w:jc w:val="both"/>
      <w:outlineLvl w:val="1"/>
    </w:pPr>
    <w:rPr>
      <w:rFonts w:ascii="Times New Roman" w:eastAsia="Times New Roman" w:hAnsi="Times New Roman"/>
      <w:b/>
      <w:sz w:val="24"/>
      <w:szCs w:val="20"/>
      <w:lang w:eastAsia="en-GB"/>
    </w:rPr>
  </w:style>
  <w:style w:type="paragraph" w:customStyle="1" w:styleId="ManualHeading3">
    <w:name w:val="Manual Heading 3"/>
    <w:basedOn w:val="Normal"/>
    <w:next w:val="Text1"/>
    <w:pPr>
      <w:keepNext/>
      <w:tabs>
        <w:tab w:val="left" w:pos="850"/>
      </w:tabs>
      <w:spacing w:before="120" w:after="120" w:line="240" w:lineRule="auto"/>
      <w:ind w:left="850" w:hanging="850"/>
      <w:jc w:val="both"/>
      <w:outlineLvl w:val="2"/>
    </w:pPr>
    <w:rPr>
      <w:rFonts w:ascii="Times New Roman" w:eastAsia="Times New Roman" w:hAnsi="Times New Roman"/>
      <w:i/>
      <w:sz w:val="24"/>
      <w:szCs w:val="20"/>
      <w:lang w:eastAsia="en-GB"/>
    </w:rPr>
  </w:style>
  <w:style w:type="paragraph" w:customStyle="1" w:styleId="ManualHeading4">
    <w:name w:val="Manual Heading 4"/>
    <w:basedOn w:val="Normal"/>
    <w:next w:val="Text1"/>
    <w:pPr>
      <w:keepNext/>
      <w:tabs>
        <w:tab w:val="left" w:pos="850"/>
      </w:tabs>
      <w:spacing w:before="120" w:after="120" w:line="240" w:lineRule="auto"/>
      <w:ind w:left="850" w:hanging="850"/>
      <w:jc w:val="both"/>
      <w:outlineLvl w:val="3"/>
    </w:pPr>
    <w:rPr>
      <w:rFonts w:ascii="Times New Roman" w:eastAsia="Times New Roman" w:hAnsi="Times New Roman"/>
      <w:sz w:val="24"/>
      <w:szCs w:val="20"/>
      <w:lang w:eastAsia="en-GB"/>
    </w:rPr>
  </w:style>
  <w:style w:type="paragraph" w:customStyle="1" w:styleId="ChapterTitle">
    <w:name w:val="ChapterTitle"/>
    <w:basedOn w:val="Normal"/>
    <w:next w:val="Normal"/>
    <w:pPr>
      <w:keepNext/>
      <w:spacing w:before="120" w:after="360" w:line="240" w:lineRule="auto"/>
      <w:jc w:val="center"/>
    </w:pPr>
    <w:rPr>
      <w:rFonts w:ascii="Times New Roman" w:eastAsia="Times New Roman" w:hAnsi="Times New Roman"/>
      <w:b/>
      <w:sz w:val="32"/>
      <w:szCs w:val="20"/>
      <w:lang w:eastAsia="en-GB"/>
    </w:rPr>
  </w:style>
  <w:style w:type="paragraph" w:customStyle="1" w:styleId="PartTitle">
    <w:name w:val="PartTitle"/>
    <w:basedOn w:val="Normal"/>
    <w:next w:val="ChapterTitle"/>
    <w:pPr>
      <w:keepNext/>
      <w:pageBreakBefore/>
      <w:spacing w:before="120" w:after="360" w:line="240" w:lineRule="auto"/>
      <w:jc w:val="center"/>
    </w:pPr>
    <w:rPr>
      <w:rFonts w:ascii="Times New Roman" w:eastAsia="Times New Roman" w:hAnsi="Times New Roman"/>
      <w:b/>
      <w:sz w:val="36"/>
      <w:szCs w:val="20"/>
      <w:lang w:eastAsia="en-GB"/>
    </w:rPr>
  </w:style>
  <w:style w:type="paragraph" w:customStyle="1" w:styleId="SectionTitle">
    <w:name w:val="SectionTitle"/>
    <w:basedOn w:val="Normal"/>
    <w:next w:val="Heading1"/>
    <w:pPr>
      <w:keepNext/>
      <w:spacing w:before="120" w:after="360" w:line="240" w:lineRule="auto"/>
      <w:jc w:val="center"/>
    </w:pPr>
    <w:rPr>
      <w:rFonts w:ascii="Times New Roman" w:eastAsia="Times New Roman" w:hAnsi="Times New Roman"/>
      <w:b/>
      <w:smallCaps/>
      <w:sz w:val="28"/>
      <w:szCs w:val="20"/>
      <w:lang w:eastAsia="en-GB"/>
    </w:rPr>
  </w:style>
  <w:style w:type="paragraph" w:customStyle="1" w:styleId="TableTitle">
    <w:name w:val="Table Title"/>
    <w:basedOn w:val="Normal"/>
    <w:next w:val="Normal"/>
    <w:pPr>
      <w:spacing w:before="120" w:after="120" w:line="240" w:lineRule="auto"/>
      <w:jc w:val="center"/>
    </w:pPr>
    <w:rPr>
      <w:rFonts w:ascii="Times New Roman" w:eastAsia="Times New Roman" w:hAnsi="Times New Roman"/>
      <w:b/>
      <w:sz w:val="24"/>
      <w:szCs w:val="20"/>
      <w:lang w:eastAsia="en-GB"/>
    </w:rPr>
  </w:style>
  <w:style w:type="character" w:customStyle="1" w:styleId="Marker1">
    <w:name w:val="Marker1"/>
    <w:rPr>
      <w:color w:val="008000"/>
      <w:shd w:val="clear" w:color="auto" w:fill="auto"/>
    </w:rPr>
  </w:style>
  <w:style w:type="character" w:customStyle="1" w:styleId="Marker2">
    <w:name w:val="Marker2"/>
    <w:rPr>
      <w:color w:val="FF0000"/>
      <w:shd w:val="clear" w:color="auto" w:fill="auto"/>
    </w:rPr>
  </w:style>
  <w:style w:type="paragraph" w:customStyle="1" w:styleId="Point0number">
    <w:name w:val="Point 0 (number)"/>
    <w:basedOn w:val="Normal"/>
    <w:pPr>
      <w:numPr>
        <w:numId w:val="17"/>
      </w:numPr>
      <w:spacing w:before="120" w:after="120" w:line="240" w:lineRule="auto"/>
      <w:jc w:val="both"/>
    </w:pPr>
    <w:rPr>
      <w:rFonts w:ascii="Times New Roman" w:eastAsia="Times New Roman" w:hAnsi="Times New Roman"/>
      <w:sz w:val="24"/>
      <w:szCs w:val="20"/>
      <w:lang w:eastAsia="en-GB"/>
    </w:rPr>
  </w:style>
  <w:style w:type="paragraph" w:customStyle="1" w:styleId="Point1number">
    <w:name w:val="Point 1 (number)"/>
    <w:basedOn w:val="Normal"/>
    <w:pPr>
      <w:numPr>
        <w:ilvl w:val="2"/>
        <w:numId w:val="17"/>
      </w:numPr>
      <w:spacing w:before="120" w:after="120" w:line="240" w:lineRule="auto"/>
      <w:jc w:val="both"/>
    </w:pPr>
    <w:rPr>
      <w:rFonts w:ascii="Times New Roman" w:eastAsia="Times New Roman" w:hAnsi="Times New Roman"/>
      <w:sz w:val="24"/>
      <w:szCs w:val="20"/>
      <w:lang w:eastAsia="en-GB"/>
    </w:rPr>
  </w:style>
  <w:style w:type="paragraph" w:customStyle="1" w:styleId="Point2number">
    <w:name w:val="Point 2 (number)"/>
    <w:basedOn w:val="Normal"/>
    <w:pPr>
      <w:numPr>
        <w:ilvl w:val="4"/>
        <w:numId w:val="17"/>
      </w:numPr>
      <w:spacing w:before="120" w:after="120" w:line="240" w:lineRule="auto"/>
      <w:jc w:val="both"/>
    </w:pPr>
    <w:rPr>
      <w:rFonts w:ascii="Times New Roman" w:eastAsia="Times New Roman" w:hAnsi="Times New Roman"/>
      <w:sz w:val="24"/>
      <w:szCs w:val="20"/>
      <w:lang w:eastAsia="en-GB"/>
    </w:rPr>
  </w:style>
  <w:style w:type="paragraph" w:customStyle="1" w:styleId="Point3number">
    <w:name w:val="Point 3 (number)"/>
    <w:basedOn w:val="Normal"/>
    <w:pPr>
      <w:numPr>
        <w:ilvl w:val="6"/>
        <w:numId w:val="17"/>
      </w:numPr>
      <w:spacing w:before="120" w:after="120" w:line="240" w:lineRule="auto"/>
      <w:jc w:val="both"/>
    </w:pPr>
    <w:rPr>
      <w:rFonts w:ascii="Times New Roman" w:eastAsia="Times New Roman" w:hAnsi="Times New Roman"/>
      <w:sz w:val="24"/>
      <w:szCs w:val="20"/>
      <w:lang w:eastAsia="en-GB"/>
    </w:rPr>
  </w:style>
  <w:style w:type="paragraph" w:customStyle="1" w:styleId="Point0letter">
    <w:name w:val="Point 0 (letter)"/>
    <w:basedOn w:val="Normal"/>
    <w:pPr>
      <w:numPr>
        <w:ilvl w:val="1"/>
        <w:numId w:val="17"/>
      </w:numPr>
      <w:spacing w:before="120" w:after="120" w:line="240" w:lineRule="auto"/>
      <w:jc w:val="both"/>
    </w:pPr>
    <w:rPr>
      <w:rFonts w:ascii="Times New Roman" w:eastAsia="Times New Roman" w:hAnsi="Times New Roman"/>
      <w:sz w:val="24"/>
      <w:szCs w:val="20"/>
      <w:lang w:eastAsia="en-GB"/>
    </w:rPr>
  </w:style>
  <w:style w:type="paragraph" w:customStyle="1" w:styleId="Point1letter">
    <w:name w:val="Point 1 (letter)"/>
    <w:basedOn w:val="Normal"/>
    <w:pPr>
      <w:numPr>
        <w:ilvl w:val="3"/>
        <w:numId w:val="17"/>
      </w:numPr>
      <w:spacing w:before="120" w:after="120" w:line="240" w:lineRule="auto"/>
      <w:jc w:val="both"/>
    </w:pPr>
    <w:rPr>
      <w:rFonts w:ascii="Times New Roman" w:eastAsia="Times New Roman" w:hAnsi="Times New Roman"/>
      <w:sz w:val="24"/>
      <w:szCs w:val="20"/>
      <w:lang w:eastAsia="en-GB"/>
    </w:rPr>
  </w:style>
  <w:style w:type="paragraph" w:customStyle="1" w:styleId="Point2letter">
    <w:name w:val="Point 2 (letter)"/>
    <w:basedOn w:val="Normal"/>
    <w:pPr>
      <w:numPr>
        <w:ilvl w:val="5"/>
        <w:numId w:val="17"/>
      </w:numPr>
      <w:spacing w:before="120" w:after="120" w:line="240" w:lineRule="auto"/>
      <w:jc w:val="both"/>
    </w:pPr>
    <w:rPr>
      <w:rFonts w:ascii="Times New Roman" w:eastAsia="Times New Roman" w:hAnsi="Times New Roman"/>
      <w:sz w:val="24"/>
      <w:szCs w:val="20"/>
      <w:lang w:eastAsia="en-GB"/>
    </w:rPr>
  </w:style>
  <w:style w:type="paragraph" w:customStyle="1" w:styleId="Point3letter">
    <w:name w:val="Point 3 (letter)"/>
    <w:basedOn w:val="Normal"/>
    <w:pPr>
      <w:numPr>
        <w:ilvl w:val="7"/>
        <w:numId w:val="17"/>
      </w:numPr>
      <w:spacing w:before="120" w:after="120" w:line="240" w:lineRule="auto"/>
      <w:jc w:val="both"/>
    </w:pPr>
    <w:rPr>
      <w:rFonts w:ascii="Times New Roman" w:eastAsia="Times New Roman" w:hAnsi="Times New Roman"/>
      <w:sz w:val="24"/>
      <w:szCs w:val="20"/>
      <w:lang w:eastAsia="en-GB"/>
    </w:rPr>
  </w:style>
  <w:style w:type="paragraph" w:customStyle="1" w:styleId="Point4letter">
    <w:name w:val="Point 4 (letter)"/>
    <w:basedOn w:val="Normal"/>
    <w:pPr>
      <w:numPr>
        <w:ilvl w:val="8"/>
        <w:numId w:val="17"/>
      </w:numPr>
      <w:spacing w:before="120" w:after="120" w:line="240" w:lineRule="auto"/>
      <w:jc w:val="both"/>
    </w:pPr>
    <w:rPr>
      <w:rFonts w:ascii="Times New Roman" w:eastAsia="Times New Roman" w:hAnsi="Times New Roman"/>
      <w:sz w:val="24"/>
      <w:szCs w:val="20"/>
      <w:lang w:eastAsia="en-GB"/>
    </w:rPr>
  </w:style>
  <w:style w:type="paragraph" w:customStyle="1" w:styleId="Bullet0">
    <w:name w:val="Bullet 0"/>
    <w:basedOn w:val="Normal"/>
    <w:pPr>
      <w:numPr>
        <w:numId w:val="18"/>
      </w:numPr>
      <w:spacing w:before="120" w:after="120" w:line="240" w:lineRule="auto"/>
      <w:jc w:val="both"/>
    </w:pPr>
    <w:rPr>
      <w:rFonts w:ascii="Times New Roman" w:eastAsia="Times New Roman" w:hAnsi="Times New Roman"/>
      <w:sz w:val="24"/>
      <w:szCs w:val="20"/>
      <w:lang w:eastAsia="en-GB"/>
    </w:rPr>
  </w:style>
  <w:style w:type="paragraph" w:customStyle="1" w:styleId="Bullet1">
    <w:name w:val="Bullet 1"/>
    <w:basedOn w:val="Normal"/>
    <w:pPr>
      <w:numPr>
        <w:numId w:val="9"/>
      </w:numPr>
      <w:spacing w:before="120" w:after="120" w:line="240" w:lineRule="auto"/>
      <w:jc w:val="both"/>
    </w:pPr>
    <w:rPr>
      <w:rFonts w:ascii="Times New Roman" w:eastAsia="Times New Roman" w:hAnsi="Times New Roman"/>
      <w:sz w:val="24"/>
      <w:szCs w:val="20"/>
      <w:lang w:eastAsia="en-GB"/>
    </w:rPr>
  </w:style>
  <w:style w:type="paragraph" w:customStyle="1" w:styleId="Bullet2">
    <w:name w:val="Bullet 2"/>
    <w:basedOn w:val="Normal"/>
    <w:pPr>
      <w:numPr>
        <w:numId w:val="19"/>
      </w:numPr>
      <w:spacing w:before="120" w:after="120" w:line="240" w:lineRule="auto"/>
      <w:jc w:val="both"/>
    </w:pPr>
    <w:rPr>
      <w:rFonts w:ascii="Times New Roman" w:eastAsia="Times New Roman" w:hAnsi="Times New Roman"/>
      <w:sz w:val="24"/>
      <w:szCs w:val="20"/>
      <w:lang w:eastAsia="en-GB"/>
    </w:rPr>
  </w:style>
  <w:style w:type="paragraph" w:customStyle="1" w:styleId="Bullet3">
    <w:name w:val="Bullet 3"/>
    <w:basedOn w:val="Normal"/>
    <w:pPr>
      <w:numPr>
        <w:numId w:val="20"/>
      </w:numPr>
      <w:spacing w:before="120" w:after="120" w:line="240" w:lineRule="auto"/>
      <w:jc w:val="both"/>
    </w:pPr>
    <w:rPr>
      <w:rFonts w:ascii="Times New Roman" w:eastAsia="Times New Roman" w:hAnsi="Times New Roman"/>
      <w:sz w:val="24"/>
      <w:szCs w:val="20"/>
      <w:lang w:eastAsia="en-GB"/>
    </w:rPr>
  </w:style>
  <w:style w:type="paragraph" w:customStyle="1" w:styleId="Bullet4">
    <w:name w:val="Bullet 4"/>
    <w:basedOn w:val="Normal"/>
    <w:pPr>
      <w:numPr>
        <w:numId w:val="21"/>
      </w:numPr>
      <w:spacing w:before="120" w:after="120" w:line="240" w:lineRule="auto"/>
      <w:jc w:val="both"/>
    </w:pPr>
    <w:rPr>
      <w:rFonts w:ascii="Times New Roman" w:eastAsia="Times New Roman" w:hAnsi="Times New Roman"/>
      <w:sz w:val="24"/>
      <w:szCs w:val="20"/>
      <w:lang w:eastAsia="en-GB"/>
    </w:rPr>
  </w:style>
  <w:style w:type="paragraph" w:customStyle="1" w:styleId="Annexetitreexpos">
    <w:name w:val="Annexe titre (exposé)"/>
    <w:basedOn w:val="Normal"/>
    <w:next w:val="Normal"/>
    <w:pPr>
      <w:spacing w:before="120" w:after="120" w:line="240" w:lineRule="auto"/>
      <w:jc w:val="center"/>
    </w:pPr>
    <w:rPr>
      <w:rFonts w:ascii="Times New Roman" w:eastAsia="Times New Roman" w:hAnsi="Times New Roman"/>
      <w:b/>
      <w:sz w:val="24"/>
      <w:szCs w:val="20"/>
      <w:u w:val="single"/>
      <w:lang w:eastAsia="en-GB"/>
    </w:rPr>
  </w:style>
  <w:style w:type="paragraph" w:customStyle="1" w:styleId="Annexetitre">
    <w:name w:val="Annexe titre"/>
    <w:basedOn w:val="Normal"/>
    <w:next w:val="Normal"/>
    <w:pPr>
      <w:spacing w:before="120" w:after="120" w:line="240" w:lineRule="auto"/>
      <w:jc w:val="center"/>
    </w:pPr>
    <w:rPr>
      <w:rFonts w:ascii="Times New Roman" w:eastAsia="Times New Roman" w:hAnsi="Times New Roman"/>
      <w:b/>
      <w:sz w:val="24"/>
      <w:szCs w:val="20"/>
      <w:u w:val="single"/>
      <w:lang w:eastAsia="en-GB"/>
    </w:rPr>
  </w:style>
  <w:style w:type="paragraph" w:customStyle="1" w:styleId="Annexetitrefichefinancire">
    <w:name w:val="Annexe titre (fiche financière)"/>
    <w:basedOn w:val="Normal"/>
    <w:next w:val="Normal"/>
    <w:pPr>
      <w:spacing w:before="120" w:after="120" w:line="240" w:lineRule="auto"/>
      <w:jc w:val="center"/>
    </w:pPr>
    <w:rPr>
      <w:rFonts w:ascii="Times New Roman" w:eastAsia="Times New Roman" w:hAnsi="Times New Roman"/>
      <w:b/>
      <w:sz w:val="24"/>
      <w:szCs w:val="20"/>
      <w:u w:val="single"/>
      <w:lang w:eastAsia="en-GB"/>
    </w:rPr>
  </w:style>
  <w:style w:type="paragraph" w:customStyle="1" w:styleId="Applicationdirecte">
    <w:name w:val="Application directe"/>
    <w:basedOn w:val="Normal"/>
    <w:next w:val="Fait"/>
    <w:pPr>
      <w:spacing w:before="480" w:after="120" w:line="240" w:lineRule="auto"/>
      <w:jc w:val="both"/>
    </w:pPr>
    <w:rPr>
      <w:rFonts w:ascii="Times New Roman" w:eastAsia="Times New Roman" w:hAnsi="Times New Roman"/>
      <w:sz w:val="24"/>
      <w:szCs w:val="20"/>
      <w:lang w:eastAsia="en-GB"/>
    </w:rPr>
  </w:style>
  <w:style w:type="paragraph" w:customStyle="1" w:styleId="Avertissementtitre">
    <w:name w:val="Avertissement titre"/>
    <w:basedOn w:val="Normal"/>
    <w:next w:val="Normal"/>
    <w:pPr>
      <w:keepNext/>
      <w:spacing w:before="480" w:after="120" w:line="240" w:lineRule="auto"/>
      <w:jc w:val="both"/>
    </w:pPr>
    <w:rPr>
      <w:rFonts w:ascii="Times New Roman" w:eastAsia="Times New Roman" w:hAnsi="Times New Roman"/>
      <w:sz w:val="24"/>
      <w:szCs w:val="20"/>
      <w:u w:val="single"/>
      <w:lang w:eastAsia="en-GB"/>
    </w:rPr>
  </w:style>
  <w:style w:type="paragraph" w:customStyle="1" w:styleId="Confidence">
    <w:name w:val="Confidence"/>
    <w:basedOn w:val="Normal"/>
    <w:next w:val="Normal"/>
    <w:pPr>
      <w:spacing w:before="360" w:after="120" w:line="240" w:lineRule="auto"/>
      <w:jc w:val="center"/>
    </w:pPr>
    <w:rPr>
      <w:rFonts w:ascii="Times New Roman" w:eastAsia="Times New Roman" w:hAnsi="Times New Roman"/>
      <w:sz w:val="24"/>
      <w:szCs w:val="20"/>
      <w:lang w:eastAsia="en-GB"/>
    </w:rPr>
  </w:style>
  <w:style w:type="paragraph" w:customStyle="1" w:styleId="Confidentialit">
    <w:name w:val="Confidentialité"/>
    <w:basedOn w:val="Normal"/>
    <w:next w:val="TypedudocumentPagedecouverture"/>
    <w:pPr>
      <w:spacing w:before="240" w:after="240" w:line="240" w:lineRule="auto"/>
      <w:ind w:left="5103"/>
    </w:pPr>
    <w:rPr>
      <w:rFonts w:ascii="Times New Roman" w:eastAsia="Times New Roman" w:hAnsi="Times New Roman"/>
      <w:i/>
      <w:sz w:val="32"/>
      <w:szCs w:val="20"/>
      <w:lang w:eastAsia="en-GB"/>
    </w:rPr>
  </w:style>
  <w:style w:type="paragraph" w:customStyle="1" w:styleId="Considrant">
    <w:name w:val="Considérant"/>
    <w:basedOn w:val="Normal"/>
    <w:pPr>
      <w:numPr>
        <w:numId w:val="22"/>
      </w:numPr>
      <w:spacing w:before="120" w:after="120" w:line="240" w:lineRule="auto"/>
      <w:jc w:val="both"/>
    </w:pPr>
    <w:rPr>
      <w:rFonts w:ascii="Times New Roman" w:eastAsia="Times New Roman" w:hAnsi="Times New Roman"/>
      <w:sz w:val="24"/>
      <w:szCs w:val="20"/>
      <w:lang w:eastAsia="en-GB"/>
    </w:rPr>
  </w:style>
  <w:style w:type="paragraph" w:customStyle="1" w:styleId="Corrigendum">
    <w:name w:val="Corrigendum"/>
    <w:basedOn w:val="Normal"/>
    <w:next w:val="Normal"/>
    <w:pPr>
      <w:spacing w:after="240" w:line="240" w:lineRule="auto"/>
    </w:pPr>
    <w:rPr>
      <w:rFonts w:ascii="Times New Roman" w:eastAsia="Times New Roman" w:hAnsi="Times New Roman"/>
      <w:sz w:val="24"/>
      <w:szCs w:val="20"/>
      <w:lang w:eastAsia="en-GB"/>
    </w:rPr>
  </w:style>
  <w:style w:type="paragraph" w:customStyle="1" w:styleId="Datedadoption">
    <w:name w:val="Date d'adoption"/>
    <w:basedOn w:val="Normal"/>
    <w:next w:val="Titreobjet"/>
    <w:pPr>
      <w:spacing w:before="360" w:after="0" w:line="240" w:lineRule="auto"/>
      <w:jc w:val="center"/>
    </w:pPr>
    <w:rPr>
      <w:rFonts w:ascii="Times New Roman" w:eastAsia="Times New Roman" w:hAnsi="Times New Roman"/>
      <w:b/>
      <w:sz w:val="24"/>
      <w:szCs w:val="20"/>
      <w:lang w:eastAsia="en-GB"/>
    </w:rPr>
  </w:style>
  <w:style w:type="paragraph" w:customStyle="1" w:styleId="Emission">
    <w:name w:val="Emission"/>
    <w:basedOn w:val="Normal"/>
    <w:next w:val="Rfrenceinstitutionnelle"/>
    <w:pPr>
      <w:spacing w:after="0" w:line="240" w:lineRule="auto"/>
      <w:ind w:left="5103"/>
    </w:pPr>
    <w:rPr>
      <w:rFonts w:ascii="Times New Roman" w:eastAsia="Times New Roman" w:hAnsi="Times New Roman"/>
      <w:sz w:val="24"/>
      <w:szCs w:val="20"/>
      <w:lang w:eastAsia="en-GB"/>
    </w:rPr>
  </w:style>
  <w:style w:type="paragraph" w:customStyle="1" w:styleId="Exposdesmotifstitre">
    <w:name w:val="Exposé des motifs titre"/>
    <w:basedOn w:val="Normal"/>
    <w:next w:val="Normal"/>
    <w:pPr>
      <w:spacing w:before="120" w:after="120" w:line="240" w:lineRule="auto"/>
      <w:jc w:val="center"/>
    </w:pPr>
    <w:rPr>
      <w:rFonts w:ascii="Times New Roman" w:eastAsia="Times New Roman" w:hAnsi="Times New Roman"/>
      <w:b/>
      <w:sz w:val="24"/>
      <w:szCs w:val="20"/>
      <w:u w:val="single"/>
      <w:lang w:eastAsia="en-GB"/>
    </w:rPr>
  </w:style>
  <w:style w:type="paragraph" w:customStyle="1" w:styleId="Fait">
    <w:name w:val="Fait à"/>
    <w:basedOn w:val="Normal"/>
    <w:next w:val="Institutionquisigne"/>
    <w:pPr>
      <w:keepNext/>
      <w:spacing w:before="120" w:after="0" w:line="240" w:lineRule="auto"/>
      <w:jc w:val="both"/>
    </w:pPr>
    <w:rPr>
      <w:rFonts w:ascii="Times New Roman" w:eastAsia="Times New Roman" w:hAnsi="Times New Roman"/>
      <w:sz w:val="24"/>
      <w:szCs w:val="20"/>
      <w:lang w:eastAsia="en-GB"/>
    </w:rPr>
  </w:style>
  <w:style w:type="paragraph" w:customStyle="1" w:styleId="Formuledadoption">
    <w:name w:val="Formule d'adoption"/>
    <w:basedOn w:val="Normal"/>
    <w:next w:val="Titrearticle"/>
    <w:pPr>
      <w:keepNext/>
      <w:spacing w:before="120" w:after="120" w:line="240" w:lineRule="auto"/>
      <w:jc w:val="both"/>
    </w:pPr>
    <w:rPr>
      <w:rFonts w:ascii="Times New Roman" w:eastAsia="Times New Roman" w:hAnsi="Times New Roman"/>
      <w:sz w:val="24"/>
      <w:szCs w:val="20"/>
      <w:lang w:eastAsia="en-GB"/>
    </w:rPr>
  </w:style>
  <w:style w:type="paragraph" w:customStyle="1" w:styleId="Institutionquiagit">
    <w:name w:val="Institution qui agit"/>
    <w:basedOn w:val="Normal"/>
    <w:next w:val="Normal"/>
    <w:pPr>
      <w:keepNext/>
      <w:spacing w:before="600" w:after="120" w:line="240" w:lineRule="auto"/>
      <w:jc w:val="both"/>
    </w:pPr>
    <w:rPr>
      <w:rFonts w:ascii="Times New Roman" w:eastAsia="Times New Roman" w:hAnsi="Times New Roman"/>
      <w:sz w:val="24"/>
      <w:szCs w:val="20"/>
      <w:lang w:eastAsia="en-GB"/>
    </w:rPr>
  </w:style>
  <w:style w:type="paragraph" w:customStyle="1" w:styleId="Institutionquisigne">
    <w:name w:val="Institution qui signe"/>
    <w:basedOn w:val="Normal"/>
    <w:next w:val="Personnequisigne"/>
    <w:pPr>
      <w:keepNext/>
      <w:tabs>
        <w:tab w:val="left" w:pos="4252"/>
      </w:tabs>
      <w:spacing w:before="720" w:after="0" w:line="240" w:lineRule="auto"/>
      <w:jc w:val="both"/>
    </w:pPr>
    <w:rPr>
      <w:rFonts w:ascii="Times New Roman" w:eastAsia="Times New Roman" w:hAnsi="Times New Roman"/>
      <w:i/>
      <w:sz w:val="24"/>
      <w:szCs w:val="20"/>
      <w:lang w:eastAsia="en-GB"/>
    </w:rPr>
  </w:style>
  <w:style w:type="paragraph" w:customStyle="1" w:styleId="Langue">
    <w:name w:val="Langue"/>
    <w:basedOn w:val="Normal"/>
    <w:next w:val="Rfrenceinterne"/>
    <w:pPr>
      <w:framePr w:wrap="around" w:vAnchor="page" w:hAnchor="text" w:xAlign="center" w:y="14741"/>
      <w:spacing w:after="600" w:line="240" w:lineRule="auto"/>
      <w:jc w:val="center"/>
    </w:pPr>
    <w:rPr>
      <w:rFonts w:ascii="Times New Roman" w:eastAsia="Times New Roman" w:hAnsi="Times New Roman"/>
      <w:b/>
      <w:caps/>
      <w:sz w:val="24"/>
      <w:szCs w:val="20"/>
      <w:lang w:eastAsia="en-GB"/>
    </w:rPr>
  </w:style>
  <w:style w:type="paragraph" w:customStyle="1" w:styleId="ManualConsidrant">
    <w:name w:val="Manual Considérant"/>
    <w:basedOn w:val="Normal"/>
    <w:pPr>
      <w:spacing w:before="120" w:after="120" w:line="240" w:lineRule="auto"/>
      <w:ind w:left="709" w:hanging="709"/>
      <w:jc w:val="both"/>
    </w:pPr>
    <w:rPr>
      <w:rFonts w:ascii="Times New Roman" w:eastAsia="Times New Roman" w:hAnsi="Times New Roman"/>
      <w:sz w:val="24"/>
      <w:szCs w:val="20"/>
      <w:lang w:eastAsia="en-GB"/>
    </w:rPr>
  </w:style>
  <w:style w:type="paragraph" w:customStyle="1" w:styleId="Nomdelinstitution">
    <w:name w:val="Nom de l'institution"/>
    <w:basedOn w:val="Normal"/>
    <w:next w:val="Emission"/>
    <w:pPr>
      <w:spacing w:after="0" w:line="240" w:lineRule="auto"/>
    </w:pPr>
    <w:rPr>
      <w:rFonts w:ascii="Arial" w:eastAsia="Times New Roman" w:hAnsi="Arial" w:cs="Arial"/>
      <w:sz w:val="24"/>
      <w:szCs w:val="20"/>
      <w:lang w:eastAsia="en-GB"/>
    </w:rPr>
  </w:style>
  <w:style w:type="paragraph" w:customStyle="1" w:styleId="Personnequisigne">
    <w:name w:val="Personne qui signe"/>
    <w:basedOn w:val="Normal"/>
    <w:next w:val="Institutionquisigne"/>
    <w:pPr>
      <w:tabs>
        <w:tab w:val="left" w:pos="4252"/>
      </w:tabs>
      <w:spacing w:after="0" w:line="240" w:lineRule="auto"/>
    </w:pPr>
    <w:rPr>
      <w:rFonts w:ascii="Times New Roman" w:eastAsia="Times New Roman" w:hAnsi="Times New Roman"/>
      <w:i/>
      <w:sz w:val="24"/>
      <w:szCs w:val="20"/>
      <w:lang w:eastAsia="en-GB"/>
    </w:rPr>
  </w:style>
  <w:style w:type="paragraph" w:customStyle="1" w:styleId="Rfrenceinstitutionnelle">
    <w:name w:val="Référence institutionnelle"/>
    <w:basedOn w:val="Normal"/>
    <w:next w:val="Confidentialit"/>
    <w:pPr>
      <w:spacing w:after="240" w:line="240" w:lineRule="auto"/>
      <w:ind w:left="5103"/>
    </w:pPr>
    <w:rPr>
      <w:rFonts w:ascii="Times New Roman" w:eastAsia="Times New Roman" w:hAnsi="Times New Roman"/>
      <w:sz w:val="24"/>
      <w:szCs w:val="20"/>
      <w:lang w:eastAsia="en-GB"/>
    </w:rPr>
  </w:style>
  <w:style w:type="paragraph" w:customStyle="1" w:styleId="Rfrenceinterinstitutionnelle">
    <w:name w:val="Référence interinstitutionnelle"/>
    <w:basedOn w:val="Normal"/>
    <w:next w:val="Statut"/>
    <w:pPr>
      <w:spacing w:after="0" w:line="240" w:lineRule="auto"/>
      <w:ind w:left="5103"/>
    </w:pPr>
    <w:rPr>
      <w:rFonts w:ascii="Times New Roman" w:eastAsia="Times New Roman" w:hAnsi="Times New Roman"/>
      <w:sz w:val="24"/>
      <w:szCs w:val="20"/>
      <w:lang w:eastAsia="en-GB"/>
    </w:rPr>
  </w:style>
  <w:style w:type="paragraph" w:customStyle="1" w:styleId="Rfrenceinterne">
    <w:name w:val="Référence interne"/>
    <w:basedOn w:val="Normal"/>
    <w:next w:val="Rfrenceinterinstitutionnelle"/>
    <w:pPr>
      <w:spacing w:after="0" w:line="240" w:lineRule="auto"/>
      <w:ind w:left="5103"/>
    </w:pPr>
    <w:rPr>
      <w:rFonts w:ascii="Times New Roman" w:eastAsia="Times New Roman" w:hAnsi="Times New Roman"/>
      <w:sz w:val="24"/>
      <w:szCs w:val="20"/>
      <w:lang w:eastAsia="en-GB"/>
    </w:rPr>
  </w:style>
  <w:style w:type="paragraph" w:customStyle="1" w:styleId="Sous-titreobjet">
    <w:name w:val="Sous-titre objet"/>
    <w:basedOn w:val="Normal"/>
    <w:pPr>
      <w:spacing w:after="0" w:line="240" w:lineRule="auto"/>
      <w:jc w:val="center"/>
    </w:pPr>
    <w:rPr>
      <w:rFonts w:ascii="Times New Roman" w:eastAsia="Times New Roman" w:hAnsi="Times New Roman"/>
      <w:b/>
      <w:sz w:val="24"/>
      <w:szCs w:val="20"/>
      <w:lang w:eastAsia="en-GB"/>
    </w:rPr>
  </w:style>
  <w:style w:type="paragraph" w:customStyle="1" w:styleId="Statut">
    <w:name w:val="Statut"/>
    <w:basedOn w:val="Normal"/>
    <w:next w:val="Typedudocument"/>
    <w:pPr>
      <w:spacing w:before="360" w:after="0" w:line="240" w:lineRule="auto"/>
      <w:jc w:val="center"/>
    </w:pPr>
    <w:rPr>
      <w:rFonts w:ascii="Times New Roman" w:eastAsia="Times New Roman" w:hAnsi="Times New Roman"/>
      <w:sz w:val="24"/>
      <w:szCs w:val="20"/>
      <w:lang w:eastAsia="en-GB"/>
    </w:rPr>
  </w:style>
  <w:style w:type="paragraph" w:customStyle="1" w:styleId="Titrearticle">
    <w:name w:val="Titre article"/>
    <w:basedOn w:val="Normal"/>
    <w:next w:val="Normal"/>
    <w:pPr>
      <w:keepNext/>
      <w:spacing w:before="360" w:after="120" w:line="240" w:lineRule="auto"/>
      <w:jc w:val="center"/>
    </w:pPr>
    <w:rPr>
      <w:rFonts w:ascii="Times New Roman" w:eastAsia="Times New Roman" w:hAnsi="Times New Roman"/>
      <w:i/>
      <w:sz w:val="24"/>
      <w:szCs w:val="20"/>
      <w:lang w:eastAsia="en-GB"/>
    </w:rPr>
  </w:style>
  <w:style w:type="paragraph" w:customStyle="1" w:styleId="Titreobjet">
    <w:name w:val="Titre objet"/>
    <w:basedOn w:val="Normal"/>
    <w:next w:val="Sous-titreobjet"/>
    <w:pPr>
      <w:spacing w:before="360" w:after="360" w:line="240" w:lineRule="auto"/>
      <w:jc w:val="center"/>
    </w:pPr>
    <w:rPr>
      <w:rFonts w:ascii="Times New Roman" w:eastAsia="Times New Roman" w:hAnsi="Times New Roman"/>
      <w:b/>
      <w:sz w:val="24"/>
      <w:szCs w:val="20"/>
      <w:lang w:eastAsia="en-GB"/>
    </w:rPr>
  </w:style>
  <w:style w:type="paragraph" w:customStyle="1" w:styleId="Typedudocument">
    <w:name w:val="Type du document"/>
    <w:basedOn w:val="Normal"/>
    <w:next w:val="Titreobjet"/>
    <w:pPr>
      <w:spacing w:before="360" w:after="0" w:line="240" w:lineRule="auto"/>
      <w:jc w:val="center"/>
    </w:pPr>
    <w:rPr>
      <w:rFonts w:ascii="Times New Roman" w:eastAsia="Times New Roman" w:hAnsi="Times New Roman"/>
      <w:b/>
      <w:sz w:val="24"/>
      <w:szCs w:val="20"/>
      <w:lang w:eastAsia="en-GB"/>
    </w:rPr>
  </w:style>
  <w:style w:type="character" w:customStyle="1" w:styleId="Added">
    <w:name w:val="Added"/>
    <w:rPr>
      <w:b/>
      <w:u w:val="single"/>
      <w:shd w:val="clear" w:color="auto" w:fill="auto"/>
    </w:rPr>
  </w:style>
  <w:style w:type="character" w:customStyle="1" w:styleId="Deleted">
    <w:name w:val="Deleted"/>
    <w:rPr>
      <w:strike/>
      <w:dstrike w:val="0"/>
      <w:shd w:val="clear" w:color="auto" w:fill="auto"/>
    </w:rPr>
  </w:style>
  <w:style w:type="paragraph" w:customStyle="1" w:styleId="Address">
    <w:name w:val="Address"/>
    <w:basedOn w:val="Normal"/>
    <w:next w:val="Normal"/>
    <w:pPr>
      <w:keepLines/>
      <w:spacing w:before="120" w:after="120" w:line="360" w:lineRule="auto"/>
      <w:ind w:left="3402"/>
    </w:pPr>
    <w:rPr>
      <w:rFonts w:ascii="Times New Roman" w:eastAsia="Times New Roman" w:hAnsi="Times New Roman"/>
      <w:sz w:val="24"/>
      <w:szCs w:val="20"/>
      <w:lang w:eastAsia="en-GB"/>
    </w:rPr>
  </w:style>
  <w:style w:type="paragraph" w:customStyle="1" w:styleId="Objetexterne">
    <w:name w:val="Objet externe"/>
    <w:basedOn w:val="Normal"/>
    <w:next w:val="Normal"/>
    <w:pPr>
      <w:spacing w:before="120" w:after="120" w:line="240" w:lineRule="auto"/>
      <w:jc w:val="both"/>
    </w:pPr>
    <w:rPr>
      <w:rFonts w:ascii="Times New Roman" w:eastAsia="Times New Roman" w:hAnsi="Times New Roman"/>
      <w:i/>
      <w:caps/>
      <w:sz w:val="24"/>
      <w:szCs w:val="20"/>
      <w:lang w:eastAsia="en-GB"/>
    </w:rPr>
  </w:style>
  <w:style w:type="paragraph" w:customStyle="1" w:styleId="Supertitre">
    <w:name w:val="Supertitre"/>
    <w:basedOn w:val="Normal"/>
    <w:next w:val="Normal"/>
    <w:pPr>
      <w:spacing w:after="600" w:line="240" w:lineRule="auto"/>
      <w:jc w:val="center"/>
    </w:pPr>
    <w:rPr>
      <w:rFonts w:ascii="Times New Roman" w:eastAsia="Times New Roman" w:hAnsi="Times New Roman"/>
      <w:b/>
      <w:sz w:val="24"/>
      <w:szCs w:val="20"/>
      <w:lang w:eastAsia="en-GB"/>
    </w:rPr>
  </w:style>
  <w:style w:type="paragraph" w:customStyle="1" w:styleId="Languesfaisantfoi">
    <w:name w:val="Langues faisant foi"/>
    <w:basedOn w:val="Normal"/>
    <w:next w:val="Normal"/>
    <w:pPr>
      <w:spacing w:before="360" w:after="0" w:line="240" w:lineRule="auto"/>
      <w:jc w:val="center"/>
    </w:pPr>
    <w:rPr>
      <w:rFonts w:ascii="Times New Roman" w:eastAsia="Times New Roman" w:hAnsi="Times New Roman"/>
      <w:sz w:val="24"/>
      <w:szCs w:val="20"/>
      <w:lang w:eastAsia="en-GB"/>
    </w:rPr>
  </w:style>
  <w:style w:type="paragraph" w:customStyle="1" w:styleId="Rfrencecroise">
    <w:name w:val="Référence croisée"/>
    <w:basedOn w:val="Normal"/>
    <w:pPr>
      <w:spacing w:after="0" w:line="240" w:lineRule="auto"/>
      <w:jc w:val="center"/>
    </w:pPr>
    <w:rPr>
      <w:rFonts w:ascii="Times New Roman" w:eastAsia="Times New Roman" w:hAnsi="Times New Roman"/>
      <w:sz w:val="24"/>
      <w:szCs w:val="20"/>
      <w:lang w:eastAsia="en-GB"/>
    </w:rPr>
  </w:style>
  <w:style w:type="paragraph" w:customStyle="1" w:styleId="Fichefinanciretitre">
    <w:name w:val="Fiche financière titre"/>
    <w:basedOn w:val="Normal"/>
    <w:next w:val="Normal"/>
    <w:pPr>
      <w:spacing w:before="120" w:after="120" w:line="240" w:lineRule="auto"/>
      <w:jc w:val="center"/>
    </w:pPr>
    <w:rPr>
      <w:rFonts w:ascii="Times New Roman" w:eastAsia="Times New Roman" w:hAnsi="Times New Roman"/>
      <w:b/>
      <w:sz w:val="24"/>
      <w:szCs w:val="20"/>
      <w:u w:val="single"/>
      <w:lang w:eastAsia="en-GB"/>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after="240" w:line="240" w:lineRule="auto"/>
      <w:ind w:left="5103"/>
    </w:pPr>
    <w:rPr>
      <w:rFonts w:ascii="Times New Roman" w:eastAsia="Times New Roman" w:hAnsi="Times New Roman"/>
      <w:sz w:val="24"/>
      <w:szCs w:val="20"/>
      <w:lang w:eastAsia="en-GB"/>
    </w:r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after="240" w:line="240" w:lineRule="auto"/>
      <w:jc w:val="center"/>
    </w:pPr>
    <w:rPr>
      <w:rFonts w:ascii="Times New Roman" w:eastAsia="Times New Roman" w:hAnsi="Times New Roman"/>
      <w:b/>
      <w:i/>
      <w:sz w:val="24"/>
      <w:szCs w:val="20"/>
      <w:lang w:eastAsia="en-GB"/>
    </w:rPr>
  </w:style>
  <w:style w:type="paragraph" w:customStyle="1" w:styleId="Typeacteprincipal">
    <w:name w:val="Type acte principal"/>
    <w:basedOn w:val="Normal"/>
    <w:next w:val="Objetacteprincipal"/>
    <w:pPr>
      <w:spacing w:after="240" w:line="240" w:lineRule="auto"/>
      <w:jc w:val="center"/>
    </w:pPr>
    <w:rPr>
      <w:rFonts w:ascii="Times New Roman" w:eastAsia="Times New Roman" w:hAnsi="Times New Roman"/>
      <w:b/>
      <w:sz w:val="24"/>
      <w:szCs w:val="20"/>
      <w:lang w:eastAsia="en-GB"/>
    </w:rPr>
  </w:style>
  <w:style w:type="paragraph" w:customStyle="1" w:styleId="Objetacteprincipal">
    <w:name w:val="Objet acte principal"/>
    <w:basedOn w:val="Normal"/>
    <w:next w:val="Titrearticle"/>
    <w:pPr>
      <w:spacing w:after="360" w:line="240" w:lineRule="auto"/>
      <w:jc w:val="center"/>
    </w:pPr>
    <w:rPr>
      <w:rFonts w:ascii="Times New Roman" w:eastAsia="Times New Roman" w:hAnsi="Times New Roman"/>
      <w:b/>
      <w:sz w:val="24"/>
      <w:szCs w:val="20"/>
      <w:lang w:eastAsia="en-G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line="240" w:lineRule="auto"/>
      <w:jc w:val="center"/>
    </w:pPr>
    <w:rPr>
      <w:rFonts w:ascii="Times New Roman" w:eastAsia="Times New Roman" w:hAnsi="Times New Roman"/>
      <w:sz w:val="24"/>
      <w:szCs w:val="20"/>
      <w:lang w:eastAsia="en-GB"/>
    </w:rPr>
  </w:style>
  <w:style w:type="paragraph" w:customStyle="1" w:styleId="Date1">
    <w:name w:val="Date1"/>
    <w:basedOn w:val="Normal"/>
    <w:pPr>
      <w:spacing w:before="100" w:beforeAutospacing="1" w:after="100" w:afterAutospacing="1" w:line="240" w:lineRule="auto"/>
    </w:pPr>
    <w:rPr>
      <w:rFonts w:ascii="Times New Roman" w:eastAsia="Times New Roman" w:hAnsi="Times New Roman"/>
      <w:sz w:val="24"/>
      <w:szCs w:val="24"/>
      <w:lang w:eastAsia="en-GB"/>
    </w:rPr>
  </w:style>
  <w:style w:type="paragraph" w:styleId="NormalWeb">
    <w:name w:val="Normal (Web)"/>
    <w:basedOn w:val="Normal"/>
    <w:unhideWhenUsed/>
    <w:pPr>
      <w:spacing w:before="100" w:beforeAutospacing="1" w:after="100" w:afterAutospacing="1" w:line="240" w:lineRule="auto"/>
    </w:pPr>
    <w:rPr>
      <w:rFonts w:ascii="Times New Roman" w:eastAsia="Times New Roman" w:hAnsi="Times New Roman"/>
      <w:sz w:val="24"/>
      <w:szCs w:val="24"/>
      <w:lang w:eastAsia="en-GB"/>
    </w:rPr>
  </w:style>
  <w:style w:type="character" w:styleId="Emphasis">
    <w:name w:val="Emphasis"/>
    <w:uiPriority w:val="20"/>
    <w:qFormat/>
    <w:rPr>
      <w:i/>
      <w:iCs/>
    </w:rPr>
  </w:style>
  <w:style w:type="character" w:styleId="Strong">
    <w:name w:val="Strong"/>
    <w:uiPriority w:val="22"/>
    <w:qFormat/>
    <w:rPr>
      <w:b/>
      <w:bCs/>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pPr>
      <w:spacing w:after="160" w:line="240" w:lineRule="exact"/>
      <w:jc w:val="both"/>
    </w:pPr>
    <w:rPr>
      <w:vertAlign w:val="superscript"/>
    </w:rPr>
  </w:style>
  <w:style w:type="paragraph" w:styleId="Revision">
    <w:name w:val="Revision"/>
    <w:hidden/>
    <w:uiPriority w:val="99"/>
    <w:semiHidden/>
    <w:rPr>
      <w:sz w:val="22"/>
      <w:szCs w:val="22"/>
      <w:lang w:val="fr-BE" w:eastAsia="en-US"/>
    </w:rPr>
  </w:style>
  <w:style w:type="paragraph" w:customStyle="1" w:styleId="Date2">
    <w:name w:val="Date2"/>
    <w:basedOn w:val="Normal"/>
    <w:pPr>
      <w:spacing w:before="100" w:beforeAutospacing="1" w:after="100" w:afterAutospacing="1" w:line="240" w:lineRule="auto"/>
    </w:pPr>
    <w:rPr>
      <w:rFonts w:ascii="Times New Roman" w:eastAsia="Times New Roman" w:hAnsi="Times New Roman"/>
      <w:sz w:val="24"/>
      <w:szCs w:val="24"/>
      <w:lang w:eastAsia="en-GB"/>
    </w:rPr>
  </w:style>
  <w:style w:type="paragraph" w:styleId="ListParagraph">
    <w:name w:val="List Paragraph"/>
    <w:basedOn w:val="Normal"/>
    <w:uiPriority w:val="34"/>
    <w:qFormat/>
    <w:pPr>
      <w:spacing w:after="0" w:line="240" w:lineRule="auto"/>
      <w:ind w:left="720"/>
      <w:contextualSpacing/>
    </w:pPr>
    <w:rPr>
      <w:rFonts w:eastAsia="Times New Roman"/>
      <w:lang w:val="fr-BE"/>
    </w:rPr>
  </w:style>
  <w:style w:type="paragraph" w:customStyle="1" w:styleId="Body">
    <w:name w:val="Body"/>
    <w:pPr>
      <w:pBdr>
        <w:top w:val="nil"/>
        <w:left w:val="nil"/>
        <w:bottom w:val="nil"/>
        <w:right w:val="nil"/>
        <w:between w:val="nil"/>
        <w:bar w:val="nil"/>
      </w:pBdr>
      <w:spacing w:after="200" w:line="276" w:lineRule="auto"/>
    </w:pPr>
    <w:rPr>
      <w:rFonts w:cs="Calibri"/>
      <w:color w:val="000000"/>
      <w:sz w:val="22"/>
      <w:szCs w:val="22"/>
      <w:u w:color="000000"/>
      <w:bdr w:val="nil"/>
      <w:lang w:val="en-US"/>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lang w:eastAsia="en-US"/>
    </w:rPr>
  </w:style>
  <w:style w:type="character" w:styleId="EndnoteReference">
    <w:name w:val="endnote reference"/>
    <w:basedOn w:val="DefaultParagraphFont"/>
    <w:uiPriority w:val="99"/>
    <w:semiHidden/>
    <w:unhideWhenUsed/>
    <w:rPr>
      <w:vertAlign w:val="superscript"/>
    </w:rPr>
  </w:style>
  <w:style w:type="table" w:styleId="MediumShading2-Accent1">
    <w:name w:val="Medium Shading 2 Accent 1"/>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List-Accent1">
    <w:name w:val="Light List Accent 1"/>
    <w:basedOn w:val="TableNormal"/>
    <w:uiPriority w:val="61"/>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s14">
    <w:name w:val="s14"/>
    <w:basedOn w:val="Normal"/>
    <w:pPr>
      <w:spacing w:before="100" w:beforeAutospacing="1" w:after="100" w:afterAutospacing="1" w:line="240" w:lineRule="auto"/>
    </w:pPr>
    <w:rPr>
      <w:rFonts w:ascii="Times New Roman" w:eastAsiaTheme="minorHAnsi" w:hAnsi="Times New Roman"/>
      <w:sz w:val="24"/>
      <w:szCs w:val="24"/>
      <w:lang w:eastAsia="en-GB"/>
    </w:rPr>
  </w:style>
  <w:style w:type="character" w:customStyle="1" w:styleId="at1">
    <w:name w:val="a__t1"/>
    <w:basedOn w:val="DefaultParagraphFont"/>
  </w:style>
  <w:style w:type="table" w:customStyle="1" w:styleId="TableGrid1">
    <w:name w:val="Table Grid1"/>
    <w:basedOn w:val="TableNormal"/>
    <w:next w:val="TableGrid"/>
    <w:uiPriority w:val="59"/>
    <w:rPr>
      <w:rFonts w:eastAsia="Times New Roman"/>
      <w:lang w:val="sv-SE" w:eastAsia="sv-SE" w:bidi="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Text1"/>
    <w:link w:val="Heading1Char"/>
    <w:uiPriority w:val="9"/>
    <w:qFormat/>
    <w:pPr>
      <w:keepNext/>
      <w:numPr>
        <w:numId w:val="16"/>
      </w:numPr>
      <w:spacing w:before="360" w:after="120" w:line="240" w:lineRule="auto"/>
      <w:jc w:val="both"/>
      <w:outlineLvl w:val="0"/>
    </w:pPr>
    <w:rPr>
      <w:rFonts w:ascii="Times New Roman" w:eastAsia="Times New Roman" w:hAnsi="Times New Roman"/>
      <w:b/>
      <w:bCs/>
      <w:smallCaps/>
      <w:sz w:val="24"/>
      <w:szCs w:val="28"/>
      <w:lang w:eastAsia="en-GB"/>
    </w:rPr>
  </w:style>
  <w:style w:type="paragraph" w:styleId="Heading2">
    <w:name w:val="heading 2"/>
    <w:basedOn w:val="Normal"/>
    <w:next w:val="Text1"/>
    <w:link w:val="Heading2Char"/>
    <w:uiPriority w:val="9"/>
    <w:qFormat/>
    <w:pPr>
      <w:keepNext/>
      <w:numPr>
        <w:ilvl w:val="1"/>
        <w:numId w:val="16"/>
      </w:numPr>
      <w:spacing w:before="120" w:after="120" w:line="240" w:lineRule="auto"/>
      <w:jc w:val="both"/>
      <w:outlineLvl w:val="1"/>
    </w:pPr>
    <w:rPr>
      <w:rFonts w:ascii="Times New Roman" w:eastAsia="Times New Roman" w:hAnsi="Times New Roman"/>
      <w:b/>
      <w:bCs/>
      <w:sz w:val="24"/>
      <w:szCs w:val="26"/>
      <w:lang w:eastAsia="en-GB"/>
    </w:rPr>
  </w:style>
  <w:style w:type="paragraph" w:styleId="Heading3">
    <w:name w:val="heading 3"/>
    <w:basedOn w:val="Normal"/>
    <w:next w:val="Text1"/>
    <w:link w:val="Heading3Char"/>
    <w:uiPriority w:val="9"/>
    <w:qFormat/>
    <w:pPr>
      <w:keepNext/>
      <w:numPr>
        <w:ilvl w:val="2"/>
        <w:numId w:val="16"/>
      </w:numPr>
      <w:spacing w:before="120" w:after="120" w:line="240" w:lineRule="auto"/>
      <w:jc w:val="both"/>
      <w:outlineLvl w:val="2"/>
    </w:pPr>
    <w:rPr>
      <w:rFonts w:ascii="Times New Roman" w:eastAsia="Times New Roman" w:hAnsi="Times New Roman"/>
      <w:bCs/>
      <w:i/>
      <w:sz w:val="24"/>
      <w:szCs w:val="20"/>
      <w:lang w:eastAsia="en-GB"/>
    </w:rPr>
  </w:style>
  <w:style w:type="paragraph" w:styleId="Heading4">
    <w:name w:val="heading 4"/>
    <w:basedOn w:val="Normal"/>
    <w:next w:val="Text1"/>
    <w:link w:val="Heading4Char"/>
    <w:uiPriority w:val="9"/>
    <w:qFormat/>
    <w:pPr>
      <w:keepNext/>
      <w:numPr>
        <w:ilvl w:val="3"/>
        <w:numId w:val="16"/>
      </w:numPr>
      <w:spacing w:before="120" w:after="120" w:line="240" w:lineRule="auto"/>
      <w:jc w:val="both"/>
      <w:outlineLvl w:val="3"/>
    </w:pPr>
    <w:rPr>
      <w:rFonts w:ascii="Times New Roman" w:eastAsia="Times New Roman" w:hAnsi="Times New Roman"/>
      <w:bCs/>
      <w:iCs/>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Times New Roman" w:eastAsia="Times New Roman" w:hAnsi="Times New Roman" w:cs="Times New Roman"/>
      <w:b/>
      <w:bCs/>
      <w:smallCaps/>
      <w:sz w:val="24"/>
      <w:szCs w:val="28"/>
      <w:lang w:eastAsia="en-GB"/>
    </w:rPr>
  </w:style>
  <w:style w:type="character" w:customStyle="1" w:styleId="Heading2Char">
    <w:name w:val="Heading 2 Char"/>
    <w:link w:val="Heading2"/>
    <w:uiPriority w:val="9"/>
    <w:rPr>
      <w:rFonts w:ascii="Times New Roman" w:eastAsia="Times New Roman" w:hAnsi="Times New Roman" w:cs="Times New Roman"/>
      <w:b/>
      <w:bCs/>
      <w:sz w:val="24"/>
      <w:szCs w:val="26"/>
      <w:lang w:eastAsia="en-GB"/>
    </w:rPr>
  </w:style>
  <w:style w:type="character" w:customStyle="1" w:styleId="Heading3Char">
    <w:name w:val="Heading 3 Char"/>
    <w:link w:val="Heading3"/>
    <w:uiPriority w:val="9"/>
    <w:rPr>
      <w:rFonts w:ascii="Times New Roman" w:eastAsia="Times New Roman" w:hAnsi="Times New Roman" w:cs="Times New Roman"/>
      <w:bCs/>
      <w:i/>
      <w:sz w:val="24"/>
      <w:szCs w:val="20"/>
      <w:lang w:eastAsia="en-GB"/>
    </w:rPr>
  </w:style>
  <w:style w:type="character" w:customStyle="1" w:styleId="Heading4Char">
    <w:name w:val="Heading 4 Char"/>
    <w:link w:val="Heading4"/>
    <w:uiPriority w:val="9"/>
    <w:rPr>
      <w:rFonts w:ascii="Times New Roman" w:eastAsia="Times New Roman" w:hAnsi="Times New Roman" w:cs="Times New Roman"/>
      <w:bCs/>
      <w:iCs/>
      <w:sz w:val="24"/>
      <w:szCs w:val="20"/>
      <w:lang w:eastAsia="en-GB"/>
    </w:rPr>
  </w:style>
  <w:style w:type="numbering" w:customStyle="1" w:styleId="NoList1">
    <w:name w:val="No List1"/>
    <w:next w:val="NoList"/>
    <w:uiPriority w:val="99"/>
    <w:semiHidden/>
    <w:unhideWhenUsed/>
  </w:style>
  <w:style w:type="character" w:customStyle="1" w:styleId="Marker">
    <w:name w:val="Marker"/>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sz w:val="24"/>
      <w:lang w:val="fr-BE"/>
    </w:rPr>
  </w:style>
  <w:style w:type="paragraph" w:styleId="Header">
    <w:name w:val="header"/>
    <w:basedOn w:val="Normal"/>
    <w:link w:val="HeaderChar"/>
    <w:uiPriority w:val="99"/>
    <w:unhideWhenUsed/>
    <w:pPr>
      <w:tabs>
        <w:tab w:val="center" w:pos="4536"/>
        <w:tab w:val="right" w:pos="9072"/>
      </w:tabs>
    </w:pPr>
    <w:rPr>
      <w:lang w:val="fr-BE"/>
    </w:rPr>
  </w:style>
  <w:style w:type="character" w:customStyle="1" w:styleId="HeaderChar">
    <w:name w:val="Header Char"/>
    <w:link w:val="Header"/>
    <w:uiPriority w:val="99"/>
    <w:rPr>
      <w:rFonts w:ascii="Calibri" w:eastAsia="Calibri" w:hAnsi="Calibri" w:cs="Times New Roman"/>
      <w:lang w:val="fr-BE"/>
    </w:rPr>
  </w:style>
  <w:style w:type="paragraph" w:styleId="Footer">
    <w:name w:val="footer"/>
    <w:basedOn w:val="Normal"/>
    <w:link w:val="FooterChar"/>
    <w:uiPriority w:val="99"/>
    <w:unhideWhenUsed/>
    <w:pPr>
      <w:tabs>
        <w:tab w:val="center" w:pos="4536"/>
        <w:tab w:val="right" w:pos="9072"/>
      </w:tabs>
    </w:pPr>
    <w:rPr>
      <w:lang w:val="fr-BE"/>
    </w:rPr>
  </w:style>
  <w:style w:type="character" w:customStyle="1" w:styleId="FooterChar">
    <w:name w:val="Footer Char"/>
    <w:link w:val="Footer"/>
    <w:uiPriority w:val="99"/>
    <w:rPr>
      <w:rFonts w:ascii="Calibri" w:eastAsia="Calibri" w:hAnsi="Calibri" w:cs="Times New Roman"/>
      <w:lang w:val="fr-BE"/>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sz w:val="24"/>
      <w:szCs w:val="20"/>
      <w:lang w:val="fr-BE" w:eastAsia="en-GB"/>
    </w:rPr>
  </w:style>
  <w:style w:type="character" w:customStyle="1" w:styleId="FooterCoverPageChar">
    <w:name w:val="Footer Cover Page Char"/>
    <w:link w:val="FooterCoverPage"/>
    <w:rPr>
      <w:rFonts w:ascii="Times New Roman" w:hAnsi="Times New Roman"/>
      <w:sz w:val="24"/>
      <w:lang w:val="fr-BE"/>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sz w:val="24"/>
      <w:szCs w:val="20"/>
      <w:lang w:val="fr-BE" w:eastAsia="en-GB"/>
    </w:rPr>
  </w:style>
  <w:style w:type="character" w:customStyle="1" w:styleId="HeaderCoverPageChar">
    <w:name w:val="Header Cover Page Char"/>
    <w:link w:val="HeaderCoverPage"/>
    <w:rPr>
      <w:rFonts w:ascii="Times New Roman" w:hAnsi="Times New Roman"/>
      <w:sz w:val="24"/>
      <w:lang w:val="fr-BE"/>
    </w:rPr>
  </w:style>
  <w:style w:type="paragraph" w:styleId="ListBullet">
    <w:name w:val="List Bullet"/>
    <w:basedOn w:val="Normal"/>
    <w:uiPriority w:val="99"/>
    <w:pPr>
      <w:numPr>
        <w:numId w:val="1"/>
      </w:numPr>
      <w:spacing w:before="120" w:after="120" w:line="240" w:lineRule="auto"/>
      <w:jc w:val="both"/>
    </w:pPr>
    <w:rPr>
      <w:rFonts w:ascii="Times New Roman" w:eastAsia="Times New Roman" w:hAnsi="Times New Roman"/>
      <w:sz w:val="24"/>
      <w:szCs w:val="24"/>
      <w:lang w:eastAsia="en-GB"/>
    </w:rPr>
  </w:style>
  <w:style w:type="character" w:styleId="CommentReference">
    <w:name w:val="annotation reference"/>
    <w:uiPriority w:val="99"/>
    <w:rPr>
      <w:sz w:val="16"/>
    </w:rPr>
  </w:style>
  <w:style w:type="paragraph" w:styleId="ListBullet2">
    <w:name w:val="List Bullet 2"/>
    <w:basedOn w:val="Normal"/>
    <w:uiPriority w:val="99"/>
    <w:semiHidden/>
    <w:unhideWhenUsed/>
    <w:pPr>
      <w:numPr>
        <w:numId w:val="2"/>
      </w:numPr>
      <w:spacing w:before="120" w:after="120" w:line="240" w:lineRule="auto"/>
      <w:contextualSpacing/>
      <w:jc w:val="both"/>
    </w:pPr>
    <w:rPr>
      <w:rFonts w:ascii="Times New Roman" w:eastAsia="Times New Roman" w:hAnsi="Times New Roman"/>
      <w:sz w:val="24"/>
      <w:szCs w:val="20"/>
      <w:lang w:eastAsia="en-GB"/>
    </w:rPr>
  </w:style>
  <w:style w:type="paragraph" w:styleId="ListBullet3">
    <w:name w:val="List Bullet 3"/>
    <w:basedOn w:val="Normal"/>
    <w:uiPriority w:val="99"/>
    <w:semiHidden/>
    <w:unhideWhenUsed/>
    <w:pPr>
      <w:numPr>
        <w:numId w:val="3"/>
      </w:numPr>
      <w:spacing w:before="120" w:after="120" w:line="240" w:lineRule="auto"/>
      <w:contextualSpacing/>
      <w:jc w:val="both"/>
    </w:pPr>
    <w:rPr>
      <w:rFonts w:ascii="Times New Roman" w:eastAsia="Times New Roman" w:hAnsi="Times New Roman"/>
      <w:sz w:val="24"/>
      <w:szCs w:val="20"/>
      <w:lang w:eastAsia="en-GB"/>
    </w:rPr>
  </w:style>
  <w:style w:type="paragraph" w:styleId="ListBullet4">
    <w:name w:val="List Bullet 4"/>
    <w:basedOn w:val="Normal"/>
    <w:uiPriority w:val="99"/>
    <w:semiHidden/>
    <w:unhideWhenUsed/>
    <w:pPr>
      <w:numPr>
        <w:numId w:val="4"/>
      </w:numPr>
      <w:spacing w:before="120" w:after="120" w:line="240" w:lineRule="auto"/>
      <w:contextualSpacing/>
      <w:jc w:val="both"/>
    </w:pPr>
    <w:rPr>
      <w:rFonts w:ascii="Times New Roman" w:eastAsia="Times New Roman" w:hAnsi="Times New Roman"/>
      <w:sz w:val="24"/>
      <w:szCs w:val="20"/>
      <w:lang w:eastAsia="en-GB"/>
    </w:rPr>
  </w:style>
  <w:style w:type="paragraph" w:styleId="BalloonText">
    <w:name w:val="Balloon Text"/>
    <w:basedOn w:val="Normal"/>
    <w:link w:val="BalloonTextChar"/>
    <w:uiPriority w:val="99"/>
    <w:semiHidden/>
    <w:unhideWhenUsed/>
    <w:pPr>
      <w:spacing w:after="0" w:line="240" w:lineRule="auto"/>
      <w:jc w:val="both"/>
    </w:pPr>
    <w:rPr>
      <w:rFonts w:ascii="Tahoma" w:eastAsia="Times New Roman" w:hAnsi="Tahoma" w:cs="Tahoma"/>
      <w:sz w:val="16"/>
      <w:szCs w:val="16"/>
      <w:lang w:eastAsia="en-GB"/>
    </w:rPr>
  </w:style>
  <w:style w:type="character" w:customStyle="1" w:styleId="BalloonTextChar">
    <w:name w:val="Balloon Text Char"/>
    <w:link w:val="BalloonText"/>
    <w:uiPriority w:val="99"/>
    <w:semiHidden/>
    <w:rPr>
      <w:rFonts w:ascii="Tahoma" w:eastAsia="Times New Roman" w:hAnsi="Tahoma" w:cs="Tahoma"/>
      <w:sz w:val="16"/>
      <w:szCs w:val="16"/>
      <w:lang w:eastAsia="en-GB"/>
    </w:rPr>
  </w:style>
  <w:style w:type="character" w:styleId="Hyperlink">
    <w:name w:val="Hyperlink"/>
    <w:uiPriority w:val="99"/>
    <w:unhideWhenUsed/>
    <w:rPr>
      <w:color w:val="0000FF"/>
      <w:u w:val="single"/>
    </w:rPr>
  </w:style>
  <w:style w:type="paragraph" w:styleId="CommentText">
    <w:name w:val="annotation text"/>
    <w:basedOn w:val="Normal"/>
    <w:link w:val="CommentTextChar"/>
    <w:uiPriority w:val="99"/>
    <w:unhideWhenUsed/>
    <w:pPr>
      <w:spacing w:before="120" w:after="120" w:line="240" w:lineRule="auto"/>
      <w:jc w:val="both"/>
    </w:pPr>
    <w:rPr>
      <w:rFonts w:ascii="Times New Roman" w:eastAsia="Times New Roman" w:hAnsi="Times New Roman"/>
      <w:sz w:val="20"/>
      <w:szCs w:val="20"/>
      <w:lang w:eastAsia="en-GB"/>
    </w:rPr>
  </w:style>
  <w:style w:type="character" w:customStyle="1" w:styleId="CommentTextChar">
    <w:name w:val="Comment Text Char"/>
    <w:link w:val="CommentText"/>
    <w:uiPriority w:val="99"/>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rFonts w:ascii="Times New Roman" w:eastAsia="Times New Roman" w:hAnsi="Times New Roman" w:cs="Times New Roman"/>
      <w:b/>
      <w:bCs/>
      <w:sz w:val="20"/>
      <w:szCs w:val="20"/>
      <w:lang w:eastAsia="en-GB"/>
    </w:rPr>
  </w:style>
  <w:style w:type="paragraph" w:customStyle="1" w:styleId="Default">
    <w:name w:val="Default"/>
    <w:pPr>
      <w:autoSpaceDE w:val="0"/>
      <w:autoSpaceDN w:val="0"/>
      <w:adjustRightInd w:val="0"/>
    </w:pPr>
    <w:rPr>
      <w:rFonts w:ascii="Times New Roman" w:eastAsia="Times New Roman" w:hAnsi="Times New Roman"/>
      <w:color w:val="000000"/>
      <w:sz w:val="24"/>
      <w:szCs w:val="24"/>
    </w:rPr>
  </w:style>
  <w:style w:type="paragraph" w:customStyle="1" w:styleId="HeaderTitleRight30">
    <w:name w:val="Header Title Right (30)"/>
    <w:basedOn w:val="Normal"/>
    <w:next w:val="Normal"/>
    <w:pPr>
      <w:spacing w:before="100" w:after="40" w:line="240" w:lineRule="auto"/>
      <w:ind w:right="-850"/>
      <w:jc w:val="right"/>
    </w:pPr>
    <w:rPr>
      <w:rFonts w:ascii="Century Gothic" w:eastAsia="Times New Roman" w:hAnsi="Century Gothic"/>
      <w:color w:val="333399"/>
      <w:sz w:val="14"/>
      <w:szCs w:val="24"/>
      <w:lang w:eastAsia="en-GB"/>
    </w:rPr>
  </w:style>
  <w:style w:type="table" w:styleId="TableGrid">
    <w:name w:val="Table Grid"/>
    <w:basedOn w:val="TableNormal"/>
    <w:uiPriority w:val="5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qFormat/>
    <w:pPr>
      <w:spacing w:before="120" w:after="120" w:line="240" w:lineRule="auto"/>
      <w:jc w:val="both"/>
    </w:pPr>
    <w:rPr>
      <w:rFonts w:ascii="Times New Roman" w:eastAsia="Times New Roman" w:hAnsi="Times New Roman"/>
      <w:b/>
      <w:bCs/>
      <w:sz w:val="20"/>
      <w:szCs w:val="20"/>
      <w:lang w:eastAsia="en-GB"/>
    </w:rPr>
  </w:style>
  <w:style w:type="paragraph" w:styleId="TableofFigures">
    <w:name w:val="table of figures"/>
    <w:basedOn w:val="Normal"/>
    <w:next w:val="Normal"/>
    <w:uiPriority w:val="99"/>
    <w:semiHidden/>
    <w:unhideWhenUsed/>
    <w:pPr>
      <w:spacing w:before="120" w:after="120" w:line="240" w:lineRule="auto"/>
      <w:jc w:val="both"/>
    </w:pPr>
    <w:rPr>
      <w:rFonts w:ascii="Times New Roman" w:eastAsia="Times New Roman" w:hAnsi="Times New Roman"/>
      <w:sz w:val="24"/>
      <w:szCs w:val="20"/>
      <w:lang w:eastAsia="en-GB"/>
    </w:rPr>
  </w:style>
  <w:style w:type="paragraph" w:styleId="ListNumber">
    <w:name w:val="List Number"/>
    <w:basedOn w:val="Normal"/>
    <w:uiPriority w:val="99"/>
    <w:semiHidden/>
    <w:unhideWhenUsed/>
    <w:pPr>
      <w:numPr>
        <w:numId w:val="5"/>
      </w:numPr>
      <w:spacing w:before="120" w:after="120" w:line="240" w:lineRule="auto"/>
      <w:contextualSpacing/>
      <w:jc w:val="both"/>
    </w:pPr>
    <w:rPr>
      <w:rFonts w:ascii="Times New Roman" w:eastAsia="Times New Roman" w:hAnsi="Times New Roman"/>
      <w:sz w:val="24"/>
      <w:szCs w:val="20"/>
      <w:lang w:eastAsia="en-GB"/>
    </w:rPr>
  </w:style>
  <w:style w:type="paragraph" w:styleId="ListNumber2">
    <w:name w:val="List Number 2"/>
    <w:basedOn w:val="Normal"/>
    <w:uiPriority w:val="99"/>
    <w:semiHidden/>
    <w:unhideWhenUsed/>
    <w:pPr>
      <w:numPr>
        <w:numId w:val="6"/>
      </w:numPr>
      <w:spacing w:before="120" w:after="120" w:line="240" w:lineRule="auto"/>
      <w:contextualSpacing/>
      <w:jc w:val="both"/>
    </w:pPr>
    <w:rPr>
      <w:rFonts w:ascii="Times New Roman" w:eastAsia="Times New Roman" w:hAnsi="Times New Roman"/>
      <w:sz w:val="24"/>
      <w:szCs w:val="20"/>
      <w:lang w:eastAsia="en-GB"/>
    </w:rPr>
  </w:style>
  <w:style w:type="paragraph" w:styleId="ListNumber3">
    <w:name w:val="List Number 3"/>
    <w:basedOn w:val="Normal"/>
    <w:uiPriority w:val="99"/>
    <w:semiHidden/>
    <w:unhideWhenUsed/>
    <w:pPr>
      <w:numPr>
        <w:numId w:val="7"/>
      </w:numPr>
      <w:spacing w:before="120" w:after="120" w:line="240" w:lineRule="auto"/>
      <w:contextualSpacing/>
      <w:jc w:val="both"/>
    </w:pPr>
    <w:rPr>
      <w:rFonts w:ascii="Times New Roman" w:eastAsia="Times New Roman" w:hAnsi="Times New Roman"/>
      <w:sz w:val="24"/>
      <w:szCs w:val="20"/>
      <w:lang w:eastAsia="en-GB"/>
    </w:rPr>
  </w:style>
  <w:style w:type="paragraph" w:styleId="ListNumber4">
    <w:name w:val="List Number 4"/>
    <w:basedOn w:val="Normal"/>
    <w:uiPriority w:val="99"/>
    <w:semiHidden/>
    <w:unhideWhenUsed/>
    <w:pPr>
      <w:numPr>
        <w:numId w:val="8"/>
      </w:numPr>
      <w:spacing w:before="120" w:after="120" w:line="240" w:lineRule="auto"/>
      <w:contextualSpacing/>
      <w:jc w:val="both"/>
    </w:pPr>
    <w:rPr>
      <w:rFonts w:ascii="Times New Roman" w:eastAsia="Times New Roman" w:hAnsi="Times New Roman"/>
      <w:sz w:val="24"/>
      <w:szCs w:val="20"/>
      <w:lang w:eastAsia="en-GB"/>
    </w:rPr>
  </w:style>
  <w:style w:type="paragraph" w:styleId="FootnoteText">
    <w:name w:val="footnote text"/>
    <w:aliases w:val="Podrozdział,Footnote Text Char1 Char,Footnote Text Char Char Char,Footnote Text Char2 Char Char Char,Footnote Text Char1 Char Char Char Char,Footnote Text Char Char Char Char Char Char,Plonk,Footnote text PFR,fn,o,f,Footnote Text Char2 Cha"/>
    <w:basedOn w:val="Normal"/>
    <w:link w:val="FootnoteTextChar"/>
    <w:uiPriority w:val="99"/>
    <w:unhideWhenUsed/>
    <w:pPr>
      <w:spacing w:after="0" w:line="240" w:lineRule="auto"/>
      <w:ind w:left="720" w:hanging="720"/>
      <w:jc w:val="both"/>
    </w:pPr>
    <w:rPr>
      <w:rFonts w:ascii="Times New Roman" w:eastAsia="Times New Roman" w:hAnsi="Times New Roman"/>
      <w:sz w:val="20"/>
      <w:szCs w:val="20"/>
      <w:lang w:eastAsia="en-GB"/>
    </w:rPr>
  </w:style>
  <w:style w:type="character" w:customStyle="1" w:styleId="FootnoteTextChar">
    <w:name w:val="Footnote Text Char"/>
    <w:aliases w:val="Podrozdział Char,Footnote Text Char1 Char Char,Footnote Text Char Char Char Char,Footnote Text Char2 Char Char Char Char,Footnote Text Char1 Char Char Char Char Char,Footnote Text Char Char Char Char Char Char Char,Plonk Char,fn Char"/>
    <w:link w:val="FootnoteText"/>
    <w:uiPriority w:val="99"/>
    <w:rPr>
      <w:rFonts w:ascii="Times New Roman" w:eastAsia="Times New Roman" w:hAnsi="Times New Roman" w:cs="Times New Roman"/>
      <w:sz w:val="20"/>
      <w:szCs w:val="20"/>
      <w:lang w:eastAsia="en-GB"/>
    </w:rPr>
  </w:style>
  <w:style w:type="paragraph" w:customStyle="1" w:styleId="En-ttedetabledesmatires">
    <w:name w:val="En-tête de table des matières"/>
    <w:basedOn w:val="Normal"/>
    <w:next w:val="Normal"/>
    <w:uiPriority w:val="39"/>
    <w:semiHidden/>
    <w:unhideWhenUsed/>
    <w:qFormat/>
    <w:pPr>
      <w:spacing w:before="120" w:after="240" w:line="240" w:lineRule="auto"/>
      <w:jc w:val="center"/>
    </w:pPr>
    <w:rPr>
      <w:rFonts w:ascii="Times New Roman" w:eastAsia="Times New Roman" w:hAnsi="Times New Roman"/>
      <w:b/>
      <w:sz w:val="28"/>
      <w:szCs w:val="20"/>
      <w:lang w:eastAsia="en-GB"/>
    </w:rPr>
  </w:style>
  <w:style w:type="paragraph" w:styleId="TOC1">
    <w:name w:val="toc 1"/>
    <w:basedOn w:val="Normal"/>
    <w:next w:val="Normal"/>
    <w:uiPriority w:val="39"/>
    <w:semiHidden/>
    <w:unhideWhenUsed/>
    <w:pPr>
      <w:tabs>
        <w:tab w:val="right" w:leader="dot" w:pos="9071"/>
      </w:tabs>
      <w:spacing w:before="60" w:after="120" w:line="240" w:lineRule="auto"/>
      <w:ind w:left="850" w:hanging="850"/>
    </w:pPr>
    <w:rPr>
      <w:rFonts w:ascii="Times New Roman" w:eastAsia="Times New Roman" w:hAnsi="Times New Roman"/>
      <w:sz w:val="24"/>
      <w:szCs w:val="20"/>
      <w:lang w:eastAsia="en-GB"/>
    </w:rPr>
  </w:style>
  <w:style w:type="paragraph" w:styleId="TOC2">
    <w:name w:val="toc 2"/>
    <w:basedOn w:val="Normal"/>
    <w:next w:val="Normal"/>
    <w:uiPriority w:val="39"/>
    <w:semiHidden/>
    <w:unhideWhenUsed/>
    <w:pPr>
      <w:tabs>
        <w:tab w:val="right" w:leader="dot" w:pos="9071"/>
      </w:tabs>
      <w:spacing w:before="60" w:after="120" w:line="240" w:lineRule="auto"/>
      <w:ind w:left="850" w:hanging="850"/>
    </w:pPr>
    <w:rPr>
      <w:rFonts w:ascii="Times New Roman" w:eastAsia="Times New Roman" w:hAnsi="Times New Roman"/>
      <w:sz w:val="24"/>
      <w:szCs w:val="20"/>
      <w:lang w:eastAsia="en-GB"/>
    </w:rPr>
  </w:style>
  <w:style w:type="paragraph" w:styleId="TOC3">
    <w:name w:val="toc 3"/>
    <w:basedOn w:val="Normal"/>
    <w:next w:val="Normal"/>
    <w:uiPriority w:val="39"/>
    <w:semiHidden/>
    <w:unhideWhenUsed/>
    <w:pPr>
      <w:tabs>
        <w:tab w:val="right" w:leader="dot" w:pos="9071"/>
      </w:tabs>
      <w:spacing w:before="60" w:after="120" w:line="240" w:lineRule="auto"/>
      <w:ind w:left="850" w:hanging="850"/>
    </w:pPr>
    <w:rPr>
      <w:rFonts w:ascii="Times New Roman" w:eastAsia="Times New Roman" w:hAnsi="Times New Roman"/>
      <w:sz w:val="24"/>
      <w:szCs w:val="20"/>
      <w:lang w:eastAsia="en-GB"/>
    </w:rPr>
  </w:style>
  <w:style w:type="paragraph" w:styleId="TOC4">
    <w:name w:val="toc 4"/>
    <w:basedOn w:val="Normal"/>
    <w:next w:val="Normal"/>
    <w:uiPriority w:val="39"/>
    <w:semiHidden/>
    <w:unhideWhenUsed/>
    <w:pPr>
      <w:tabs>
        <w:tab w:val="right" w:leader="dot" w:pos="9071"/>
      </w:tabs>
      <w:spacing w:before="60" w:after="120" w:line="240" w:lineRule="auto"/>
      <w:ind w:left="850" w:hanging="850"/>
    </w:pPr>
    <w:rPr>
      <w:rFonts w:ascii="Times New Roman" w:eastAsia="Times New Roman" w:hAnsi="Times New Roman"/>
      <w:sz w:val="24"/>
      <w:szCs w:val="20"/>
      <w:lang w:eastAsia="en-GB"/>
    </w:rPr>
  </w:style>
  <w:style w:type="paragraph" w:styleId="TOC5">
    <w:name w:val="toc 5"/>
    <w:basedOn w:val="Normal"/>
    <w:next w:val="Normal"/>
    <w:uiPriority w:val="39"/>
    <w:semiHidden/>
    <w:unhideWhenUsed/>
    <w:pPr>
      <w:tabs>
        <w:tab w:val="right" w:leader="dot" w:pos="9071"/>
      </w:tabs>
      <w:spacing w:before="300" w:after="120" w:line="240" w:lineRule="auto"/>
    </w:pPr>
    <w:rPr>
      <w:rFonts w:ascii="Times New Roman" w:eastAsia="Times New Roman" w:hAnsi="Times New Roman"/>
      <w:sz w:val="24"/>
      <w:szCs w:val="20"/>
      <w:lang w:eastAsia="en-GB"/>
    </w:rPr>
  </w:style>
  <w:style w:type="paragraph" w:styleId="TOC6">
    <w:name w:val="toc 6"/>
    <w:basedOn w:val="Normal"/>
    <w:next w:val="Normal"/>
    <w:uiPriority w:val="39"/>
    <w:semiHidden/>
    <w:unhideWhenUsed/>
    <w:pPr>
      <w:tabs>
        <w:tab w:val="right" w:leader="dot" w:pos="9071"/>
      </w:tabs>
      <w:spacing w:before="240" w:after="120" w:line="240" w:lineRule="auto"/>
    </w:pPr>
    <w:rPr>
      <w:rFonts w:ascii="Times New Roman" w:eastAsia="Times New Roman" w:hAnsi="Times New Roman"/>
      <w:sz w:val="24"/>
      <w:szCs w:val="20"/>
      <w:lang w:eastAsia="en-GB"/>
    </w:rPr>
  </w:style>
  <w:style w:type="paragraph" w:styleId="TOC7">
    <w:name w:val="toc 7"/>
    <w:basedOn w:val="Normal"/>
    <w:next w:val="Normal"/>
    <w:uiPriority w:val="39"/>
    <w:semiHidden/>
    <w:unhideWhenUsed/>
    <w:pPr>
      <w:tabs>
        <w:tab w:val="right" w:leader="dot" w:pos="9071"/>
      </w:tabs>
      <w:spacing w:before="180" w:after="120" w:line="240" w:lineRule="auto"/>
    </w:pPr>
    <w:rPr>
      <w:rFonts w:ascii="Times New Roman" w:eastAsia="Times New Roman" w:hAnsi="Times New Roman"/>
      <w:sz w:val="24"/>
      <w:szCs w:val="20"/>
      <w:lang w:eastAsia="en-GB"/>
    </w:rPr>
  </w:style>
  <w:style w:type="paragraph" w:styleId="TOC8">
    <w:name w:val="toc 8"/>
    <w:basedOn w:val="Normal"/>
    <w:next w:val="Normal"/>
    <w:uiPriority w:val="39"/>
    <w:semiHidden/>
    <w:unhideWhenUsed/>
    <w:pPr>
      <w:tabs>
        <w:tab w:val="right" w:leader="dot" w:pos="9071"/>
      </w:tabs>
      <w:spacing w:before="120" w:after="120" w:line="240" w:lineRule="auto"/>
    </w:pPr>
    <w:rPr>
      <w:rFonts w:ascii="Times New Roman" w:eastAsia="Times New Roman" w:hAnsi="Times New Roman"/>
      <w:sz w:val="24"/>
      <w:szCs w:val="20"/>
      <w:lang w:eastAsia="en-GB"/>
    </w:rPr>
  </w:style>
  <w:style w:type="paragraph" w:styleId="TOC9">
    <w:name w:val="toc 9"/>
    <w:basedOn w:val="Normal"/>
    <w:next w:val="Normal"/>
    <w:uiPriority w:val="39"/>
    <w:semiHidden/>
    <w:unhideWhenUsed/>
    <w:pPr>
      <w:tabs>
        <w:tab w:val="right" w:leader="dot" w:pos="9071"/>
      </w:tabs>
      <w:spacing w:before="120" w:after="120" w:line="240" w:lineRule="auto"/>
      <w:jc w:val="both"/>
    </w:pPr>
    <w:rPr>
      <w:rFonts w:ascii="Times New Roman" w:eastAsia="Times New Roman" w:hAnsi="Times New Roman"/>
      <w:sz w:val="24"/>
      <w:szCs w:val="20"/>
      <w:lang w:eastAsia="en-GB"/>
    </w:rPr>
  </w:style>
  <w:style w:type="paragraph" w:customStyle="1" w:styleId="HeaderLandscape">
    <w:name w:val="HeaderLandscape"/>
    <w:basedOn w:val="Normal"/>
    <w:pPr>
      <w:tabs>
        <w:tab w:val="center" w:pos="7285"/>
        <w:tab w:val="right" w:pos="14003"/>
      </w:tabs>
      <w:spacing w:after="120" w:line="240" w:lineRule="auto"/>
      <w:jc w:val="both"/>
    </w:pPr>
    <w:rPr>
      <w:rFonts w:ascii="Times New Roman" w:hAnsi="Times New Roman"/>
      <w:sz w:val="24"/>
    </w:rPr>
  </w:style>
  <w:style w:type="paragraph" w:customStyle="1" w:styleId="FooterLandscape">
    <w:name w:val="FooterLandscape"/>
    <w:basedOn w:val="Normal"/>
    <w:pPr>
      <w:tabs>
        <w:tab w:val="center" w:pos="7285"/>
        <w:tab w:val="center" w:pos="10913"/>
        <w:tab w:val="right" w:pos="15137"/>
      </w:tabs>
      <w:spacing w:before="360" w:after="0" w:line="240" w:lineRule="auto"/>
      <w:ind w:left="-567" w:right="-567"/>
    </w:pPr>
    <w:rPr>
      <w:rFonts w:ascii="Times New Roman" w:eastAsia="Times New Roman" w:hAnsi="Times New Roman"/>
      <w:sz w:val="24"/>
      <w:szCs w:val="20"/>
      <w:lang w:eastAsia="en-GB"/>
    </w:rPr>
  </w:style>
  <w:style w:type="character" w:styleId="FootnoteReference">
    <w:name w:val="footnote reference"/>
    <w:aliases w:val="Footnote symbol,Footnote reference number,Times 10 Point,Exposant 3 Point,EN Footnote Reference,note TESI,SUPERS,Nota,Footnote number, Char1,Char1,Ref,de nota al pie,EN Footnote text, Exposant 3 Point,Footnote Reference_LVL6,E...,numb"/>
    <w:link w:val="FootnotesymbolCarZchn"/>
    <w:uiPriority w:val="99"/>
    <w:unhideWhenUsed/>
    <w:qFormat/>
    <w:rPr>
      <w:vertAlign w:val="superscript"/>
    </w:rPr>
  </w:style>
  <w:style w:type="paragraph" w:customStyle="1" w:styleId="Text1">
    <w:name w:val="Text 1"/>
    <w:basedOn w:val="Normal"/>
    <w:pPr>
      <w:spacing w:before="120" w:after="120" w:line="240" w:lineRule="auto"/>
      <w:ind w:left="850"/>
      <w:jc w:val="both"/>
    </w:pPr>
    <w:rPr>
      <w:rFonts w:ascii="Times New Roman" w:eastAsia="Times New Roman" w:hAnsi="Times New Roman"/>
      <w:sz w:val="24"/>
      <w:szCs w:val="20"/>
      <w:lang w:eastAsia="en-GB"/>
    </w:rPr>
  </w:style>
  <w:style w:type="paragraph" w:customStyle="1" w:styleId="Text2">
    <w:name w:val="Text 2"/>
    <w:basedOn w:val="Normal"/>
    <w:pPr>
      <w:spacing w:before="120" w:after="120" w:line="240" w:lineRule="auto"/>
      <w:ind w:left="1417"/>
      <w:jc w:val="both"/>
    </w:pPr>
    <w:rPr>
      <w:rFonts w:ascii="Times New Roman" w:eastAsia="Times New Roman" w:hAnsi="Times New Roman"/>
      <w:sz w:val="24"/>
      <w:szCs w:val="20"/>
      <w:lang w:eastAsia="en-GB"/>
    </w:rPr>
  </w:style>
  <w:style w:type="paragraph" w:customStyle="1" w:styleId="Text3">
    <w:name w:val="Text 3"/>
    <w:basedOn w:val="Normal"/>
    <w:pPr>
      <w:spacing w:before="120" w:after="120" w:line="240" w:lineRule="auto"/>
      <w:ind w:left="1984"/>
      <w:jc w:val="both"/>
    </w:pPr>
    <w:rPr>
      <w:rFonts w:ascii="Times New Roman" w:eastAsia="Times New Roman" w:hAnsi="Times New Roman"/>
      <w:sz w:val="24"/>
      <w:szCs w:val="20"/>
      <w:lang w:eastAsia="en-GB"/>
    </w:rPr>
  </w:style>
  <w:style w:type="paragraph" w:customStyle="1" w:styleId="Text4">
    <w:name w:val="Text 4"/>
    <w:basedOn w:val="Normal"/>
    <w:pPr>
      <w:spacing w:before="120" w:after="120" w:line="240" w:lineRule="auto"/>
      <w:ind w:left="2551"/>
      <w:jc w:val="both"/>
    </w:pPr>
    <w:rPr>
      <w:rFonts w:ascii="Times New Roman" w:eastAsia="Times New Roman" w:hAnsi="Times New Roman"/>
      <w:sz w:val="24"/>
      <w:szCs w:val="20"/>
      <w:lang w:eastAsia="en-GB"/>
    </w:rPr>
  </w:style>
  <w:style w:type="paragraph" w:customStyle="1" w:styleId="NormalCentered">
    <w:name w:val="Normal Centered"/>
    <w:basedOn w:val="Normal"/>
    <w:pPr>
      <w:spacing w:before="120" w:after="120" w:line="240" w:lineRule="auto"/>
      <w:jc w:val="center"/>
    </w:pPr>
    <w:rPr>
      <w:rFonts w:ascii="Times New Roman" w:eastAsia="Times New Roman" w:hAnsi="Times New Roman"/>
      <w:sz w:val="24"/>
      <w:szCs w:val="20"/>
      <w:lang w:eastAsia="en-GB"/>
    </w:rPr>
  </w:style>
  <w:style w:type="paragraph" w:customStyle="1" w:styleId="NormalLeft">
    <w:name w:val="Normal Left"/>
    <w:basedOn w:val="Normal"/>
    <w:pPr>
      <w:spacing w:before="120" w:after="120" w:line="240" w:lineRule="auto"/>
    </w:pPr>
    <w:rPr>
      <w:rFonts w:ascii="Times New Roman" w:eastAsia="Times New Roman" w:hAnsi="Times New Roman"/>
      <w:sz w:val="24"/>
      <w:szCs w:val="20"/>
      <w:lang w:eastAsia="en-GB"/>
    </w:rPr>
  </w:style>
  <w:style w:type="paragraph" w:customStyle="1" w:styleId="NormalRight">
    <w:name w:val="Normal Right"/>
    <w:basedOn w:val="Normal"/>
    <w:pPr>
      <w:spacing w:before="120" w:after="120" w:line="240" w:lineRule="auto"/>
      <w:jc w:val="right"/>
    </w:pPr>
    <w:rPr>
      <w:rFonts w:ascii="Times New Roman" w:eastAsia="Times New Roman" w:hAnsi="Times New Roman"/>
      <w:sz w:val="24"/>
      <w:szCs w:val="20"/>
      <w:lang w:eastAsia="en-GB"/>
    </w:rPr>
  </w:style>
  <w:style w:type="paragraph" w:customStyle="1" w:styleId="QuotedText">
    <w:name w:val="Quoted Text"/>
    <w:basedOn w:val="Normal"/>
    <w:pPr>
      <w:spacing w:before="120" w:after="120" w:line="240" w:lineRule="auto"/>
      <w:ind w:left="1417"/>
      <w:jc w:val="both"/>
    </w:pPr>
    <w:rPr>
      <w:rFonts w:ascii="Times New Roman" w:eastAsia="Times New Roman" w:hAnsi="Times New Roman"/>
      <w:sz w:val="24"/>
      <w:szCs w:val="20"/>
      <w:lang w:eastAsia="en-GB"/>
    </w:rPr>
  </w:style>
  <w:style w:type="paragraph" w:customStyle="1" w:styleId="Point0">
    <w:name w:val="Point 0"/>
    <w:basedOn w:val="Normal"/>
    <w:pPr>
      <w:spacing w:before="120" w:after="120" w:line="240" w:lineRule="auto"/>
      <w:ind w:left="850" w:hanging="850"/>
      <w:jc w:val="both"/>
    </w:pPr>
    <w:rPr>
      <w:rFonts w:ascii="Times New Roman" w:eastAsia="Times New Roman" w:hAnsi="Times New Roman"/>
      <w:sz w:val="24"/>
      <w:szCs w:val="20"/>
      <w:lang w:eastAsia="en-GB"/>
    </w:rPr>
  </w:style>
  <w:style w:type="paragraph" w:customStyle="1" w:styleId="Point1">
    <w:name w:val="Point 1"/>
    <w:basedOn w:val="Normal"/>
    <w:pPr>
      <w:spacing w:before="120" w:after="120" w:line="240" w:lineRule="auto"/>
      <w:ind w:left="1417" w:hanging="567"/>
      <w:jc w:val="both"/>
    </w:pPr>
    <w:rPr>
      <w:rFonts w:ascii="Times New Roman" w:eastAsia="Times New Roman" w:hAnsi="Times New Roman"/>
      <w:sz w:val="24"/>
      <w:szCs w:val="20"/>
      <w:lang w:eastAsia="en-GB"/>
    </w:rPr>
  </w:style>
  <w:style w:type="paragraph" w:customStyle="1" w:styleId="Point2">
    <w:name w:val="Point 2"/>
    <w:basedOn w:val="Normal"/>
    <w:pPr>
      <w:spacing w:before="120" w:after="120" w:line="240" w:lineRule="auto"/>
      <w:ind w:left="1984" w:hanging="567"/>
      <w:jc w:val="both"/>
    </w:pPr>
    <w:rPr>
      <w:rFonts w:ascii="Times New Roman" w:eastAsia="Times New Roman" w:hAnsi="Times New Roman"/>
      <w:sz w:val="24"/>
      <w:szCs w:val="20"/>
      <w:lang w:eastAsia="en-GB"/>
    </w:rPr>
  </w:style>
  <w:style w:type="paragraph" w:customStyle="1" w:styleId="Point3">
    <w:name w:val="Point 3"/>
    <w:basedOn w:val="Normal"/>
    <w:pPr>
      <w:spacing w:before="120" w:after="120" w:line="240" w:lineRule="auto"/>
      <w:ind w:left="2551" w:hanging="567"/>
      <w:jc w:val="both"/>
    </w:pPr>
    <w:rPr>
      <w:rFonts w:ascii="Times New Roman" w:eastAsia="Times New Roman" w:hAnsi="Times New Roman"/>
      <w:sz w:val="24"/>
      <w:szCs w:val="20"/>
      <w:lang w:eastAsia="en-GB"/>
    </w:rPr>
  </w:style>
  <w:style w:type="paragraph" w:customStyle="1" w:styleId="Point4">
    <w:name w:val="Point 4"/>
    <w:basedOn w:val="Normal"/>
    <w:pPr>
      <w:spacing w:before="120" w:after="120" w:line="240" w:lineRule="auto"/>
      <w:ind w:left="3118" w:hanging="567"/>
      <w:jc w:val="both"/>
    </w:pPr>
    <w:rPr>
      <w:rFonts w:ascii="Times New Roman" w:eastAsia="Times New Roman" w:hAnsi="Times New Roman"/>
      <w:sz w:val="24"/>
      <w:szCs w:val="20"/>
      <w:lang w:eastAsia="en-GB"/>
    </w:rPr>
  </w:style>
  <w:style w:type="paragraph" w:customStyle="1" w:styleId="Tiret0">
    <w:name w:val="Tiret 0"/>
    <w:basedOn w:val="Point0"/>
    <w:pPr>
      <w:numPr>
        <w:numId w:val="10"/>
      </w:numPr>
    </w:pPr>
  </w:style>
  <w:style w:type="paragraph" w:customStyle="1" w:styleId="Tiret1">
    <w:name w:val="Tiret 1"/>
    <w:basedOn w:val="Point1"/>
    <w:pPr>
      <w:numPr>
        <w:numId w:val="11"/>
      </w:numPr>
    </w:pPr>
  </w:style>
  <w:style w:type="paragraph" w:customStyle="1" w:styleId="Tiret2">
    <w:name w:val="Tiret 2"/>
    <w:basedOn w:val="Point2"/>
    <w:pPr>
      <w:numPr>
        <w:numId w:val="12"/>
      </w:numPr>
    </w:pPr>
  </w:style>
  <w:style w:type="paragraph" w:customStyle="1" w:styleId="Tiret3">
    <w:name w:val="Tiret 3"/>
    <w:basedOn w:val="Point3"/>
    <w:pPr>
      <w:numPr>
        <w:numId w:val="13"/>
      </w:numPr>
    </w:pPr>
  </w:style>
  <w:style w:type="paragraph" w:customStyle="1" w:styleId="Tiret4">
    <w:name w:val="Tiret 4"/>
    <w:basedOn w:val="Point4"/>
    <w:pPr>
      <w:numPr>
        <w:numId w:val="14"/>
      </w:numPr>
    </w:pPr>
  </w:style>
  <w:style w:type="paragraph" w:customStyle="1" w:styleId="PointDouble0">
    <w:name w:val="PointDouble 0"/>
    <w:basedOn w:val="Normal"/>
    <w:pPr>
      <w:tabs>
        <w:tab w:val="left" w:pos="850"/>
      </w:tabs>
      <w:spacing w:before="120" w:after="120" w:line="240" w:lineRule="auto"/>
      <w:ind w:left="1417" w:hanging="1417"/>
      <w:jc w:val="both"/>
    </w:pPr>
    <w:rPr>
      <w:rFonts w:ascii="Times New Roman" w:eastAsia="Times New Roman" w:hAnsi="Times New Roman"/>
      <w:sz w:val="24"/>
      <w:szCs w:val="20"/>
      <w:lang w:eastAsia="en-GB"/>
    </w:rPr>
  </w:style>
  <w:style w:type="paragraph" w:customStyle="1" w:styleId="PointDouble1">
    <w:name w:val="PointDouble 1"/>
    <w:basedOn w:val="Normal"/>
    <w:pPr>
      <w:tabs>
        <w:tab w:val="left" w:pos="1417"/>
      </w:tabs>
      <w:spacing w:before="120" w:after="120" w:line="240" w:lineRule="auto"/>
      <w:ind w:left="1984" w:hanging="1134"/>
      <w:jc w:val="both"/>
    </w:pPr>
    <w:rPr>
      <w:rFonts w:ascii="Times New Roman" w:eastAsia="Times New Roman" w:hAnsi="Times New Roman"/>
      <w:sz w:val="24"/>
      <w:szCs w:val="20"/>
      <w:lang w:eastAsia="en-GB"/>
    </w:rPr>
  </w:style>
  <w:style w:type="paragraph" w:customStyle="1" w:styleId="PointDouble2">
    <w:name w:val="PointDouble 2"/>
    <w:basedOn w:val="Normal"/>
    <w:pPr>
      <w:tabs>
        <w:tab w:val="left" w:pos="1984"/>
      </w:tabs>
      <w:spacing w:before="120" w:after="120" w:line="240" w:lineRule="auto"/>
      <w:ind w:left="2551" w:hanging="1134"/>
      <w:jc w:val="both"/>
    </w:pPr>
    <w:rPr>
      <w:rFonts w:ascii="Times New Roman" w:eastAsia="Times New Roman" w:hAnsi="Times New Roman"/>
      <w:sz w:val="24"/>
      <w:szCs w:val="20"/>
      <w:lang w:eastAsia="en-GB"/>
    </w:rPr>
  </w:style>
  <w:style w:type="paragraph" w:customStyle="1" w:styleId="PointDouble3">
    <w:name w:val="PointDouble 3"/>
    <w:basedOn w:val="Normal"/>
    <w:pPr>
      <w:tabs>
        <w:tab w:val="left" w:pos="2551"/>
      </w:tabs>
      <w:spacing w:before="120" w:after="120" w:line="240" w:lineRule="auto"/>
      <w:ind w:left="3118" w:hanging="1134"/>
      <w:jc w:val="both"/>
    </w:pPr>
    <w:rPr>
      <w:rFonts w:ascii="Times New Roman" w:eastAsia="Times New Roman" w:hAnsi="Times New Roman"/>
      <w:sz w:val="24"/>
      <w:szCs w:val="20"/>
      <w:lang w:eastAsia="en-GB"/>
    </w:rPr>
  </w:style>
  <w:style w:type="paragraph" w:customStyle="1" w:styleId="PointDouble4">
    <w:name w:val="PointDouble 4"/>
    <w:basedOn w:val="Normal"/>
    <w:pPr>
      <w:tabs>
        <w:tab w:val="left" w:pos="3118"/>
      </w:tabs>
      <w:spacing w:before="120" w:after="120" w:line="240" w:lineRule="auto"/>
      <w:ind w:left="3685" w:hanging="1134"/>
      <w:jc w:val="both"/>
    </w:pPr>
    <w:rPr>
      <w:rFonts w:ascii="Times New Roman" w:eastAsia="Times New Roman" w:hAnsi="Times New Roman"/>
      <w:sz w:val="24"/>
      <w:szCs w:val="20"/>
      <w:lang w:eastAsia="en-GB"/>
    </w:rPr>
  </w:style>
  <w:style w:type="paragraph" w:customStyle="1" w:styleId="PointTriple0">
    <w:name w:val="PointTriple 0"/>
    <w:basedOn w:val="Normal"/>
    <w:pPr>
      <w:tabs>
        <w:tab w:val="left" w:pos="850"/>
        <w:tab w:val="left" w:pos="1417"/>
      </w:tabs>
      <w:spacing w:before="120" w:after="120" w:line="240" w:lineRule="auto"/>
      <w:ind w:left="1984" w:hanging="1984"/>
      <w:jc w:val="both"/>
    </w:pPr>
    <w:rPr>
      <w:rFonts w:ascii="Times New Roman" w:eastAsia="Times New Roman" w:hAnsi="Times New Roman"/>
      <w:sz w:val="24"/>
      <w:szCs w:val="20"/>
      <w:lang w:eastAsia="en-GB"/>
    </w:rPr>
  </w:style>
  <w:style w:type="paragraph" w:customStyle="1" w:styleId="PointTriple1">
    <w:name w:val="PointTriple 1"/>
    <w:basedOn w:val="Normal"/>
    <w:pPr>
      <w:tabs>
        <w:tab w:val="left" w:pos="1417"/>
        <w:tab w:val="left" w:pos="1984"/>
      </w:tabs>
      <w:spacing w:before="120" w:after="120" w:line="240" w:lineRule="auto"/>
      <w:ind w:left="2551" w:hanging="1701"/>
      <w:jc w:val="both"/>
    </w:pPr>
    <w:rPr>
      <w:rFonts w:ascii="Times New Roman" w:eastAsia="Times New Roman" w:hAnsi="Times New Roman"/>
      <w:sz w:val="24"/>
      <w:szCs w:val="20"/>
      <w:lang w:eastAsia="en-GB"/>
    </w:rPr>
  </w:style>
  <w:style w:type="paragraph" w:customStyle="1" w:styleId="PointTriple2">
    <w:name w:val="PointTriple 2"/>
    <w:basedOn w:val="Normal"/>
    <w:pPr>
      <w:tabs>
        <w:tab w:val="left" w:pos="1984"/>
        <w:tab w:val="left" w:pos="2551"/>
      </w:tabs>
      <w:spacing w:before="120" w:after="120" w:line="240" w:lineRule="auto"/>
      <w:ind w:left="3118" w:hanging="1701"/>
      <w:jc w:val="both"/>
    </w:pPr>
    <w:rPr>
      <w:rFonts w:ascii="Times New Roman" w:eastAsia="Times New Roman" w:hAnsi="Times New Roman"/>
      <w:sz w:val="24"/>
      <w:szCs w:val="20"/>
      <w:lang w:eastAsia="en-GB"/>
    </w:rPr>
  </w:style>
  <w:style w:type="paragraph" w:customStyle="1" w:styleId="PointTriple3">
    <w:name w:val="PointTriple 3"/>
    <w:basedOn w:val="Normal"/>
    <w:pPr>
      <w:tabs>
        <w:tab w:val="left" w:pos="2551"/>
        <w:tab w:val="left" w:pos="3118"/>
      </w:tabs>
      <w:spacing w:before="120" w:after="120" w:line="240" w:lineRule="auto"/>
      <w:ind w:left="3685" w:hanging="1701"/>
      <w:jc w:val="both"/>
    </w:pPr>
    <w:rPr>
      <w:rFonts w:ascii="Times New Roman" w:eastAsia="Times New Roman" w:hAnsi="Times New Roman"/>
      <w:sz w:val="24"/>
      <w:szCs w:val="20"/>
      <w:lang w:eastAsia="en-GB"/>
    </w:rPr>
  </w:style>
  <w:style w:type="paragraph" w:customStyle="1" w:styleId="PointTriple4">
    <w:name w:val="PointTriple 4"/>
    <w:basedOn w:val="Normal"/>
    <w:pPr>
      <w:tabs>
        <w:tab w:val="left" w:pos="3118"/>
        <w:tab w:val="left" w:pos="3685"/>
      </w:tabs>
      <w:spacing w:before="120" w:after="120" w:line="240" w:lineRule="auto"/>
      <w:ind w:left="4252" w:hanging="1701"/>
      <w:jc w:val="both"/>
    </w:pPr>
    <w:rPr>
      <w:rFonts w:ascii="Times New Roman" w:eastAsia="Times New Roman" w:hAnsi="Times New Roman"/>
      <w:sz w:val="24"/>
      <w:szCs w:val="20"/>
      <w:lang w:eastAsia="en-GB"/>
    </w:rPr>
  </w:style>
  <w:style w:type="paragraph" w:customStyle="1" w:styleId="NumPar1">
    <w:name w:val="NumPar 1"/>
    <w:basedOn w:val="Normal"/>
    <w:next w:val="Text1"/>
    <w:pPr>
      <w:numPr>
        <w:numId w:val="15"/>
      </w:numPr>
      <w:spacing w:before="120" w:after="120" w:line="240" w:lineRule="auto"/>
      <w:jc w:val="both"/>
    </w:pPr>
    <w:rPr>
      <w:rFonts w:ascii="Times New Roman" w:eastAsia="Times New Roman" w:hAnsi="Times New Roman"/>
      <w:sz w:val="24"/>
      <w:szCs w:val="20"/>
      <w:lang w:eastAsia="en-GB"/>
    </w:rPr>
  </w:style>
  <w:style w:type="paragraph" w:customStyle="1" w:styleId="NumPar2">
    <w:name w:val="NumPar 2"/>
    <w:basedOn w:val="Normal"/>
    <w:next w:val="Text1"/>
    <w:pPr>
      <w:numPr>
        <w:ilvl w:val="1"/>
        <w:numId w:val="15"/>
      </w:numPr>
      <w:spacing w:before="120" w:after="120" w:line="240" w:lineRule="auto"/>
      <w:jc w:val="both"/>
    </w:pPr>
    <w:rPr>
      <w:rFonts w:ascii="Times New Roman" w:eastAsia="Times New Roman" w:hAnsi="Times New Roman"/>
      <w:sz w:val="24"/>
      <w:szCs w:val="20"/>
      <w:lang w:eastAsia="en-GB"/>
    </w:rPr>
  </w:style>
  <w:style w:type="paragraph" w:customStyle="1" w:styleId="NumPar3">
    <w:name w:val="NumPar 3"/>
    <w:basedOn w:val="Normal"/>
    <w:next w:val="Text1"/>
    <w:pPr>
      <w:numPr>
        <w:ilvl w:val="2"/>
        <w:numId w:val="15"/>
      </w:numPr>
      <w:spacing w:before="120" w:after="120" w:line="240" w:lineRule="auto"/>
      <w:jc w:val="both"/>
    </w:pPr>
    <w:rPr>
      <w:rFonts w:ascii="Times New Roman" w:eastAsia="Times New Roman" w:hAnsi="Times New Roman"/>
      <w:sz w:val="24"/>
      <w:szCs w:val="20"/>
      <w:lang w:eastAsia="en-GB"/>
    </w:rPr>
  </w:style>
  <w:style w:type="paragraph" w:customStyle="1" w:styleId="NumPar4">
    <w:name w:val="NumPar 4"/>
    <w:basedOn w:val="Normal"/>
    <w:next w:val="Text1"/>
    <w:pPr>
      <w:numPr>
        <w:ilvl w:val="3"/>
        <w:numId w:val="15"/>
      </w:numPr>
      <w:spacing w:before="120" w:after="120" w:line="240" w:lineRule="auto"/>
      <w:jc w:val="both"/>
    </w:pPr>
    <w:rPr>
      <w:rFonts w:ascii="Times New Roman" w:eastAsia="Times New Roman" w:hAnsi="Times New Roman"/>
      <w:sz w:val="24"/>
      <w:szCs w:val="20"/>
      <w:lang w:eastAsia="en-GB"/>
    </w:rPr>
  </w:style>
  <w:style w:type="paragraph" w:customStyle="1" w:styleId="ManualNumPar1">
    <w:name w:val="Manual NumPar 1"/>
    <w:basedOn w:val="Normal"/>
    <w:next w:val="Text1"/>
    <w:pPr>
      <w:spacing w:before="120" w:after="120" w:line="240" w:lineRule="auto"/>
      <w:ind w:left="850" w:hanging="850"/>
      <w:jc w:val="both"/>
    </w:pPr>
    <w:rPr>
      <w:rFonts w:ascii="Times New Roman" w:eastAsia="Times New Roman" w:hAnsi="Times New Roman"/>
      <w:sz w:val="24"/>
      <w:szCs w:val="20"/>
      <w:lang w:eastAsia="en-GB"/>
    </w:rPr>
  </w:style>
  <w:style w:type="paragraph" w:customStyle="1" w:styleId="ManualNumPar2">
    <w:name w:val="Manual NumPar 2"/>
    <w:basedOn w:val="Normal"/>
    <w:next w:val="Text1"/>
    <w:pPr>
      <w:spacing w:before="120" w:after="120" w:line="240" w:lineRule="auto"/>
      <w:ind w:left="850" w:hanging="850"/>
      <w:jc w:val="both"/>
    </w:pPr>
    <w:rPr>
      <w:rFonts w:ascii="Times New Roman" w:eastAsia="Times New Roman" w:hAnsi="Times New Roman"/>
      <w:sz w:val="24"/>
      <w:szCs w:val="20"/>
      <w:lang w:eastAsia="en-GB"/>
    </w:rPr>
  </w:style>
  <w:style w:type="paragraph" w:customStyle="1" w:styleId="ManualNumPar3">
    <w:name w:val="Manual NumPar 3"/>
    <w:basedOn w:val="Normal"/>
    <w:next w:val="Text1"/>
    <w:pPr>
      <w:spacing w:before="120" w:after="120" w:line="240" w:lineRule="auto"/>
      <w:ind w:left="850" w:hanging="850"/>
      <w:jc w:val="both"/>
    </w:pPr>
    <w:rPr>
      <w:rFonts w:ascii="Times New Roman" w:eastAsia="Times New Roman" w:hAnsi="Times New Roman"/>
      <w:sz w:val="24"/>
      <w:szCs w:val="20"/>
      <w:lang w:eastAsia="en-GB"/>
    </w:rPr>
  </w:style>
  <w:style w:type="paragraph" w:customStyle="1" w:styleId="ManualNumPar4">
    <w:name w:val="Manual NumPar 4"/>
    <w:basedOn w:val="Normal"/>
    <w:next w:val="Text1"/>
    <w:pPr>
      <w:spacing w:before="120" w:after="120" w:line="240" w:lineRule="auto"/>
      <w:ind w:left="850" w:hanging="850"/>
      <w:jc w:val="both"/>
    </w:pPr>
    <w:rPr>
      <w:rFonts w:ascii="Times New Roman" w:eastAsia="Times New Roman" w:hAnsi="Times New Roman"/>
      <w:sz w:val="24"/>
      <w:szCs w:val="20"/>
      <w:lang w:eastAsia="en-GB"/>
    </w:rPr>
  </w:style>
  <w:style w:type="paragraph" w:customStyle="1" w:styleId="QuotedNumPar">
    <w:name w:val="Quoted NumPar"/>
    <w:basedOn w:val="Normal"/>
    <w:pPr>
      <w:spacing w:before="120" w:after="120" w:line="240" w:lineRule="auto"/>
      <w:ind w:left="1417" w:hanging="567"/>
      <w:jc w:val="both"/>
    </w:pPr>
    <w:rPr>
      <w:rFonts w:ascii="Times New Roman" w:eastAsia="Times New Roman" w:hAnsi="Times New Roman"/>
      <w:sz w:val="24"/>
      <w:szCs w:val="20"/>
      <w:lang w:eastAsia="en-GB"/>
    </w:rPr>
  </w:style>
  <w:style w:type="paragraph" w:customStyle="1" w:styleId="ManualHeading1">
    <w:name w:val="Manual Heading 1"/>
    <w:basedOn w:val="Normal"/>
    <w:next w:val="Text1"/>
    <w:pPr>
      <w:keepNext/>
      <w:tabs>
        <w:tab w:val="left" w:pos="850"/>
      </w:tabs>
      <w:spacing w:before="360" w:after="120" w:line="240" w:lineRule="auto"/>
      <w:ind w:left="850" w:hanging="850"/>
      <w:jc w:val="both"/>
      <w:outlineLvl w:val="0"/>
    </w:pPr>
    <w:rPr>
      <w:rFonts w:ascii="Times New Roman" w:eastAsia="Times New Roman" w:hAnsi="Times New Roman"/>
      <w:b/>
      <w:smallCaps/>
      <w:sz w:val="24"/>
      <w:szCs w:val="20"/>
      <w:lang w:eastAsia="en-GB"/>
    </w:rPr>
  </w:style>
  <w:style w:type="paragraph" w:customStyle="1" w:styleId="ManualHeading2">
    <w:name w:val="Manual Heading 2"/>
    <w:basedOn w:val="Normal"/>
    <w:next w:val="Text1"/>
    <w:pPr>
      <w:keepNext/>
      <w:tabs>
        <w:tab w:val="left" w:pos="850"/>
      </w:tabs>
      <w:spacing w:before="120" w:after="120" w:line="240" w:lineRule="auto"/>
      <w:ind w:left="850" w:hanging="850"/>
      <w:jc w:val="both"/>
      <w:outlineLvl w:val="1"/>
    </w:pPr>
    <w:rPr>
      <w:rFonts w:ascii="Times New Roman" w:eastAsia="Times New Roman" w:hAnsi="Times New Roman"/>
      <w:b/>
      <w:sz w:val="24"/>
      <w:szCs w:val="20"/>
      <w:lang w:eastAsia="en-GB"/>
    </w:rPr>
  </w:style>
  <w:style w:type="paragraph" w:customStyle="1" w:styleId="ManualHeading3">
    <w:name w:val="Manual Heading 3"/>
    <w:basedOn w:val="Normal"/>
    <w:next w:val="Text1"/>
    <w:pPr>
      <w:keepNext/>
      <w:tabs>
        <w:tab w:val="left" w:pos="850"/>
      </w:tabs>
      <w:spacing w:before="120" w:after="120" w:line="240" w:lineRule="auto"/>
      <w:ind w:left="850" w:hanging="850"/>
      <w:jc w:val="both"/>
      <w:outlineLvl w:val="2"/>
    </w:pPr>
    <w:rPr>
      <w:rFonts w:ascii="Times New Roman" w:eastAsia="Times New Roman" w:hAnsi="Times New Roman"/>
      <w:i/>
      <w:sz w:val="24"/>
      <w:szCs w:val="20"/>
      <w:lang w:eastAsia="en-GB"/>
    </w:rPr>
  </w:style>
  <w:style w:type="paragraph" w:customStyle="1" w:styleId="ManualHeading4">
    <w:name w:val="Manual Heading 4"/>
    <w:basedOn w:val="Normal"/>
    <w:next w:val="Text1"/>
    <w:pPr>
      <w:keepNext/>
      <w:tabs>
        <w:tab w:val="left" w:pos="850"/>
      </w:tabs>
      <w:spacing w:before="120" w:after="120" w:line="240" w:lineRule="auto"/>
      <w:ind w:left="850" w:hanging="850"/>
      <w:jc w:val="both"/>
      <w:outlineLvl w:val="3"/>
    </w:pPr>
    <w:rPr>
      <w:rFonts w:ascii="Times New Roman" w:eastAsia="Times New Roman" w:hAnsi="Times New Roman"/>
      <w:sz w:val="24"/>
      <w:szCs w:val="20"/>
      <w:lang w:eastAsia="en-GB"/>
    </w:rPr>
  </w:style>
  <w:style w:type="paragraph" w:customStyle="1" w:styleId="ChapterTitle">
    <w:name w:val="ChapterTitle"/>
    <w:basedOn w:val="Normal"/>
    <w:next w:val="Normal"/>
    <w:pPr>
      <w:keepNext/>
      <w:spacing w:before="120" w:after="360" w:line="240" w:lineRule="auto"/>
      <w:jc w:val="center"/>
    </w:pPr>
    <w:rPr>
      <w:rFonts w:ascii="Times New Roman" w:eastAsia="Times New Roman" w:hAnsi="Times New Roman"/>
      <w:b/>
      <w:sz w:val="32"/>
      <w:szCs w:val="20"/>
      <w:lang w:eastAsia="en-GB"/>
    </w:rPr>
  </w:style>
  <w:style w:type="paragraph" w:customStyle="1" w:styleId="PartTitle">
    <w:name w:val="PartTitle"/>
    <w:basedOn w:val="Normal"/>
    <w:next w:val="ChapterTitle"/>
    <w:pPr>
      <w:keepNext/>
      <w:pageBreakBefore/>
      <w:spacing w:before="120" w:after="360" w:line="240" w:lineRule="auto"/>
      <w:jc w:val="center"/>
    </w:pPr>
    <w:rPr>
      <w:rFonts w:ascii="Times New Roman" w:eastAsia="Times New Roman" w:hAnsi="Times New Roman"/>
      <w:b/>
      <w:sz w:val="36"/>
      <w:szCs w:val="20"/>
      <w:lang w:eastAsia="en-GB"/>
    </w:rPr>
  </w:style>
  <w:style w:type="paragraph" w:customStyle="1" w:styleId="SectionTitle">
    <w:name w:val="SectionTitle"/>
    <w:basedOn w:val="Normal"/>
    <w:next w:val="Heading1"/>
    <w:pPr>
      <w:keepNext/>
      <w:spacing w:before="120" w:after="360" w:line="240" w:lineRule="auto"/>
      <w:jc w:val="center"/>
    </w:pPr>
    <w:rPr>
      <w:rFonts w:ascii="Times New Roman" w:eastAsia="Times New Roman" w:hAnsi="Times New Roman"/>
      <w:b/>
      <w:smallCaps/>
      <w:sz w:val="28"/>
      <w:szCs w:val="20"/>
      <w:lang w:eastAsia="en-GB"/>
    </w:rPr>
  </w:style>
  <w:style w:type="paragraph" w:customStyle="1" w:styleId="TableTitle">
    <w:name w:val="Table Title"/>
    <w:basedOn w:val="Normal"/>
    <w:next w:val="Normal"/>
    <w:pPr>
      <w:spacing w:before="120" w:after="120" w:line="240" w:lineRule="auto"/>
      <w:jc w:val="center"/>
    </w:pPr>
    <w:rPr>
      <w:rFonts w:ascii="Times New Roman" w:eastAsia="Times New Roman" w:hAnsi="Times New Roman"/>
      <w:b/>
      <w:sz w:val="24"/>
      <w:szCs w:val="20"/>
      <w:lang w:eastAsia="en-GB"/>
    </w:rPr>
  </w:style>
  <w:style w:type="character" w:customStyle="1" w:styleId="Marker1">
    <w:name w:val="Marker1"/>
    <w:rPr>
      <w:color w:val="008000"/>
      <w:shd w:val="clear" w:color="auto" w:fill="auto"/>
    </w:rPr>
  </w:style>
  <w:style w:type="character" w:customStyle="1" w:styleId="Marker2">
    <w:name w:val="Marker2"/>
    <w:rPr>
      <w:color w:val="FF0000"/>
      <w:shd w:val="clear" w:color="auto" w:fill="auto"/>
    </w:rPr>
  </w:style>
  <w:style w:type="paragraph" w:customStyle="1" w:styleId="Point0number">
    <w:name w:val="Point 0 (number)"/>
    <w:basedOn w:val="Normal"/>
    <w:pPr>
      <w:numPr>
        <w:numId w:val="17"/>
      </w:numPr>
      <w:spacing w:before="120" w:after="120" w:line="240" w:lineRule="auto"/>
      <w:jc w:val="both"/>
    </w:pPr>
    <w:rPr>
      <w:rFonts w:ascii="Times New Roman" w:eastAsia="Times New Roman" w:hAnsi="Times New Roman"/>
      <w:sz w:val="24"/>
      <w:szCs w:val="20"/>
      <w:lang w:eastAsia="en-GB"/>
    </w:rPr>
  </w:style>
  <w:style w:type="paragraph" w:customStyle="1" w:styleId="Point1number">
    <w:name w:val="Point 1 (number)"/>
    <w:basedOn w:val="Normal"/>
    <w:pPr>
      <w:numPr>
        <w:ilvl w:val="2"/>
        <w:numId w:val="17"/>
      </w:numPr>
      <w:spacing w:before="120" w:after="120" w:line="240" w:lineRule="auto"/>
      <w:jc w:val="both"/>
    </w:pPr>
    <w:rPr>
      <w:rFonts w:ascii="Times New Roman" w:eastAsia="Times New Roman" w:hAnsi="Times New Roman"/>
      <w:sz w:val="24"/>
      <w:szCs w:val="20"/>
      <w:lang w:eastAsia="en-GB"/>
    </w:rPr>
  </w:style>
  <w:style w:type="paragraph" w:customStyle="1" w:styleId="Point2number">
    <w:name w:val="Point 2 (number)"/>
    <w:basedOn w:val="Normal"/>
    <w:pPr>
      <w:numPr>
        <w:ilvl w:val="4"/>
        <w:numId w:val="17"/>
      </w:numPr>
      <w:spacing w:before="120" w:after="120" w:line="240" w:lineRule="auto"/>
      <w:jc w:val="both"/>
    </w:pPr>
    <w:rPr>
      <w:rFonts w:ascii="Times New Roman" w:eastAsia="Times New Roman" w:hAnsi="Times New Roman"/>
      <w:sz w:val="24"/>
      <w:szCs w:val="20"/>
      <w:lang w:eastAsia="en-GB"/>
    </w:rPr>
  </w:style>
  <w:style w:type="paragraph" w:customStyle="1" w:styleId="Point3number">
    <w:name w:val="Point 3 (number)"/>
    <w:basedOn w:val="Normal"/>
    <w:pPr>
      <w:numPr>
        <w:ilvl w:val="6"/>
        <w:numId w:val="17"/>
      </w:numPr>
      <w:spacing w:before="120" w:after="120" w:line="240" w:lineRule="auto"/>
      <w:jc w:val="both"/>
    </w:pPr>
    <w:rPr>
      <w:rFonts w:ascii="Times New Roman" w:eastAsia="Times New Roman" w:hAnsi="Times New Roman"/>
      <w:sz w:val="24"/>
      <w:szCs w:val="20"/>
      <w:lang w:eastAsia="en-GB"/>
    </w:rPr>
  </w:style>
  <w:style w:type="paragraph" w:customStyle="1" w:styleId="Point0letter">
    <w:name w:val="Point 0 (letter)"/>
    <w:basedOn w:val="Normal"/>
    <w:pPr>
      <w:numPr>
        <w:ilvl w:val="1"/>
        <w:numId w:val="17"/>
      </w:numPr>
      <w:spacing w:before="120" w:after="120" w:line="240" w:lineRule="auto"/>
      <w:jc w:val="both"/>
    </w:pPr>
    <w:rPr>
      <w:rFonts w:ascii="Times New Roman" w:eastAsia="Times New Roman" w:hAnsi="Times New Roman"/>
      <w:sz w:val="24"/>
      <w:szCs w:val="20"/>
      <w:lang w:eastAsia="en-GB"/>
    </w:rPr>
  </w:style>
  <w:style w:type="paragraph" w:customStyle="1" w:styleId="Point1letter">
    <w:name w:val="Point 1 (letter)"/>
    <w:basedOn w:val="Normal"/>
    <w:pPr>
      <w:numPr>
        <w:ilvl w:val="3"/>
        <w:numId w:val="17"/>
      </w:numPr>
      <w:spacing w:before="120" w:after="120" w:line="240" w:lineRule="auto"/>
      <w:jc w:val="both"/>
    </w:pPr>
    <w:rPr>
      <w:rFonts w:ascii="Times New Roman" w:eastAsia="Times New Roman" w:hAnsi="Times New Roman"/>
      <w:sz w:val="24"/>
      <w:szCs w:val="20"/>
      <w:lang w:eastAsia="en-GB"/>
    </w:rPr>
  </w:style>
  <w:style w:type="paragraph" w:customStyle="1" w:styleId="Point2letter">
    <w:name w:val="Point 2 (letter)"/>
    <w:basedOn w:val="Normal"/>
    <w:pPr>
      <w:numPr>
        <w:ilvl w:val="5"/>
        <w:numId w:val="17"/>
      </w:numPr>
      <w:spacing w:before="120" w:after="120" w:line="240" w:lineRule="auto"/>
      <w:jc w:val="both"/>
    </w:pPr>
    <w:rPr>
      <w:rFonts w:ascii="Times New Roman" w:eastAsia="Times New Roman" w:hAnsi="Times New Roman"/>
      <w:sz w:val="24"/>
      <w:szCs w:val="20"/>
      <w:lang w:eastAsia="en-GB"/>
    </w:rPr>
  </w:style>
  <w:style w:type="paragraph" w:customStyle="1" w:styleId="Point3letter">
    <w:name w:val="Point 3 (letter)"/>
    <w:basedOn w:val="Normal"/>
    <w:pPr>
      <w:numPr>
        <w:ilvl w:val="7"/>
        <w:numId w:val="17"/>
      </w:numPr>
      <w:spacing w:before="120" w:after="120" w:line="240" w:lineRule="auto"/>
      <w:jc w:val="both"/>
    </w:pPr>
    <w:rPr>
      <w:rFonts w:ascii="Times New Roman" w:eastAsia="Times New Roman" w:hAnsi="Times New Roman"/>
      <w:sz w:val="24"/>
      <w:szCs w:val="20"/>
      <w:lang w:eastAsia="en-GB"/>
    </w:rPr>
  </w:style>
  <w:style w:type="paragraph" w:customStyle="1" w:styleId="Point4letter">
    <w:name w:val="Point 4 (letter)"/>
    <w:basedOn w:val="Normal"/>
    <w:pPr>
      <w:numPr>
        <w:ilvl w:val="8"/>
        <w:numId w:val="17"/>
      </w:numPr>
      <w:spacing w:before="120" w:after="120" w:line="240" w:lineRule="auto"/>
      <w:jc w:val="both"/>
    </w:pPr>
    <w:rPr>
      <w:rFonts w:ascii="Times New Roman" w:eastAsia="Times New Roman" w:hAnsi="Times New Roman"/>
      <w:sz w:val="24"/>
      <w:szCs w:val="20"/>
      <w:lang w:eastAsia="en-GB"/>
    </w:rPr>
  </w:style>
  <w:style w:type="paragraph" w:customStyle="1" w:styleId="Bullet0">
    <w:name w:val="Bullet 0"/>
    <w:basedOn w:val="Normal"/>
    <w:pPr>
      <w:numPr>
        <w:numId w:val="18"/>
      </w:numPr>
      <w:spacing w:before="120" w:after="120" w:line="240" w:lineRule="auto"/>
      <w:jc w:val="both"/>
    </w:pPr>
    <w:rPr>
      <w:rFonts w:ascii="Times New Roman" w:eastAsia="Times New Roman" w:hAnsi="Times New Roman"/>
      <w:sz w:val="24"/>
      <w:szCs w:val="20"/>
      <w:lang w:eastAsia="en-GB"/>
    </w:rPr>
  </w:style>
  <w:style w:type="paragraph" w:customStyle="1" w:styleId="Bullet1">
    <w:name w:val="Bullet 1"/>
    <w:basedOn w:val="Normal"/>
    <w:pPr>
      <w:numPr>
        <w:numId w:val="9"/>
      </w:numPr>
      <w:spacing w:before="120" w:after="120" w:line="240" w:lineRule="auto"/>
      <w:jc w:val="both"/>
    </w:pPr>
    <w:rPr>
      <w:rFonts w:ascii="Times New Roman" w:eastAsia="Times New Roman" w:hAnsi="Times New Roman"/>
      <w:sz w:val="24"/>
      <w:szCs w:val="20"/>
      <w:lang w:eastAsia="en-GB"/>
    </w:rPr>
  </w:style>
  <w:style w:type="paragraph" w:customStyle="1" w:styleId="Bullet2">
    <w:name w:val="Bullet 2"/>
    <w:basedOn w:val="Normal"/>
    <w:pPr>
      <w:numPr>
        <w:numId w:val="19"/>
      </w:numPr>
      <w:spacing w:before="120" w:after="120" w:line="240" w:lineRule="auto"/>
      <w:jc w:val="both"/>
    </w:pPr>
    <w:rPr>
      <w:rFonts w:ascii="Times New Roman" w:eastAsia="Times New Roman" w:hAnsi="Times New Roman"/>
      <w:sz w:val="24"/>
      <w:szCs w:val="20"/>
      <w:lang w:eastAsia="en-GB"/>
    </w:rPr>
  </w:style>
  <w:style w:type="paragraph" w:customStyle="1" w:styleId="Bullet3">
    <w:name w:val="Bullet 3"/>
    <w:basedOn w:val="Normal"/>
    <w:pPr>
      <w:numPr>
        <w:numId w:val="20"/>
      </w:numPr>
      <w:spacing w:before="120" w:after="120" w:line="240" w:lineRule="auto"/>
      <w:jc w:val="both"/>
    </w:pPr>
    <w:rPr>
      <w:rFonts w:ascii="Times New Roman" w:eastAsia="Times New Roman" w:hAnsi="Times New Roman"/>
      <w:sz w:val="24"/>
      <w:szCs w:val="20"/>
      <w:lang w:eastAsia="en-GB"/>
    </w:rPr>
  </w:style>
  <w:style w:type="paragraph" w:customStyle="1" w:styleId="Bullet4">
    <w:name w:val="Bullet 4"/>
    <w:basedOn w:val="Normal"/>
    <w:pPr>
      <w:numPr>
        <w:numId w:val="21"/>
      </w:numPr>
      <w:spacing w:before="120" w:after="120" w:line="240" w:lineRule="auto"/>
      <w:jc w:val="both"/>
    </w:pPr>
    <w:rPr>
      <w:rFonts w:ascii="Times New Roman" w:eastAsia="Times New Roman" w:hAnsi="Times New Roman"/>
      <w:sz w:val="24"/>
      <w:szCs w:val="20"/>
      <w:lang w:eastAsia="en-GB"/>
    </w:rPr>
  </w:style>
  <w:style w:type="paragraph" w:customStyle="1" w:styleId="Annexetitreexpos">
    <w:name w:val="Annexe titre (exposé)"/>
    <w:basedOn w:val="Normal"/>
    <w:next w:val="Normal"/>
    <w:pPr>
      <w:spacing w:before="120" w:after="120" w:line="240" w:lineRule="auto"/>
      <w:jc w:val="center"/>
    </w:pPr>
    <w:rPr>
      <w:rFonts w:ascii="Times New Roman" w:eastAsia="Times New Roman" w:hAnsi="Times New Roman"/>
      <w:b/>
      <w:sz w:val="24"/>
      <w:szCs w:val="20"/>
      <w:u w:val="single"/>
      <w:lang w:eastAsia="en-GB"/>
    </w:rPr>
  </w:style>
  <w:style w:type="paragraph" w:customStyle="1" w:styleId="Annexetitre">
    <w:name w:val="Annexe titre"/>
    <w:basedOn w:val="Normal"/>
    <w:next w:val="Normal"/>
    <w:pPr>
      <w:spacing w:before="120" w:after="120" w:line="240" w:lineRule="auto"/>
      <w:jc w:val="center"/>
    </w:pPr>
    <w:rPr>
      <w:rFonts w:ascii="Times New Roman" w:eastAsia="Times New Roman" w:hAnsi="Times New Roman"/>
      <w:b/>
      <w:sz w:val="24"/>
      <w:szCs w:val="20"/>
      <w:u w:val="single"/>
      <w:lang w:eastAsia="en-GB"/>
    </w:rPr>
  </w:style>
  <w:style w:type="paragraph" w:customStyle="1" w:styleId="Annexetitrefichefinancire">
    <w:name w:val="Annexe titre (fiche financière)"/>
    <w:basedOn w:val="Normal"/>
    <w:next w:val="Normal"/>
    <w:pPr>
      <w:spacing w:before="120" w:after="120" w:line="240" w:lineRule="auto"/>
      <w:jc w:val="center"/>
    </w:pPr>
    <w:rPr>
      <w:rFonts w:ascii="Times New Roman" w:eastAsia="Times New Roman" w:hAnsi="Times New Roman"/>
      <w:b/>
      <w:sz w:val="24"/>
      <w:szCs w:val="20"/>
      <w:u w:val="single"/>
      <w:lang w:eastAsia="en-GB"/>
    </w:rPr>
  </w:style>
  <w:style w:type="paragraph" w:customStyle="1" w:styleId="Applicationdirecte">
    <w:name w:val="Application directe"/>
    <w:basedOn w:val="Normal"/>
    <w:next w:val="Fait"/>
    <w:pPr>
      <w:spacing w:before="480" w:after="120" w:line="240" w:lineRule="auto"/>
      <w:jc w:val="both"/>
    </w:pPr>
    <w:rPr>
      <w:rFonts w:ascii="Times New Roman" w:eastAsia="Times New Roman" w:hAnsi="Times New Roman"/>
      <w:sz w:val="24"/>
      <w:szCs w:val="20"/>
      <w:lang w:eastAsia="en-GB"/>
    </w:rPr>
  </w:style>
  <w:style w:type="paragraph" w:customStyle="1" w:styleId="Avertissementtitre">
    <w:name w:val="Avertissement titre"/>
    <w:basedOn w:val="Normal"/>
    <w:next w:val="Normal"/>
    <w:pPr>
      <w:keepNext/>
      <w:spacing w:before="480" w:after="120" w:line="240" w:lineRule="auto"/>
      <w:jc w:val="both"/>
    </w:pPr>
    <w:rPr>
      <w:rFonts w:ascii="Times New Roman" w:eastAsia="Times New Roman" w:hAnsi="Times New Roman"/>
      <w:sz w:val="24"/>
      <w:szCs w:val="20"/>
      <w:u w:val="single"/>
      <w:lang w:eastAsia="en-GB"/>
    </w:rPr>
  </w:style>
  <w:style w:type="paragraph" w:customStyle="1" w:styleId="Confidence">
    <w:name w:val="Confidence"/>
    <w:basedOn w:val="Normal"/>
    <w:next w:val="Normal"/>
    <w:pPr>
      <w:spacing w:before="360" w:after="120" w:line="240" w:lineRule="auto"/>
      <w:jc w:val="center"/>
    </w:pPr>
    <w:rPr>
      <w:rFonts w:ascii="Times New Roman" w:eastAsia="Times New Roman" w:hAnsi="Times New Roman"/>
      <w:sz w:val="24"/>
      <w:szCs w:val="20"/>
      <w:lang w:eastAsia="en-GB"/>
    </w:rPr>
  </w:style>
  <w:style w:type="paragraph" w:customStyle="1" w:styleId="Confidentialit">
    <w:name w:val="Confidentialité"/>
    <w:basedOn w:val="Normal"/>
    <w:next w:val="TypedudocumentPagedecouverture"/>
    <w:pPr>
      <w:spacing w:before="240" w:after="240" w:line="240" w:lineRule="auto"/>
      <w:ind w:left="5103"/>
    </w:pPr>
    <w:rPr>
      <w:rFonts w:ascii="Times New Roman" w:eastAsia="Times New Roman" w:hAnsi="Times New Roman"/>
      <w:i/>
      <w:sz w:val="32"/>
      <w:szCs w:val="20"/>
      <w:lang w:eastAsia="en-GB"/>
    </w:rPr>
  </w:style>
  <w:style w:type="paragraph" w:customStyle="1" w:styleId="Considrant">
    <w:name w:val="Considérant"/>
    <w:basedOn w:val="Normal"/>
    <w:pPr>
      <w:numPr>
        <w:numId w:val="22"/>
      </w:numPr>
      <w:spacing w:before="120" w:after="120" w:line="240" w:lineRule="auto"/>
      <w:jc w:val="both"/>
    </w:pPr>
    <w:rPr>
      <w:rFonts w:ascii="Times New Roman" w:eastAsia="Times New Roman" w:hAnsi="Times New Roman"/>
      <w:sz w:val="24"/>
      <w:szCs w:val="20"/>
      <w:lang w:eastAsia="en-GB"/>
    </w:rPr>
  </w:style>
  <w:style w:type="paragraph" w:customStyle="1" w:styleId="Corrigendum">
    <w:name w:val="Corrigendum"/>
    <w:basedOn w:val="Normal"/>
    <w:next w:val="Normal"/>
    <w:pPr>
      <w:spacing w:after="240" w:line="240" w:lineRule="auto"/>
    </w:pPr>
    <w:rPr>
      <w:rFonts w:ascii="Times New Roman" w:eastAsia="Times New Roman" w:hAnsi="Times New Roman"/>
      <w:sz w:val="24"/>
      <w:szCs w:val="20"/>
      <w:lang w:eastAsia="en-GB"/>
    </w:rPr>
  </w:style>
  <w:style w:type="paragraph" w:customStyle="1" w:styleId="Datedadoption">
    <w:name w:val="Date d'adoption"/>
    <w:basedOn w:val="Normal"/>
    <w:next w:val="Titreobjet"/>
    <w:pPr>
      <w:spacing w:before="360" w:after="0" w:line="240" w:lineRule="auto"/>
      <w:jc w:val="center"/>
    </w:pPr>
    <w:rPr>
      <w:rFonts w:ascii="Times New Roman" w:eastAsia="Times New Roman" w:hAnsi="Times New Roman"/>
      <w:b/>
      <w:sz w:val="24"/>
      <w:szCs w:val="20"/>
      <w:lang w:eastAsia="en-GB"/>
    </w:rPr>
  </w:style>
  <w:style w:type="paragraph" w:customStyle="1" w:styleId="Emission">
    <w:name w:val="Emission"/>
    <w:basedOn w:val="Normal"/>
    <w:next w:val="Rfrenceinstitutionnelle"/>
    <w:pPr>
      <w:spacing w:after="0" w:line="240" w:lineRule="auto"/>
      <w:ind w:left="5103"/>
    </w:pPr>
    <w:rPr>
      <w:rFonts w:ascii="Times New Roman" w:eastAsia="Times New Roman" w:hAnsi="Times New Roman"/>
      <w:sz w:val="24"/>
      <w:szCs w:val="20"/>
      <w:lang w:eastAsia="en-GB"/>
    </w:rPr>
  </w:style>
  <w:style w:type="paragraph" w:customStyle="1" w:styleId="Exposdesmotifstitre">
    <w:name w:val="Exposé des motifs titre"/>
    <w:basedOn w:val="Normal"/>
    <w:next w:val="Normal"/>
    <w:pPr>
      <w:spacing w:before="120" w:after="120" w:line="240" w:lineRule="auto"/>
      <w:jc w:val="center"/>
    </w:pPr>
    <w:rPr>
      <w:rFonts w:ascii="Times New Roman" w:eastAsia="Times New Roman" w:hAnsi="Times New Roman"/>
      <w:b/>
      <w:sz w:val="24"/>
      <w:szCs w:val="20"/>
      <w:u w:val="single"/>
      <w:lang w:eastAsia="en-GB"/>
    </w:rPr>
  </w:style>
  <w:style w:type="paragraph" w:customStyle="1" w:styleId="Fait">
    <w:name w:val="Fait à"/>
    <w:basedOn w:val="Normal"/>
    <w:next w:val="Institutionquisigne"/>
    <w:pPr>
      <w:keepNext/>
      <w:spacing w:before="120" w:after="0" w:line="240" w:lineRule="auto"/>
      <w:jc w:val="both"/>
    </w:pPr>
    <w:rPr>
      <w:rFonts w:ascii="Times New Roman" w:eastAsia="Times New Roman" w:hAnsi="Times New Roman"/>
      <w:sz w:val="24"/>
      <w:szCs w:val="20"/>
      <w:lang w:eastAsia="en-GB"/>
    </w:rPr>
  </w:style>
  <w:style w:type="paragraph" w:customStyle="1" w:styleId="Formuledadoption">
    <w:name w:val="Formule d'adoption"/>
    <w:basedOn w:val="Normal"/>
    <w:next w:val="Titrearticle"/>
    <w:pPr>
      <w:keepNext/>
      <w:spacing w:before="120" w:after="120" w:line="240" w:lineRule="auto"/>
      <w:jc w:val="both"/>
    </w:pPr>
    <w:rPr>
      <w:rFonts w:ascii="Times New Roman" w:eastAsia="Times New Roman" w:hAnsi="Times New Roman"/>
      <w:sz w:val="24"/>
      <w:szCs w:val="20"/>
      <w:lang w:eastAsia="en-GB"/>
    </w:rPr>
  </w:style>
  <w:style w:type="paragraph" w:customStyle="1" w:styleId="Institutionquiagit">
    <w:name w:val="Institution qui agit"/>
    <w:basedOn w:val="Normal"/>
    <w:next w:val="Normal"/>
    <w:pPr>
      <w:keepNext/>
      <w:spacing w:before="600" w:after="120" w:line="240" w:lineRule="auto"/>
      <w:jc w:val="both"/>
    </w:pPr>
    <w:rPr>
      <w:rFonts w:ascii="Times New Roman" w:eastAsia="Times New Roman" w:hAnsi="Times New Roman"/>
      <w:sz w:val="24"/>
      <w:szCs w:val="20"/>
      <w:lang w:eastAsia="en-GB"/>
    </w:rPr>
  </w:style>
  <w:style w:type="paragraph" w:customStyle="1" w:styleId="Institutionquisigne">
    <w:name w:val="Institution qui signe"/>
    <w:basedOn w:val="Normal"/>
    <w:next w:val="Personnequisigne"/>
    <w:pPr>
      <w:keepNext/>
      <w:tabs>
        <w:tab w:val="left" w:pos="4252"/>
      </w:tabs>
      <w:spacing w:before="720" w:after="0" w:line="240" w:lineRule="auto"/>
      <w:jc w:val="both"/>
    </w:pPr>
    <w:rPr>
      <w:rFonts w:ascii="Times New Roman" w:eastAsia="Times New Roman" w:hAnsi="Times New Roman"/>
      <w:i/>
      <w:sz w:val="24"/>
      <w:szCs w:val="20"/>
      <w:lang w:eastAsia="en-GB"/>
    </w:rPr>
  </w:style>
  <w:style w:type="paragraph" w:customStyle="1" w:styleId="Langue">
    <w:name w:val="Langue"/>
    <w:basedOn w:val="Normal"/>
    <w:next w:val="Rfrenceinterne"/>
    <w:pPr>
      <w:framePr w:wrap="around" w:vAnchor="page" w:hAnchor="text" w:xAlign="center" w:y="14741"/>
      <w:spacing w:after="600" w:line="240" w:lineRule="auto"/>
      <w:jc w:val="center"/>
    </w:pPr>
    <w:rPr>
      <w:rFonts w:ascii="Times New Roman" w:eastAsia="Times New Roman" w:hAnsi="Times New Roman"/>
      <w:b/>
      <w:caps/>
      <w:sz w:val="24"/>
      <w:szCs w:val="20"/>
      <w:lang w:eastAsia="en-GB"/>
    </w:rPr>
  </w:style>
  <w:style w:type="paragraph" w:customStyle="1" w:styleId="ManualConsidrant">
    <w:name w:val="Manual Considérant"/>
    <w:basedOn w:val="Normal"/>
    <w:pPr>
      <w:spacing w:before="120" w:after="120" w:line="240" w:lineRule="auto"/>
      <w:ind w:left="709" w:hanging="709"/>
      <w:jc w:val="both"/>
    </w:pPr>
    <w:rPr>
      <w:rFonts w:ascii="Times New Roman" w:eastAsia="Times New Roman" w:hAnsi="Times New Roman"/>
      <w:sz w:val="24"/>
      <w:szCs w:val="20"/>
      <w:lang w:eastAsia="en-GB"/>
    </w:rPr>
  </w:style>
  <w:style w:type="paragraph" w:customStyle="1" w:styleId="Nomdelinstitution">
    <w:name w:val="Nom de l'institution"/>
    <w:basedOn w:val="Normal"/>
    <w:next w:val="Emission"/>
    <w:pPr>
      <w:spacing w:after="0" w:line="240" w:lineRule="auto"/>
    </w:pPr>
    <w:rPr>
      <w:rFonts w:ascii="Arial" w:eastAsia="Times New Roman" w:hAnsi="Arial" w:cs="Arial"/>
      <w:sz w:val="24"/>
      <w:szCs w:val="20"/>
      <w:lang w:eastAsia="en-GB"/>
    </w:rPr>
  </w:style>
  <w:style w:type="paragraph" w:customStyle="1" w:styleId="Personnequisigne">
    <w:name w:val="Personne qui signe"/>
    <w:basedOn w:val="Normal"/>
    <w:next w:val="Institutionquisigne"/>
    <w:pPr>
      <w:tabs>
        <w:tab w:val="left" w:pos="4252"/>
      </w:tabs>
      <w:spacing w:after="0" w:line="240" w:lineRule="auto"/>
    </w:pPr>
    <w:rPr>
      <w:rFonts w:ascii="Times New Roman" w:eastAsia="Times New Roman" w:hAnsi="Times New Roman"/>
      <w:i/>
      <w:sz w:val="24"/>
      <w:szCs w:val="20"/>
      <w:lang w:eastAsia="en-GB"/>
    </w:rPr>
  </w:style>
  <w:style w:type="paragraph" w:customStyle="1" w:styleId="Rfrenceinstitutionnelle">
    <w:name w:val="Référence institutionnelle"/>
    <w:basedOn w:val="Normal"/>
    <w:next w:val="Confidentialit"/>
    <w:pPr>
      <w:spacing w:after="240" w:line="240" w:lineRule="auto"/>
      <w:ind w:left="5103"/>
    </w:pPr>
    <w:rPr>
      <w:rFonts w:ascii="Times New Roman" w:eastAsia="Times New Roman" w:hAnsi="Times New Roman"/>
      <w:sz w:val="24"/>
      <w:szCs w:val="20"/>
      <w:lang w:eastAsia="en-GB"/>
    </w:rPr>
  </w:style>
  <w:style w:type="paragraph" w:customStyle="1" w:styleId="Rfrenceinterinstitutionnelle">
    <w:name w:val="Référence interinstitutionnelle"/>
    <w:basedOn w:val="Normal"/>
    <w:next w:val="Statut"/>
    <w:pPr>
      <w:spacing w:after="0" w:line="240" w:lineRule="auto"/>
      <w:ind w:left="5103"/>
    </w:pPr>
    <w:rPr>
      <w:rFonts w:ascii="Times New Roman" w:eastAsia="Times New Roman" w:hAnsi="Times New Roman"/>
      <w:sz w:val="24"/>
      <w:szCs w:val="20"/>
      <w:lang w:eastAsia="en-GB"/>
    </w:rPr>
  </w:style>
  <w:style w:type="paragraph" w:customStyle="1" w:styleId="Rfrenceinterne">
    <w:name w:val="Référence interne"/>
    <w:basedOn w:val="Normal"/>
    <w:next w:val="Rfrenceinterinstitutionnelle"/>
    <w:pPr>
      <w:spacing w:after="0" w:line="240" w:lineRule="auto"/>
      <w:ind w:left="5103"/>
    </w:pPr>
    <w:rPr>
      <w:rFonts w:ascii="Times New Roman" w:eastAsia="Times New Roman" w:hAnsi="Times New Roman"/>
      <w:sz w:val="24"/>
      <w:szCs w:val="20"/>
      <w:lang w:eastAsia="en-GB"/>
    </w:rPr>
  </w:style>
  <w:style w:type="paragraph" w:customStyle="1" w:styleId="Sous-titreobjet">
    <w:name w:val="Sous-titre objet"/>
    <w:basedOn w:val="Normal"/>
    <w:pPr>
      <w:spacing w:after="0" w:line="240" w:lineRule="auto"/>
      <w:jc w:val="center"/>
    </w:pPr>
    <w:rPr>
      <w:rFonts w:ascii="Times New Roman" w:eastAsia="Times New Roman" w:hAnsi="Times New Roman"/>
      <w:b/>
      <w:sz w:val="24"/>
      <w:szCs w:val="20"/>
      <w:lang w:eastAsia="en-GB"/>
    </w:rPr>
  </w:style>
  <w:style w:type="paragraph" w:customStyle="1" w:styleId="Statut">
    <w:name w:val="Statut"/>
    <w:basedOn w:val="Normal"/>
    <w:next w:val="Typedudocument"/>
    <w:pPr>
      <w:spacing w:before="360" w:after="0" w:line="240" w:lineRule="auto"/>
      <w:jc w:val="center"/>
    </w:pPr>
    <w:rPr>
      <w:rFonts w:ascii="Times New Roman" w:eastAsia="Times New Roman" w:hAnsi="Times New Roman"/>
      <w:sz w:val="24"/>
      <w:szCs w:val="20"/>
      <w:lang w:eastAsia="en-GB"/>
    </w:rPr>
  </w:style>
  <w:style w:type="paragraph" w:customStyle="1" w:styleId="Titrearticle">
    <w:name w:val="Titre article"/>
    <w:basedOn w:val="Normal"/>
    <w:next w:val="Normal"/>
    <w:pPr>
      <w:keepNext/>
      <w:spacing w:before="360" w:after="120" w:line="240" w:lineRule="auto"/>
      <w:jc w:val="center"/>
    </w:pPr>
    <w:rPr>
      <w:rFonts w:ascii="Times New Roman" w:eastAsia="Times New Roman" w:hAnsi="Times New Roman"/>
      <w:i/>
      <w:sz w:val="24"/>
      <w:szCs w:val="20"/>
      <w:lang w:eastAsia="en-GB"/>
    </w:rPr>
  </w:style>
  <w:style w:type="paragraph" w:customStyle="1" w:styleId="Titreobjet">
    <w:name w:val="Titre objet"/>
    <w:basedOn w:val="Normal"/>
    <w:next w:val="Sous-titreobjet"/>
    <w:pPr>
      <w:spacing w:before="360" w:after="360" w:line="240" w:lineRule="auto"/>
      <w:jc w:val="center"/>
    </w:pPr>
    <w:rPr>
      <w:rFonts w:ascii="Times New Roman" w:eastAsia="Times New Roman" w:hAnsi="Times New Roman"/>
      <w:b/>
      <w:sz w:val="24"/>
      <w:szCs w:val="20"/>
      <w:lang w:eastAsia="en-GB"/>
    </w:rPr>
  </w:style>
  <w:style w:type="paragraph" w:customStyle="1" w:styleId="Typedudocument">
    <w:name w:val="Type du document"/>
    <w:basedOn w:val="Normal"/>
    <w:next w:val="Titreobjet"/>
    <w:pPr>
      <w:spacing w:before="360" w:after="0" w:line="240" w:lineRule="auto"/>
      <w:jc w:val="center"/>
    </w:pPr>
    <w:rPr>
      <w:rFonts w:ascii="Times New Roman" w:eastAsia="Times New Roman" w:hAnsi="Times New Roman"/>
      <w:b/>
      <w:sz w:val="24"/>
      <w:szCs w:val="20"/>
      <w:lang w:eastAsia="en-GB"/>
    </w:rPr>
  </w:style>
  <w:style w:type="character" w:customStyle="1" w:styleId="Added">
    <w:name w:val="Added"/>
    <w:rPr>
      <w:b/>
      <w:u w:val="single"/>
      <w:shd w:val="clear" w:color="auto" w:fill="auto"/>
    </w:rPr>
  </w:style>
  <w:style w:type="character" w:customStyle="1" w:styleId="Deleted">
    <w:name w:val="Deleted"/>
    <w:rPr>
      <w:strike/>
      <w:dstrike w:val="0"/>
      <w:shd w:val="clear" w:color="auto" w:fill="auto"/>
    </w:rPr>
  </w:style>
  <w:style w:type="paragraph" w:customStyle="1" w:styleId="Address">
    <w:name w:val="Address"/>
    <w:basedOn w:val="Normal"/>
    <w:next w:val="Normal"/>
    <w:pPr>
      <w:keepLines/>
      <w:spacing w:before="120" w:after="120" w:line="360" w:lineRule="auto"/>
      <w:ind w:left="3402"/>
    </w:pPr>
    <w:rPr>
      <w:rFonts w:ascii="Times New Roman" w:eastAsia="Times New Roman" w:hAnsi="Times New Roman"/>
      <w:sz w:val="24"/>
      <w:szCs w:val="20"/>
      <w:lang w:eastAsia="en-GB"/>
    </w:rPr>
  </w:style>
  <w:style w:type="paragraph" w:customStyle="1" w:styleId="Objetexterne">
    <w:name w:val="Objet externe"/>
    <w:basedOn w:val="Normal"/>
    <w:next w:val="Normal"/>
    <w:pPr>
      <w:spacing w:before="120" w:after="120" w:line="240" w:lineRule="auto"/>
      <w:jc w:val="both"/>
    </w:pPr>
    <w:rPr>
      <w:rFonts w:ascii="Times New Roman" w:eastAsia="Times New Roman" w:hAnsi="Times New Roman"/>
      <w:i/>
      <w:caps/>
      <w:sz w:val="24"/>
      <w:szCs w:val="20"/>
      <w:lang w:eastAsia="en-GB"/>
    </w:rPr>
  </w:style>
  <w:style w:type="paragraph" w:customStyle="1" w:styleId="Supertitre">
    <w:name w:val="Supertitre"/>
    <w:basedOn w:val="Normal"/>
    <w:next w:val="Normal"/>
    <w:pPr>
      <w:spacing w:after="600" w:line="240" w:lineRule="auto"/>
      <w:jc w:val="center"/>
    </w:pPr>
    <w:rPr>
      <w:rFonts w:ascii="Times New Roman" w:eastAsia="Times New Roman" w:hAnsi="Times New Roman"/>
      <w:b/>
      <w:sz w:val="24"/>
      <w:szCs w:val="20"/>
      <w:lang w:eastAsia="en-GB"/>
    </w:rPr>
  </w:style>
  <w:style w:type="paragraph" w:customStyle="1" w:styleId="Languesfaisantfoi">
    <w:name w:val="Langues faisant foi"/>
    <w:basedOn w:val="Normal"/>
    <w:next w:val="Normal"/>
    <w:pPr>
      <w:spacing w:before="360" w:after="0" w:line="240" w:lineRule="auto"/>
      <w:jc w:val="center"/>
    </w:pPr>
    <w:rPr>
      <w:rFonts w:ascii="Times New Roman" w:eastAsia="Times New Roman" w:hAnsi="Times New Roman"/>
      <w:sz w:val="24"/>
      <w:szCs w:val="20"/>
      <w:lang w:eastAsia="en-GB"/>
    </w:rPr>
  </w:style>
  <w:style w:type="paragraph" w:customStyle="1" w:styleId="Rfrencecroise">
    <w:name w:val="Référence croisée"/>
    <w:basedOn w:val="Normal"/>
    <w:pPr>
      <w:spacing w:after="0" w:line="240" w:lineRule="auto"/>
      <w:jc w:val="center"/>
    </w:pPr>
    <w:rPr>
      <w:rFonts w:ascii="Times New Roman" w:eastAsia="Times New Roman" w:hAnsi="Times New Roman"/>
      <w:sz w:val="24"/>
      <w:szCs w:val="20"/>
      <w:lang w:eastAsia="en-GB"/>
    </w:rPr>
  </w:style>
  <w:style w:type="paragraph" w:customStyle="1" w:styleId="Fichefinanciretitre">
    <w:name w:val="Fiche financière titre"/>
    <w:basedOn w:val="Normal"/>
    <w:next w:val="Normal"/>
    <w:pPr>
      <w:spacing w:before="120" w:after="120" w:line="240" w:lineRule="auto"/>
      <w:jc w:val="center"/>
    </w:pPr>
    <w:rPr>
      <w:rFonts w:ascii="Times New Roman" w:eastAsia="Times New Roman" w:hAnsi="Times New Roman"/>
      <w:b/>
      <w:sz w:val="24"/>
      <w:szCs w:val="20"/>
      <w:u w:val="single"/>
      <w:lang w:eastAsia="en-GB"/>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after="240" w:line="240" w:lineRule="auto"/>
      <w:ind w:left="5103"/>
    </w:pPr>
    <w:rPr>
      <w:rFonts w:ascii="Times New Roman" w:eastAsia="Times New Roman" w:hAnsi="Times New Roman"/>
      <w:sz w:val="24"/>
      <w:szCs w:val="20"/>
      <w:lang w:eastAsia="en-GB"/>
    </w:r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after="240" w:line="240" w:lineRule="auto"/>
      <w:jc w:val="center"/>
    </w:pPr>
    <w:rPr>
      <w:rFonts w:ascii="Times New Roman" w:eastAsia="Times New Roman" w:hAnsi="Times New Roman"/>
      <w:b/>
      <w:i/>
      <w:sz w:val="24"/>
      <w:szCs w:val="20"/>
      <w:lang w:eastAsia="en-GB"/>
    </w:rPr>
  </w:style>
  <w:style w:type="paragraph" w:customStyle="1" w:styleId="Typeacteprincipal">
    <w:name w:val="Type acte principal"/>
    <w:basedOn w:val="Normal"/>
    <w:next w:val="Objetacteprincipal"/>
    <w:pPr>
      <w:spacing w:after="240" w:line="240" w:lineRule="auto"/>
      <w:jc w:val="center"/>
    </w:pPr>
    <w:rPr>
      <w:rFonts w:ascii="Times New Roman" w:eastAsia="Times New Roman" w:hAnsi="Times New Roman"/>
      <w:b/>
      <w:sz w:val="24"/>
      <w:szCs w:val="20"/>
      <w:lang w:eastAsia="en-GB"/>
    </w:rPr>
  </w:style>
  <w:style w:type="paragraph" w:customStyle="1" w:styleId="Objetacteprincipal">
    <w:name w:val="Objet acte principal"/>
    <w:basedOn w:val="Normal"/>
    <w:next w:val="Titrearticle"/>
    <w:pPr>
      <w:spacing w:after="360" w:line="240" w:lineRule="auto"/>
      <w:jc w:val="center"/>
    </w:pPr>
    <w:rPr>
      <w:rFonts w:ascii="Times New Roman" w:eastAsia="Times New Roman" w:hAnsi="Times New Roman"/>
      <w:b/>
      <w:sz w:val="24"/>
      <w:szCs w:val="20"/>
      <w:lang w:eastAsia="en-G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line="240" w:lineRule="auto"/>
      <w:jc w:val="center"/>
    </w:pPr>
    <w:rPr>
      <w:rFonts w:ascii="Times New Roman" w:eastAsia="Times New Roman" w:hAnsi="Times New Roman"/>
      <w:sz w:val="24"/>
      <w:szCs w:val="20"/>
      <w:lang w:eastAsia="en-GB"/>
    </w:rPr>
  </w:style>
  <w:style w:type="paragraph" w:customStyle="1" w:styleId="Date1">
    <w:name w:val="Date1"/>
    <w:basedOn w:val="Normal"/>
    <w:pPr>
      <w:spacing w:before="100" w:beforeAutospacing="1" w:after="100" w:afterAutospacing="1" w:line="240" w:lineRule="auto"/>
    </w:pPr>
    <w:rPr>
      <w:rFonts w:ascii="Times New Roman" w:eastAsia="Times New Roman" w:hAnsi="Times New Roman"/>
      <w:sz w:val="24"/>
      <w:szCs w:val="24"/>
      <w:lang w:eastAsia="en-GB"/>
    </w:rPr>
  </w:style>
  <w:style w:type="paragraph" w:styleId="NormalWeb">
    <w:name w:val="Normal (Web)"/>
    <w:basedOn w:val="Normal"/>
    <w:unhideWhenUsed/>
    <w:pPr>
      <w:spacing w:before="100" w:beforeAutospacing="1" w:after="100" w:afterAutospacing="1" w:line="240" w:lineRule="auto"/>
    </w:pPr>
    <w:rPr>
      <w:rFonts w:ascii="Times New Roman" w:eastAsia="Times New Roman" w:hAnsi="Times New Roman"/>
      <w:sz w:val="24"/>
      <w:szCs w:val="24"/>
      <w:lang w:eastAsia="en-GB"/>
    </w:rPr>
  </w:style>
  <w:style w:type="character" w:styleId="Emphasis">
    <w:name w:val="Emphasis"/>
    <w:uiPriority w:val="20"/>
    <w:qFormat/>
    <w:rPr>
      <w:i/>
      <w:iCs/>
    </w:rPr>
  </w:style>
  <w:style w:type="character" w:styleId="Strong">
    <w:name w:val="Strong"/>
    <w:uiPriority w:val="22"/>
    <w:qFormat/>
    <w:rPr>
      <w:b/>
      <w:bCs/>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pPr>
      <w:spacing w:after="160" w:line="240" w:lineRule="exact"/>
      <w:jc w:val="both"/>
    </w:pPr>
    <w:rPr>
      <w:vertAlign w:val="superscript"/>
    </w:rPr>
  </w:style>
  <w:style w:type="paragraph" w:styleId="Revision">
    <w:name w:val="Revision"/>
    <w:hidden/>
    <w:uiPriority w:val="99"/>
    <w:semiHidden/>
    <w:rPr>
      <w:sz w:val="22"/>
      <w:szCs w:val="22"/>
      <w:lang w:val="fr-BE" w:eastAsia="en-US"/>
    </w:rPr>
  </w:style>
  <w:style w:type="paragraph" w:customStyle="1" w:styleId="Date2">
    <w:name w:val="Date2"/>
    <w:basedOn w:val="Normal"/>
    <w:pPr>
      <w:spacing w:before="100" w:beforeAutospacing="1" w:after="100" w:afterAutospacing="1" w:line="240" w:lineRule="auto"/>
    </w:pPr>
    <w:rPr>
      <w:rFonts w:ascii="Times New Roman" w:eastAsia="Times New Roman" w:hAnsi="Times New Roman"/>
      <w:sz w:val="24"/>
      <w:szCs w:val="24"/>
      <w:lang w:eastAsia="en-GB"/>
    </w:rPr>
  </w:style>
  <w:style w:type="paragraph" w:styleId="ListParagraph">
    <w:name w:val="List Paragraph"/>
    <w:basedOn w:val="Normal"/>
    <w:uiPriority w:val="34"/>
    <w:qFormat/>
    <w:pPr>
      <w:spacing w:after="0" w:line="240" w:lineRule="auto"/>
      <w:ind w:left="720"/>
      <w:contextualSpacing/>
    </w:pPr>
    <w:rPr>
      <w:rFonts w:eastAsia="Times New Roman"/>
      <w:lang w:val="fr-BE"/>
    </w:rPr>
  </w:style>
  <w:style w:type="paragraph" w:customStyle="1" w:styleId="Body">
    <w:name w:val="Body"/>
    <w:pPr>
      <w:pBdr>
        <w:top w:val="nil"/>
        <w:left w:val="nil"/>
        <w:bottom w:val="nil"/>
        <w:right w:val="nil"/>
        <w:between w:val="nil"/>
        <w:bar w:val="nil"/>
      </w:pBdr>
      <w:spacing w:after="200" w:line="276" w:lineRule="auto"/>
    </w:pPr>
    <w:rPr>
      <w:rFonts w:cs="Calibri"/>
      <w:color w:val="000000"/>
      <w:sz w:val="22"/>
      <w:szCs w:val="22"/>
      <w:u w:color="000000"/>
      <w:bdr w:val="nil"/>
      <w:lang w:val="en-US"/>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lang w:eastAsia="en-US"/>
    </w:rPr>
  </w:style>
  <w:style w:type="character" w:styleId="EndnoteReference">
    <w:name w:val="endnote reference"/>
    <w:basedOn w:val="DefaultParagraphFont"/>
    <w:uiPriority w:val="99"/>
    <w:semiHidden/>
    <w:unhideWhenUsed/>
    <w:rPr>
      <w:vertAlign w:val="superscript"/>
    </w:rPr>
  </w:style>
  <w:style w:type="table" w:styleId="MediumShading2-Accent1">
    <w:name w:val="Medium Shading 2 Accent 1"/>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List-Accent1">
    <w:name w:val="Light List Accent 1"/>
    <w:basedOn w:val="TableNormal"/>
    <w:uiPriority w:val="61"/>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s14">
    <w:name w:val="s14"/>
    <w:basedOn w:val="Normal"/>
    <w:pPr>
      <w:spacing w:before="100" w:beforeAutospacing="1" w:after="100" w:afterAutospacing="1" w:line="240" w:lineRule="auto"/>
    </w:pPr>
    <w:rPr>
      <w:rFonts w:ascii="Times New Roman" w:eastAsiaTheme="minorHAnsi" w:hAnsi="Times New Roman"/>
      <w:sz w:val="24"/>
      <w:szCs w:val="24"/>
      <w:lang w:eastAsia="en-GB"/>
    </w:rPr>
  </w:style>
  <w:style w:type="character" w:customStyle="1" w:styleId="at1">
    <w:name w:val="a__t1"/>
    <w:basedOn w:val="DefaultParagraphFont"/>
  </w:style>
  <w:style w:type="table" w:customStyle="1" w:styleId="TableGrid1">
    <w:name w:val="Table Grid1"/>
    <w:basedOn w:val="TableNormal"/>
    <w:next w:val="TableGrid"/>
    <w:uiPriority w:val="59"/>
    <w:rPr>
      <w:rFonts w:eastAsia="Times New Roman"/>
      <w:lang w:val="sv-SE" w:eastAsia="sv-SE" w:bidi="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645955">
      <w:bodyDiv w:val="1"/>
      <w:marLeft w:val="0"/>
      <w:marRight w:val="0"/>
      <w:marTop w:val="0"/>
      <w:marBottom w:val="0"/>
      <w:divBdr>
        <w:top w:val="none" w:sz="0" w:space="0" w:color="auto"/>
        <w:left w:val="none" w:sz="0" w:space="0" w:color="auto"/>
        <w:bottom w:val="none" w:sz="0" w:space="0" w:color="auto"/>
        <w:right w:val="none" w:sz="0" w:space="0" w:color="auto"/>
      </w:divBdr>
    </w:div>
    <w:div w:id="161892175">
      <w:bodyDiv w:val="1"/>
      <w:marLeft w:val="0"/>
      <w:marRight w:val="0"/>
      <w:marTop w:val="0"/>
      <w:marBottom w:val="0"/>
      <w:divBdr>
        <w:top w:val="none" w:sz="0" w:space="0" w:color="auto"/>
        <w:left w:val="none" w:sz="0" w:space="0" w:color="auto"/>
        <w:bottom w:val="none" w:sz="0" w:space="0" w:color="auto"/>
        <w:right w:val="none" w:sz="0" w:space="0" w:color="auto"/>
      </w:divBdr>
    </w:div>
    <w:div w:id="287667808">
      <w:bodyDiv w:val="1"/>
      <w:marLeft w:val="0"/>
      <w:marRight w:val="0"/>
      <w:marTop w:val="0"/>
      <w:marBottom w:val="0"/>
      <w:divBdr>
        <w:top w:val="none" w:sz="0" w:space="0" w:color="auto"/>
        <w:left w:val="none" w:sz="0" w:space="0" w:color="auto"/>
        <w:bottom w:val="none" w:sz="0" w:space="0" w:color="auto"/>
        <w:right w:val="none" w:sz="0" w:space="0" w:color="auto"/>
      </w:divBdr>
    </w:div>
    <w:div w:id="494223395">
      <w:bodyDiv w:val="1"/>
      <w:marLeft w:val="0"/>
      <w:marRight w:val="0"/>
      <w:marTop w:val="0"/>
      <w:marBottom w:val="0"/>
      <w:divBdr>
        <w:top w:val="none" w:sz="0" w:space="0" w:color="auto"/>
        <w:left w:val="none" w:sz="0" w:space="0" w:color="auto"/>
        <w:bottom w:val="none" w:sz="0" w:space="0" w:color="auto"/>
        <w:right w:val="none" w:sz="0" w:space="0" w:color="auto"/>
      </w:divBdr>
    </w:div>
    <w:div w:id="513152734">
      <w:bodyDiv w:val="1"/>
      <w:marLeft w:val="0"/>
      <w:marRight w:val="0"/>
      <w:marTop w:val="0"/>
      <w:marBottom w:val="0"/>
      <w:divBdr>
        <w:top w:val="none" w:sz="0" w:space="0" w:color="auto"/>
        <w:left w:val="none" w:sz="0" w:space="0" w:color="auto"/>
        <w:bottom w:val="none" w:sz="0" w:space="0" w:color="auto"/>
        <w:right w:val="none" w:sz="0" w:space="0" w:color="auto"/>
      </w:divBdr>
    </w:div>
    <w:div w:id="1278833657">
      <w:bodyDiv w:val="1"/>
      <w:marLeft w:val="0"/>
      <w:marRight w:val="0"/>
      <w:marTop w:val="0"/>
      <w:marBottom w:val="0"/>
      <w:divBdr>
        <w:top w:val="none" w:sz="0" w:space="0" w:color="auto"/>
        <w:left w:val="none" w:sz="0" w:space="0" w:color="auto"/>
        <w:bottom w:val="none" w:sz="0" w:space="0" w:color="auto"/>
        <w:right w:val="none" w:sz="0" w:space="0" w:color="auto"/>
      </w:divBdr>
    </w:div>
    <w:div w:id="1287813697">
      <w:bodyDiv w:val="1"/>
      <w:marLeft w:val="0"/>
      <w:marRight w:val="0"/>
      <w:marTop w:val="0"/>
      <w:marBottom w:val="0"/>
      <w:divBdr>
        <w:top w:val="none" w:sz="0" w:space="0" w:color="auto"/>
        <w:left w:val="none" w:sz="0" w:space="0" w:color="auto"/>
        <w:bottom w:val="none" w:sz="0" w:space="0" w:color="auto"/>
        <w:right w:val="none" w:sz="0" w:space="0" w:color="auto"/>
      </w:divBdr>
    </w:div>
    <w:div w:id="1409232858">
      <w:bodyDiv w:val="1"/>
      <w:marLeft w:val="0"/>
      <w:marRight w:val="0"/>
      <w:marTop w:val="0"/>
      <w:marBottom w:val="0"/>
      <w:divBdr>
        <w:top w:val="none" w:sz="0" w:space="0" w:color="auto"/>
        <w:left w:val="none" w:sz="0" w:space="0" w:color="auto"/>
        <w:bottom w:val="none" w:sz="0" w:space="0" w:color="auto"/>
        <w:right w:val="none" w:sz="0" w:space="0" w:color="auto"/>
      </w:divBdr>
    </w:div>
    <w:div w:id="1510489997">
      <w:bodyDiv w:val="1"/>
      <w:marLeft w:val="0"/>
      <w:marRight w:val="0"/>
      <w:marTop w:val="0"/>
      <w:marBottom w:val="0"/>
      <w:divBdr>
        <w:top w:val="none" w:sz="0" w:space="0" w:color="auto"/>
        <w:left w:val="none" w:sz="0" w:space="0" w:color="auto"/>
        <w:bottom w:val="none" w:sz="0" w:space="0" w:color="auto"/>
        <w:right w:val="none" w:sz="0" w:space="0" w:color="auto"/>
      </w:divBdr>
    </w:div>
    <w:div w:id="1728186965">
      <w:bodyDiv w:val="1"/>
      <w:marLeft w:val="0"/>
      <w:marRight w:val="0"/>
      <w:marTop w:val="0"/>
      <w:marBottom w:val="0"/>
      <w:divBdr>
        <w:top w:val="none" w:sz="0" w:space="0" w:color="auto"/>
        <w:left w:val="none" w:sz="0" w:space="0" w:color="auto"/>
        <w:bottom w:val="none" w:sz="0" w:space="0" w:color="auto"/>
        <w:right w:val="none" w:sz="0" w:space="0" w:color="auto"/>
      </w:divBdr>
    </w:div>
    <w:div w:id="1954435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F5C396-7A8B-4958-BDCF-5637360200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9216</Words>
  <Characters>65622</Characters>
  <Application>Microsoft Office Word</Application>
  <DocSecurity>0</DocSecurity>
  <Lines>1193</Lines>
  <Paragraphs>329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74509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2016-03-09T13:54:00Z</dcterms:created>
  <dcterms:modified xsi:type="dcterms:W3CDTF">2016-03-10T13:28:00Z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DocStatus">
    <vt:lpwstr>Green</vt:lpwstr>
  </property>
  <property fmtid="{D5CDD505-2E9C-101B-9397-08002B2CF9AE}" pid="5" name="Classification">
    <vt:lpwstr> </vt:lpwstr>
  </property>
</Properties>
</file>