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alt="AFC09F6D17F84C8A824A46E2AF26FA00" style="width:450.8pt;height:307.4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0" w:h="16840"/>
          <w:pgMar w:top="1134" w:right="1417" w:bottom="1134" w:left="1417" w:header="709" w:footer="709" w:gutter="0"/>
          <w:pgNumType w:start="1"/>
          <w:cols w:space="720"/>
          <w:docGrid w:linePitch="360"/>
        </w:sectPr>
      </w:pPr>
    </w:p>
    <w:p>
      <w:pPr>
        <w:rPr>
          <w:noProof/>
        </w:rPr>
      </w:pPr>
      <w:bookmarkStart w:id="1" w:name="_GoBack"/>
      <w:bookmarkEnd w:id="1"/>
    </w:p>
    <w:p>
      <w:pPr>
        <w:pStyle w:val="TOCHeading"/>
        <w:rPr>
          <w:noProof/>
        </w:rPr>
      </w:pPr>
      <w:r>
        <w:rPr>
          <w:noProof/>
        </w:rPr>
        <w:t>INNEHÅLLSFÖRTECKNING</w:t>
      </w:r>
    </w:p>
    <w:p>
      <w:pPr>
        <w:rPr>
          <w:noProof/>
        </w:rPr>
      </w:pPr>
    </w:p>
    <w:p>
      <w:pPr>
        <w:rPr>
          <w:noProof/>
        </w:rPr>
      </w:pPr>
    </w:p>
    <w:sdt>
      <w:sdtPr>
        <w:rPr>
          <w:rFonts w:asciiTheme="minorHAnsi" w:eastAsiaTheme="minorEastAsia" w:hAnsiTheme="minorHAnsi" w:cstheme="minorBidi"/>
          <w:b w:val="0"/>
          <w:caps/>
          <w:noProof/>
          <w:szCs w:val="24"/>
          <w:lang w:eastAsia="sv-SE" w:bidi="sv-SE"/>
        </w:rPr>
        <w:id w:val="1796255231"/>
        <w:docPartObj>
          <w:docPartGallery w:val="Table of Contents"/>
          <w:docPartUnique/>
        </w:docPartObj>
      </w:sdtPr>
      <w:sdtEndPr>
        <w:rPr>
          <w:bCs/>
        </w:rPr>
      </w:sdtEndPr>
      <w:sdtContent>
        <w:p>
          <w:pPr>
            <w:pStyle w:val="TOCHeading"/>
            <w:jc w:val="left"/>
            <w:rPr>
              <w:noProof/>
            </w:rPr>
          </w:pPr>
        </w:p>
        <w:p>
          <w:pPr>
            <w:pStyle w:val="TOC1"/>
            <w:rPr>
              <w:rFonts w:asciiTheme="minorHAnsi" w:eastAsiaTheme="minorEastAsia" w:hAnsiTheme="minorHAnsi" w:cstheme="minorBidi"/>
              <w:caps w:val="0"/>
              <w:noProof/>
              <w:sz w:val="22"/>
              <w:szCs w:val="22"/>
              <w:lang w:bidi="ar-SA"/>
            </w:rPr>
          </w:pPr>
          <w:r>
            <w:rPr>
              <w:noProof/>
            </w:rPr>
            <w:fldChar w:fldCharType="begin"/>
          </w:r>
          <w:r>
            <w:rPr>
              <w:noProof/>
            </w:rPr>
            <w:instrText xml:space="preserve"> TOC \o "1-3" \h \z \u </w:instrText>
          </w:r>
          <w:r>
            <w:rPr>
              <w:noProof/>
            </w:rPr>
            <w:fldChar w:fldCharType="separate"/>
          </w:r>
          <w:hyperlink w:anchor="_Toc438453819" w:history="1">
            <w:r>
              <w:rPr>
                <w:rStyle w:val="Hyperlink"/>
                <w:noProof/>
              </w:rPr>
              <w:t>1. Inledning</w:t>
            </w:r>
            <w:r>
              <w:rPr>
                <w:noProof/>
                <w:webHidden/>
              </w:rPr>
              <w:tab/>
            </w:r>
            <w:r>
              <w:rPr>
                <w:noProof/>
                <w:webHidden/>
              </w:rPr>
              <w:fldChar w:fldCharType="begin"/>
            </w:r>
            <w:r>
              <w:rPr>
                <w:noProof/>
                <w:webHidden/>
              </w:rPr>
              <w:instrText xml:space="preserve"> PAGEREF _Toc438453819 \h </w:instrText>
            </w:r>
            <w:r>
              <w:rPr>
                <w:noProof/>
                <w:webHidden/>
              </w:rPr>
            </w:r>
            <w:r>
              <w:rPr>
                <w:noProof/>
                <w:webHidden/>
              </w:rPr>
              <w:fldChar w:fldCharType="separate"/>
            </w:r>
            <w:r>
              <w:rPr>
                <w:noProof/>
                <w:webHidden/>
              </w:rPr>
              <w:t>3</w:t>
            </w:r>
            <w:r>
              <w:rPr>
                <w:noProof/>
                <w:webHidden/>
              </w:rPr>
              <w:fldChar w:fldCharType="end"/>
            </w:r>
          </w:hyperlink>
        </w:p>
        <w:p>
          <w:pPr>
            <w:pStyle w:val="TOC1"/>
            <w:rPr>
              <w:rFonts w:asciiTheme="minorHAnsi" w:eastAsiaTheme="minorEastAsia" w:hAnsiTheme="minorHAnsi" w:cstheme="minorBidi"/>
              <w:caps w:val="0"/>
              <w:noProof/>
              <w:sz w:val="22"/>
              <w:szCs w:val="22"/>
              <w:lang w:bidi="ar-SA"/>
            </w:rPr>
          </w:pPr>
          <w:hyperlink w:anchor="_Toc438453820" w:history="1">
            <w:r>
              <w:rPr>
                <w:rStyle w:val="Hyperlink"/>
                <w:noProof/>
              </w:rPr>
              <w:t>2. Skillnaden mellan ”godtagbart kapital” och ”kapitalbas”</w:t>
            </w:r>
            <w:r>
              <w:rPr>
                <w:noProof/>
                <w:webHidden/>
              </w:rPr>
              <w:tab/>
            </w:r>
            <w:r>
              <w:rPr>
                <w:noProof/>
                <w:webHidden/>
              </w:rPr>
              <w:fldChar w:fldCharType="begin"/>
            </w:r>
            <w:r>
              <w:rPr>
                <w:noProof/>
                <w:webHidden/>
              </w:rPr>
              <w:instrText xml:space="preserve"> PAGEREF _Toc438453820 \h </w:instrText>
            </w:r>
            <w:r>
              <w:rPr>
                <w:noProof/>
                <w:webHidden/>
              </w:rPr>
            </w:r>
            <w:r>
              <w:rPr>
                <w:noProof/>
                <w:webHidden/>
              </w:rPr>
              <w:fldChar w:fldCharType="separate"/>
            </w:r>
            <w:r>
              <w:rPr>
                <w:noProof/>
                <w:webHidden/>
              </w:rPr>
              <w:t>3</w:t>
            </w:r>
            <w:r>
              <w:rPr>
                <w:noProof/>
                <w:webHidden/>
              </w:rPr>
              <w:fldChar w:fldCharType="end"/>
            </w:r>
          </w:hyperlink>
        </w:p>
        <w:p>
          <w:pPr>
            <w:pStyle w:val="TOC1"/>
            <w:rPr>
              <w:rFonts w:asciiTheme="minorHAnsi" w:eastAsiaTheme="minorEastAsia" w:hAnsiTheme="minorHAnsi" w:cstheme="minorBidi"/>
              <w:caps w:val="0"/>
              <w:noProof/>
              <w:sz w:val="22"/>
              <w:szCs w:val="22"/>
              <w:lang w:bidi="ar-SA"/>
            </w:rPr>
          </w:pPr>
          <w:hyperlink w:anchor="_Toc438453821" w:history="1">
            <w:r>
              <w:rPr>
                <w:rStyle w:val="Hyperlink"/>
                <w:noProof/>
              </w:rPr>
              <w:t>3. Tillämpningsområdet för begreppet ”godtagbart kapital”</w:t>
            </w:r>
            <w:r>
              <w:rPr>
                <w:noProof/>
                <w:webHidden/>
              </w:rPr>
              <w:tab/>
            </w:r>
            <w:r>
              <w:rPr>
                <w:noProof/>
                <w:webHidden/>
              </w:rPr>
              <w:fldChar w:fldCharType="begin"/>
            </w:r>
            <w:r>
              <w:rPr>
                <w:noProof/>
                <w:webHidden/>
              </w:rPr>
              <w:instrText xml:space="preserve"> PAGEREF _Toc438453821 \h </w:instrText>
            </w:r>
            <w:r>
              <w:rPr>
                <w:noProof/>
                <w:webHidden/>
              </w:rPr>
            </w:r>
            <w:r>
              <w:rPr>
                <w:noProof/>
                <w:webHidden/>
              </w:rPr>
              <w:fldChar w:fldCharType="separate"/>
            </w:r>
            <w:r>
              <w:rPr>
                <w:noProof/>
                <w:webHidden/>
              </w:rPr>
              <w:t>4</w:t>
            </w:r>
            <w:r>
              <w:rPr>
                <w:noProof/>
                <w:webHidden/>
              </w:rPr>
              <w:fldChar w:fldCharType="end"/>
            </w:r>
          </w:hyperlink>
        </w:p>
        <w:p>
          <w:pPr>
            <w:pStyle w:val="TOC1"/>
            <w:rPr>
              <w:rFonts w:asciiTheme="minorHAnsi" w:eastAsiaTheme="minorEastAsia" w:hAnsiTheme="minorHAnsi" w:cstheme="minorBidi"/>
              <w:caps w:val="0"/>
              <w:noProof/>
              <w:sz w:val="22"/>
              <w:szCs w:val="22"/>
              <w:lang w:bidi="ar-SA"/>
            </w:rPr>
          </w:pPr>
          <w:hyperlink w:anchor="_Toc438453822" w:history="1">
            <w:r>
              <w:rPr>
                <w:rStyle w:val="Hyperlink"/>
                <w:noProof/>
              </w:rPr>
              <w:t>4. Är begreppet ”godtagbart kapital” ändamålsenligt?</w:t>
            </w:r>
            <w:r>
              <w:rPr>
                <w:noProof/>
                <w:webHidden/>
              </w:rPr>
              <w:tab/>
            </w:r>
            <w:r>
              <w:rPr>
                <w:noProof/>
                <w:webHidden/>
              </w:rPr>
              <w:fldChar w:fldCharType="begin"/>
            </w:r>
            <w:r>
              <w:rPr>
                <w:noProof/>
                <w:webHidden/>
              </w:rPr>
              <w:instrText xml:space="preserve"> PAGEREF _Toc438453822 \h </w:instrText>
            </w:r>
            <w:r>
              <w:rPr>
                <w:noProof/>
                <w:webHidden/>
              </w:rPr>
            </w:r>
            <w:r>
              <w:rPr>
                <w:noProof/>
                <w:webHidden/>
              </w:rPr>
              <w:fldChar w:fldCharType="separate"/>
            </w:r>
            <w:r>
              <w:rPr>
                <w:noProof/>
                <w:webHidden/>
              </w:rPr>
              <w:t>5</w:t>
            </w:r>
            <w:r>
              <w:rPr>
                <w:noProof/>
                <w:webHidden/>
              </w:rPr>
              <w:fldChar w:fldCharType="end"/>
            </w:r>
          </w:hyperlink>
        </w:p>
        <w:p>
          <w:pPr>
            <w:pStyle w:val="TOC1"/>
            <w:rPr>
              <w:rFonts w:asciiTheme="minorHAnsi" w:eastAsiaTheme="minorEastAsia" w:hAnsiTheme="minorHAnsi" w:cstheme="minorBidi"/>
              <w:caps w:val="0"/>
              <w:noProof/>
              <w:sz w:val="22"/>
              <w:szCs w:val="22"/>
              <w:lang w:bidi="ar-SA"/>
            </w:rPr>
          </w:pPr>
          <w:hyperlink w:anchor="_Toc438453823" w:history="1">
            <w:r>
              <w:rPr>
                <w:rStyle w:val="Hyperlink"/>
                <w:noProof/>
              </w:rPr>
              <w:t>5. Slutsats</w:t>
            </w:r>
            <w:r>
              <w:rPr>
                <w:noProof/>
                <w:webHidden/>
              </w:rPr>
              <w:tab/>
            </w:r>
            <w:r>
              <w:rPr>
                <w:noProof/>
                <w:webHidden/>
              </w:rPr>
              <w:fldChar w:fldCharType="begin"/>
            </w:r>
            <w:r>
              <w:rPr>
                <w:noProof/>
                <w:webHidden/>
              </w:rPr>
              <w:instrText xml:space="preserve"> PAGEREF _Toc438453823 \h </w:instrText>
            </w:r>
            <w:r>
              <w:rPr>
                <w:noProof/>
                <w:webHidden/>
              </w:rPr>
            </w:r>
            <w:r>
              <w:rPr>
                <w:noProof/>
                <w:webHidden/>
              </w:rPr>
              <w:fldChar w:fldCharType="separate"/>
            </w:r>
            <w:r>
              <w:rPr>
                <w:noProof/>
                <w:webHidden/>
              </w:rPr>
              <w:t>5</w:t>
            </w:r>
            <w:r>
              <w:rPr>
                <w:noProof/>
                <w:webHidden/>
              </w:rPr>
              <w:fldChar w:fldCharType="end"/>
            </w:r>
          </w:hyperlink>
        </w:p>
        <w:p>
          <w:pPr>
            <w:pStyle w:val="TOC1"/>
            <w:tabs>
              <w:tab w:val="right" w:leader="dot" w:pos="9054"/>
            </w:tabs>
            <w:rPr>
              <w:smallCaps/>
              <w:noProof/>
              <w:sz w:val="22"/>
              <w:szCs w:val="22"/>
            </w:rPr>
          </w:pPr>
          <w:r>
            <w:rPr>
              <w:b/>
              <w:bCs/>
              <w:noProof/>
            </w:rPr>
            <w:fldChar w:fldCharType="end"/>
          </w:r>
        </w:p>
      </w:sdtContent>
    </w:sdt>
    <w:p>
      <w:pPr>
        <w:rPr>
          <w:noProof/>
        </w:rPr>
      </w:pPr>
    </w:p>
    <w:p>
      <w:pPr>
        <w:rPr>
          <w:rFonts w:ascii="Times New Roman" w:eastAsiaTheme="majorEastAsia" w:hAnsi="Times New Roman" w:cs="Times New Roman"/>
          <w:b/>
          <w:bCs/>
          <w:smallCaps/>
          <w:noProof/>
          <w:sz w:val="28"/>
          <w:szCs w:val="28"/>
        </w:rPr>
      </w:pPr>
      <w:r>
        <w:rPr>
          <w:noProof/>
        </w:rPr>
        <w:br w:type="page"/>
      </w:r>
    </w:p>
    <w:p>
      <w:pPr>
        <w:pStyle w:val="Heading1"/>
        <w:rPr>
          <w:noProof/>
        </w:rPr>
      </w:pPr>
      <w:bookmarkStart w:id="2" w:name="_Toc430187452"/>
      <w:bookmarkStart w:id="3" w:name="_Toc438453819"/>
      <w:r>
        <w:rPr>
          <w:noProof/>
        </w:rPr>
        <w:lastRenderedPageBreak/>
        <w:t>1. Inledning</w:t>
      </w:r>
      <w:bookmarkEnd w:id="2"/>
      <w:bookmarkEnd w:id="3"/>
    </w:p>
    <w:p>
      <w:pPr>
        <w:pStyle w:val="NoSpacing"/>
        <w:spacing w:before="240" w:after="240"/>
        <w:jc w:val="both"/>
        <w:rPr>
          <w:rFonts w:ascii="Times New Roman" w:hAnsi="Times New Roman"/>
          <w:noProof/>
          <w:sz w:val="24"/>
          <w:szCs w:val="24"/>
        </w:rPr>
      </w:pPr>
      <w:r>
        <w:rPr>
          <w:rFonts w:ascii="Times New Roman" w:hAnsi="Times New Roman"/>
          <w:noProof/>
          <w:sz w:val="24"/>
        </w:rPr>
        <w:t>Fram till den 31 december 2013 byggde de kapitalkrav som gäller för värdepappersföretag med begränsad auktorisation att tillhandahålla värdepapperstjänster, tillsynsbehandlingen av ett instituts kvalificerade innehav i företag utanför den finansiella sektorn och definitionen av instituts ”stora exponeringar” och dess begränsningar på begreppet ”kapitalbas”</w:t>
      </w:r>
      <w:r>
        <w:rPr>
          <w:rStyle w:val="FootnoteReference"/>
          <w:rFonts w:ascii="Times New Roman" w:hAnsi="Times New Roman"/>
          <w:noProof/>
          <w:sz w:val="24"/>
        </w:rPr>
        <w:footnoteReference w:id="1"/>
      </w:r>
      <w:r>
        <w:rPr>
          <w:rFonts w:ascii="Times New Roman" w:hAnsi="Times New Roman"/>
          <w:noProof/>
          <w:sz w:val="24"/>
        </w:rPr>
        <w:t xml:space="preserve">. </w:t>
      </w:r>
    </w:p>
    <w:p>
      <w:pPr>
        <w:pStyle w:val="NoSpacing"/>
        <w:spacing w:before="240" w:after="240"/>
        <w:jc w:val="both"/>
        <w:rPr>
          <w:rFonts w:ascii="Times New Roman" w:hAnsi="Times New Roman"/>
          <w:noProof/>
          <w:sz w:val="24"/>
          <w:szCs w:val="24"/>
        </w:rPr>
      </w:pPr>
      <w:r>
        <w:rPr>
          <w:rFonts w:ascii="Times New Roman" w:hAnsi="Times New Roman"/>
          <w:noProof/>
          <w:sz w:val="24"/>
        </w:rPr>
        <w:t xml:space="preserve">Definitionen av ”kapitalbas” byttes den 1 januari 2014 ut mot definitionen av ”godtagbart kapital” för de ändamål som anges ovan och som regleras i förordning (EU) nr 575/2013 om tillsynskrav för kreditinstitut och värdepappersföretag av den 26 juni 2013 (nedan kallad </w:t>
      </w:r>
      <w:r>
        <w:rPr>
          <w:rFonts w:ascii="Times New Roman" w:hAnsi="Times New Roman"/>
          <w:i/>
          <w:noProof/>
          <w:sz w:val="24"/>
        </w:rPr>
        <w:t>kapitalkravsförordningen</w:t>
      </w:r>
      <w:r>
        <w:rPr>
          <w:rFonts w:ascii="Times New Roman" w:hAnsi="Times New Roman"/>
          <w:noProof/>
          <w:sz w:val="24"/>
        </w:rPr>
        <w:t>).</w:t>
      </w:r>
    </w:p>
    <w:p>
      <w:pPr>
        <w:pStyle w:val="NoSpacing"/>
        <w:spacing w:before="240" w:after="240"/>
        <w:jc w:val="both"/>
        <w:rPr>
          <w:rFonts w:ascii="Times New Roman" w:hAnsi="Times New Roman"/>
          <w:noProof/>
          <w:sz w:val="24"/>
          <w:szCs w:val="24"/>
        </w:rPr>
      </w:pPr>
      <w:r>
        <w:rPr>
          <w:rFonts w:ascii="Times New Roman" w:hAnsi="Times New Roman"/>
          <w:noProof/>
          <w:sz w:val="24"/>
        </w:rPr>
        <w:t>Definitionen av ”godtagbart kapital” infördes utan att någon konsekvensbedömning gjordes. Därför omfattas införandet av det nya systemet av en treårig övergångsperiod (som avslutas den 31 december 2016)</w:t>
      </w:r>
      <w:r>
        <w:rPr>
          <w:rStyle w:val="FootnoteReference"/>
          <w:rFonts w:ascii="Times New Roman" w:hAnsi="Times New Roman"/>
          <w:noProof/>
          <w:sz w:val="24"/>
        </w:rPr>
        <w:footnoteReference w:id="2"/>
      </w:r>
      <w:r>
        <w:rPr>
          <w:rFonts w:ascii="Times New Roman" w:hAnsi="Times New Roman"/>
          <w:noProof/>
          <w:sz w:val="24"/>
        </w:rPr>
        <w:t xml:space="preserve"> och systemet ska ses över innan det börjar tillämpas fullt ut.</w:t>
      </w:r>
    </w:p>
    <w:p>
      <w:pPr>
        <w:pStyle w:val="NoSpacing"/>
        <w:spacing w:before="240" w:after="240"/>
        <w:jc w:val="both"/>
        <w:rPr>
          <w:rFonts w:ascii="Times New Roman" w:hAnsi="Times New Roman"/>
          <w:noProof/>
          <w:sz w:val="24"/>
          <w:szCs w:val="24"/>
        </w:rPr>
      </w:pPr>
      <w:r>
        <w:rPr>
          <w:rFonts w:ascii="Times New Roman" w:hAnsi="Times New Roman"/>
          <w:noProof/>
          <w:sz w:val="24"/>
        </w:rPr>
        <w:t>Den här rapporten uppfyller kravet i artikel 517 i kapitalkravsförordningen. Den artikeln säger att kommissionen ska granska och rapportera om huruvida den definition av godtagbart kapital som tillämpas i avdelning III i del två och del fyra av kapitalkravsförordningen är ändamålsenlig. Rapporten ska överlämnas till Europaparlamentet och rådet och vid behov åtföljas av ett lagstiftningsförslag.</w:t>
      </w:r>
    </w:p>
    <w:p>
      <w:pPr>
        <w:pStyle w:val="NoSpacing"/>
        <w:spacing w:before="240" w:after="240"/>
        <w:jc w:val="both"/>
        <w:rPr>
          <w:rFonts w:ascii="Times New Roman" w:hAnsi="Times New Roman"/>
          <w:noProof/>
          <w:sz w:val="24"/>
          <w:szCs w:val="24"/>
        </w:rPr>
      </w:pPr>
      <w:r>
        <w:rPr>
          <w:rFonts w:ascii="Times New Roman" w:hAnsi="Times New Roman"/>
          <w:noProof/>
          <w:sz w:val="24"/>
        </w:rPr>
        <w:t>Den här rapporten bygger på ett yttrande från Europeiska bankmyndigheten (EBA) av den 17 februari 2015</w:t>
      </w:r>
      <w:r>
        <w:rPr>
          <w:rStyle w:val="FootnoteReference"/>
          <w:rFonts w:ascii="Times New Roman" w:hAnsi="Times New Roman"/>
          <w:noProof/>
          <w:sz w:val="24"/>
        </w:rPr>
        <w:footnoteReference w:id="3"/>
      </w:r>
      <w:r>
        <w:rPr>
          <w:rFonts w:ascii="Times New Roman" w:hAnsi="Times New Roman"/>
          <w:noProof/>
          <w:sz w:val="24"/>
        </w:rPr>
        <w:t>. Yttrandet utarbetades i samråd med de behöriga nationella myndigheterna.</w:t>
      </w:r>
    </w:p>
    <w:p>
      <w:pPr>
        <w:pStyle w:val="Heading1"/>
        <w:rPr>
          <w:noProof/>
        </w:rPr>
      </w:pPr>
      <w:bookmarkStart w:id="4" w:name="_Toc430187453"/>
      <w:bookmarkStart w:id="5" w:name="_Toc438453820"/>
      <w:r>
        <w:rPr>
          <w:noProof/>
        </w:rPr>
        <w:t>2. Skillnaden mellan ”godtagbart kapital” och ”kapitalbas”</w:t>
      </w:r>
      <w:bookmarkEnd w:id="4"/>
      <w:bookmarkEnd w:id="5"/>
    </w:p>
    <w:p>
      <w:pPr>
        <w:spacing w:before="240" w:after="240"/>
        <w:jc w:val="both"/>
        <w:rPr>
          <w:rFonts w:ascii="Times New Roman" w:hAnsi="Times New Roman" w:cs="Times New Roman"/>
          <w:noProof/>
        </w:rPr>
      </w:pPr>
      <w:r>
        <w:rPr>
          <w:rFonts w:ascii="Times New Roman" w:hAnsi="Times New Roman"/>
          <w:noProof/>
        </w:rPr>
        <w:t xml:space="preserve">Genom artikel 4.1 led 71 i kapitalkravsförordningen införs en ny kapitalbas, kallad ”godtagbart kapital” för tillämpningen av avdelning III i del två, del fyra och artikel 97 i den förordningen. </w:t>
      </w:r>
    </w:p>
    <w:p>
      <w:pPr>
        <w:spacing w:before="240" w:after="240"/>
        <w:jc w:val="both"/>
        <w:rPr>
          <w:rFonts w:ascii="Times New Roman" w:hAnsi="Times New Roman" w:cs="Times New Roman"/>
          <w:noProof/>
        </w:rPr>
      </w:pPr>
      <w:r>
        <w:rPr>
          <w:rFonts w:ascii="Times New Roman" w:hAnsi="Times New Roman"/>
          <w:noProof/>
        </w:rPr>
        <w:t>Enligt 4.1 led 71 definieras godtagbart kapital som summan av primärkapitalet och supplementärkapitalet. Men den andel supplementärkapital som anses vara ”godtagbart kapital” får vid utgången av övergångsperioden inte överskrida en tredjedel av primärkapitalet</w:t>
      </w:r>
      <w:r>
        <w:rPr>
          <w:rStyle w:val="FootnoteReference"/>
          <w:rFonts w:ascii="Times New Roman" w:hAnsi="Times New Roman"/>
          <w:noProof/>
        </w:rPr>
        <w:footnoteReference w:id="4"/>
      </w:r>
      <w:r>
        <w:rPr>
          <w:rFonts w:ascii="Times New Roman" w:hAnsi="Times New Roman"/>
          <w:noProof/>
        </w:rPr>
        <w:t xml:space="preserve">. </w:t>
      </w:r>
    </w:p>
    <w:p>
      <w:pPr>
        <w:spacing w:before="240" w:after="240"/>
        <w:jc w:val="both"/>
        <w:rPr>
          <w:rFonts w:ascii="Times New Roman" w:hAnsi="Times New Roman" w:cs="Times New Roman"/>
          <w:noProof/>
        </w:rPr>
      </w:pPr>
      <w:r>
        <w:rPr>
          <w:rFonts w:ascii="Times New Roman" w:hAnsi="Times New Roman"/>
          <w:noProof/>
        </w:rPr>
        <w:lastRenderedPageBreak/>
        <w:t>Begreppet ”godtagbart kapital” är därför mer begränsat än begreppet ”kapitalbas”, eftersom den andel supplementärkapitalinstrument som överskrider tröskelvärdet på en tredjedel inte får anses vara ”godtagbart kapital”</w:t>
      </w:r>
      <w:r>
        <w:rPr>
          <w:rStyle w:val="FootnoteReference"/>
          <w:rFonts w:ascii="Times New Roman" w:hAnsi="Times New Roman"/>
          <w:noProof/>
        </w:rPr>
        <w:footnoteReference w:id="5"/>
      </w:r>
      <w:r>
        <w:rPr>
          <w:rFonts w:ascii="Times New Roman" w:hAnsi="Times New Roman"/>
          <w:noProof/>
        </w:rPr>
        <w:t>.</w:t>
      </w:r>
    </w:p>
    <w:p>
      <w:pPr>
        <w:pStyle w:val="NoSpacing"/>
        <w:spacing w:before="240" w:after="240"/>
        <w:jc w:val="both"/>
        <w:rPr>
          <w:rFonts w:ascii="Times New Roman" w:hAnsi="Times New Roman"/>
          <w:noProof/>
          <w:sz w:val="24"/>
          <w:szCs w:val="24"/>
        </w:rPr>
      </w:pPr>
      <w:r>
        <w:rPr>
          <w:rFonts w:ascii="Times New Roman" w:hAnsi="Times New Roman"/>
          <w:noProof/>
          <w:sz w:val="24"/>
        </w:rPr>
        <w:t>Det finns däremot ingen begränsning för inkluderingen av supplementärkapital i ”kapitalbasen”, som enbart utgörs av summan av primärkapitalet och supplementärkapital</w:t>
      </w:r>
      <w:r>
        <w:rPr>
          <w:rStyle w:val="FootnoteReference"/>
          <w:rFonts w:ascii="Times New Roman" w:hAnsi="Times New Roman"/>
          <w:noProof/>
          <w:sz w:val="24"/>
        </w:rPr>
        <w:footnoteReference w:id="6"/>
      </w:r>
      <w:r>
        <w:rPr>
          <w:rFonts w:ascii="Times New Roman" w:hAnsi="Times New Roman"/>
          <w:noProof/>
          <w:sz w:val="24"/>
        </w:rPr>
        <w:t>.</w:t>
      </w:r>
    </w:p>
    <w:p>
      <w:pPr>
        <w:pStyle w:val="NoSpacing"/>
        <w:spacing w:before="240" w:after="240"/>
        <w:jc w:val="both"/>
        <w:rPr>
          <w:rFonts w:ascii="Times New Roman" w:hAnsi="Times New Roman"/>
          <w:noProof/>
          <w:sz w:val="24"/>
          <w:szCs w:val="24"/>
        </w:rPr>
      </w:pPr>
      <w:r>
        <w:rPr>
          <w:rFonts w:ascii="Times New Roman" w:hAnsi="Times New Roman"/>
          <w:noProof/>
          <w:sz w:val="24"/>
        </w:rPr>
        <w:t>Begreppet ”godtagbart kapital” infördes i kapitalkravsförordningen för att minska kreditinstitutens och värdepapperföretagens incitament att utarma regleringskraven genom att enbart utfärda supplementärkapital (till exempel skulle extra supplementärkapital göra det möjligt för instituten att öka omfattningen på exponeringarna mot deras motparter eller volymen på deras kvalificerade innehav på ett enklare sätt än att utfärda primärkapital).</w:t>
      </w:r>
    </w:p>
    <w:p>
      <w:pPr>
        <w:jc w:val="both"/>
        <w:rPr>
          <w:rFonts w:ascii="Times New Roman" w:eastAsia="Times New Roman" w:hAnsi="Times New Roman" w:cs="Times New Roman"/>
          <w:noProof/>
        </w:rPr>
      </w:pPr>
      <w:r>
        <w:rPr>
          <w:rFonts w:ascii="Times New Roman" w:hAnsi="Times New Roman"/>
          <w:noProof/>
        </w:rPr>
        <w:t>Kvaliteten på supplementärkapitalet är i själva verket lägre än på primärkapitalet. Medan primärkapitalet används för att absorbera förluster under pågående verksamhet, kan supplementärkapitalet enbart användas för att absorbera förluster i samband med nedläggning av verksamhet.</w:t>
      </w:r>
    </w:p>
    <w:p>
      <w:pPr>
        <w:pStyle w:val="Heading1"/>
        <w:rPr>
          <w:noProof/>
        </w:rPr>
      </w:pPr>
      <w:bookmarkStart w:id="6" w:name="_Toc430187454"/>
      <w:bookmarkStart w:id="7" w:name="_Toc438453821"/>
      <w:r>
        <w:rPr>
          <w:noProof/>
        </w:rPr>
        <w:t>3. Tillämpningsområdet för begreppet ”godtagbart kapital”</w:t>
      </w:r>
      <w:bookmarkEnd w:id="6"/>
      <w:bookmarkEnd w:id="7"/>
    </w:p>
    <w:p>
      <w:pPr>
        <w:tabs>
          <w:tab w:val="left" w:pos="851"/>
        </w:tabs>
        <w:spacing w:before="240" w:after="240"/>
        <w:jc w:val="both"/>
        <w:rPr>
          <w:rFonts w:ascii="Times New Roman" w:hAnsi="Times New Roman"/>
          <w:noProof/>
        </w:rPr>
      </w:pPr>
      <w:r>
        <w:rPr>
          <w:rFonts w:ascii="Times New Roman" w:hAnsi="Times New Roman"/>
          <w:noProof/>
        </w:rPr>
        <w:t>Från den 1 januari 2014 används ”godtagbart kapital” som kapitalbas för att</w:t>
      </w:r>
    </w:p>
    <w:p>
      <w:pPr>
        <w:pStyle w:val="ListParagraph"/>
        <w:numPr>
          <w:ilvl w:val="0"/>
          <w:numId w:val="1"/>
        </w:numPr>
        <w:spacing w:before="240" w:after="240"/>
        <w:jc w:val="both"/>
        <w:rPr>
          <w:rFonts w:ascii="Times New Roman" w:hAnsi="Times New Roman" w:cs="Times New Roman"/>
          <w:noProof/>
        </w:rPr>
      </w:pPr>
      <w:r>
        <w:rPr>
          <w:rFonts w:ascii="Times New Roman" w:hAnsi="Times New Roman"/>
          <w:i/>
          <w:noProof/>
        </w:rPr>
        <w:t>fastställa tillsynsbehandlingen av kvalificerade innehav i företag utanför den finansiella sektorn</w:t>
      </w:r>
      <w:r>
        <w:rPr>
          <w:rFonts w:ascii="Times New Roman" w:hAnsi="Times New Roman"/>
          <w:noProof/>
        </w:rPr>
        <w:t>.</w:t>
      </w:r>
      <w:r>
        <w:rPr>
          <w:rFonts w:ascii="Times New Roman" w:hAnsi="Times New Roman"/>
          <w:b/>
          <w:noProof/>
        </w:rPr>
        <w:t xml:space="preserve"> </w:t>
      </w:r>
    </w:p>
    <w:p>
      <w:pPr>
        <w:pStyle w:val="ListParagraph"/>
        <w:spacing w:before="240" w:after="240"/>
        <w:jc w:val="both"/>
        <w:rPr>
          <w:rFonts w:ascii="Times New Roman" w:hAnsi="Times New Roman" w:cs="Times New Roman"/>
          <w:noProof/>
        </w:rPr>
      </w:pPr>
      <w:r>
        <w:rPr>
          <w:rFonts w:ascii="Times New Roman" w:hAnsi="Times New Roman"/>
          <w:noProof/>
        </w:rPr>
        <w:t>I enlighet med det nya systemet anges i artikel 89 i kapitalkravsförordningen att de behöriga myndigheterna alternativt kan tillämpa två olika tillsynsbehandlingar av kvalificerade innehav i företag utanför den finansiella sektorn</w:t>
      </w:r>
    </w:p>
    <w:p>
      <w:pPr>
        <w:pStyle w:val="ListParagraph"/>
        <w:numPr>
          <w:ilvl w:val="0"/>
          <w:numId w:val="2"/>
        </w:numPr>
        <w:spacing w:before="240" w:after="240"/>
        <w:ind w:left="1276" w:hanging="283"/>
        <w:jc w:val="both"/>
        <w:rPr>
          <w:rFonts w:ascii="Times New Roman" w:hAnsi="Times New Roman" w:cs="Times New Roman"/>
          <w:noProof/>
        </w:rPr>
      </w:pPr>
      <w:r>
        <w:rPr>
          <w:rFonts w:ascii="Times New Roman" w:hAnsi="Times New Roman"/>
          <w:noProof/>
        </w:rPr>
        <w:t xml:space="preserve">som förbjuder i) varje kvalificerat innehav att överstiga 15 % av institutens </w:t>
      </w:r>
      <w:r>
        <w:rPr>
          <w:rFonts w:ascii="Times New Roman" w:hAnsi="Times New Roman"/>
          <w:i/>
          <w:noProof/>
        </w:rPr>
        <w:t>godtagbara kapital</w:t>
      </w:r>
      <w:r>
        <w:rPr>
          <w:rFonts w:ascii="Times New Roman" w:hAnsi="Times New Roman"/>
          <w:noProof/>
        </w:rPr>
        <w:t xml:space="preserve"> och ii) den totala portföljen med kvalificerade innehav från att överstiga 60 % av institutionens </w:t>
      </w:r>
      <w:r>
        <w:rPr>
          <w:rFonts w:ascii="Times New Roman" w:hAnsi="Times New Roman"/>
          <w:i/>
          <w:noProof/>
        </w:rPr>
        <w:t>godtagbara kapital,</w:t>
      </w:r>
    </w:p>
    <w:p>
      <w:pPr>
        <w:pStyle w:val="ListParagraph"/>
        <w:numPr>
          <w:ilvl w:val="0"/>
          <w:numId w:val="2"/>
        </w:numPr>
        <w:spacing w:before="240" w:after="240"/>
        <w:ind w:left="1276" w:hanging="283"/>
        <w:jc w:val="both"/>
        <w:rPr>
          <w:rFonts w:ascii="Times New Roman" w:hAnsi="Times New Roman" w:cs="Times New Roman"/>
          <w:noProof/>
        </w:rPr>
      </w:pPr>
      <w:r>
        <w:rPr>
          <w:rFonts w:ascii="Times New Roman" w:hAnsi="Times New Roman"/>
          <w:noProof/>
        </w:rPr>
        <w:t>som tillämpar en riskvikt på 1 250 % på de andelar som överstiger tröskelvärdena på 15 % respektive 60 %.</w:t>
      </w:r>
    </w:p>
    <w:p>
      <w:pPr>
        <w:pStyle w:val="ListParagraph"/>
        <w:numPr>
          <w:ilvl w:val="0"/>
          <w:numId w:val="1"/>
        </w:numPr>
        <w:spacing w:before="240" w:after="240"/>
        <w:jc w:val="both"/>
        <w:rPr>
          <w:rFonts w:ascii="Times New Roman" w:hAnsi="Times New Roman" w:cs="Times New Roman"/>
          <w:noProof/>
        </w:rPr>
      </w:pPr>
      <w:r>
        <w:rPr>
          <w:rFonts w:ascii="Times New Roman" w:hAnsi="Times New Roman"/>
          <w:i/>
          <w:noProof/>
        </w:rPr>
        <w:t>fastställa kapitalkrav för värdepappersföretag med begränsad auktorisation att tillhandahålla värdepapperstjänster.</w:t>
      </w:r>
      <w:r>
        <w:rPr>
          <w:rFonts w:ascii="Times New Roman" w:hAnsi="Times New Roman"/>
          <w:noProof/>
        </w:rPr>
        <w:t xml:space="preserve"> De värdepappersföretag som avses i artiklarna 95.1 och 96.1 samt artikel 4.1 led 2 c i kapitalkravsförordningen ska inneha </w:t>
      </w:r>
      <w:r>
        <w:rPr>
          <w:rFonts w:ascii="Times New Roman" w:hAnsi="Times New Roman"/>
          <w:i/>
          <w:noProof/>
        </w:rPr>
        <w:t xml:space="preserve">godtagbart kapital </w:t>
      </w:r>
      <w:r>
        <w:rPr>
          <w:rFonts w:ascii="Times New Roman" w:hAnsi="Times New Roman"/>
          <w:noProof/>
        </w:rPr>
        <w:t xml:space="preserve">som motsvarar minst en fjärdedel av de fasta omkostnaderna under det föregående året enligt artikel 97 i kapitalkravsförordningen. </w:t>
      </w:r>
    </w:p>
    <w:p>
      <w:pPr>
        <w:pStyle w:val="ListParagraph"/>
        <w:numPr>
          <w:ilvl w:val="0"/>
          <w:numId w:val="1"/>
        </w:numPr>
        <w:spacing w:before="240" w:after="240"/>
        <w:jc w:val="both"/>
        <w:rPr>
          <w:rFonts w:ascii="Times New Roman" w:hAnsi="Times New Roman" w:cs="Times New Roman"/>
          <w:noProof/>
        </w:rPr>
      </w:pPr>
      <w:r>
        <w:rPr>
          <w:rFonts w:ascii="Times New Roman" w:hAnsi="Times New Roman"/>
          <w:i/>
          <w:noProof/>
        </w:rPr>
        <w:t>definiera en stor exponering.</w:t>
      </w:r>
      <w:r>
        <w:rPr>
          <w:rFonts w:ascii="Times New Roman" w:hAnsi="Times New Roman"/>
          <w:noProof/>
        </w:rPr>
        <w:t xml:space="preserve"> En exponering anses vara stor när värdet på ett instituts exponering gentemot en enda motpart uppgår till minst 10 % av institutets </w:t>
      </w:r>
      <w:r>
        <w:rPr>
          <w:rFonts w:ascii="Times New Roman" w:hAnsi="Times New Roman"/>
          <w:i/>
          <w:noProof/>
        </w:rPr>
        <w:t xml:space="preserve">godtagbara kapital </w:t>
      </w:r>
      <w:r>
        <w:rPr>
          <w:rFonts w:ascii="Times New Roman" w:hAnsi="Times New Roman"/>
          <w:noProof/>
        </w:rPr>
        <w:t>enligt artikel 392 i kapitalkravsförordningen.</w:t>
      </w:r>
    </w:p>
    <w:p>
      <w:pPr>
        <w:pStyle w:val="ListParagraph"/>
        <w:numPr>
          <w:ilvl w:val="0"/>
          <w:numId w:val="1"/>
        </w:numPr>
        <w:spacing w:before="240" w:after="240"/>
        <w:jc w:val="both"/>
        <w:rPr>
          <w:rFonts w:ascii="Times New Roman" w:hAnsi="Times New Roman" w:cs="Times New Roman"/>
          <w:noProof/>
        </w:rPr>
      </w:pPr>
      <w:r>
        <w:rPr>
          <w:rFonts w:ascii="Times New Roman" w:hAnsi="Times New Roman"/>
          <w:i/>
          <w:noProof/>
        </w:rPr>
        <w:t>fastställa den högsta andel över vilken instituten inte får exponera sig gentemot en enda motpart</w:t>
      </w:r>
      <w:r>
        <w:rPr>
          <w:rFonts w:ascii="Times New Roman" w:hAnsi="Times New Roman"/>
          <w:noProof/>
        </w:rPr>
        <w:t xml:space="preserve">. Ett institut får inte ådra sig en exponering gentemot en enda motpart som överstiger 25 % av dess </w:t>
      </w:r>
      <w:r>
        <w:rPr>
          <w:rFonts w:ascii="Times New Roman" w:hAnsi="Times New Roman"/>
          <w:i/>
          <w:noProof/>
        </w:rPr>
        <w:t xml:space="preserve">godtagbara kapital </w:t>
      </w:r>
      <w:r>
        <w:rPr>
          <w:rFonts w:ascii="Times New Roman" w:hAnsi="Times New Roman"/>
          <w:noProof/>
        </w:rPr>
        <w:t>(om inte annat anges) enligt artikel 395 i kapitalkravsförordningen.</w:t>
      </w:r>
    </w:p>
    <w:p>
      <w:pPr>
        <w:spacing w:before="240" w:after="240"/>
        <w:jc w:val="both"/>
        <w:rPr>
          <w:rFonts w:ascii="Times New Roman" w:hAnsi="Times New Roman" w:cs="Times New Roman"/>
          <w:noProof/>
        </w:rPr>
      </w:pPr>
      <w:r>
        <w:rPr>
          <w:rFonts w:ascii="Times New Roman" w:hAnsi="Times New Roman"/>
          <w:noProof/>
        </w:rPr>
        <w:t>Enligt artikel 494 i kapitalkravsförordningen omfattas tillämpningen av definitionen av ”godtagbart kapital” övergångsbestämmelser under en treårsperiod som inleddes 2014. Under 2014 fick kreditinstitut och värdepappersföretag fortfarande räkna supplementärkapital som ”godtagbart kapital” upp till 100 % av primärkapitalet, från 2015 får de räkna supplementärkapital som ”godtagbart kapital” upp till</w:t>
      </w:r>
      <w:r>
        <w:rPr>
          <w:rFonts w:ascii="Times New Roman" w:hAnsi="Times New Roman"/>
          <w:b/>
          <w:noProof/>
        </w:rPr>
        <w:t xml:space="preserve"> </w:t>
      </w:r>
      <w:r>
        <w:rPr>
          <w:rFonts w:ascii="Times New Roman" w:hAnsi="Times New Roman"/>
          <w:noProof/>
        </w:rPr>
        <w:t>75 % och under 2016 upp till 50 % av primärkapitalet.</w:t>
      </w:r>
    </w:p>
    <w:p>
      <w:pPr>
        <w:spacing w:before="240" w:after="240"/>
        <w:jc w:val="both"/>
        <w:rPr>
          <w:rFonts w:ascii="Times New Roman" w:hAnsi="Times New Roman" w:cs="Times New Roman"/>
          <w:noProof/>
        </w:rPr>
      </w:pPr>
      <w:r>
        <w:rPr>
          <w:rFonts w:ascii="Times New Roman" w:hAnsi="Times New Roman"/>
          <w:noProof/>
        </w:rPr>
        <w:t>När övergångsperioden är slut, kommer EU-systemet att begränsa det supplementärkapital som får räknas som godtagbart kapital till en tredjedel av primärkapitalet, vilket gör att EU:s krav närmar sig de nyligen utfärdade Baselstandarderna om stora exponeringar, vilka exkluderar supplementärkapitalet från att räknas med vid tillämpningen av systemet för stora exponeringar</w:t>
      </w:r>
      <w:r>
        <w:rPr>
          <w:rStyle w:val="FootnoteReference"/>
          <w:rFonts w:ascii="Times New Roman" w:hAnsi="Times New Roman"/>
          <w:noProof/>
        </w:rPr>
        <w:footnoteReference w:id="7"/>
      </w:r>
      <w:r>
        <w:rPr>
          <w:rFonts w:ascii="Times New Roman" w:hAnsi="Times New Roman"/>
          <w:noProof/>
        </w:rPr>
        <w:t>.</w:t>
      </w:r>
    </w:p>
    <w:p>
      <w:pPr>
        <w:pStyle w:val="Heading1"/>
        <w:rPr>
          <w:noProof/>
        </w:rPr>
      </w:pPr>
      <w:bookmarkStart w:id="8" w:name="_Toc430187455"/>
      <w:bookmarkStart w:id="9" w:name="_Toc438453822"/>
      <w:r>
        <w:rPr>
          <w:noProof/>
        </w:rPr>
        <w:t>4. Är begreppet ”godtagbart kapital” ändamålsenligt?</w:t>
      </w:r>
      <w:bookmarkEnd w:id="8"/>
      <w:bookmarkEnd w:id="9"/>
    </w:p>
    <w:p>
      <w:pPr>
        <w:spacing w:before="240" w:after="240"/>
        <w:jc w:val="both"/>
        <w:rPr>
          <w:rFonts w:ascii="Times New Roman" w:hAnsi="Times New Roman" w:cs="Times New Roman"/>
          <w:noProof/>
        </w:rPr>
      </w:pPr>
      <w:r>
        <w:rPr>
          <w:rFonts w:ascii="Times New Roman" w:hAnsi="Times New Roman"/>
          <w:noProof/>
        </w:rPr>
        <w:t xml:space="preserve">EBA och de nationella myndigheterna har rådfrågats för att samla in information om det nya systemets effekter på instituten. Erfarenheterna från det första året med begreppet ”godtagbart kapital” ger inte upphov till några särskilda farhågor. EBA drog i sitt yttrande slutsatsen att man varken kände till </w:t>
      </w:r>
      <w:r>
        <w:rPr>
          <w:rFonts w:ascii="Times New Roman" w:hAnsi="Times New Roman"/>
          <w:i/>
          <w:noProof/>
        </w:rPr>
        <w:t xml:space="preserve">några farhågor från institutens sida avseende användningen av definitionen </w:t>
      </w:r>
      <w:r>
        <w:rPr>
          <w:rFonts w:ascii="Times New Roman" w:hAnsi="Times New Roman"/>
          <w:noProof/>
        </w:rPr>
        <w:t xml:space="preserve">eller hade </w:t>
      </w:r>
      <w:r>
        <w:rPr>
          <w:rFonts w:ascii="Times New Roman" w:hAnsi="Times New Roman"/>
          <w:i/>
          <w:noProof/>
        </w:rPr>
        <w:t>några empiriska bevis som kunde leda till slutsatsen att den nya snävare kapitalbasen för stora exponeringar skulle ha någon betydande allvarlig effekt på institutens exponeringar</w:t>
      </w:r>
      <w:r>
        <w:rPr>
          <w:rFonts w:ascii="Times New Roman" w:hAnsi="Times New Roman"/>
          <w:noProof/>
        </w:rPr>
        <w:t xml:space="preserve">. </w:t>
      </w:r>
    </w:p>
    <w:p>
      <w:pPr>
        <w:spacing w:before="240" w:after="240"/>
        <w:jc w:val="both"/>
        <w:rPr>
          <w:rFonts w:ascii="Times New Roman" w:hAnsi="Times New Roman" w:cs="Times New Roman"/>
          <w:noProof/>
        </w:rPr>
      </w:pPr>
      <w:r>
        <w:rPr>
          <w:rFonts w:ascii="Times New Roman" w:hAnsi="Times New Roman"/>
          <w:noProof/>
        </w:rPr>
        <w:t xml:space="preserve">Bedömningen bygger dock på de tämligen begränsade erfarenheterna hittills. Det nya systemet är i kraft sedan 2014 och genomförs fullt ut först 2016. </w:t>
      </w:r>
    </w:p>
    <w:p>
      <w:pPr>
        <w:spacing w:before="240" w:after="240"/>
        <w:jc w:val="both"/>
        <w:rPr>
          <w:rFonts w:ascii="Times New Roman" w:hAnsi="Times New Roman" w:cs="Times New Roman"/>
          <w:noProof/>
        </w:rPr>
      </w:pPr>
      <w:r>
        <w:rPr>
          <w:rFonts w:ascii="Times New Roman" w:hAnsi="Times New Roman"/>
          <w:noProof/>
        </w:rPr>
        <w:t>En komplett datainsamling kan först göras efter övergångsperioden.</w:t>
      </w:r>
    </w:p>
    <w:p>
      <w:pPr>
        <w:pStyle w:val="Heading1"/>
        <w:rPr>
          <w:noProof/>
        </w:rPr>
      </w:pPr>
      <w:bookmarkStart w:id="10" w:name="_Toc430187456"/>
      <w:bookmarkStart w:id="11" w:name="_Toc438453823"/>
      <w:r>
        <w:rPr>
          <w:noProof/>
        </w:rPr>
        <w:t>5. Slutsats</w:t>
      </w:r>
      <w:bookmarkEnd w:id="10"/>
      <w:bookmarkEnd w:id="11"/>
    </w:p>
    <w:p>
      <w:pPr>
        <w:spacing w:before="240" w:after="240"/>
        <w:jc w:val="both"/>
        <w:rPr>
          <w:rFonts w:ascii="Times New Roman" w:hAnsi="Times New Roman" w:cs="Times New Roman"/>
          <w:noProof/>
        </w:rPr>
      </w:pPr>
      <w:r>
        <w:rPr>
          <w:rFonts w:ascii="Times New Roman" w:hAnsi="Times New Roman"/>
          <w:noProof/>
        </w:rPr>
        <w:t>Analysen av tillgängliga uppgifter tyder hittills på att användningen av definitionen av godtagbart kapital är ändamålsenlig vid tillämningen på avdelning III i del två, del fyra och artikel 97 i kapitalkravsförordningen.</w:t>
      </w:r>
    </w:p>
    <w:p>
      <w:pPr>
        <w:spacing w:before="240" w:after="240"/>
        <w:jc w:val="both"/>
        <w:rPr>
          <w:rFonts w:ascii="Times New Roman" w:hAnsi="Times New Roman" w:cs="Times New Roman"/>
          <w:noProof/>
        </w:rPr>
      </w:pPr>
      <w:r>
        <w:rPr>
          <w:rFonts w:ascii="Times New Roman" w:hAnsi="Times New Roman"/>
          <w:noProof/>
        </w:rPr>
        <w:t xml:space="preserve">Det verkar därför inte lämpligt att i detta skede lägga fram något lagstiftningsförslag för att ändra det nuvarande systemet. </w:t>
      </w:r>
    </w:p>
    <w:p>
      <w:pPr>
        <w:spacing w:before="240" w:after="240"/>
        <w:jc w:val="both"/>
        <w:rPr>
          <w:rFonts w:ascii="Times New Roman" w:hAnsi="Times New Roman" w:cs="Times New Roman"/>
          <w:noProof/>
        </w:rPr>
      </w:pPr>
      <w:r>
        <w:rPr>
          <w:rFonts w:ascii="Times New Roman" w:hAnsi="Times New Roman"/>
          <w:noProof/>
        </w:rPr>
        <w:t xml:space="preserve">Kommissionen kommer dock att i tillsammans med EBA fortsätta att övervaka tillämpningen av det nya systemet och ytterligare överväga om definitionen av godtagbart kapital ska behållas på basis av insamlade data. </w:t>
      </w:r>
    </w:p>
    <w:p>
      <w:pPr>
        <w:jc w:val="both"/>
        <w:rPr>
          <w:rFonts w:ascii="Times New Roman" w:hAnsi="Times New Roman" w:cs="Times New Roman"/>
          <w:noProof/>
        </w:rPr>
      </w:pPr>
      <w:r>
        <w:rPr>
          <w:rFonts w:ascii="Times New Roman" w:hAnsi="Times New Roman"/>
          <w:noProof/>
        </w:rPr>
        <w:t>De behöriga myndigheternas erfarenheter av att tillämpa definitionen av godtagbart kapital under övergångsperioden kommer att bidra till kommissionens överväganden om huruvida det är lämpligt att ändra det nuvarande systemet.</w:t>
      </w:r>
    </w:p>
    <w:p>
      <w:pPr>
        <w:spacing w:before="240" w:after="240"/>
        <w:jc w:val="both"/>
        <w:rPr>
          <w:rFonts w:ascii="Times New Roman" w:hAnsi="Times New Roman" w:cs="Times New Roman"/>
          <w:b/>
          <w:noProof/>
        </w:rPr>
      </w:pPr>
    </w:p>
    <w:sectPr>
      <w:headerReference w:type="even" r:id="rId16"/>
      <w:headerReference w:type="default" r:id="rId17"/>
      <w:footerReference w:type="even" r:id="rId18"/>
      <w:footerReference w:type="default" r:id="rId19"/>
      <w:headerReference w:type="first" r:id="rId20"/>
      <w:footerReference w:type="first" r:id="rId21"/>
      <w:pgSz w:w="11900" w:h="16840"/>
      <w:pgMar w:top="1418" w:right="1418" w:bottom="1418" w:left="1418"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362664754"/>
      <w:docPartObj>
        <w:docPartGallery w:val="Page Numbers (Bottom of Page)"/>
        <w:docPartUnique/>
      </w:docPartObj>
    </w:sdtPr>
    <w:sdtEndPr>
      <w:rPr>
        <w:noProof/>
      </w:rPr>
    </w:sdtEndPr>
    <w:sdtContent>
      <w:p>
        <w:pPr>
          <w:pStyle w:val="Foote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noProof/>
            <w:sz w:val="20"/>
            <w:szCs w:val="20"/>
          </w:rPr>
          <w:fldChar w:fldCharType="end"/>
        </w:r>
      </w:p>
    </w:sdtContent>
  </w:sdt>
  <w:p>
    <w:pPr>
      <w:pStyle w:val="Footer"/>
      <w:rPr>
        <w:rFonts w:ascii="Times New Roman" w:hAnsi="Times New Roman" w:cs="Times New Roman"/>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spacing w:after="0"/>
        <w:ind w:left="0" w:firstLine="0"/>
      </w:pPr>
      <w:r>
        <w:rPr>
          <w:rStyle w:val="FootnoteReference"/>
        </w:rPr>
        <w:footnoteRef/>
      </w:r>
      <w:r>
        <w:t xml:space="preserve"> Artikel 4.1 led 118 i Europaparlamentets och rådets förordning (EU) nr 575/2013 av den 26 juni 2013 om tillsynskrav för kreditinstitut och värdepappersföretag och om ändring av förordning (EU) nr 648/2012 (EUT L 176, 27.6.2013, s. 1).</w:t>
      </w:r>
    </w:p>
  </w:footnote>
  <w:footnote w:id="2">
    <w:p>
      <w:pPr>
        <w:pStyle w:val="FootnoteText"/>
        <w:spacing w:after="0"/>
        <w:ind w:left="0" w:firstLine="0"/>
      </w:pPr>
      <w:r>
        <w:rPr>
          <w:rStyle w:val="FootnoteReference"/>
        </w:rPr>
        <w:footnoteRef/>
      </w:r>
      <w:r>
        <w:t xml:space="preserve"> Artikel 494 i Europaparlamentets och rådets förordning (EU) nr 575/2013 av den 26 juni 2013 om tillsynskrav för kreditinstitut och värdepappersföretag och om ändring av förordning (EU) nr 648/2012 (EUT L 176, 27.6.2013, s. 1).</w:t>
      </w:r>
    </w:p>
  </w:footnote>
  <w:footnote w:id="3">
    <w:p>
      <w:pPr>
        <w:pStyle w:val="FootnoteText"/>
        <w:spacing w:after="0"/>
        <w:ind w:left="0" w:firstLine="0"/>
      </w:pPr>
      <w:r>
        <w:rPr>
          <w:rStyle w:val="FootnoteReference"/>
        </w:rPr>
        <w:footnoteRef/>
      </w:r>
      <w:r>
        <w:t xml:space="preserve"> EBA:s yttrande om </w:t>
      </w:r>
      <w:r>
        <w:rPr>
          <w:i/>
        </w:rPr>
        <w:t>granskningen av ändamålsenligheten av definitionen av godtagbart kapital i enlighet med artikel 517 i förordning (EU) nr 575/2013</w:t>
      </w:r>
      <w:r>
        <w:t>, 17.2.2015.</w:t>
      </w:r>
    </w:p>
  </w:footnote>
  <w:footnote w:id="4">
    <w:p>
      <w:pPr>
        <w:pStyle w:val="FootnoteText"/>
        <w:spacing w:after="0"/>
        <w:ind w:left="0" w:firstLine="0"/>
      </w:pPr>
      <w:r>
        <w:rPr>
          <w:rStyle w:val="FootnoteReference"/>
        </w:rPr>
        <w:footnoteRef/>
      </w:r>
      <w:r>
        <w:t xml:space="preserve"> Den definition av ”godtagbart kapital” som används för att beräkna kvalificerade innehav skiljer sig något från den definition som används för andra ändamål.</w:t>
      </w:r>
    </w:p>
  </w:footnote>
  <w:footnote w:id="5">
    <w:p>
      <w:pPr>
        <w:pStyle w:val="FootnoteText"/>
        <w:spacing w:after="0"/>
        <w:ind w:left="0" w:firstLine="0"/>
      </w:pPr>
      <w:r>
        <w:rPr>
          <w:rStyle w:val="FootnoteReference"/>
        </w:rPr>
        <w:footnoteRef/>
      </w:r>
      <w:r>
        <w:t xml:space="preserve"> Artikel 4.1 led 71 i Europaparlamentets och rådets förordning (EU) nr 575/2013 av den 26 juni 2013 om tillsynskrav för kreditinstitut och värdepappersföretag och om ändring av förordning (EU) nr 648/2012 (EUT L 176, 27.6.2013, s. 1).</w:t>
      </w:r>
    </w:p>
  </w:footnote>
  <w:footnote w:id="6">
    <w:p>
      <w:pPr>
        <w:pStyle w:val="FootnoteText"/>
        <w:spacing w:after="0"/>
        <w:ind w:left="0" w:firstLine="0"/>
      </w:pPr>
      <w:r>
        <w:rPr>
          <w:rStyle w:val="FootnoteReference"/>
        </w:rPr>
        <w:footnoteRef/>
      </w:r>
      <w:r>
        <w:t xml:space="preserve"> Artikel 4.1 led 118 i Europaparlamentets och rådets förordning (EU) nr 575/2013 av den 26 juni 2013 om tillsynskrav för kreditinstitut och värdepappersföretag och om ändring av förordning (EU) nr 648/2012 (EUT L 176, 27.6.2013, s. 1).</w:t>
      </w:r>
    </w:p>
  </w:footnote>
  <w:footnote w:id="7">
    <w:p>
      <w:pPr>
        <w:pStyle w:val="FootnoteText"/>
        <w:spacing w:after="0"/>
        <w:ind w:left="0" w:firstLine="0"/>
      </w:pPr>
      <w:r>
        <w:rPr>
          <w:rStyle w:val="FootnoteReference"/>
        </w:rPr>
        <w:footnoteRef/>
      </w:r>
      <w:r>
        <w:t xml:space="preserve"> BCBS, </w:t>
      </w:r>
      <w:r>
        <w:rPr>
          <w:i/>
        </w:rPr>
        <w:t>Supervisory framework for measuring and controlling large exposures</w:t>
      </w:r>
      <w:r>
        <w:t>, april 2014, finns på http://www.bis.org/publ/bcbs283.pdf.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50F6"/>
    <w:multiLevelType w:val="hybridMultilevel"/>
    <w:tmpl w:val="53AC7032"/>
    <w:lvl w:ilvl="0" w:tplc="148803AC">
      <w:start w:val="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3">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4">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5">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6">
    <w:nsid w:val="39E84239"/>
    <w:multiLevelType w:val="hybridMultilevel"/>
    <w:tmpl w:val="C0D0A6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8">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3">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5">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6">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6"/>
  </w:num>
  <w:num w:numId="2">
    <w:abstractNumId w:val="0"/>
  </w:num>
  <w:num w:numId="3">
    <w:abstractNumId w:val="12"/>
  </w:num>
  <w:num w:numId="4">
    <w:abstractNumId w:val="7"/>
  </w:num>
  <w:num w:numId="5">
    <w:abstractNumId w:val="5"/>
  </w:num>
  <w:num w:numId="6">
    <w:abstractNumId w:val="3"/>
  </w:num>
  <w:num w:numId="7">
    <w:abstractNumId w:val="2"/>
  </w:num>
  <w:num w:numId="8">
    <w:abstractNumId w:val="13"/>
  </w:num>
  <w:num w:numId="9">
    <w:abstractNumId w:val="15"/>
  </w:num>
  <w:num w:numId="10">
    <w:abstractNumId w:val="14"/>
  </w:num>
  <w:num w:numId="11">
    <w:abstractNumId w:val="16"/>
  </w:num>
  <w:num w:numId="12">
    <w:abstractNumId w:val="4"/>
  </w:num>
  <w:num w:numId="13">
    <w:abstractNumId w:val="8"/>
  </w:num>
  <w:num w:numId="14">
    <w:abstractNumId w:val="10"/>
  </w:num>
  <w:num w:numId="15">
    <w:abstractNumId w:val="9"/>
  </w:num>
  <w:num w:numId="16">
    <w:abstractNumId w:val="1"/>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revisionView w:markup="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AFC09F6D17F84C8A824A46E2AF26FA00"/>
    <w:docVar w:name="LW_CROSSREFERENCE" w:val="&lt;UNUSED&gt;"/>
    <w:docVar w:name="LW_DocType" w:val="NORMAL"/>
    <w:docVar w:name="LW_EMISSION" w:val="26.1.2016"/>
    <w:docVar w:name="LW_EMISSION_ISODATE" w:val="2016-01-26"/>
    <w:docVar w:name="LW_EMISSION_LOCATION" w:val="BRX"/>
    <w:docVar w:name="LW_EMISSION_PREFIX" w:val="Bryssel den "/>
    <w:docVar w:name="LW_EMISSION_SUFFIX" w:val=" "/>
    <w:docVar w:name="LW_ID_DOCTYPE_NONLW" w:val="CP-006"/>
    <w:docVar w:name="LW_LANGUE" w:val="SV"/>
    <w:docVar w:name="LW_MARKING" w:val="&lt;UNUSED&g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6) 21"/>
    <w:docVar w:name="LW_REF.INTERNE" w:val="&lt;UNUSED&gt;"/>
    <w:docVar w:name="LW_SOUS.TITRE.OBJ.CP" w:val="&lt;UNUSED&gt;"/>
    <w:docVar w:name="LW_SUPERTITRE" w:val="&lt;UNUSED&gt;"/>
    <w:docVar w:name="LW_TITRE.OBJ.CP" w:val="om granskningen av om definitionen av \u8221?godtagbart kapital\u8221? är ändamålsenlig, i enlighet med artikel 517 i förordning (EU) nr 575/2013"/>
    <w:docVar w:name="LW_TYPE.DOC.CP" w:val="RAPPORT FRÅN KOMMISSIONEN TILL EUROPAPARLAMENTET OCH RÅDET"/>
  </w:docVar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sv-S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imes New Roman" w:eastAsiaTheme="majorEastAsia" w:hAnsi="Times New Roman" w:cs="Times New Roman"/>
      <w:b/>
      <w:bCs/>
      <w:small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Pr>
      <w:rFonts w:ascii="Calibri" w:eastAsia="Calibri" w:hAnsi="Calibri" w:cs="Times New Roman"/>
      <w:sz w:val="22"/>
      <w:szCs w:val="22"/>
    </w:rPr>
  </w:style>
  <w:style w:type="paragraph" w:styleId="FootnoteText">
    <w:name w:val="footnote text"/>
    <w:aliases w:val="Footnote Text Char Char,Footnote text,Footnote Text Char2 Char,Footnote Text Char1 Char1 Char,Footnote Text Char2 Char Char Char,Footnote Text Char1 Char1 Char Char Char,Plonk,fn,fn Char Char,Footnote Text Char Char Cha"/>
    <w:basedOn w:val="Normal"/>
    <w:link w:val="FootnoteTextChar"/>
    <w:uiPriority w:val="99"/>
    <w:semiHidden/>
    <w:pPr>
      <w:spacing w:after="240"/>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
    <w:basedOn w:val="DefaultParagraphFont"/>
    <w:link w:val="FootnoteText"/>
    <w:uiPriority w:val="99"/>
    <w:semiHidden/>
    <w:rPr>
      <w:rFonts w:ascii="Times New Roman" w:eastAsia="Times New Roman" w:hAnsi="Times New Roman" w:cs="Times New Roman"/>
      <w:sz w:val="20"/>
      <w:szCs w:val="20"/>
      <w:lang w:val="sv-SE" w:eastAsia="sv-SE"/>
    </w:rPr>
  </w:style>
  <w:style w:type="character" w:styleId="FootnoteReference">
    <w:name w:val="footnote reference"/>
    <w:aliases w:val="Footnote symbol,Footnote Reference Number,Footnote Reference_LVL6,Footnote Reference_LVL61,Footnote Reference_LVL62,Footnote Reference_LVL63,Footnote Reference_LVL64,Ref,de nota al pie,BVI fnr,Footnote Reference Superscript"/>
    <w:unhideWhenUsed/>
    <w:qFormat/>
    <w:rPr>
      <w:vertAlign w:val="superscript"/>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eastAsiaTheme="minorHAnsi" w:hAnsi="Times New Roman" w:cs="Times New Roman"/>
      <w:szCs w:val="22"/>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hAnsi="Times New Roman" w:cs="Times New Roman"/>
    </w:rPr>
  </w:style>
  <w:style w:type="character" w:customStyle="1" w:styleId="FooterCoverPageChar">
    <w:name w:val="Footer Cover Page Char"/>
    <w:basedOn w:val="DefaultParagraphFont"/>
    <w:link w:val="FooterCoverPage"/>
    <w:rPr>
      <w:rFonts w:ascii="Times New Roman" w:hAnsi="Times New Roman" w:cs="Times New Roman"/>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hAnsi="Times New Roman" w:cs="Times New Roman"/>
    </w:rPr>
  </w:style>
  <w:style w:type="character" w:customStyle="1" w:styleId="HeaderCoverPageChar">
    <w:name w:val="Header Cover Page Char"/>
    <w:basedOn w:val="DefaultParagraphFont"/>
    <w:link w:val="HeaderCoverPage"/>
    <w:rPr>
      <w:rFonts w:ascii="Times New Roman" w:hAnsi="Times New Roman" w:cs="Times New Roman"/>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8"/>
      <w:szCs w:val="28"/>
      <w:lang w:val="sv-SE"/>
    </w:rPr>
  </w:style>
  <w:style w:type="paragraph" w:styleId="TOCHeading">
    <w:name w:val="TOC Heading"/>
    <w:basedOn w:val="Normal"/>
    <w:next w:val="Normal"/>
    <w:qFormat/>
    <w:pPr>
      <w:keepNext/>
      <w:spacing w:before="240" w:after="240"/>
      <w:jc w:val="center"/>
    </w:pPr>
    <w:rPr>
      <w:rFonts w:ascii="Times New Roman" w:eastAsia="Times New Roman" w:hAnsi="Times New Roman" w:cs="Times New Roman"/>
      <w:b/>
      <w:szCs w:val="20"/>
      <w:lang w:eastAsia="en-US" w:bidi="ar-SA"/>
    </w:rPr>
  </w:style>
  <w:style w:type="paragraph" w:customStyle="1" w:styleId="Titreobjet">
    <w:name w:val="Titre objet"/>
    <w:basedOn w:val="Normal"/>
    <w:next w:val="Normal"/>
    <w:pPr>
      <w:spacing w:before="360" w:after="360"/>
      <w:jc w:val="center"/>
    </w:pPr>
    <w:rPr>
      <w:rFonts w:ascii="Times New Roman" w:eastAsia="Times New Roman" w:hAnsi="Times New Roman" w:cs="Times New Roman"/>
      <w:b/>
      <w:szCs w:val="22"/>
    </w:rPr>
  </w:style>
  <w:style w:type="paragraph" w:customStyle="1" w:styleId="Typedudocument">
    <w:name w:val="Type du document"/>
    <w:basedOn w:val="Normal"/>
    <w:next w:val="Titreobjet"/>
    <w:pPr>
      <w:spacing w:before="360"/>
      <w:jc w:val="center"/>
    </w:pPr>
    <w:rPr>
      <w:rFonts w:ascii="Times New Roman" w:eastAsia="Times New Roman" w:hAnsi="Times New Roman" w:cs="Times New Roman"/>
      <w:b/>
      <w:szCs w:val="22"/>
    </w:rPr>
  </w:style>
  <w:style w:type="paragraph" w:customStyle="1" w:styleId="IntrtEEE">
    <w:name w:val="Intérêt EEE"/>
    <w:basedOn w:val="Normal"/>
    <w:next w:val="Normal"/>
    <w:pPr>
      <w:spacing w:before="360" w:after="240"/>
      <w:jc w:val="center"/>
    </w:pPr>
    <w:rPr>
      <w:rFonts w:ascii="Times New Roman" w:eastAsia="Times New Roman" w:hAnsi="Times New Roman" w:cs="Times New Roman"/>
      <w:szCs w:val="22"/>
    </w:rPr>
  </w:style>
  <w:style w:type="paragraph" w:styleId="TOC1">
    <w:name w:val="toc 1"/>
    <w:basedOn w:val="Normal"/>
    <w:next w:val="Normal"/>
    <w:uiPriority w:val="39"/>
    <w:pPr>
      <w:tabs>
        <w:tab w:val="right" w:leader="dot" w:pos="8640"/>
      </w:tabs>
      <w:spacing w:before="120" w:after="120"/>
      <w:ind w:left="482" w:right="720" w:hanging="482"/>
      <w:jc w:val="both"/>
    </w:pPr>
    <w:rPr>
      <w:rFonts w:ascii="Times New Roman" w:eastAsia="Times New Roman" w:hAnsi="Times New Roman" w:cs="Times New Roman"/>
      <w:caps/>
      <w:szCs w:val="20"/>
    </w:rPr>
  </w:style>
  <w:style w:type="paragraph" w:styleId="ListBullet">
    <w:name w:val="List Bullet"/>
    <w:basedOn w:val="Normal"/>
    <w:pPr>
      <w:numPr>
        <w:numId w:val="3"/>
      </w:numPr>
      <w:spacing w:after="240"/>
      <w:jc w:val="both"/>
    </w:pPr>
    <w:rPr>
      <w:rFonts w:ascii="Times New Roman" w:eastAsia="Times New Roman" w:hAnsi="Times New Roman" w:cs="Times New Roman"/>
      <w:szCs w:val="20"/>
      <w:lang w:eastAsia="en-US" w:bidi="ar-SA"/>
    </w:rPr>
  </w:style>
  <w:style w:type="paragraph" w:customStyle="1" w:styleId="Contact">
    <w:name w:val="Contact"/>
    <w:basedOn w:val="Normal"/>
    <w:next w:val="Normal"/>
    <w:pPr>
      <w:spacing w:before="480"/>
      <w:ind w:left="567" w:hanging="567"/>
    </w:pPr>
    <w:rPr>
      <w:rFonts w:ascii="Times New Roman" w:eastAsia="Times New Roman" w:hAnsi="Times New Roman" w:cs="Times New Roman"/>
      <w:szCs w:val="20"/>
      <w:lang w:eastAsia="en-US" w:bidi="ar-SA"/>
    </w:rPr>
  </w:style>
  <w:style w:type="paragraph" w:customStyle="1" w:styleId="ListBullet1">
    <w:name w:val="List Bullet 1"/>
    <w:basedOn w:val="Normal"/>
    <w:pPr>
      <w:numPr>
        <w:numId w:val="4"/>
      </w:numPr>
      <w:spacing w:after="240"/>
      <w:jc w:val="both"/>
    </w:pPr>
    <w:rPr>
      <w:rFonts w:ascii="Times New Roman" w:eastAsia="Times New Roman" w:hAnsi="Times New Roman" w:cs="Times New Roman"/>
      <w:szCs w:val="20"/>
      <w:lang w:eastAsia="en-US" w:bidi="ar-SA"/>
    </w:rPr>
  </w:style>
  <w:style w:type="paragraph" w:styleId="ListBullet2">
    <w:name w:val="List Bullet 2"/>
    <w:basedOn w:val="Normal"/>
    <w:pPr>
      <w:numPr>
        <w:numId w:val="5"/>
      </w:numPr>
      <w:spacing w:after="240"/>
      <w:jc w:val="both"/>
    </w:pPr>
    <w:rPr>
      <w:rFonts w:ascii="Times New Roman" w:eastAsia="Times New Roman" w:hAnsi="Times New Roman" w:cs="Times New Roman"/>
      <w:szCs w:val="20"/>
      <w:lang w:eastAsia="en-US" w:bidi="ar-SA"/>
    </w:rPr>
  </w:style>
  <w:style w:type="paragraph" w:styleId="ListBullet3">
    <w:name w:val="List Bullet 3"/>
    <w:basedOn w:val="Normal"/>
    <w:pPr>
      <w:numPr>
        <w:numId w:val="6"/>
      </w:numPr>
      <w:spacing w:after="240"/>
      <w:jc w:val="both"/>
    </w:pPr>
    <w:rPr>
      <w:rFonts w:ascii="Times New Roman" w:eastAsia="Times New Roman" w:hAnsi="Times New Roman" w:cs="Times New Roman"/>
      <w:szCs w:val="20"/>
      <w:lang w:eastAsia="en-US" w:bidi="ar-SA"/>
    </w:rPr>
  </w:style>
  <w:style w:type="paragraph" w:styleId="ListBullet4">
    <w:name w:val="List Bullet 4"/>
    <w:basedOn w:val="Normal"/>
    <w:pPr>
      <w:numPr>
        <w:numId w:val="7"/>
      </w:numPr>
      <w:spacing w:after="240"/>
      <w:jc w:val="both"/>
    </w:pPr>
    <w:rPr>
      <w:rFonts w:ascii="Times New Roman" w:eastAsia="Times New Roman" w:hAnsi="Times New Roman" w:cs="Times New Roman"/>
      <w:szCs w:val="20"/>
      <w:lang w:eastAsia="en-US" w:bidi="ar-SA"/>
    </w:rPr>
  </w:style>
  <w:style w:type="paragraph" w:customStyle="1" w:styleId="ListDash">
    <w:name w:val="List Dash"/>
    <w:basedOn w:val="Normal"/>
    <w:pPr>
      <w:numPr>
        <w:numId w:val="8"/>
      </w:numPr>
      <w:spacing w:after="240"/>
      <w:jc w:val="both"/>
    </w:pPr>
    <w:rPr>
      <w:rFonts w:ascii="Times New Roman" w:eastAsia="Times New Roman" w:hAnsi="Times New Roman" w:cs="Times New Roman"/>
      <w:szCs w:val="20"/>
      <w:lang w:eastAsia="en-US" w:bidi="ar-SA"/>
    </w:rPr>
  </w:style>
  <w:style w:type="paragraph" w:customStyle="1" w:styleId="ListDash1">
    <w:name w:val="List Dash 1"/>
    <w:basedOn w:val="Normal"/>
    <w:pPr>
      <w:numPr>
        <w:numId w:val="9"/>
      </w:numPr>
      <w:spacing w:after="240"/>
      <w:jc w:val="both"/>
    </w:pPr>
    <w:rPr>
      <w:rFonts w:ascii="Times New Roman" w:eastAsia="Times New Roman" w:hAnsi="Times New Roman" w:cs="Times New Roman"/>
      <w:szCs w:val="20"/>
      <w:lang w:eastAsia="en-US" w:bidi="ar-SA"/>
    </w:rPr>
  </w:style>
  <w:style w:type="paragraph" w:customStyle="1" w:styleId="ListDash2">
    <w:name w:val="List Dash 2"/>
    <w:basedOn w:val="Normal"/>
    <w:pPr>
      <w:numPr>
        <w:numId w:val="10"/>
      </w:numPr>
      <w:spacing w:after="240"/>
      <w:jc w:val="both"/>
    </w:pPr>
    <w:rPr>
      <w:rFonts w:ascii="Times New Roman" w:eastAsia="Times New Roman" w:hAnsi="Times New Roman" w:cs="Times New Roman"/>
      <w:szCs w:val="20"/>
      <w:lang w:eastAsia="en-US" w:bidi="ar-SA"/>
    </w:rPr>
  </w:style>
  <w:style w:type="paragraph" w:customStyle="1" w:styleId="ListDash3">
    <w:name w:val="List Dash 3"/>
    <w:basedOn w:val="Normal"/>
    <w:pPr>
      <w:numPr>
        <w:numId w:val="11"/>
      </w:numPr>
      <w:spacing w:after="240"/>
      <w:jc w:val="both"/>
    </w:pPr>
    <w:rPr>
      <w:rFonts w:ascii="Times New Roman" w:eastAsia="Times New Roman" w:hAnsi="Times New Roman" w:cs="Times New Roman"/>
      <w:szCs w:val="20"/>
      <w:lang w:eastAsia="en-US" w:bidi="ar-SA"/>
    </w:rPr>
  </w:style>
  <w:style w:type="paragraph" w:customStyle="1" w:styleId="ListDash4">
    <w:name w:val="List Dash 4"/>
    <w:basedOn w:val="Normal"/>
    <w:pPr>
      <w:numPr>
        <w:numId w:val="12"/>
      </w:numPr>
      <w:spacing w:after="240"/>
      <w:jc w:val="both"/>
    </w:pPr>
    <w:rPr>
      <w:rFonts w:ascii="Times New Roman" w:eastAsia="Times New Roman" w:hAnsi="Times New Roman" w:cs="Times New Roman"/>
      <w:szCs w:val="20"/>
      <w:lang w:eastAsia="en-US" w:bidi="ar-SA"/>
    </w:rPr>
  </w:style>
  <w:style w:type="paragraph" w:styleId="ListNumber">
    <w:name w:val="List Number"/>
    <w:basedOn w:val="Normal"/>
    <w:pPr>
      <w:numPr>
        <w:numId w:val="13"/>
      </w:numPr>
      <w:spacing w:after="240"/>
      <w:jc w:val="both"/>
    </w:pPr>
    <w:rPr>
      <w:rFonts w:ascii="Times New Roman" w:eastAsia="Times New Roman" w:hAnsi="Times New Roman" w:cs="Times New Roman"/>
      <w:szCs w:val="20"/>
      <w:lang w:eastAsia="en-US" w:bidi="ar-SA"/>
    </w:rPr>
  </w:style>
  <w:style w:type="paragraph" w:customStyle="1" w:styleId="ListNumber1">
    <w:name w:val="List Number 1"/>
    <w:basedOn w:val="Normal"/>
    <w:pPr>
      <w:numPr>
        <w:numId w:val="14"/>
      </w:numPr>
      <w:spacing w:after="240"/>
      <w:jc w:val="both"/>
    </w:pPr>
    <w:rPr>
      <w:rFonts w:ascii="Times New Roman" w:eastAsia="Times New Roman" w:hAnsi="Times New Roman" w:cs="Times New Roman"/>
      <w:szCs w:val="20"/>
      <w:lang w:eastAsia="en-US" w:bidi="ar-SA"/>
    </w:rPr>
  </w:style>
  <w:style w:type="paragraph" w:styleId="ListNumber2">
    <w:name w:val="List Number 2"/>
    <w:basedOn w:val="Normal"/>
    <w:pPr>
      <w:numPr>
        <w:numId w:val="15"/>
      </w:numPr>
      <w:spacing w:after="240"/>
      <w:jc w:val="both"/>
    </w:pPr>
    <w:rPr>
      <w:rFonts w:ascii="Times New Roman" w:eastAsia="Times New Roman" w:hAnsi="Times New Roman" w:cs="Times New Roman"/>
      <w:szCs w:val="20"/>
      <w:lang w:eastAsia="en-US" w:bidi="ar-SA"/>
    </w:rPr>
  </w:style>
  <w:style w:type="paragraph" w:styleId="ListNumber3">
    <w:name w:val="List Number 3"/>
    <w:basedOn w:val="Normal"/>
    <w:pPr>
      <w:numPr>
        <w:numId w:val="16"/>
      </w:numPr>
      <w:spacing w:after="240"/>
      <w:jc w:val="both"/>
    </w:pPr>
    <w:rPr>
      <w:rFonts w:ascii="Times New Roman" w:eastAsia="Times New Roman" w:hAnsi="Times New Roman" w:cs="Times New Roman"/>
      <w:szCs w:val="20"/>
      <w:lang w:eastAsia="en-US" w:bidi="ar-SA"/>
    </w:rPr>
  </w:style>
  <w:style w:type="paragraph" w:styleId="ListNumber4">
    <w:name w:val="List Number 4"/>
    <w:basedOn w:val="Normal"/>
    <w:pPr>
      <w:numPr>
        <w:numId w:val="17"/>
      </w:numPr>
      <w:spacing w:after="240"/>
      <w:jc w:val="both"/>
    </w:pPr>
    <w:rPr>
      <w:rFonts w:ascii="Times New Roman" w:eastAsia="Times New Roman" w:hAnsi="Times New Roman" w:cs="Times New Roman"/>
      <w:szCs w:val="20"/>
      <w:lang w:eastAsia="en-US" w:bidi="ar-SA"/>
    </w:rPr>
  </w:style>
  <w:style w:type="paragraph" w:customStyle="1" w:styleId="ListNumberLevel2">
    <w:name w:val="List Number (Level 2)"/>
    <w:basedOn w:val="Normal"/>
    <w:pPr>
      <w:numPr>
        <w:ilvl w:val="1"/>
        <w:numId w:val="13"/>
      </w:numPr>
      <w:spacing w:after="240"/>
      <w:jc w:val="both"/>
    </w:pPr>
    <w:rPr>
      <w:rFonts w:ascii="Times New Roman" w:eastAsia="Times New Roman" w:hAnsi="Times New Roman" w:cs="Times New Roman"/>
      <w:szCs w:val="20"/>
      <w:lang w:eastAsia="en-US" w:bidi="ar-SA"/>
    </w:rPr>
  </w:style>
  <w:style w:type="paragraph" w:customStyle="1" w:styleId="ListNumber1Level2">
    <w:name w:val="List Number 1 (Level 2)"/>
    <w:basedOn w:val="Normal"/>
    <w:pPr>
      <w:numPr>
        <w:ilvl w:val="1"/>
        <w:numId w:val="14"/>
      </w:numPr>
      <w:spacing w:after="240"/>
      <w:jc w:val="both"/>
    </w:pPr>
    <w:rPr>
      <w:rFonts w:ascii="Times New Roman" w:eastAsia="Times New Roman" w:hAnsi="Times New Roman" w:cs="Times New Roman"/>
      <w:szCs w:val="20"/>
      <w:lang w:eastAsia="en-US" w:bidi="ar-SA"/>
    </w:rPr>
  </w:style>
  <w:style w:type="paragraph" w:customStyle="1" w:styleId="ListNumber2Level2">
    <w:name w:val="List Number 2 (Level 2)"/>
    <w:basedOn w:val="Normal"/>
    <w:pPr>
      <w:numPr>
        <w:ilvl w:val="1"/>
        <w:numId w:val="15"/>
      </w:numPr>
      <w:spacing w:after="240"/>
      <w:jc w:val="both"/>
    </w:pPr>
    <w:rPr>
      <w:rFonts w:ascii="Times New Roman" w:eastAsia="Times New Roman" w:hAnsi="Times New Roman" w:cs="Times New Roman"/>
      <w:szCs w:val="20"/>
      <w:lang w:eastAsia="en-US" w:bidi="ar-SA"/>
    </w:rPr>
  </w:style>
  <w:style w:type="paragraph" w:customStyle="1" w:styleId="ListNumber3Level2">
    <w:name w:val="List Number 3 (Level 2)"/>
    <w:basedOn w:val="Normal"/>
    <w:pPr>
      <w:numPr>
        <w:ilvl w:val="1"/>
        <w:numId w:val="16"/>
      </w:numPr>
      <w:spacing w:after="240"/>
      <w:jc w:val="both"/>
    </w:pPr>
    <w:rPr>
      <w:rFonts w:ascii="Times New Roman" w:eastAsia="Times New Roman" w:hAnsi="Times New Roman" w:cs="Times New Roman"/>
      <w:szCs w:val="20"/>
      <w:lang w:eastAsia="en-US" w:bidi="ar-SA"/>
    </w:rPr>
  </w:style>
  <w:style w:type="paragraph" w:customStyle="1" w:styleId="ListNumber4Level2">
    <w:name w:val="List Number 4 (Level 2)"/>
    <w:basedOn w:val="Normal"/>
    <w:pPr>
      <w:numPr>
        <w:ilvl w:val="1"/>
        <w:numId w:val="17"/>
      </w:numPr>
      <w:spacing w:after="240"/>
      <w:jc w:val="both"/>
    </w:pPr>
    <w:rPr>
      <w:rFonts w:ascii="Times New Roman" w:eastAsia="Times New Roman" w:hAnsi="Times New Roman" w:cs="Times New Roman"/>
      <w:szCs w:val="20"/>
      <w:lang w:eastAsia="en-US" w:bidi="ar-SA"/>
    </w:rPr>
  </w:style>
  <w:style w:type="paragraph" w:customStyle="1" w:styleId="ListNumberLevel3">
    <w:name w:val="List Number (Level 3)"/>
    <w:basedOn w:val="Normal"/>
    <w:pPr>
      <w:numPr>
        <w:ilvl w:val="2"/>
        <w:numId w:val="13"/>
      </w:numPr>
      <w:spacing w:after="240"/>
      <w:jc w:val="both"/>
    </w:pPr>
    <w:rPr>
      <w:rFonts w:ascii="Times New Roman" w:eastAsia="Times New Roman" w:hAnsi="Times New Roman" w:cs="Times New Roman"/>
      <w:szCs w:val="20"/>
      <w:lang w:eastAsia="en-US" w:bidi="ar-SA"/>
    </w:rPr>
  </w:style>
  <w:style w:type="paragraph" w:customStyle="1" w:styleId="ListNumber1Level3">
    <w:name w:val="List Number 1 (Level 3)"/>
    <w:basedOn w:val="Normal"/>
    <w:pPr>
      <w:numPr>
        <w:ilvl w:val="2"/>
        <w:numId w:val="14"/>
      </w:numPr>
      <w:spacing w:after="240"/>
      <w:jc w:val="both"/>
    </w:pPr>
    <w:rPr>
      <w:rFonts w:ascii="Times New Roman" w:eastAsia="Times New Roman" w:hAnsi="Times New Roman" w:cs="Times New Roman"/>
      <w:szCs w:val="20"/>
      <w:lang w:eastAsia="en-US" w:bidi="ar-SA"/>
    </w:rPr>
  </w:style>
  <w:style w:type="paragraph" w:customStyle="1" w:styleId="ListNumber2Level3">
    <w:name w:val="List Number 2 (Level 3)"/>
    <w:basedOn w:val="Normal"/>
    <w:pPr>
      <w:numPr>
        <w:ilvl w:val="2"/>
        <w:numId w:val="15"/>
      </w:numPr>
      <w:spacing w:after="240"/>
      <w:jc w:val="both"/>
    </w:pPr>
    <w:rPr>
      <w:rFonts w:ascii="Times New Roman" w:eastAsia="Times New Roman" w:hAnsi="Times New Roman" w:cs="Times New Roman"/>
      <w:szCs w:val="20"/>
      <w:lang w:eastAsia="en-US" w:bidi="ar-SA"/>
    </w:rPr>
  </w:style>
  <w:style w:type="paragraph" w:customStyle="1" w:styleId="ListNumber3Level3">
    <w:name w:val="List Number 3 (Level 3)"/>
    <w:basedOn w:val="Normal"/>
    <w:pPr>
      <w:numPr>
        <w:ilvl w:val="2"/>
        <w:numId w:val="16"/>
      </w:numPr>
      <w:spacing w:after="240"/>
      <w:jc w:val="both"/>
    </w:pPr>
    <w:rPr>
      <w:rFonts w:ascii="Times New Roman" w:eastAsia="Times New Roman" w:hAnsi="Times New Roman" w:cs="Times New Roman"/>
      <w:szCs w:val="20"/>
      <w:lang w:eastAsia="en-US" w:bidi="ar-SA"/>
    </w:rPr>
  </w:style>
  <w:style w:type="paragraph" w:customStyle="1" w:styleId="ListNumber4Level3">
    <w:name w:val="List Number 4 (Level 3)"/>
    <w:basedOn w:val="Normal"/>
    <w:pPr>
      <w:numPr>
        <w:ilvl w:val="2"/>
        <w:numId w:val="17"/>
      </w:numPr>
      <w:spacing w:after="240"/>
      <w:jc w:val="both"/>
    </w:pPr>
    <w:rPr>
      <w:rFonts w:ascii="Times New Roman" w:eastAsia="Times New Roman" w:hAnsi="Times New Roman" w:cs="Times New Roman"/>
      <w:szCs w:val="20"/>
      <w:lang w:eastAsia="en-US" w:bidi="ar-SA"/>
    </w:rPr>
  </w:style>
  <w:style w:type="paragraph" w:customStyle="1" w:styleId="ListNumberLevel4">
    <w:name w:val="List Number (Level 4)"/>
    <w:basedOn w:val="Normal"/>
    <w:pPr>
      <w:numPr>
        <w:ilvl w:val="3"/>
        <w:numId w:val="13"/>
      </w:numPr>
      <w:spacing w:after="240"/>
      <w:jc w:val="both"/>
    </w:pPr>
    <w:rPr>
      <w:rFonts w:ascii="Times New Roman" w:eastAsia="Times New Roman" w:hAnsi="Times New Roman" w:cs="Times New Roman"/>
      <w:szCs w:val="20"/>
      <w:lang w:eastAsia="en-US" w:bidi="ar-SA"/>
    </w:rPr>
  </w:style>
  <w:style w:type="paragraph" w:customStyle="1" w:styleId="ListNumber1Level4">
    <w:name w:val="List Number 1 (Level 4)"/>
    <w:basedOn w:val="Normal"/>
    <w:pPr>
      <w:numPr>
        <w:ilvl w:val="3"/>
        <w:numId w:val="14"/>
      </w:numPr>
      <w:spacing w:after="240"/>
      <w:jc w:val="both"/>
    </w:pPr>
    <w:rPr>
      <w:rFonts w:ascii="Times New Roman" w:eastAsia="Times New Roman" w:hAnsi="Times New Roman" w:cs="Times New Roman"/>
      <w:szCs w:val="20"/>
      <w:lang w:eastAsia="en-US" w:bidi="ar-SA"/>
    </w:rPr>
  </w:style>
  <w:style w:type="paragraph" w:customStyle="1" w:styleId="ListNumber2Level4">
    <w:name w:val="List Number 2 (Level 4)"/>
    <w:basedOn w:val="Normal"/>
    <w:pPr>
      <w:numPr>
        <w:ilvl w:val="3"/>
        <w:numId w:val="15"/>
      </w:numPr>
      <w:spacing w:after="240"/>
      <w:jc w:val="both"/>
    </w:pPr>
    <w:rPr>
      <w:rFonts w:ascii="Times New Roman" w:eastAsia="Times New Roman" w:hAnsi="Times New Roman" w:cs="Times New Roman"/>
      <w:szCs w:val="20"/>
      <w:lang w:eastAsia="en-US" w:bidi="ar-SA"/>
    </w:rPr>
  </w:style>
  <w:style w:type="paragraph" w:customStyle="1" w:styleId="ListNumber3Level4">
    <w:name w:val="List Number 3 (Level 4)"/>
    <w:basedOn w:val="Normal"/>
    <w:pPr>
      <w:numPr>
        <w:ilvl w:val="3"/>
        <w:numId w:val="16"/>
      </w:numPr>
      <w:spacing w:after="240"/>
      <w:jc w:val="both"/>
    </w:pPr>
    <w:rPr>
      <w:rFonts w:ascii="Times New Roman" w:eastAsia="Times New Roman" w:hAnsi="Times New Roman" w:cs="Times New Roman"/>
      <w:szCs w:val="20"/>
      <w:lang w:eastAsia="en-US" w:bidi="ar-SA"/>
    </w:rPr>
  </w:style>
  <w:style w:type="paragraph" w:customStyle="1" w:styleId="ListNumber4Level4">
    <w:name w:val="List Number 4 (Level 4)"/>
    <w:basedOn w:val="Normal"/>
    <w:pPr>
      <w:numPr>
        <w:ilvl w:val="3"/>
        <w:numId w:val="17"/>
      </w:numPr>
      <w:spacing w:after="240"/>
      <w:jc w:val="both"/>
    </w:pPr>
    <w:rPr>
      <w:rFonts w:ascii="Times New Roman" w:eastAsia="Times New Roman" w:hAnsi="Times New Roman" w:cs="Times New Roman"/>
      <w:szCs w:val="20"/>
      <w:lang w:eastAsia="en-US" w:bidi="ar-SA"/>
    </w:rPr>
  </w:style>
  <w:style w:type="paragraph" w:styleId="TOC5">
    <w:name w:val="toc 5"/>
    <w:basedOn w:val="Normal"/>
    <w:next w:val="Normal"/>
    <w:semiHidden/>
    <w:pPr>
      <w:tabs>
        <w:tab w:val="right" w:leader="dot" w:pos="8641"/>
      </w:tabs>
      <w:spacing w:before="240" w:after="120"/>
      <w:ind w:right="720"/>
      <w:jc w:val="both"/>
    </w:pPr>
    <w:rPr>
      <w:rFonts w:ascii="Times New Roman" w:eastAsia="Times New Roman" w:hAnsi="Times New Roman" w:cs="Times New Roman"/>
      <w:caps/>
      <w:szCs w:val="20"/>
      <w:lang w:eastAsia="en-US" w:bidi="ar-SA"/>
    </w:rPr>
  </w:style>
  <w:style w:type="paragraph" w:styleId="TOC2">
    <w:name w:val="toc 2"/>
    <w:basedOn w:val="Normal"/>
    <w:next w:val="Normal"/>
    <w:semiHidden/>
    <w:pPr>
      <w:tabs>
        <w:tab w:val="right" w:leader="dot" w:pos="8640"/>
      </w:tabs>
      <w:spacing w:before="60" w:after="60"/>
      <w:ind w:left="1077" w:right="720" w:hanging="595"/>
      <w:jc w:val="both"/>
    </w:pPr>
    <w:rPr>
      <w:rFonts w:ascii="Times New Roman" w:eastAsia="Times New Roman" w:hAnsi="Times New Roman" w:cs="Times New Roman"/>
      <w:szCs w:val="20"/>
    </w:rPr>
  </w:style>
  <w:style w:type="paragraph" w:styleId="TOC3">
    <w:name w:val="toc 3"/>
    <w:basedOn w:val="Normal"/>
    <w:next w:val="Normal"/>
    <w:semiHidden/>
    <w:pPr>
      <w:tabs>
        <w:tab w:val="right" w:leader="dot" w:pos="8640"/>
      </w:tabs>
      <w:spacing w:before="60" w:after="60"/>
      <w:ind w:left="1916" w:right="720" w:hanging="839"/>
      <w:jc w:val="both"/>
    </w:pPr>
    <w:rPr>
      <w:rFonts w:ascii="Times New Roman" w:eastAsia="Times New Roman" w:hAnsi="Times New Roman" w:cs="Times New Roman"/>
      <w:szCs w:val="20"/>
    </w:rPr>
  </w:style>
  <w:style w:type="paragraph" w:styleId="TOC4">
    <w:name w:val="toc 4"/>
    <w:basedOn w:val="Normal"/>
    <w:next w:val="Normal"/>
    <w:semiHidden/>
    <w:pPr>
      <w:tabs>
        <w:tab w:val="right" w:leader="dot" w:pos="8641"/>
      </w:tabs>
      <w:spacing w:before="60" w:after="60"/>
      <w:ind w:left="2880" w:right="720" w:hanging="964"/>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sv-S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imes New Roman" w:eastAsiaTheme="majorEastAsia" w:hAnsi="Times New Roman" w:cs="Times New Roman"/>
      <w:b/>
      <w:bCs/>
      <w:small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Pr>
      <w:rFonts w:ascii="Calibri" w:eastAsia="Calibri" w:hAnsi="Calibri" w:cs="Times New Roman"/>
      <w:sz w:val="22"/>
      <w:szCs w:val="22"/>
    </w:rPr>
  </w:style>
  <w:style w:type="paragraph" w:styleId="FootnoteText">
    <w:name w:val="footnote text"/>
    <w:aliases w:val="Footnote Text Char Char,Footnote text,Footnote Text Char2 Char,Footnote Text Char1 Char1 Char,Footnote Text Char2 Char Char Char,Footnote Text Char1 Char1 Char Char Char,Plonk,fn,fn Char Char,Footnote Text Char Char Cha"/>
    <w:basedOn w:val="Normal"/>
    <w:link w:val="FootnoteTextChar"/>
    <w:uiPriority w:val="99"/>
    <w:semiHidden/>
    <w:pPr>
      <w:spacing w:after="240"/>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
    <w:basedOn w:val="DefaultParagraphFont"/>
    <w:link w:val="FootnoteText"/>
    <w:uiPriority w:val="99"/>
    <w:semiHidden/>
    <w:rPr>
      <w:rFonts w:ascii="Times New Roman" w:eastAsia="Times New Roman" w:hAnsi="Times New Roman" w:cs="Times New Roman"/>
      <w:sz w:val="20"/>
      <w:szCs w:val="20"/>
      <w:lang w:val="sv-SE" w:eastAsia="sv-SE"/>
    </w:rPr>
  </w:style>
  <w:style w:type="character" w:styleId="FootnoteReference">
    <w:name w:val="footnote reference"/>
    <w:aliases w:val="Footnote symbol,Footnote Reference Number,Footnote Reference_LVL6,Footnote Reference_LVL61,Footnote Reference_LVL62,Footnote Reference_LVL63,Footnote Reference_LVL64,Ref,de nota al pie,BVI fnr,Footnote Reference Superscript"/>
    <w:unhideWhenUsed/>
    <w:qFormat/>
    <w:rPr>
      <w:vertAlign w:val="superscript"/>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eastAsiaTheme="minorHAnsi" w:hAnsi="Times New Roman" w:cs="Times New Roman"/>
      <w:szCs w:val="22"/>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hAnsi="Times New Roman" w:cs="Times New Roman"/>
    </w:rPr>
  </w:style>
  <w:style w:type="character" w:customStyle="1" w:styleId="FooterCoverPageChar">
    <w:name w:val="Footer Cover Page Char"/>
    <w:basedOn w:val="DefaultParagraphFont"/>
    <w:link w:val="FooterCoverPage"/>
    <w:rPr>
      <w:rFonts w:ascii="Times New Roman" w:hAnsi="Times New Roman" w:cs="Times New Roman"/>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hAnsi="Times New Roman" w:cs="Times New Roman"/>
    </w:rPr>
  </w:style>
  <w:style w:type="character" w:customStyle="1" w:styleId="HeaderCoverPageChar">
    <w:name w:val="Header Cover Page Char"/>
    <w:basedOn w:val="DefaultParagraphFont"/>
    <w:link w:val="HeaderCoverPage"/>
    <w:rPr>
      <w:rFonts w:ascii="Times New Roman" w:hAnsi="Times New Roman" w:cs="Times New Roman"/>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8"/>
      <w:szCs w:val="28"/>
      <w:lang w:val="sv-SE"/>
    </w:rPr>
  </w:style>
  <w:style w:type="paragraph" w:styleId="TOCHeading">
    <w:name w:val="TOC Heading"/>
    <w:basedOn w:val="Normal"/>
    <w:next w:val="Normal"/>
    <w:qFormat/>
    <w:pPr>
      <w:keepNext/>
      <w:spacing w:before="240" w:after="240"/>
      <w:jc w:val="center"/>
    </w:pPr>
    <w:rPr>
      <w:rFonts w:ascii="Times New Roman" w:eastAsia="Times New Roman" w:hAnsi="Times New Roman" w:cs="Times New Roman"/>
      <w:b/>
      <w:szCs w:val="20"/>
      <w:lang w:eastAsia="en-US" w:bidi="ar-SA"/>
    </w:rPr>
  </w:style>
  <w:style w:type="paragraph" w:customStyle="1" w:styleId="Titreobjet">
    <w:name w:val="Titre objet"/>
    <w:basedOn w:val="Normal"/>
    <w:next w:val="Normal"/>
    <w:pPr>
      <w:spacing w:before="360" w:after="360"/>
      <w:jc w:val="center"/>
    </w:pPr>
    <w:rPr>
      <w:rFonts w:ascii="Times New Roman" w:eastAsia="Times New Roman" w:hAnsi="Times New Roman" w:cs="Times New Roman"/>
      <w:b/>
      <w:szCs w:val="22"/>
    </w:rPr>
  </w:style>
  <w:style w:type="paragraph" w:customStyle="1" w:styleId="Typedudocument">
    <w:name w:val="Type du document"/>
    <w:basedOn w:val="Normal"/>
    <w:next w:val="Titreobjet"/>
    <w:pPr>
      <w:spacing w:before="360"/>
      <w:jc w:val="center"/>
    </w:pPr>
    <w:rPr>
      <w:rFonts w:ascii="Times New Roman" w:eastAsia="Times New Roman" w:hAnsi="Times New Roman" w:cs="Times New Roman"/>
      <w:b/>
      <w:szCs w:val="22"/>
    </w:rPr>
  </w:style>
  <w:style w:type="paragraph" w:customStyle="1" w:styleId="IntrtEEE">
    <w:name w:val="Intérêt EEE"/>
    <w:basedOn w:val="Normal"/>
    <w:next w:val="Normal"/>
    <w:pPr>
      <w:spacing w:before="360" w:after="240"/>
      <w:jc w:val="center"/>
    </w:pPr>
    <w:rPr>
      <w:rFonts w:ascii="Times New Roman" w:eastAsia="Times New Roman" w:hAnsi="Times New Roman" w:cs="Times New Roman"/>
      <w:szCs w:val="22"/>
    </w:rPr>
  </w:style>
  <w:style w:type="paragraph" w:styleId="TOC1">
    <w:name w:val="toc 1"/>
    <w:basedOn w:val="Normal"/>
    <w:next w:val="Normal"/>
    <w:uiPriority w:val="39"/>
    <w:pPr>
      <w:tabs>
        <w:tab w:val="right" w:leader="dot" w:pos="8640"/>
      </w:tabs>
      <w:spacing w:before="120" w:after="120"/>
      <w:ind w:left="482" w:right="720" w:hanging="482"/>
      <w:jc w:val="both"/>
    </w:pPr>
    <w:rPr>
      <w:rFonts w:ascii="Times New Roman" w:eastAsia="Times New Roman" w:hAnsi="Times New Roman" w:cs="Times New Roman"/>
      <w:caps/>
      <w:szCs w:val="20"/>
    </w:rPr>
  </w:style>
  <w:style w:type="paragraph" w:styleId="ListBullet">
    <w:name w:val="List Bullet"/>
    <w:basedOn w:val="Normal"/>
    <w:pPr>
      <w:numPr>
        <w:numId w:val="3"/>
      </w:numPr>
      <w:spacing w:after="240"/>
      <w:jc w:val="both"/>
    </w:pPr>
    <w:rPr>
      <w:rFonts w:ascii="Times New Roman" w:eastAsia="Times New Roman" w:hAnsi="Times New Roman" w:cs="Times New Roman"/>
      <w:szCs w:val="20"/>
      <w:lang w:eastAsia="en-US" w:bidi="ar-SA"/>
    </w:rPr>
  </w:style>
  <w:style w:type="paragraph" w:customStyle="1" w:styleId="Contact">
    <w:name w:val="Contact"/>
    <w:basedOn w:val="Normal"/>
    <w:next w:val="Normal"/>
    <w:pPr>
      <w:spacing w:before="480"/>
      <w:ind w:left="567" w:hanging="567"/>
    </w:pPr>
    <w:rPr>
      <w:rFonts w:ascii="Times New Roman" w:eastAsia="Times New Roman" w:hAnsi="Times New Roman" w:cs="Times New Roman"/>
      <w:szCs w:val="20"/>
      <w:lang w:eastAsia="en-US" w:bidi="ar-SA"/>
    </w:rPr>
  </w:style>
  <w:style w:type="paragraph" w:customStyle="1" w:styleId="ListBullet1">
    <w:name w:val="List Bullet 1"/>
    <w:basedOn w:val="Normal"/>
    <w:pPr>
      <w:numPr>
        <w:numId w:val="4"/>
      </w:numPr>
      <w:spacing w:after="240"/>
      <w:jc w:val="both"/>
    </w:pPr>
    <w:rPr>
      <w:rFonts w:ascii="Times New Roman" w:eastAsia="Times New Roman" w:hAnsi="Times New Roman" w:cs="Times New Roman"/>
      <w:szCs w:val="20"/>
      <w:lang w:eastAsia="en-US" w:bidi="ar-SA"/>
    </w:rPr>
  </w:style>
  <w:style w:type="paragraph" w:styleId="ListBullet2">
    <w:name w:val="List Bullet 2"/>
    <w:basedOn w:val="Normal"/>
    <w:pPr>
      <w:numPr>
        <w:numId w:val="5"/>
      </w:numPr>
      <w:spacing w:after="240"/>
      <w:jc w:val="both"/>
    </w:pPr>
    <w:rPr>
      <w:rFonts w:ascii="Times New Roman" w:eastAsia="Times New Roman" w:hAnsi="Times New Roman" w:cs="Times New Roman"/>
      <w:szCs w:val="20"/>
      <w:lang w:eastAsia="en-US" w:bidi="ar-SA"/>
    </w:rPr>
  </w:style>
  <w:style w:type="paragraph" w:styleId="ListBullet3">
    <w:name w:val="List Bullet 3"/>
    <w:basedOn w:val="Normal"/>
    <w:pPr>
      <w:numPr>
        <w:numId w:val="6"/>
      </w:numPr>
      <w:spacing w:after="240"/>
      <w:jc w:val="both"/>
    </w:pPr>
    <w:rPr>
      <w:rFonts w:ascii="Times New Roman" w:eastAsia="Times New Roman" w:hAnsi="Times New Roman" w:cs="Times New Roman"/>
      <w:szCs w:val="20"/>
      <w:lang w:eastAsia="en-US" w:bidi="ar-SA"/>
    </w:rPr>
  </w:style>
  <w:style w:type="paragraph" w:styleId="ListBullet4">
    <w:name w:val="List Bullet 4"/>
    <w:basedOn w:val="Normal"/>
    <w:pPr>
      <w:numPr>
        <w:numId w:val="7"/>
      </w:numPr>
      <w:spacing w:after="240"/>
      <w:jc w:val="both"/>
    </w:pPr>
    <w:rPr>
      <w:rFonts w:ascii="Times New Roman" w:eastAsia="Times New Roman" w:hAnsi="Times New Roman" w:cs="Times New Roman"/>
      <w:szCs w:val="20"/>
      <w:lang w:eastAsia="en-US" w:bidi="ar-SA"/>
    </w:rPr>
  </w:style>
  <w:style w:type="paragraph" w:customStyle="1" w:styleId="ListDash">
    <w:name w:val="List Dash"/>
    <w:basedOn w:val="Normal"/>
    <w:pPr>
      <w:numPr>
        <w:numId w:val="8"/>
      </w:numPr>
      <w:spacing w:after="240"/>
      <w:jc w:val="both"/>
    </w:pPr>
    <w:rPr>
      <w:rFonts w:ascii="Times New Roman" w:eastAsia="Times New Roman" w:hAnsi="Times New Roman" w:cs="Times New Roman"/>
      <w:szCs w:val="20"/>
      <w:lang w:eastAsia="en-US" w:bidi="ar-SA"/>
    </w:rPr>
  </w:style>
  <w:style w:type="paragraph" w:customStyle="1" w:styleId="ListDash1">
    <w:name w:val="List Dash 1"/>
    <w:basedOn w:val="Normal"/>
    <w:pPr>
      <w:numPr>
        <w:numId w:val="9"/>
      </w:numPr>
      <w:spacing w:after="240"/>
      <w:jc w:val="both"/>
    </w:pPr>
    <w:rPr>
      <w:rFonts w:ascii="Times New Roman" w:eastAsia="Times New Roman" w:hAnsi="Times New Roman" w:cs="Times New Roman"/>
      <w:szCs w:val="20"/>
      <w:lang w:eastAsia="en-US" w:bidi="ar-SA"/>
    </w:rPr>
  </w:style>
  <w:style w:type="paragraph" w:customStyle="1" w:styleId="ListDash2">
    <w:name w:val="List Dash 2"/>
    <w:basedOn w:val="Normal"/>
    <w:pPr>
      <w:numPr>
        <w:numId w:val="10"/>
      </w:numPr>
      <w:spacing w:after="240"/>
      <w:jc w:val="both"/>
    </w:pPr>
    <w:rPr>
      <w:rFonts w:ascii="Times New Roman" w:eastAsia="Times New Roman" w:hAnsi="Times New Roman" w:cs="Times New Roman"/>
      <w:szCs w:val="20"/>
      <w:lang w:eastAsia="en-US" w:bidi="ar-SA"/>
    </w:rPr>
  </w:style>
  <w:style w:type="paragraph" w:customStyle="1" w:styleId="ListDash3">
    <w:name w:val="List Dash 3"/>
    <w:basedOn w:val="Normal"/>
    <w:pPr>
      <w:numPr>
        <w:numId w:val="11"/>
      </w:numPr>
      <w:spacing w:after="240"/>
      <w:jc w:val="both"/>
    </w:pPr>
    <w:rPr>
      <w:rFonts w:ascii="Times New Roman" w:eastAsia="Times New Roman" w:hAnsi="Times New Roman" w:cs="Times New Roman"/>
      <w:szCs w:val="20"/>
      <w:lang w:eastAsia="en-US" w:bidi="ar-SA"/>
    </w:rPr>
  </w:style>
  <w:style w:type="paragraph" w:customStyle="1" w:styleId="ListDash4">
    <w:name w:val="List Dash 4"/>
    <w:basedOn w:val="Normal"/>
    <w:pPr>
      <w:numPr>
        <w:numId w:val="12"/>
      </w:numPr>
      <w:spacing w:after="240"/>
      <w:jc w:val="both"/>
    </w:pPr>
    <w:rPr>
      <w:rFonts w:ascii="Times New Roman" w:eastAsia="Times New Roman" w:hAnsi="Times New Roman" w:cs="Times New Roman"/>
      <w:szCs w:val="20"/>
      <w:lang w:eastAsia="en-US" w:bidi="ar-SA"/>
    </w:rPr>
  </w:style>
  <w:style w:type="paragraph" w:styleId="ListNumber">
    <w:name w:val="List Number"/>
    <w:basedOn w:val="Normal"/>
    <w:pPr>
      <w:numPr>
        <w:numId w:val="13"/>
      </w:numPr>
      <w:spacing w:after="240"/>
      <w:jc w:val="both"/>
    </w:pPr>
    <w:rPr>
      <w:rFonts w:ascii="Times New Roman" w:eastAsia="Times New Roman" w:hAnsi="Times New Roman" w:cs="Times New Roman"/>
      <w:szCs w:val="20"/>
      <w:lang w:eastAsia="en-US" w:bidi="ar-SA"/>
    </w:rPr>
  </w:style>
  <w:style w:type="paragraph" w:customStyle="1" w:styleId="ListNumber1">
    <w:name w:val="List Number 1"/>
    <w:basedOn w:val="Normal"/>
    <w:pPr>
      <w:numPr>
        <w:numId w:val="14"/>
      </w:numPr>
      <w:spacing w:after="240"/>
      <w:jc w:val="both"/>
    </w:pPr>
    <w:rPr>
      <w:rFonts w:ascii="Times New Roman" w:eastAsia="Times New Roman" w:hAnsi="Times New Roman" w:cs="Times New Roman"/>
      <w:szCs w:val="20"/>
      <w:lang w:eastAsia="en-US" w:bidi="ar-SA"/>
    </w:rPr>
  </w:style>
  <w:style w:type="paragraph" w:styleId="ListNumber2">
    <w:name w:val="List Number 2"/>
    <w:basedOn w:val="Normal"/>
    <w:pPr>
      <w:numPr>
        <w:numId w:val="15"/>
      </w:numPr>
      <w:spacing w:after="240"/>
      <w:jc w:val="both"/>
    </w:pPr>
    <w:rPr>
      <w:rFonts w:ascii="Times New Roman" w:eastAsia="Times New Roman" w:hAnsi="Times New Roman" w:cs="Times New Roman"/>
      <w:szCs w:val="20"/>
      <w:lang w:eastAsia="en-US" w:bidi="ar-SA"/>
    </w:rPr>
  </w:style>
  <w:style w:type="paragraph" w:styleId="ListNumber3">
    <w:name w:val="List Number 3"/>
    <w:basedOn w:val="Normal"/>
    <w:pPr>
      <w:numPr>
        <w:numId w:val="16"/>
      </w:numPr>
      <w:spacing w:after="240"/>
      <w:jc w:val="both"/>
    </w:pPr>
    <w:rPr>
      <w:rFonts w:ascii="Times New Roman" w:eastAsia="Times New Roman" w:hAnsi="Times New Roman" w:cs="Times New Roman"/>
      <w:szCs w:val="20"/>
      <w:lang w:eastAsia="en-US" w:bidi="ar-SA"/>
    </w:rPr>
  </w:style>
  <w:style w:type="paragraph" w:styleId="ListNumber4">
    <w:name w:val="List Number 4"/>
    <w:basedOn w:val="Normal"/>
    <w:pPr>
      <w:numPr>
        <w:numId w:val="17"/>
      </w:numPr>
      <w:spacing w:after="240"/>
      <w:jc w:val="both"/>
    </w:pPr>
    <w:rPr>
      <w:rFonts w:ascii="Times New Roman" w:eastAsia="Times New Roman" w:hAnsi="Times New Roman" w:cs="Times New Roman"/>
      <w:szCs w:val="20"/>
      <w:lang w:eastAsia="en-US" w:bidi="ar-SA"/>
    </w:rPr>
  </w:style>
  <w:style w:type="paragraph" w:customStyle="1" w:styleId="ListNumberLevel2">
    <w:name w:val="List Number (Level 2)"/>
    <w:basedOn w:val="Normal"/>
    <w:pPr>
      <w:numPr>
        <w:ilvl w:val="1"/>
        <w:numId w:val="13"/>
      </w:numPr>
      <w:spacing w:after="240"/>
      <w:jc w:val="both"/>
    </w:pPr>
    <w:rPr>
      <w:rFonts w:ascii="Times New Roman" w:eastAsia="Times New Roman" w:hAnsi="Times New Roman" w:cs="Times New Roman"/>
      <w:szCs w:val="20"/>
      <w:lang w:eastAsia="en-US" w:bidi="ar-SA"/>
    </w:rPr>
  </w:style>
  <w:style w:type="paragraph" w:customStyle="1" w:styleId="ListNumber1Level2">
    <w:name w:val="List Number 1 (Level 2)"/>
    <w:basedOn w:val="Normal"/>
    <w:pPr>
      <w:numPr>
        <w:ilvl w:val="1"/>
        <w:numId w:val="14"/>
      </w:numPr>
      <w:spacing w:after="240"/>
      <w:jc w:val="both"/>
    </w:pPr>
    <w:rPr>
      <w:rFonts w:ascii="Times New Roman" w:eastAsia="Times New Roman" w:hAnsi="Times New Roman" w:cs="Times New Roman"/>
      <w:szCs w:val="20"/>
      <w:lang w:eastAsia="en-US" w:bidi="ar-SA"/>
    </w:rPr>
  </w:style>
  <w:style w:type="paragraph" w:customStyle="1" w:styleId="ListNumber2Level2">
    <w:name w:val="List Number 2 (Level 2)"/>
    <w:basedOn w:val="Normal"/>
    <w:pPr>
      <w:numPr>
        <w:ilvl w:val="1"/>
        <w:numId w:val="15"/>
      </w:numPr>
      <w:spacing w:after="240"/>
      <w:jc w:val="both"/>
    </w:pPr>
    <w:rPr>
      <w:rFonts w:ascii="Times New Roman" w:eastAsia="Times New Roman" w:hAnsi="Times New Roman" w:cs="Times New Roman"/>
      <w:szCs w:val="20"/>
      <w:lang w:eastAsia="en-US" w:bidi="ar-SA"/>
    </w:rPr>
  </w:style>
  <w:style w:type="paragraph" w:customStyle="1" w:styleId="ListNumber3Level2">
    <w:name w:val="List Number 3 (Level 2)"/>
    <w:basedOn w:val="Normal"/>
    <w:pPr>
      <w:numPr>
        <w:ilvl w:val="1"/>
        <w:numId w:val="16"/>
      </w:numPr>
      <w:spacing w:after="240"/>
      <w:jc w:val="both"/>
    </w:pPr>
    <w:rPr>
      <w:rFonts w:ascii="Times New Roman" w:eastAsia="Times New Roman" w:hAnsi="Times New Roman" w:cs="Times New Roman"/>
      <w:szCs w:val="20"/>
      <w:lang w:eastAsia="en-US" w:bidi="ar-SA"/>
    </w:rPr>
  </w:style>
  <w:style w:type="paragraph" w:customStyle="1" w:styleId="ListNumber4Level2">
    <w:name w:val="List Number 4 (Level 2)"/>
    <w:basedOn w:val="Normal"/>
    <w:pPr>
      <w:numPr>
        <w:ilvl w:val="1"/>
        <w:numId w:val="17"/>
      </w:numPr>
      <w:spacing w:after="240"/>
      <w:jc w:val="both"/>
    </w:pPr>
    <w:rPr>
      <w:rFonts w:ascii="Times New Roman" w:eastAsia="Times New Roman" w:hAnsi="Times New Roman" w:cs="Times New Roman"/>
      <w:szCs w:val="20"/>
      <w:lang w:eastAsia="en-US" w:bidi="ar-SA"/>
    </w:rPr>
  </w:style>
  <w:style w:type="paragraph" w:customStyle="1" w:styleId="ListNumberLevel3">
    <w:name w:val="List Number (Level 3)"/>
    <w:basedOn w:val="Normal"/>
    <w:pPr>
      <w:numPr>
        <w:ilvl w:val="2"/>
        <w:numId w:val="13"/>
      </w:numPr>
      <w:spacing w:after="240"/>
      <w:jc w:val="both"/>
    </w:pPr>
    <w:rPr>
      <w:rFonts w:ascii="Times New Roman" w:eastAsia="Times New Roman" w:hAnsi="Times New Roman" w:cs="Times New Roman"/>
      <w:szCs w:val="20"/>
      <w:lang w:eastAsia="en-US" w:bidi="ar-SA"/>
    </w:rPr>
  </w:style>
  <w:style w:type="paragraph" w:customStyle="1" w:styleId="ListNumber1Level3">
    <w:name w:val="List Number 1 (Level 3)"/>
    <w:basedOn w:val="Normal"/>
    <w:pPr>
      <w:numPr>
        <w:ilvl w:val="2"/>
        <w:numId w:val="14"/>
      </w:numPr>
      <w:spacing w:after="240"/>
      <w:jc w:val="both"/>
    </w:pPr>
    <w:rPr>
      <w:rFonts w:ascii="Times New Roman" w:eastAsia="Times New Roman" w:hAnsi="Times New Roman" w:cs="Times New Roman"/>
      <w:szCs w:val="20"/>
      <w:lang w:eastAsia="en-US" w:bidi="ar-SA"/>
    </w:rPr>
  </w:style>
  <w:style w:type="paragraph" w:customStyle="1" w:styleId="ListNumber2Level3">
    <w:name w:val="List Number 2 (Level 3)"/>
    <w:basedOn w:val="Normal"/>
    <w:pPr>
      <w:numPr>
        <w:ilvl w:val="2"/>
        <w:numId w:val="15"/>
      </w:numPr>
      <w:spacing w:after="240"/>
      <w:jc w:val="both"/>
    </w:pPr>
    <w:rPr>
      <w:rFonts w:ascii="Times New Roman" w:eastAsia="Times New Roman" w:hAnsi="Times New Roman" w:cs="Times New Roman"/>
      <w:szCs w:val="20"/>
      <w:lang w:eastAsia="en-US" w:bidi="ar-SA"/>
    </w:rPr>
  </w:style>
  <w:style w:type="paragraph" w:customStyle="1" w:styleId="ListNumber3Level3">
    <w:name w:val="List Number 3 (Level 3)"/>
    <w:basedOn w:val="Normal"/>
    <w:pPr>
      <w:numPr>
        <w:ilvl w:val="2"/>
        <w:numId w:val="16"/>
      </w:numPr>
      <w:spacing w:after="240"/>
      <w:jc w:val="both"/>
    </w:pPr>
    <w:rPr>
      <w:rFonts w:ascii="Times New Roman" w:eastAsia="Times New Roman" w:hAnsi="Times New Roman" w:cs="Times New Roman"/>
      <w:szCs w:val="20"/>
      <w:lang w:eastAsia="en-US" w:bidi="ar-SA"/>
    </w:rPr>
  </w:style>
  <w:style w:type="paragraph" w:customStyle="1" w:styleId="ListNumber4Level3">
    <w:name w:val="List Number 4 (Level 3)"/>
    <w:basedOn w:val="Normal"/>
    <w:pPr>
      <w:numPr>
        <w:ilvl w:val="2"/>
        <w:numId w:val="17"/>
      </w:numPr>
      <w:spacing w:after="240"/>
      <w:jc w:val="both"/>
    </w:pPr>
    <w:rPr>
      <w:rFonts w:ascii="Times New Roman" w:eastAsia="Times New Roman" w:hAnsi="Times New Roman" w:cs="Times New Roman"/>
      <w:szCs w:val="20"/>
      <w:lang w:eastAsia="en-US" w:bidi="ar-SA"/>
    </w:rPr>
  </w:style>
  <w:style w:type="paragraph" w:customStyle="1" w:styleId="ListNumberLevel4">
    <w:name w:val="List Number (Level 4)"/>
    <w:basedOn w:val="Normal"/>
    <w:pPr>
      <w:numPr>
        <w:ilvl w:val="3"/>
        <w:numId w:val="13"/>
      </w:numPr>
      <w:spacing w:after="240"/>
      <w:jc w:val="both"/>
    </w:pPr>
    <w:rPr>
      <w:rFonts w:ascii="Times New Roman" w:eastAsia="Times New Roman" w:hAnsi="Times New Roman" w:cs="Times New Roman"/>
      <w:szCs w:val="20"/>
      <w:lang w:eastAsia="en-US" w:bidi="ar-SA"/>
    </w:rPr>
  </w:style>
  <w:style w:type="paragraph" w:customStyle="1" w:styleId="ListNumber1Level4">
    <w:name w:val="List Number 1 (Level 4)"/>
    <w:basedOn w:val="Normal"/>
    <w:pPr>
      <w:numPr>
        <w:ilvl w:val="3"/>
        <w:numId w:val="14"/>
      </w:numPr>
      <w:spacing w:after="240"/>
      <w:jc w:val="both"/>
    </w:pPr>
    <w:rPr>
      <w:rFonts w:ascii="Times New Roman" w:eastAsia="Times New Roman" w:hAnsi="Times New Roman" w:cs="Times New Roman"/>
      <w:szCs w:val="20"/>
      <w:lang w:eastAsia="en-US" w:bidi="ar-SA"/>
    </w:rPr>
  </w:style>
  <w:style w:type="paragraph" w:customStyle="1" w:styleId="ListNumber2Level4">
    <w:name w:val="List Number 2 (Level 4)"/>
    <w:basedOn w:val="Normal"/>
    <w:pPr>
      <w:numPr>
        <w:ilvl w:val="3"/>
        <w:numId w:val="15"/>
      </w:numPr>
      <w:spacing w:after="240"/>
      <w:jc w:val="both"/>
    </w:pPr>
    <w:rPr>
      <w:rFonts w:ascii="Times New Roman" w:eastAsia="Times New Roman" w:hAnsi="Times New Roman" w:cs="Times New Roman"/>
      <w:szCs w:val="20"/>
      <w:lang w:eastAsia="en-US" w:bidi="ar-SA"/>
    </w:rPr>
  </w:style>
  <w:style w:type="paragraph" w:customStyle="1" w:styleId="ListNumber3Level4">
    <w:name w:val="List Number 3 (Level 4)"/>
    <w:basedOn w:val="Normal"/>
    <w:pPr>
      <w:numPr>
        <w:ilvl w:val="3"/>
        <w:numId w:val="16"/>
      </w:numPr>
      <w:spacing w:after="240"/>
      <w:jc w:val="both"/>
    </w:pPr>
    <w:rPr>
      <w:rFonts w:ascii="Times New Roman" w:eastAsia="Times New Roman" w:hAnsi="Times New Roman" w:cs="Times New Roman"/>
      <w:szCs w:val="20"/>
      <w:lang w:eastAsia="en-US" w:bidi="ar-SA"/>
    </w:rPr>
  </w:style>
  <w:style w:type="paragraph" w:customStyle="1" w:styleId="ListNumber4Level4">
    <w:name w:val="List Number 4 (Level 4)"/>
    <w:basedOn w:val="Normal"/>
    <w:pPr>
      <w:numPr>
        <w:ilvl w:val="3"/>
        <w:numId w:val="17"/>
      </w:numPr>
      <w:spacing w:after="240"/>
      <w:jc w:val="both"/>
    </w:pPr>
    <w:rPr>
      <w:rFonts w:ascii="Times New Roman" w:eastAsia="Times New Roman" w:hAnsi="Times New Roman" w:cs="Times New Roman"/>
      <w:szCs w:val="20"/>
      <w:lang w:eastAsia="en-US" w:bidi="ar-SA"/>
    </w:rPr>
  </w:style>
  <w:style w:type="paragraph" w:styleId="TOC5">
    <w:name w:val="toc 5"/>
    <w:basedOn w:val="Normal"/>
    <w:next w:val="Normal"/>
    <w:semiHidden/>
    <w:pPr>
      <w:tabs>
        <w:tab w:val="right" w:leader="dot" w:pos="8641"/>
      </w:tabs>
      <w:spacing w:before="240" w:after="120"/>
      <w:ind w:right="720"/>
      <w:jc w:val="both"/>
    </w:pPr>
    <w:rPr>
      <w:rFonts w:ascii="Times New Roman" w:eastAsia="Times New Roman" w:hAnsi="Times New Roman" w:cs="Times New Roman"/>
      <w:caps/>
      <w:szCs w:val="20"/>
      <w:lang w:eastAsia="en-US" w:bidi="ar-SA"/>
    </w:rPr>
  </w:style>
  <w:style w:type="paragraph" w:styleId="TOC2">
    <w:name w:val="toc 2"/>
    <w:basedOn w:val="Normal"/>
    <w:next w:val="Normal"/>
    <w:semiHidden/>
    <w:pPr>
      <w:tabs>
        <w:tab w:val="right" w:leader="dot" w:pos="8640"/>
      </w:tabs>
      <w:spacing w:before="60" w:after="60"/>
      <w:ind w:left="1077" w:right="720" w:hanging="595"/>
      <w:jc w:val="both"/>
    </w:pPr>
    <w:rPr>
      <w:rFonts w:ascii="Times New Roman" w:eastAsia="Times New Roman" w:hAnsi="Times New Roman" w:cs="Times New Roman"/>
      <w:szCs w:val="20"/>
    </w:rPr>
  </w:style>
  <w:style w:type="paragraph" w:styleId="TOC3">
    <w:name w:val="toc 3"/>
    <w:basedOn w:val="Normal"/>
    <w:next w:val="Normal"/>
    <w:semiHidden/>
    <w:pPr>
      <w:tabs>
        <w:tab w:val="right" w:leader="dot" w:pos="8640"/>
      </w:tabs>
      <w:spacing w:before="60" w:after="60"/>
      <w:ind w:left="1916" w:right="720" w:hanging="839"/>
      <w:jc w:val="both"/>
    </w:pPr>
    <w:rPr>
      <w:rFonts w:ascii="Times New Roman" w:eastAsia="Times New Roman" w:hAnsi="Times New Roman" w:cs="Times New Roman"/>
      <w:szCs w:val="20"/>
    </w:rPr>
  </w:style>
  <w:style w:type="paragraph" w:styleId="TOC4">
    <w:name w:val="toc 4"/>
    <w:basedOn w:val="Normal"/>
    <w:next w:val="Normal"/>
    <w:semiHidden/>
    <w:pPr>
      <w:tabs>
        <w:tab w:val="right" w:leader="dot" w:pos="8641"/>
      </w:tabs>
      <w:spacing w:before="60" w:after="60"/>
      <w:ind w:left="2880" w:right="720" w:hanging="964"/>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835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6719C-728E-4865-8C79-C0EC7ED03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131</TotalTime>
  <Pages>5</Pages>
  <Words>1073</Words>
  <Characters>6817</Characters>
  <Application>Microsoft Office Word</Application>
  <DocSecurity>0</DocSecurity>
  <Lines>119</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37</cp:revision>
  <cp:lastPrinted>2015-12-21T09:46:00Z</cp:lastPrinted>
  <dcterms:created xsi:type="dcterms:W3CDTF">2015-12-18T12:12:00Z</dcterms:created>
  <dcterms:modified xsi:type="dcterms:W3CDTF">2016-01-15T10:20:00Z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ELDocType">
    <vt:lpwstr>NOT.DOT</vt:lpwstr>
  </property>
  <property fmtid="{D5CDD505-2E9C-101B-9397-08002B2CF9AE}" pid="6" name="Created using">
    <vt:lpwstr>3.0</vt:lpwstr>
  </property>
  <property fmtid="{D5CDD505-2E9C-101B-9397-08002B2CF9AE}" pid="7" name="Last edited using">
    <vt:lpwstr>EL </vt:lpwstr>
  </property>
  <property fmtid="{D5CDD505-2E9C-101B-9397-08002B2CF9AE}" pid="8" name="Formatting">
    <vt:lpwstr>4.1</vt:lpwstr>
  </property>
  <property fmtid="{D5CDD505-2E9C-101B-9397-08002B2CF9AE}" pid="9" name="DocStatus">
    <vt:lpwstr>Green</vt:lpwstr>
  </property>
  <property name="OP_sanitized" fmtid="{D5CDD505-2E9C-101B-9397-08002B2CF9AE}" pid="10">
    <vt:lpwstr>True</vt:lpwstr>
  </property>
</Properties>
</file>