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9968C169B34483F9897DA1635FF4648"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MOTIVERING</w:t>
      </w:r>
    </w:p>
    <w:p>
      <w:pPr>
        <w:pStyle w:val="ManualHeading1"/>
        <w:rPr>
          <w:noProof/>
        </w:rPr>
      </w:pPr>
      <w:r>
        <w:rPr>
          <w:noProof/>
        </w:rPr>
        <w:t>1.</w:t>
      </w:r>
      <w:r>
        <w:rPr>
          <w:noProof/>
        </w:rPr>
        <w:tab/>
        <w:t>BAKGRUND TILL FÖRSLAGET</w:t>
      </w:r>
    </w:p>
    <w:p>
      <w:pPr>
        <w:pStyle w:val="ManualHeading2"/>
        <w:rPr>
          <w:rFonts w:eastAsia="Arial Unicode MS"/>
          <w:noProof/>
        </w:rPr>
      </w:pPr>
      <w:r>
        <w:rPr>
          <w:noProof/>
          <w:color w:val="000000"/>
          <w:u w:color="000000"/>
          <w:bdr w:val="nil"/>
        </w:rPr>
        <w:t>•</w:t>
      </w:r>
      <w:r>
        <w:rPr>
          <w:noProof/>
        </w:rPr>
        <w:tab/>
        <w:t>Motiv och syfte med förslaget</w:t>
      </w:r>
    </w:p>
    <w:p>
      <w:pPr>
        <w:pBdr>
          <w:top w:val="nil"/>
          <w:left w:val="nil"/>
          <w:bottom w:val="nil"/>
          <w:right w:val="nil"/>
          <w:between w:val="nil"/>
          <w:bar w:val="nil"/>
        </w:pBdr>
        <w:spacing w:before="0" w:after="240"/>
        <w:rPr>
          <w:noProof/>
        </w:rPr>
      </w:pPr>
      <w:r>
        <w:rPr>
          <w:noProof/>
        </w:rPr>
        <w:t>Det finns för närvarande mer än 300 civila och militära myndigheter i medlemsstaterna som ansvarar för utförandet av kustbevakningstjänster inom ett stort antal områden, exempelvis sjösäkerhet, sjöfartsskydd, sök- och räddningsinsatser, fiskerikontroll, gränskontroll, tullkontroll, upprätthållande av lag i allmänhet och miljöskydd. Ett antal EU-organ, särskilt Europeiska gräns- och kustbevakningsbyrån, Europeiska sjösäkerhetsbyrån och Europeiska fiskerikontrollbyrån, stöder de nationella myndigheterna i utövandet av dessa tjänster.</w:t>
      </w:r>
    </w:p>
    <w:p>
      <w:pPr>
        <w:pBdr>
          <w:top w:val="nil"/>
          <w:left w:val="nil"/>
          <w:bottom w:val="nil"/>
          <w:right w:val="nil"/>
          <w:between w:val="nil"/>
          <w:bar w:val="nil"/>
        </w:pBdr>
        <w:spacing w:before="0" w:after="240"/>
        <w:rPr>
          <w:noProof/>
        </w:rPr>
      </w:pPr>
      <w:r>
        <w:rPr>
          <w:noProof/>
        </w:rPr>
        <w:t>Under 2014 slutförde kommissionen en genomförbarhetsstudie som undersöker behovet av bättre samarbete och samordning mellan nationella organ och byråer som utför kustbevakningstjänster. Denna studie tar upp en rad frågor för närmare samarbete, särskilt när det gäller operativ övervakning och datadelning som ligger till grund för dessa tjänster.</w:t>
      </w:r>
    </w:p>
    <w:p>
      <w:pPr>
        <w:pBdr>
          <w:top w:val="nil"/>
          <w:left w:val="nil"/>
          <w:bottom w:val="nil"/>
          <w:right w:val="nil"/>
          <w:between w:val="nil"/>
          <w:bar w:val="nil"/>
        </w:pBdr>
        <w:spacing w:before="0" w:after="240"/>
        <w:rPr>
          <w:noProof/>
        </w:rPr>
      </w:pPr>
      <w:r>
        <w:rPr>
          <w:noProof/>
        </w:rPr>
        <w:t>Behovet av att stärka samarbete och samordning mellan myndigheter som utför kustbevakningstjänster har därefter bekräftats i unionens sjöfartslagstiftning, i Europeiska unionens strategi för sjöfartsskydd (med en handlingsplan som antogs av rådet 2014) och i den europeiska migrationsagendan som antogs av kommissionen 2015.</w:t>
      </w:r>
    </w:p>
    <w:p>
      <w:pPr>
        <w:pBdr>
          <w:top w:val="nil"/>
          <w:left w:val="nil"/>
          <w:bottom w:val="nil"/>
          <w:right w:val="nil"/>
          <w:between w:val="nil"/>
          <w:bar w:val="nil"/>
        </w:pBdr>
        <w:spacing w:before="0" w:after="240"/>
        <w:rPr>
          <w:noProof/>
        </w:rPr>
      </w:pPr>
      <w:r>
        <w:rPr>
          <w:noProof/>
        </w:rPr>
        <w:t>Syftet med detta lagstiftningsförslag om att stärka det europeiska samarbetet om kustbevakningstjänster är att förbättra samarbetet och samordningen mellan de relevanta EU-byråerna i syfte att öka synergieffekterna mellan deras respektive tjänster och därmed ge dem möjlighet att tillhandahålla effektivare och kostnadseffektivare multifunktionella tjänster till nationella myndigheter som utför kustbevakningstjänster.</w:t>
      </w:r>
    </w:p>
    <w:p>
      <w:pPr>
        <w:pBdr>
          <w:top w:val="nil"/>
          <w:left w:val="nil"/>
          <w:bottom w:val="nil"/>
          <w:right w:val="nil"/>
          <w:between w:val="nil"/>
          <w:bar w:val="nil"/>
        </w:pBdr>
        <w:spacing w:before="0" w:after="240"/>
        <w:rPr>
          <w:rFonts w:eastAsia="Arial Unicode MS"/>
          <w:noProof/>
        </w:rPr>
      </w:pPr>
      <w:r>
        <w:rPr>
          <w:noProof/>
        </w:rPr>
        <w:t>Detta lagstiftningsförslag utgör ett led i en rad åtgärder som föreslagits av kommissionen för att stärka skyddet av EU:s yttre gränser, inbegripet EU-samarbete om kustbevakningstjänster, och det omfattar även ett förslag om ändring av rådets förordning (EG) nr 1406/2002 om inrättande av en europeisk sjösäkerhetsbyrå (Emsa) och ett förslag till en rådsförordning om inrättande av en europeisk gräns- och kustbevakningsbyrå. De innehållsmässiga ändringarna i förslaget är identiska med de föreslagna ändringarna i förordningen om inrättandet av Emsa och de föreslagna bestämmelserna om ett europeiskt kustbevakningssamarbete i förslaget till förordning om inrättandet av Europeiska gräns- och kustbevakningsbyrån.</w:t>
      </w:r>
    </w:p>
    <w:p>
      <w:pPr>
        <w:pStyle w:val="ManualHeading2"/>
        <w:rPr>
          <w:rFonts w:eastAsia="Arial Unicode MS"/>
          <w:noProof/>
          <w:u w:color="000000"/>
          <w:bdr w:val="nil"/>
        </w:rPr>
      </w:pPr>
      <w:r>
        <w:rPr>
          <w:noProof/>
        </w:rPr>
        <w:t>•</w:t>
      </w:r>
      <w:r>
        <w:rPr>
          <w:noProof/>
        </w:rPr>
        <w:tab/>
        <w:t>Förenlighet med befintliga bestämmelser inom området</w:t>
      </w:r>
    </w:p>
    <w:p>
      <w:pPr>
        <w:pBdr>
          <w:top w:val="nil"/>
          <w:left w:val="nil"/>
          <w:bottom w:val="nil"/>
          <w:right w:val="nil"/>
          <w:between w:val="nil"/>
          <w:bar w:val="nil"/>
        </w:pBdr>
        <w:spacing w:before="0" w:after="240"/>
        <w:rPr>
          <w:rFonts w:eastAsia="Arial Unicode MS"/>
          <w:noProof/>
        </w:rPr>
      </w:pPr>
      <w:r>
        <w:rPr>
          <w:noProof/>
        </w:rPr>
        <w:t>Detta förslag är förenligt med politiken för fiskerikontroll som syftar till att främja genomförandet av den gemensamma fiskeripolitiken genom att intensifiera kampen mot olagligt, odeklarerat och orapporterat fiske (IUU-fiske) och genom ett ändamålsenligt system för fiskerikontroll inom unionen. Det är även förenligt med utvecklingen och genomförandet av unionens integrerade havspolitik, eftersom det kompletterar den gemensamma fiskeripolitiken. Slutligen är förslaget förenligt med Europeiska fiskerikontrollbyråns (EFCA) behörighet, vari ingår genomförandet av EU:s integrerade havspolitik och kampen mot IUU-fiske.</w:t>
      </w:r>
    </w:p>
    <w:p>
      <w:pPr>
        <w:pStyle w:val="ManualHeading2"/>
        <w:rPr>
          <w:rFonts w:eastAsia="Arial Unicode MS"/>
          <w:noProof/>
        </w:rPr>
      </w:pPr>
      <w:r>
        <w:rPr>
          <w:noProof/>
        </w:rPr>
        <w:t>•</w:t>
      </w:r>
      <w:r>
        <w:rPr>
          <w:noProof/>
        </w:rPr>
        <w:tab/>
        <w:t>Förenlighet med unionens politik inom andra områden</w:t>
      </w:r>
    </w:p>
    <w:p>
      <w:pPr>
        <w:pBdr>
          <w:top w:val="nil"/>
          <w:left w:val="nil"/>
          <w:bottom w:val="nil"/>
          <w:right w:val="nil"/>
          <w:between w:val="nil"/>
          <w:bar w:val="nil"/>
        </w:pBdr>
        <w:spacing w:before="0" w:after="240"/>
        <w:rPr>
          <w:rFonts w:eastAsia="Arial Unicode MS"/>
          <w:noProof/>
        </w:rPr>
      </w:pPr>
      <w:r>
        <w:rPr>
          <w:noProof/>
        </w:rPr>
        <w:t>Syftet med detta initiativ är att förbättra samarbetet och samordningen mellan berörda myndigheter i medlemsstaterna, EU:s byråer och andra organ som utför kustbevakningstjänster, i syfte att gå i riktning mot en EU-kapacitet/ett EU-system för kustbevakning. Det underliggande problemet är att kustbevakningstjänster, såsom gränskontroll, sök- och räddningsinsatser, fiskerikontroll, föroreningsbekämpning etc., för närvarande utförs av fler än 300 myndigheter i medlemsstaterna, som inte alltid är väl samordnade ens på nationell nivå. Genom att främja samarbete och samordning mellan myndigheter som utför kustbevakningstjänster är detta förslag helt förenligt med unionens migrationspolitik samt med politiken på området transport och rörlighet.</w:t>
      </w:r>
    </w:p>
    <w:p>
      <w:pPr>
        <w:pStyle w:val="ManualHeading1"/>
        <w:rPr>
          <w:noProof/>
        </w:rPr>
      </w:pPr>
      <w:r>
        <w:rPr>
          <w:noProof/>
        </w:rPr>
        <w:t>2.</w:t>
      </w:r>
      <w:r>
        <w:rPr>
          <w:noProof/>
        </w:rPr>
        <w:tab/>
        <w:t>RÄTTSLIG GRUND, SUBSIDIARITETSPRINCIPEN OCH PROPORTIONALITETSPRINCIPEN</w:t>
      </w:r>
    </w:p>
    <w:p>
      <w:pPr>
        <w:pStyle w:val="ManualHeading2"/>
        <w:rPr>
          <w:rFonts w:eastAsia="Arial Unicode MS"/>
          <w:noProof/>
          <w:u w:color="000000"/>
          <w:bdr w:val="nil"/>
        </w:rPr>
      </w:pPr>
      <w:r>
        <w:rPr>
          <w:noProof/>
        </w:rPr>
        <w:t>•</w:t>
      </w:r>
      <w:r>
        <w:rPr>
          <w:noProof/>
        </w:rPr>
        <w:tab/>
        <w:t>Rättslig grund</w:t>
      </w:r>
    </w:p>
    <w:p>
      <w:pPr>
        <w:pBdr>
          <w:top w:val="nil"/>
          <w:left w:val="nil"/>
          <w:bottom w:val="nil"/>
          <w:right w:val="nil"/>
          <w:between w:val="nil"/>
          <w:bar w:val="nil"/>
        </w:pBdr>
        <w:spacing w:before="0" w:after="240"/>
        <w:rPr>
          <w:rFonts w:eastAsia="Arial Unicode MS"/>
          <w:noProof/>
        </w:rPr>
      </w:pPr>
      <w:r>
        <w:rPr>
          <w:noProof/>
        </w:rPr>
        <w:t>Förslaget grundar sig på artikel 43.2 i EUF-fördraget som rör fastställandet av bestämmelser för att uppnå målen för den gemensamma fiskeripolitiken.</w:t>
      </w:r>
    </w:p>
    <w:p>
      <w:pPr>
        <w:pStyle w:val="ManualHeading2"/>
        <w:rPr>
          <w:rFonts w:eastAsia="Arial Unicode MS"/>
          <w:noProof/>
          <w:u w:color="000000"/>
          <w:bdr w:val="nil"/>
        </w:rPr>
      </w:pPr>
      <w:r>
        <w:rPr>
          <w:noProof/>
        </w:rPr>
        <w:t>•</w:t>
      </w:r>
      <w:r>
        <w:rPr>
          <w:noProof/>
        </w:rPr>
        <w:tab/>
        <w:t xml:space="preserve">Subsidiaritetsprincipen (för icke-exklusiv befogenhet) </w:t>
      </w:r>
    </w:p>
    <w:p>
      <w:pPr>
        <w:pBdr>
          <w:top w:val="nil"/>
          <w:left w:val="nil"/>
          <w:bottom w:val="nil"/>
          <w:right w:val="nil"/>
          <w:between w:val="nil"/>
          <w:bar w:val="nil"/>
        </w:pBdr>
        <w:spacing w:before="0" w:after="240"/>
        <w:rPr>
          <w:rFonts w:eastAsia="Arial Unicode MS"/>
          <w:noProof/>
        </w:rPr>
      </w:pPr>
      <w:r>
        <w:rPr>
          <w:noProof/>
        </w:rPr>
        <w:t>Förslaget behandlar stöd till nationella myndigheter som utför kustbevakningstjänster på nationell nivå och unionsnivå samt, i förekommande fall, på internationell nivå. Det ingår därför i den del av kontrollpolitiken som syftar till att genomföra ett ändamålsenligt kontrollsystem för att säkerställa efterlevnaden av alla regler som ingår i den gemensamma fiskeripolitiken, ett område där unionen har exklusiv befogenhet. Subsidiaritetsprincipen är därför inte tillämplig i detta sammanhang.</w:t>
      </w:r>
    </w:p>
    <w:p>
      <w:pPr>
        <w:pStyle w:val="ManualHeading2"/>
        <w:rPr>
          <w:rFonts w:eastAsia="Arial Unicode MS"/>
          <w:noProof/>
          <w:u w:color="000000"/>
          <w:bdr w:val="nil"/>
        </w:rPr>
      </w:pPr>
      <w:r>
        <w:rPr>
          <w:noProof/>
        </w:rPr>
        <w:t>•</w:t>
      </w:r>
      <w:r>
        <w:rPr>
          <w:noProof/>
        </w:rPr>
        <w:tab/>
        <w:t>Proportionalitetsprincipen</w:t>
      </w:r>
    </w:p>
    <w:p>
      <w:pPr>
        <w:pBdr>
          <w:top w:val="nil"/>
          <w:left w:val="nil"/>
          <w:bottom w:val="nil"/>
          <w:right w:val="nil"/>
          <w:between w:val="nil"/>
          <w:bar w:val="nil"/>
        </w:pBdr>
        <w:spacing w:before="0" w:after="240"/>
        <w:rPr>
          <w:rFonts w:eastAsia="Arial Unicode MS"/>
          <w:noProof/>
        </w:rPr>
      </w:pPr>
      <w:r>
        <w:rPr>
          <w:noProof/>
        </w:rPr>
        <w:t>Förslaget syftar till att stärka kapaciteten hos EU:s kustbevakningar att reagera på hot och risker på sjöfartsområdet, bland annat genom att förbättra samarbetet mellan alla berörda civila och militära aktörer. Härigenom undviks dubbelarbete, samtidigt som de viktigaste aktörerna (framför allt EU:s byråer) agerar på ett samordnat och effektivt sätt och utvecklar synergieffekter tillsammans. Förslaget beaktar behovet av ökad kontroll på sjöfartsområdet samtidigt som det begränsar arbetsbördan för de nationella förvaltningarna och EU.</w:t>
      </w:r>
    </w:p>
    <w:p>
      <w:pPr>
        <w:pStyle w:val="ManualHeading2"/>
        <w:rPr>
          <w:rFonts w:eastAsia="Arial Unicode MS"/>
          <w:noProof/>
          <w:u w:color="000000"/>
          <w:bdr w:val="nil"/>
        </w:rPr>
      </w:pPr>
      <w:r>
        <w:rPr>
          <w:noProof/>
        </w:rPr>
        <w:t>•</w:t>
      </w:r>
      <w:r>
        <w:rPr>
          <w:noProof/>
        </w:rPr>
        <w:tab/>
        <w:t>Val av instrument</w:t>
      </w:r>
    </w:p>
    <w:p>
      <w:pPr>
        <w:pBdr>
          <w:top w:val="nil"/>
          <w:left w:val="nil"/>
          <w:bottom w:val="nil"/>
          <w:right w:val="nil"/>
          <w:between w:val="nil"/>
          <w:bar w:val="nil"/>
        </w:pBdr>
        <w:spacing w:before="0" w:after="240"/>
        <w:rPr>
          <w:rFonts w:eastAsia="Arial Unicode MS"/>
          <w:noProof/>
        </w:rPr>
      </w:pPr>
      <w:r>
        <w:rPr>
          <w:noProof/>
        </w:rPr>
        <w:t>Eftersom syftet med förslaget är att ändra förordningen om inrättande av Gemenskapens kontrollorgan för fiske (numera Europeiska fiskerikontrollbyrån), är det nödvändigt att föreslå en förordning.</w:t>
      </w:r>
    </w:p>
    <w:p>
      <w:pPr>
        <w:pStyle w:val="ManualHeading1"/>
        <w:rPr>
          <w:noProof/>
        </w:rPr>
      </w:pPr>
      <w:r>
        <w:rPr>
          <w:noProof/>
        </w:rPr>
        <w:t>3.</w:t>
      </w:r>
      <w:r>
        <w:rPr>
          <w:noProof/>
        </w:rPr>
        <w:tab/>
        <w:t>RESULTAT AV EFTERHANDSUTVÄRDERINGAR, SAMRÅD MED BERÖRDA PARTER OCH KONSEKVENSBEDÖMNINGAR</w:t>
      </w:r>
    </w:p>
    <w:p>
      <w:pPr>
        <w:pStyle w:val="ManualHeading2"/>
        <w:rPr>
          <w:rFonts w:eastAsia="Arial Unicode MS"/>
          <w:noProof/>
          <w:u w:color="000000"/>
          <w:bdr w:val="nil"/>
        </w:rPr>
      </w:pPr>
      <w:r>
        <w:rPr>
          <w:noProof/>
        </w:rPr>
        <w:t>•</w:t>
      </w:r>
      <w:r>
        <w:rPr>
          <w:noProof/>
        </w:rPr>
        <w:tab/>
        <w:t>Efterhandsutvärderingar/kontroller av ändamålsenligheten med befintlig lagstiftning</w:t>
      </w:r>
    </w:p>
    <w:p>
      <w:pPr>
        <w:pBdr>
          <w:top w:val="nil"/>
          <w:left w:val="nil"/>
          <w:bottom w:val="nil"/>
          <w:right w:val="nil"/>
          <w:between w:val="nil"/>
          <w:bar w:val="nil"/>
        </w:pBdr>
        <w:spacing w:before="0" w:after="240"/>
        <w:rPr>
          <w:rFonts w:eastAsia="Arial Unicode MS"/>
          <w:noProof/>
        </w:rPr>
      </w:pPr>
      <w:r>
        <w:rPr>
          <w:noProof/>
        </w:rPr>
        <w:t>Ej tillämpligt (detta initiativ syftar till att genomföra de åtaganden i den europeiska migrationsagendan som rör kustbevakningsverksamhet).</w:t>
      </w:r>
    </w:p>
    <w:p>
      <w:pPr>
        <w:pStyle w:val="ManualHeading2"/>
        <w:rPr>
          <w:rFonts w:eastAsia="Arial Unicode MS"/>
          <w:noProof/>
          <w:u w:color="000000"/>
          <w:bdr w:val="nil"/>
        </w:rPr>
      </w:pPr>
      <w:r>
        <w:rPr>
          <w:noProof/>
        </w:rPr>
        <w:t>•</w:t>
      </w:r>
      <w:r>
        <w:rPr>
          <w:noProof/>
        </w:rPr>
        <w:tab/>
        <w:t>Samråd med berörda parter</w:t>
      </w:r>
    </w:p>
    <w:p>
      <w:pPr>
        <w:pBdr>
          <w:top w:val="nil"/>
          <w:left w:val="nil"/>
          <w:bottom w:val="nil"/>
          <w:right w:val="nil"/>
          <w:between w:val="nil"/>
          <w:bar w:val="nil"/>
        </w:pBdr>
        <w:spacing w:before="0" w:after="240"/>
        <w:rPr>
          <w:rFonts w:eastAsia="Arial Unicode MS"/>
          <w:noProof/>
        </w:rPr>
      </w:pPr>
      <w:r>
        <w:rPr>
          <w:noProof/>
        </w:rPr>
        <w:t>Ej tillämpligt</w:t>
      </w:r>
    </w:p>
    <w:p>
      <w:pPr>
        <w:pStyle w:val="ManualHeading2"/>
        <w:rPr>
          <w:rFonts w:eastAsia="Arial Unicode MS"/>
          <w:noProof/>
          <w:u w:color="000000"/>
          <w:bdr w:val="nil"/>
        </w:rPr>
      </w:pPr>
      <w:r>
        <w:rPr>
          <w:noProof/>
        </w:rPr>
        <w:t>•</w:t>
      </w:r>
      <w:r>
        <w:rPr>
          <w:noProof/>
        </w:rPr>
        <w:tab/>
        <w:t>Insamling och användning av sakkunnigutlåtanden</w:t>
      </w:r>
    </w:p>
    <w:p>
      <w:pPr>
        <w:pBdr>
          <w:top w:val="nil"/>
          <w:left w:val="nil"/>
          <w:bottom w:val="nil"/>
          <w:right w:val="nil"/>
          <w:between w:val="nil"/>
          <w:bar w:val="nil"/>
        </w:pBdr>
        <w:spacing w:before="0" w:after="240"/>
        <w:rPr>
          <w:rFonts w:eastAsia="Arial Unicode MS"/>
          <w:noProof/>
        </w:rPr>
      </w:pPr>
      <w:r>
        <w:rPr>
          <w:noProof/>
        </w:rPr>
        <w:t>Ej tillämpligt</w:t>
      </w:r>
    </w:p>
    <w:p>
      <w:pPr>
        <w:pStyle w:val="ManualHeading2"/>
        <w:rPr>
          <w:rFonts w:eastAsia="Arial Unicode MS"/>
          <w:noProof/>
          <w:u w:color="000000"/>
          <w:bdr w:val="nil"/>
        </w:rPr>
      </w:pPr>
      <w:r>
        <w:rPr>
          <w:noProof/>
        </w:rPr>
        <w:t>•</w:t>
      </w:r>
      <w:r>
        <w:rPr>
          <w:noProof/>
        </w:rPr>
        <w:tab/>
        <w:t>Konsekvensbedömning</w:t>
      </w:r>
    </w:p>
    <w:p>
      <w:pPr>
        <w:pBdr>
          <w:top w:val="nil"/>
          <w:left w:val="nil"/>
          <w:bottom w:val="nil"/>
          <w:right w:val="nil"/>
          <w:between w:val="nil"/>
          <w:bar w:val="nil"/>
        </w:pBdr>
        <w:spacing w:before="0" w:after="240"/>
        <w:rPr>
          <w:noProof/>
        </w:rPr>
      </w:pPr>
      <w:r>
        <w:rPr>
          <w:noProof/>
        </w:rPr>
        <w:t>Ej tillämpligt: särskilda åtgärder vad gäller kustbevakningskapacitet har inte varit föremål för någon tidigare åtgärd på EU-nivå. Det finns följaktligen ingen befintlig politik att utvärdera.</w:t>
      </w:r>
    </w:p>
    <w:p>
      <w:pPr>
        <w:pBdr>
          <w:top w:val="nil"/>
          <w:left w:val="nil"/>
          <w:bottom w:val="nil"/>
          <w:right w:val="nil"/>
          <w:between w:val="nil"/>
          <w:bar w:val="nil"/>
        </w:pBdr>
        <w:spacing w:before="0" w:after="240"/>
        <w:rPr>
          <w:rFonts w:eastAsia="Arial Unicode MS"/>
          <w:noProof/>
        </w:rPr>
      </w:pPr>
      <w:r>
        <w:rPr>
          <w:noProof/>
        </w:rPr>
        <w:t>Det fanns dock en genomförbarhetsstudie</w:t>
      </w:r>
      <w:r>
        <w:rPr>
          <w:rStyle w:val="FootnoteReference"/>
          <w:noProof/>
        </w:rPr>
        <w:footnoteReference w:id="1"/>
      </w:r>
      <w:r>
        <w:rPr>
          <w:noProof/>
        </w:rPr>
        <w:t xml:space="preserve"> som beställts av GD MOVE och som genomfördes under 2014. Studien identifierade omkring 316 civila och militära myndigheter i medlemsstaterna som ansvarar för kustbevakningstjänster och samarbetar via 70 olika strukturer. Den framhävde de viktigaste bristerna i det nuvarande samarbetet, t.ex. bristen på information om ansvarsområden, befogenheter och resurser hos andra myndigheter, det begränsade antalet operativa tillgångar, bristen på interoperabilitet hos system, processer och tillgångar, de begränsade möjligheterna till gemensam planering och gemensamma insatser.</w:t>
      </w:r>
    </w:p>
    <w:p>
      <w:pPr>
        <w:pStyle w:val="ManualHeading2"/>
        <w:rPr>
          <w:rFonts w:eastAsia="Arial Unicode MS"/>
          <w:noProof/>
          <w:u w:color="000000"/>
          <w:bdr w:val="nil"/>
        </w:rPr>
      </w:pPr>
      <w:r>
        <w:rPr>
          <w:noProof/>
        </w:rPr>
        <w:t>•</w:t>
      </w:r>
      <w:r>
        <w:rPr>
          <w:noProof/>
        </w:rPr>
        <w:tab/>
        <w:t>Lagstiftningens ändamålsenlighet och förenkling</w:t>
      </w:r>
    </w:p>
    <w:p>
      <w:pPr>
        <w:pBdr>
          <w:top w:val="nil"/>
          <w:left w:val="nil"/>
          <w:bottom w:val="nil"/>
          <w:right w:val="nil"/>
          <w:between w:val="nil"/>
          <w:bar w:val="nil"/>
        </w:pBdr>
        <w:spacing w:before="0" w:after="240"/>
        <w:rPr>
          <w:rFonts w:eastAsia="Arial Unicode MS"/>
          <w:noProof/>
        </w:rPr>
      </w:pPr>
      <w:r>
        <w:rPr>
          <w:noProof/>
        </w:rPr>
        <w:t>Initiativet ingår inte i Refit-agendan men bör tillämpa de viktigaste principerna i denna.</w:t>
      </w:r>
    </w:p>
    <w:p>
      <w:pPr>
        <w:pStyle w:val="ManualHeading2"/>
        <w:rPr>
          <w:rFonts w:eastAsia="Arial Unicode MS"/>
          <w:noProof/>
          <w:u w:color="000000"/>
          <w:bdr w:val="nil"/>
        </w:rPr>
      </w:pPr>
      <w:r>
        <w:rPr>
          <w:noProof/>
        </w:rPr>
        <w:t>•</w:t>
      </w:r>
      <w:r>
        <w:rPr>
          <w:noProof/>
        </w:rPr>
        <w:tab/>
        <w:t>Grundläggande rättigheter</w:t>
      </w:r>
    </w:p>
    <w:p>
      <w:pPr>
        <w:pBdr>
          <w:top w:val="nil"/>
          <w:left w:val="nil"/>
          <w:bottom w:val="nil"/>
          <w:right w:val="nil"/>
          <w:between w:val="nil"/>
          <w:bar w:val="nil"/>
        </w:pBdr>
        <w:spacing w:before="0" w:after="240"/>
        <w:rPr>
          <w:rFonts w:eastAsia="Arial Unicode MS"/>
          <w:noProof/>
        </w:rPr>
      </w:pPr>
      <w:r>
        <w:rPr>
          <w:noProof/>
        </w:rPr>
        <w:t>Ej tillämpligt</w:t>
      </w:r>
    </w:p>
    <w:p>
      <w:pPr>
        <w:pStyle w:val="ManualHeading1"/>
        <w:rPr>
          <w:noProof/>
        </w:rPr>
      </w:pPr>
      <w:r>
        <w:rPr>
          <w:noProof/>
        </w:rPr>
        <w:t>4.</w:t>
      </w:r>
      <w:r>
        <w:rPr>
          <w:noProof/>
        </w:rPr>
        <w:tab/>
        <w:t>BUDGETKONSEKVENSER</w:t>
      </w:r>
    </w:p>
    <w:p>
      <w:pPr>
        <w:pBdr>
          <w:top w:val="nil"/>
          <w:left w:val="nil"/>
          <w:bottom w:val="nil"/>
          <w:right w:val="nil"/>
          <w:between w:val="nil"/>
          <w:bar w:val="nil"/>
        </w:pBdr>
        <w:spacing w:before="0" w:after="240"/>
        <w:rPr>
          <w:rFonts w:eastAsia="Arial Unicode MS"/>
          <w:noProof/>
        </w:rPr>
      </w:pPr>
      <w:r>
        <w:rPr>
          <w:noProof/>
        </w:rPr>
        <w:t>Detta initiativ kommer att innebära en ökning av EU:s bidrag till Europiska fiskerikontrollbyrån (EFCA) med cirka 7,5 miljoner euro per år (30,148 miljoner euro för perioden 2017–2020) och rekrytering av 13 tillfälligt anställda (se finansieringsöversikten).</w:t>
      </w:r>
    </w:p>
    <w:p>
      <w:pPr>
        <w:pStyle w:val="ManualHeading1"/>
        <w:rPr>
          <w:noProof/>
        </w:rPr>
      </w:pPr>
      <w:r>
        <w:rPr>
          <w:noProof/>
        </w:rPr>
        <w:t>5.</w:t>
      </w:r>
      <w:r>
        <w:rPr>
          <w:noProof/>
        </w:rPr>
        <w:tab/>
        <w:t>ÖVRIGA INSLAG</w:t>
      </w:r>
    </w:p>
    <w:p>
      <w:pPr>
        <w:pStyle w:val="ManualHeading2"/>
        <w:rPr>
          <w:rFonts w:eastAsia="Arial Unicode MS"/>
          <w:noProof/>
          <w:u w:color="000000"/>
          <w:bdr w:val="nil"/>
        </w:rPr>
      </w:pPr>
      <w:r>
        <w:rPr>
          <w:noProof/>
        </w:rPr>
        <w:t>•</w:t>
      </w:r>
      <w:r>
        <w:rPr>
          <w:noProof/>
        </w:rPr>
        <w:tab/>
        <w:t>Genomförandeplaner samt åtgärder för övervakning, utvärdering och rapportering</w:t>
      </w:r>
    </w:p>
    <w:p>
      <w:pPr>
        <w:pBdr>
          <w:top w:val="nil"/>
          <w:left w:val="nil"/>
          <w:bottom w:val="nil"/>
          <w:right w:val="nil"/>
          <w:between w:val="nil"/>
          <w:bar w:val="nil"/>
        </w:pBdr>
        <w:spacing w:before="0" w:after="240"/>
        <w:rPr>
          <w:rFonts w:eastAsia="Arial Unicode MS"/>
          <w:noProof/>
        </w:rPr>
      </w:pPr>
      <w:r>
        <w:rPr>
          <w:noProof/>
        </w:rPr>
        <w:t xml:space="preserve">Eftersom denna åtgärd kommer att genomföras av Europeiska fiskerikontrollbyrån kommer utvärderingen att ingå i femårsutvärderingen av byrån. Kommissionen kommer att vidarebefordra resultat och rekommendationer från utvärderingen till Europaparlamentet och rådet, och dessa kommer att offentliggöras.  </w:t>
      </w:r>
    </w:p>
    <w:p>
      <w:pPr>
        <w:pStyle w:val="ManualHeading2"/>
        <w:rPr>
          <w:rFonts w:eastAsia="Arial Unicode MS"/>
          <w:noProof/>
          <w:u w:color="000000"/>
          <w:bdr w:val="nil"/>
        </w:rPr>
      </w:pPr>
      <w:r>
        <w:rPr>
          <w:noProof/>
        </w:rPr>
        <w:t>•</w:t>
      </w:r>
      <w:r>
        <w:rPr>
          <w:noProof/>
        </w:rPr>
        <w:tab/>
        <w:t>Förklarande dokument (för direktiv)</w:t>
      </w:r>
    </w:p>
    <w:p>
      <w:pPr>
        <w:pBdr>
          <w:top w:val="nil"/>
          <w:left w:val="nil"/>
          <w:bottom w:val="nil"/>
          <w:right w:val="nil"/>
          <w:between w:val="nil"/>
          <w:bar w:val="nil"/>
        </w:pBdr>
        <w:spacing w:before="0" w:after="240"/>
        <w:rPr>
          <w:rFonts w:eastAsia="Arial Unicode MS"/>
          <w:noProof/>
        </w:rPr>
      </w:pPr>
      <w:r>
        <w:rPr>
          <w:noProof/>
        </w:rPr>
        <w:t>Ej tillämpligt</w:t>
      </w:r>
    </w:p>
    <w:p>
      <w:pPr>
        <w:pStyle w:val="ManualHeading2"/>
        <w:rPr>
          <w:rFonts w:eastAsia="Arial Unicode MS"/>
          <w:noProof/>
          <w:u w:color="000000"/>
          <w:bdr w:val="nil"/>
        </w:rPr>
      </w:pPr>
      <w:r>
        <w:rPr>
          <w:noProof/>
        </w:rPr>
        <w:t>•</w:t>
      </w:r>
      <w:r>
        <w:rPr>
          <w:noProof/>
        </w:rPr>
        <w:tab/>
        <w:t>Ingående redogörelse för de specifika bestämmelserna i förslaget</w:t>
      </w:r>
    </w:p>
    <w:p>
      <w:pPr>
        <w:pBdr>
          <w:top w:val="nil"/>
          <w:left w:val="nil"/>
          <w:bottom w:val="nil"/>
          <w:right w:val="nil"/>
          <w:between w:val="nil"/>
          <w:bar w:val="nil"/>
        </w:pBdr>
        <w:spacing w:before="0" w:after="240"/>
        <w:rPr>
          <w:rFonts w:eastAsia="Arial Unicode MS"/>
          <w:noProof/>
        </w:rPr>
      </w:pPr>
      <w:r>
        <w:rPr>
          <w:noProof/>
        </w:rPr>
        <w:t xml:space="preserve">EFCA har för närvarande till uppgift att bidra till  kampen mot IUU-fisket. EFCA:s erfarenheter i kampen mot IUU-fisket på internationell nivå är av central betydelse för den europeiska kustbevakningskapaciteten och för gränskontrollen eftersom IUU-fisket ofta har anknytning till annan olaglig maritim verksamhet. EFCA har utvecklat sakkunskap på områdena riskhanteringsstrategier, identifiering av möjliga IUU-intressen (genom analys av tusentals fångstintyg), operativ samordning och inspektioner, även på internationell nivå. I detta sammanhang bistår kontrollbyrån aktivt tredjeländer genom att tillhandahålla utbildning och genom kapacitetsuppbyggande verksamhet. Tack vare sitt internationella mandat har EFCA redan utvecklat gedigen sakkunskap i genomförandet av gemensamma inspektionsplattformar och har skapat särskilda nätverk med EU och tredjeländer. Den senaste tiden har EFCA utbytt inspektörer med Turkiet i Medelhavet och organiserar regelbundet utbildningsseminarier som samlar EU-inspektörer och inspektörer från Albanien, Turkiet, Libanon, Israel, Egypten, Tunisien, Algeriet och Marocko. </w:t>
      </w:r>
    </w:p>
    <w:p>
      <w:pPr>
        <w:pStyle w:val="ManualNumPar1"/>
        <w:rPr>
          <w:noProof/>
        </w:rPr>
      </w:pPr>
      <w:r>
        <w:t>1.</w:t>
      </w:r>
      <w:r>
        <w:tab/>
      </w:r>
      <w:r>
        <w:rPr>
          <w:noProof/>
        </w:rPr>
        <w:t xml:space="preserve">Förordningen omfattar utbyte av information som genererats genom sammanslagning och analys av data från fartygsrapporteringssystem och andra informationssystem som drivs av eller är tillgängliga för organen och byråerna. Den kommer att främja utbyte av underrättelser mellan byråerna. Detta kommer att möjliggöra för EFCA att införa system för informationsutbyte mellan byråerna, att inleda alla relaterade genomförbarhetsstudier och att inrätta permanent datatjänst (dvs. löpande tillgång till data) och en EU-datanod. Genom att utvärdera sina erfarenheter av de åtgärder för kontroll, inspektion och övervakning som är tillämpliga inom fiskeriområdet via planerna för gemensamt utnyttjande och unionsinspektörer, och genom att utvidga tillämpningsområdet och organisera gemensamma operationer med inspektörer som har befogenheter som rör olika politikområden (människohandel, migrantsmuggling, fiske, gränskontroll, miljö, narkotikahandel, vapenhandel, människohandel, fartygens säkerhet, osv.), kommer EFCA att ha kapacitet att bättre stödja utbytet av de data som inhämtats i samband med byråns kontroll- och inspektionsverksamhet som bland annat omfattar kontrollsystem för fartyg (VMS) och elektroniska rapporteringssystem (ERS). VMS-data är satellitbaserade kontrollsystem. De gör det möjligt att få positionsrapporter i realtid samt historik över förflyttningar till havs för alla fartyg och vid varje tidpunkt. Dessa uppgifter är till stor nytta i samband med migrationskontroll eftersom de möjliggör gränskontroll samt sök- och räddningsinsatser. De kan göra det möjligt att upptäcka ett fiskefartyg som går till en hamn för att ta ombord immigranter. Eftersom dessa data även omfattar fartygets hastighet är det möjligt att till exempel upptäcka ett fartyg som färdas i långsammare takt därför att det är tungt lastat med migranter eller därför att det bogserar ett annat fartyg. ERS-system används av fiskare för elektronisk registrering och överföring av uppgifter om deras fiskeverksamhet. Systemen gör det följaktligen möjligt att upptäcka onormal eller olaglig verksamhet genom jämförelse med liknande data om liknande verksamhet i ett visst område. Eftersom dessa data även omfattar en landningsdeklaration, gör de det möjligt att veta var ett fartyg har landat fångst och eventuellt tagit ombord illegala migranter. </w:t>
      </w:r>
    </w:p>
    <w:p>
      <w:pPr>
        <w:pStyle w:val="ManualNumPar1"/>
        <w:rPr>
          <w:noProof/>
        </w:rPr>
      </w:pPr>
      <w:r>
        <w:t>2.</w:t>
      </w:r>
      <w:r>
        <w:tab/>
      </w:r>
      <w:r>
        <w:rPr>
          <w:noProof/>
        </w:rPr>
        <w:t>Förordningen omfattar övervaknings- och kommunikationstjänster baserade på spjutspetsteknik, inbegripet rymdbaserad och markbaserad infrastruktur och sensorer som monteras på alla typer av plattformar. Detta kommer att göra det möjligt för kontrollbyrån att institutionalisera samarbetet mellan nationella, europeiska och internationella partner. Det innebär också att kontrollbyrån får möjlighet att ta fram en ram för riskbedömning på hög nivå för sin kontroll-, inspektions- och övervakningsverksamhet, som bygger på och utvecklar redan införda nationella och regionala ramar. Ramen kommer i synnerhet att möjliggöra genomförande av verksamhet som syftar till att upptäcka eventuella oegentligheter i samordning med de övriga byråerna. Under de senaste åren har EFCA, genom sitt deltagande i relevanta projekt inom sjunde ramprogrammet och genom samarbetet med Europeiska sjösäkerhetsbyrån (Emsa) för utvecklingen av EFCA:s Marsurv IMDatE, tillägnat sig betydande erfarenhet av jämförelse, analys och tolkning av sjöfartsinformation. EFCA har idag erkänd kapacitet att utföra detaljerad beteendeövervakning, vilket i sin tur medger en effektivare användning av tillgängliga patrullmedel. I egenskap av framtida slutanvändare av säkerhetstjänster inom ramen för Copernicus kommer EFCA att ytterligare utveckla och dela denna kapacitet och resultaten från den med andra byråer.</w:t>
      </w:r>
    </w:p>
    <w:p>
      <w:pPr>
        <w:pStyle w:val="ManualNumPar1"/>
        <w:rPr>
          <w:noProof/>
        </w:rPr>
      </w:pPr>
      <w:r>
        <w:t>3.</w:t>
      </w:r>
      <w:r>
        <w:tab/>
      </w:r>
      <w:r>
        <w:rPr>
          <w:noProof/>
        </w:rPr>
        <w:t>Förordningen omfattar kapacitetsuppbyggnad på nationell nivå och unionsnivå genom utarbetande av riktlinjer, rekommendationer och bästa praxis samt genom stöd till utbildning och utbyte av personal i syfte att förbättra informationsutbytet och samarbetet om kustbevakningstjänster. Detta kommer att möjliggöra för EFCA att öka medvetenheten om sjösäkerhet, sjöfartsskydd, sök- och räddningsinsatser samt gräns- och fiskerikontroll, och man kommer att kunna förbättra expertkunskaperna genom att ta fram och sprida utbildningsmaterial och handböcker. EFCA kan också ge expertrekommendationer om effektiva verkställighetsmetoder med anknytning till förordningar som rör kontroll och övervakning.</w:t>
      </w:r>
    </w:p>
    <w:p>
      <w:pPr>
        <w:pStyle w:val="ManualNumPar1"/>
        <w:rPr>
          <w:noProof/>
        </w:rPr>
      </w:pPr>
      <w:r>
        <w:t>4.</w:t>
      </w:r>
      <w:r>
        <w:tab/>
      </w:r>
      <w:r>
        <w:rPr>
          <w:noProof/>
        </w:rPr>
        <w:t>Förordningen omfattar kapacitetsdelning, inbegripet planering och genomförande av multifunktionella insatser och gemensamt utnyttjande av tillgångar och andra resurser över sektors- och nationsgränser. Den kommer att ge EFCA möjlighet att öka sin kontroll- och inspektionsverksamhet och genomföra nya typer av insatser som syftar till att upptäcka brottslig verksamhet, störa smugglingsrutterna och säkerställa ett effektivt genomförande av EU-lagstiftning och nationell lagstiftning. Befraktning av patrullfartyg kommer att möjliggöra en verkningsfull multifunktionell strategi inte bara när det gäller att upptäcka olagligt fiske och annan brottslig verksamhet, utan också för att främja en mer effektiv förvaltning av EU:s yttre gränser i allmänhet.</w:t>
      </w:r>
    </w:p>
    <w:p>
      <w:pPr>
        <w:pStyle w:val="Text1"/>
        <w:rPr>
          <w:noProof/>
        </w:rPr>
      </w:pP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2015/0308 (COD)</w:t>
      </w:r>
    </w:p>
    <w:p>
      <w:pPr>
        <w:pStyle w:val="Statut"/>
        <w:rPr>
          <w:noProof/>
        </w:rPr>
      </w:pPr>
      <w:r>
        <w:rPr>
          <w:noProof/>
        </w:rPr>
        <w:t>Förslag till</w:t>
      </w:r>
    </w:p>
    <w:p>
      <w:pPr>
        <w:pStyle w:val="Typedudocument"/>
        <w:rPr>
          <w:noProof/>
        </w:rPr>
      </w:pPr>
      <w:r>
        <w:rPr>
          <w:noProof/>
        </w:rPr>
        <w:t>EUROPAPARLAMENTETS OCH RÅDETS FÖRORDNING</w:t>
      </w:r>
    </w:p>
    <w:p>
      <w:pPr>
        <w:pStyle w:val="Titreobjet"/>
        <w:rPr>
          <w:noProof/>
        </w:rPr>
      </w:pPr>
      <w:r>
        <w:rPr>
          <w:noProof/>
        </w:rPr>
        <w:t xml:space="preserve">om ändring av rådets förordning (EG) nr 768/2005 om inrättande av Gemenskapens kontrollorgan för fiske </w:t>
      </w:r>
    </w:p>
    <w:p>
      <w:pPr>
        <w:pStyle w:val="Sous-titreobjet"/>
        <w:rPr>
          <w:noProof/>
        </w:rPr>
      </w:pPr>
      <w:r>
        <w:rPr>
          <w:noProof/>
        </w:rPr>
        <w:t>(Text av betydelse för EES)</w:t>
      </w:r>
    </w:p>
    <w:p>
      <w:pPr>
        <w:pStyle w:val="Institutionquiagit"/>
        <w:rPr>
          <w:noProof/>
        </w:rPr>
      </w:pPr>
      <w:r>
        <w:rPr>
          <w:noProof/>
        </w:rPr>
        <w:t>EUROPAPARLAMENTET OCH EUROPEISKA UNIONENS RÅD HAR ANTAGIT DENNA FÖRORDNING</w:t>
      </w:r>
    </w:p>
    <w:p>
      <w:pPr>
        <w:rPr>
          <w:noProof/>
        </w:rPr>
      </w:pPr>
      <w:r>
        <w:rPr>
          <w:noProof/>
        </w:rPr>
        <w:t>med beaktande av fördraget om Europeiska unionens funktionssätt, särskilt artikel 43.2,</w:t>
      </w:r>
    </w:p>
    <w:p>
      <w:pPr>
        <w:rPr>
          <w:noProof/>
        </w:rPr>
      </w:pPr>
      <w:r>
        <w:rPr>
          <w:noProof/>
        </w:rPr>
        <w:t>med beaktande av Europeiska kommissionens förslag,</w:t>
      </w:r>
    </w:p>
    <w:p>
      <w:pPr>
        <w:rPr>
          <w:noProof/>
        </w:rPr>
      </w:pPr>
      <w:r>
        <w:rPr>
          <w:noProof/>
        </w:rPr>
        <w:t>efter översändande av utkastet till lagstiftningsakt till de nationella parlamenten,</w:t>
      </w:r>
    </w:p>
    <w:p>
      <w:pPr>
        <w:rPr>
          <w:noProof/>
        </w:rPr>
      </w:pPr>
      <w:r>
        <w:rPr>
          <w:noProof/>
        </w:rPr>
        <w:t>med beaktande av Europeiska ekonomiska och sociala kommitténs yttrande,</w:t>
      </w:r>
    </w:p>
    <w:p>
      <w:pPr>
        <w:rPr>
          <w:noProof/>
        </w:rPr>
      </w:pPr>
      <w:r>
        <w:rPr>
          <w:noProof/>
        </w:rPr>
        <w:t>i enlighet med det ordinarie lagstiftningsförfarandet, och</w:t>
      </w:r>
    </w:p>
    <w:p>
      <w:pPr>
        <w:rPr>
          <w:noProof/>
        </w:rPr>
      </w:pPr>
      <w:r>
        <w:rPr>
          <w:noProof/>
        </w:rPr>
        <w:t>av följande skäl:</w:t>
      </w:r>
    </w:p>
    <w:p>
      <w:pPr>
        <w:pStyle w:val="ManualConsidrant"/>
        <w:rPr>
          <w:noProof/>
        </w:rPr>
      </w:pPr>
      <w:r>
        <w:t>(1)</w:t>
      </w:r>
      <w:r>
        <w:tab/>
      </w:r>
      <w:r>
        <w:rPr>
          <w:noProof/>
        </w:rPr>
        <w:t xml:space="preserve">Nationella myndigheter som utför kustbevakningstjänster ansvarar för en rad olika uppdrag, inbegripet – men inte begränsat till – sjöfartssäkerhet, sjöfartsskydd, sök- och räddningsinsatser, gränskontroll, fiskerikontroll, tullkontroll, upprätthållande av lag i allmänhet och miljöskydd. </w:t>
      </w:r>
    </w:p>
    <w:p>
      <w:pPr>
        <w:pStyle w:val="ManualConsidrant"/>
        <w:rPr>
          <w:noProof/>
        </w:rPr>
      </w:pPr>
      <w:r>
        <w:t>(2)</w:t>
      </w:r>
      <w:r>
        <w:tab/>
      </w:r>
      <w:r>
        <w:rPr>
          <w:noProof/>
        </w:rPr>
        <w:t>Europeiska gräns- och kustbevakningsbyrån som inrättas genom förordning XX/XX</w:t>
      </w:r>
      <w:r>
        <w:rPr>
          <w:rStyle w:val="FootnoteReference"/>
          <w:noProof/>
        </w:rPr>
        <w:footnoteReference w:id="2"/>
      </w:r>
      <w:r>
        <w:rPr>
          <w:noProof/>
        </w:rPr>
        <w:t>, Europeiska fiskerikontrollbyrån och Europeiska sjösäkerhetsbyrån som inrättas genom Europaparlamentets och rådets förordning (EG) nr 1406/2002</w:t>
      </w:r>
      <w:r>
        <w:rPr>
          <w:rStyle w:val="FootnoteReference"/>
          <w:noProof/>
        </w:rPr>
        <w:footnoteReference w:id="3"/>
      </w:r>
      <w:r>
        <w:rPr>
          <w:noProof/>
        </w:rPr>
        <w:t xml:space="preserve"> stöder de nationella myndigheterna i utförandet av de flesta av dessa tjänster. </w:t>
      </w:r>
    </w:p>
    <w:p>
      <w:pPr>
        <w:pStyle w:val="ManualConsidrant"/>
        <w:rPr>
          <w:noProof/>
        </w:rPr>
      </w:pPr>
      <w:r>
        <w:t>(3)</w:t>
      </w:r>
      <w:r>
        <w:tab/>
      </w:r>
      <w:r>
        <w:rPr>
          <w:noProof/>
        </w:rPr>
        <w:t>De bör därför stärka samarbetet med varandra och med de nationella myndigheter som utför kustbevakningstjänster, i syfte att uppnå en bättre maritim lägesbild och för att stödja konsekventa och kostnadseffektiva åtgärder.</w:t>
      </w:r>
    </w:p>
    <w:p>
      <w:pPr>
        <w:pStyle w:val="ManualConsidrant"/>
        <w:rPr>
          <w:noProof/>
        </w:rPr>
      </w:pPr>
      <w:r>
        <w:t>(4)</w:t>
      </w:r>
      <w:r>
        <w:tab/>
      </w:r>
      <w:r>
        <w:rPr>
          <w:noProof/>
        </w:rPr>
        <w:t xml:space="preserve">Förordning (EG) nr 768/2005 bör därför ändras i enlighet med detta. </w:t>
      </w:r>
    </w:p>
    <w:p>
      <w:pPr>
        <w:rPr>
          <w:noProof/>
        </w:rPr>
      </w:pPr>
    </w:p>
    <w:p>
      <w:pPr>
        <w:pStyle w:val="Formuledadoption"/>
        <w:rPr>
          <w:noProof/>
        </w:rPr>
      </w:pPr>
      <w:r>
        <w:rPr>
          <w:noProof/>
        </w:rPr>
        <w:t>HÄRIGENOM FÖRESKRIVS FÖLJANDE.</w:t>
      </w:r>
    </w:p>
    <w:p>
      <w:pPr>
        <w:pStyle w:val="Titrearticle"/>
        <w:rPr>
          <w:noProof/>
        </w:rPr>
      </w:pPr>
      <w:r>
        <w:rPr>
          <w:noProof/>
        </w:rPr>
        <w:t>Artikel 1</w:t>
      </w:r>
    </w:p>
    <w:p>
      <w:pPr>
        <w:jc w:val="center"/>
        <w:rPr>
          <w:b/>
          <w:noProof/>
        </w:rPr>
      </w:pPr>
      <w:r>
        <w:rPr>
          <w:b/>
          <w:noProof/>
        </w:rPr>
        <w:t>Ändringar</w:t>
      </w:r>
    </w:p>
    <w:p>
      <w:pPr>
        <w:rPr>
          <w:noProof/>
        </w:rPr>
      </w:pPr>
      <w:r>
        <w:rPr>
          <w:noProof/>
        </w:rPr>
        <w:t>Förordning (EG) nr 768/2005 ska ändras på följande sätt:</w:t>
      </w:r>
    </w:p>
    <w:p>
      <w:pPr>
        <w:rPr>
          <w:noProof/>
        </w:rPr>
      </w:pPr>
      <w:r>
        <w:rPr>
          <w:noProof/>
        </w:rPr>
        <w:t>I artikel 3 ska följande led införas:</w:t>
      </w:r>
    </w:p>
    <w:p>
      <w:pPr>
        <w:rPr>
          <w:noProof/>
        </w:rPr>
      </w:pPr>
      <w:r>
        <w:rPr>
          <w:noProof/>
        </w:rPr>
        <w:t>(j)  Det ska samarbeta med Europeiska gräns- och kustbevakningsbyrån och Europeiska sjösäkerhetsbyrån för att stödja de nationella myndigheter som utför kustbevakningstjänster genom att tillhandahålla tjänster, information, utrustning och utbildning samt genom att samordna multifunktionella insatser.</w:t>
      </w:r>
    </w:p>
    <w:p>
      <w:pPr>
        <w:rPr>
          <w:noProof/>
        </w:rPr>
      </w:pPr>
    </w:p>
    <w:p>
      <w:pPr>
        <w:rPr>
          <w:noProof/>
        </w:rPr>
      </w:pPr>
      <w:r>
        <w:rPr>
          <w:noProof/>
        </w:rPr>
        <w:t>Följande artikel ska införas som artikel 7a:</w:t>
      </w:r>
    </w:p>
    <w:p>
      <w:pPr>
        <w:jc w:val="center"/>
        <w:rPr>
          <w:b/>
          <w:noProof/>
        </w:rPr>
      </w:pPr>
      <w:r>
        <w:rPr>
          <w:b/>
          <w:noProof/>
        </w:rPr>
        <w:t>Artikel 7a</w:t>
      </w:r>
    </w:p>
    <w:p>
      <w:pPr>
        <w:jc w:val="center"/>
        <w:rPr>
          <w:b/>
          <w:noProof/>
        </w:rPr>
      </w:pPr>
      <w:r>
        <w:rPr>
          <w:b/>
          <w:noProof/>
        </w:rPr>
        <w:t>Europeiskt samarbete om kustbevakningstjänster</w:t>
      </w:r>
    </w:p>
    <w:p>
      <w:pPr>
        <w:pStyle w:val="ManualNumPar1"/>
        <w:rPr>
          <w:noProof/>
        </w:rPr>
      </w:pPr>
      <w:r>
        <w:rPr>
          <w:noProof/>
        </w:rPr>
        <w:t>(1)</w:t>
      </w:r>
      <w:r>
        <w:rPr>
          <w:noProof/>
        </w:rPr>
        <w:tab/>
        <w:t>Kontrollbyrån (tidigare kontrollorganet) ska i samarbete med Europeiska gräns- och kustbevakningsbyrån och Europeiska sjösäkerhetsbyrån stödja nationella myndigheter som utför kustbevakningstjänster på nationell nivå och unionsnivå samt, i förekommande fall, på internationell nivå genom</w:t>
      </w:r>
    </w:p>
    <w:p>
      <w:pPr>
        <w:pStyle w:val="Point1"/>
        <w:rPr>
          <w:noProof/>
        </w:rPr>
      </w:pPr>
      <w:r>
        <w:rPr>
          <w:noProof/>
        </w:rPr>
        <w:t>a)</w:t>
      </w:r>
      <w:r>
        <w:rPr>
          <w:noProof/>
        </w:rPr>
        <w:tab/>
        <w:t>delning av information som genererats genom sammanslagning och analys av data från fartygsrapporteringssystem och andra informationssystem som drivs av eller är tillgängliga via byråerna, i enlighet med deras respektive rättsliga grunder och utan att det påverkar medlemsstaternas äganderätt till data,</w:t>
      </w:r>
    </w:p>
    <w:p>
      <w:pPr>
        <w:pStyle w:val="Point1"/>
        <w:rPr>
          <w:noProof/>
        </w:rPr>
      </w:pPr>
      <w:r>
        <w:rPr>
          <w:noProof/>
        </w:rPr>
        <w:t>b)</w:t>
      </w:r>
      <w:r>
        <w:rPr>
          <w:noProof/>
        </w:rPr>
        <w:tab/>
        <w:t>tillhandahållande av övervaknings- och kommunikationstjänster baserade på spjutspetsteknik, inbegripet rymdbaserad och markbaserad infrastruktur och sensorer som monteras på alla typer av plattformar, som till exempel fjärrstyrda luftfartygssystem,</w:t>
      </w:r>
    </w:p>
    <w:p>
      <w:pPr>
        <w:pStyle w:val="Point1"/>
        <w:rPr>
          <w:noProof/>
        </w:rPr>
      </w:pPr>
      <w:r>
        <w:rPr>
          <w:noProof/>
        </w:rPr>
        <w:t>c)</w:t>
      </w:r>
      <w:r>
        <w:rPr>
          <w:noProof/>
        </w:rPr>
        <w:tab/>
        <w:t>kapacitetsuppbyggnad genom utarbetande av riktlinjer, rekommendationer och bästa praxis samt genom stöd till utbildning och utbyte av personal i syfte att förbättra informationsutbytet och samarbetet om kustbevakningstjänster,</w:t>
      </w:r>
    </w:p>
    <w:p>
      <w:pPr>
        <w:pStyle w:val="Point1"/>
        <w:rPr>
          <w:noProof/>
        </w:rPr>
      </w:pPr>
      <w:r>
        <w:rPr>
          <w:noProof/>
        </w:rPr>
        <w:t>d)</w:t>
      </w:r>
      <w:r>
        <w:rPr>
          <w:noProof/>
        </w:rPr>
        <w:tab/>
        <w:t>kapacitetsdelning, inbegripet planering och genomförande av multifunktionella insatser och gemensamt utnyttjande av tillgångar och andra resurser över sektors- och nationsgränser.</w:t>
      </w:r>
    </w:p>
    <w:p>
      <w:pPr>
        <w:ind w:left="720" w:hanging="720"/>
        <w:rPr>
          <w:noProof/>
        </w:rPr>
      </w:pPr>
      <w:r>
        <w:rPr>
          <w:noProof/>
        </w:rPr>
        <w:t>(2)</w:t>
      </w:r>
      <w:r>
        <w:rPr>
          <w:noProof/>
        </w:rPr>
        <w:tab/>
        <w:t>Formerna för Europeiska fiskerikontrollbyråns samarbete om kustbevakningstjänster med Europeiska gräns- och kustbevakningsbyrån och Europeiska sjösäkerhetsbyrån ska fastställas i ett samarbetsavtal, i enlighet med de finansiella regler som är tillämpliga för byråerna.</w:t>
      </w:r>
    </w:p>
    <w:p>
      <w:pPr>
        <w:ind w:left="720" w:hanging="720"/>
        <w:rPr>
          <w:noProof/>
        </w:rPr>
      </w:pPr>
      <w:r>
        <w:rPr>
          <w:noProof/>
        </w:rPr>
        <w:t>(3)</w:t>
      </w:r>
      <w:r>
        <w:rPr>
          <w:noProof/>
        </w:rPr>
        <w:tab/>
        <w:t>Kommissionen får, i form av en rekommendation, anta en handbok om europeiskt samarbete om kustbevakningstjänster, innehållande riktlinjer, rekommendationer och bästa praxis för informationsutbyte och samarbete på nationell nivå, unionsnivå och internationell nivå.</w:t>
      </w:r>
    </w:p>
    <w:p>
      <w:pPr>
        <w:rPr>
          <w:noProof/>
        </w:rPr>
      </w:pPr>
    </w:p>
    <w:p>
      <w:pPr>
        <w:pStyle w:val="Titrearticle"/>
        <w:rPr>
          <w:noProof/>
        </w:rPr>
      </w:pPr>
      <w:r>
        <w:rPr>
          <w:noProof/>
        </w:rPr>
        <w:t>Artikel 2</w:t>
      </w:r>
    </w:p>
    <w:p>
      <w:pPr>
        <w:jc w:val="center"/>
        <w:rPr>
          <w:b/>
          <w:noProof/>
        </w:rPr>
      </w:pPr>
      <w:r>
        <w:rPr>
          <w:b/>
          <w:noProof/>
        </w:rPr>
        <w:t>Ikraftträdande</w:t>
      </w:r>
    </w:p>
    <w:p>
      <w:pPr>
        <w:rPr>
          <w:noProof/>
        </w:rPr>
      </w:pPr>
      <w:r>
        <w:rPr>
          <w:noProof/>
        </w:rPr>
        <w:t xml:space="preserve">Denna förordning träder i kraft den </w:t>
      </w:r>
      <w:r>
        <w:t>tjugonde</w:t>
      </w:r>
      <w:r>
        <w:rPr>
          <w:noProof/>
        </w:rPr>
        <w:t xml:space="preserve"> dagen efter det att den har offentliggjorts i </w:t>
      </w:r>
      <w:r>
        <w:rPr>
          <w:i/>
          <w:noProof/>
        </w:rPr>
        <w:t>Europeiska unionens officiella tidning</w:t>
      </w:r>
      <w:r>
        <w:rPr>
          <w:noProof/>
        </w:rPr>
        <w:t>.</w:t>
      </w:r>
    </w:p>
    <w:p>
      <w:pPr>
        <w:pStyle w:val="Applicationdirecte"/>
        <w:rPr>
          <w:noProof/>
        </w:rPr>
      </w:pPr>
      <w:r>
        <w:rPr>
          <w:noProof/>
        </w:rPr>
        <w:t>Denna förordning är till alla delar bindande och direkt tillämplig i alla medlemsstater.</w:t>
      </w:r>
    </w:p>
    <w:p>
      <w:pPr>
        <w:pStyle w:val="Fait"/>
        <w:rPr>
          <w:noProof/>
        </w:rPr>
      </w:pPr>
      <w:r>
        <w:rPr>
          <w:noProof/>
        </w:rPr>
        <w:t>Utfärdad i Strasbourg den</w:t>
      </w:r>
    </w:p>
    <w:p>
      <w:pPr>
        <w:pStyle w:val="Institutionquisigne"/>
        <w:rPr>
          <w:noProof/>
        </w:rPr>
      </w:pPr>
      <w:r>
        <w:rPr>
          <w:noProof/>
        </w:rPr>
        <w:t>På Europaparlamentets vägnar</w:t>
      </w:r>
      <w:r>
        <w:rPr>
          <w:noProof/>
        </w:rPr>
        <w:tab/>
        <w:t>På rådets vägnar</w:t>
      </w:r>
    </w:p>
    <w:p>
      <w:pPr>
        <w:pStyle w:val="Personnequisigne"/>
        <w:rPr>
          <w:noProof/>
        </w:rPr>
      </w:pPr>
      <w:r>
        <w:rPr>
          <w:noProof/>
        </w:rPr>
        <w:t>Ordförande</w:t>
      </w:r>
      <w:r>
        <w:rPr>
          <w:noProof/>
        </w:rPr>
        <w:tab/>
        <w:t>Ordförande</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t>FINANSIERINGSÖVERSIKT FÖR RÄTTSAKT</w:t>
      </w:r>
    </w:p>
    <w:p>
      <w:pPr>
        <w:pStyle w:val="ManualHeading1"/>
        <w:rPr>
          <w:noProof/>
        </w:rPr>
      </w:pPr>
      <w:r>
        <w:rPr>
          <w:noProof/>
        </w:rPr>
        <w:t>1.</w:t>
      </w:r>
      <w:r>
        <w:rPr>
          <w:noProof/>
        </w:rPr>
        <w:tab/>
        <w:t xml:space="preserve">GRUNDLÄGGANDE UPPGIFTER OM FÖRSLAGET ELLER INITIATIVET </w:t>
      </w:r>
    </w:p>
    <w:p>
      <w:pPr>
        <w:pStyle w:val="ManualHeading2"/>
        <w:rPr>
          <w:b w:val="0"/>
          <w:noProof/>
        </w:rPr>
      </w:pPr>
      <w:r>
        <w:rPr>
          <w:noProof/>
        </w:rPr>
        <w:tab/>
      </w:r>
      <w:r>
        <w:rPr>
          <w:b w:val="0"/>
          <w:noProof/>
        </w:rPr>
        <w:t>1.1.</w:t>
      </w:r>
      <w:r>
        <w:rPr>
          <w:noProof/>
        </w:rPr>
        <w:tab/>
      </w:r>
      <w:r>
        <w:rPr>
          <w:b w:val="0"/>
          <w:noProof/>
        </w:rPr>
        <w:t xml:space="preserve">Förslagets eller initiativets beteckning </w:t>
      </w:r>
    </w:p>
    <w:p>
      <w:pPr>
        <w:pStyle w:val="ManualHeading2"/>
        <w:rPr>
          <w:b w:val="0"/>
          <w:noProof/>
        </w:rPr>
      </w:pPr>
      <w:r>
        <w:rPr>
          <w:noProof/>
        </w:rPr>
        <w:tab/>
      </w:r>
      <w:r>
        <w:rPr>
          <w:b w:val="0"/>
          <w:noProof/>
        </w:rPr>
        <w:t>1.2.</w:t>
      </w:r>
      <w:r>
        <w:rPr>
          <w:noProof/>
        </w:rPr>
        <w:tab/>
      </w:r>
      <w:r>
        <w:rPr>
          <w:b w:val="0"/>
          <w:noProof/>
        </w:rPr>
        <w:t>Berörda politikområden i den verksamhetsbaserade förvaltningen och budgeteringen</w:t>
      </w:r>
    </w:p>
    <w:p>
      <w:pPr>
        <w:pStyle w:val="ManualHeading2"/>
        <w:rPr>
          <w:b w:val="0"/>
          <w:noProof/>
        </w:rPr>
      </w:pPr>
      <w:r>
        <w:rPr>
          <w:noProof/>
        </w:rPr>
        <w:tab/>
      </w:r>
      <w:r>
        <w:rPr>
          <w:b w:val="0"/>
          <w:noProof/>
        </w:rPr>
        <w:t>1.3.</w:t>
      </w:r>
      <w:r>
        <w:rPr>
          <w:noProof/>
        </w:rPr>
        <w:tab/>
      </w:r>
      <w:r>
        <w:rPr>
          <w:b w:val="0"/>
          <w:noProof/>
        </w:rPr>
        <w:t xml:space="preserve">Typ av förslag eller initiativ </w:t>
      </w:r>
    </w:p>
    <w:p>
      <w:pPr>
        <w:pStyle w:val="ManualHeading2"/>
        <w:rPr>
          <w:b w:val="0"/>
          <w:noProof/>
        </w:rPr>
      </w:pPr>
      <w:r>
        <w:rPr>
          <w:noProof/>
        </w:rPr>
        <w:tab/>
      </w:r>
      <w:r>
        <w:rPr>
          <w:b w:val="0"/>
          <w:noProof/>
        </w:rPr>
        <w:t>1.4.</w:t>
      </w:r>
      <w:r>
        <w:rPr>
          <w:noProof/>
        </w:rPr>
        <w:tab/>
      </w:r>
      <w:r>
        <w:rPr>
          <w:b w:val="0"/>
          <w:noProof/>
        </w:rPr>
        <w:t xml:space="preserve">Mål </w:t>
      </w:r>
    </w:p>
    <w:p>
      <w:pPr>
        <w:pStyle w:val="ManualHeading2"/>
        <w:rPr>
          <w:b w:val="0"/>
          <w:noProof/>
        </w:rPr>
      </w:pPr>
      <w:r>
        <w:rPr>
          <w:noProof/>
        </w:rPr>
        <w:tab/>
      </w:r>
      <w:r>
        <w:rPr>
          <w:b w:val="0"/>
          <w:noProof/>
        </w:rPr>
        <w:t>1.5.</w:t>
      </w:r>
      <w:r>
        <w:rPr>
          <w:noProof/>
        </w:rPr>
        <w:tab/>
      </w:r>
      <w:r>
        <w:rPr>
          <w:b w:val="0"/>
          <w:noProof/>
        </w:rPr>
        <w:t xml:space="preserve">Motivering till förslaget eller initiativet </w:t>
      </w:r>
    </w:p>
    <w:p>
      <w:pPr>
        <w:pStyle w:val="ManualHeading2"/>
        <w:rPr>
          <w:b w:val="0"/>
          <w:noProof/>
        </w:rPr>
      </w:pPr>
      <w:r>
        <w:rPr>
          <w:noProof/>
        </w:rPr>
        <w:tab/>
      </w:r>
      <w:r>
        <w:rPr>
          <w:b w:val="0"/>
          <w:noProof/>
        </w:rPr>
        <w:t>1.6.</w:t>
      </w:r>
      <w:r>
        <w:rPr>
          <w:noProof/>
        </w:rPr>
        <w:tab/>
      </w:r>
      <w:r>
        <w:rPr>
          <w:b w:val="0"/>
          <w:noProof/>
        </w:rPr>
        <w:t xml:space="preserve">Tid under vilken åtgärden kommer att pågå respektive påverka resursanvändningen </w:t>
      </w:r>
    </w:p>
    <w:p>
      <w:pPr>
        <w:pStyle w:val="ManualHeading2"/>
        <w:rPr>
          <w:b w:val="0"/>
          <w:noProof/>
        </w:rPr>
      </w:pPr>
      <w:r>
        <w:rPr>
          <w:noProof/>
        </w:rPr>
        <w:tab/>
      </w:r>
      <w:r>
        <w:rPr>
          <w:b w:val="0"/>
          <w:noProof/>
        </w:rPr>
        <w:t>1.7.</w:t>
      </w:r>
      <w:r>
        <w:rPr>
          <w:noProof/>
        </w:rPr>
        <w:tab/>
      </w:r>
      <w:r>
        <w:rPr>
          <w:b w:val="0"/>
          <w:noProof/>
        </w:rPr>
        <w:t xml:space="preserve">Planerad metod för genomförandet </w:t>
      </w:r>
    </w:p>
    <w:p>
      <w:pPr>
        <w:pStyle w:val="ManualHeading1"/>
        <w:rPr>
          <w:noProof/>
        </w:rPr>
      </w:pPr>
      <w:r>
        <w:rPr>
          <w:noProof/>
        </w:rPr>
        <w:t>2.</w:t>
      </w:r>
      <w:r>
        <w:rPr>
          <w:noProof/>
        </w:rPr>
        <w:tab/>
        <w:t xml:space="preserve">FÖRVALTNING </w:t>
      </w:r>
    </w:p>
    <w:p>
      <w:pPr>
        <w:pStyle w:val="ManualHeading2"/>
        <w:rPr>
          <w:b w:val="0"/>
          <w:noProof/>
        </w:rPr>
      </w:pPr>
      <w:r>
        <w:rPr>
          <w:noProof/>
        </w:rPr>
        <w:tab/>
      </w:r>
      <w:r>
        <w:rPr>
          <w:b w:val="0"/>
          <w:noProof/>
        </w:rPr>
        <w:t>2.1.</w:t>
      </w:r>
      <w:r>
        <w:rPr>
          <w:noProof/>
        </w:rPr>
        <w:tab/>
      </w:r>
      <w:r>
        <w:rPr>
          <w:b w:val="0"/>
          <w:noProof/>
        </w:rPr>
        <w:t xml:space="preserve">Bestämmelser om uppföljning och rapportering </w:t>
      </w:r>
    </w:p>
    <w:p>
      <w:pPr>
        <w:pStyle w:val="ManualHeading2"/>
        <w:rPr>
          <w:b w:val="0"/>
          <w:noProof/>
        </w:rPr>
      </w:pPr>
      <w:r>
        <w:rPr>
          <w:noProof/>
        </w:rPr>
        <w:tab/>
      </w:r>
      <w:r>
        <w:rPr>
          <w:b w:val="0"/>
          <w:noProof/>
        </w:rPr>
        <w:t>2.2.</w:t>
      </w:r>
      <w:r>
        <w:rPr>
          <w:noProof/>
        </w:rPr>
        <w:tab/>
      </w:r>
      <w:r>
        <w:rPr>
          <w:b w:val="0"/>
          <w:noProof/>
        </w:rPr>
        <w:t xml:space="preserve">Administrations- och kontrollsystem </w:t>
      </w:r>
    </w:p>
    <w:p>
      <w:pPr>
        <w:pStyle w:val="ManualHeading2"/>
        <w:rPr>
          <w:b w:val="0"/>
          <w:noProof/>
        </w:rPr>
      </w:pPr>
      <w:r>
        <w:rPr>
          <w:noProof/>
        </w:rPr>
        <w:tab/>
      </w:r>
      <w:r>
        <w:rPr>
          <w:b w:val="0"/>
          <w:noProof/>
        </w:rPr>
        <w:t>2.3.</w:t>
      </w:r>
      <w:r>
        <w:rPr>
          <w:noProof/>
        </w:rPr>
        <w:tab/>
      </w:r>
      <w:r>
        <w:rPr>
          <w:b w:val="0"/>
          <w:noProof/>
        </w:rPr>
        <w:t xml:space="preserve">Åtgärder för att förebygga bedrägeri och oegentligheter/oriktigheter </w:t>
      </w:r>
    </w:p>
    <w:p>
      <w:pPr>
        <w:pStyle w:val="ManualHeading1"/>
        <w:rPr>
          <w:noProof/>
        </w:rPr>
      </w:pPr>
      <w:r>
        <w:rPr>
          <w:noProof/>
        </w:rPr>
        <w:t>3.</w:t>
      </w:r>
      <w:r>
        <w:rPr>
          <w:noProof/>
        </w:rPr>
        <w:tab/>
        <w:t xml:space="preserve">BERÄKNADE BUDGETKONSEKVENSER AV FÖRSLAGET ELLER INITIATIVET </w:t>
      </w:r>
    </w:p>
    <w:p>
      <w:pPr>
        <w:pStyle w:val="ManualHeading2"/>
        <w:rPr>
          <w:b w:val="0"/>
          <w:noProof/>
        </w:rPr>
      </w:pPr>
      <w:r>
        <w:rPr>
          <w:noProof/>
        </w:rPr>
        <w:tab/>
      </w:r>
      <w:r>
        <w:rPr>
          <w:b w:val="0"/>
          <w:noProof/>
        </w:rPr>
        <w:t>3.1.</w:t>
      </w:r>
      <w:r>
        <w:rPr>
          <w:noProof/>
        </w:rPr>
        <w:tab/>
      </w:r>
      <w:r>
        <w:rPr>
          <w:b w:val="0"/>
          <w:noProof/>
        </w:rPr>
        <w:t xml:space="preserve">Berörda rubriker i den fleråriga budgetramen och budgetrubriker i den årliga budgetens utgiftsdel </w:t>
      </w:r>
    </w:p>
    <w:p>
      <w:pPr>
        <w:pStyle w:val="ManualHeading2"/>
        <w:rPr>
          <w:noProof/>
        </w:rPr>
      </w:pPr>
      <w:r>
        <w:rPr>
          <w:noProof/>
        </w:rPr>
        <w:tab/>
      </w:r>
      <w:r>
        <w:rPr>
          <w:b w:val="0"/>
          <w:noProof/>
        </w:rPr>
        <w:t>3.2.</w:t>
      </w:r>
      <w:r>
        <w:rPr>
          <w:noProof/>
        </w:rPr>
        <w:tab/>
      </w:r>
      <w:r>
        <w:rPr>
          <w:b w:val="0"/>
          <w:noProof/>
        </w:rPr>
        <w:t>Beräknad inverkan på utgifterna</w:t>
      </w:r>
      <w:r>
        <w:rPr>
          <w:noProof/>
        </w:rPr>
        <w:t xml:space="preserve"> </w:t>
      </w:r>
    </w:p>
    <w:p>
      <w:pPr>
        <w:pStyle w:val="ManualHeading3"/>
        <w:rPr>
          <w:noProof/>
        </w:rPr>
      </w:pPr>
      <w:r>
        <w:rPr>
          <w:noProof/>
        </w:rPr>
        <w:tab/>
        <w:t>3.2.1.</w:t>
      </w:r>
      <w:r>
        <w:rPr>
          <w:noProof/>
        </w:rPr>
        <w:tab/>
        <w:t xml:space="preserve">Sammanfattning av den beräknade inverkan på utgifterna </w:t>
      </w:r>
    </w:p>
    <w:p>
      <w:pPr>
        <w:pStyle w:val="ManualHeading3"/>
        <w:rPr>
          <w:noProof/>
        </w:rPr>
      </w:pPr>
      <w:r>
        <w:rPr>
          <w:noProof/>
        </w:rPr>
        <w:tab/>
        <w:t>3.2.2.</w:t>
      </w:r>
      <w:r>
        <w:rPr>
          <w:noProof/>
        </w:rPr>
        <w:tab/>
        <w:t xml:space="preserve">Beräknad inverkan på driftsanslagen </w:t>
      </w:r>
    </w:p>
    <w:p>
      <w:pPr>
        <w:pStyle w:val="ManualHeading3"/>
        <w:rPr>
          <w:noProof/>
        </w:rPr>
      </w:pPr>
      <w:r>
        <w:rPr>
          <w:noProof/>
        </w:rPr>
        <w:tab/>
        <w:t>3.2.3.</w:t>
      </w:r>
      <w:r>
        <w:rPr>
          <w:noProof/>
        </w:rPr>
        <w:tab/>
        <w:t>Beräknad inverkan på anslag av administrativ natur</w:t>
      </w:r>
    </w:p>
    <w:p>
      <w:pPr>
        <w:pStyle w:val="ManualHeading3"/>
        <w:rPr>
          <w:noProof/>
        </w:rPr>
      </w:pPr>
      <w:r>
        <w:rPr>
          <w:noProof/>
        </w:rPr>
        <w:tab/>
        <w:t>3.2.4.</w:t>
      </w:r>
      <w:r>
        <w:rPr>
          <w:noProof/>
        </w:rPr>
        <w:tab/>
        <w:t>Förenlighet med den gällande fleråriga budgetramen</w:t>
      </w:r>
    </w:p>
    <w:p>
      <w:pPr>
        <w:pStyle w:val="ManualHeading3"/>
        <w:rPr>
          <w:noProof/>
        </w:rPr>
      </w:pPr>
      <w:r>
        <w:rPr>
          <w:noProof/>
        </w:rPr>
        <w:tab/>
        <w:t>3.2.5.</w:t>
      </w:r>
      <w:r>
        <w:rPr>
          <w:noProof/>
        </w:rPr>
        <w:tab/>
        <w:t xml:space="preserve">Bidrag från tredje part </w:t>
      </w:r>
    </w:p>
    <w:p>
      <w:pPr>
        <w:pStyle w:val="ManualHeading2"/>
        <w:jc w:val="left"/>
        <w:rPr>
          <w:b w:val="0"/>
          <w:noProof/>
        </w:rPr>
        <w:sectPr>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Beräknad inverkan på inkomsterna</w:t>
      </w:r>
    </w:p>
    <w:p>
      <w:pPr>
        <w:jc w:val="center"/>
        <w:rPr>
          <w:noProof/>
        </w:rPr>
      </w:pPr>
      <w:r>
        <w:rPr>
          <w:b/>
          <w:noProof/>
          <w:u w:val="single"/>
        </w:rPr>
        <w:t>FINANSIERINGSÖVERSIKT FÖR RÄTTSAKT</w:t>
      </w:r>
    </w:p>
    <w:p>
      <w:pPr>
        <w:pStyle w:val="ManualHeading1"/>
        <w:rPr>
          <w:noProof/>
        </w:rPr>
      </w:pPr>
      <w:r>
        <w:t>1.</w:t>
      </w:r>
      <w:r>
        <w:tab/>
      </w:r>
      <w:r>
        <w:rPr>
          <w:noProof/>
        </w:rPr>
        <w:t xml:space="preserve">GRUNDLÄGGANDE UPPGIFTER OM FÖRSLAGET ELLER INITIATIVET </w:t>
      </w:r>
    </w:p>
    <w:p>
      <w:pPr>
        <w:pStyle w:val="ManualHeading2"/>
        <w:rPr>
          <w:noProof/>
        </w:rPr>
      </w:pPr>
      <w:r>
        <w:t>1.1.</w:t>
      </w:r>
      <w:r>
        <w:tab/>
      </w:r>
      <w:r>
        <w:rPr>
          <w:noProof/>
        </w:rPr>
        <w:t xml:space="preserve">Förslagets eller initiativets beteckning </w:t>
      </w:r>
    </w:p>
    <w:p>
      <w:pPr>
        <w:pStyle w:val="Text1"/>
        <w:pBdr>
          <w:top w:val="single" w:sz="4" w:space="1" w:color="auto"/>
          <w:left w:val="single" w:sz="4" w:space="4" w:color="auto"/>
          <w:bottom w:val="single" w:sz="4" w:space="1" w:color="auto"/>
          <w:right w:val="single" w:sz="4" w:space="4" w:color="auto"/>
        </w:pBdr>
        <w:rPr>
          <w:noProof/>
        </w:rPr>
      </w:pPr>
      <w:r>
        <w:rPr>
          <w:noProof/>
        </w:rPr>
        <w:t>Förslag till Europaparlamentets och rådets förordning om ändring av rådets förordning (EG) nr 768/2005 om inrättande av Gemenskapens kontrollorgan för fiske</w:t>
      </w:r>
    </w:p>
    <w:p>
      <w:pPr>
        <w:pStyle w:val="ManualHeading2"/>
        <w:rPr>
          <w:noProof/>
          <w:szCs w:val="24"/>
        </w:rPr>
      </w:pPr>
      <w:r>
        <w:t>1.2.</w:t>
      </w:r>
      <w:r>
        <w:tab/>
      </w:r>
      <w:r>
        <w:rPr>
          <w:noProof/>
        </w:rPr>
        <w:t>Berörda politikområden i den verksamhetsbaserade förvaltningen och budgeteringen</w:t>
      </w:r>
      <w:r>
        <w:rPr>
          <w:rStyle w:val="FootnoteReference"/>
          <w:noProof/>
        </w:rPr>
        <w:footnoteReference w:id="4"/>
      </w:r>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ABB-verksamhet 06 inom GD Mare: Trygga ett hållbart fiske och en stadig tillgång till fisk och skaldjur, för att utveckla den marina ekonomin och garantera välmående kustsamhällen.</w:t>
      </w:r>
    </w:p>
    <w:p>
      <w:pPr>
        <w:pStyle w:val="ManualHeading2"/>
        <w:rPr>
          <w:bCs/>
          <w:noProof/>
          <w:szCs w:val="24"/>
        </w:rPr>
      </w:pPr>
      <w:r>
        <w:t>1.3.</w:t>
      </w:r>
      <w:r>
        <w:tab/>
      </w:r>
      <w:r>
        <w:rPr>
          <w:noProof/>
        </w:rPr>
        <w:t xml:space="preserve">Typ av förslag eller initiativ </w:t>
      </w:r>
    </w:p>
    <w:p>
      <w:pPr>
        <w:pStyle w:val="Text1"/>
        <w:rPr>
          <w:b/>
          <w:noProof/>
          <w:sz w:val="22"/>
        </w:rPr>
      </w:pPr>
      <w:r>
        <w:rPr>
          <w:noProof/>
          <w:sz w:val="22"/>
        </w:rPr>
        <w:sym w:font="Wingdings" w:char="F0FE"/>
      </w:r>
      <w:r>
        <w:rPr>
          <w:b/>
          <w:i/>
          <w:noProof/>
          <w:sz w:val="22"/>
        </w:rPr>
        <w:t xml:space="preserve"> </w:t>
      </w:r>
      <w:r>
        <w:rPr>
          <w:noProof/>
        </w:rPr>
        <w:t xml:space="preserve"> </w:t>
      </w:r>
      <w:r>
        <w:rPr>
          <w:b/>
          <w:noProof/>
        </w:rPr>
        <w:t>Ny åtgärd</w:t>
      </w:r>
      <w:r>
        <w:rPr>
          <w:b/>
          <w:noProof/>
          <w:sz w:val="22"/>
        </w:rPr>
        <w:t xml:space="preserve"> </w:t>
      </w:r>
    </w:p>
    <w:p>
      <w:pPr>
        <w:pStyle w:val="Text1"/>
        <w:rPr>
          <w:noProof/>
          <w:sz w:val="22"/>
        </w:rPr>
      </w:pPr>
      <w:r>
        <w:rPr>
          <w:noProof/>
          <w:sz w:val="22"/>
        </w:rPr>
        <w:sym w:font="Wingdings" w:char="F0A8"/>
      </w:r>
      <w:r>
        <w:rPr>
          <w:b/>
          <w:noProof/>
        </w:rPr>
        <w:t>Ny åtgärd som bygger på ett pilotprojekt eller en förberedande åtgärd</w:t>
      </w:r>
      <w:r>
        <w:rPr>
          <w:rStyle w:val="FootnoteReference"/>
          <w:b/>
          <w:noProof/>
        </w:rPr>
        <w:footnoteReference w:id="5"/>
      </w:r>
      <w:r>
        <w:rPr>
          <w:noProof/>
          <w:sz w:val="22"/>
        </w:rPr>
        <w:t xml:space="preserve"> </w:t>
      </w:r>
    </w:p>
    <w:p>
      <w:pPr>
        <w:pStyle w:val="Text1"/>
        <w:rPr>
          <w:noProof/>
          <w:sz w:val="22"/>
        </w:rPr>
      </w:pPr>
      <w:r>
        <w:rPr>
          <w:noProof/>
          <w:sz w:val="22"/>
        </w:rPr>
        <w:sym w:font="Wingdings" w:char="F0A8"/>
      </w:r>
      <w:r>
        <w:rPr>
          <w:b/>
          <w:noProof/>
        </w:rPr>
        <w:t>Befintlig åtgärd vars genomförande förlängs i tiden</w:t>
      </w:r>
      <w:r>
        <w:rPr>
          <w:noProof/>
          <w:sz w:val="22"/>
        </w:rPr>
        <w:t xml:space="preserve"> </w:t>
      </w:r>
    </w:p>
    <w:p>
      <w:pPr>
        <w:pStyle w:val="Text1"/>
        <w:rPr>
          <w:noProof/>
        </w:rPr>
      </w:pPr>
      <w:r>
        <w:rPr>
          <w:noProof/>
          <w:sz w:val="22"/>
        </w:rPr>
        <w:sym w:font="Wingdings" w:char="F0A8"/>
      </w:r>
      <w:r>
        <w:rPr>
          <w:b/>
          <w:noProof/>
        </w:rPr>
        <w:t>Tidigare åtgärd som omformas till eller ersätts av en ny</w:t>
      </w:r>
      <w:r>
        <w:rPr>
          <w:noProof/>
        </w:rPr>
        <w:t xml:space="preserve"> </w:t>
      </w:r>
    </w:p>
    <w:p>
      <w:pPr>
        <w:pStyle w:val="ManualHeading2"/>
        <w:rPr>
          <w:bCs/>
          <w:noProof/>
          <w:szCs w:val="24"/>
        </w:rPr>
      </w:pPr>
      <w:r>
        <w:t>1.4.</w:t>
      </w:r>
      <w:r>
        <w:tab/>
      </w:r>
      <w:r>
        <w:rPr>
          <w:noProof/>
        </w:rPr>
        <w:t>Mål</w:t>
      </w:r>
    </w:p>
    <w:p>
      <w:pPr>
        <w:pStyle w:val="ManualHeading3"/>
        <w:rPr>
          <w:noProof/>
        </w:rPr>
      </w:pPr>
      <w:r>
        <w:t>1.4.1.</w:t>
      </w:r>
      <w:r>
        <w:tab/>
      </w:r>
      <w:r>
        <w:rPr>
          <w:noProof/>
        </w:rPr>
        <w:t xml:space="preserve">Fleråriga strategiska mål för kommissionen som förslaget eller initiativet är avsett att bidra till </w:t>
      </w:r>
    </w:p>
    <w:p>
      <w:pPr>
        <w:pStyle w:val="Text1"/>
        <w:pBdr>
          <w:top w:val="single" w:sz="4" w:space="1" w:color="auto"/>
          <w:left w:val="single" w:sz="4" w:space="4" w:color="auto"/>
          <w:bottom w:val="single" w:sz="4" w:space="1" w:color="auto"/>
          <w:right w:val="single" w:sz="4" w:space="4" w:color="auto"/>
        </w:pBdr>
        <w:rPr>
          <w:noProof/>
        </w:rPr>
      </w:pPr>
      <w:r>
        <w:rPr>
          <w:noProof/>
        </w:rPr>
        <w:t xml:space="preserve">Kommissionen intensifierar unionens operativa kapacitet att skydda EU:s gränser och att tillämpa och kraftfullt genomföra de nya gemensamma EU-reglerna för att beivra människohandel. </w:t>
      </w:r>
    </w:p>
    <w:p>
      <w:pPr>
        <w:pStyle w:val="Text1"/>
        <w:pBdr>
          <w:top w:val="single" w:sz="4" w:space="1" w:color="auto"/>
          <w:left w:val="single" w:sz="4" w:space="4" w:color="auto"/>
          <w:bottom w:val="single" w:sz="4" w:space="1" w:color="auto"/>
          <w:right w:val="single" w:sz="4" w:space="4" w:color="auto"/>
        </w:pBdr>
        <w:rPr>
          <w:noProof/>
        </w:rPr>
      </w:pPr>
      <w:r>
        <w:rPr>
          <w:noProof/>
        </w:rPr>
        <w:t xml:space="preserve">Kommissionen inleder en gemensam strategi på EU-nivå för framtida åtgärder för att förbättra samarbetet och samordningen mellan myndigheter i de berörda medlemsstaterna, EU:s byråer och andra organ som utför kustbevakningstjänster, i syfte att gå i riktning mot en EU-kapacitet/ett EU-system för kustbevakning. </w:t>
      </w:r>
    </w:p>
    <w:p>
      <w:pPr>
        <w:pStyle w:val="Text1"/>
        <w:pBdr>
          <w:top w:val="single" w:sz="4" w:space="1" w:color="auto"/>
          <w:left w:val="single" w:sz="4" w:space="4" w:color="auto"/>
          <w:bottom w:val="single" w:sz="4" w:space="1" w:color="auto"/>
          <w:right w:val="single" w:sz="4" w:space="4" w:color="auto"/>
        </w:pBdr>
        <w:rPr>
          <w:noProof/>
        </w:rPr>
      </w:pPr>
      <w:r>
        <w:rPr>
          <w:noProof/>
        </w:rPr>
        <w:t>Europeiska fiskerikontrollbyrån uppmanas att i samarbete med Europeiska gräns- och kustbevakningsbyrån och Europeiska sjösäkerhetsbyrån stödja nationella myndigheter som utför kustbevakningstjänster på nationell nivå och unionsnivå samt, i förekommande fall, på internationell nivå.</w:t>
      </w:r>
    </w:p>
    <w:p>
      <w:pPr>
        <w:pStyle w:val="ManualHeading3"/>
        <w:rPr>
          <w:bCs/>
          <w:noProof/>
          <w:szCs w:val="24"/>
        </w:rPr>
      </w:pPr>
      <w:r>
        <w:t>1.4.2.</w:t>
      </w:r>
      <w:r>
        <w:tab/>
      </w:r>
      <w:r>
        <w:rPr>
          <w:noProof/>
        </w:rPr>
        <w:t xml:space="preserve">Specifika mål eller verksamheter inom den verksamhetsbaserade förvaltningen och budgeteringen som berörs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Specifikt mål nr…</w:t>
      </w:r>
    </w:p>
    <w:p>
      <w:pPr>
        <w:pBdr>
          <w:top w:val="single" w:sz="4" w:space="1" w:color="auto"/>
          <w:left w:val="single" w:sz="4" w:space="4" w:color="auto"/>
          <w:bottom w:val="single" w:sz="4" w:space="1" w:color="auto"/>
          <w:right w:val="single" w:sz="4" w:space="4" w:color="auto"/>
        </w:pBdr>
        <w:ind w:left="850"/>
        <w:rPr>
          <w:noProof/>
          <w:sz w:val="23"/>
          <w:szCs w:val="23"/>
        </w:rPr>
      </w:pPr>
      <w:r>
        <w:rPr>
          <w:noProof/>
        </w:rPr>
        <w:t>Dra nytta av Europeiska fiskerikontrollbyråns erfarenhet och kompetens i den operativa samordningen av kontrollpolitik och i kapacitetsuppbyggnaden, inbegripet i den gemensamma fiskepolitikens internationella dimension, för att stödja nationella myndigheter som utför kustbevakningstjänster på nationell nivå och unionsnivå samt, i förekommande fall, på internationell nivå.</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Berörda verksamheter enligt den verksamhetsbaserade förvaltningen och budgeteringen</w:t>
      </w:r>
    </w:p>
    <w:p>
      <w:pPr>
        <w:pStyle w:val="Text1"/>
        <w:pBdr>
          <w:top w:val="single" w:sz="4" w:space="1" w:color="auto"/>
          <w:left w:val="single" w:sz="4" w:space="4" w:color="auto"/>
          <w:bottom w:val="single" w:sz="4" w:space="1" w:color="auto"/>
          <w:right w:val="single" w:sz="4" w:space="4" w:color="auto"/>
        </w:pBdr>
        <w:rPr>
          <w:noProof/>
        </w:rPr>
      </w:pPr>
      <w:r>
        <w:rPr>
          <w:noProof/>
        </w:rPr>
        <w:t>11.06</w:t>
      </w:r>
    </w:p>
    <w:p>
      <w:pPr>
        <w:pStyle w:val="ManualHeading3"/>
        <w:rPr>
          <w:bCs/>
          <w:noProof/>
          <w:szCs w:val="24"/>
        </w:rPr>
      </w:pPr>
      <w:r>
        <w:t>1.4.3.</w:t>
      </w:r>
      <w:r>
        <w:tab/>
      </w:r>
      <w:r>
        <w:rPr>
          <w:noProof/>
        </w:rPr>
        <w:t>Verkan eller resultat som förväntas</w:t>
      </w:r>
    </w:p>
    <w:p>
      <w:pPr>
        <w:pStyle w:val="Text1"/>
        <w:rPr>
          <w:i/>
          <w:noProof/>
          <w:sz w:val="20"/>
        </w:rPr>
      </w:pPr>
      <w:r>
        <w:rPr>
          <w:i/>
          <w:noProof/>
          <w:sz w:val="20"/>
        </w:rPr>
        <w:t>Beskriv den verkan som förslaget eller initiativet förväntas få på de mottagare eller den del av befolkningen som berörs.</w:t>
      </w:r>
    </w:p>
    <w:p>
      <w:pPr>
        <w:pStyle w:val="Text1"/>
        <w:pBdr>
          <w:top w:val="single" w:sz="4" w:space="1" w:color="auto"/>
          <w:left w:val="single" w:sz="4" w:space="4" w:color="auto"/>
          <w:bottom w:val="single" w:sz="4" w:space="1" w:color="auto"/>
          <w:right w:val="single" w:sz="4" w:space="4" w:color="auto"/>
        </w:pBdr>
        <w:rPr>
          <w:noProof/>
        </w:rPr>
      </w:pPr>
      <w:r>
        <w:rPr>
          <w:noProof/>
        </w:rPr>
        <w:t>Få till stånd en faktisk maritim lägesbild och effektiva underrättelser genom att ta fram en gemensam erkänd lägesbild över verksamheter på havet (</w:t>
      </w:r>
      <w:r>
        <w:rPr>
          <w:i/>
          <w:noProof/>
        </w:rPr>
        <w:t>operational surface picture</w:t>
      </w:r>
      <w:r>
        <w:rPr>
          <w:noProof/>
        </w:rPr>
        <w:t>) för EU, som delas av EU:s byråer och medlemsstaterna.</w:t>
      </w:r>
    </w:p>
    <w:p>
      <w:pPr>
        <w:pStyle w:val="Text1"/>
        <w:pBdr>
          <w:top w:val="single" w:sz="4" w:space="1" w:color="auto"/>
          <w:left w:val="single" w:sz="4" w:space="4" w:color="auto"/>
          <w:bottom w:val="single" w:sz="4" w:space="1" w:color="auto"/>
          <w:right w:val="single" w:sz="4" w:space="4" w:color="auto"/>
        </w:pBdr>
        <w:rPr>
          <w:noProof/>
        </w:rPr>
      </w:pPr>
      <w:r>
        <w:rPr>
          <w:noProof/>
        </w:rPr>
        <w:t>Uppnå en hög sannolikhet att upptäcka, identifiera, klassificera och spåra fartyg och båtar som är på väg mot eller befinner sig i EU:s vatten och deras verksamhet.</w:t>
      </w:r>
    </w:p>
    <w:p>
      <w:pPr>
        <w:pStyle w:val="Text1"/>
        <w:pBdr>
          <w:top w:val="single" w:sz="4" w:space="1" w:color="auto"/>
          <w:left w:val="single" w:sz="4" w:space="4" w:color="auto"/>
          <w:bottom w:val="single" w:sz="4" w:space="1" w:color="auto"/>
          <w:right w:val="single" w:sz="4" w:space="4" w:color="auto"/>
        </w:pBdr>
        <w:rPr>
          <w:noProof/>
        </w:rPr>
      </w:pPr>
      <w:r>
        <w:rPr>
          <w:noProof/>
        </w:rPr>
        <w:t>Uppnå mångsidighet, reaktionsförmåga, effektivitet och ändamålsenlighet i utnyttjandet av operativ kapacitet, inklusive fjärrstyrda luftfartygssystem i en sektorsövergripande strategi.</w:t>
      </w:r>
    </w:p>
    <w:p>
      <w:pPr>
        <w:pStyle w:val="Text1"/>
        <w:pBdr>
          <w:top w:val="single" w:sz="4" w:space="1" w:color="auto"/>
          <w:left w:val="single" w:sz="4" w:space="4" w:color="auto"/>
          <w:bottom w:val="single" w:sz="4" w:space="1" w:color="auto"/>
          <w:right w:val="single" w:sz="4" w:space="4" w:color="auto"/>
        </w:pBdr>
        <w:rPr>
          <w:noProof/>
        </w:rPr>
      </w:pPr>
      <w:r>
        <w:rPr>
          <w:noProof/>
        </w:rPr>
        <w:t>Skapa lika villkor när det gäller att se till att den operativa personal som deltar i medlemsstaternas, EU-byråernas och, i förekommande fall, tredjeländers kustbevakningstjänster arbetar för att uppnå de politiska målen, samarbetar, utbyter personal, information och underrättelser och följer gemensamma metoder genom utarbetandet av gemensamma riktlinjer, bästa praxis, doktrinutbildning och annan kapacitetsbyggande verksamhet.</w:t>
      </w:r>
    </w:p>
    <w:p>
      <w:pPr>
        <w:pStyle w:val="ManualHeading3"/>
        <w:rPr>
          <w:bCs/>
          <w:noProof/>
          <w:szCs w:val="24"/>
        </w:rPr>
      </w:pPr>
      <w:r>
        <w:t>1.4.4.</w:t>
      </w:r>
      <w:r>
        <w:tab/>
      </w:r>
      <w:r>
        <w:rPr>
          <w:noProof/>
        </w:rPr>
        <w:t xml:space="preserve">Indikatorer för bedömning av resultat eller verkan </w:t>
      </w:r>
    </w:p>
    <w:p>
      <w:pPr>
        <w:pStyle w:val="Text1"/>
        <w:rPr>
          <w:i/>
          <w:noProof/>
          <w:sz w:val="20"/>
        </w:rPr>
      </w:pPr>
      <w:r>
        <w:rPr>
          <w:i/>
          <w:noProof/>
          <w:sz w:val="20"/>
        </w:rPr>
        <w:t>Ange vilka indikatorer som ska användas för att följa upp hur förslaget eller initiativet genomförs.</w:t>
      </w:r>
    </w:p>
    <w:p>
      <w:pPr>
        <w:pStyle w:val="Text1"/>
        <w:pBdr>
          <w:top w:val="single" w:sz="4" w:space="1" w:color="auto"/>
          <w:left w:val="single" w:sz="4" w:space="4" w:color="auto"/>
          <w:bottom w:val="single" w:sz="4" w:space="1" w:color="auto"/>
          <w:right w:val="single" w:sz="4" w:space="4" w:color="auto"/>
        </w:pBdr>
        <w:rPr>
          <w:noProof/>
        </w:rPr>
      </w:pPr>
      <w:r>
        <w:rPr>
          <w:b/>
          <w:noProof/>
        </w:rPr>
        <w:t>Faktisk lägesbild:</w:t>
      </w:r>
      <w:r>
        <w:rPr>
          <w:noProof/>
        </w:rPr>
        <w:t xml:space="preserve"> Andel (i %) EU-byråer och organ i medlemsstaterna som deltar i kustbevakningstjänster och har tillgång till EU:s gemensamma erkända operativa lägesbild över havet och förser denna med information.</w:t>
      </w:r>
    </w:p>
    <w:p>
      <w:pPr>
        <w:pStyle w:val="Text1"/>
        <w:pBdr>
          <w:top w:val="single" w:sz="4" w:space="1" w:color="auto"/>
          <w:left w:val="single" w:sz="4" w:space="4" w:color="auto"/>
          <w:bottom w:val="single" w:sz="4" w:space="1" w:color="auto"/>
          <w:right w:val="single" w:sz="4" w:space="4" w:color="auto"/>
        </w:pBdr>
        <w:rPr>
          <w:noProof/>
        </w:rPr>
      </w:pPr>
      <w:r>
        <w:rPr>
          <w:b/>
          <w:noProof/>
        </w:rPr>
        <w:t>Hög sannolikhet att upptäcka:</w:t>
      </w:r>
      <w:r>
        <w:rPr>
          <w:noProof/>
        </w:rPr>
        <w:t xml:space="preserve"> Andel (i %) fartyg som spårats genom samarbetssystemen, slumpvis jämfört med system som inte omfattar samarbete.</w:t>
      </w:r>
    </w:p>
    <w:p>
      <w:pPr>
        <w:pStyle w:val="Text1"/>
        <w:pBdr>
          <w:top w:val="single" w:sz="4" w:space="1" w:color="auto"/>
          <w:left w:val="single" w:sz="4" w:space="4" w:color="auto"/>
          <w:bottom w:val="single" w:sz="4" w:space="1" w:color="auto"/>
          <w:right w:val="single" w:sz="4" w:space="4" w:color="auto"/>
        </w:pBdr>
        <w:rPr>
          <w:noProof/>
        </w:rPr>
      </w:pPr>
      <w:r>
        <w:rPr>
          <w:noProof/>
        </w:rPr>
        <w:t>Hög sannolikhet för identifiering, klassificering och spårning: respektive andel (i %) jämfört med antalet spårade fartyg.</w:t>
      </w:r>
    </w:p>
    <w:p>
      <w:pPr>
        <w:pStyle w:val="Text1"/>
        <w:pBdr>
          <w:top w:val="single" w:sz="4" w:space="1" w:color="auto"/>
          <w:left w:val="single" w:sz="4" w:space="4" w:color="auto"/>
          <w:bottom w:val="single" w:sz="4" w:space="1" w:color="auto"/>
          <w:right w:val="single" w:sz="4" w:space="4" w:color="auto"/>
        </w:pBdr>
        <w:rPr>
          <w:noProof/>
        </w:rPr>
      </w:pPr>
      <w:r>
        <w:rPr>
          <w:b/>
          <w:noProof/>
        </w:rPr>
        <w:t>Utnyttjande av operativ kapacitet:</w:t>
      </w:r>
      <w:r>
        <w:rPr>
          <w:noProof/>
        </w:rPr>
        <w:t xml:space="preserve"> andel (i %) operativ kapacitet som utnyttjats jämfört med vad som planerats.</w:t>
      </w:r>
    </w:p>
    <w:p>
      <w:pPr>
        <w:pStyle w:val="Text1"/>
        <w:pBdr>
          <w:top w:val="single" w:sz="4" w:space="1" w:color="auto"/>
          <w:left w:val="single" w:sz="4" w:space="4" w:color="auto"/>
          <w:bottom w:val="single" w:sz="4" w:space="1" w:color="auto"/>
          <w:right w:val="single" w:sz="4" w:space="4" w:color="auto"/>
        </w:pBdr>
        <w:rPr>
          <w:noProof/>
        </w:rPr>
      </w:pPr>
      <w:r>
        <w:rPr>
          <w:b/>
          <w:noProof/>
        </w:rPr>
        <w:t>Lika villkor:</w:t>
      </w:r>
      <w:r>
        <w:rPr>
          <w:noProof/>
        </w:rPr>
        <w:t xml:space="preserve"> andel (i %) operativ personal som deltar i medlemsstaternas, EU-byråernas och, i förekommande fall, tredjeländers kustbevakningstjänster som genomgått sektorsövergripande utbildning.</w:t>
      </w:r>
    </w:p>
    <w:p>
      <w:pPr>
        <w:pStyle w:val="ManualHeading2"/>
        <w:rPr>
          <w:bCs/>
          <w:noProof/>
          <w:szCs w:val="24"/>
        </w:rPr>
      </w:pPr>
      <w:r>
        <w:t>1.5.</w:t>
      </w:r>
      <w:r>
        <w:tab/>
      </w:r>
      <w:r>
        <w:rPr>
          <w:noProof/>
        </w:rPr>
        <w:t xml:space="preserve">Motivering till förslaget eller initiativet </w:t>
      </w:r>
    </w:p>
    <w:p>
      <w:pPr>
        <w:pStyle w:val="ManualHeading3"/>
        <w:rPr>
          <w:noProof/>
        </w:rPr>
      </w:pPr>
      <w:r>
        <w:t>1.5.1.</w:t>
      </w:r>
      <w:r>
        <w:tab/>
      </w:r>
      <w:r>
        <w:rPr>
          <w:noProof/>
        </w:rPr>
        <w:t xml:space="preserve">Behov som ska tillgodoses på kort eller lång sikt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Formerna för Europeiska fiskerikontrollbyråns samarbete om kustbevakningstjänster med Europeiska gräns- och kustbevakningsbyrån och Europeiska sjösäkerhetsbyrån ska fastställas i ett samarbetsavtal, i enlighet med de finansiella regler som är tillämpliga för byråerna. </w:t>
      </w:r>
    </w:p>
    <w:p>
      <w:pPr>
        <w:pStyle w:val="Text1"/>
        <w:pBdr>
          <w:top w:val="single" w:sz="4" w:space="1" w:color="auto"/>
          <w:left w:val="single" w:sz="4" w:space="4" w:color="auto"/>
          <w:bottom w:val="single" w:sz="4" w:space="1" w:color="auto"/>
          <w:right w:val="single" w:sz="4" w:space="4" w:color="auto"/>
        </w:pBdr>
        <w:rPr>
          <w:noProof/>
        </w:rPr>
      </w:pPr>
      <w:r>
        <w:rPr>
          <w:noProof/>
        </w:rPr>
        <w:t>Kommissionen får anta genomförandebestämmelser i enlighet med artikel 110 i rådets förordning 1224/2009.</w:t>
      </w:r>
    </w:p>
    <w:p>
      <w:pPr>
        <w:pStyle w:val="ManualHeading3"/>
        <w:rPr>
          <w:bCs/>
          <w:noProof/>
          <w:szCs w:val="24"/>
        </w:rPr>
      </w:pPr>
      <w:r>
        <w:t>1.5.2.</w:t>
      </w:r>
      <w:r>
        <w:tab/>
      </w:r>
      <w:r>
        <w:rPr>
          <w:noProof/>
        </w:rPr>
        <w:t>Mervärdet av en åtgärd på unionsnivå</w:t>
      </w:r>
    </w:p>
    <w:p>
      <w:pPr>
        <w:pStyle w:val="Text1"/>
        <w:pBdr>
          <w:top w:val="single" w:sz="4" w:space="1" w:color="auto"/>
          <w:left w:val="single" w:sz="4" w:space="4" w:color="auto"/>
          <w:bottom w:val="single" w:sz="4" w:space="1" w:color="auto"/>
          <w:right w:val="single" w:sz="4" w:space="4" w:color="auto"/>
        </w:pBdr>
        <w:rPr>
          <w:b/>
          <w:noProof/>
        </w:rPr>
      </w:pPr>
      <w:r>
        <w:rPr>
          <w:b/>
          <w:noProof/>
        </w:rPr>
        <w:t>EU:s deltagande kommer att vara avgörande, eftersom medlemsstaternas åtgärder inte gör det möjligt att uppnå de politiska målen:</w:t>
      </w:r>
    </w:p>
    <w:p>
      <w:pPr>
        <w:pStyle w:val="Text1"/>
        <w:pBdr>
          <w:top w:val="single" w:sz="4" w:space="1" w:color="auto"/>
          <w:left w:val="single" w:sz="4" w:space="4" w:color="auto"/>
          <w:bottom w:val="single" w:sz="4" w:space="1" w:color="auto"/>
          <w:right w:val="single" w:sz="4" w:space="4" w:color="auto"/>
        </w:pBdr>
        <w:rPr>
          <w:noProof/>
        </w:rPr>
      </w:pPr>
      <w:r>
        <w:rPr>
          <w:noProof/>
        </w:rPr>
        <w:t xml:space="preserve">Ansvaret för utförandet av kustbevakningstjänster är fördelat på 316 offentliga myndigheter i EU:s medlemsstater. </w:t>
      </w:r>
    </w:p>
    <w:p>
      <w:pPr>
        <w:pStyle w:val="Text1"/>
        <w:pBdr>
          <w:top w:val="single" w:sz="4" w:space="1" w:color="auto"/>
          <w:left w:val="single" w:sz="4" w:space="4" w:color="auto"/>
          <w:bottom w:val="single" w:sz="4" w:space="1" w:color="auto"/>
          <w:right w:val="single" w:sz="4" w:space="4" w:color="auto"/>
        </w:pBdr>
        <w:rPr>
          <w:noProof/>
        </w:rPr>
      </w:pPr>
      <w:r>
        <w:rPr>
          <w:noProof/>
        </w:rPr>
        <w:t>Även om de redan samarbetar och utvecklar synergier kvarstår viss silomentalitet inom EU:s byråer.</w:t>
      </w:r>
    </w:p>
    <w:p>
      <w:pPr>
        <w:pStyle w:val="Text1"/>
        <w:pBdr>
          <w:top w:val="single" w:sz="4" w:space="1" w:color="auto"/>
          <w:left w:val="single" w:sz="4" w:space="4" w:color="auto"/>
          <w:bottom w:val="single" w:sz="4" w:space="1" w:color="auto"/>
          <w:right w:val="single" w:sz="4" w:space="4" w:color="auto"/>
        </w:pBdr>
        <w:rPr>
          <w:b/>
          <w:noProof/>
        </w:rPr>
      </w:pPr>
      <w:r>
        <w:rPr>
          <w:b/>
          <w:noProof/>
        </w:rPr>
        <w:t>En förbättrad kapacitetsdelning mellan kustbevakningsmyndigheter och EU-byråer kommer att bidra till att uppnå mångsidighet, reaktionsförmåga, effektivitet och ändamålsenlighet.</w:t>
      </w:r>
    </w:p>
    <w:p>
      <w:pPr>
        <w:pStyle w:val="ManualHeading3"/>
        <w:rPr>
          <w:bCs/>
          <w:noProof/>
          <w:szCs w:val="24"/>
        </w:rPr>
      </w:pPr>
      <w:r>
        <w:t>1.5.3.</w:t>
      </w:r>
      <w:r>
        <w:tab/>
      </w:r>
      <w:r>
        <w:rPr>
          <w:noProof/>
        </w:rPr>
        <w:t>Huvudsakliga erfarenheter från liknande försök eller åtgärder</w:t>
      </w:r>
    </w:p>
    <w:p>
      <w:pPr>
        <w:pStyle w:val="Text1"/>
        <w:pBdr>
          <w:top w:val="single" w:sz="4" w:space="1" w:color="auto"/>
          <w:left w:val="single" w:sz="4" w:space="4" w:color="auto"/>
          <w:bottom w:val="single" w:sz="4" w:space="1" w:color="auto"/>
          <w:right w:val="single" w:sz="4" w:space="4" w:color="auto"/>
        </w:pBdr>
        <w:rPr>
          <w:noProof/>
        </w:rPr>
      </w:pPr>
      <w:r>
        <w:rPr>
          <w:noProof/>
        </w:rPr>
        <w:t>Samordningen mellan medlemsstater som deltar i det kontrollsystem enligt den gemensamma fiskeripolitiken som tillämpas genom planer för gemensamt utnyttjande har visat sig vara relevant, effektiv och ändamålsenlig när det gäller att förbättra hållbarheten för vissa fiskebestånd som blåfenad tonfisk eller torsk osv.</w:t>
      </w:r>
    </w:p>
    <w:p>
      <w:pPr>
        <w:pStyle w:val="ManualHeading3"/>
        <w:rPr>
          <w:bCs/>
          <w:noProof/>
          <w:szCs w:val="24"/>
        </w:rPr>
      </w:pPr>
      <w:r>
        <w:t>1.5.4.</w:t>
      </w:r>
      <w:r>
        <w:tab/>
      </w:r>
      <w:r>
        <w:rPr>
          <w:noProof/>
        </w:rPr>
        <w:t>Förenlighet med andra finansieringsformer och eventuella synergieffekter</w:t>
      </w:r>
    </w:p>
    <w:p>
      <w:pPr>
        <w:pStyle w:val="Text1"/>
        <w:pBdr>
          <w:top w:val="single" w:sz="4" w:space="1" w:color="auto"/>
          <w:left w:val="single" w:sz="4" w:space="4" w:color="auto"/>
          <w:bottom w:val="single" w:sz="4" w:space="1" w:color="auto"/>
          <w:right w:val="single" w:sz="4" w:space="4" w:color="auto"/>
        </w:pBdr>
        <w:rPr>
          <w:noProof/>
        </w:rPr>
      </w:pPr>
      <w:r>
        <w:rPr>
          <w:noProof/>
        </w:rPr>
        <w:t>Medlemsstaterna kanfå anslag från Europeiska havs- och fiskerifonden (EHFF).</w:t>
      </w:r>
    </w:p>
    <w:p>
      <w:pPr>
        <w:pStyle w:val="ManualHeading2"/>
        <w:rPr>
          <w:bCs/>
          <w:noProof/>
          <w:szCs w:val="24"/>
        </w:rPr>
      </w:pPr>
      <w:r>
        <w:rPr>
          <w:noProof/>
        </w:rPr>
        <w:br w:type="page"/>
      </w:r>
      <w:r>
        <w:t>1.6.</w:t>
      </w:r>
      <w:r>
        <w:tab/>
      </w:r>
      <w:r>
        <w:rPr>
          <w:noProof/>
        </w:rPr>
        <w:t xml:space="preserve">Tid under vilken åtgärden kommer att pågå respektive påverka resursanvändningen </w:t>
      </w:r>
    </w:p>
    <w:p>
      <w:pPr>
        <w:pStyle w:val="Text1"/>
        <w:rPr>
          <w:noProof/>
        </w:rPr>
      </w:pPr>
      <w:r>
        <w:rPr>
          <w:noProof/>
        </w:rPr>
        <w:sym w:font="Wingdings" w:char="F0A8"/>
      </w:r>
      <w:r>
        <w:rPr>
          <w:noProof/>
        </w:rPr>
        <w:t xml:space="preserve">Förslag eller initiativ som pågår under </w:t>
      </w:r>
      <w:r>
        <w:rPr>
          <w:b/>
          <w:noProof/>
        </w:rPr>
        <w:t xml:space="preserve">begränsad tid </w:t>
      </w:r>
    </w:p>
    <w:p>
      <w:pPr>
        <w:pStyle w:val="ListDash2"/>
        <w:rPr>
          <w:noProof/>
        </w:rPr>
      </w:pPr>
      <w:r>
        <w:rPr>
          <w:noProof/>
        </w:rPr>
        <w:sym w:font="Wingdings" w:char="F0A8"/>
      </w:r>
      <w:r>
        <w:rPr>
          <w:noProof/>
        </w:rPr>
        <w:tab/>
      </w:r>
      <w:r>
        <w:rPr>
          <w:noProof/>
        </w:rPr>
        <w:sym w:font="Wingdings" w:char="F0A8"/>
      </w:r>
      <w:r>
        <w:rPr>
          <w:noProof/>
        </w:rPr>
        <w:t xml:space="preserve">Förslaget eller initiativet ska gälla från [den DD/MM]ÅÅÅÅ till [den DD/MM]ÅÅÅÅ. </w:t>
      </w:r>
    </w:p>
    <w:p>
      <w:pPr>
        <w:pStyle w:val="ListDash2"/>
        <w:rPr>
          <w:noProof/>
        </w:rPr>
      </w:pPr>
      <w:r>
        <w:rPr>
          <w:noProof/>
        </w:rPr>
        <w:sym w:font="Wingdings" w:char="F0A8"/>
      </w:r>
      <w:r>
        <w:rPr>
          <w:noProof/>
        </w:rPr>
        <w:tab/>
      </w:r>
      <w:r>
        <w:rPr>
          <w:noProof/>
        </w:rPr>
        <w:sym w:font="Wingdings" w:char="F0A8"/>
      </w:r>
      <w:r>
        <w:rPr>
          <w:noProof/>
        </w:rPr>
        <w:t xml:space="preserve">Det påverkar resursanvändningen från ÅÅÅÅ till ÅÅÅÅ. </w:t>
      </w:r>
    </w:p>
    <w:p>
      <w:pPr>
        <w:pStyle w:val="Text1"/>
        <w:rPr>
          <w:noProof/>
        </w:rPr>
      </w:pPr>
      <w:r>
        <w:rPr>
          <w:noProof/>
        </w:rPr>
        <w:sym w:font="Wingdings" w:char="F0FE"/>
      </w:r>
      <w:r>
        <w:rPr>
          <w:noProof/>
        </w:rPr>
        <w:t xml:space="preserve">Förslag eller initiativ som pågår under </w:t>
      </w:r>
      <w:r>
        <w:rPr>
          <w:b/>
          <w:noProof/>
        </w:rPr>
        <w:t>en obegränsad tid</w:t>
      </w:r>
    </w:p>
    <w:p>
      <w:pPr>
        <w:pStyle w:val="ListDash1"/>
        <w:rPr>
          <w:noProof/>
        </w:rPr>
      </w:pPr>
      <w:r>
        <w:rPr>
          <w:noProof/>
        </w:rPr>
        <w:t>Efter en inledande period 2016–2017,</w:t>
      </w:r>
    </w:p>
    <w:p>
      <w:pPr>
        <w:pStyle w:val="ListDash1"/>
        <w:rPr>
          <w:noProof/>
        </w:rPr>
      </w:pPr>
      <w:r>
        <w:rPr>
          <w:noProof/>
        </w:rPr>
        <w:t>beräknas genomförandetakten nå en stabil nivå.</w:t>
      </w:r>
    </w:p>
    <w:p>
      <w:pPr>
        <w:pStyle w:val="ManualHeading2"/>
        <w:rPr>
          <w:bCs/>
          <w:noProof/>
          <w:szCs w:val="24"/>
        </w:rPr>
      </w:pPr>
      <w:r>
        <w:t>1.7.</w:t>
      </w:r>
      <w:r>
        <w:tab/>
      </w:r>
      <w:r>
        <w:rPr>
          <w:noProof/>
        </w:rPr>
        <w:t>Planerad metod för genomförandet</w:t>
      </w:r>
      <w:r>
        <w:rPr>
          <w:rStyle w:val="FootnoteReference"/>
          <w:noProof/>
        </w:rPr>
        <w:footnoteReference w:id="6"/>
      </w:r>
      <w:r>
        <w:rPr>
          <w:rStyle w:val="FootnoteReference"/>
          <w:noProof/>
        </w:rPr>
        <w:t xml:space="preserve"> </w:t>
      </w:r>
    </w:p>
    <w:p>
      <w:pPr>
        <w:pStyle w:val="Text1"/>
        <w:rPr>
          <w:noProof/>
        </w:rPr>
      </w:pPr>
      <w:r>
        <w:rPr>
          <w:noProof/>
        </w:rPr>
        <w:sym w:font="Wingdings" w:char="F0A8"/>
      </w:r>
      <w:r>
        <w:rPr>
          <w:b/>
          <w:noProof/>
        </w:rPr>
        <w:t xml:space="preserve">Direkt förvaltning </w:t>
      </w:r>
      <w:r>
        <w:rPr>
          <w:noProof/>
        </w:rPr>
        <w:t>som sköts av kommissionen</w:t>
      </w:r>
    </w:p>
    <w:p>
      <w:pPr>
        <w:pStyle w:val="ListDash2"/>
        <w:rPr>
          <w:rFonts w:cs="EUAlbertina"/>
          <w:noProof/>
        </w:rPr>
      </w:pPr>
      <w:r>
        <w:rPr>
          <w:noProof/>
        </w:rPr>
        <w:sym w:font="Wingdings" w:char="F0A8"/>
      </w:r>
      <w:r>
        <w:rPr>
          <w:noProof/>
        </w:rPr>
        <w:t xml:space="preserve">inom dess avdelningar, vilket också inbegriper personalen vid unionens delegationer </w:t>
      </w:r>
    </w:p>
    <w:p>
      <w:pPr>
        <w:pStyle w:val="ListDash2"/>
        <w:rPr>
          <w:noProof/>
        </w:rPr>
      </w:pPr>
      <w:r>
        <w:rPr>
          <w:noProof/>
        </w:rPr>
        <w:sym w:font="Wingdings" w:char="F0A8"/>
      </w:r>
      <w:r>
        <w:rPr>
          <w:noProof/>
        </w:rPr>
        <w:tab/>
      </w:r>
      <w:r>
        <w:rPr>
          <w:noProof/>
        </w:rPr>
        <w:sym w:font="Wingdings" w:char="F0A8"/>
      </w:r>
      <w:r>
        <w:rPr>
          <w:noProof/>
        </w:rPr>
        <w:t xml:space="preserve">via genomförandeorgan </w:t>
      </w:r>
    </w:p>
    <w:p>
      <w:pPr>
        <w:pStyle w:val="Text1"/>
        <w:rPr>
          <w:noProof/>
        </w:rPr>
      </w:pPr>
      <w:r>
        <w:rPr>
          <w:noProof/>
        </w:rPr>
        <w:sym w:font="Wingdings" w:char="F0A8"/>
      </w:r>
      <w:r>
        <w:rPr>
          <w:b/>
          <w:i/>
          <w:noProof/>
        </w:rPr>
        <w:t xml:space="preserve"> </w:t>
      </w:r>
      <w:r>
        <w:rPr>
          <w:b/>
          <w:noProof/>
        </w:rPr>
        <w:t xml:space="preserve">Delad förvaltning </w:t>
      </w:r>
      <w:r>
        <w:rPr>
          <w:noProof/>
        </w:rPr>
        <w:t xml:space="preserve">med medlemsstaterna </w:t>
      </w:r>
    </w:p>
    <w:p>
      <w:pPr>
        <w:pStyle w:val="Text1"/>
        <w:rPr>
          <w:noProof/>
        </w:rPr>
      </w:pPr>
      <w:r>
        <w:rPr>
          <w:noProof/>
        </w:rPr>
        <w:sym w:font="Wingdings" w:char="F0FE"/>
      </w:r>
      <w:r>
        <w:rPr>
          <w:i/>
          <w:noProof/>
        </w:rPr>
        <w:t xml:space="preserve"> </w:t>
      </w:r>
      <w:r>
        <w:rPr>
          <w:b/>
          <w:noProof/>
        </w:rPr>
        <w:t>Indirekt förvaltning</w:t>
      </w:r>
      <w:r>
        <w:rPr>
          <w:noProof/>
        </w:rPr>
        <w:t xml:space="preserve"> genom att uppgifter som ingår i budgetgenomförandet delegeras till</w:t>
      </w:r>
    </w:p>
    <w:p>
      <w:pPr>
        <w:pStyle w:val="ListDash2"/>
        <w:rPr>
          <w:noProof/>
        </w:rPr>
      </w:pPr>
      <w:r>
        <w:rPr>
          <w:noProof/>
        </w:rPr>
        <w:sym w:font="Wingdings" w:char="F0A8"/>
      </w:r>
      <w:r>
        <w:rPr>
          <w:noProof/>
        </w:rPr>
        <w:t>tredjeländer eller organ som de har utsett</w:t>
      </w:r>
    </w:p>
    <w:p>
      <w:pPr>
        <w:pStyle w:val="ListDash2"/>
        <w:rPr>
          <w:noProof/>
        </w:rPr>
      </w:pPr>
      <w:r>
        <w:rPr>
          <w:noProof/>
        </w:rPr>
        <w:sym w:font="Wingdings" w:char="F0A8"/>
      </w:r>
      <w:r>
        <w:rPr>
          <w:noProof/>
        </w:rPr>
        <w:t>internationella organisationer och organ kopplade till dem (ange vilka)</w:t>
      </w:r>
    </w:p>
    <w:p>
      <w:pPr>
        <w:pStyle w:val="ListDash2"/>
        <w:rPr>
          <w:noProof/>
        </w:rPr>
      </w:pPr>
      <w:r>
        <w:rPr>
          <w:noProof/>
        </w:rPr>
        <w:sym w:font="Wingdings" w:char="F0A8"/>
      </w:r>
      <w:r>
        <w:rPr>
          <w:noProof/>
        </w:rPr>
        <w:t>EIB och Europeiska investeringsfonden</w:t>
      </w:r>
    </w:p>
    <w:p>
      <w:pPr>
        <w:pStyle w:val="ListDash2"/>
        <w:rPr>
          <w:noProof/>
        </w:rPr>
      </w:pPr>
      <w:r>
        <w:rPr>
          <w:noProof/>
        </w:rPr>
        <w:sym w:font="Wingdings" w:char="F0FE"/>
      </w:r>
      <w:r>
        <w:rPr>
          <w:noProof/>
        </w:rPr>
        <w:t>organ som avses i artiklarna 208 och 209 i budgetförordningen</w:t>
      </w:r>
    </w:p>
    <w:p>
      <w:pPr>
        <w:pStyle w:val="ListDash2"/>
        <w:rPr>
          <w:noProof/>
        </w:rPr>
      </w:pPr>
      <w:r>
        <w:rPr>
          <w:noProof/>
        </w:rPr>
        <w:sym w:font="Wingdings" w:char="F0A8"/>
      </w:r>
      <w:r>
        <w:rPr>
          <w:noProof/>
        </w:rPr>
        <w:t>offentligrättsliga organ</w:t>
      </w:r>
    </w:p>
    <w:p>
      <w:pPr>
        <w:pStyle w:val="ListDash2"/>
        <w:rPr>
          <w:noProof/>
        </w:rPr>
      </w:pPr>
      <w:r>
        <w:rPr>
          <w:noProof/>
        </w:rPr>
        <w:sym w:font="Wingdings" w:char="F0A8"/>
      </w:r>
      <w:r>
        <w:rPr>
          <w:noProof/>
        </w:rPr>
        <w:t>privaträttsliga organ som anförtrotts uppgifter som faller inom offentlig förvaltning och som lämnat tillräckliga ekonomiska garantier</w:t>
      </w:r>
    </w:p>
    <w:p>
      <w:pPr>
        <w:pStyle w:val="ListDash2"/>
        <w:rPr>
          <w:noProof/>
        </w:rPr>
      </w:pPr>
      <w:r>
        <w:rPr>
          <w:noProof/>
        </w:rPr>
        <w:sym w:font="Wingdings" w:char="F0A8"/>
      </w:r>
      <w:r>
        <w:rPr>
          <w:noProof/>
        </w:rPr>
        <w:t>organ som omfattas av privaträtten i en medlemsstat, som anförtrotts genomförandet av ett offentlig-privat partnerskap och som lämnat tillräckliga ekonomiska garantier</w:t>
      </w:r>
    </w:p>
    <w:p>
      <w:pPr>
        <w:pStyle w:val="ListDash2"/>
        <w:rPr>
          <w:noProof/>
        </w:rPr>
      </w:pPr>
      <w:r>
        <w:rPr>
          <w:noProof/>
        </w:rPr>
        <w:sym w:font="Wingdings" w:char="F0A8"/>
      </w:r>
      <w:r>
        <w:rPr>
          <w:noProof/>
        </w:rPr>
        <w:t>personer som anförtrotts ansvaret för genomförandet av särskilda åtgärder inom Gusp som följer av avdelning V i fördraget om Europeiska unionen och som anges i den grundläggande rättsakten</w:t>
      </w:r>
    </w:p>
    <w:p>
      <w:pPr>
        <w:pStyle w:val="ListDash2"/>
        <w:rPr>
          <w:i/>
          <w:noProof/>
          <w:sz w:val="18"/>
          <w:u w:val="single"/>
        </w:rPr>
      </w:pPr>
      <w:r>
        <w:rPr>
          <w:i/>
          <w:noProof/>
          <w:sz w:val="18"/>
        </w:rPr>
        <w:t>Vid fler än en metod, ange kompletterande uppgifter under ”Anmärkningar”.</w:t>
      </w:r>
    </w:p>
    <w:p>
      <w:pPr>
        <w:rPr>
          <w:noProof/>
        </w:rPr>
      </w:pPr>
      <w:r>
        <w:rPr>
          <w:noProof/>
        </w:rPr>
        <w:t xml:space="preserve">Anmärkningar </w:t>
      </w:r>
    </w:p>
    <w:p>
      <w:pPr>
        <w:pBdr>
          <w:top w:val="single" w:sz="4" w:space="1" w:color="auto"/>
          <w:left w:val="single" w:sz="4" w:space="4" w:color="auto"/>
          <w:bottom w:val="single" w:sz="4" w:space="1" w:color="auto"/>
          <w:right w:val="single" w:sz="4" w:space="4" w:color="auto"/>
        </w:pBdr>
        <w:rPr>
          <w:noProof/>
        </w:rPr>
      </w:pP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2.</w:t>
      </w:r>
      <w:r>
        <w:tab/>
      </w:r>
      <w:r>
        <w:rPr>
          <w:noProof/>
        </w:rPr>
        <w:t xml:space="preserve">FÖRVALTNING </w:t>
      </w:r>
    </w:p>
    <w:p>
      <w:pPr>
        <w:pStyle w:val="ManualHeading2"/>
        <w:rPr>
          <w:noProof/>
        </w:rPr>
      </w:pPr>
      <w:r>
        <w:t>2.1.</w:t>
      </w:r>
      <w:r>
        <w:tab/>
      </w:r>
      <w:r>
        <w:rPr>
          <w:noProof/>
        </w:rPr>
        <w:t xml:space="preserve">Bestämmelser om uppföljning och rapportering </w:t>
      </w:r>
    </w:p>
    <w:p>
      <w:pPr>
        <w:pStyle w:val="Text1"/>
        <w:rPr>
          <w:i/>
          <w:noProof/>
          <w:sz w:val="20"/>
          <w:u w:val="single"/>
        </w:rPr>
      </w:pPr>
      <w:r>
        <w:rPr>
          <w:i/>
          <w:noProof/>
          <w:sz w:val="20"/>
        </w:rPr>
        <w:t>Ange intervall och andra villkor för sådana åtgärder:</w:t>
      </w:r>
    </w:p>
    <w:p>
      <w:pPr>
        <w:pStyle w:val="Text1"/>
        <w:pBdr>
          <w:top w:val="single" w:sz="4" w:space="1" w:color="auto"/>
          <w:left w:val="single" w:sz="4" w:space="4" w:color="auto"/>
          <w:bottom w:val="single" w:sz="4" w:space="1" w:color="auto"/>
          <w:right w:val="single" w:sz="4" w:space="4" w:color="auto"/>
        </w:pBdr>
        <w:rPr>
          <w:noProof/>
        </w:rPr>
      </w:pPr>
      <w:r>
        <w:rPr>
          <w:noProof/>
        </w:rPr>
        <w:t>Denna åtgärd kommer att följa EFCA:s bestämmelser om uppföljning och rapportering  (i synnerhet vad gäller inbegripande i byråns arbetsprogram och i dess årliga rapport som diskuteras i styrelsen).</w:t>
      </w:r>
    </w:p>
    <w:p>
      <w:pPr>
        <w:pStyle w:val="ManualHeading2"/>
        <w:rPr>
          <w:bCs/>
          <w:noProof/>
          <w:szCs w:val="24"/>
        </w:rPr>
      </w:pPr>
      <w:r>
        <w:t>2.2.</w:t>
      </w:r>
      <w:r>
        <w:tab/>
      </w:r>
      <w:r>
        <w:rPr>
          <w:noProof/>
        </w:rPr>
        <w:t xml:space="preserve">Administrations- och kontrollsystem </w:t>
      </w:r>
    </w:p>
    <w:p>
      <w:pPr>
        <w:pStyle w:val="ManualHeading3"/>
        <w:rPr>
          <w:noProof/>
        </w:rPr>
      </w:pPr>
      <w:r>
        <w:t>2.2.1.</w:t>
      </w:r>
      <w:r>
        <w:tab/>
      </w:r>
      <w:r>
        <w:rPr>
          <w:noProof/>
        </w:rPr>
        <w:t xml:space="preserve">Risker som identifierats </w:t>
      </w:r>
    </w:p>
    <w:p>
      <w:pPr>
        <w:pStyle w:val="Text1"/>
        <w:pBdr>
          <w:top w:val="single" w:sz="4" w:space="1" w:color="auto"/>
          <w:left w:val="single" w:sz="4" w:space="4" w:color="auto"/>
          <w:bottom w:val="single" w:sz="4" w:space="1" w:color="auto"/>
          <w:right w:val="single" w:sz="4" w:space="4" w:color="auto"/>
        </w:pBdr>
        <w:rPr>
          <w:noProof/>
        </w:rPr>
      </w:pPr>
      <w:r>
        <w:rPr>
          <w:noProof/>
        </w:rPr>
        <w:t>Motstånd i medlemsstaterna och inom andra EU-byråer mot att samarbeta och dela data.</w:t>
      </w:r>
    </w:p>
    <w:p>
      <w:pPr>
        <w:pStyle w:val="ManualHeading3"/>
        <w:rPr>
          <w:bCs/>
          <w:noProof/>
          <w:szCs w:val="24"/>
        </w:rPr>
      </w:pPr>
      <w:r>
        <w:t>2.2.2.</w:t>
      </w:r>
      <w:r>
        <w:tab/>
      </w:r>
      <w:r>
        <w:rPr>
          <w:noProof/>
        </w:rPr>
        <w:t>Uppgifter om det interna kontrollsystemet</w:t>
      </w:r>
    </w:p>
    <w:p>
      <w:pPr>
        <w:pStyle w:val="Text1"/>
        <w:pBdr>
          <w:top w:val="single" w:sz="4" w:space="1" w:color="auto"/>
          <w:left w:val="single" w:sz="4" w:space="4" w:color="auto"/>
          <w:bottom w:val="single" w:sz="4" w:space="1" w:color="auto"/>
          <w:right w:val="single" w:sz="4" w:space="4" w:color="auto"/>
        </w:pBdr>
        <w:rPr>
          <w:noProof/>
        </w:rPr>
      </w:pPr>
      <w:r>
        <w:rPr>
          <w:noProof/>
        </w:rPr>
        <w:t>Denna åtgärd kommer att följas upp inom ramen för kontrollbyråns interna kontrollsystem.</w:t>
      </w:r>
    </w:p>
    <w:p>
      <w:pPr>
        <w:pStyle w:val="ManualHeading3"/>
        <w:rPr>
          <w:noProof/>
        </w:rPr>
      </w:pPr>
      <w:r>
        <w:t>2.2.3.</w:t>
      </w:r>
      <w:r>
        <w:tab/>
      </w:r>
      <w:r>
        <w:rPr>
          <w:noProof/>
        </w:rPr>
        <w:t xml:space="preserve">Beräknade kostnader för och fördelar med kontroller – bedömning av förväntad risk för fel </w:t>
      </w:r>
    </w:p>
    <w:p>
      <w:pPr>
        <w:pStyle w:val="Text1"/>
        <w:pBdr>
          <w:top w:val="single" w:sz="4" w:space="1" w:color="auto"/>
          <w:left w:val="single" w:sz="4" w:space="4" w:color="auto"/>
          <w:bottom w:val="single" w:sz="4" w:space="1" w:color="auto"/>
          <w:right w:val="single" w:sz="4" w:space="4" w:color="auto"/>
        </w:pBdr>
        <w:rPr>
          <w:noProof/>
        </w:rPr>
      </w:pPr>
      <w:r>
        <w:rPr>
          <w:noProof/>
        </w:rPr>
        <w:t>Väsentlighetsgränsen i EFCA är 4 500 euro och den bedömda risken för fel är lägre.</w:t>
      </w:r>
    </w:p>
    <w:p>
      <w:pPr>
        <w:pStyle w:val="Text1"/>
        <w:pBdr>
          <w:top w:val="single" w:sz="4" w:space="1" w:color="auto"/>
          <w:left w:val="single" w:sz="4" w:space="4" w:color="auto"/>
          <w:bottom w:val="single" w:sz="4" w:space="1" w:color="auto"/>
          <w:right w:val="single" w:sz="4" w:space="4" w:color="auto"/>
        </w:pBdr>
        <w:rPr>
          <w:noProof/>
        </w:rPr>
      </w:pPr>
      <w:r>
        <w:rPr>
          <w:noProof/>
        </w:rPr>
        <w:t>Genomförandekostnaderna för externa kontroller i efterhand och interna kontrollstandarder (ICS) är mindre än 1 % av EFCA:s nuvarande budget (om investeringar som rör driftskontinuitet och löner till personal som arbetar med kontroller inte är medräknade).</w:t>
      </w:r>
    </w:p>
    <w:p>
      <w:pPr>
        <w:pStyle w:val="Text1"/>
        <w:pBdr>
          <w:top w:val="single" w:sz="4" w:space="1" w:color="auto"/>
          <w:left w:val="single" w:sz="4" w:space="4" w:color="auto"/>
          <w:bottom w:val="single" w:sz="4" w:space="1" w:color="auto"/>
          <w:right w:val="single" w:sz="4" w:space="4" w:color="auto"/>
        </w:pBdr>
        <w:rPr>
          <w:noProof/>
        </w:rPr>
      </w:pPr>
      <w:r>
        <w:rPr>
          <w:noProof/>
        </w:rPr>
        <w:t>Vinsterna vad gäller image och tillförlitlighet är mycket höga.</w:t>
      </w:r>
    </w:p>
    <w:p>
      <w:pPr>
        <w:pStyle w:val="ManualHeading2"/>
        <w:rPr>
          <w:bCs/>
          <w:noProof/>
          <w:szCs w:val="24"/>
        </w:rPr>
      </w:pPr>
      <w:r>
        <w:t>2.3.</w:t>
      </w:r>
      <w:r>
        <w:tab/>
      </w:r>
      <w:r>
        <w:rPr>
          <w:noProof/>
        </w:rPr>
        <w:t xml:space="preserve">Åtgärder för att förebygga bedrägeri och oegentligheter/oriktigheter </w:t>
      </w:r>
    </w:p>
    <w:p>
      <w:pPr>
        <w:pStyle w:val="Text1"/>
        <w:rPr>
          <w:i/>
          <w:noProof/>
          <w:sz w:val="20"/>
        </w:rPr>
      </w:pPr>
      <w:r>
        <w:rPr>
          <w:i/>
          <w:noProof/>
          <w:sz w:val="20"/>
        </w:rPr>
        <w:t>Beskriv förebyggande åtgärder (befintliga eller planerade)</w:t>
      </w:r>
    </w:p>
    <w:p>
      <w:pPr>
        <w:pStyle w:val="Text1"/>
        <w:pBdr>
          <w:top w:val="single" w:sz="4" w:space="1" w:color="auto"/>
          <w:left w:val="single" w:sz="4" w:space="4" w:color="auto"/>
          <w:bottom w:val="single" w:sz="4" w:space="1" w:color="auto"/>
          <w:right w:val="single" w:sz="4" w:space="4" w:color="auto"/>
        </w:pBdr>
        <w:rPr>
          <w:noProof/>
        </w:rPr>
      </w:pPr>
      <w:r>
        <w:rPr>
          <w:noProof/>
        </w:rPr>
        <w:t xml:space="preserve">Denna verksamhet kommer att bli föremål för åtgärder från EFCA:s sida som säkerställer skydd mot bedrägeri och oegentligheter. Kontrollbyrån är även föremål för revision som utförs av Europeiska revisionsrätten och IAS. </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BERÄKNADE BUDGETKONSEKVENSER AV FÖRSLAGET ELLER INITIATIVET </w:t>
      </w:r>
    </w:p>
    <w:p>
      <w:pPr>
        <w:pStyle w:val="ManualHeading2"/>
        <w:rPr>
          <w:noProof/>
        </w:rPr>
      </w:pPr>
      <w:r>
        <w:t>3.1.</w:t>
      </w:r>
      <w:r>
        <w:tab/>
      </w:r>
      <w:r>
        <w:rPr>
          <w:noProof/>
        </w:rPr>
        <w:t xml:space="preserve">Berörda rubriker i den fleråriga budgetramen och budgetrubriker i den årliga budgetens utgiftsdel </w:t>
      </w:r>
    </w:p>
    <w:p>
      <w:pPr>
        <w:pStyle w:val="ListBullet1"/>
        <w:rPr>
          <w:noProof/>
        </w:rPr>
      </w:pPr>
      <w:r>
        <w:rPr>
          <w:noProof/>
        </w:rPr>
        <w:t xml:space="preserve">Befintliga budgetrubriker (även kallade ”budgetposter”) </w:t>
      </w:r>
    </w:p>
    <w:p>
      <w:pPr>
        <w:pStyle w:val="Text1"/>
        <w:rPr>
          <w:noProof/>
        </w:rPr>
      </w:pPr>
      <w:r>
        <w:rPr>
          <w:noProof/>
        </w:rPr>
        <w:t xml:space="preserve">Redovisa enligt de berörda rubrikerna i den fleråriga budgetramen </w:t>
      </w:r>
      <w:r>
        <w:rPr>
          <w:noProof/>
          <w:u w:val="single"/>
        </w:rPr>
        <w:t>i nummerföljd</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Rubrik i den fleråriga budgetramen</w:t>
            </w:r>
          </w:p>
        </w:tc>
        <w:tc>
          <w:tcPr>
            <w:tcW w:w="3960" w:type="dxa"/>
            <w:vAlign w:val="center"/>
          </w:tcPr>
          <w:p>
            <w:pPr>
              <w:spacing w:before="60" w:after="60"/>
              <w:jc w:val="center"/>
              <w:rPr>
                <w:noProof/>
                <w:sz w:val="22"/>
              </w:rPr>
            </w:pPr>
            <w:r>
              <w:rPr>
                <w:noProof/>
                <w:sz w:val="20"/>
              </w:rPr>
              <w:t>Budgetrubrik</w:t>
            </w:r>
          </w:p>
        </w:tc>
        <w:tc>
          <w:tcPr>
            <w:tcW w:w="1080" w:type="dxa"/>
            <w:vAlign w:val="center"/>
          </w:tcPr>
          <w:p>
            <w:pPr>
              <w:spacing w:before="60" w:after="60"/>
              <w:jc w:val="center"/>
              <w:rPr>
                <w:noProof/>
                <w:sz w:val="22"/>
              </w:rPr>
            </w:pPr>
            <w:r>
              <w:rPr>
                <w:noProof/>
                <w:sz w:val="18"/>
              </w:rPr>
              <w:t>Typ avanslag</w:t>
            </w:r>
          </w:p>
        </w:tc>
        <w:tc>
          <w:tcPr>
            <w:tcW w:w="4440" w:type="dxa"/>
            <w:gridSpan w:val="4"/>
            <w:vAlign w:val="center"/>
          </w:tcPr>
          <w:p>
            <w:pPr>
              <w:spacing w:before="60" w:after="60"/>
              <w:jc w:val="center"/>
              <w:rPr>
                <w:noProof/>
                <w:sz w:val="22"/>
              </w:rPr>
            </w:pPr>
            <w:r>
              <w:rPr>
                <w:noProof/>
                <w:sz w:val="20"/>
              </w:rPr>
              <w:t xml:space="preserve">Bidrag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Nummer</w:t>
            </w:r>
            <w:r>
              <w:rPr>
                <w:noProof/>
                <w:sz w:val="22"/>
              </w:rPr>
              <w:br/>
            </w:r>
            <w:r>
              <w:rPr>
                <w:noProof/>
                <w:sz w:val="20"/>
              </w:rPr>
              <w:t>[Beteckning………………………...……………]</w:t>
            </w:r>
          </w:p>
        </w:tc>
        <w:tc>
          <w:tcPr>
            <w:tcW w:w="1080" w:type="dxa"/>
            <w:vAlign w:val="center"/>
          </w:tcPr>
          <w:p>
            <w:pPr>
              <w:jc w:val="center"/>
              <w:rPr>
                <w:noProof/>
                <w:sz w:val="22"/>
              </w:rPr>
            </w:pPr>
            <w:r>
              <w:rPr>
                <w:noProof/>
                <w:sz w:val="18"/>
              </w:rPr>
              <w:t>Diff./Icke-diff.</w:t>
            </w:r>
            <w:r>
              <w:rPr>
                <w:rStyle w:val="FootnoteReference"/>
                <w:noProof/>
                <w:sz w:val="18"/>
              </w:rPr>
              <w:footnoteReference w:id="7"/>
            </w:r>
            <w:r>
              <w:rPr>
                <w:noProof/>
              </w:rPr>
              <w:t>.</w:t>
            </w:r>
          </w:p>
        </w:tc>
        <w:tc>
          <w:tcPr>
            <w:tcW w:w="956" w:type="dxa"/>
            <w:vAlign w:val="center"/>
          </w:tcPr>
          <w:p>
            <w:pPr>
              <w:jc w:val="center"/>
              <w:rPr>
                <w:noProof/>
                <w:sz w:val="22"/>
              </w:rPr>
            </w:pPr>
            <w:r>
              <w:rPr>
                <w:noProof/>
                <w:sz w:val="18"/>
              </w:rPr>
              <w:t>från Efta-länder</w:t>
            </w:r>
            <w:r>
              <w:rPr>
                <w:rStyle w:val="FootnoteReference"/>
                <w:noProof/>
                <w:sz w:val="18"/>
              </w:rPr>
              <w:footnoteReference w:id="8"/>
            </w:r>
          </w:p>
          <w:p>
            <w:pPr>
              <w:spacing w:before="0" w:after="0"/>
              <w:jc w:val="center"/>
              <w:rPr>
                <w:b/>
                <w:noProof/>
                <w:sz w:val="18"/>
              </w:rPr>
            </w:pPr>
          </w:p>
        </w:tc>
        <w:tc>
          <w:tcPr>
            <w:tcW w:w="1080" w:type="dxa"/>
            <w:vAlign w:val="center"/>
          </w:tcPr>
          <w:p>
            <w:pPr>
              <w:jc w:val="center"/>
              <w:rPr>
                <w:noProof/>
                <w:sz w:val="22"/>
              </w:rPr>
            </w:pPr>
            <w:r>
              <w:rPr>
                <w:noProof/>
                <w:sz w:val="18"/>
              </w:rPr>
              <w:t>från kandidat-länder</w:t>
            </w:r>
            <w:r>
              <w:rPr>
                <w:rStyle w:val="FootnoteReference"/>
                <w:noProof/>
                <w:sz w:val="18"/>
              </w:rPr>
              <w:footnoteReference w:id="9"/>
            </w:r>
          </w:p>
          <w:p>
            <w:pPr>
              <w:spacing w:before="0" w:after="0"/>
              <w:jc w:val="center"/>
              <w:rPr>
                <w:noProof/>
                <w:sz w:val="18"/>
              </w:rPr>
            </w:pPr>
          </w:p>
        </w:tc>
        <w:tc>
          <w:tcPr>
            <w:tcW w:w="956" w:type="dxa"/>
            <w:vAlign w:val="center"/>
          </w:tcPr>
          <w:p>
            <w:pPr>
              <w:jc w:val="center"/>
              <w:rPr>
                <w:noProof/>
                <w:sz w:val="18"/>
              </w:rPr>
            </w:pPr>
            <w:r>
              <w:rPr>
                <w:noProof/>
                <w:sz w:val="18"/>
              </w:rPr>
              <w:t>från tredje-länder</w:t>
            </w:r>
          </w:p>
        </w:tc>
        <w:tc>
          <w:tcPr>
            <w:tcW w:w="1448" w:type="dxa"/>
            <w:vAlign w:val="center"/>
          </w:tcPr>
          <w:p>
            <w:pPr>
              <w:jc w:val="center"/>
              <w:rPr>
                <w:noProof/>
                <w:sz w:val="22"/>
              </w:rPr>
            </w:pPr>
            <w:r>
              <w:rPr>
                <w:noProof/>
                <w:sz w:val="16"/>
              </w:rPr>
              <w:t xml:space="preserve">enligt artikel 21.2 b i budget-förordningen </w:t>
            </w:r>
          </w:p>
        </w:tc>
      </w:tr>
      <w:tr>
        <w:tc>
          <w:tcPr>
            <w:tcW w:w="1080" w:type="dxa"/>
            <w:vAlign w:val="center"/>
          </w:tcPr>
          <w:p>
            <w:pPr>
              <w:jc w:val="center"/>
              <w:rPr>
                <w:noProof/>
                <w:color w:val="0000FF"/>
                <w:sz w:val="22"/>
              </w:rPr>
            </w:pPr>
          </w:p>
        </w:tc>
        <w:tc>
          <w:tcPr>
            <w:tcW w:w="3960" w:type="dxa"/>
            <w:vAlign w:val="center"/>
          </w:tcPr>
          <w:p>
            <w:pPr>
              <w:spacing w:after="60"/>
              <w:rPr>
                <w:noProof/>
                <w:sz w:val="22"/>
              </w:rPr>
            </w:pPr>
            <w:r>
              <w:rPr>
                <w:noProof/>
                <w:sz w:val="22"/>
              </w:rPr>
              <w:t xml:space="preserve">Artikel 11 06 64 – Europeiska fiskerikontrollbyrån </w:t>
            </w:r>
          </w:p>
        </w:tc>
        <w:tc>
          <w:tcPr>
            <w:tcW w:w="1080" w:type="dxa"/>
            <w:vAlign w:val="center"/>
          </w:tcPr>
          <w:p>
            <w:pPr>
              <w:jc w:val="center"/>
              <w:rPr>
                <w:noProof/>
                <w:color w:val="0000FF"/>
                <w:sz w:val="22"/>
              </w:rPr>
            </w:pPr>
            <w:r>
              <w:rPr>
                <w:noProof/>
                <w:sz w:val="22"/>
              </w:rPr>
              <w:t>Icke-diff.</w:t>
            </w:r>
          </w:p>
        </w:tc>
        <w:tc>
          <w:tcPr>
            <w:tcW w:w="956" w:type="dxa"/>
            <w:vAlign w:val="center"/>
          </w:tcPr>
          <w:p>
            <w:pPr>
              <w:jc w:val="center"/>
              <w:rPr>
                <w:noProof/>
                <w:sz w:val="22"/>
              </w:rPr>
            </w:pPr>
            <w:r>
              <w:rPr>
                <w:noProof/>
                <w:sz w:val="22"/>
              </w:rPr>
              <w:t>NEJ</w:t>
            </w:r>
          </w:p>
        </w:tc>
        <w:tc>
          <w:tcPr>
            <w:tcW w:w="1080" w:type="dxa"/>
            <w:vAlign w:val="center"/>
          </w:tcPr>
          <w:p>
            <w:pPr>
              <w:jc w:val="center"/>
              <w:rPr>
                <w:noProof/>
                <w:sz w:val="22"/>
              </w:rPr>
            </w:pPr>
            <w:r>
              <w:rPr>
                <w:noProof/>
                <w:sz w:val="22"/>
              </w:rPr>
              <w:t>NEJ</w:t>
            </w:r>
          </w:p>
        </w:tc>
        <w:tc>
          <w:tcPr>
            <w:tcW w:w="956" w:type="dxa"/>
            <w:vAlign w:val="center"/>
          </w:tcPr>
          <w:p>
            <w:pPr>
              <w:jc w:val="center"/>
              <w:rPr>
                <w:noProof/>
                <w:sz w:val="22"/>
              </w:rPr>
            </w:pPr>
            <w:r>
              <w:rPr>
                <w:noProof/>
                <w:sz w:val="22"/>
              </w:rPr>
              <w:t>NEJ</w:t>
            </w:r>
          </w:p>
        </w:tc>
        <w:tc>
          <w:tcPr>
            <w:tcW w:w="1448" w:type="dxa"/>
            <w:vAlign w:val="center"/>
          </w:tcPr>
          <w:p>
            <w:pPr>
              <w:jc w:val="center"/>
              <w:rPr>
                <w:noProof/>
                <w:sz w:val="22"/>
              </w:rPr>
            </w:pPr>
            <w:r>
              <w:rPr>
                <w:noProof/>
                <w:sz w:val="22"/>
              </w:rPr>
              <w:t>NEJ</w:t>
            </w:r>
          </w:p>
        </w:tc>
      </w:tr>
    </w:tbl>
    <w:p>
      <w:pPr>
        <w:pStyle w:val="ListBullet1"/>
        <w:rPr>
          <w:noProof/>
        </w:rPr>
      </w:pPr>
      <w:r>
        <w:rPr>
          <w:noProof/>
        </w:rPr>
        <w:t xml:space="preserve">Nya budgetrubriker som föreslås: Ej tillämpligt </w:t>
      </w:r>
    </w:p>
    <w:p>
      <w:pPr>
        <w:pStyle w:val="Text1"/>
        <w:rPr>
          <w:i/>
          <w:noProof/>
          <w:sz w:val="20"/>
        </w:rPr>
      </w:pPr>
      <w:r>
        <w:rPr>
          <w:i/>
          <w:noProof/>
        </w:rPr>
        <w:t xml:space="preserve">Redovisa enligt de berörda rubrikerna i den fleråriga budgetramen </w:t>
      </w:r>
      <w:r>
        <w:rPr>
          <w:i/>
          <w:noProof/>
          <w:u w:val="single"/>
        </w:rPr>
        <w:t>i nummerföljd</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Rubrik i den fleråriga budgetramen</w:t>
            </w:r>
          </w:p>
        </w:tc>
        <w:tc>
          <w:tcPr>
            <w:tcW w:w="3960" w:type="dxa"/>
            <w:vAlign w:val="center"/>
          </w:tcPr>
          <w:p>
            <w:pPr>
              <w:spacing w:before="60" w:after="60"/>
              <w:jc w:val="center"/>
              <w:rPr>
                <w:noProof/>
                <w:sz w:val="22"/>
              </w:rPr>
            </w:pPr>
            <w:r>
              <w:rPr>
                <w:noProof/>
                <w:sz w:val="20"/>
              </w:rPr>
              <w:t>Budgetrubrik</w:t>
            </w:r>
          </w:p>
        </w:tc>
        <w:tc>
          <w:tcPr>
            <w:tcW w:w="1080" w:type="dxa"/>
            <w:vAlign w:val="center"/>
          </w:tcPr>
          <w:p>
            <w:pPr>
              <w:spacing w:before="60" w:after="60"/>
              <w:jc w:val="center"/>
              <w:rPr>
                <w:noProof/>
                <w:sz w:val="22"/>
              </w:rPr>
            </w:pPr>
            <w:r>
              <w:rPr>
                <w:noProof/>
                <w:sz w:val="18"/>
              </w:rPr>
              <w:t>Typ avanslag</w:t>
            </w:r>
          </w:p>
        </w:tc>
        <w:tc>
          <w:tcPr>
            <w:tcW w:w="4440" w:type="dxa"/>
            <w:gridSpan w:val="4"/>
            <w:vAlign w:val="center"/>
          </w:tcPr>
          <w:p>
            <w:pPr>
              <w:spacing w:before="60" w:after="60"/>
              <w:jc w:val="center"/>
              <w:rPr>
                <w:noProof/>
                <w:sz w:val="22"/>
              </w:rPr>
            </w:pPr>
            <w:r>
              <w:rPr>
                <w:noProof/>
                <w:sz w:val="20"/>
              </w:rPr>
              <w:t xml:space="preserve">Bidrag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Nummer</w:t>
            </w:r>
            <w:r>
              <w:rPr>
                <w:noProof/>
                <w:sz w:val="22"/>
              </w:rPr>
              <w:br/>
            </w:r>
            <w:r>
              <w:rPr>
                <w:noProof/>
                <w:sz w:val="20"/>
              </w:rPr>
              <w:t>[Beteckning………………………...……………]</w:t>
            </w:r>
          </w:p>
        </w:tc>
        <w:tc>
          <w:tcPr>
            <w:tcW w:w="1080" w:type="dxa"/>
            <w:vAlign w:val="center"/>
          </w:tcPr>
          <w:p>
            <w:pPr>
              <w:jc w:val="center"/>
              <w:rPr>
                <w:noProof/>
                <w:sz w:val="22"/>
              </w:rPr>
            </w:pPr>
            <w:r>
              <w:rPr>
                <w:noProof/>
                <w:sz w:val="18"/>
              </w:rPr>
              <w:t>Diff./Icke-diff..</w:t>
            </w:r>
          </w:p>
        </w:tc>
        <w:tc>
          <w:tcPr>
            <w:tcW w:w="956" w:type="dxa"/>
            <w:vAlign w:val="center"/>
          </w:tcPr>
          <w:p>
            <w:pPr>
              <w:jc w:val="center"/>
              <w:rPr>
                <w:noProof/>
                <w:sz w:val="18"/>
              </w:rPr>
            </w:pPr>
            <w:r>
              <w:rPr>
                <w:noProof/>
                <w:sz w:val="18"/>
              </w:rPr>
              <w:t>från Efta-länder</w:t>
            </w:r>
          </w:p>
        </w:tc>
        <w:tc>
          <w:tcPr>
            <w:tcW w:w="1080" w:type="dxa"/>
            <w:vAlign w:val="center"/>
          </w:tcPr>
          <w:p>
            <w:pPr>
              <w:jc w:val="center"/>
              <w:rPr>
                <w:noProof/>
                <w:sz w:val="18"/>
              </w:rPr>
            </w:pPr>
            <w:r>
              <w:rPr>
                <w:noProof/>
                <w:sz w:val="18"/>
              </w:rPr>
              <w:t>från kandidat-länder</w:t>
            </w:r>
          </w:p>
        </w:tc>
        <w:tc>
          <w:tcPr>
            <w:tcW w:w="956" w:type="dxa"/>
            <w:vAlign w:val="center"/>
          </w:tcPr>
          <w:p>
            <w:pPr>
              <w:jc w:val="center"/>
              <w:rPr>
                <w:noProof/>
                <w:sz w:val="18"/>
              </w:rPr>
            </w:pPr>
            <w:r>
              <w:rPr>
                <w:noProof/>
                <w:sz w:val="18"/>
              </w:rPr>
              <w:t>från tredje-länder</w:t>
            </w:r>
          </w:p>
        </w:tc>
        <w:tc>
          <w:tcPr>
            <w:tcW w:w="1448" w:type="dxa"/>
            <w:vAlign w:val="center"/>
          </w:tcPr>
          <w:p>
            <w:pPr>
              <w:jc w:val="center"/>
              <w:rPr>
                <w:noProof/>
                <w:sz w:val="22"/>
              </w:rPr>
            </w:pPr>
            <w:r>
              <w:rPr>
                <w:noProof/>
                <w:sz w:val="16"/>
              </w:rPr>
              <w:t xml:space="preserve">enligt artikel 21.2 b i budget-förordningen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22"/>
              </w:rPr>
            </w:pPr>
            <w:r>
              <w:rPr>
                <w:noProof/>
                <w:sz w:val="22"/>
              </w:rPr>
              <w:t>JA/NEJ</w:t>
            </w:r>
          </w:p>
        </w:tc>
        <w:tc>
          <w:tcPr>
            <w:tcW w:w="1080" w:type="dxa"/>
            <w:vAlign w:val="center"/>
          </w:tcPr>
          <w:p>
            <w:pPr>
              <w:jc w:val="center"/>
              <w:rPr>
                <w:noProof/>
                <w:color w:val="0000FF"/>
                <w:sz w:val="18"/>
              </w:rPr>
            </w:pPr>
            <w:r>
              <w:rPr>
                <w:noProof/>
                <w:sz w:val="22"/>
              </w:rPr>
              <w:t>JA/NEJ</w:t>
            </w:r>
          </w:p>
        </w:tc>
        <w:tc>
          <w:tcPr>
            <w:tcW w:w="956" w:type="dxa"/>
            <w:vAlign w:val="center"/>
          </w:tcPr>
          <w:p>
            <w:pPr>
              <w:jc w:val="center"/>
              <w:rPr>
                <w:noProof/>
                <w:color w:val="0000FF"/>
                <w:sz w:val="18"/>
              </w:rPr>
            </w:pPr>
            <w:r>
              <w:rPr>
                <w:noProof/>
                <w:sz w:val="22"/>
              </w:rPr>
              <w:t>JA/NEJ</w:t>
            </w:r>
          </w:p>
        </w:tc>
        <w:tc>
          <w:tcPr>
            <w:tcW w:w="1448" w:type="dxa"/>
            <w:vAlign w:val="center"/>
          </w:tcPr>
          <w:p>
            <w:pPr>
              <w:jc w:val="center"/>
              <w:rPr>
                <w:noProof/>
                <w:sz w:val="22"/>
              </w:rPr>
            </w:pPr>
            <w:r>
              <w:rPr>
                <w:noProof/>
                <w:sz w:val="22"/>
              </w:rPr>
              <w:t>JA/NEJ</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Beräknad inverkan på utgifterna </w:t>
      </w:r>
    </w:p>
    <w:p>
      <w:pPr>
        <w:pStyle w:val="ManualHeading3"/>
        <w:rPr>
          <w:noProof/>
          <w:u w:val="single"/>
        </w:rPr>
      </w:pPr>
      <w:r>
        <w:t>3.2.1.</w:t>
      </w:r>
      <w:r>
        <w:tab/>
      </w:r>
      <w:r>
        <w:rPr>
          <w:noProof/>
        </w:rPr>
        <w:t xml:space="preserve">Sammanfattning av den beräknade inverkan på utgifterna </w:t>
      </w:r>
    </w:p>
    <w:p>
      <w:pPr>
        <w:jc w:val="right"/>
        <w:rPr>
          <w:noProof/>
          <w:sz w:val="20"/>
        </w:rPr>
      </w:pPr>
      <w:r>
        <w:rPr>
          <w:noProof/>
          <w:sz w:val="20"/>
        </w:rPr>
        <w:t>Miljoner euro (avrundat till tre decimaler)</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Rubrik i den fleråriga</w:t>
            </w:r>
            <w:r>
              <w:rPr>
                <w:noProof/>
              </w:rPr>
              <w:t xml:space="preserve"> </w:t>
            </w:r>
            <w:r>
              <w:rPr>
                <w:noProof/>
                <w:sz w:val="22"/>
              </w:rPr>
              <w:br/>
            </w:r>
            <w:r>
              <w:rPr>
                <w:b/>
                <w:noProof/>
                <w:sz w:val="22"/>
              </w:rPr>
              <w:t xml:space="preserve">budgetramen </w:t>
            </w:r>
          </w:p>
        </w:tc>
        <w:tc>
          <w:tcPr>
            <w:tcW w:w="1080" w:type="dxa"/>
            <w:vAlign w:val="center"/>
          </w:tcPr>
          <w:p>
            <w:pPr>
              <w:spacing w:before="60" w:after="60"/>
              <w:jc w:val="center"/>
              <w:rPr>
                <w:noProof/>
                <w:sz w:val="22"/>
              </w:rPr>
            </w:pPr>
            <w:r>
              <w:rPr>
                <w:noProof/>
                <w:sz w:val="22"/>
              </w:rPr>
              <w:t>Nummer 2</w:t>
            </w:r>
          </w:p>
        </w:tc>
        <w:tc>
          <w:tcPr>
            <w:tcW w:w="7817" w:type="dxa"/>
            <w:vAlign w:val="center"/>
          </w:tcPr>
          <w:p>
            <w:pPr>
              <w:spacing w:before="60" w:after="60"/>
              <w:rPr>
                <w:noProof/>
                <w:sz w:val="22"/>
              </w:rPr>
            </w:pPr>
            <w:r>
              <w:t>Artikel 11 06 64 – Europeiska fiskerikontrollbyrån</w:t>
            </w:r>
          </w:p>
        </w:tc>
      </w:tr>
    </w:tbl>
    <w:p>
      <w:pPr>
        <w:rPr>
          <w:noProof/>
          <w:sz w:val="16"/>
        </w:rPr>
      </w:pPr>
    </w:p>
    <w:tbl>
      <w:tblPr>
        <w:tblW w:w="13679" w:type="dxa"/>
        <w:jc w:val="center"/>
        <w:tblInd w:w="-1726" w:type="dxa"/>
        <w:tblLook w:val="04A0" w:firstRow="1" w:lastRow="0" w:firstColumn="1" w:lastColumn="0" w:noHBand="0" w:noVBand="1"/>
      </w:tblPr>
      <w:tblGrid>
        <w:gridCol w:w="4299"/>
        <w:gridCol w:w="1640"/>
        <w:gridCol w:w="960"/>
        <w:gridCol w:w="1466"/>
        <w:gridCol w:w="1366"/>
        <w:gridCol w:w="1416"/>
        <w:gridCol w:w="1316"/>
        <w:gridCol w:w="1216"/>
      </w:tblGrid>
      <w:tr>
        <w:trPr>
          <w:trHeight w:val="420"/>
          <w:jc w:val="center"/>
        </w:trPr>
        <w:tc>
          <w:tcPr>
            <w:tcW w:w="6899" w:type="dxa"/>
            <w:gridSpan w:val="3"/>
            <w:vMerge w:val="restart"/>
            <w:tcBorders>
              <w:top w:val="single" w:sz="8" w:space="0" w:color="auto"/>
              <w:left w:val="single" w:sz="8" w:space="0" w:color="auto"/>
              <w:bottom w:val="nil"/>
              <w:right w:val="nil"/>
            </w:tcBorders>
            <w:shd w:val="clear" w:color="auto" w:fill="auto"/>
            <w:vAlign w:val="center"/>
            <w:hideMark/>
          </w:tcPr>
          <w:p>
            <w:pPr>
              <w:spacing w:before="0" w:after="0"/>
              <w:jc w:val="center"/>
              <w:rPr>
                <w:rFonts w:eastAsia="Times New Roman"/>
                <w:noProof/>
                <w:color w:val="000000"/>
                <w:sz w:val="22"/>
              </w:rPr>
            </w:pPr>
            <w:r>
              <w:rPr>
                <w:noProof/>
                <w:color w:val="000000"/>
                <w:sz w:val="22"/>
              </w:rPr>
              <w:t>Europeiska fiskerikontrollbyrån</w:t>
            </w:r>
          </w:p>
        </w:tc>
        <w:tc>
          <w:tcPr>
            <w:tcW w:w="1466" w:type="dxa"/>
            <w:tcBorders>
              <w:top w:val="single" w:sz="4" w:space="0" w:color="auto"/>
              <w:left w:val="single" w:sz="4" w:space="0" w:color="auto"/>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År</w:t>
            </w:r>
          </w:p>
        </w:tc>
        <w:tc>
          <w:tcPr>
            <w:tcW w:w="136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År</w:t>
            </w:r>
          </w:p>
        </w:tc>
        <w:tc>
          <w:tcPr>
            <w:tcW w:w="141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År</w:t>
            </w:r>
          </w:p>
        </w:tc>
        <w:tc>
          <w:tcPr>
            <w:tcW w:w="131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År</w:t>
            </w:r>
          </w:p>
        </w:tc>
        <w:tc>
          <w:tcPr>
            <w:tcW w:w="12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TOTALT</w:t>
            </w:r>
            <w:r>
              <w:rPr>
                <w:noProof/>
                <w:color w:val="000000"/>
                <w:sz w:val="16"/>
              </w:rPr>
              <w:t> </w:t>
            </w:r>
          </w:p>
        </w:tc>
      </w:tr>
      <w:tr>
        <w:trPr>
          <w:trHeight w:val="300"/>
          <w:jc w:val="center"/>
        </w:trPr>
        <w:tc>
          <w:tcPr>
            <w:tcW w:w="6899" w:type="dxa"/>
            <w:gridSpan w:val="3"/>
            <w:vMerge/>
            <w:tcBorders>
              <w:top w:val="single" w:sz="8" w:space="0" w:color="auto"/>
              <w:left w:val="single" w:sz="8" w:space="0" w:color="auto"/>
              <w:bottom w:val="nil"/>
              <w:right w:val="nil"/>
            </w:tcBorders>
            <w:vAlign w:val="center"/>
            <w:hideMark/>
          </w:tcPr>
          <w:p>
            <w:pPr>
              <w:spacing w:before="0" w:after="0"/>
              <w:jc w:val="left"/>
              <w:rPr>
                <w:rFonts w:eastAsia="Times New Roman"/>
                <w:noProof/>
                <w:color w:val="000000"/>
                <w:sz w:val="22"/>
              </w:rPr>
            </w:pPr>
          </w:p>
        </w:tc>
        <w:tc>
          <w:tcPr>
            <w:tcW w:w="1466" w:type="dxa"/>
            <w:tcBorders>
              <w:top w:val="nil"/>
              <w:left w:val="single" w:sz="4" w:space="0" w:color="auto"/>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2017</w:t>
            </w:r>
          </w:p>
        </w:tc>
        <w:tc>
          <w:tcPr>
            <w:tcW w:w="136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2018</w:t>
            </w:r>
          </w:p>
        </w:tc>
        <w:tc>
          <w:tcPr>
            <w:tcW w:w="141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2019</w:t>
            </w:r>
          </w:p>
        </w:tc>
        <w:tc>
          <w:tcPr>
            <w:tcW w:w="131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2020</w:t>
            </w:r>
          </w:p>
        </w:tc>
        <w:tc>
          <w:tcPr>
            <w:tcW w:w="1216"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0"/>
                <w:szCs w:val="20"/>
              </w:rPr>
            </w:pPr>
          </w:p>
        </w:tc>
      </w:tr>
      <w:tr>
        <w:trPr>
          <w:trHeight w:val="300"/>
          <w:jc w:val="center"/>
        </w:trPr>
        <w:tc>
          <w:tcPr>
            <w:tcW w:w="42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Avdelning 1: Personalutgifter</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Åtaganden</w:t>
            </w:r>
          </w:p>
        </w:tc>
        <w:tc>
          <w:tcPr>
            <w:tcW w:w="960" w:type="dxa"/>
            <w:tcBorders>
              <w:top w:val="single" w:sz="4"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-1</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1,800</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1,550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1,450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1,464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6,264 </w:t>
            </w:r>
          </w:p>
        </w:tc>
      </w:tr>
      <w:tr>
        <w:trPr>
          <w:trHeight w:val="300"/>
          <w:jc w:val="center"/>
        </w:trPr>
        <w:tc>
          <w:tcPr>
            <w:tcW w:w="4299"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Betalningar</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-2</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1,800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1,550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1,450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1,464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6,264 </w:t>
            </w:r>
          </w:p>
        </w:tc>
      </w:tr>
      <w:tr>
        <w:trPr>
          <w:trHeight w:val="300"/>
          <w:jc w:val="center"/>
        </w:trPr>
        <w:tc>
          <w:tcPr>
            <w:tcW w:w="4299"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Avdelning 2: Utgifter för byggnader och andra administrativa utgifter</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Åtaganden</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(1a)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0,664 </w:t>
            </w:r>
          </w:p>
        </w:tc>
      </w:tr>
      <w:tr>
        <w:trPr>
          <w:trHeight w:val="300"/>
          <w:jc w:val="center"/>
        </w:trPr>
        <w:tc>
          <w:tcPr>
            <w:tcW w:w="4299"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Betalningar</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(2 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0,664 </w:t>
            </w:r>
          </w:p>
        </w:tc>
      </w:tr>
      <w:tr>
        <w:trPr>
          <w:trHeight w:val="300"/>
          <w:jc w:val="center"/>
        </w:trPr>
        <w:tc>
          <w:tcPr>
            <w:tcW w:w="4299"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Avdelning 3: Driftsutgifter</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Åtaganden</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(3a)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5,930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5,880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5,730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5,680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23,220 </w:t>
            </w:r>
          </w:p>
        </w:tc>
      </w:tr>
      <w:tr>
        <w:trPr>
          <w:trHeight w:val="300"/>
          <w:jc w:val="center"/>
        </w:trPr>
        <w:tc>
          <w:tcPr>
            <w:tcW w:w="4299"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Betalningar</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(3b)</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5,930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5,880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5,730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5,680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23,220 </w:t>
            </w:r>
          </w:p>
        </w:tc>
      </w:tr>
      <w:tr>
        <w:trPr>
          <w:trHeight w:val="855"/>
          <w:jc w:val="center"/>
        </w:trPr>
        <w:tc>
          <w:tcPr>
            <w:tcW w:w="4299" w:type="dxa"/>
            <w:vMerge w:val="restart"/>
            <w:tcBorders>
              <w:top w:val="nil"/>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2"/>
              </w:rPr>
            </w:pPr>
            <w:r>
              <w:rPr>
                <w:b/>
                <w:noProof/>
                <w:color w:val="000000"/>
                <w:sz w:val="22"/>
              </w:rPr>
              <w:t>Totala anslag för EFCA</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 w:val="18"/>
                <w:szCs w:val="18"/>
              </w:rPr>
            </w:pPr>
            <w:r>
              <w:rPr>
                <w:b/>
                <w:noProof/>
                <w:color w:val="000000"/>
                <w:sz w:val="18"/>
              </w:rPr>
              <w:t>Åtaganden</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=1+1a +3a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7,896</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7,596</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7,346</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7,310</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30,148</w:t>
            </w:r>
          </w:p>
        </w:tc>
      </w:tr>
      <w:tr>
        <w:trPr>
          <w:trHeight w:val="300"/>
          <w:jc w:val="center"/>
        </w:trPr>
        <w:tc>
          <w:tcPr>
            <w:tcW w:w="4299" w:type="dxa"/>
            <w:vMerge/>
            <w:tcBorders>
              <w:top w:val="nil"/>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2"/>
              </w:rPr>
            </w:pPr>
          </w:p>
        </w:tc>
        <w:tc>
          <w:tcPr>
            <w:tcW w:w="1640"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 w:val="18"/>
                <w:szCs w:val="18"/>
              </w:rPr>
            </w:pPr>
            <w:r>
              <w:rPr>
                <w:b/>
                <w:noProof/>
                <w:color w:val="000000"/>
                <w:sz w:val="18"/>
              </w:rPr>
              <w:t>Betalningar</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=2+2a</w:t>
            </w:r>
          </w:p>
        </w:tc>
        <w:tc>
          <w:tcPr>
            <w:tcW w:w="146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7,896</w:t>
            </w:r>
          </w:p>
        </w:tc>
        <w:tc>
          <w:tcPr>
            <w:tcW w:w="136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7,596</w:t>
            </w:r>
          </w:p>
        </w:tc>
        <w:tc>
          <w:tcPr>
            <w:tcW w:w="14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7,346</w:t>
            </w:r>
          </w:p>
        </w:tc>
        <w:tc>
          <w:tcPr>
            <w:tcW w:w="13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7,310</w:t>
            </w:r>
          </w:p>
        </w:tc>
        <w:tc>
          <w:tcPr>
            <w:tcW w:w="12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30,148</w:t>
            </w:r>
          </w:p>
        </w:tc>
      </w:tr>
      <w:tr>
        <w:trPr>
          <w:trHeight w:val="300"/>
          <w:jc w:val="center"/>
        </w:trPr>
        <w:tc>
          <w:tcPr>
            <w:tcW w:w="4299" w:type="dxa"/>
            <w:vMerge/>
            <w:tcBorders>
              <w:top w:val="nil"/>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2"/>
              </w:rPr>
            </w:pPr>
          </w:p>
        </w:tc>
        <w:tc>
          <w:tcPr>
            <w:tcW w:w="1640"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18"/>
                <w:szCs w:val="18"/>
              </w:rPr>
            </w:pP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+3b</w:t>
            </w:r>
          </w:p>
        </w:tc>
        <w:tc>
          <w:tcPr>
            <w:tcW w:w="146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36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4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3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2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r>
    </w:tbl>
    <w:p>
      <w:pPr>
        <w:rPr>
          <w:noProof/>
        </w:rPr>
      </w:pPr>
      <w:r>
        <w:rPr>
          <w:noProof/>
        </w:rPr>
        <w:br/>
      </w:r>
      <w:r>
        <w:rPr>
          <w:noProof/>
        </w:rPr>
        <w:br/>
      </w: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Rubrik i den fleråriga</w:t>
            </w:r>
            <w:r>
              <w:rPr>
                <w:noProof/>
                <w:sz w:val="22"/>
              </w:rPr>
              <w:br/>
            </w:r>
            <w:r>
              <w:rPr>
                <w:b/>
                <w:noProof/>
                <w:sz w:val="22"/>
              </w:rPr>
              <w:t xml:space="preserve">budgetramen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”Administrativa utgifter”</w:t>
            </w:r>
          </w:p>
        </w:tc>
      </w:tr>
    </w:tbl>
    <w:p>
      <w:pPr>
        <w:jc w:val="right"/>
        <w:rPr>
          <w:noProof/>
          <w:sz w:val="20"/>
        </w:rPr>
      </w:pPr>
      <w:r>
        <w:rPr>
          <w:noProof/>
          <w:sz w:val="20"/>
        </w:rPr>
        <w:t>Miljoner euro (avrundat till tre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År</w:t>
            </w:r>
            <w:r>
              <w:rPr>
                <w:b/>
                <w:noProof/>
                <w:sz w:val="20"/>
              </w:rPr>
              <w:t>2017</w:t>
            </w:r>
          </w:p>
        </w:tc>
        <w:tc>
          <w:tcPr>
            <w:tcW w:w="868" w:type="dxa"/>
            <w:vAlign w:val="center"/>
          </w:tcPr>
          <w:p>
            <w:pPr>
              <w:jc w:val="center"/>
              <w:rPr>
                <w:noProof/>
                <w:sz w:val="20"/>
              </w:rPr>
            </w:pPr>
            <w:r>
              <w:rPr>
                <w:noProof/>
                <w:sz w:val="20"/>
              </w:rPr>
              <w:t>År</w:t>
            </w:r>
            <w:r>
              <w:rPr>
                <w:b/>
                <w:noProof/>
                <w:sz w:val="20"/>
              </w:rPr>
              <w:t>2018</w:t>
            </w:r>
          </w:p>
        </w:tc>
        <w:tc>
          <w:tcPr>
            <w:tcW w:w="868" w:type="dxa"/>
            <w:vAlign w:val="center"/>
          </w:tcPr>
          <w:p>
            <w:pPr>
              <w:jc w:val="center"/>
              <w:rPr>
                <w:noProof/>
                <w:sz w:val="20"/>
              </w:rPr>
            </w:pPr>
            <w:r>
              <w:rPr>
                <w:noProof/>
                <w:sz w:val="20"/>
              </w:rPr>
              <w:t>År</w:t>
            </w:r>
            <w:r>
              <w:rPr>
                <w:b/>
                <w:noProof/>
                <w:sz w:val="20"/>
              </w:rPr>
              <w:t>2019</w:t>
            </w:r>
          </w:p>
        </w:tc>
        <w:tc>
          <w:tcPr>
            <w:tcW w:w="868" w:type="dxa"/>
            <w:vAlign w:val="center"/>
          </w:tcPr>
          <w:p>
            <w:pPr>
              <w:jc w:val="center"/>
              <w:rPr>
                <w:noProof/>
                <w:sz w:val="20"/>
              </w:rPr>
            </w:pPr>
            <w:r>
              <w:rPr>
                <w:noProof/>
                <w:sz w:val="20"/>
              </w:rPr>
              <w:t>År</w:t>
            </w:r>
            <w:r>
              <w:rPr>
                <w:b/>
                <w:noProof/>
                <w:sz w:val="20"/>
              </w:rPr>
              <w:t>2020</w:t>
            </w:r>
          </w:p>
        </w:tc>
        <w:tc>
          <w:tcPr>
            <w:tcW w:w="2604" w:type="dxa"/>
            <w:gridSpan w:val="3"/>
            <w:vAlign w:val="center"/>
          </w:tcPr>
          <w:p>
            <w:pPr>
              <w:jc w:val="center"/>
              <w:rPr>
                <w:b/>
                <w:noProof/>
                <w:sz w:val="18"/>
              </w:rPr>
            </w:pPr>
            <w:r>
              <w:rPr>
                <w:noProof/>
                <w:sz w:val="18"/>
              </w:rPr>
              <w:t xml:space="preserve">För in så många år som behövs för att redovisa inverkan på resursanvändningen (jfr punkt 1.6) </w:t>
            </w:r>
          </w:p>
        </w:tc>
        <w:tc>
          <w:tcPr>
            <w:tcW w:w="1777" w:type="dxa"/>
            <w:vAlign w:val="center"/>
          </w:tcPr>
          <w:p>
            <w:pPr>
              <w:jc w:val="center"/>
              <w:rPr>
                <w:b/>
                <w:noProof/>
                <w:sz w:val="20"/>
              </w:rPr>
            </w:pPr>
            <w:r>
              <w:rPr>
                <w:b/>
                <w:noProof/>
                <w:sz w:val="20"/>
              </w:rPr>
              <w:t>TOTALT</w:t>
            </w:r>
          </w:p>
        </w:tc>
      </w:tr>
      <w:tr>
        <w:trPr>
          <w:gridAfter w:val="10"/>
          <w:wAfter w:w="9947" w:type="dxa"/>
        </w:trPr>
        <w:tc>
          <w:tcPr>
            <w:tcW w:w="3960" w:type="dxa"/>
            <w:vAlign w:val="center"/>
          </w:tcPr>
          <w:p>
            <w:pPr>
              <w:spacing w:before="60" w:after="60"/>
              <w:jc w:val="center"/>
              <w:rPr>
                <w:noProof/>
                <w:sz w:val="22"/>
              </w:rPr>
            </w:pPr>
            <w:r>
              <w:rPr>
                <w:noProof/>
                <w:sz w:val="22"/>
              </w:rPr>
              <w:t>GD: MARE</w:t>
            </w:r>
          </w:p>
        </w:tc>
      </w:tr>
      <w:tr>
        <w:trPr>
          <w:trHeight w:val="313"/>
        </w:trPr>
        <w:tc>
          <w:tcPr>
            <w:tcW w:w="6054" w:type="dxa"/>
            <w:gridSpan w:val="3"/>
            <w:vAlign w:val="center"/>
          </w:tcPr>
          <w:p>
            <w:pPr>
              <w:spacing w:before="20" w:after="20"/>
              <w:rPr>
                <w:noProof/>
                <w:sz w:val="22"/>
              </w:rPr>
            </w:pPr>
            <w:r>
              <w:rPr>
                <w:noProof/>
                <w:sz w:val="22"/>
              </w:rPr>
              <w:sym w:font="Wingdings" w:char="F09F"/>
            </w:r>
            <w:r>
              <w:rPr>
                <w:noProof/>
                <w:sz w:val="22"/>
              </w:rPr>
              <w:t>Personalresurser</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Övriga administrativa utgifter</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r>
        <w:tc>
          <w:tcPr>
            <w:tcW w:w="3960" w:type="dxa"/>
            <w:vAlign w:val="center"/>
          </w:tcPr>
          <w:p>
            <w:pPr>
              <w:jc w:val="center"/>
              <w:rPr>
                <w:b/>
                <w:noProof/>
                <w:sz w:val="22"/>
              </w:rPr>
            </w:pPr>
            <w:r>
              <w:rPr>
                <w:b/>
                <w:noProof/>
                <w:sz w:val="22"/>
              </w:rPr>
              <w:t>TOTALT GD MARE</w:t>
            </w:r>
          </w:p>
        </w:tc>
        <w:tc>
          <w:tcPr>
            <w:tcW w:w="2094" w:type="dxa"/>
            <w:gridSpan w:val="2"/>
            <w:vAlign w:val="center"/>
          </w:tcPr>
          <w:p>
            <w:pPr>
              <w:rPr>
                <w:noProof/>
                <w:sz w:val="14"/>
              </w:rPr>
            </w:pPr>
            <w:r>
              <w:rPr>
                <w:noProof/>
                <w:sz w:val="18"/>
              </w:rPr>
              <w:t xml:space="preserve">Anslag </w:t>
            </w:r>
          </w:p>
        </w:tc>
        <w:tc>
          <w:tcPr>
            <w:tcW w:w="868" w:type="dxa"/>
            <w:vAlign w:val="center"/>
          </w:tcPr>
          <w:p>
            <w:pPr>
              <w:spacing w:before="60" w:after="6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TOTALA anslag</w:t>
            </w:r>
            <w:r>
              <w:rPr>
                <w:noProof/>
                <w:sz w:val="22"/>
              </w:rPr>
              <w:br/>
            </w:r>
            <w:r>
              <w:rPr>
                <w:b/>
                <w:noProof/>
                <w:sz w:val="22"/>
              </w:rPr>
              <w:t>för RUBRIK 5</w:t>
            </w:r>
            <w:r>
              <w:rPr>
                <w:noProof/>
                <w:sz w:val="22"/>
              </w:rPr>
              <w:br/>
              <w:t>i den fleråriga budgetramen</w:t>
            </w:r>
            <w:r>
              <w:rPr>
                <w:b/>
                <w:noProof/>
                <w:sz w:val="22"/>
              </w:rPr>
              <w:t xml:space="preserve"> </w:t>
            </w:r>
          </w:p>
        </w:tc>
        <w:tc>
          <w:tcPr>
            <w:tcW w:w="2094" w:type="dxa"/>
            <w:vAlign w:val="center"/>
          </w:tcPr>
          <w:p>
            <w:pPr>
              <w:spacing w:before="40" w:after="40"/>
              <w:rPr>
                <w:noProof/>
                <w:sz w:val="22"/>
              </w:rPr>
            </w:pPr>
            <w:r>
              <w:rPr>
                <w:noProof/>
                <w:sz w:val="18"/>
              </w:rPr>
              <w:t>(summa åtaganden = summa betalningar)</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bl>
    <w:p>
      <w:pPr>
        <w:jc w:val="right"/>
        <w:rPr>
          <w:noProof/>
          <w:sz w:val="20"/>
        </w:rPr>
      </w:pPr>
      <w:r>
        <w:rPr>
          <w:noProof/>
          <w:sz w:val="20"/>
        </w:rPr>
        <w:t>Miljoner euro (avrundat till tre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År</w:t>
            </w:r>
            <w:r>
              <w:rPr>
                <w:b/>
                <w:noProof/>
                <w:sz w:val="20"/>
              </w:rPr>
              <w:t>2017</w:t>
            </w:r>
          </w:p>
        </w:tc>
        <w:tc>
          <w:tcPr>
            <w:tcW w:w="868" w:type="dxa"/>
            <w:vAlign w:val="center"/>
          </w:tcPr>
          <w:p>
            <w:pPr>
              <w:jc w:val="center"/>
              <w:rPr>
                <w:noProof/>
                <w:sz w:val="20"/>
              </w:rPr>
            </w:pPr>
            <w:r>
              <w:rPr>
                <w:noProof/>
                <w:sz w:val="20"/>
              </w:rPr>
              <w:t>År</w:t>
            </w:r>
            <w:r>
              <w:rPr>
                <w:b/>
                <w:noProof/>
                <w:sz w:val="20"/>
              </w:rPr>
              <w:t>2018</w:t>
            </w:r>
          </w:p>
        </w:tc>
        <w:tc>
          <w:tcPr>
            <w:tcW w:w="868" w:type="dxa"/>
            <w:vAlign w:val="center"/>
          </w:tcPr>
          <w:p>
            <w:pPr>
              <w:jc w:val="center"/>
              <w:rPr>
                <w:noProof/>
                <w:sz w:val="20"/>
              </w:rPr>
            </w:pPr>
            <w:r>
              <w:rPr>
                <w:noProof/>
                <w:sz w:val="20"/>
              </w:rPr>
              <w:t>År</w:t>
            </w:r>
            <w:r>
              <w:rPr>
                <w:b/>
                <w:noProof/>
                <w:sz w:val="20"/>
              </w:rPr>
              <w:t>2019</w:t>
            </w:r>
          </w:p>
        </w:tc>
        <w:tc>
          <w:tcPr>
            <w:tcW w:w="868" w:type="dxa"/>
            <w:vAlign w:val="center"/>
          </w:tcPr>
          <w:p>
            <w:pPr>
              <w:jc w:val="center"/>
              <w:rPr>
                <w:noProof/>
                <w:sz w:val="20"/>
              </w:rPr>
            </w:pPr>
            <w:r>
              <w:rPr>
                <w:noProof/>
                <w:sz w:val="20"/>
              </w:rPr>
              <w:t>År</w:t>
            </w:r>
            <w:r>
              <w:rPr>
                <w:b/>
                <w:noProof/>
                <w:sz w:val="20"/>
              </w:rPr>
              <w:t>2020</w:t>
            </w:r>
          </w:p>
        </w:tc>
        <w:tc>
          <w:tcPr>
            <w:tcW w:w="2604" w:type="dxa"/>
            <w:gridSpan w:val="3"/>
            <w:vAlign w:val="center"/>
          </w:tcPr>
          <w:p>
            <w:pPr>
              <w:jc w:val="center"/>
              <w:rPr>
                <w:b/>
                <w:noProof/>
                <w:sz w:val="18"/>
              </w:rPr>
            </w:pPr>
            <w:r>
              <w:rPr>
                <w:noProof/>
                <w:sz w:val="18"/>
              </w:rPr>
              <w:t>För in så många år som behövs för att redovisa inverkan på resursanvändningen (jfr punkt 1.6)</w:t>
            </w:r>
          </w:p>
        </w:tc>
        <w:tc>
          <w:tcPr>
            <w:tcW w:w="1777" w:type="dxa"/>
            <w:vAlign w:val="center"/>
          </w:tcPr>
          <w:p>
            <w:pPr>
              <w:jc w:val="center"/>
              <w:rPr>
                <w:b/>
                <w:noProof/>
                <w:sz w:val="20"/>
              </w:rPr>
            </w:pPr>
            <w:r>
              <w:rPr>
                <w:b/>
                <w:noProof/>
                <w:sz w:val="20"/>
              </w:rPr>
              <w:t>TOTALT</w:t>
            </w:r>
          </w:p>
        </w:tc>
      </w:tr>
      <w:tr>
        <w:tc>
          <w:tcPr>
            <w:tcW w:w="3960" w:type="dxa"/>
            <w:vMerge w:val="restart"/>
            <w:shd w:val="clear" w:color="auto" w:fill="C0C0C0"/>
            <w:vAlign w:val="center"/>
          </w:tcPr>
          <w:p>
            <w:pPr>
              <w:jc w:val="center"/>
              <w:rPr>
                <w:b/>
                <w:noProof/>
                <w:sz w:val="22"/>
              </w:rPr>
            </w:pPr>
            <w:r>
              <w:rPr>
                <w:b/>
                <w:noProof/>
                <w:sz w:val="22"/>
              </w:rPr>
              <w:t>TOTALA anslag</w:t>
            </w:r>
            <w:r>
              <w:rPr>
                <w:noProof/>
                <w:sz w:val="22"/>
              </w:rPr>
              <w:br/>
            </w:r>
            <w:r>
              <w:rPr>
                <w:b/>
                <w:noProof/>
                <w:sz w:val="22"/>
              </w:rPr>
              <w:t>för RUBRIKERNA 1–5</w:t>
            </w:r>
            <w:r>
              <w:rPr>
                <w:noProof/>
                <w:sz w:val="22"/>
              </w:rPr>
              <w:br/>
              <w:t>i den fleråriga budgetramen</w:t>
            </w:r>
            <w:r>
              <w:rPr>
                <w:b/>
                <w:noProof/>
                <w:sz w:val="22"/>
              </w:rPr>
              <w:t xml:space="preserve"> </w:t>
            </w:r>
          </w:p>
        </w:tc>
        <w:tc>
          <w:tcPr>
            <w:tcW w:w="2094" w:type="dxa"/>
            <w:gridSpan w:val="2"/>
            <w:vAlign w:val="center"/>
          </w:tcPr>
          <w:p>
            <w:pPr>
              <w:rPr>
                <w:noProof/>
                <w:sz w:val="14"/>
              </w:rPr>
            </w:pPr>
            <w:r>
              <w:rPr>
                <w:noProof/>
                <w:sz w:val="18"/>
              </w:rPr>
              <w:t>Åtaganden</w:t>
            </w:r>
          </w:p>
        </w:tc>
        <w:tc>
          <w:tcPr>
            <w:tcW w:w="868" w:type="dxa"/>
          </w:tcPr>
          <w:p>
            <w:pPr>
              <w:rPr>
                <w:noProof/>
              </w:rPr>
            </w:pPr>
            <w:r>
              <w:rPr>
                <w:noProof/>
              </w:rPr>
              <w:t xml:space="preserve">7,896 </w:t>
            </w:r>
          </w:p>
        </w:tc>
        <w:tc>
          <w:tcPr>
            <w:tcW w:w="868" w:type="dxa"/>
          </w:tcPr>
          <w:p>
            <w:pPr>
              <w:rPr>
                <w:noProof/>
              </w:rPr>
            </w:pPr>
            <w:r>
              <w:rPr>
                <w:noProof/>
              </w:rPr>
              <w:t xml:space="preserve">7,596 </w:t>
            </w:r>
          </w:p>
        </w:tc>
        <w:tc>
          <w:tcPr>
            <w:tcW w:w="868" w:type="dxa"/>
          </w:tcPr>
          <w:p>
            <w:pPr>
              <w:rPr>
                <w:noProof/>
              </w:rPr>
            </w:pPr>
            <w:r>
              <w:rPr>
                <w:noProof/>
              </w:rPr>
              <w:t xml:space="preserve">7,346 </w:t>
            </w:r>
          </w:p>
        </w:tc>
        <w:tc>
          <w:tcPr>
            <w:tcW w:w="868" w:type="dxa"/>
          </w:tcPr>
          <w:p>
            <w:pPr>
              <w:rPr>
                <w:noProof/>
              </w:rPr>
            </w:pPr>
            <w:r>
              <w:rPr>
                <w:noProof/>
              </w:rPr>
              <w:t xml:space="preserve">7,310 </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after="0"/>
              <w:jc w:val="right"/>
              <w:rPr>
                <w:b/>
                <w:bCs/>
                <w:noProof/>
                <w:color w:val="000000"/>
                <w:sz w:val="20"/>
              </w:rPr>
            </w:pPr>
            <w:r>
              <w:rPr>
                <w:b/>
                <w:noProof/>
                <w:color w:val="000000"/>
                <w:sz w:val="20"/>
              </w:rPr>
              <w:t>30,148</w:t>
            </w: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Betalningar</w:t>
            </w:r>
          </w:p>
        </w:tc>
        <w:tc>
          <w:tcPr>
            <w:tcW w:w="868" w:type="dxa"/>
          </w:tcPr>
          <w:p>
            <w:pPr>
              <w:rPr>
                <w:noProof/>
              </w:rPr>
            </w:pPr>
            <w:r>
              <w:rPr>
                <w:noProof/>
              </w:rPr>
              <w:t xml:space="preserve">7,896 </w:t>
            </w:r>
          </w:p>
        </w:tc>
        <w:tc>
          <w:tcPr>
            <w:tcW w:w="868" w:type="dxa"/>
          </w:tcPr>
          <w:p>
            <w:pPr>
              <w:rPr>
                <w:noProof/>
              </w:rPr>
            </w:pPr>
            <w:r>
              <w:rPr>
                <w:noProof/>
              </w:rPr>
              <w:t xml:space="preserve">7,596 </w:t>
            </w:r>
          </w:p>
        </w:tc>
        <w:tc>
          <w:tcPr>
            <w:tcW w:w="868" w:type="dxa"/>
          </w:tcPr>
          <w:p>
            <w:pPr>
              <w:rPr>
                <w:noProof/>
              </w:rPr>
            </w:pPr>
            <w:r>
              <w:rPr>
                <w:noProof/>
              </w:rPr>
              <w:t xml:space="preserve">7,346 </w:t>
            </w:r>
          </w:p>
        </w:tc>
        <w:tc>
          <w:tcPr>
            <w:tcW w:w="868" w:type="dxa"/>
          </w:tcPr>
          <w:p>
            <w:pPr>
              <w:rPr>
                <w:noProof/>
              </w:rPr>
            </w:pPr>
            <w:r>
              <w:rPr>
                <w:noProof/>
              </w:rPr>
              <w:t xml:space="preserve">7,310 </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after="0"/>
              <w:jc w:val="right"/>
              <w:rPr>
                <w:b/>
                <w:bCs/>
                <w:noProof/>
                <w:color w:val="000000"/>
                <w:sz w:val="20"/>
              </w:rPr>
            </w:pPr>
            <w:r>
              <w:rPr>
                <w:b/>
                <w:noProof/>
                <w:color w:val="000000"/>
                <w:sz w:val="20"/>
              </w:rPr>
              <w:t xml:space="preserve">30,148 </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noProof/>
          <w:szCs w:val="24"/>
        </w:rPr>
      </w:pPr>
      <w:r>
        <w:t>3.2.2.</w:t>
      </w:r>
      <w:r>
        <w:tab/>
      </w:r>
      <w:r>
        <w:rPr>
          <w:noProof/>
        </w:rPr>
        <w:t>Beräknad inverkan på driftsanslagen (AVDELNING III)</w:t>
      </w:r>
    </w:p>
    <w:p>
      <w:pPr>
        <w:pStyle w:val="ListDash1"/>
        <w:rPr>
          <w:noProof/>
        </w:rPr>
      </w:pPr>
      <w:r>
        <w:rPr>
          <w:noProof/>
        </w:rPr>
        <w:sym w:font="Wingdings" w:char="F0A8"/>
      </w:r>
      <w:r>
        <w:rPr>
          <w:noProof/>
        </w:rPr>
        <w:tab/>
      </w:r>
      <w:r>
        <w:rPr>
          <w:noProof/>
        </w:rPr>
        <w:sym w:font="Wingdings" w:char="F0A8"/>
      </w:r>
      <w:r>
        <w:rPr>
          <w:noProof/>
        </w:rPr>
        <w:t xml:space="preserve">Förslaget/initiativet kräver inte att driftsanslag tas i anspråk </w:t>
      </w:r>
    </w:p>
    <w:p>
      <w:pPr>
        <w:pStyle w:val="ListDash1"/>
        <w:rPr>
          <w:noProof/>
        </w:rPr>
      </w:pPr>
      <w:r>
        <w:rPr>
          <w:noProof/>
        </w:rPr>
        <w:sym w:font="Wingdings" w:char="F0FE"/>
      </w:r>
      <w:r>
        <w:rPr>
          <w:noProof/>
        </w:rPr>
        <w:tab/>
      </w:r>
      <w:r>
        <w:rPr>
          <w:noProof/>
        </w:rPr>
        <w:sym w:font="Wingdings" w:char="F0FE"/>
      </w:r>
      <w:r>
        <w:rPr>
          <w:noProof/>
        </w:rPr>
        <w:t>Förslaget/initiativet kräver att driftsanslag tas i anspråk enligt följande:</w:t>
      </w:r>
    </w:p>
    <w:p>
      <w:pPr>
        <w:jc w:val="right"/>
        <w:rPr>
          <w:noProof/>
          <w:sz w:val="20"/>
        </w:rPr>
      </w:pPr>
      <w:r>
        <w:rPr>
          <w:noProof/>
          <w:sz w:val="20"/>
        </w:rPr>
        <w:t>Åtagandebemyndiganden i miljoner euro (avrundat till tre decimaler)</w:t>
      </w:r>
    </w:p>
    <w:tbl>
      <w:tblPr>
        <w:tblW w:w="13950" w:type="dxa"/>
        <w:jc w:val="center"/>
        <w:tblInd w:w="93" w:type="dxa"/>
        <w:tblLook w:val="04A0" w:firstRow="1" w:lastRow="0" w:firstColumn="1" w:lastColumn="0" w:noHBand="0" w:noVBand="1"/>
      </w:tblPr>
      <w:tblGrid>
        <w:gridCol w:w="2306"/>
        <w:gridCol w:w="2820"/>
        <w:gridCol w:w="1326"/>
        <w:gridCol w:w="660"/>
        <w:gridCol w:w="710"/>
        <w:gridCol w:w="660"/>
        <w:gridCol w:w="710"/>
        <w:gridCol w:w="660"/>
        <w:gridCol w:w="797"/>
        <w:gridCol w:w="573"/>
        <w:gridCol w:w="710"/>
        <w:gridCol w:w="963"/>
        <w:gridCol w:w="1055"/>
      </w:tblGrid>
      <w:tr>
        <w:trPr>
          <w:trHeight w:val="300"/>
          <w:jc w:val="center"/>
        </w:trPr>
        <w:tc>
          <w:tcPr>
            <w:tcW w:w="2319" w:type="dxa"/>
            <w:tcBorders>
              <w:top w:val="single" w:sz="8" w:space="0" w:color="auto"/>
              <w:left w:val="single" w:sz="8" w:space="0" w:color="auto"/>
              <w:bottom w:val="nil"/>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Mål- och resultatbeteckning </w:t>
            </w:r>
          </w:p>
        </w:tc>
        <w:tc>
          <w:tcPr>
            <w:tcW w:w="2820" w:type="dxa"/>
            <w:tcBorders>
              <w:top w:val="single" w:sz="8" w:space="0" w:color="auto"/>
              <w:left w:val="nil"/>
              <w:bottom w:val="nil"/>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251" w:type="dxa"/>
            <w:tcBorders>
              <w:top w:val="single" w:sz="8" w:space="0" w:color="auto"/>
              <w:left w:val="nil"/>
              <w:bottom w:val="nil"/>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377"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År</w:t>
            </w:r>
          </w:p>
        </w:tc>
        <w:tc>
          <w:tcPr>
            <w:tcW w:w="1377"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År</w:t>
            </w:r>
          </w:p>
        </w:tc>
        <w:tc>
          <w:tcPr>
            <w:tcW w:w="1469"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År</w:t>
            </w:r>
          </w:p>
        </w:tc>
        <w:tc>
          <w:tcPr>
            <w:tcW w:w="1285"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År</w:t>
            </w:r>
          </w:p>
        </w:tc>
        <w:tc>
          <w:tcPr>
            <w:tcW w:w="2052"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TOTALT</w:t>
            </w:r>
          </w:p>
        </w:tc>
      </w:tr>
      <w:tr>
        <w:trPr>
          <w:trHeight w:val="315"/>
          <w:jc w:val="center"/>
        </w:trPr>
        <w:tc>
          <w:tcPr>
            <w:tcW w:w="2319" w:type="dxa"/>
            <w:tcBorders>
              <w:top w:val="nil"/>
              <w:left w:val="single" w:sz="8" w:space="0" w:color="auto"/>
              <w:bottom w:val="nil"/>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2820"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251"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377"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2017</w:t>
            </w:r>
          </w:p>
        </w:tc>
        <w:tc>
          <w:tcPr>
            <w:tcW w:w="1377"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2018</w:t>
            </w:r>
          </w:p>
        </w:tc>
        <w:tc>
          <w:tcPr>
            <w:tcW w:w="1469"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2019</w:t>
            </w:r>
          </w:p>
        </w:tc>
        <w:tc>
          <w:tcPr>
            <w:tcW w:w="1285"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2020</w:t>
            </w:r>
          </w:p>
        </w:tc>
        <w:tc>
          <w:tcPr>
            <w:tcW w:w="2052" w:type="dxa"/>
            <w:gridSpan w:val="2"/>
            <w:vMerge/>
            <w:tcBorders>
              <w:top w:val="single" w:sz="8" w:space="0" w:color="auto"/>
              <w:left w:val="single" w:sz="8" w:space="0" w:color="auto"/>
              <w:bottom w:val="single" w:sz="8" w:space="0" w:color="000000"/>
              <w:right w:val="single" w:sz="8" w:space="0" w:color="000000"/>
            </w:tcBorders>
            <w:vAlign w:val="center"/>
            <w:hideMark/>
          </w:tcPr>
          <w:p>
            <w:pPr>
              <w:spacing w:after="0"/>
              <w:jc w:val="left"/>
              <w:rPr>
                <w:b/>
                <w:bCs/>
                <w:noProof/>
                <w:color w:val="000000"/>
                <w:sz w:val="18"/>
                <w:szCs w:val="18"/>
              </w:rPr>
            </w:pPr>
          </w:p>
        </w:tc>
      </w:tr>
      <w:tr>
        <w:trPr>
          <w:trHeight w:val="315"/>
          <w:jc w:val="center"/>
        </w:trPr>
        <w:tc>
          <w:tcPr>
            <w:tcW w:w="2319" w:type="dxa"/>
            <w:tcBorders>
              <w:top w:val="nil"/>
              <w:left w:val="single" w:sz="8" w:space="0" w:color="auto"/>
              <w:bottom w:val="nil"/>
              <w:right w:val="single" w:sz="8" w:space="0" w:color="auto"/>
            </w:tcBorders>
            <w:shd w:val="clear" w:color="auto" w:fill="auto"/>
            <w:vAlign w:val="center"/>
            <w:hideMark/>
          </w:tcPr>
          <w:p>
            <w:pPr>
              <w:spacing w:after="0"/>
              <w:jc w:val="center"/>
              <w:rPr>
                <w:rFonts w:ascii="Wingdings" w:hAnsi="Wingdings"/>
                <w:noProof/>
                <w:color w:val="000000"/>
                <w:sz w:val="18"/>
                <w:szCs w:val="18"/>
              </w:rPr>
            </w:pPr>
          </w:p>
        </w:tc>
        <w:tc>
          <w:tcPr>
            <w:tcW w:w="2820"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RESULTAT</w:t>
            </w:r>
          </w:p>
        </w:tc>
        <w:tc>
          <w:tcPr>
            <w:tcW w:w="125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1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1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803"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574"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1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98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1071" w:type="dxa"/>
            <w:tcBorders>
              <w:top w:val="nil"/>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w:t>
            </w:r>
          </w:p>
        </w:tc>
      </w:tr>
      <w:tr>
        <w:trPr>
          <w:trHeight w:val="345"/>
          <w:jc w:val="center"/>
        </w:trPr>
        <w:tc>
          <w:tcPr>
            <w:tcW w:w="2319" w:type="dxa"/>
            <w:tcBorders>
              <w:top w:val="nil"/>
              <w:left w:val="single" w:sz="8" w:space="0" w:color="auto"/>
              <w:bottom w:val="single" w:sz="8" w:space="0" w:color="auto"/>
              <w:right w:val="single" w:sz="8" w:space="0" w:color="auto"/>
            </w:tcBorders>
            <w:shd w:val="clear" w:color="auto" w:fill="auto"/>
            <w:vAlign w:val="center"/>
            <w:hideMark/>
          </w:tcPr>
          <w:p>
            <w:pPr>
              <w:spacing w:after="0"/>
              <w:jc w:val="left"/>
              <w:rPr>
                <w:rFonts w:ascii="Calibri" w:hAnsi="Calibri"/>
                <w:noProof/>
                <w:color w:val="000000"/>
                <w:sz w:val="22"/>
              </w:rPr>
            </w:pPr>
            <w:r>
              <w:rPr>
                <w:rFonts w:ascii="Calibri" w:hAnsi="Calibri"/>
                <w:noProof/>
                <w:color w:val="000000"/>
                <w:sz w:val="22"/>
              </w:rPr>
              <w:t> </w:t>
            </w:r>
          </w:p>
        </w:tc>
        <w:tc>
          <w:tcPr>
            <w:tcW w:w="2820" w:type="dxa"/>
            <w:tcBorders>
              <w:top w:val="nil"/>
              <w:left w:val="nil"/>
              <w:bottom w:val="nil"/>
              <w:right w:val="nil"/>
            </w:tcBorders>
            <w:shd w:val="clear" w:color="auto" w:fill="auto"/>
            <w:noWrap/>
            <w:vAlign w:val="bottom"/>
            <w:hideMark/>
          </w:tcPr>
          <w:p>
            <w:pPr>
              <w:spacing w:after="0"/>
              <w:jc w:val="left"/>
              <w:rPr>
                <w:rFonts w:ascii="Calibri" w:hAnsi="Calibri"/>
                <w:noProof/>
                <w:color w:val="000000"/>
                <w:sz w:val="22"/>
              </w:rPr>
            </w:pPr>
            <w:r>
              <w:rPr>
                <w:rFonts w:ascii="Calibri" w:hAnsi="Calibri"/>
                <w:noProof/>
                <w:color w:val="000000"/>
                <w:sz w:val="22"/>
              </w:rPr>
              <w:t>Typ[1]</w:t>
            </w:r>
          </w:p>
        </w:tc>
        <w:tc>
          <w:tcPr>
            <w:tcW w:w="1251"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Genomsnittliga kostnader</w:t>
            </w:r>
          </w:p>
        </w:tc>
        <w:tc>
          <w:tcPr>
            <w:tcW w:w="66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Antal</w:t>
            </w:r>
          </w:p>
        </w:tc>
        <w:tc>
          <w:tcPr>
            <w:tcW w:w="71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Kostn.</w:t>
            </w:r>
          </w:p>
        </w:tc>
        <w:tc>
          <w:tcPr>
            <w:tcW w:w="66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Antal</w:t>
            </w:r>
          </w:p>
        </w:tc>
        <w:tc>
          <w:tcPr>
            <w:tcW w:w="71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Kostn.</w:t>
            </w:r>
          </w:p>
        </w:tc>
        <w:tc>
          <w:tcPr>
            <w:tcW w:w="66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Antal</w:t>
            </w:r>
          </w:p>
        </w:tc>
        <w:tc>
          <w:tcPr>
            <w:tcW w:w="803" w:type="dxa"/>
            <w:tcBorders>
              <w:top w:val="nil"/>
              <w:left w:val="nil"/>
              <w:bottom w:val="single" w:sz="8" w:space="0" w:color="auto"/>
              <w:right w:val="nil"/>
            </w:tcBorders>
            <w:shd w:val="pct12" w:color="000000" w:fill="E5E5E5"/>
            <w:vAlign w:val="center"/>
            <w:hideMark/>
          </w:tcPr>
          <w:p>
            <w:pPr>
              <w:spacing w:after="0"/>
              <w:jc w:val="left"/>
              <w:rPr>
                <w:noProof/>
                <w:color w:val="000000"/>
                <w:sz w:val="18"/>
                <w:szCs w:val="18"/>
              </w:rPr>
            </w:pPr>
            <w:r>
              <w:rPr>
                <w:noProof/>
                <w:color w:val="000000"/>
                <w:sz w:val="18"/>
              </w:rPr>
              <w:t>Kostn.</w:t>
            </w:r>
          </w:p>
        </w:tc>
        <w:tc>
          <w:tcPr>
            <w:tcW w:w="574"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Antal</w:t>
            </w:r>
          </w:p>
        </w:tc>
        <w:tc>
          <w:tcPr>
            <w:tcW w:w="71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Kostn.</w:t>
            </w:r>
          </w:p>
        </w:tc>
        <w:tc>
          <w:tcPr>
            <w:tcW w:w="981" w:type="dxa"/>
            <w:tcBorders>
              <w:top w:val="nil"/>
              <w:left w:val="nil"/>
              <w:bottom w:val="single" w:sz="8" w:space="0" w:color="auto"/>
              <w:right w:val="dashed" w:sz="8" w:space="0" w:color="auto"/>
            </w:tcBorders>
            <w:shd w:val="pct12" w:color="000000" w:fill="E5E5E5"/>
            <w:vAlign w:val="center"/>
            <w:hideMark/>
          </w:tcPr>
          <w:p>
            <w:pPr>
              <w:spacing w:after="0"/>
              <w:jc w:val="center"/>
              <w:rPr>
                <w:noProof/>
                <w:color w:val="000000"/>
                <w:sz w:val="18"/>
                <w:szCs w:val="18"/>
              </w:rPr>
            </w:pPr>
            <w:r>
              <w:rPr>
                <w:noProof/>
                <w:color w:val="000000"/>
                <w:sz w:val="18"/>
              </w:rPr>
              <w:t>Totalt Antal</w:t>
            </w:r>
          </w:p>
        </w:tc>
        <w:tc>
          <w:tcPr>
            <w:tcW w:w="107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Total kostnad</w:t>
            </w:r>
          </w:p>
        </w:tc>
      </w:tr>
      <w:tr>
        <w:trPr>
          <w:trHeight w:val="675"/>
          <w:jc w:val="center"/>
        </w:trPr>
        <w:tc>
          <w:tcPr>
            <w:tcW w:w="13950" w:type="dxa"/>
            <w:gridSpan w:val="13"/>
            <w:tcBorders>
              <w:top w:val="single" w:sz="8" w:space="0" w:color="auto"/>
              <w:left w:val="single" w:sz="8" w:space="0" w:color="auto"/>
              <w:bottom w:val="single" w:sz="8" w:space="0" w:color="auto"/>
              <w:right w:val="single" w:sz="8" w:space="0" w:color="000000"/>
            </w:tcBorders>
            <w:shd w:val="clear" w:color="auto" w:fill="auto"/>
            <w:vAlign w:val="bottom"/>
            <w:hideMark/>
          </w:tcPr>
          <w:p>
            <w:pPr>
              <w:spacing w:after="0"/>
              <w:jc w:val="center"/>
              <w:rPr>
                <w:rFonts w:ascii="Calibri" w:hAnsi="Calibri"/>
                <w:noProof/>
                <w:color w:val="000000"/>
                <w:sz w:val="22"/>
              </w:rPr>
            </w:pPr>
            <w:r>
              <w:rPr>
                <w:rFonts w:ascii="Calibri" w:hAnsi="Calibri"/>
                <w:noProof/>
                <w:color w:val="000000"/>
                <w:sz w:val="22"/>
              </w:rPr>
              <w:t>SPECIFIKT MÅL nr 3</w:t>
            </w:r>
            <w:r>
              <w:rPr>
                <w:rFonts w:ascii="Calibri" w:hAnsi="Calibri"/>
                <w:noProof/>
                <w:color w:val="000000"/>
                <w:sz w:val="22"/>
              </w:rPr>
              <w:br/>
              <w:t>Främja genomförandet av den gemensamma fiskeripolitiken genom att intensifiera kampen mot IUU-fisket, genom ett ändamålsenligt unionssystem för fiskerikontroll och en lämpad datadelningsnod ]</w:t>
            </w:r>
          </w:p>
        </w:tc>
      </w:tr>
      <w:tr>
        <w:trPr>
          <w:trHeight w:val="660"/>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Tillhandahålla övervaknings- och kommunikationstjänster (inklusive personal- och administrationskostnader)</w:t>
            </w:r>
            <w:r>
              <w:rPr>
                <w:noProof/>
                <w:color w:val="000000"/>
                <w:sz w:val="18"/>
                <w:szCs w:val="18"/>
              </w:rPr>
              <w:br/>
            </w:r>
            <w:r>
              <w:rPr>
                <w:noProof/>
                <w:color w:val="000000"/>
                <w:sz w:val="18"/>
              </w:rPr>
              <w:t>*Genomförbarhetsstudie</w:t>
            </w:r>
            <w:r>
              <w:rPr>
                <w:noProof/>
                <w:color w:val="000000"/>
                <w:sz w:val="18"/>
                <w:szCs w:val="18"/>
              </w:rPr>
              <w:br/>
            </w:r>
            <w:r>
              <w:rPr>
                <w:noProof/>
                <w:color w:val="000000"/>
                <w:sz w:val="18"/>
              </w:rPr>
              <w:t>*Inrätta den centrala datadelningsnoden</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System för informationsutbyte mellan byråer (antal projekt)</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0,025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8</w:t>
            </w:r>
          </w:p>
        </w:tc>
        <w:tc>
          <w:tcPr>
            <w:tcW w:w="107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0,200</w:t>
            </w:r>
          </w:p>
        </w:tc>
      </w:tr>
      <w:tr>
        <w:trPr>
          <w:trHeight w:val="300"/>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Genomförbarhetsstudie</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0,100</w:t>
            </w:r>
          </w:p>
        </w:tc>
      </w:tr>
      <w:tr>
        <w:trPr>
          <w:trHeight w:val="49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EU-nod för datadelning (antal projekt)</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0,040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0,200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10</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0,400</w:t>
            </w:r>
          </w:p>
        </w:tc>
      </w:tr>
      <w:tr>
        <w:trPr>
          <w:trHeight w:val="675"/>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EU:s datanod (inklusive personal- och adminstrationskostnader)</w:t>
            </w:r>
            <w:r>
              <w:rPr>
                <w:noProof/>
                <w:color w:val="000000"/>
                <w:sz w:val="18"/>
                <w:szCs w:val="18"/>
              </w:rPr>
              <w:br/>
            </w:r>
            <w:r>
              <w:rPr>
                <w:noProof/>
                <w:color w:val="000000"/>
                <w:sz w:val="18"/>
              </w:rPr>
              <w:t>*Insamling, delning och analys av data (Cise, Marsurv..)</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Tillgång till jordobservationsdata och satellitdata (antal dataset)</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80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574"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98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20</w:t>
            </w:r>
          </w:p>
        </w:tc>
        <w:tc>
          <w:tcPr>
            <w:tcW w:w="1071"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2,000</w:t>
            </w:r>
          </w:p>
        </w:tc>
      </w:tr>
      <w:tr>
        <w:trPr>
          <w:trHeight w:val="73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Leverans av permanent tjänst för datautbyte och dataanalys till relevanta aktörer</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0,488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0,450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0,450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1,950</w:t>
            </w:r>
          </w:p>
        </w:tc>
      </w:tr>
      <w:tr>
        <w:trPr>
          <w:trHeight w:val="765"/>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Gemensamt insättande av resurser och annan kapacitet (inklusive personal- och administrativa kostnader)</w:t>
            </w:r>
            <w:r>
              <w:rPr>
                <w:noProof/>
                <w:color w:val="000000"/>
                <w:sz w:val="18"/>
                <w:szCs w:val="18"/>
              </w:rPr>
              <w:br/>
            </w:r>
            <w:r>
              <w:rPr>
                <w:noProof/>
                <w:color w:val="000000"/>
                <w:sz w:val="18"/>
              </w:rPr>
              <w:t>*Inhyrning av inspektionsplattformar</w:t>
            </w:r>
            <w:r>
              <w:rPr>
                <w:noProof/>
                <w:color w:val="000000"/>
                <w:sz w:val="18"/>
                <w:szCs w:val="18"/>
              </w:rPr>
              <w:br/>
            </w:r>
            <w:r>
              <w:rPr>
                <w:noProof/>
                <w:color w:val="000000"/>
                <w:sz w:val="18"/>
              </w:rPr>
              <w:t>*Delning av annan kapacitet</w:t>
            </w:r>
            <w:r>
              <w:rPr>
                <w:noProof/>
                <w:color w:val="000000"/>
                <w:sz w:val="18"/>
                <w:szCs w:val="18"/>
              </w:rPr>
              <w:br/>
            </w:r>
            <w:r>
              <w:rPr>
                <w:noProof/>
                <w:color w:val="000000"/>
                <w:sz w:val="18"/>
              </w:rPr>
              <w:t>*Tjänsteresor och möten</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Tillgång till ytterligare inspektionsmedel (befraktningsdagar)</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0,015 </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80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574"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98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1 100</w:t>
            </w:r>
          </w:p>
        </w:tc>
        <w:tc>
          <w:tcPr>
            <w:tcW w:w="1071"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16,000</w:t>
            </w:r>
          </w:p>
        </w:tc>
      </w:tr>
      <w:tr>
        <w:trPr>
          <w:trHeight w:val="480"/>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Ökad inspektionskapacitet (antal inspektionsuppdrag)</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0,008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60</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0,480</w:t>
            </w:r>
          </w:p>
        </w:tc>
      </w:tr>
      <w:tr>
        <w:trPr>
          <w:trHeight w:val="49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Skapande av databaser (hårdvara, programvara, delad kapacitet...)</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0,063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0,250</w:t>
            </w:r>
          </w:p>
        </w:tc>
      </w:tr>
      <w:tr>
        <w:trPr>
          <w:trHeight w:val="690"/>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Kapacitetsuppbyggande verksamhet (inbegripet personal- och administrationskostnader)</w:t>
            </w:r>
            <w:r>
              <w:rPr>
                <w:noProof/>
                <w:color w:val="000000"/>
                <w:sz w:val="18"/>
                <w:szCs w:val="18"/>
              </w:rPr>
              <w:br/>
            </w:r>
            <w:r>
              <w:rPr>
                <w:noProof/>
                <w:color w:val="000000"/>
                <w:sz w:val="18"/>
              </w:rPr>
              <w:t>*Handbok och utbildningsmaterial</w:t>
            </w:r>
            <w:r>
              <w:rPr>
                <w:noProof/>
                <w:color w:val="000000"/>
                <w:sz w:val="18"/>
                <w:szCs w:val="18"/>
              </w:rPr>
              <w:br/>
            </w:r>
            <w:r>
              <w:rPr>
                <w:noProof/>
                <w:color w:val="000000"/>
                <w:sz w:val="18"/>
              </w:rPr>
              <w:t>*Utbyte av personal med andra byråer och tredjeländer</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Utarbetande av riktlinjer, handbok och rekommendationer för berörda inom kustbevakningen</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574"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98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71"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0,400</w:t>
            </w:r>
          </w:p>
        </w:tc>
      </w:tr>
      <w:tr>
        <w:trPr>
          <w:trHeight w:val="73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Personalutbyte EFCA, medlemsstaterna och tredjeländer (antal uppdrag)</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0,012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120</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1,440</w:t>
            </w:r>
          </w:p>
        </w:tc>
      </w:tr>
      <w:tr>
        <w:trPr>
          <w:trHeight w:val="630"/>
          <w:jc w:val="center"/>
        </w:trPr>
        <w:tc>
          <w:tcPr>
            <w:tcW w:w="2319" w:type="dxa"/>
            <w:tcBorders>
              <w:top w:val="nil"/>
              <w:left w:val="single" w:sz="8" w:space="0" w:color="auto"/>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Delsumma för specifikt mål nr 1</w:t>
            </w:r>
          </w:p>
        </w:tc>
        <w:tc>
          <w:tcPr>
            <w:tcW w:w="2820" w:type="dxa"/>
            <w:tcBorders>
              <w:top w:val="nil"/>
              <w:left w:val="nil"/>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 </w:t>
            </w:r>
          </w:p>
        </w:tc>
        <w:tc>
          <w:tcPr>
            <w:tcW w:w="1251" w:type="dxa"/>
            <w:tcBorders>
              <w:top w:val="single" w:sz="8" w:space="0" w:color="auto"/>
              <w:left w:val="nil"/>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 </w:t>
            </w:r>
          </w:p>
        </w:tc>
        <w:tc>
          <w:tcPr>
            <w:tcW w:w="666" w:type="dxa"/>
            <w:tcBorders>
              <w:top w:val="single" w:sz="8" w:space="0" w:color="auto"/>
              <w:left w:val="single" w:sz="4" w:space="0" w:color="auto"/>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332 </w:t>
            </w:r>
          </w:p>
        </w:tc>
        <w:tc>
          <w:tcPr>
            <w:tcW w:w="71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5,930 </w:t>
            </w:r>
          </w:p>
        </w:tc>
        <w:tc>
          <w:tcPr>
            <w:tcW w:w="666"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5,880 </w:t>
            </w:r>
          </w:p>
        </w:tc>
        <w:tc>
          <w:tcPr>
            <w:tcW w:w="666"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803"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5,730 </w:t>
            </w:r>
          </w:p>
        </w:tc>
        <w:tc>
          <w:tcPr>
            <w:tcW w:w="574"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5,680</w:t>
            </w:r>
          </w:p>
        </w:tc>
        <w:tc>
          <w:tcPr>
            <w:tcW w:w="98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1 331 </w:t>
            </w:r>
          </w:p>
        </w:tc>
        <w:tc>
          <w:tcPr>
            <w:tcW w:w="1071" w:type="dxa"/>
            <w:tcBorders>
              <w:top w:val="single" w:sz="8" w:space="0" w:color="auto"/>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23,220 </w:t>
            </w:r>
          </w:p>
        </w:tc>
      </w:tr>
      <w:tr>
        <w:trPr>
          <w:trHeight w:val="330"/>
          <w:jc w:val="center"/>
        </w:trPr>
        <w:tc>
          <w:tcPr>
            <w:tcW w:w="2319" w:type="dxa"/>
            <w:tcBorders>
              <w:top w:val="single" w:sz="12" w:space="0" w:color="auto"/>
              <w:left w:val="single" w:sz="12" w:space="0" w:color="auto"/>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TOTALA KOSTNADER</w:t>
            </w:r>
          </w:p>
        </w:tc>
        <w:tc>
          <w:tcPr>
            <w:tcW w:w="2820" w:type="dxa"/>
            <w:tcBorders>
              <w:top w:val="single" w:sz="12" w:space="0" w:color="auto"/>
              <w:left w:val="nil"/>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1251" w:type="dxa"/>
            <w:tcBorders>
              <w:top w:val="single" w:sz="12" w:space="0" w:color="auto"/>
              <w:left w:val="nil"/>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single" w:sz="4" w:space="0" w:color="auto"/>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332 </w:t>
            </w:r>
          </w:p>
        </w:tc>
        <w:tc>
          <w:tcPr>
            <w:tcW w:w="71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5,930 </w:t>
            </w:r>
          </w:p>
        </w:tc>
        <w:tc>
          <w:tcPr>
            <w:tcW w:w="666"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5,880 </w:t>
            </w:r>
          </w:p>
        </w:tc>
        <w:tc>
          <w:tcPr>
            <w:tcW w:w="666"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803"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5,730 </w:t>
            </w:r>
          </w:p>
        </w:tc>
        <w:tc>
          <w:tcPr>
            <w:tcW w:w="574"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5,680</w:t>
            </w:r>
          </w:p>
        </w:tc>
        <w:tc>
          <w:tcPr>
            <w:tcW w:w="98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1 331 </w:t>
            </w:r>
          </w:p>
        </w:tc>
        <w:tc>
          <w:tcPr>
            <w:tcW w:w="1071" w:type="dxa"/>
            <w:tcBorders>
              <w:top w:val="nil"/>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23,220 </w:t>
            </w:r>
          </w:p>
        </w:tc>
      </w:tr>
    </w:tbl>
    <w:p>
      <w:pPr>
        <w:jc w:val="right"/>
        <w:rPr>
          <w:noProof/>
          <w:sz w:val="20"/>
        </w:rPr>
      </w:pPr>
    </w:p>
    <w:p>
      <w:pPr>
        <w:rPr>
          <w:noProof/>
          <w:sz w:val="20"/>
        </w:rPr>
      </w:pPr>
    </w:p>
    <w:p>
      <w:pPr>
        <w:rPr>
          <w:noProof/>
        </w:rPr>
        <w:sectPr>
          <w:pgSz w:w="16840" w:h="11907" w:orient="landscape" w:code="9"/>
          <w:pgMar w:top="1134" w:right="1418" w:bottom="567" w:left="1418" w:header="709" w:footer="709" w:gutter="0"/>
          <w:cols w:space="708"/>
          <w:docGrid w:linePitch="360"/>
        </w:sectPr>
      </w:pPr>
    </w:p>
    <w:p>
      <w:pPr>
        <w:pStyle w:val="ManualHeading3"/>
        <w:rPr>
          <w:noProof/>
          <w:szCs w:val="24"/>
        </w:rPr>
      </w:pPr>
      <w:r>
        <w:t>3.2.3.</w:t>
      </w:r>
      <w:r>
        <w:tab/>
      </w:r>
      <w:r>
        <w:rPr>
          <w:noProof/>
        </w:rPr>
        <w:t xml:space="preserve">Beräknad inverkan på EFCA:s personalresurser </w:t>
      </w:r>
    </w:p>
    <w:p>
      <w:pPr>
        <w:pStyle w:val="ManualHeading4"/>
        <w:rPr>
          <w:noProof/>
        </w:rPr>
      </w:pPr>
      <w:r>
        <w:t>3.2.3.1.</w:t>
      </w:r>
      <w:r>
        <w:tab/>
      </w:r>
      <w:r>
        <w:rPr>
          <w:noProof/>
        </w:rPr>
        <w:t xml:space="preserve">Sammanfattning </w:t>
      </w:r>
    </w:p>
    <w:p>
      <w:pPr>
        <w:pStyle w:val="ListDash1"/>
        <w:rPr>
          <w:noProof/>
        </w:rPr>
      </w:pPr>
      <w:r>
        <w:rPr>
          <w:noProof/>
        </w:rPr>
        <w:sym w:font="Wingdings" w:char="F0A8"/>
      </w:r>
      <w:r>
        <w:rPr>
          <w:noProof/>
        </w:rPr>
        <w:tab/>
      </w:r>
      <w:r>
        <w:rPr>
          <w:noProof/>
        </w:rPr>
        <w:sym w:font="Wingdings" w:char="F0A8"/>
      </w:r>
      <w:r>
        <w:rPr>
          <w:noProof/>
        </w:rPr>
        <w:t xml:space="preserve">Förslaget/initiativet kräver inte att anslag av administrativ natur tas i anspråk </w:t>
      </w:r>
    </w:p>
    <w:p>
      <w:pPr>
        <w:pStyle w:val="ListDash1"/>
        <w:rPr>
          <w:noProof/>
        </w:rPr>
      </w:pPr>
      <w:r>
        <w:rPr>
          <w:noProof/>
        </w:rPr>
        <w:sym w:font="Wingdings" w:char="F0FE"/>
      </w:r>
      <w:r>
        <w:rPr>
          <w:noProof/>
        </w:rPr>
        <w:tab/>
      </w:r>
      <w:r>
        <w:rPr>
          <w:noProof/>
        </w:rPr>
        <w:sym w:font="Wingdings" w:char="F0FE"/>
      </w:r>
      <w:r>
        <w:rPr>
          <w:noProof/>
        </w:rPr>
        <w:t>Förslaget/initiativet kräver att anslag av administrativ natur tas i anspråk enligt följande:</w:t>
      </w:r>
    </w:p>
    <w:p>
      <w:pPr>
        <w:rPr>
          <w:noProof/>
          <w:sz w:val="20"/>
        </w:rPr>
      </w:pPr>
      <w:r>
        <w:rPr>
          <w:noProof/>
          <w:sz w:val="20"/>
        </w:rPr>
        <w:t>Miljoner euro (avrundat till tre decimaler)</w:t>
      </w:r>
    </w:p>
    <w:p>
      <w:pPr>
        <w:rPr>
          <w:noProof/>
          <w:sz w:val="20"/>
        </w:rPr>
      </w:pPr>
    </w:p>
    <w:tbl>
      <w:tblPr>
        <w:tblW w:w="7026" w:type="dxa"/>
        <w:jc w:val="center"/>
        <w:tblInd w:w="93" w:type="dxa"/>
        <w:tblLayout w:type="fixed"/>
        <w:tblLook w:val="04A0" w:firstRow="1" w:lastRow="0" w:firstColumn="1" w:lastColumn="0" w:noHBand="0" w:noVBand="1"/>
      </w:tblPr>
      <w:tblGrid>
        <w:gridCol w:w="2567"/>
        <w:gridCol w:w="860"/>
        <w:gridCol w:w="861"/>
        <w:gridCol w:w="860"/>
        <w:gridCol w:w="861"/>
        <w:gridCol w:w="1017"/>
      </w:tblGrid>
      <w:tr>
        <w:trPr>
          <w:trHeight w:val="300"/>
          <w:jc w:val="center"/>
        </w:trPr>
        <w:tc>
          <w:tcPr>
            <w:tcW w:w="2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 </w:t>
            </w:r>
          </w:p>
        </w:tc>
        <w:tc>
          <w:tcPr>
            <w:tcW w:w="860"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År</w:t>
            </w:r>
          </w:p>
        </w:tc>
        <w:tc>
          <w:tcPr>
            <w:tcW w:w="861"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År</w:t>
            </w:r>
          </w:p>
        </w:tc>
        <w:tc>
          <w:tcPr>
            <w:tcW w:w="860"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År</w:t>
            </w:r>
          </w:p>
        </w:tc>
        <w:tc>
          <w:tcPr>
            <w:tcW w:w="861"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År</w:t>
            </w:r>
          </w:p>
        </w:tc>
        <w:tc>
          <w:tcPr>
            <w:tcW w:w="10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TOTALT</w:t>
            </w:r>
          </w:p>
        </w:tc>
      </w:tr>
      <w:tr>
        <w:trPr>
          <w:trHeight w:val="615"/>
          <w:jc w:val="center"/>
        </w:trPr>
        <w:tc>
          <w:tcPr>
            <w:tcW w:w="2567"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left"/>
              <w:rPr>
                <w:rFonts w:eastAsia="Times New Roman"/>
                <w:noProof/>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2017</w:t>
            </w:r>
          </w:p>
        </w:tc>
        <w:tc>
          <w:tcPr>
            <w:tcW w:w="861" w:type="dxa"/>
            <w:tcBorders>
              <w:top w:val="nil"/>
              <w:left w:val="nil"/>
              <w:bottom w:val="single" w:sz="4" w:space="0" w:color="auto"/>
              <w:right w:val="nil"/>
            </w:tcBorders>
            <w:shd w:val="clear" w:color="auto" w:fill="auto"/>
            <w:noWrap/>
            <w:vAlign w:val="center"/>
            <w:hideMark/>
          </w:tcPr>
          <w:p>
            <w:pPr>
              <w:spacing w:before="0" w:after="0"/>
              <w:jc w:val="center"/>
              <w:rPr>
                <w:rFonts w:eastAsia="Times New Roman"/>
                <w:b/>
                <w:bCs/>
                <w:noProof/>
                <w:color w:val="000000"/>
                <w:sz w:val="20"/>
                <w:szCs w:val="20"/>
              </w:rPr>
            </w:pPr>
            <w:r>
              <w:rPr>
                <w:b/>
                <w:noProof/>
                <w:color w:val="000000"/>
                <w:sz w:val="20"/>
              </w:rPr>
              <w:t>2018</w:t>
            </w:r>
          </w:p>
        </w:tc>
        <w:tc>
          <w:tcPr>
            <w:tcW w:w="860" w:type="dxa"/>
            <w:tcBorders>
              <w:top w:val="nil"/>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2019</w:t>
            </w:r>
          </w:p>
        </w:tc>
        <w:tc>
          <w:tcPr>
            <w:tcW w:w="861" w:type="dxa"/>
            <w:tcBorders>
              <w:top w:val="nil"/>
              <w:left w:val="nil"/>
              <w:bottom w:val="single" w:sz="4" w:space="0" w:color="auto"/>
              <w:right w:val="nil"/>
            </w:tcBorders>
            <w:shd w:val="clear" w:color="auto" w:fill="auto"/>
            <w:noWrap/>
            <w:vAlign w:val="center"/>
            <w:hideMark/>
          </w:tcPr>
          <w:p>
            <w:pPr>
              <w:spacing w:before="0" w:after="0"/>
              <w:jc w:val="center"/>
              <w:rPr>
                <w:rFonts w:eastAsia="Times New Roman"/>
                <w:b/>
                <w:bCs/>
                <w:noProof/>
                <w:color w:val="000000"/>
                <w:sz w:val="20"/>
                <w:szCs w:val="20"/>
              </w:rPr>
            </w:pPr>
            <w:r>
              <w:rPr>
                <w:b/>
                <w:noProof/>
                <w:color w:val="000000"/>
                <w:sz w:val="20"/>
              </w:rPr>
              <w:t>2020</w:t>
            </w:r>
          </w:p>
        </w:tc>
        <w:tc>
          <w:tcPr>
            <w:tcW w:w="1017"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center"/>
              <w:rPr>
                <w:rFonts w:eastAsia="Times New Roman"/>
                <w:b/>
                <w:bCs/>
                <w:noProof/>
                <w:color w:val="000000"/>
                <w:sz w:val="20"/>
                <w:szCs w:val="20"/>
              </w:rPr>
            </w:pP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Tillfälligt anställda (AD-tjänster)</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1,260 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1,085 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1,015 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1,025 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4,385</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Tillfälligt anställda (AST-tjänster)</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0,540 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0,465 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0,435 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0,439 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1,879</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Kontraktsanställda</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jc w:val="center"/>
        </w:trPr>
        <w:tc>
          <w:tcPr>
            <w:tcW w:w="2567" w:type="dxa"/>
            <w:tcBorders>
              <w:top w:val="nil"/>
              <w:left w:val="single" w:sz="4" w:space="0" w:color="auto"/>
              <w:bottom w:val="single" w:sz="4" w:space="0" w:color="auto"/>
              <w:right w:val="single" w:sz="4" w:space="0" w:color="auto"/>
            </w:tcBorders>
            <w:shd w:val="clear" w:color="000000" w:fill="CCCCCC"/>
            <w:vAlign w:val="center"/>
            <w:hideMark/>
          </w:tcPr>
          <w:p>
            <w:pPr>
              <w:spacing w:before="0" w:after="0"/>
              <w:jc w:val="center"/>
              <w:rPr>
                <w:rFonts w:eastAsia="Times New Roman"/>
                <w:b/>
                <w:bCs/>
                <w:noProof/>
                <w:color w:val="000000"/>
                <w:sz w:val="18"/>
                <w:szCs w:val="18"/>
              </w:rPr>
            </w:pPr>
            <w:r>
              <w:rPr>
                <w:b/>
                <w:noProof/>
                <w:color w:val="000000"/>
                <w:sz w:val="18"/>
              </w:rPr>
              <w:t xml:space="preserve">Tillfälligt anställda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1,800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1,550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1,450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1,464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6,264 </w:t>
            </w:r>
          </w:p>
        </w:tc>
      </w:tr>
      <w:tr>
        <w:trPr>
          <w:trHeight w:val="300"/>
          <w:jc w:val="center"/>
        </w:trPr>
        <w:tc>
          <w:tcPr>
            <w:tcW w:w="2567" w:type="dxa"/>
            <w:tcBorders>
              <w:top w:val="nil"/>
              <w:left w:val="single" w:sz="4" w:space="0" w:color="auto"/>
              <w:bottom w:val="single" w:sz="4" w:space="0" w:color="auto"/>
              <w:right w:val="single" w:sz="4" w:space="0" w:color="auto"/>
            </w:tcBorders>
            <w:shd w:val="clear" w:color="000000" w:fill="CCCCCC"/>
            <w:vAlign w:val="center"/>
            <w:hideMark/>
          </w:tcPr>
          <w:p>
            <w:pPr>
              <w:spacing w:before="0" w:after="0"/>
              <w:jc w:val="center"/>
              <w:rPr>
                <w:rFonts w:eastAsia="Times New Roman"/>
                <w:b/>
                <w:bCs/>
                <w:noProof/>
                <w:color w:val="000000"/>
                <w:sz w:val="18"/>
                <w:szCs w:val="18"/>
              </w:rPr>
            </w:pPr>
            <w:r>
              <w:rPr>
                <w:b/>
                <w:noProof/>
                <w:color w:val="000000"/>
                <w:sz w:val="18"/>
              </w:rPr>
              <w:t>Nationella experter</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TOTALT</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1,800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1,550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1 450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1,464</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6,264</w:t>
            </w:r>
          </w:p>
        </w:tc>
      </w:tr>
    </w:tbl>
    <w:p>
      <w:pPr>
        <w:rPr>
          <w:noProof/>
          <w:sz w:val="20"/>
        </w:rPr>
      </w:pPr>
      <w:r>
        <w:rPr>
          <w:noProof/>
          <w:sz w:val="20"/>
        </w:rPr>
        <w:t xml:space="preserve">Ange planerat anställningsdatum och anpassa beloppet enligt detta (om rekrytering sker i juli beaktas endast 50 % av de genomsnittliga kostnaderna) och ge ytterligare förklaringar i bilaga. </w:t>
      </w:r>
    </w:p>
    <w:p>
      <w:pPr>
        <w:rPr>
          <w:noProof/>
          <w:sz w:val="20"/>
        </w:rPr>
      </w:pPr>
      <w:r>
        <w:rPr>
          <w:noProof/>
          <w:sz w:val="20"/>
        </w:rPr>
        <w:t>Mot bakgrund av nu tillgängliga reservlistor för rekrytering till byrån och en uppskattning av hur lång tid det skulle ta att organisera nya rekryteringsförfaranden,  har EFCA beräknat följande startdatum:</w:t>
      </w:r>
    </w:p>
    <w:p>
      <w:pPr>
        <w:rPr>
          <w:noProof/>
          <w:sz w:val="20"/>
        </w:rPr>
      </w:pPr>
      <w:r>
        <w:rPr>
          <w:noProof/>
          <w:sz w:val="20"/>
        </w:rPr>
        <w:t>•</w:t>
      </w:r>
      <w:r>
        <w:rPr>
          <w:noProof/>
        </w:rPr>
        <w:tab/>
      </w:r>
      <w:r>
        <w:rPr>
          <w:noProof/>
          <w:sz w:val="20"/>
        </w:rPr>
        <w:t>12 tillfälligt anställda (9 AD och 3 AST) kommer att börja i januari 2017.</w:t>
      </w:r>
    </w:p>
    <w:p>
      <w:pPr>
        <w:pStyle w:val="ListParagraph"/>
        <w:rPr>
          <w:noProof/>
          <w:sz w:val="20"/>
        </w:rPr>
      </w:pPr>
      <w:r>
        <w:rPr>
          <w:noProof/>
          <w:sz w:val="20"/>
        </w:rPr>
        <w:t>•</w:t>
      </w:r>
      <w:r>
        <w:rPr>
          <w:noProof/>
        </w:rPr>
        <w:tab/>
      </w:r>
      <w:r>
        <w:rPr>
          <w:noProof/>
          <w:sz w:val="20"/>
        </w:rPr>
        <w:t>1 tillfälligt anställd (AST) kommer att börja i januari 2018.</w:t>
      </w:r>
    </w:p>
    <w:p>
      <w:pPr>
        <w:rPr>
          <w:noProof/>
          <w:sz w:val="20"/>
        </w:rPr>
      </w:pPr>
      <w:r>
        <w:rPr>
          <w:noProof/>
          <w:sz w:val="20"/>
        </w:rPr>
        <w:t xml:space="preserve">Personalkostnaderna för 2017 har justerats för att beakta de beräknade installationskostnaderna (flyttkostnader, bosättningsbidrag, etc.) </w:t>
      </w:r>
    </w:p>
    <w:p>
      <w:pPr>
        <w:rPr>
          <w:noProof/>
        </w:rPr>
      </w:pPr>
      <w:r>
        <w:rPr>
          <w:noProof/>
        </w:rPr>
        <w:t xml:space="preserve">I tabellen nedan visas effekterna av det nuvarande förslaget på den totala tjänsteförteckningen för byrån.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298"/>
        <w:gridCol w:w="1443"/>
        <w:gridCol w:w="1443"/>
        <w:gridCol w:w="1443"/>
        <w:gridCol w:w="1443"/>
      </w:tblGrid>
      <w:tr>
        <w:tc>
          <w:tcPr>
            <w:tcW w:w="1764" w:type="dxa"/>
            <w:shd w:val="clear" w:color="auto" w:fill="auto"/>
          </w:tcPr>
          <w:p>
            <w:pPr>
              <w:rPr>
                <w:rFonts w:eastAsia="Times New Roman"/>
                <w:noProof/>
                <w:szCs w:val="20"/>
              </w:rPr>
            </w:pPr>
          </w:p>
        </w:tc>
        <w:tc>
          <w:tcPr>
            <w:tcW w:w="1298" w:type="dxa"/>
            <w:shd w:val="clear" w:color="auto" w:fill="auto"/>
          </w:tcPr>
          <w:p>
            <w:pPr>
              <w:rPr>
                <w:rFonts w:eastAsia="Times New Roman"/>
                <w:noProof/>
                <w:szCs w:val="20"/>
              </w:rPr>
            </w:pPr>
            <w:r>
              <w:rPr>
                <w:noProof/>
              </w:rPr>
              <w:t>2016</w:t>
            </w:r>
          </w:p>
        </w:tc>
        <w:tc>
          <w:tcPr>
            <w:tcW w:w="1443" w:type="dxa"/>
            <w:shd w:val="clear" w:color="auto" w:fill="auto"/>
          </w:tcPr>
          <w:p>
            <w:pPr>
              <w:rPr>
                <w:rFonts w:eastAsia="Times New Roman"/>
                <w:noProof/>
                <w:szCs w:val="20"/>
              </w:rPr>
            </w:pPr>
            <w:r>
              <w:rPr>
                <w:noProof/>
              </w:rPr>
              <w:t>2017</w:t>
            </w:r>
          </w:p>
        </w:tc>
        <w:tc>
          <w:tcPr>
            <w:tcW w:w="1443" w:type="dxa"/>
            <w:shd w:val="clear" w:color="auto" w:fill="auto"/>
          </w:tcPr>
          <w:p>
            <w:pPr>
              <w:rPr>
                <w:rFonts w:eastAsia="Times New Roman"/>
                <w:noProof/>
                <w:szCs w:val="20"/>
              </w:rPr>
            </w:pPr>
            <w:r>
              <w:rPr>
                <w:noProof/>
              </w:rPr>
              <w:t>2018</w:t>
            </w:r>
          </w:p>
        </w:tc>
        <w:tc>
          <w:tcPr>
            <w:tcW w:w="1443" w:type="dxa"/>
            <w:shd w:val="clear" w:color="auto" w:fill="auto"/>
          </w:tcPr>
          <w:p>
            <w:pPr>
              <w:rPr>
                <w:rFonts w:eastAsia="Times New Roman"/>
                <w:noProof/>
                <w:szCs w:val="20"/>
              </w:rPr>
            </w:pPr>
            <w:r>
              <w:rPr>
                <w:noProof/>
              </w:rPr>
              <w:t>2019</w:t>
            </w:r>
          </w:p>
        </w:tc>
        <w:tc>
          <w:tcPr>
            <w:tcW w:w="1443" w:type="dxa"/>
            <w:shd w:val="clear" w:color="auto" w:fill="auto"/>
          </w:tcPr>
          <w:p>
            <w:pPr>
              <w:rPr>
                <w:rFonts w:eastAsia="Times New Roman"/>
                <w:noProof/>
                <w:szCs w:val="20"/>
              </w:rPr>
            </w:pPr>
            <w:r>
              <w:rPr>
                <w:noProof/>
              </w:rPr>
              <w:t>2020</w:t>
            </w:r>
          </w:p>
        </w:tc>
      </w:tr>
      <w:tr>
        <w:tc>
          <w:tcPr>
            <w:tcW w:w="1764" w:type="dxa"/>
            <w:shd w:val="clear" w:color="auto" w:fill="auto"/>
          </w:tcPr>
          <w:p>
            <w:pPr>
              <w:rPr>
                <w:rFonts w:eastAsia="Times New Roman"/>
                <w:noProof/>
                <w:szCs w:val="20"/>
              </w:rPr>
            </w:pPr>
            <w:r>
              <w:rPr>
                <w:noProof/>
              </w:rPr>
              <w:t xml:space="preserve">Grundläggande tjänster – COM(2013)519 </w:t>
            </w:r>
          </w:p>
        </w:tc>
        <w:tc>
          <w:tcPr>
            <w:tcW w:w="1298" w:type="dxa"/>
            <w:shd w:val="clear" w:color="auto" w:fill="auto"/>
          </w:tcPr>
          <w:p>
            <w:pPr>
              <w:rPr>
                <w:rFonts w:eastAsia="Times New Roman"/>
                <w:noProof/>
                <w:szCs w:val="20"/>
              </w:rPr>
            </w:pPr>
            <w:r>
              <w:rPr>
                <w:noProof/>
              </w:rPr>
              <w:t>51</w:t>
            </w:r>
          </w:p>
        </w:tc>
        <w:tc>
          <w:tcPr>
            <w:tcW w:w="1443" w:type="dxa"/>
            <w:shd w:val="clear" w:color="auto" w:fill="auto"/>
          </w:tcPr>
          <w:p>
            <w:pPr>
              <w:rPr>
                <w:rFonts w:eastAsia="Times New Roman"/>
                <w:noProof/>
                <w:szCs w:val="20"/>
              </w:rPr>
            </w:pPr>
            <w:r>
              <w:rPr>
                <w:noProof/>
              </w:rPr>
              <w:t>49</w:t>
            </w:r>
          </w:p>
        </w:tc>
        <w:tc>
          <w:tcPr>
            <w:tcW w:w="1443" w:type="dxa"/>
            <w:shd w:val="clear" w:color="auto" w:fill="auto"/>
          </w:tcPr>
          <w:p>
            <w:pPr>
              <w:rPr>
                <w:rFonts w:eastAsia="Times New Roman"/>
                <w:noProof/>
                <w:szCs w:val="20"/>
              </w:rPr>
            </w:pPr>
            <w:r>
              <w:rPr>
                <w:noProof/>
              </w:rPr>
              <w:t>48</w:t>
            </w:r>
          </w:p>
        </w:tc>
        <w:tc>
          <w:tcPr>
            <w:tcW w:w="1443" w:type="dxa"/>
            <w:shd w:val="clear" w:color="auto" w:fill="auto"/>
          </w:tcPr>
          <w:p>
            <w:pPr>
              <w:rPr>
                <w:rFonts w:eastAsia="Times New Roman"/>
                <w:noProof/>
                <w:szCs w:val="20"/>
              </w:rPr>
            </w:pPr>
            <w:r>
              <w:rPr>
                <w:noProof/>
              </w:rPr>
              <w:t>48</w:t>
            </w:r>
          </w:p>
        </w:tc>
        <w:tc>
          <w:tcPr>
            <w:tcW w:w="1443" w:type="dxa"/>
            <w:shd w:val="clear" w:color="auto" w:fill="auto"/>
          </w:tcPr>
          <w:p>
            <w:pPr>
              <w:rPr>
                <w:rFonts w:eastAsia="Times New Roman"/>
                <w:noProof/>
                <w:szCs w:val="20"/>
              </w:rPr>
            </w:pPr>
            <w:r>
              <w:rPr>
                <w:noProof/>
              </w:rPr>
              <w:t>48</w:t>
            </w:r>
          </w:p>
        </w:tc>
      </w:tr>
      <w:tr>
        <w:tc>
          <w:tcPr>
            <w:tcW w:w="1764" w:type="dxa"/>
            <w:shd w:val="clear" w:color="auto" w:fill="auto"/>
          </w:tcPr>
          <w:p>
            <w:pPr>
              <w:rPr>
                <w:rFonts w:eastAsia="Times New Roman"/>
                <w:noProof/>
                <w:szCs w:val="20"/>
              </w:rPr>
            </w:pPr>
            <w:r>
              <w:rPr>
                <w:noProof/>
              </w:rPr>
              <w:t>Ytterligare tjänster</w:t>
            </w:r>
          </w:p>
        </w:tc>
        <w:tc>
          <w:tcPr>
            <w:tcW w:w="1298" w:type="dxa"/>
            <w:shd w:val="clear" w:color="auto" w:fill="auto"/>
          </w:tcPr>
          <w:p>
            <w:pPr>
              <w:rPr>
                <w:rFonts w:eastAsia="Times New Roman"/>
                <w:noProof/>
                <w:szCs w:val="20"/>
              </w:rPr>
            </w:pPr>
            <w:r>
              <w:rPr>
                <w:noProof/>
              </w:rPr>
              <w:t>-</w:t>
            </w:r>
          </w:p>
        </w:tc>
        <w:tc>
          <w:tcPr>
            <w:tcW w:w="1443" w:type="dxa"/>
            <w:shd w:val="clear" w:color="auto" w:fill="auto"/>
          </w:tcPr>
          <w:p>
            <w:pPr>
              <w:rPr>
                <w:rFonts w:eastAsia="Times New Roman"/>
                <w:noProof/>
                <w:szCs w:val="20"/>
              </w:rPr>
            </w:pPr>
            <w:r>
              <w:rPr>
                <w:noProof/>
              </w:rPr>
              <w:t>12</w:t>
            </w:r>
          </w:p>
        </w:tc>
        <w:tc>
          <w:tcPr>
            <w:tcW w:w="1443" w:type="dxa"/>
            <w:shd w:val="clear" w:color="auto" w:fill="auto"/>
          </w:tcPr>
          <w:p>
            <w:pPr>
              <w:rPr>
                <w:rFonts w:eastAsia="Times New Roman"/>
                <w:noProof/>
                <w:szCs w:val="20"/>
              </w:rPr>
            </w:pPr>
            <w:r>
              <w:rPr>
                <w:noProof/>
              </w:rPr>
              <w:t>13</w:t>
            </w:r>
          </w:p>
        </w:tc>
        <w:tc>
          <w:tcPr>
            <w:tcW w:w="1443" w:type="dxa"/>
            <w:shd w:val="clear" w:color="auto" w:fill="auto"/>
          </w:tcPr>
          <w:p>
            <w:pPr>
              <w:rPr>
                <w:rFonts w:eastAsia="Times New Roman"/>
                <w:noProof/>
                <w:szCs w:val="20"/>
              </w:rPr>
            </w:pPr>
            <w:r>
              <w:rPr>
                <w:noProof/>
              </w:rPr>
              <w:t>13</w:t>
            </w:r>
          </w:p>
        </w:tc>
        <w:tc>
          <w:tcPr>
            <w:tcW w:w="1443" w:type="dxa"/>
            <w:shd w:val="clear" w:color="auto" w:fill="auto"/>
          </w:tcPr>
          <w:p>
            <w:pPr>
              <w:rPr>
                <w:rFonts w:eastAsia="Times New Roman"/>
                <w:noProof/>
                <w:szCs w:val="20"/>
              </w:rPr>
            </w:pPr>
            <w:r>
              <w:rPr>
                <w:noProof/>
              </w:rPr>
              <w:t>13</w:t>
            </w:r>
          </w:p>
        </w:tc>
      </w:tr>
      <w:tr>
        <w:tc>
          <w:tcPr>
            <w:tcW w:w="1764" w:type="dxa"/>
            <w:shd w:val="clear" w:color="auto" w:fill="auto"/>
          </w:tcPr>
          <w:p>
            <w:pPr>
              <w:rPr>
                <w:rFonts w:eastAsia="Times New Roman"/>
                <w:b/>
                <w:noProof/>
                <w:szCs w:val="20"/>
              </w:rPr>
            </w:pPr>
            <w:r>
              <w:rPr>
                <w:b/>
                <w:noProof/>
              </w:rPr>
              <w:t>Totalt</w:t>
            </w:r>
          </w:p>
        </w:tc>
        <w:tc>
          <w:tcPr>
            <w:tcW w:w="1298" w:type="dxa"/>
            <w:shd w:val="clear" w:color="auto" w:fill="auto"/>
          </w:tcPr>
          <w:p>
            <w:pPr>
              <w:rPr>
                <w:rFonts w:eastAsia="Times New Roman"/>
                <w:b/>
                <w:noProof/>
                <w:szCs w:val="20"/>
              </w:rPr>
            </w:pPr>
            <w:r>
              <w:rPr>
                <w:b/>
                <w:noProof/>
              </w:rPr>
              <w:t>51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r>
    </w:tbl>
    <w:p>
      <w:pPr>
        <w:rPr>
          <w:noProof/>
        </w:rPr>
      </w:pPr>
    </w:p>
    <w:p>
      <w:pPr>
        <w:rPr>
          <w:noProof/>
          <w:sz w:val="20"/>
        </w:rPr>
      </w:pPr>
    </w:p>
    <w:p>
      <w:pPr>
        <w:rPr>
          <w:noProof/>
          <w:sz w:val="18"/>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4"/>
        <w:rPr>
          <w:noProof/>
          <w:szCs w:val="24"/>
        </w:rPr>
      </w:pPr>
      <w:r>
        <w:t>3.2.3.2.</w:t>
      </w:r>
      <w:r>
        <w:tab/>
      </w:r>
      <w:r>
        <w:rPr>
          <w:noProof/>
        </w:rPr>
        <w:t>Beräknat personalbehov för det ansvariga generaldirektoratet</w:t>
      </w:r>
    </w:p>
    <w:p>
      <w:pPr>
        <w:pStyle w:val="ListDash1"/>
        <w:rPr>
          <w:noProof/>
        </w:rPr>
      </w:pPr>
      <w:r>
        <w:rPr>
          <w:noProof/>
        </w:rPr>
        <w:sym w:font="Wingdings" w:char="F0FE"/>
      </w:r>
      <w:r>
        <w:rPr>
          <w:noProof/>
        </w:rPr>
        <w:tab/>
      </w:r>
      <w:r>
        <w:rPr>
          <w:noProof/>
        </w:rPr>
        <w:sym w:font="Wingdings" w:char="F0FE"/>
      </w:r>
      <w:r>
        <w:rPr>
          <w:noProof/>
        </w:rPr>
        <w:t xml:space="preserve">Förslaget/initiativet kräver inte att personalresurser tas i anspråk </w:t>
      </w:r>
    </w:p>
    <w:p>
      <w:pPr>
        <w:pStyle w:val="ListDash1"/>
        <w:rPr>
          <w:noProof/>
        </w:rPr>
      </w:pPr>
      <w:r>
        <w:rPr>
          <w:noProof/>
        </w:rPr>
        <w:sym w:font="Wingdings" w:char="F0A8"/>
      </w:r>
      <w:r>
        <w:rPr>
          <w:noProof/>
        </w:rPr>
        <w:tab/>
      </w:r>
      <w:r>
        <w:rPr>
          <w:noProof/>
        </w:rPr>
        <w:sym w:font="Wingdings" w:char="F0A8"/>
      </w:r>
      <w:r>
        <w:rPr>
          <w:noProof/>
        </w:rPr>
        <w:t>Förslaget/initiativet kräver att personalresurser tas i anspråk enligt följande:</w:t>
      </w:r>
    </w:p>
    <w:p>
      <w:pPr>
        <w:spacing w:after="60"/>
        <w:jc w:val="right"/>
        <w:rPr>
          <w:i/>
          <w:noProof/>
          <w:sz w:val="20"/>
        </w:rPr>
      </w:pPr>
      <w:r>
        <w:rPr>
          <w:i/>
          <w:noProof/>
          <w:sz w:val="20"/>
        </w:rPr>
        <w:t>Beräkningarna ska anges i heltidsekvivalenter</w:t>
      </w:r>
    </w:p>
    <w:tbl>
      <w:tblPr>
        <w:tblW w:w="5400" w:type="pct"/>
        <w:jc w:val="center"/>
        <w:tblInd w:w="-21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90"/>
        <w:gridCol w:w="2991"/>
        <w:gridCol w:w="573"/>
        <w:gridCol w:w="573"/>
        <w:gridCol w:w="631"/>
        <w:gridCol w:w="814"/>
        <w:gridCol w:w="668"/>
        <w:gridCol w:w="666"/>
        <w:gridCol w:w="724"/>
      </w:tblGrid>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tcPr>
          <w:p>
            <w:pPr>
              <w:spacing w:before="40" w:after="40"/>
              <w:jc w:val="center"/>
              <w:rPr>
                <w:rFonts w:eastAsia="Times New Roman"/>
                <w:i/>
                <w:noProof/>
                <w:sz w:val="20"/>
              </w:rPr>
            </w:pPr>
          </w:p>
        </w:tc>
        <w:tc>
          <w:tcPr>
            <w:tcW w:w="37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År</w:t>
            </w:r>
            <w:r>
              <w:rPr>
                <w:rFonts w:eastAsia="Times New Roman"/>
                <w:noProof/>
                <w:sz w:val="20"/>
              </w:rPr>
              <w:br/>
            </w:r>
            <w:r>
              <w:rPr>
                <w:b/>
                <w:noProof/>
                <w:sz w:val="20"/>
              </w:rPr>
              <w:t>n</w:t>
            </w:r>
          </w:p>
        </w:tc>
        <w:tc>
          <w:tcPr>
            <w:tcW w:w="37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År</w:t>
            </w:r>
            <w:r>
              <w:rPr>
                <w:rFonts w:eastAsia="Times New Roman"/>
                <w:noProof/>
                <w:sz w:val="20"/>
              </w:rPr>
              <w:br/>
            </w:r>
            <w:r>
              <w:rPr>
                <w:b/>
                <w:noProof/>
                <w:sz w:val="20"/>
              </w:rPr>
              <w:t>n+1</w:t>
            </w:r>
          </w:p>
        </w:tc>
        <w:tc>
          <w:tcPr>
            <w:tcW w:w="406"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 xml:space="preserve">År </w:t>
            </w:r>
            <w:r>
              <w:rPr>
                <w:b/>
                <w:noProof/>
                <w:sz w:val="20"/>
              </w:rPr>
              <w:t>n+2</w:t>
            </w:r>
          </w:p>
        </w:tc>
        <w:tc>
          <w:tcPr>
            <w:tcW w:w="49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 xml:space="preserve">År </w:t>
            </w:r>
            <w:r>
              <w:rPr>
                <w:b/>
                <w:noProof/>
                <w:sz w:val="20"/>
              </w:rPr>
              <w:t>n+3</w:t>
            </w:r>
          </w:p>
        </w:tc>
        <w:tc>
          <w:tcPr>
            <w:tcW w:w="1294" w:type="pct"/>
            <w:gridSpan w:val="3"/>
            <w:tcBorders>
              <w:top w:val="single" w:sz="6" w:space="0" w:color="auto"/>
              <w:left w:val="single" w:sz="6" w:space="0" w:color="auto"/>
              <w:bottom w:val="single" w:sz="6" w:space="0" w:color="auto"/>
              <w:right w:val="single" w:sz="6" w:space="0" w:color="auto"/>
            </w:tcBorders>
            <w:vAlign w:val="center"/>
            <w:hideMark/>
          </w:tcPr>
          <w:p>
            <w:pPr>
              <w:tabs>
                <w:tab w:val="left" w:pos="685"/>
              </w:tabs>
              <w:jc w:val="center"/>
              <w:rPr>
                <w:rFonts w:eastAsia="Times New Roman"/>
                <w:b/>
                <w:noProof/>
                <w:sz w:val="20"/>
              </w:rPr>
            </w:pPr>
            <w:r>
              <w:rPr>
                <w:noProof/>
                <w:sz w:val="20"/>
              </w:rPr>
              <w:t>För in så många år som behövs för att redovisa inverkan på resursanvändningen (jfr punkt 1.6)</w:t>
            </w: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9"/>
              </w:numPr>
              <w:tabs>
                <w:tab w:val="left" w:pos="208"/>
              </w:tabs>
              <w:spacing w:beforeLines="20" w:before="48" w:afterLines="20" w:after="48"/>
              <w:ind w:left="1058" w:hanging="120"/>
              <w:jc w:val="left"/>
              <w:rPr>
                <w:rFonts w:eastAsia="Times New Roman"/>
                <w:b/>
                <w:noProof/>
                <w:sz w:val="20"/>
              </w:rPr>
            </w:pPr>
            <w:r>
              <w:rPr>
                <w:b/>
                <w:noProof/>
                <w:sz w:val="20"/>
              </w:rPr>
              <w:t>Tjänster som tas upp i tjänsteförteckningen (tjänstemän och tillfälligt anställda)</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b/>
                <w:noProof/>
                <w:sz w:val="20"/>
              </w:rPr>
            </w:pPr>
            <w:r>
              <w:rPr>
                <w:noProof/>
                <w:sz w:val="20"/>
              </w:rPr>
              <w:t>XX 01 01 01 (vid huvudkontoret eller vid kommissionens kontor i medlemsstaterna)</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XX 01 01 02 (vid delegationer)</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953"/>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XX 01 05 01 (indirekta forskningsåtgärder)</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10 01 05 01 (direkta forskningsåtgärder)</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834"/>
              <w:jc w:val="left"/>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058" w:hanging="120"/>
              <w:jc w:val="left"/>
              <w:rPr>
                <w:rFonts w:eastAsia="Times New Roman"/>
                <w:noProof/>
                <w:sz w:val="20"/>
              </w:rPr>
            </w:pPr>
            <w:r>
              <w:rPr>
                <w:rFonts w:eastAsia="Times New Roman"/>
                <w:b/>
                <w:noProof/>
                <w:sz w:val="20"/>
              </w:rPr>
              <w:sym w:font="Wingdings" w:char="F09F"/>
            </w:r>
            <w:r>
              <w:rPr>
                <w:b/>
                <w:noProof/>
                <w:sz w:val="20"/>
              </w:rPr>
              <w:t xml:space="preserve"> Extern personal (i heltidsekvivalenter)</w:t>
            </w:r>
            <w:r>
              <w:rPr>
                <w:rStyle w:val="FootnoteReference"/>
                <w:noProof/>
              </w:rPr>
              <w:footnoteReference w:id="10"/>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b/>
                <w:noProof/>
                <w:sz w:val="20"/>
              </w:rPr>
            </w:pPr>
            <w:r>
              <w:rPr>
                <w:noProof/>
                <w:sz w:val="20"/>
              </w:rPr>
              <w:t>XX 01 02 01 (kontraktsanställda, nationella experter och vikarier finansierade genom ramanslaget)</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noProof/>
                <w:sz w:val="20"/>
              </w:rPr>
              <w:t>XX 01 02 02 (kontraktsanställda, lokalanställda, nationella experter, vikarier och unga experter som tjänstgör vid delegationerna)</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1018" w:type="pct"/>
            <w:vMerge w:val="restar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b/>
                <w:noProof/>
                <w:sz w:val="20"/>
              </w:rPr>
            </w:pPr>
            <w:r>
              <w:rPr>
                <w:b/>
                <w:noProof/>
                <w:sz w:val="20"/>
              </w:rPr>
              <w:t>XX</w:t>
            </w:r>
            <w:r>
              <w:rPr>
                <w:noProof/>
                <w:sz w:val="20"/>
              </w:rPr>
              <w:t xml:space="preserve"> 01 04 </w:t>
            </w:r>
            <w:r>
              <w:rPr>
                <w:b/>
                <w:i/>
                <w:noProof/>
                <w:sz w:val="20"/>
              </w:rPr>
              <w:t>yy</w:t>
            </w:r>
            <w:r>
              <w:rPr>
                <w:rStyle w:val="FootnoteReference"/>
                <w:noProof/>
              </w:rPr>
              <w:footnoteReference w:id="11"/>
            </w:r>
          </w:p>
        </w:tc>
        <w:tc>
          <w:tcPr>
            <w:tcW w:w="10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448"/>
              <w:jc w:val="left"/>
              <w:rPr>
                <w:rFonts w:eastAsia="Times New Roman"/>
                <w:b/>
                <w:noProof/>
                <w:sz w:val="20"/>
              </w:rPr>
            </w:pPr>
            <w:r>
              <w:rPr>
                <w:noProof/>
                <w:sz w:val="20"/>
              </w:rPr>
              <w:t>- vid huvudkontoret</w:t>
            </w:r>
            <w:r>
              <w:rPr>
                <w:rStyle w:val="FootnoteReference"/>
                <w:noProof/>
              </w:rPr>
              <w:footnoteReference w:id="12"/>
            </w:r>
            <w:r>
              <w:rPr>
                <w:rFonts w:eastAsia="Times New Roman"/>
                <w:noProof/>
                <w:sz w:val="20"/>
              </w:rPr>
              <w:br/>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700"/>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pPr>
              <w:spacing w:before="0" w:after="0"/>
              <w:jc w:val="left"/>
              <w:rPr>
                <w:rFonts w:eastAsia="Times New Roman"/>
                <w:b/>
                <w:noProof/>
                <w:sz w:val="20"/>
              </w:rPr>
            </w:pPr>
          </w:p>
        </w:tc>
        <w:tc>
          <w:tcPr>
            <w:tcW w:w="10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448"/>
              <w:jc w:val="left"/>
              <w:rPr>
                <w:rFonts w:eastAsia="Times New Roman"/>
                <w:b/>
                <w:noProof/>
                <w:sz w:val="20"/>
              </w:rPr>
            </w:pPr>
            <w:r>
              <w:rPr>
                <w:noProof/>
                <w:sz w:val="20"/>
              </w:rPr>
              <w:t xml:space="preserve">- vid delegationer </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700"/>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b/>
                <w:noProof/>
                <w:sz w:val="20"/>
              </w:rPr>
              <w:t>XX</w:t>
            </w:r>
            <w:r>
              <w:rPr>
                <w:noProof/>
              </w:rPr>
              <w:t xml:space="preserve"> </w:t>
            </w:r>
            <w:r>
              <w:rPr>
                <w:noProof/>
                <w:sz w:val="20"/>
              </w:rPr>
              <w:t>01 05 02 (kontraktsanställda, nationella experter och vikarier som arbetar med indirekta forskningsåtgärder)</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noProof/>
                <w:sz w:val="20"/>
              </w:rPr>
              <w:t>10 01 05 02 (kontraktsanställda, nationella experter och vikarier som arbetar med direkta forskningsåtgärder)</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double" w:sz="4"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Annan budgetrubrik (ange vilken)</w:t>
            </w:r>
          </w:p>
        </w:tc>
        <w:tc>
          <w:tcPr>
            <w:tcW w:w="37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b/>
                <w:noProof/>
                <w:sz w:val="20"/>
              </w:rPr>
              <w:t>TOTALT</w:t>
            </w:r>
          </w:p>
        </w:tc>
        <w:tc>
          <w:tcPr>
            <w:tcW w:w="37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37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06"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9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24"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c>
          <w:tcPr>
            <w:tcW w:w="423"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c>
          <w:tcPr>
            <w:tcW w:w="452"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r>
    </w:tbl>
    <w:p>
      <w:pPr>
        <w:spacing w:after="60"/>
        <w:jc w:val="right"/>
        <w:rPr>
          <w:i/>
          <w:noProof/>
          <w:sz w:val="20"/>
        </w:rPr>
      </w:pPr>
    </w:p>
    <w:p>
      <w:pPr>
        <w:rPr>
          <w:noProof/>
        </w:rPr>
      </w:pPr>
      <w:r>
        <w:rPr>
          <w:noProof/>
        </w:rPr>
        <w:br w:type="page"/>
      </w:r>
    </w:p>
    <w:p>
      <w:pPr>
        <w:spacing w:after="60"/>
        <w:jc w:val="right"/>
        <w:rPr>
          <w:i/>
          <w:noProof/>
          <w:sz w:val="20"/>
        </w:rPr>
      </w:pPr>
    </w:p>
    <w:p>
      <w:pPr>
        <w:pStyle w:val="Text1"/>
        <w:spacing w:before="60" w:after="60"/>
        <w:ind w:left="851"/>
        <w:rPr>
          <w:noProof/>
          <w:sz w:val="18"/>
          <w:szCs w:val="18"/>
        </w:rPr>
      </w:pPr>
      <w:r>
        <w:rPr>
          <w:b/>
          <w:noProof/>
          <w:sz w:val="18"/>
        </w:rPr>
        <w:t xml:space="preserve">XX </w:t>
      </w:r>
      <w:r>
        <w:rPr>
          <w:noProof/>
          <w:sz w:val="18"/>
        </w:rPr>
        <w:t>motsvarar det politikområde eller den avdelning i budgeten som avses.</w:t>
      </w:r>
    </w:p>
    <w:p>
      <w:pPr>
        <w:pStyle w:val="Text1"/>
        <w:rPr>
          <w:noProof/>
          <w:sz w:val="18"/>
          <w:szCs w:val="18"/>
        </w:rPr>
      </w:pPr>
      <w:r>
        <w:rPr>
          <w:noProof/>
          <w:sz w:val="18"/>
        </w:rPr>
        <w:t>Personalbehoven ska täckas med personal inom generaldirektoratet som redan har avdelats för att förvalta åtgärden i fråga, eller genom en omfördelning av personal inom generaldirektoratet, om så krävs kompletterad med ytterligare resurser som kan tilldelas det förvaltande generaldirektoratet som ett led i det årliga förfarandet för tilldelning av anslag och med hänsyn tagen till begränsningar i fråga om budgetmedel.</w:t>
      </w:r>
    </w:p>
    <w:p>
      <w:pPr>
        <w:rPr>
          <w:noProof/>
          <w:sz w:val="20"/>
        </w:rPr>
      </w:pPr>
      <w:r>
        <w:rPr>
          <w:noProof/>
          <w:sz w:val="20"/>
        </w:rPr>
        <w:t>Beskrivning av arbetsuppgifter: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Tjänstemän och tillfälligt anställda</w:t>
            </w:r>
          </w:p>
        </w:tc>
        <w:tc>
          <w:tcPr>
            <w:tcW w:w="7200" w:type="dxa"/>
          </w:tcPr>
          <w:p>
            <w:pPr>
              <w:rPr>
                <w:noProof/>
                <w:sz w:val="20"/>
              </w:rPr>
            </w:pPr>
          </w:p>
        </w:tc>
      </w:tr>
      <w:tr>
        <w:tc>
          <w:tcPr>
            <w:tcW w:w="3240" w:type="dxa"/>
          </w:tcPr>
          <w:p>
            <w:pPr>
              <w:spacing w:before="60" w:after="60"/>
              <w:rPr>
                <w:noProof/>
                <w:sz w:val="20"/>
              </w:rPr>
            </w:pPr>
            <w:r>
              <w:rPr>
                <w:noProof/>
                <w:sz w:val="20"/>
              </w:rPr>
              <w:t>Extern personal</w:t>
            </w:r>
          </w:p>
        </w:tc>
        <w:tc>
          <w:tcPr>
            <w:tcW w:w="7200" w:type="dxa"/>
          </w:tcPr>
          <w:p>
            <w:pPr>
              <w:rPr>
                <w:noProof/>
                <w:sz w:val="20"/>
              </w:rPr>
            </w:pPr>
          </w:p>
        </w:tc>
      </w:tr>
    </w:tbl>
    <w:p>
      <w:pPr>
        <w:rPr>
          <w:noProof/>
        </w:rPr>
      </w:pPr>
      <w:r>
        <w:rPr>
          <w:noProof/>
        </w:rPr>
        <w:t xml:space="preserve">En beskrivning av beräkningen av kostnaden för heltidsekvivalenten bör införas i bilagan, avsnitt 3. </w:t>
      </w:r>
    </w:p>
    <w:p>
      <w:pPr>
        <w:pStyle w:val="ManualHeading3"/>
        <w:rPr>
          <w:bCs/>
          <w:noProof/>
          <w:szCs w:val="24"/>
        </w:rPr>
      </w:pPr>
      <w:r>
        <w:t>3.2.4.</w:t>
      </w:r>
      <w:r>
        <w:tab/>
      </w:r>
      <w:r>
        <w:rPr>
          <w:noProof/>
        </w:rPr>
        <w:t xml:space="preserve">Förenlighet med den gällande fleråriga budgetramen </w:t>
      </w:r>
    </w:p>
    <w:p>
      <w:pPr>
        <w:pStyle w:val="ListDash1"/>
        <w:rPr>
          <w:noProof/>
        </w:rPr>
      </w:pPr>
      <w:r>
        <w:rPr>
          <w:noProof/>
        </w:rPr>
        <w:t>X</w:t>
      </w:r>
      <w:r>
        <w:rPr>
          <w:noProof/>
        </w:rPr>
        <w:tab/>
        <w:t>Förslaget/initiativet är förenligt med den gällande fleråriga budgetramen</w:t>
      </w:r>
      <w:r>
        <w:rPr>
          <w:rStyle w:val="FootnoteReference"/>
          <w:noProof/>
        </w:rPr>
        <w:footnoteReference w:id="13"/>
      </w:r>
      <w:r>
        <w:rPr>
          <w:noProof/>
        </w:rPr>
        <w:t>.</w:t>
      </w:r>
    </w:p>
    <w:p>
      <w:pPr>
        <w:pStyle w:val="ListDash1"/>
        <w:rPr>
          <w:noProof/>
        </w:rPr>
      </w:pPr>
      <w:r>
        <w:rPr>
          <w:noProof/>
        </w:rPr>
        <w:sym w:font="Wingdings" w:char="F0A8"/>
      </w:r>
      <w:r>
        <w:rPr>
          <w:noProof/>
        </w:rPr>
        <w:tab/>
      </w:r>
      <w:r>
        <w:rPr>
          <w:noProof/>
        </w:rPr>
        <w:sym w:font="Wingdings" w:char="F0A8"/>
      </w:r>
      <w:r>
        <w:rPr>
          <w:noProof/>
        </w:rPr>
        <w:t>Förslaget/initiativet kräver omfördelningar under den berörda rubriken i den fleråriga budgetramen</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Förklara i förekommande fall vilka ändringar i planeringen som krävs, och ange berörda budgetrubriker och belopp.</w:t>
      </w:r>
    </w:p>
    <w:p>
      <w:pPr>
        <w:pStyle w:val="Text1"/>
        <w:pBdr>
          <w:top w:val="single" w:sz="4" w:space="1" w:color="auto"/>
          <w:left w:val="single" w:sz="4" w:space="4" w:color="auto"/>
          <w:bottom w:val="single" w:sz="4" w:space="1" w:color="auto"/>
          <w:right w:val="single" w:sz="4" w:space="4" w:color="auto"/>
        </w:pBdr>
        <w:rPr>
          <w:noProof/>
        </w:rPr>
      </w:pPr>
    </w:p>
    <w:p>
      <w:pPr>
        <w:pStyle w:val="ListDash1"/>
        <w:rPr>
          <w:noProof/>
        </w:rPr>
      </w:pPr>
      <w:r>
        <w:rPr>
          <w:noProof/>
        </w:rPr>
        <w:sym w:font="Wingdings" w:char="F0A8"/>
      </w:r>
      <w:r>
        <w:rPr>
          <w:noProof/>
        </w:rPr>
        <w:tab/>
      </w:r>
      <w:r>
        <w:rPr>
          <w:noProof/>
        </w:rPr>
        <w:sym w:font="Wingdings" w:char="F0A8"/>
      </w:r>
      <w:r>
        <w:rPr>
          <w:noProof/>
        </w:rPr>
        <w:t>Förslaget/initiativet förutsätter att flexibilitetsmekanismen utnyttjas eller att den fleråriga budgetramen revideras.</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Beskriv behovet av sådana åtgärder, och ange berörda rubriker i budgetramen, budgetrubriker i den årliga budgeten samt belopp.</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r>
        <w:t>3.2.5.</w:t>
      </w:r>
      <w:r>
        <w:tab/>
      </w:r>
      <w:r>
        <w:rPr>
          <w:noProof/>
        </w:rPr>
        <w:t>Bidrag från tredje part: Ej tillämpligt</w:t>
      </w:r>
    </w:p>
    <w:p>
      <w:pPr>
        <w:pStyle w:val="ListDash1"/>
        <w:rPr>
          <w:noProof/>
        </w:rPr>
      </w:pPr>
      <w:r>
        <w:rPr>
          <w:noProof/>
        </w:rPr>
        <w:t xml:space="preserve">Det ingår inga bidrag från tredje part i det aktuella förslaget eller initiativet </w:t>
      </w:r>
    </w:p>
    <w:p>
      <w:pPr>
        <w:pStyle w:val="ListDash1"/>
        <w:rPr>
          <w:noProof/>
        </w:rPr>
      </w:pPr>
      <w:r>
        <w:rPr>
          <w:noProof/>
        </w:rPr>
        <w:t>Förslaget eller initiativet kommer att medfinansieras enligt följande:</w:t>
      </w:r>
    </w:p>
    <w:p>
      <w:pPr>
        <w:jc w:val="right"/>
        <w:rPr>
          <w:noProof/>
          <w:sz w:val="20"/>
        </w:rPr>
      </w:pPr>
      <w:r>
        <w:rPr>
          <w:noProof/>
          <w:sz w:val="20"/>
        </w:rPr>
        <w:t>Anslag i miljoner euro (avrundat till tre decimaler)</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År</w:t>
            </w:r>
            <w:r>
              <w:rPr>
                <w:b/>
                <w:noProof/>
                <w:sz w:val="20"/>
              </w:rPr>
              <w:t>n</w:t>
            </w:r>
          </w:p>
        </w:tc>
        <w:tc>
          <w:tcPr>
            <w:tcW w:w="964" w:type="dxa"/>
            <w:vAlign w:val="center"/>
          </w:tcPr>
          <w:p>
            <w:pPr>
              <w:jc w:val="center"/>
              <w:rPr>
                <w:noProof/>
                <w:sz w:val="20"/>
              </w:rPr>
            </w:pPr>
            <w:r>
              <w:rPr>
                <w:noProof/>
                <w:sz w:val="20"/>
              </w:rPr>
              <w:t>År</w:t>
            </w:r>
            <w:r>
              <w:rPr>
                <w:b/>
                <w:noProof/>
                <w:sz w:val="20"/>
              </w:rPr>
              <w:t>n+1</w:t>
            </w:r>
          </w:p>
        </w:tc>
        <w:tc>
          <w:tcPr>
            <w:tcW w:w="964" w:type="dxa"/>
            <w:vAlign w:val="center"/>
          </w:tcPr>
          <w:p>
            <w:pPr>
              <w:jc w:val="center"/>
              <w:rPr>
                <w:noProof/>
                <w:sz w:val="20"/>
              </w:rPr>
            </w:pPr>
            <w:r>
              <w:rPr>
                <w:noProof/>
                <w:sz w:val="20"/>
              </w:rPr>
              <w:t>År</w:t>
            </w:r>
            <w:r>
              <w:rPr>
                <w:b/>
                <w:noProof/>
                <w:sz w:val="20"/>
              </w:rPr>
              <w:t>n+2</w:t>
            </w:r>
          </w:p>
        </w:tc>
        <w:tc>
          <w:tcPr>
            <w:tcW w:w="964" w:type="dxa"/>
            <w:vAlign w:val="center"/>
          </w:tcPr>
          <w:p>
            <w:pPr>
              <w:jc w:val="center"/>
              <w:rPr>
                <w:noProof/>
                <w:sz w:val="20"/>
              </w:rPr>
            </w:pPr>
            <w:r>
              <w:rPr>
                <w:noProof/>
                <w:sz w:val="20"/>
              </w:rPr>
              <w:t>År</w:t>
            </w:r>
            <w:r>
              <w:rPr>
                <w:b/>
                <w:noProof/>
                <w:sz w:val="20"/>
              </w:rPr>
              <w:t>n+3</w:t>
            </w:r>
          </w:p>
        </w:tc>
        <w:tc>
          <w:tcPr>
            <w:tcW w:w="2892" w:type="dxa"/>
            <w:gridSpan w:val="3"/>
            <w:vAlign w:val="center"/>
          </w:tcPr>
          <w:p>
            <w:pPr>
              <w:jc w:val="center"/>
              <w:rPr>
                <w:b/>
                <w:noProof/>
                <w:sz w:val="20"/>
              </w:rPr>
            </w:pPr>
            <w:r>
              <w:rPr>
                <w:noProof/>
                <w:sz w:val="20"/>
              </w:rPr>
              <w:t>För in så många år som behövs för att redovisa inverkan på resursanvändningen (jfr punkt 1.6)</w:t>
            </w:r>
          </w:p>
        </w:tc>
        <w:tc>
          <w:tcPr>
            <w:tcW w:w="1158" w:type="dxa"/>
            <w:vAlign w:val="center"/>
          </w:tcPr>
          <w:p>
            <w:pPr>
              <w:spacing w:before="60" w:after="60"/>
              <w:jc w:val="center"/>
              <w:rPr>
                <w:noProof/>
                <w:sz w:val="20"/>
              </w:rPr>
            </w:pPr>
            <w:r>
              <w:rPr>
                <w:noProof/>
                <w:sz w:val="20"/>
              </w:rPr>
              <w:t>Totalt</w:t>
            </w:r>
          </w:p>
        </w:tc>
      </w:tr>
      <w:tr>
        <w:trPr>
          <w:cantSplit/>
        </w:trPr>
        <w:tc>
          <w:tcPr>
            <w:tcW w:w="2340" w:type="dxa"/>
          </w:tcPr>
          <w:p>
            <w:pPr>
              <w:rPr>
                <w:noProof/>
                <w:sz w:val="22"/>
              </w:rPr>
            </w:pPr>
            <w:r>
              <w:rPr>
                <w:noProof/>
                <w:sz w:val="20"/>
              </w:rPr>
              <w:t>Ange vilken extern organisation eller annan källa som bidrar till finansieringen</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TOTALA anslag som tillförs genom medfinansiering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br/>
      </w:r>
    </w:p>
    <w:p>
      <w:pPr>
        <w:pStyle w:val="ManualHeading2"/>
        <w:rPr>
          <w:bCs/>
          <w:noProof/>
          <w:szCs w:val="24"/>
        </w:rPr>
      </w:pPr>
      <w:r>
        <w:rPr>
          <w:noProof/>
        </w:rPr>
        <w:br w:type="page"/>
      </w:r>
      <w:r>
        <w:t>3.3.</w:t>
      </w:r>
      <w:r>
        <w:tab/>
      </w:r>
      <w:r>
        <w:rPr>
          <w:noProof/>
        </w:rPr>
        <w:t xml:space="preserve">Beräknad inverkan på inkomsterna </w:t>
      </w:r>
    </w:p>
    <w:p>
      <w:pPr>
        <w:pStyle w:val="ListDash1"/>
        <w:rPr>
          <w:noProof/>
        </w:rPr>
      </w:pPr>
      <w:r>
        <w:rPr>
          <w:noProof/>
        </w:rPr>
        <w:sym w:font="Wingdings" w:char="F0FE"/>
      </w:r>
      <w:r>
        <w:rPr>
          <w:noProof/>
        </w:rPr>
        <w:tab/>
      </w:r>
      <w:r>
        <w:rPr>
          <w:noProof/>
        </w:rPr>
        <w:sym w:font="Wingdings" w:char="F0FE"/>
      </w:r>
      <w:r>
        <w:rPr>
          <w:noProof/>
        </w:rPr>
        <w:t>Förslaget/initiativet påverkar inte budgetens inkomstsida.</w:t>
      </w:r>
    </w:p>
    <w:p>
      <w:pPr>
        <w:pStyle w:val="ListDash1"/>
        <w:rPr>
          <w:noProof/>
        </w:rPr>
      </w:pPr>
      <w:r>
        <w:rPr>
          <w:noProof/>
        </w:rPr>
        <w:sym w:font="Wingdings" w:char="F0A8"/>
      </w:r>
      <w:r>
        <w:rPr>
          <w:noProof/>
        </w:rPr>
        <w:tab/>
      </w:r>
      <w:r>
        <w:rPr>
          <w:noProof/>
        </w:rPr>
        <w:sym w:font="Wingdings" w:char="F0A8"/>
      </w:r>
      <w:r>
        <w:rPr>
          <w:noProof/>
        </w:rPr>
        <w:t>Förslaget/initiativet påverkar inkomsterna på följande sätt:</w:t>
      </w:r>
    </w:p>
    <w:p>
      <w:pPr>
        <w:pStyle w:val="ListNumberLevel3"/>
        <w:rPr>
          <w:noProof/>
        </w:rPr>
      </w:pPr>
      <w:r>
        <w:rPr>
          <w:noProof/>
        </w:rPr>
        <w:sym w:font="Wingdings" w:char="F0A8"/>
      </w:r>
      <w:r>
        <w:rPr>
          <w:noProof/>
        </w:rPr>
        <w:tab/>
      </w:r>
      <w:r>
        <w:rPr>
          <w:noProof/>
        </w:rPr>
        <w:sym w:font="Wingdings" w:char="F0A8"/>
      </w:r>
      <w:r>
        <w:rPr>
          <w:noProof/>
        </w:rPr>
        <w:t xml:space="preserve">Påverkan på egna medel </w:t>
      </w:r>
    </w:p>
    <w:p>
      <w:pPr>
        <w:pStyle w:val="ListNumberLevel3"/>
        <w:rPr>
          <w:noProof/>
        </w:rPr>
      </w:pPr>
      <w:r>
        <w:rPr>
          <w:noProof/>
        </w:rPr>
        <w:sym w:font="Wingdings" w:char="F0A8"/>
      </w:r>
      <w:r>
        <w:rPr>
          <w:noProof/>
        </w:rPr>
        <w:tab/>
      </w:r>
      <w:r>
        <w:rPr>
          <w:noProof/>
        </w:rPr>
        <w:sym w:font="Wingdings" w:char="F0A8"/>
      </w:r>
      <w:r>
        <w:rPr>
          <w:noProof/>
        </w:rPr>
        <w:t xml:space="preserve">Påverkan på ”diverse inkomster” </w:t>
      </w:r>
    </w:p>
    <w:p>
      <w:pPr>
        <w:jc w:val="right"/>
        <w:rPr>
          <w:i/>
          <w:noProof/>
          <w:sz w:val="20"/>
        </w:rPr>
      </w:pPr>
      <w:r>
        <w:rPr>
          <w:noProof/>
        </w:rPr>
        <w:t>Miljoner euro (avrundat till tre decimaler)</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Budgetrubrik i den årliga budgetens inkomstdel:</w:t>
            </w:r>
          </w:p>
        </w:tc>
        <w:tc>
          <w:tcPr>
            <w:tcW w:w="1276" w:type="dxa"/>
            <w:vMerge w:val="restart"/>
            <w:vAlign w:val="center"/>
          </w:tcPr>
          <w:p>
            <w:pPr>
              <w:jc w:val="center"/>
              <w:rPr>
                <w:noProof/>
                <w:sz w:val="18"/>
              </w:rPr>
            </w:pPr>
            <w:r>
              <w:rPr>
                <w:noProof/>
                <w:sz w:val="18"/>
              </w:rPr>
              <w:t>Belopp som förts in för det innevarande budgetåret</w:t>
            </w:r>
          </w:p>
        </w:tc>
        <w:tc>
          <w:tcPr>
            <w:tcW w:w="7200" w:type="dxa"/>
            <w:gridSpan w:val="7"/>
            <w:vAlign w:val="center"/>
          </w:tcPr>
          <w:p>
            <w:pPr>
              <w:jc w:val="center"/>
              <w:rPr>
                <w:noProof/>
                <w:sz w:val="18"/>
              </w:rPr>
            </w:pPr>
            <w:r>
              <w:rPr>
                <w:noProof/>
                <w:sz w:val="18"/>
              </w:rPr>
              <w:t>Förslagets eller initiativets inverkan på inkomsterna</w:t>
            </w:r>
            <w:r>
              <w:rPr>
                <w:rStyle w:val="FootnoteReference"/>
                <w:noProof/>
                <w:sz w:val="18"/>
              </w:rPr>
              <w:footnoteReference w:id="14"/>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År</w:t>
            </w:r>
            <w:r>
              <w:rPr>
                <w:b/>
                <w:noProof/>
                <w:sz w:val="18"/>
              </w:rPr>
              <w:t>n</w:t>
            </w:r>
          </w:p>
        </w:tc>
        <w:tc>
          <w:tcPr>
            <w:tcW w:w="900" w:type="dxa"/>
            <w:vAlign w:val="center"/>
          </w:tcPr>
          <w:p>
            <w:pPr>
              <w:jc w:val="center"/>
              <w:rPr>
                <w:noProof/>
                <w:sz w:val="18"/>
              </w:rPr>
            </w:pPr>
            <w:r>
              <w:rPr>
                <w:noProof/>
                <w:sz w:val="18"/>
              </w:rPr>
              <w:t>År</w:t>
            </w:r>
            <w:r>
              <w:rPr>
                <w:b/>
                <w:noProof/>
                <w:sz w:val="18"/>
              </w:rPr>
              <w:t>n+1</w:t>
            </w:r>
          </w:p>
        </w:tc>
        <w:tc>
          <w:tcPr>
            <w:tcW w:w="900" w:type="dxa"/>
            <w:vAlign w:val="center"/>
          </w:tcPr>
          <w:p>
            <w:pPr>
              <w:jc w:val="center"/>
              <w:rPr>
                <w:noProof/>
                <w:sz w:val="18"/>
              </w:rPr>
            </w:pPr>
            <w:r>
              <w:rPr>
                <w:noProof/>
                <w:sz w:val="18"/>
              </w:rPr>
              <w:t>År</w:t>
            </w:r>
            <w:r>
              <w:rPr>
                <w:b/>
                <w:noProof/>
                <w:sz w:val="18"/>
              </w:rPr>
              <w:t>n+2</w:t>
            </w:r>
          </w:p>
        </w:tc>
        <w:tc>
          <w:tcPr>
            <w:tcW w:w="1080" w:type="dxa"/>
            <w:vAlign w:val="center"/>
          </w:tcPr>
          <w:p>
            <w:pPr>
              <w:jc w:val="center"/>
              <w:rPr>
                <w:noProof/>
                <w:sz w:val="18"/>
              </w:rPr>
            </w:pPr>
            <w:r>
              <w:rPr>
                <w:noProof/>
                <w:sz w:val="18"/>
              </w:rPr>
              <w:t>År</w:t>
            </w:r>
            <w:r>
              <w:rPr>
                <w:b/>
                <w:noProof/>
                <w:sz w:val="18"/>
              </w:rPr>
              <w:t>n+3</w:t>
            </w:r>
          </w:p>
        </w:tc>
        <w:tc>
          <w:tcPr>
            <w:tcW w:w="3240" w:type="dxa"/>
            <w:gridSpan w:val="3"/>
            <w:vAlign w:val="center"/>
          </w:tcPr>
          <w:p>
            <w:pPr>
              <w:jc w:val="center"/>
              <w:rPr>
                <w:b/>
                <w:noProof/>
                <w:sz w:val="18"/>
              </w:rPr>
            </w:pPr>
            <w:r>
              <w:rPr>
                <w:noProof/>
                <w:sz w:val="18"/>
              </w:rPr>
              <w:t>För in så många år som behövs för att redovisa inverkan på resursanvändningen (jfr punkt 1.6)</w:t>
            </w:r>
          </w:p>
        </w:tc>
      </w:tr>
      <w:tr>
        <w:trPr>
          <w:trHeight w:val="388"/>
        </w:trPr>
        <w:tc>
          <w:tcPr>
            <w:tcW w:w="2144" w:type="dxa"/>
            <w:vAlign w:val="center"/>
          </w:tcPr>
          <w:p>
            <w:pPr>
              <w:spacing w:before="40" w:after="40"/>
              <w:rPr>
                <w:noProof/>
                <w:sz w:val="18"/>
              </w:rPr>
            </w:pPr>
            <w:r>
              <w:rPr>
                <w:noProof/>
                <w:sz w:val="18"/>
              </w:rPr>
              <w:t>Artikel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Ange vilka budgetrubriker i utgiftsdelen som berörs i de fall där inkomster i diversekategorin kommer att avsättas för särskilda ändamål.</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Ange med vilken metod inverkan på inkomsterna har beräknats.</w:t>
      </w:r>
    </w:p>
    <w:p>
      <w:pPr>
        <w:pStyle w:val="Text1"/>
        <w:pBdr>
          <w:top w:val="single" w:sz="4" w:space="1" w:color="auto"/>
          <w:left w:val="single" w:sz="4" w:space="4" w:color="auto"/>
          <w:bottom w:val="single" w:sz="4" w:space="1" w:color="auto"/>
          <w:right w:val="single" w:sz="4" w:space="4" w:color="auto"/>
        </w:pBdr>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SV</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SV</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tab/>
      </w:r>
      <w:r>
        <w:rPr>
          <w:rStyle w:val="FootnoteReference"/>
        </w:rPr>
        <w:footnoteRef/>
      </w:r>
      <w:r>
        <w:t>http://ec.europa.eu/transport/modes/maritime/studies/doc/2014-06-icf-coastguard.pdf</w:t>
      </w:r>
    </w:p>
  </w:footnote>
  <w:footnote w:id="2">
    <w:p>
      <w:pPr>
        <w:pStyle w:val="FootnoteText"/>
      </w:pPr>
      <w:r>
        <w:rPr>
          <w:rStyle w:val="FootnoteReference"/>
        </w:rPr>
        <w:footnoteRef/>
      </w:r>
      <w:r>
        <w:tab/>
        <w:t>Europaparlamentets och rådets förordning XX/XX av den ...</w:t>
      </w:r>
    </w:p>
  </w:footnote>
  <w:footnote w:id="3">
    <w:p>
      <w:pPr>
        <w:pStyle w:val="FootnoteText"/>
      </w:pPr>
      <w:r>
        <w:rPr>
          <w:rStyle w:val="FootnoteReference"/>
        </w:rPr>
        <w:footnoteRef/>
      </w:r>
      <w:r>
        <w:tab/>
        <w:t>Europaparlamentets och rådets förordning (EG) nr 1406/2002 av den 27 juni 2002 om inrättande av en europeisk sjösäkerhetsbyrå (EUT L 208, 5.8.2002, s. 1).</w:t>
      </w:r>
    </w:p>
  </w:footnote>
  <w:footnote w:id="4">
    <w:p>
      <w:pPr>
        <w:pStyle w:val="FootnoteText"/>
        <w:rPr>
          <w:szCs w:val="24"/>
        </w:rPr>
      </w:pPr>
      <w:r>
        <w:rPr>
          <w:rStyle w:val="FootnoteReference"/>
        </w:rPr>
        <w:footnoteRef/>
      </w:r>
      <w:r>
        <w:tab/>
        <w:t>Verksamhetsbaserad förvaltning och verksamhetsbaserad budgetering benämns ibland med de interna förkortningarna ABM respektive ABB.</w:t>
      </w:r>
    </w:p>
  </w:footnote>
  <w:footnote w:id="5">
    <w:p>
      <w:pPr>
        <w:pStyle w:val="FootnoteText"/>
        <w:rPr>
          <w:szCs w:val="24"/>
        </w:rPr>
      </w:pPr>
      <w:r>
        <w:rPr>
          <w:rStyle w:val="FootnoteReference"/>
        </w:rPr>
        <w:footnoteRef/>
      </w:r>
      <w:r>
        <w:tab/>
        <w:t>I den mening som avses i artikel 54.2 a eller b i budgetförordningen.</w:t>
      </w:r>
    </w:p>
  </w:footnote>
  <w:footnote w:id="6">
    <w:p>
      <w:pPr>
        <w:pStyle w:val="FootnoteText"/>
        <w:rPr>
          <w:szCs w:val="24"/>
        </w:rPr>
      </w:pPr>
      <w:r>
        <w:rPr>
          <w:rStyle w:val="FootnoteReference"/>
        </w:rPr>
        <w:footnoteRef/>
      </w:r>
      <w:r>
        <w:tab/>
        <w:t xml:space="preserve">Närmare förklaringar av de olika metoderna för genomförande med hänvisningar till respektive bestämmelser i budgetförordningen återfinns på BudgWeb: </w:t>
      </w:r>
      <w:hyperlink r:id="rId1">
        <w:r>
          <w:rPr>
            <w:rStyle w:val="Hyperlink"/>
            <w:sz w:val="18"/>
          </w:rPr>
          <w:t>http://www.cc.cec/budg/man/budgmanag/budgmanag_en.html</w:t>
        </w:r>
      </w:hyperlink>
    </w:p>
  </w:footnote>
  <w:footnote w:id="7">
    <w:p>
      <w:pPr>
        <w:pStyle w:val="FootnoteText"/>
        <w:rPr>
          <w:szCs w:val="24"/>
        </w:rPr>
      </w:pPr>
      <w:r>
        <w:rPr>
          <w:rStyle w:val="FootnoteReference"/>
        </w:rPr>
        <w:footnoteRef/>
      </w:r>
      <w:r>
        <w:tab/>
        <w:t>Differentierade respektive icke-differentierade anslag.</w:t>
      </w:r>
    </w:p>
  </w:footnote>
  <w:footnote w:id="8">
    <w:p>
      <w:pPr>
        <w:pStyle w:val="FootnoteText"/>
        <w:rPr>
          <w:szCs w:val="24"/>
        </w:rPr>
      </w:pPr>
      <w:r>
        <w:rPr>
          <w:rStyle w:val="FootnoteReference"/>
        </w:rPr>
        <w:footnoteRef/>
      </w:r>
      <w:r>
        <w:tab/>
        <w:t xml:space="preserve">Efta: Europeiska frihandelssammanslutningen. </w:t>
      </w:r>
    </w:p>
  </w:footnote>
  <w:footnote w:id="9">
    <w:p>
      <w:pPr>
        <w:pStyle w:val="FootnoteText"/>
        <w:rPr>
          <w:szCs w:val="24"/>
        </w:rPr>
      </w:pPr>
      <w:r>
        <w:rPr>
          <w:rStyle w:val="FootnoteReference"/>
        </w:rPr>
        <w:footnoteRef/>
      </w:r>
      <w:r>
        <w:tab/>
        <w:t>Kandidatländer och i förekommande fall potentiella kandidatländer i västra Balkan.</w:t>
      </w:r>
    </w:p>
  </w:footnote>
  <w:footnote w:id="10">
    <w:p>
      <w:pPr>
        <w:pStyle w:val="FootnoteText"/>
        <w:rPr>
          <w:szCs w:val="24"/>
        </w:rPr>
      </w:pPr>
      <w:r>
        <w:rPr>
          <w:rStyle w:val="FootnoteReference"/>
        </w:rPr>
        <w:footnoteRef/>
      </w:r>
      <w:r>
        <w:tab/>
        <w:t xml:space="preserve">[Denna fotnot förklarar vissa initialförkortningar som inte används i den svenska versionen]. </w:t>
      </w:r>
    </w:p>
  </w:footnote>
  <w:footnote w:id="11">
    <w:p>
      <w:pPr>
        <w:pStyle w:val="FootnoteText"/>
        <w:rPr>
          <w:szCs w:val="24"/>
        </w:rPr>
      </w:pPr>
      <w:r>
        <w:rPr>
          <w:rStyle w:val="FootnoteReference"/>
        </w:rPr>
        <w:footnoteRef/>
      </w:r>
      <w:r>
        <w:tab/>
        <w:t>Särskilt tak för finansiering av extern personal genom driftsanslag (tidigare s.k. BA-poster).</w:t>
      </w:r>
    </w:p>
  </w:footnote>
  <w:footnote w:id="12">
    <w:p>
      <w:pPr>
        <w:pStyle w:val="FootnoteText"/>
      </w:pPr>
      <w:r>
        <w:rPr>
          <w:rStyle w:val="FootnoteReference"/>
        </w:rPr>
        <w:footnoteRef/>
      </w:r>
      <w:r>
        <w:tab/>
        <w:t>Framför allt för strukturfonderna, Europeiska jordbruksfonden för landsbygdsutveckling (Ejflu) samt Europeiska fiskerifonden (EFF).</w:t>
      </w:r>
    </w:p>
    <w:p>
      <w:pPr>
        <w:pStyle w:val="FootnoteText"/>
        <w:rPr>
          <w:szCs w:val="24"/>
        </w:rPr>
      </w:pPr>
    </w:p>
  </w:footnote>
  <w:footnote w:id="13">
    <w:p>
      <w:pPr>
        <w:pStyle w:val="FootnoteText"/>
      </w:pPr>
      <w:r>
        <w:rPr>
          <w:rStyle w:val="FootnoteReference"/>
        </w:rPr>
        <w:footnoteRef/>
      </w:r>
      <w:r>
        <w:tab/>
        <w:t>Den nuvarande finansiella planeringen för artikel 11 06 64 – Europeiska fiskerikontrollbyrån kommer dock att öka under perioden 2017–2020 med sammanlagt 30,148 miljoner euro.</w:t>
      </w:r>
    </w:p>
  </w:footnote>
  <w:footnote w:id="14">
    <w:p>
      <w:pPr>
        <w:pStyle w:val="FootnoteText"/>
        <w:rPr>
          <w:szCs w:val="24"/>
        </w:rPr>
      </w:pPr>
      <w:r>
        <w:rPr>
          <w:rStyle w:val="FootnoteReference"/>
        </w:rPr>
        <w:footnoteRef/>
      </w:r>
      <w:r>
        <w:tab/>
        <w:t>När det gäller traditionella egna medel (tullar och sockeravgifter) ska nettobeloppen anges, dvs. bruttobeloppen minus 25 % avdrag för uppbördskostnader.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A38B88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FA2AB58"/>
    <w:lvl w:ilvl="0">
      <w:start w:val="1"/>
      <w:numFmt w:val="decimal"/>
      <w:pStyle w:val="ListNumber3"/>
      <w:lvlText w:val="%1."/>
      <w:lvlJc w:val="left"/>
      <w:pPr>
        <w:tabs>
          <w:tab w:val="num" w:pos="926"/>
        </w:tabs>
        <w:ind w:left="926" w:hanging="360"/>
      </w:pPr>
    </w:lvl>
  </w:abstractNum>
  <w:abstractNum w:abstractNumId="2">
    <w:nsid w:val="FFFFFF7F"/>
    <w:multiLevelType w:val="singleLevel"/>
    <w:tmpl w:val="759A0306"/>
    <w:lvl w:ilvl="0">
      <w:start w:val="1"/>
      <w:numFmt w:val="decimal"/>
      <w:pStyle w:val="ListNumber2"/>
      <w:lvlText w:val="%1."/>
      <w:lvlJc w:val="left"/>
      <w:pPr>
        <w:tabs>
          <w:tab w:val="num" w:pos="643"/>
        </w:tabs>
        <w:ind w:left="643" w:hanging="360"/>
      </w:pPr>
    </w:lvl>
  </w:abstractNum>
  <w:abstractNum w:abstractNumId="3">
    <w:nsid w:val="FFFFFF81"/>
    <w:multiLevelType w:val="singleLevel"/>
    <w:tmpl w:val="B014840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D289B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start w:val="1"/>
      <w:numFmt w:val="bullet"/>
      <w:lvlText w:val="o"/>
      <w:lvlJc w:val="left"/>
      <w:pPr>
        <w:ind w:left="1764" w:hanging="360"/>
      </w:pPr>
      <w:rPr>
        <w:rFonts w:ascii="Courier New" w:hAnsi="Courier New" w:cs="Courier New" w:hint="default"/>
      </w:rPr>
    </w:lvl>
    <w:lvl w:ilvl="2" w:tplc="08090005">
      <w:start w:val="1"/>
      <w:numFmt w:val="bullet"/>
      <w:lvlText w:val=""/>
      <w:lvlJc w:val="left"/>
      <w:pPr>
        <w:ind w:left="2484" w:hanging="360"/>
      </w:pPr>
      <w:rPr>
        <w:rFonts w:ascii="Wingdings" w:hAnsi="Wingdings" w:hint="default"/>
      </w:rPr>
    </w:lvl>
    <w:lvl w:ilvl="3" w:tplc="08090001">
      <w:start w:val="1"/>
      <w:numFmt w:val="bullet"/>
      <w:lvlText w:val=""/>
      <w:lvlJc w:val="left"/>
      <w:pPr>
        <w:ind w:left="3204" w:hanging="360"/>
      </w:pPr>
      <w:rPr>
        <w:rFonts w:ascii="Symbol" w:hAnsi="Symbol" w:hint="default"/>
      </w:rPr>
    </w:lvl>
    <w:lvl w:ilvl="4" w:tplc="08090003">
      <w:start w:val="1"/>
      <w:numFmt w:val="bullet"/>
      <w:lvlText w:val="o"/>
      <w:lvlJc w:val="left"/>
      <w:pPr>
        <w:ind w:left="3924" w:hanging="360"/>
      </w:pPr>
      <w:rPr>
        <w:rFonts w:ascii="Courier New" w:hAnsi="Courier New" w:cs="Courier New" w:hint="default"/>
      </w:rPr>
    </w:lvl>
    <w:lvl w:ilvl="5" w:tplc="08090005">
      <w:start w:val="1"/>
      <w:numFmt w:val="bullet"/>
      <w:lvlText w:val=""/>
      <w:lvlJc w:val="left"/>
      <w:pPr>
        <w:ind w:left="4644" w:hanging="360"/>
      </w:pPr>
      <w:rPr>
        <w:rFonts w:ascii="Wingdings" w:hAnsi="Wingdings" w:hint="default"/>
      </w:rPr>
    </w:lvl>
    <w:lvl w:ilvl="6" w:tplc="08090001">
      <w:start w:val="1"/>
      <w:numFmt w:val="bullet"/>
      <w:lvlText w:val=""/>
      <w:lvlJc w:val="left"/>
      <w:pPr>
        <w:ind w:left="5364" w:hanging="360"/>
      </w:pPr>
      <w:rPr>
        <w:rFonts w:ascii="Symbol" w:hAnsi="Symbol" w:hint="default"/>
      </w:rPr>
    </w:lvl>
    <w:lvl w:ilvl="7" w:tplc="08090003">
      <w:start w:val="1"/>
      <w:numFmt w:val="bullet"/>
      <w:lvlText w:val="o"/>
      <w:lvlJc w:val="left"/>
      <w:pPr>
        <w:ind w:left="6084" w:hanging="360"/>
      </w:pPr>
      <w:rPr>
        <w:rFonts w:ascii="Courier New" w:hAnsi="Courier New" w:cs="Courier New" w:hint="default"/>
      </w:rPr>
    </w:lvl>
    <w:lvl w:ilvl="8" w:tplc="08090005">
      <w:start w:val="1"/>
      <w:numFmt w:val="bullet"/>
      <w:lvlText w:val=""/>
      <w:lvlJc w:val="left"/>
      <w:pPr>
        <w:ind w:left="6804" w:hanging="360"/>
      </w:pPr>
      <w:rPr>
        <w:rFonts w:ascii="Wingdings" w:hAnsi="Wingdings"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3"/>
  </w:num>
  <w:num w:numId="5">
    <w:abstractNumId w:val="19"/>
  </w:num>
  <w:num w:numId="6">
    <w:abstractNumId w:val="24"/>
  </w:num>
  <w:num w:numId="7">
    <w:abstractNumId w:val="4"/>
  </w:num>
  <w:num w:numId="8">
    <w:abstractNumId w:val="3"/>
  </w:num>
  <w:num w:numId="9">
    <w:abstractNumId w:val="2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 w:numId="15">
    <w:abstractNumId w:val="0"/>
  </w:num>
  <w:num w:numId="16">
    <w:abstractNumId w:val="18"/>
  </w:num>
  <w:num w:numId="17">
    <w:abstractNumId w:val="10"/>
  </w:num>
  <w:num w:numId="18">
    <w:abstractNumId w:val="22"/>
  </w:num>
  <w:num w:numId="19">
    <w:abstractNumId w:val="9"/>
  </w:num>
  <w:num w:numId="20">
    <w:abstractNumId w:val="11"/>
  </w:num>
  <w:num w:numId="21">
    <w:abstractNumId w:val="7"/>
  </w:num>
  <w:num w:numId="22">
    <w:abstractNumId w:val="21"/>
  </w:num>
  <w:num w:numId="23">
    <w:abstractNumId w:val="6"/>
  </w:num>
  <w:num w:numId="24">
    <w:abstractNumId w:val="12"/>
  </w:num>
  <w:num w:numId="25">
    <w:abstractNumId w:val="16"/>
  </w:num>
  <w:num w:numId="26">
    <w:abstractNumId w:val="17"/>
  </w:num>
  <w:num w:numId="27">
    <w:abstractNumId w:val="8"/>
  </w:num>
  <w:num w:numId="28">
    <w:abstractNumId w:val="15"/>
  </w:num>
  <w:num w:numId="29">
    <w:abstractNumId w:val="25"/>
  </w:num>
  <w:num w:numId="30">
    <w:abstractNumId w:val="18"/>
  </w:num>
  <w:num w:numId="31">
    <w:abstractNumId w:val="10"/>
  </w:num>
  <w:num w:numId="32">
    <w:abstractNumId w:val="22"/>
  </w:num>
  <w:num w:numId="33">
    <w:abstractNumId w:val="9"/>
  </w:num>
  <w:num w:numId="34">
    <w:abstractNumId w:val="11"/>
  </w:num>
  <w:num w:numId="35">
    <w:abstractNumId w:val="7"/>
  </w:num>
  <w:num w:numId="36">
    <w:abstractNumId w:val="21"/>
  </w:num>
  <w:num w:numId="37">
    <w:abstractNumId w:val="6"/>
  </w:num>
  <w:num w:numId="38">
    <w:abstractNumId w:val="12"/>
  </w:num>
  <w:num w:numId="39">
    <w:abstractNumId w:val="16"/>
  </w:num>
  <w:num w:numId="40">
    <w:abstractNumId w:val="17"/>
  </w:num>
  <w:num w:numId="41">
    <w:abstractNumId w:val="8"/>
  </w:num>
  <w:num w:numId="42">
    <w:abstractNumId w:val="15"/>
  </w:num>
  <w:num w:numId="43">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hideSpellingErrors/>
  <w:hideGrammaticalErrors/>
  <w:attachedTemplate r:id="rId1"/>
  <w:revisionView w:markup="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1-15 16:18:3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58"/>
    <w:docVar w:name="DQCResult_UnknownFonts" w:val="0;0"/>
    <w:docVar w:name="DQCResult_UnknownStyles" w:val="0;1"/>
    <w:docVar w:name="DQCStatus" w:val="Green"/>
    <w:docVar w:name="DQCVersion" w:val="3"/>
    <w:docVar w:name="DQCWithWarnings" w:val="0"/>
    <w:docVar w:name="LW_CONFIDENCE" w:val=" "/>
    <w:docVar w:name="LW_CONST_RESTREINT_UE" w:val="RESTREINT UE"/>
    <w:docVar w:name="LW_CORRIGENDUM" w:val="&lt;UNUSED&gt;"/>
    <w:docVar w:name="LW_COVERPAGE_GUID" w:val="59968C169B34483F9897DA1635FF4648"/>
    <w:docVar w:name="LW_CROSSREFERENCE" w:val="&lt;UNUSED&gt;"/>
    <w:docVar w:name="LW_DocType" w:val="COM"/>
    <w:docVar w:name="LW_EMISSION" w:val="15.12.2015"/>
    <w:docVar w:name="LW_EMISSION_ISODATE" w:val="2015-12-15"/>
    <w:docVar w:name="LW_EMISSION_LOCATION" w:val="STR"/>
    <w:docVar w:name="LW_EMISSION_PREFIX" w:val="Strasbourg den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SV"/>
    <w:docVar w:name="LW_MARKING" w:val="&lt;UNUSED&gt;"/>
    <w:docVar w:name="LW_NOM.INST" w:val="EUROPEISKA KOMMISSIONEN"/>
    <w:docVar w:name="LW_NOM.INST_JOINTDOC" w:val="&lt;EMPTY&gt;"/>
    <w:docVar w:name="LW_PART_NBR" w:val="1"/>
    <w:docVar w:name="LW_PART_NBR_TOTAL" w:val="1"/>
    <w:docVar w:name="LW_REF.II.NEW.CP" w:val="COD"/>
    <w:docVar w:name="LW_REF.II.NEW.CP_NUMBER" w:val="0308"/>
    <w:docVar w:name="LW_REF.II.NEW.CP_YEAR" w:val="2015"/>
    <w:docVar w:name="LW_REF.INST.NEW" w:val="COM"/>
    <w:docVar w:name="LW_REF.INST.NEW_ADOPTED" w:val="final"/>
    <w:docVar w:name="LW_REF.INST.NEW_TEXT" w:val="(2015) 669"/>
    <w:docVar w:name="LW_REF.INTERNE" w:val="&lt;UNUSED&gt;"/>
    <w:docVar w:name="LW_SOUS.TITRE.OBJ.CP" w:val="(Text av betydelse för EES)"/>
    <w:docVar w:name="LW_STATUT.CP" w:val="Förslag till"/>
    <w:docVar w:name="LW_SUPERTITRE" w:val="&lt;UNUSED&gt;"/>
    <w:docVar w:name="LW_TITRE.OBJ.CP" w:val="om ändring av rådets förordning (EG) nr 768/2005 om inrättande av Gemenskapens kontrollorgan för fiske "/>
    <w:docVar w:name="LW_TYPE.DOC.CP" w:val="EUROPAPARLAMENTETS OCH RÅDETS FÖRORDNING"/>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v-S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v-S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v-S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v-S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62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B0FC3-3824-44D1-94B0-4629766F3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26</Pages>
  <Words>5235</Words>
  <Characters>34709</Characters>
  <Application>Microsoft Office Word</Application>
  <DocSecurity>0</DocSecurity>
  <Lines>1388</Lines>
  <Paragraphs>798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2015-12-09T12:26:00Z</cp:lastPrinted>
  <dcterms:created xsi:type="dcterms:W3CDTF">2016-01-14T15:34:00Z</dcterms:created>
  <dcterms:modified xsi:type="dcterms:W3CDTF">2016-01-15T15:18:00Z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