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2AE" w:rsidRDefault="00F456ED">
      <w:pPr>
        <w:pStyle w:val="Pagedecouverture"/>
        <w:rPr>
          <w:noProof/>
        </w:rPr>
      </w:pPr>
      <w:bookmarkStart w:id="0" w:name="LW_BM_COVERPAGE"/>
      <w:bookmarkStart w:id="1" w:name="_GoBack"/>
      <w:bookmarkEnd w:id="1"/>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4E2635B0A1BC43A8BD2178C560846366" style="width:450.4pt;height:307.25pt">
            <v:imagedata r:id="rId8" o:title=""/>
          </v:shape>
        </w:pict>
      </w:r>
    </w:p>
    <w:bookmarkEnd w:id="0"/>
    <w:p w:rsidR="006C32AE" w:rsidRDefault="006C32AE">
      <w:pPr>
        <w:rPr>
          <w:noProof/>
        </w:rPr>
        <w:sectPr w:rsidR="006C32AE">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1"/>
          <w:cols w:space="720"/>
          <w:docGrid w:linePitch="360"/>
        </w:sectPr>
      </w:pPr>
    </w:p>
    <w:p w:rsidR="006C32AE" w:rsidRDefault="00F456ED">
      <w:pPr>
        <w:pStyle w:val="Typedudocument"/>
        <w:rPr>
          <w:noProof/>
        </w:rPr>
      </w:pPr>
      <w:r>
        <w:rPr>
          <w:noProof/>
        </w:rPr>
        <w:lastRenderedPageBreak/>
        <w:t>RAPPORT FRÅN KOMMISSIONEN TILL RÅDET OCH EUROPAPARLAMENTET</w:t>
      </w:r>
    </w:p>
    <w:p w:rsidR="006C32AE" w:rsidRDefault="00F456ED">
      <w:pPr>
        <w:pStyle w:val="Titreobjet"/>
        <w:rPr>
          <w:noProof/>
        </w:rPr>
      </w:pPr>
      <w:r>
        <w:rPr>
          <w:noProof/>
        </w:rPr>
        <w:t xml:space="preserve">Refit-utvärdering av rådets direktiv 91/477/EG av den 18 juni 1991, ändrad genom direktiv 2008/51/EG av den 21 maj 2008, om kontroll av förvärv och innehav av vapen </w:t>
      </w:r>
    </w:p>
    <w:p w:rsidR="006C32AE" w:rsidRDefault="006C32AE">
      <w:pPr>
        <w:rPr>
          <w:noProof/>
        </w:rPr>
      </w:pPr>
    </w:p>
    <w:p w:rsidR="006C32AE" w:rsidRDefault="006C32AE">
      <w:pPr>
        <w:rPr>
          <w:noProof/>
        </w:rPr>
        <w:sectPr w:rsidR="006C32AE">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0"/>
          <w:cols w:space="720"/>
          <w:titlePg/>
          <w:docGrid w:linePitch="360"/>
        </w:sectPr>
      </w:pPr>
    </w:p>
    <w:p w:rsidR="006C32AE" w:rsidRDefault="006C32AE">
      <w:pPr>
        <w:rPr>
          <w:noProof/>
        </w:rPr>
      </w:pPr>
    </w:p>
    <w:p w:rsidR="006C32AE" w:rsidRDefault="00F456ED">
      <w:pPr>
        <w:pStyle w:val="Heading1"/>
        <w:rPr>
          <w:rFonts w:ascii="Times New Roman" w:hAnsi="Times New Roman"/>
          <w:noProof/>
          <w:sz w:val="24"/>
          <w:szCs w:val="24"/>
        </w:rPr>
      </w:pPr>
      <w:r>
        <w:rPr>
          <w:rFonts w:ascii="Times New Roman" w:hAnsi="Times New Roman"/>
          <w:noProof/>
          <w:sz w:val="24"/>
        </w:rPr>
        <w:t>1. Inledning</w:t>
      </w:r>
    </w:p>
    <w:p w:rsidR="006C32AE" w:rsidRDefault="00F456ED">
      <w:pPr>
        <w:jc w:val="both"/>
        <w:rPr>
          <w:rFonts w:ascii="Times New Roman" w:hAnsi="Times New Roman"/>
          <w:noProof/>
          <w:sz w:val="24"/>
          <w:szCs w:val="24"/>
        </w:rPr>
      </w:pPr>
      <w:r>
        <w:rPr>
          <w:rFonts w:ascii="Times New Roman" w:hAnsi="Times New Roman"/>
          <w:noProof/>
          <w:sz w:val="24"/>
        </w:rPr>
        <w:t xml:space="preserve">(1) Rådets </w:t>
      </w:r>
      <w:r>
        <w:rPr>
          <w:rFonts w:ascii="Times New Roman" w:hAnsi="Times New Roman"/>
          <w:noProof/>
          <w:sz w:val="24"/>
        </w:rPr>
        <w:t>direktiv 91/477/EEG om kontroll av förvärv och innehav av vapen antogs den 18 juni 1991</w:t>
      </w:r>
      <w:r>
        <w:rPr>
          <w:rStyle w:val="FootnoteReference"/>
          <w:rFonts w:ascii="Times New Roman" w:hAnsi="Times New Roman"/>
          <w:noProof/>
          <w:sz w:val="24"/>
        </w:rPr>
        <w:footnoteReference w:id="1"/>
      </w:r>
      <w:r>
        <w:rPr>
          <w:rFonts w:ascii="Times New Roman" w:hAnsi="Times New Roman"/>
          <w:noProof/>
          <w:sz w:val="24"/>
        </w:rPr>
        <w:t xml:space="preserve"> och ändrades genom direktiv 2008/51/EG den 21 maj 2008</w:t>
      </w:r>
      <w:r>
        <w:rPr>
          <w:rStyle w:val="FootnoteReference"/>
          <w:rFonts w:ascii="Times New Roman" w:hAnsi="Times New Roman"/>
          <w:noProof/>
          <w:sz w:val="24"/>
        </w:rPr>
        <w:footnoteReference w:id="2"/>
      </w:r>
      <w:r>
        <w:rPr>
          <w:rFonts w:ascii="Times New Roman" w:hAnsi="Times New Roman"/>
          <w:noProof/>
          <w:sz w:val="24"/>
        </w:rPr>
        <w:t xml:space="preserve"> (nedan kallat </w:t>
      </w:r>
      <w:r>
        <w:rPr>
          <w:rFonts w:ascii="Times New Roman" w:hAnsi="Times New Roman"/>
          <w:i/>
          <w:noProof/>
          <w:sz w:val="24"/>
        </w:rPr>
        <w:t>skjutvapendirektivet</w:t>
      </w:r>
      <w:r>
        <w:rPr>
          <w:rFonts w:ascii="Times New Roman" w:hAnsi="Times New Roman"/>
          <w:noProof/>
          <w:sz w:val="24"/>
        </w:rPr>
        <w:t xml:space="preserve">). </w:t>
      </w:r>
    </w:p>
    <w:p w:rsidR="006C32AE" w:rsidRDefault="00F456ED">
      <w:pPr>
        <w:jc w:val="both"/>
        <w:rPr>
          <w:rFonts w:ascii="Times New Roman" w:hAnsi="Times New Roman"/>
          <w:noProof/>
          <w:sz w:val="24"/>
          <w:szCs w:val="24"/>
        </w:rPr>
      </w:pPr>
      <w:r>
        <w:rPr>
          <w:rFonts w:ascii="Times New Roman" w:hAnsi="Times New Roman"/>
          <w:noProof/>
          <w:sz w:val="24"/>
        </w:rPr>
        <w:t>(2) Enligt artikel 17 i skjutvapendirektivet ska kommissionen senaste den</w:t>
      </w:r>
      <w:r>
        <w:rPr>
          <w:rFonts w:ascii="Times New Roman" w:hAnsi="Times New Roman"/>
          <w:noProof/>
          <w:sz w:val="24"/>
        </w:rPr>
        <w:t xml:space="preserve"> 28 juli 2015 ”överlämna en rapport till Europaparlamentet och rådet om den situation som tillämpningen av detta direktiv har resulterat i, vid behov åtföljd av förslag till åtgärder”. Inför denna rapport genomförde kommissionen en utvärdering genom extern</w:t>
      </w:r>
      <w:r>
        <w:rPr>
          <w:rFonts w:ascii="Times New Roman" w:hAnsi="Times New Roman"/>
          <w:noProof/>
          <w:sz w:val="24"/>
        </w:rPr>
        <w:t>a konsulter. Utvärderingen, som slutfördes i december 2014</w:t>
      </w:r>
      <w:r>
        <w:rPr>
          <w:rStyle w:val="FootnoteReference"/>
          <w:rFonts w:ascii="Times New Roman" w:hAnsi="Times New Roman"/>
          <w:noProof/>
          <w:sz w:val="24"/>
        </w:rPr>
        <w:footnoteReference w:id="3"/>
      </w:r>
      <w:r>
        <w:rPr>
          <w:rFonts w:ascii="Times New Roman" w:hAnsi="Times New Roman"/>
          <w:noProof/>
          <w:sz w:val="24"/>
        </w:rPr>
        <w:t>, innehåller en omfattande genomgång av tillämpningen av direktivet och en analys av resultatet från lagstiftningen utifrån fem huvudkriterier. Utifrån fynden har utvärderarna även tagit fram speci</w:t>
      </w:r>
      <w:r>
        <w:rPr>
          <w:rFonts w:ascii="Times New Roman" w:hAnsi="Times New Roman"/>
          <w:noProof/>
          <w:sz w:val="24"/>
        </w:rPr>
        <w:t>fika rekommendationer för förbättring riktade antingen till kommissionen, till myndigheterna i medlemsstaterna, eller båda. Denna utvärdering hänger samman med kommissionens program om lagstiftningens ändamålsenlighet och resultat (Refit-programmet)</w:t>
      </w:r>
      <w:r>
        <w:rPr>
          <w:rStyle w:val="FootnoteReference"/>
          <w:rFonts w:ascii="Times New Roman" w:hAnsi="Times New Roman"/>
          <w:noProof/>
          <w:sz w:val="24"/>
        </w:rPr>
        <w:footnoteReference w:id="4"/>
      </w:r>
      <w:r>
        <w:rPr>
          <w:rFonts w:ascii="Times New Roman" w:hAnsi="Times New Roman"/>
          <w:noProof/>
          <w:sz w:val="24"/>
        </w:rPr>
        <w:t>.</w:t>
      </w:r>
    </w:p>
    <w:p w:rsidR="006C32AE" w:rsidRDefault="00F456ED">
      <w:pPr>
        <w:jc w:val="both"/>
        <w:rPr>
          <w:rFonts w:ascii="Times New Roman" w:hAnsi="Times New Roman"/>
          <w:noProof/>
          <w:sz w:val="24"/>
          <w:szCs w:val="24"/>
        </w:rPr>
      </w:pPr>
      <w:r>
        <w:rPr>
          <w:rFonts w:ascii="Times New Roman" w:hAnsi="Times New Roman"/>
          <w:noProof/>
          <w:sz w:val="24"/>
        </w:rPr>
        <w:t xml:space="preserve">(3) </w:t>
      </w:r>
      <w:r>
        <w:rPr>
          <w:rFonts w:ascii="Times New Roman" w:hAnsi="Times New Roman"/>
          <w:noProof/>
          <w:sz w:val="24"/>
        </w:rPr>
        <w:t xml:space="preserve">Efter att ha slutfört utvärderingen bad kommissionen medlemmarna i den kommitté som fastställts genom artikel 13a i direktivet (nedan kallad </w:t>
      </w:r>
      <w:r>
        <w:rPr>
          <w:rFonts w:ascii="Times New Roman" w:hAnsi="Times New Roman"/>
          <w:i/>
          <w:noProof/>
          <w:sz w:val="24"/>
        </w:rPr>
        <w:t>kommittén för skjutvapen</w:t>
      </w:r>
      <w:r>
        <w:rPr>
          <w:rFonts w:ascii="Times New Roman" w:hAnsi="Times New Roman"/>
          <w:noProof/>
          <w:sz w:val="24"/>
        </w:rPr>
        <w:t>), och som representerar de 28 medlemsstaterna och de fyra EES-länderna</w:t>
      </w:r>
      <w:r>
        <w:rPr>
          <w:rStyle w:val="FootnoteReference"/>
          <w:rFonts w:ascii="Times New Roman" w:hAnsi="Times New Roman"/>
          <w:noProof/>
          <w:sz w:val="24"/>
        </w:rPr>
        <w:footnoteReference w:id="5"/>
      </w:r>
      <w:r>
        <w:rPr>
          <w:rFonts w:ascii="Times New Roman" w:hAnsi="Times New Roman"/>
          <w:noProof/>
          <w:sz w:val="24"/>
        </w:rPr>
        <w:t xml:space="preserve"> och Efta-länderna</w:t>
      </w:r>
      <w:r>
        <w:rPr>
          <w:rStyle w:val="FootnoteReference"/>
          <w:rFonts w:ascii="Times New Roman" w:hAnsi="Times New Roman"/>
          <w:noProof/>
          <w:sz w:val="24"/>
        </w:rPr>
        <w:footnoteReference w:id="6"/>
      </w:r>
      <w:r>
        <w:rPr>
          <w:rStyle w:val="FootnoteReference"/>
          <w:rFonts w:ascii="Times New Roman" w:hAnsi="Times New Roman"/>
          <w:noProof/>
          <w:sz w:val="24"/>
        </w:rPr>
        <w:footnoteReference w:id="7"/>
      </w:r>
      <w:r>
        <w:rPr>
          <w:rFonts w:ascii="Times New Roman" w:hAnsi="Times New Roman"/>
          <w:noProof/>
          <w:sz w:val="24"/>
        </w:rPr>
        <w:t>, att kommentera utvärderingen och bedöma dess synpunkter och rekommendationer. Ledamöterna gav muntlig återkoppling vid kommitténs möten (den 18 december 2014 och den 25 mars 2015), kompletterad i skrift av några medlemsstater (Belgien, Frankrike, Sverig</w:t>
      </w:r>
      <w:r>
        <w:rPr>
          <w:rFonts w:ascii="Times New Roman" w:hAnsi="Times New Roman"/>
          <w:noProof/>
          <w:sz w:val="24"/>
        </w:rPr>
        <w:t>e och Storbritannien).</w:t>
      </w:r>
    </w:p>
    <w:p w:rsidR="006C32AE" w:rsidRDefault="00F456ED">
      <w:pPr>
        <w:jc w:val="both"/>
        <w:rPr>
          <w:rFonts w:ascii="Times New Roman" w:hAnsi="Times New Roman"/>
          <w:noProof/>
          <w:sz w:val="24"/>
          <w:szCs w:val="24"/>
        </w:rPr>
      </w:pPr>
      <w:r>
        <w:rPr>
          <w:rFonts w:ascii="Times New Roman" w:hAnsi="Times New Roman"/>
          <w:noProof/>
          <w:sz w:val="24"/>
        </w:rPr>
        <w:t>(4) Den slutliga rapporten från utvärderingen lämnades just innan de allvarliga händelserna i Paris och Köpenhamn i januari 2015. Dessa händelser lyfter fram de angelägna EU-omfattande säkerhetsutmaningar som vi står inför. Vid det m</w:t>
      </w:r>
      <w:r>
        <w:rPr>
          <w:rFonts w:ascii="Times New Roman" w:hAnsi="Times New Roman"/>
          <w:noProof/>
          <w:sz w:val="24"/>
        </w:rPr>
        <w:t>öte som kommittén för skjutvapen höll i mars 2015 uppmanade kommissionen representanterna från medlemsstaterna att inte bara kommentera slutsatserna från utvärderingen utan även ta upp sådana eventuella farhågor som utvärderarna inte hade tittat på i tillä</w:t>
      </w:r>
      <w:r>
        <w:rPr>
          <w:rFonts w:ascii="Times New Roman" w:hAnsi="Times New Roman"/>
          <w:noProof/>
          <w:sz w:val="24"/>
        </w:rPr>
        <w:t xml:space="preserve">mpningen av skjutvapendirektivet, som hänger samman med den senaste tidens allvarliga händelseutveckling. </w:t>
      </w:r>
    </w:p>
    <w:p w:rsidR="006C32AE" w:rsidRDefault="00F456ED">
      <w:pPr>
        <w:jc w:val="both"/>
        <w:rPr>
          <w:rFonts w:ascii="Times New Roman" w:hAnsi="Times New Roman"/>
          <w:noProof/>
          <w:sz w:val="24"/>
          <w:szCs w:val="24"/>
        </w:rPr>
      </w:pPr>
      <w:r>
        <w:rPr>
          <w:rFonts w:ascii="Times New Roman" w:hAnsi="Times New Roman"/>
          <w:noProof/>
          <w:sz w:val="24"/>
        </w:rPr>
        <w:lastRenderedPageBreak/>
        <w:t>(5) Syftet med denna rapport är att beskriva fynden från utvärderingen, komplettera dem med den hittills mottagna återkopplingen och lägga fram kommi</w:t>
      </w:r>
      <w:r>
        <w:rPr>
          <w:rFonts w:ascii="Times New Roman" w:hAnsi="Times New Roman"/>
          <w:noProof/>
          <w:sz w:val="24"/>
        </w:rPr>
        <w:t>ssionens kritiska bedömning av resultatet. Rapporten inleds med en kort sammanfattning av bakgrunden och de huvudsakliga bestämmelserna i skjutvapendirektivet. Den presenterar metodiken, resultaten från utvärderingen baserad på de fem utvärderingskriterier</w:t>
      </w:r>
      <w:r>
        <w:rPr>
          <w:rFonts w:ascii="Times New Roman" w:hAnsi="Times New Roman"/>
          <w:noProof/>
          <w:sz w:val="24"/>
        </w:rPr>
        <w:t xml:space="preserve"> (ändamålsenlighet, effektivitet, samstämmighet, relevans och europeiskt mervärde) och rekommendationerna från utvärderingen. I rapporten ingår även en kritisk utvärdering av fynden. I rapportens sista del redogörs för vilka initiativ kommissionen bör geno</w:t>
      </w:r>
      <w:r>
        <w:rPr>
          <w:rFonts w:ascii="Times New Roman" w:hAnsi="Times New Roman"/>
          <w:noProof/>
          <w:sz w:val="24"/>
        </w:rPr>
        <w:t>mföra för att åtgärda de punkter som utvärderingen lyft fram och som bekräftats genom medlemsstaternas återkoppling.</w:t>
      </w:r>
    </w:p>
    <w:p w:rsidR="006C32AE" w:rsidRDefault="00F456ED">
      <w:pPr>
        <w:pStyle w:val="Heading1"/>
        <w:rPr>
          <w:rFonts w:ascii="Times New Roman" w:hAnsi="Times New Roman"/>
          <w:noProof/>
          <w:sz w:val="24"/>
          <w:szCs w:val="24"/>
        </w:rPr>
      </w:pPr>
      <w:r>
        <w:rPr>
          <w:rFonts w:ascii="Times New Roman" w:hAnsi="Times New Roman"/>
          <w:noProof/>
          <w:sz w:val="24"/>
        </w:rPr>
        <w:t>2. Bakgrund</w:t>
      </w:r>
    </w:p>
    <w:p w:rsidR="006C32AE" w:rsidRDefault="00F456ED">
      <w:pPr>
        <w:jc w:val="both"/>
        <w:rPr>
          <w:rFonts w:ascii="Times New Roman" w:hAnsi="Times New Roman"/>
          <w:noProof/>
          <w:sz w:val="24"/>
          <w:szCs w:val="24"/>
        </w:rPr>
      </w:pPr>
      <w:r>
        <w:rPr>
          <w:rFonts w:ascii="Times New Roman" w:hAnsi="Times New Roman"/>
          <w:noProof/>
          <w:sz w:val="24"/>
        </w:rPr>
        <w:t xml:space="preserve">(6) Skjutvapendirektivet reglerar införskaffande, innehav och kommersiellt utbyte inom EU av civila skjutvapen (t.ex. </w:t>
      </w:r>
      <w:r>
        <w:rPr>
          <w:rFonts w:ascii="Times New Roman" w:hAnsi="Times New Roman"/>
          <w:noProof/>
          <w:sz w:val="24"/>
        </w:rPr>
        <w:t>skjutvapen som används för tävlingsskytte och jakt). Det anger gemensamma minimiregler som medlemsstaterna måste införliva i de nationella vapenlagarna och syftar till att uppnå balans mellan målen för den inre marknaden (dvs. det gränsöverskridande flödet</w:t>
      </w:r>
      <w:r>
        <w:rPr>
          <w:rFonts w:ascii="Times New Roman" w:hAnsi="Times New Roman"/>
          <w:noProof/>
          <w:sz w:val="24"/>
        </w:rPr>
        <w:t xml:space="preserve"> av skjutvapen) och de säkerhetspolitiska målen (dvs. god säkerhet och skydd mot kriminella handlingar och olaglig handel) inom EU.</w:t>
      </w:r>
    </w:p>
    <w:p w:rsidR="006C32AE" w:rsidRDefault="00F456ED">
      <w:pPr>
        <w:jc w:val="both"/>
        <w:rPr>
          <w:rFonts w:ascii="Times New Roman" w:hAnsi="Times New Roman"/>
          <w:noProof/>
          <w:sz w:val="24"/>
          <w:szCs w:val="24"/>
        </w:rPr>
      </w:pPr>
      <w:r>
        <w:rPr>
          <w:rFonts w:ascii="Times New Roman" w:hAnsi="Times New Roman"/>
          <w:noProof/>
          <w:sz w:val="24"/>
        </w:rPr>
        <w:t>(7) Direktiv 91/477/EEG utgjorde ursprungligen en kompletterande åtgärd för att färdigställa den inre marknaden. När kontrol</w:t>
      </w:r>
      <w:r>
        <w:rPr>
          <w:rFonts w:ascii="Times New Roman" w:hAnsi="Times New Roman"/>
          <w:noProof/>
          <w:sz w:val="24"/>
        </w:rPr>
        <w:t>ler av vapeninnehav avskaffades vid EU:s inre gränser blev det nödvändigt att anta verkningsfulla regler som gjorde det möjligt att utföra kontroller inom medlemsstaterna. Av den anledningen innehåller direktivet regler om införskaffande och innehav av skj</w:t>
      </w:r>
      <w:r>
        <w:rPr>
          <w:rFonts w:ascii="Times New Roman" w:hAnsi="Times New Roman"/>
          <w:noProof/>
          <w:sz w:val="24"/>
        </w:rPr>
        <w:t>utvapen, och om överföring av skjutvapen mellan medlemsstaterna. Direktivet ger medlemsstaterna möjlighet att anta strängare bestämmelser än de som föreskrivs i direktivet (artikel 3).</w:t>
      </w:r>
    </w:p>
    <w:p w:rsidR="006C32AE" w:rsidRDefault="00F456ED">
      <w:pPr>
        <w:jc w:val="both"/>
        <w:rPr>
          <w:rFonts w:ascii="Times New Roman" w:hAnsi="Times New Roman"/>
          <w:noProof/>
          <w:sz w:val="24"/>
          <w:szCs w:val="24"/>
        </w:rPr>
      </w:pPr>
      <w:r>
        <w:rPr>
          <w:rFonts w:ascii="Times New Roman" w:hAnsi="Times New Roman"/>
          <w:noProof/>
          <w:sz w:val="24"/>
        </w:rPr>
        <w:t>(8) Kommissionen lämnade in en första rapport till Europaparlamentet oc</w:t>
      </w:r>
      <w:r>
        <w:rPr>
          <w:rFonts w:ascii="Times New Roman" w:hAnsi="Times New Roman"/>
          <w:noProof/>
          <w:sz w:val="24"/>
        </w:rPr>
        <w:t>h rådet år 2000 med en utvärdering av medlemsstaternas tillämpning av direktiv 91/477/EEG</w:t>
      </w:r>
      <w:r>
        <w:rPr>
          <w:rStyle w:val="FootnoteReference"/>
          <w:rFonts w:ascii="Times New Roman" w:hAnsi="Times New Roman"/>
          <w:noProof/>
          <w:sz w:val="24"/>
        </w:rPr>
        <w:footnoteReference w:id="8"/>
      </w:r>
      <w:r>
        <w:rPr>
          <w:rFonts w:ascii="Times New Roman" w:hAnsi="Times New Roman"/>
          <w:noProof/>
          <w:sz w:val="24"/>
        </w:rPr>
        <w:t>. I rapporten angavs att medlemsstaterna och berörda parter hade bedömt att den lagstiftning som skapades genom direktivet totalt sett var tillräcklig. De största pro</w:t>
      </w:r>
      <w:r>
        <w:rPr>
          <w:rFonts w:ascii="Times New Roman" w:hAnsi="Times New Roman"/>
          <w:noProof/>
          <w:sz w:val="24"/>
        </w:rPr>
        <w:t>blemen i fråga om de nationella tillämpningarna av direktivet var följande: svårigheter med utbytet av uppgifter, de nationella lagstiftningarnas komplexitet och skillnader, administrativa arbetssätt och tillståndsförfaranden, skillnader i klassificeringen</w:t>
      </w:r>
      <w:r>
        <w:rPr>
          <w:rFonts w:ascii="Times New Roman" w:hAnsi="Times New Roman"/>
          <w:noProof/>
          <w:sz w:val="24"/>
        </w:rPr>
        <w:t xml:space="preserve"> av vapen för jakt och tävlingsskytte samt administrativa bördor som drabbar små och medelstora företag.  Detta visade att vissa bestämmelser behöver förtydligas (t.ex. definitioner av vissa typer av vapen, särskilt vapen som är obrukbara eller antika) för</w:t>
      </w:r>
      <w:r>
        <w:rPr>
          <w:rFonts w:ascii="Times New Roman" w:hAnsi="Times New Roman"/>
          <w:noProof/>
          <w:sz w:val="24"/>
        </w:rPr>
        <w:t xml:space="preserve"> att direktivet ska tillämpas på ett mer enhetligt sätt. </w:t>
      </w:r>
    </w:p>
    <w:p w:rsidR="006C32AE" w:rsidRDefault="00F456ED">
      <w:pPr>
        <w:jc w:val="both"/>
        <w:rPr>
          <w:rFonts w:ascii="Times New Roman" w:hAnsi="Times New Roman"/>
          <w:noProof/>
          <w:sz w:val="24"/>
          <w:szCs w:val="24"/>
        </w:rPr>
      </w:pPr>
      <w:r>
        <w:rPr>
          <w:rFonts w:ascii="Times New Roman" w:hAnsi="Times New Roman"/>
          <w:noProof/>
          <w:sz w:val="24"/>
        </w:rPr>
        <w:t>(9) Denna rapport lades fram samtidigt som kommissionen förhandlade å EU-ländernas vägnar om Förenta Nationernas protokoll om olaglig tillverkning av skjutvapen</w:t>
      </w:r>
      <w:r>
        <w:rPr>
          <w:rStyle w:val="FootnoteReference"/>
          <w:rFonts w:ascii="Times New Roman" w:hAnsi="Times New Roman"/>
          <w:noProof/>
          <w:sz w:val="24"/>
        </w:rPr>
        <w:footnoteReference w:id="9"/>
      </w:r>
      <w:r>
        <w:rPr>
          <w:rFonts w:ascii="Times New Roman" w:hAnsi="Times New Roman"/>
          <w:noProof/>
          <w:sz w:val="24"/>
        </w:rPr>
        <w:t xml:space="preserve"> (nedan kallat </w:t>
      </w:r>
      <w:r>
        <w:rPr>
          <w:rFonts w:ascii="Times New Roman" w:hAnsi="Times New Roman"/>
          <w:i/>
          <w:noProof/>
          <w:sz w:val="24"/>
        </w:rPr>
        <w:t>FN:s protokoll om skju</w:t>
      </w:r>
      <w:r>
        <w:rPr>
          <w:rFonts w:ascii="Times New Roman" w:hAnsi="Times New Roman"/>
          <w:i/>
          <w:noProof/>
          <w:sz w:val="24"/>
        </w:rPr>
        <w:t>tvapen</w:t>
      </w:r>
      <w:r>
        <w:rPr>
          <w:rFonts w:ascii="Times New Roman" w:hAnsi="Times New Roman"/>
          <w:noProof/>
          <w:sz w:val="24"/>
        </w:rPr>
        <w:t>) som hänger samman med Förenta nationernas konvention mot gränsöverskridande organiserad brottslighet. Protokollet skulle ange nya regler särskilt i fråga om att spåra skjutvapen (dvs. märkning och registrering) och göra skjutvapen obrukbara. I rapp</w:t>
      </w:r>
      <w:r>
        <w:rPr>
          <w:rFonts w:ascii="Times New Roman" w:hAnsi="Times New Roman"/>
          <w:noProof/>
          <w:sz w:val="24"/>
        </w:rPr>
        <w:t>orten drogs slutsatsen att kommissionen, med hänsyn till förhandlingarna om FN:s protokoll om skjutvapen och till återkopplingen på direktivet från de berörda parterna, skulle lägga fram lämpliga ändringsförslag.</w:t>
      </w:r>
    </w:p>
    <w:p w:rsidR="006C32AE" w:rsidRDefault="00F456ED">
      <w:pPr>
        <w:jc w:val="both"/>
        <w:rPr>
          <w:rFonts w:ascii="Times New Roman" w:hAnsi="Times New Roman"/>
          <w:noProof/>
          <w:sz w:val="24"/>
          <w:szCs w:val="24"/>
        </w:rPr>
      </w:pPr>
      <w:r>
        <w:rPr>
          <w:rFonts w:ascii="Times New Roman" w:hAnsi="Times New Roman"/>
          <w:noProof/>
          <w:sz w:val="24"/>
        </w:rPr>
        <w:t>(10) Efter att FN:s protokoll om skjutvapen</w:t>
      </w:r>
      <w:r>
        <w:rPr>
          <w:rFonts w:ascii="Times New Roman" w:hAnsi="Times New Roman"/>
          <w:noProof/>
          <w:sz w:val="24"/>
        </w:rPr>
        <w:t xml:space="preserve"> trädde i kraft 2005</w:t>
      </w:r>
      <w:r>
        <w:rPr>
          <w:rStyle w:val="FootnoteReference"/>
          <w:rFonts w:ascii="Times New Roman" w:hAnsi="Times New Roman"/>
          <w:noProof/>
          <w:sz w:val="24"/>
        </w:rPr>
        <w:footnoteReference w:id="10"/>
      </w:r>
      <w:r>
        <w:rPr>
          <w:rFonts w:ascii="Times New Roman" w:hAnsi="Times New Roman"/>
          <w:noProof/>
          <w:sz w:val="24"/>
        </w:rPr>
        <w:t xml:space="preserve"> ändrades direktiv 91/477/EG genom direktiv 2008/51/EG för att stärka säkerhetsaspekterna och delvis anpassa direktivet till FN:s protokoll om skjutvapen. Skjutvapendirektivet ingår i ett antal initiativ som tagits på både internatione</w:t>
      </w:r>
      <w:r>
        <w:rPr>
          <w:rFonts w:ascii="Times New Roman" w:hAnsi="Times New Roman"/>
          <w:noProof/>
          <w:sz w:val="24"/>
        </w:rPr>
        <w:t>ll nivå och EU-nivå för tillämpningen av FN:s protokoll om skjutvapen. De relevanta bestämmelserna har införlivats i den europeiska lagstiftningen genom förordning nr 258/2012</w:t>
      </w:r>
      <w:r>
        <w:rPr>
          <w:rStyle w:val="FootnoteReference"/>
          <w:rFonts w:ascii="Times New Roman" w:hAnsi="Times New Roman"/>
          <w:noProof/>
          <w:sz w:val="24"/>
        </w:rPr>
        <w:footnoteReference w:id="11"/>
      </w:r>
      <w:r>
        <w:rPr>
          <w:rFonts w:ascii="Times New Roman" w:hAnsi="Times New Roman"/>
          <w:noProof/>
          <w:sz w:val="24"/>
        </w:rPr>
        <w:t>, i vilken det ingår regler för tillåten export, import och transit av icke-mili</w:t>
      </w:r>
      <w:r>
        <w:rPr>
          <w:rFonts w:ascii="Times New Roman" w:hAnsi="Times New Roman"/>
          <w:noProof/>
          <w:sz w:val="24"/>
        </w:rPr>
        <w:t>tära skjutvapen som kommer från eller är på väg till tredjeländer</w:t>
      </w:r>
      <w:r>
        <w:rPr>
          <w:rStyle w:val="FootnoteReference"/>
          <w:rFonts w:ascii="Times New Roman" w:hAnsi="Times New Roman"/>
          <w:noProof/>
          <w:sz w:val="24"/>
        </w:rPr>
        <w:footnoteReference w:id="12"/>
      </w:r>
      <w:r>
        <w:rPr>
          <w:rFonts w:ascii="Times New Roman" w:hAnsi="Times New Roman"/>
          <w:noProof/>
          <w:sz w:val="24"/>
        </w:rPr>
        <w:t xml:space="preserve">. </w:t>
      </w:r>
    </w:p>
    <w:p w:rsidR="006C32AE" w:rsidRDefault="00F456ED">
      <w:pPr>
        <w:jc w:val="both"/>
        <w:rPr>
          <w:rFonts w:ascii="Times New Roman" w:hAnsi="Times New Roman"/>
          <w:noProof/>
          <w:sz w:val="24"/>
          <w:szCs w:val="24"/>
        </w:rPr>
      </w:pPr>
      <w:r>
        <w:rPr>
          <w:rFonts w:ascii="Times New Roman" w:hAnsi="Times New Roman"/>
          <w:noProof/>
          <w:sz w:val="24"/>
        </w:rPr>
        <w:t xml:space="preserve">(11) De principer som styr EU-kommissionens arbete för att kontrollera och minska de risker som hänger samman med civila skjutvapen finns i den övergripande strategin </w:t>
      </w:r>
      <w:r>
        <w:rPr>
          <w:rFonts w:ascii="Times New Roman" w:hAnsi="Times New Roman"/>
          <w:i/>
          <w:noProof/>
          <w:sz w:val="24"/>
        </w:rPr>
        <w:t xml:space="preserve">Skjutvapen och EU:s </w:t>
      </w:r>
      <w:r>
        <w:rPr>
          <w:rFonts w:ascii="Times New Roman" w:hAnsi="Times New Roman"/>
          <w:i/>
          <w:noProof/>
          <w:sz w:val="24"/>
        </w:rPr>
        <w:t>inre säkerhet: skydda medborgarna och försvåra olaglig handel</w:t>
      </w:r>
      <w:r>
        <w:rPr>
          <w:rFonts w:ascii="Times New Roman" w:hAnsi="Times New Roman"/>
          <w:noProof/>
          <w:sz w:val="24"/>
          <w:vertAlign w:val="superscript"/>
        </w:rPr>
        <w:footnoteReference w:id="13"/>
      </w:r>
      <w:r>
        <w:rPr>
          <w:rFonts w:ascii="Times New Roman" w:hAnsi="Times New Roman"/>
          <w:noProof/>
          <w:sz w:val="24"/>
        </w:rPr>
        <w:t>, som lades fram i oktober 2013. I meddelandet föreslogs åtgärder för att öka säkerhetsnivån för EU-medborgarna i fråga om skjutvapen och för att värna om den lagliga marknaden för skjutvapen. D</w:t>
      </w:r>
      <w:r>
        <w:rPr>
          <w:rFonts w:ascii="Times New Roman" w:hAnsi="Times New Roman"/>
          <w:noProof/>
          <w:sz w:val="24"/>
        </w:rPr>
        <w:t xml:space="preserve">essutom ingår kommande initiativ om skjutvapen i det nyligen framlagda meddelandet från kommissionen, </w:t>
      </w:r>
      <w:r>
        <w:rPr>
          <w:rFonts w:ascii="Times New Roman" w:hAnsi="Times New Roman"/>
          <w:i/>
          <w:noProof/>
          <w:sz w:val="24"/>
        </w:rPr>
        <w:t>Den europeiska säkerhetsagendan</w:t>
      </w:r>
      <w:r>
        <w:rPr>
          <w:rFonts w:ascii="Times New Roman" w:hAnsi="Times New Roman"/>
          <w:noProof/>
          <w:sz w:val="24"/>
          <w:vertAlign w:val="superscript"/>
        </w:rPr>
        <w:footnoteReference w:id="14"/>
      </w:r>
      <w:r>
        <w:rPr>
          <w:rFonts w:ascii="Times New Roman" w:hAnsi="Times New Roman"/>
          <w:noProof/>
          <w:sz w:val="24"/>
        </w:rPr>
        <w:t>. Där understryks behovet att prioritera en gemensam strategi för avaktivering av skjutvapen, förhindrande av återaktiveri</w:t>
      </w:r>
      <w:r>
        <w:rPr>
          <w:rFonts w:ascii="Times New Roman" w:hAnsi="Times New Roman"/>
          <w:noProof/>
          <w:sz w:val="24"/>
        </w:rPr>
        <w:t>ng och användning i kriminella syften. I meddelandet efterlyses även en utvärdering av den befintliga lagstiftningen om skjutvapen 2016 för att göra informationsutbytet effektivare (t.ex. genom att lägga till information om beslagtagna skjutvapen i Europol</w:t>
      </w:r>
      <w:r>
        <w:rPr>
          <w:rFonts w:ascii="Times New Roman" w:hAnsi="Times New Roman"/>
          <w:noProof/>
          <w:sz w:val="24"/>
        </w:rPr>
        <w:t>s informationssystem), öka spårbarheten, standardisera märkningar och etablera gemensamma normer för neutralisering av skjutvapen. Efter de tragiska händelserna i Paris den 13 november 2015 har kommissionen beslutat att skynda på utvärderingen av skjutvape</w:t>
      </w:r>
      <w:r>
        <w:rPr>
          <w:rFonts w:ascii="Times New Roman" w:hAnsi="Times New Roman"/>
          <w:noProof/>
          <w:sz w:val="24"/>
        </w:rPr>
        <w:t>ndirektivet, som ska antas tillsammans med denna rapport. Denna rapport ger ett underlag som stödjer åtgärderna.</w:t>
      </w:r>
    </w:p>
    <w:p w:rsidR="006C32AE" w:rsidRDefault="00F456ED">
      <w:pPr>
        <w:pStyle w:val="Heading1"/>
        <w:rPr>
          <w:rFonts w:ascii="Times New Roman" w:hAnsi="Times New Roman"/>
          <w:noProof/>
          <w:sz w:val="24"/>
        </w:rPr>
      </w:pPr>
      <w:r>
        <w:rPr>
          <w:noProof/>
        </w:rPr>
        <w:br w:type="page"/>
      </w:r>
      <w:r>
        <w:rPr>
          <w:rFonts w:ascii="Times New Roman" w:hAnsi="Times New Roman"/>
          <w:noProof/>
          <w:sz w:val="24"/>
        </w:rPr>
        <w:t>3. De viktigaste bestämmelserna i skjutvapendirektivet</w:t>
      </w:r>
    </w:p>
    <w:p w:rsidR="006C32AE" w:rsidRDefault="00F456ED">
      <w:pPr>
        <w:jc w:val="both"/>
        <w:rPr>
          <w:rFonts w:ascii="Times New Roman" w:hAnsi="Times New Roman"/>
          <w:noProof/>
          <w:sz w:val="24"/>
          <w:szCs w:val="24"/>
        </w:rPr>
      </w:pPr>
      <w:r>
        <w:rPr>
          <w:rFonts w:ascii="Times New Roman" w:hAnsi="Times New Roman"/>
          <w:noProof/>
          <w:sz w:val="24"/>
        </w:rPr>
        <w:t>(12) Skjutvapendirektivets två huvudsyften är en välfungerande inre marknad och säkrand</w:t>
      </w:r>
      <w:r>
        <w:rPr>
          <w:rFonts w:ascii="Times New Roman" w:hAnsi="Times New Roman"/>
          <w:noProof/>
          <w:sz w:val="24"/>
        </w:rPr>
        <w:t>et av en hög säkerhetsnivå i EU. I direktivet anges minimikrav</w:t>
      </w:r>
      <w:r>
        <w:rPr>
          <w:rStyle w:val="FootnoteReference"/>
          <w:rFonts w:ascii="Times New Roman" w:hAnsi="Times New Roman"/>
          <w:noProof/>
          <w:sz w:val="24"/>
        </w:rPr>
        <w:footnoteReference w:id="15"/>
      </w:r>
      <w:r>
        <w:rPr>
          <w:rFonts w:ascii="Times New Roman" w:hAnsi="Times New Roman"/>
          <w:noProof/>
          <w:sz w:val="24"/>
        </w:rPr>
        <w:t xml:space="preserve"> på två områden, nämligen införskaffande och innehav av skjutvapen för civilt bruk inom EU, samt harmoniserade administrativa åtgärder för överföring av skjutvapen inom EU.</w:t>
      </w:r>
    </w:p>
    <w:p w:rsidR="006C32AE" w:rsidRDefault="00F456ED">
      <w:pPr>
        <w:jc w:val="both"/>
        <w:rPr>
          <w:rFonts w:ascii="Times New Roman" w:hAnsi="Times New Roman"/>
          <w:noProof/>
          <w:sz w:val="24"/>
          <w:szCs w:val="24"/>
        </w:rPr>
      </w:pPr>
      <w:r>
        <w:rPr>
          <w:rFonts w:ascii="Times New Roman" w:hAnsi="Times New Roman"/>
          <w:noProof/>
          <w:sz w:val="24"/>
        </w:rPr>
        <w:t>(13) Direktivets omf</w:t>
      </w:r>
      <w:r>
        <w:rPr>
          <w:rFonts w:ascii="Times New Roman" w:hAnsi="Times New Roman"/>
          <w:noProof/>
          <w:sz w:val="24"/>
        </w:rPr>
        <w:t>attning beskrivs i direktivets bilaga I, där de olika kategorierna av skjutvapen, som motsvarar olika tillämpningsområden, beskrivs enligt följande:</w:t>
      </w:r>
    </w:p>
    <w:p w:rsidR="006C32AE" w:rsidRDefault="00F456ED">
      <w:pPr>
        <w:pStyle w:val="Body"/>
        <w:numPr>
          <w:ilvl w:val="0"/>
          <w:numId w:val="1"/>
        </w:numPr>
        <w:rPr>
          <w:rFonts w:ascii="Times New Roman" w:hAnsi="Times New Roman"/>
          <w:noProof/>
          <w:sz w:val="24"/>
          <w:szCs w:val="24"/>
        </w:rPr>
      </w:pPr>
      <w:r>
        <w:rPr>
          <w:rFonts w:ascii="Times New Roman" w:hAnsi="Times New Roman"/>
          <w:noProof/>
          <w:sz w:val="24"/>
        </w:rPr>
        <w:t xml:space="preserve">”Kategori A: Förbjudna skjutvapen – helautomatiska skjutvapen och militära vapen” </w:t>
      </w:r>
    </w:p>
    <w:p w:rsidR="006C32AE" w:rsidRDefault="00F456ED">
      <w:pPr>
        <w:pStyle w:val="Body"/>
        <w:numPr>
          <w:ilvl w:val="0"/>
          <w:numId w:val="1"/>
        </w:numPr>
        <w:rPr>
          <w:rFonts w:ascii="Times New Roman" w:hAnsi="Times New Roman"/>
          <w:noProof/>
          <w:sz w:val="24"/>
          <w:szCs w:val="24"/>
        </w:rPr>
      </w:pPr>
      <w:r>
        <w:rPr>
          <w:rFonts w:ascii="Times New Roman" w:hAnsi="Times New Roman"/>
          <w:noProof/>
          <w:sz w:val="24"/>
        </w:rPr>
        <w:t xml:space="preserve">”Kategori B: Skjutvapen </w:t>
      </w:r>
      <w:r>
        <w:rPr>
          <w:rFonts w:ascii="Times New Roman" w:hAnsi="Times New Roman"/>
          <w:noProof/>
          <w:sz w:val="24"/>
        </w:rPr>
        <w:t xml:space="preserve">för vilka det krävs tillstånd – mestadels använda av tävlingsskyttar och jägare” </w:t>
      </w:r>
    </w:p>
    <w:p w:rsidR="006C32AE" w:rsidRDefault="00F456ED">
      <w:pPr>
        <w:pStyle w:val="Body"/>
        <w:numPr>
          <w:ilvl w:val="0"/>
          <w:numId w:val="1"/>
        </w:numPr>
        <w:rPr>
          <w:rFonts w:ascii="Times New Roman" w:hAnsi="Times New Roman"/>
          <w:noProof/>
          <w:sz w:val="24"/>
          <w:szCs w:val="24"/>
        </w:rPr>
      </w:pPr>
      <w:r>
        <w:rPr>
          <w:rFonts w:ascii="Times New Roman" w:hAnsi="Times New Roman"/>
          <w:noProof/>
          <w:sz w:val="24"/>
        </w:rPr>
        <w:t>”Kategori C: Skjutvapen som ska anmälas – mestadels använda av jägare”</w:t>
      </w:r>
    </w:p>
    <w:p w:rsidR="006C32AE" w:rsidRDefault="00F456ED">
      <w:pPr>
        <w:pStyle w:val="Body"/>
        <w:numPr>
          <w:ilvl w:val="0"/>
          <w:numId w:val="1"/>
        </w:numPr>
        <w:rPr>
          <w:rFonts w:ascii="Times New Roman" w:hAnsi="Times New Roman"/>
          <w:noProof/>
          <w:sz w:val="24"/>
          <w:szCs w:val="24"/>
        </w:rPr>
      </w:pPr>
      <w:r>
        <w:rPr>
          <w:rFonts w:ascii="Times New Roman" w:hAnsi="Times New Roman"/>
          <w:noProof/>
          <w:sz w:val="24"/>
        </w:rPr>
        <w:t>”Kategori D: Andra skjutvapen – främst enkelskotts långa skjutvapen med slätborrade lopp”</w:t>
      </w:r>
    </w:p>
    <w:p w:rsidR="006C32AE" w:rsidRDefault="006C32AE">
      <w:pPr>
        <w:pStyle w:val="Body"/>
        <w:ind w:left="720"/>
        <w:rPr>
          <w:rFonts w:ascii="Times New Roman" w:hAnsi="Times New Roman"/>
          <w:noProof/>
          <w:sz w:val="24"/>
          <w:szCs w:val="24"/>
        </w:rPr>
      </w:pPr>
    </w:p>
    <w:p w:rsidR="006C32AE" w:rsidRDefault="00F456ED">
      <w:pPr>
        <w:pStyle w:val="Body"/>
        <w:rPr>
          <w:rFonts w:ascii="Times New Roman" w:hAnsi="Times New Roman"/>
          <w:noProof/>
          <w:sz w:val="24"/>
          <w:szCs w:val="24"/>
        </w:rPr>
      </w:pPr>
      <w:r>
        <w:rPr>
          <w:rFonts w:ascii="Times New Roman" w:hAnsi="Times New Roman"/>
          <w:noProof/>
          <w:sz w:val="24"/>
        </w:rPr>
        <w:t>(14) De vikt</w:t>
      </w:r>
      <w:r>
        <w:rPr>
          <w:rFonts w:ascii="Times New Roman" w:hAnsi="Times New Roman"/>
          <w:noProof/>
          <w:sz w:val="24"/>
        </w:rPr>
        <w:t>igaste bestämmelserna i skjutvapendirektivet avser följande:</w:t>
      </w:r>
    </w:p>
    <w:p w:rsidR="006C32AE" w:rsidRDefault="00F456ED">
      <w:pPr>
        <w:numPr>
          <w:ilvl w:val="0"/>
          <w:numId w:val="2"/>
        </w:numPr>
        <w:jc w:val="both"/>
        <w:rPr>
          <w:rFonts w:ascii="Times New Roman" w:hAnsi="Times New Roman"/>
          <w:noProof/>
          <w:sz w:val="24"/>
          <w:szCs w:val="24"/>
        </w:rPr>
      </w:pPr>
      <w:r>
        <w:rPr>
          <w:rFonts w:ascii="Times New Roman" w:hAnsi="Times New Roman"/>
          <w:b/>
          <w:noProof/>
          <w:sz w:val="24"/>
        </w:rPr>
        <w:t>Märkning och spårbarhet (artikel 4):</w:t>
      </w:r>
      <w:r>
        <w:rPr>
          <w:rFonts w:ascii="Times New Roman" w:hAnsi="Times New Roman"/>
          <w:noProof/>
          <w:sz w:val="24"/>
        </w:rPr>
        <w:t xml:space="preserve"> Medlemsstaterna ska säkerställa att alla skjutvapen eller delar till skjutvapen som släpps ut på marknaden har märkts och registrerats. I detta syfte ska medl</w:t>
      </w:r>
      <w:r>
        <w:rPr>
          <w:rFonts w:ascii="Times New Roman" w:hAnsi="Times New Roman"/>
          <w:noProof/>
          <w:sz w:val="24"/>
        </w:rPr>
        <w:t>emsstaterna kräva antingen en unik märkning eller upprätthålla alternativa märkningar bestående av en numerisk eller alfanumerisk kod som gör det möjligt att identifiera tillverkningslandet. Märkningen ska sättas på en väsentlig del av skjutvapnet som om d</w:t>
      </w:r>
      <w:r>
        <w:rPr>
          <w:rFonts w:ascii="Times New Roman" w:hAnsi="Times New Roman"/>
          <w:noProof/>
          <w:sz w:val="24"/>
        </w:rPr>
        <w:t>en förstördes skulle göra skjutvapnet obrukbart. Det ändrade direktivet inkluderar även bestämmelser om nationella datoriserade register för att göra det enklare att spåra skjutvapen. Dessa register ska innehålla viktig information om alla skjutvapen som ä</w:t>
      </w:r>
      <w:r>
        <w:rPr>
          <w:rFonts w:ascii="Times New Roman" w:hAnsi="Times New Roman"/>
          <w:noProof/>
          <w:sz w:val="24"/>
        </w:rPr>
        <w:t>r i omlopp i medlemsstaterna, och måste ha tagits i bruk av alla medlemsstater senast den 31 december 2014.</w:t>
      </w:r>
    </w:p>
    <w:p w:rsidR="006C32AE" w:rsidRDefault="00F456ED">
      <w:pPr>
        <w:numPr>
          <w:ilvl w:val="0"/>
          <w:numId w:val="2"/>
        </w:numPr>
        <w:spacing w:after="0"/>
        <w:ind w:left="714" w:hanging="357"/>
        <w:jc w:val="both"/>
        <w:rPr>
          <w:rFonts w:ascii="Times New Roman" w:hAnsi="Times New Roman"/>
          <w:noProof/>
          <w:sz w:val="24"/>
          <w:szCs w:val="24"/>
        </w:rPr>
      </w:pPr>
      <w:r>
        <w:rPr>
          <w:rFonts w:ascii="Times New Roman" w:hAnsi="Times New Roman"/>
          <w:b/>
          <w:noProof/>
          <w:sz w:val="24"/>
        </w:rPr>
        <w:t>Krav för förvärv och innehav av skjutvapen (artikel 5):</w:t>
      </w:r>
      <w:r>
        <w:rPr>
          <w:rFonts w:ascii="Times New Roman" w:hAnsi="Times New Roman"/>
          <w:noProof/>
          <w:sz w:val="24"/>
        </w:rPr>
        <w:t xml:space="preserve"> Medlemsstaterna ska tillåta förvärv och innehav av skjutvapen endast för personer som har giltiga skäl, och som </w:t>
      </w:r>
    </w:p>
    <w:p w:rsidR="006C32AE" w:rsidRDefault="00F456ED">
      <w:pPr>
        <w:numPr>
          <w:ilvl w:val="1"/>
          <w:numId w:val="2"/>
        </w:numPr>
        <w:spacing w:after="0"/>
        <w:ind w:left="1434" w:hanging="357"/>
        <w:jc w:val="both"/>
        <w:rPr>
          <w:rFonts w:ascii="Times New Roman" w:hAnsi="Times New Roman"/>
          <w:noProof/>
          <w:sz w:val="24"/>
          <w:szCs w:val="24"/>
        </w:rPr>
      </w:pPr>
      <w:r>
        <w:rPr>
          <w:rFonts w:ascii="Times New Roman" w:hAnsi="Times New Roman"/>
          <w:noProof/>
          <w:sz w:val="24"/>
        </w:rPr>
        <w:t xml:space="preserve">har fyllt 18 år; undantag ska dock göras för förvärv (förutom köp) och innehav av skjutvapen avsedda för jakt eller tävlingsskytte, förutsatt </w:t>
      </w:r>
      <w:r>
        <w:rPr>
          <w:rFonts w:ascii="Times New Roman" w:hAnsi="Times New Roman"/>
          <w:noProof/>
          <w:sz w:val="24"/>
        </w:rPr>
        <w:t xml:space="preserve">att personer under 18 år i detta fall har föräldrarnas tillstånd eller får vägledning från en förälder eller en vuxen med en giltig skjutvapenlicens eller jaktlicens eller befinner sig på ett licensierat eller på annat sätt godkänt träningscenter, och </w:t>
      </w:r>
    </w:p>
    <w:p w:rsidR="006C32AE" w:rsidRDefault="00F456ED">
      <w:pPr>
        <w:numPr>
          <w:ilvl w:val="1"/>
          <w:numId w:val="2"/>
        </w:numPr>
        <w:jc w:val="both"/>
        <w:rPr>
          <w:rFonts w:ascii="Times New Roman" w:hAnsi="Times New Roman"/>
          <w:noProof/>
          <w:sz w:val="24"/>
          <w:szCs w:val="24"/>
        </w:rPr>
      </w:pPr>
      <w:r>
        <w:rPr>
          <w:rFonts w:ascii="Times New Roman" w:hAnsi="Times New Roman"/>
          <w:noProof/>
          <w:sz w:val="24"/>
        </w:rPr>
        <w:t>int</w:t>
      </w:r>
      <w:r>
        <w:rPr>
          <w:rFonts w:ascii="Times New Roman" w:hAnsi="Times New Roman"/>
          <w:noProof/>
          <w:sz w:val="24"/>
        </w:rPr>
        <w:t>e kan antas utgöra en fara för sig själva eller för allmän ordning och säkerhet; om en person har befunnits skyldig till ett uppsåtligt våldsbrott, ska detta anses tala för att sådan fara föreligger.</w:t>
      </w:r>
    </w:p>
    <w:p w:rsidR="006C32AE" w:rsidRDefault="00F456ED">
      <w:pPr>
        <w:numPr>
          <w:ilvl w:val="0"/>
          <w:numId w:val="2"/>
        </w:numPr>
        <w:jc w:val="both"/>
        <w:rPr>
          <w:rFonts w:ascii="Times New Roman" w:hAnsi="Times New Roman"/>
          <w:noProof/>
          <w:sz w:val="24"/>
          <w:szCs w:val="24"/>
        </w:rPr>
      </w:pPr>
      <w:r>
        <w:rPr>
          <w:rFonts w:ascii="Times New Roman" w:hAnsi="Times New Roman"/>
          <w:b/>
          <w:noProof/>
          <w:sz w:val="24"/>
        </w:rPr>
        <w:t xml:space="preserve">Europeiska skjutvapenpasset (artikel 12): </w:t>
      </w:r>
      <w:r>
        <w:rPr>
          <w:rFonts w:ascii="Times New Roman" w:hAnsi="Times New Roman"/>
          <w:noProof/>
          <w:sz w:val="24"/>
        </w:rPr>
        <w:t>Direktivet har</w:t>
      </w:r>
      <w:r>
        <w:rPr>
          <w:rFonts w:ascii="Times New Roman" w:hAnsi="Times New Roman"/>
          <w:noProof/>
          <w:sz w:val="24"/>
        </w:rPr>
        <w:t xml:space="preserve"> skapat mer flexibla regler för vapen som används för jakt och tävlingsskytte, för att inte hindra dem från att transporteras inom medlemsstaterna. I och med införandet av det europeiska skjutvapenpasset kan jägare med vapen i kategori C och D och tävlings</w:t>
      </w:r>
      <w:r>
        <w:rPr>
          <w:rFonts w:ascii="Times New Roman" w:hAnsi="Times New Roman"/>
          <w:noProof/>
          <w:sz w:val="24"/>
        </w:rPr>
        <w:t>skyttar med vapen i kategori B, C och D resa till en annan medlemsstat utan att först söka tillstånd från den medlemsstat som man reser till. Det europeiska skjutvapenpasset bör betraktas som det viktigaste dokumentet för jägare och tävlingsskyttar, och me</w:t>
      </w:r>
      <w:r>
        <w:rPr>
          <w:rFonts w:ascii="Times New Roman" w:hAnsi="Times New Roman"/>
          <w:noProof/>
          <w:sz w:val="24"/>
        </w:rPr>
        <w:t>dlemsstaterna får inte kräva att en avgift eller kostnad betalas för att skjutvapenpasset ska kunna godtas.</w:t>
      </w:r>
    </w:p>
    <w:p w:rsidR="006C32AE" w:rsidRDefault="00F456ED">
      <w:pPr>
        <w:numPr>
          <w:ilvl w:val="0"/>
          <w:numId w:val="2"/>
        </w:numPr>
        <w:jc w:val="both"/>
        <w:rPr>
          <w:rFonts w:ascii="Times New Roman" w:hAnsi="Times New Roman"/>
          <w:noProof/>
          <w:sz w:val="24"/>
          <w:szCs w:val="24"/>
        </w:rPr>
      </w:pPr>
      <w:r>
        <w:rPr>
          <w:rFonts w:ascii="Times New Roman" w:hAnsi="Times New Roman"/>
          <w:b/>
          <w:noProof/>
          <w:sz w:val="24"/>
        </w:rPr>
        <w:t>Obrukbara skjutvapen (bilaga I, avsnitt III):</w:t>
      </w:r>
      <w:r>
        <w:rPr>
          <w:noProof/>
        </w:rPr>
        <w:t xml:space="preserve"> </w:t>
      </w:r>
      <w:r>
        <w:rPr>
          <w:rFonts w:ascii="Times New Roman" w:hAnsi="Times New Roman"/>
          <w:noProof/>
          <w:sz w:val="24"/>
        </w:rPr>
        <w:t>Skjutvapendirektivet fastställer minimibegränsningar och inkluderar medlemsstaternas skyldighet att sä</w:t>
      </w:r>
      <w:r>
        <w:rPr>
          <w:rFonts w:ascii="Times New Roman" w:hAnsi="Times New Roman"/>
          <w:noProof/>
          <w:sz w:val="24"/>
        </w:rPr>
        <w:t>kerställa att en behörig myndighet kontrollerar åtgärder för att göra skjutvapen obrukbara. Denna myndighet ska säkerställa att de nationella förfarandena för att göra skjutvapen obrukbara gör vapnen permanent obrukbara. Enligt begäran från medlagstiftarna</w:t>
      </w:r>
      <w:r>
        <w:rPr>
          <w:rFonts w:ascii="Times New Roman" w:hAnsi="Times New Roman"/>
          <w:noProof/>
          <w:sz w:val="24"/>
        </w:rPr>
        <w:t xml:space="preserve"> vid tiden för ändringen, står det i del III punkt a i bilaga I att kommissionen ska utfärda gemensamma normer om standarder och tekniker för att göra skjutvapen obrukbara, för att säkerställa att de skjutvapen som gjorts obrukbara aldrig kan användas på n</w:t>
      </w:r>
      <w:r>
        <w:rPr>
          <w:rFonts w:ascii="Times New Roman" w:hAnsi="Times New Roman"/>
          <w:noProof/>
          <w:sz w:val="24"/>
        </w:rPr>
        <w:t>ytt. Tills de gemensamma riktlinjerna om att göra skjutvapen obrukbara har antagits står det medlemsstaterna fritt att tillämpa de mest passande förfarandena i detta hänseende.</w:t>
      </w:r>
    </w:p>
    <w:p w:rsidR="006C32AE" w:rsidRDefault="00F456ED">
      <w:pPr>
        <w:jc w:val="both"/>
        <w:rPr>
          <w:rFonts w:ascii="Times New Roman" w:hAnsi="Times New Roman"/>
          <w:noProof/>
          <w:sz w:val="24"/>
          <w:szCs w:val="24"/>
        </w:rPr>
      </w:pPr>
      <w:r>
        <w:rPr>
          <w:rFonts w:ascii="Times New Roman" w:hAnsi="Times New Roman"/>
          <w:noProof/>
          <w:sz w:val="24"/>
        </w:rPr>
        <w:t>(15) I artikel 17 i skjutvapendirektivet anges att kommissionen ska överlämna e</w:t>
      </w:r>
      <w:r>
        <w:rPr>
          <w:rFonts w:ascii="Times New Roman" w:hAnsi="Times New Roman"/>
          <w:noProof/>
          <w:sz w:val="24"/>
        </w:rPr>
        <w:t>n rapport senast den 28 juli 2015 om den situation som tillämpningen av direktivet har resulterat i. I enlighet med bestämmelsen i direktivet inledde kommissionen 2014 en tolv månader lång utvärdering för att se hur skjutvapendirektivet och efterföljande ä</w:t>
      </w:r>
      <w:r>
        <w:rPr>
          <w:rFonts w:ascii="Times New Roman" w:hAnsi="Times New Roman"/>
          <w:noProof/>
          <w:sz w:val="24"/>
        </w:rPr>
        <w:t xml:space="preserve">ndringar har tillämpats och hur pass väl denna lagstiftning har uppnått de två övergripande syftena – säkerställa att den inre marknaden fungerar som den ska och uppnå en hög säkerhetsnivå inom EU. </w:t>
      </w:r>
    </w:p>
    <w:p w:rsidR="006C32AE" w:rsidRDefault="00F456ED">
      <w:pPr>
        <w:pStyle w:val="Heading1"/>
        <w:rPr>
          <w:rFonts w:ascii="Times New Roman" w:hAnsi="Times New Roman"/>
          <w:noProof/>
          <w:sz w:val="24"/>
          <w:szCs w:val="24"/>
        </w:rPr>
      </w:pPr>
      <w:r>
        <w:rPr>
          <w:rFonts w:ascii="Times New Roman" w:hAnsi="Times New Roman"/>
          <w:noProof/>
          <w:sz w:val="24"/>
        </w:rPr>
        <w:t>4. Utvärderingsmetod</w:t>
      </w:r>
    </w:p>
    <w:p w:rsidR="006C32AE" w:rsidRDefault="00F456ED">
      <w:pPr>
        <w:jc w:val="both"/>
        <w:rPr>
          <w:rFonts w:ascii="Times New Roman" w:hAnsi="Times New Roman"/>
          <w:noProof/>
          <w:sz w:val="24"/>
          <w:szCs w:val="24"/>
        </w:rPr>
      </w:pPr>
      <w:r>
        <w:rPr>
          <w:rFonts w:ascii="Times New Roman" w:hAnsi="Times New Roman"/>
          <w:noProof/>
          <w:sz w:val="24"/>
        </w:rPr>
        <w:t xml:space="preserve">(16) Den årslånga utvärderingen har </w:t>
      </w:r>
      <w:r>
        <w:rPr>
          <w:rFonts w:ascii="Times New Roman" w:hAnsi="Times New Roman"/>
          <w:noProof/>
          <w:sz w:val="24"/>
        </w:rPr>
        <w:t>gjorts med målet att analysera hur målen i direktivet har uppfyllts (en väl fungerande inre marknad och en hög säkerhetsnivå) genom fem utvärderingskriterier:</w:t>
      </w:r>
    </w:p>
    <w:p w:rsidR="006C32AE" w:rsidRDefault="00F456ED">
      <w:pPr>
        <w:numPr>
          <w:ilvl w:val="0"/>
          <w:numId w:val="3"/>
        </w:numPr>
        <w:rPr>
          <w:rFonts w:ascii="Times New Roman" w:hAnsi="Times New Roman"/>
          <w:noProof/>
          <w:sz w:val="24"/>
          <w:szCs w:val="24"/>
        </w:rPr>
      </w:pPr>
      <w:r>
        <w:rPr>
          <w:rFonts w:ascii="Times New Roman" w:hAnsi="Times New Roman"/>
          <w:noProof/>
          <w:sz w:val="24"/>
        </w:rPr>
        <w:t>Ändamålsenlighet – på vilket sätt har bestämmelserna bidragit till att uppnå direktivets syften?</w:t>
      </w:r>
    </w:p>
    <w:p w:rsidR="006C32AE" w:rsidRDefault="00F456ED">
      <w:pPr>
        <w:numPr>
          <w:ilvl w:val="0"/>
          <w:numId w:val="3"/>
        </w:numPr>
        <w:rPr>
          <w:rFonts w:ascii="Times New Roman" w:hAnsi="Times New Roman"/>
          <w:noProof/>
          <w:sz w:val="24"/>
          <w:szCs w:val="24"/>
        </w:rPr>
      </w:pPr>
      <w:r>
        <w:rPr>
          <w:rFonts w:ascii="Times New Roman" w:hAnsi="Times New Roman"/>
          <w:noProof/>
          <w:sz w:val="24"/>
        </w:rPr>
        <w:t>Effektivitet – Hur effektiva har de förfaranden och skyldigheter som ålagts genom direktivet varit; har resultaten (fördelarna) uppnåtts till en skälig kostnad?</w:t>
      </w:r>
    </w:p>
    <w:p w:rsidR="006C32AE" w:rsidRDefault="00F456ED">
      <w:pPr>
        <w:numPr>
          <w:ilvl w:val="0"/>
          <w:numId w:val="3"/>
        </w:numPr>
        <w:rPr>
          <w:rFonts w:ascii="Times New Roman" w:hAnsi="Times New Roman"/>
          <w:noProof/>
          <w:sz w:val="24"/>
          <w:szCs w:val="24"/>
        </w:rPr>
      </w:pPr>
      <w:r>
        <w:rPr>
          <w:rFonts w:ascii="Times New Roman" w:hAnsi="Times New Roman"/>
          <w:noProof/>
          <w:sz w:val="24"/>
        </w:rPr>
        <w:t>Samstämmighet – Har bestämmelserna i direktivet tillämpats på ett konsekvent sätt, hur har nyck</w:t>
      </w:r>
      <w:r>
        <w:rPr>
          <w:rFonts w:ascii="Times New Roman" w:hAnsi="Times New Roman"/>
          <w:noProof/>
          <w:sz w:val="24"/>
        </w:rPr>
        <w:t>eldefinitionerna i direktivet tolkats och hur har direktivet sammantaget överensstämt med annan relevant lagstiftning?</w:t>
      </w:r>
    </w:p>
    <w:p w:rsidR="006C32AE" w:rsidRDefault="00F456ED">
      <w:pPr>
        <w:numPr>
          <w:ilvl w:val="0"/>
          <w:numId w:val="3"/>
        </w:numPr>
        <w:rPr>
          <w:rFonts w:ascii="Times New Roman" w:hAnsi="Times New Roman"/>
          <w:noProof/>
          <w:sz w:val="24"/>
          <w:szCs w:val="24"/>
        </w:rPr>
      </w:pPr>
      <w:r>
        <w:rPr>
          <w:rFonts w:ascii="Times New Roman" w:hAnsi="Times New Roman"/>
          <w:noProof/>
          <w:sz w:val="24"/>
        </w:rPr>
        <w:t>Relevans – Är bestämmelserna i direktivet relevanta sett till det som krävs för en välfungerande inre marknad och en hög säkerhetsnivå in</w:t>
      </w:r>
      <w:r>
        <w:rPr>
          <w:rFonts w:ascii="Times New Roman" w:hAnsi="Times New Roman"/>
          <w:noProof/>
          <w:sz w:val="24"/>
        </w:rPr>
        <w:t>om EU?</w:t>
      </w:r>
    </w:p>
    <w:p w:rsidR="006C32AE" w:rsidRDefault="00F456ED">
      <w:pPr>
        <w:numPr>
          <w:ilvl w:val="0"/>
          <w:numId w:val="3"/>
        </w:numPr>
        <w:rPr>
          <w:rFonts w:ascii="Times New Roman" w:hAnsi="Times New Roman"/>
          <w:noProof/>
          <w:sz w:val="24"/>
          <w:szCs w:val="24"/>
        </w:rPr>
      </w:pPr>
      <w:r>
        <w:rPr>
          <w:rFonts w:ascii="Times New Roman" w:hAnsi="Times New Roman"/>
          <w:noProof/>
          <w:sz w:val="24"/>
        </w:rPr>
        <w:t>Mervärde – Vad har EU:s ingripande gett för resultat i jämförelse med nationella lagar och åtgärder?</w:t>
      </w:r>
    </w:p>
    <w:p w:rsidR="006C32AE" w:rsidRDefault="00F456ED">
      <w:pPr>
        <w:jc w:val="both"/>
        <w:rPr>
          <w:rFonts w:ascii="Times New Roman" w:hAnsi="Times New Roman"/>
          <w:noProof/>
          <w:sz w:val="24"/>
          <w:szCs w:val="24"/>
        </w:rPr>
      </w:pPr>
      <w:r>
        <w:rPr>
          <w:rFonts w:ascii="Times New Roman" w:hAnsi="Times New Roman"/>
          <w:noProof/>
          <w:sz w:val="24"/>
        </w:rPr>
        <w:t>(17) Utvärderingen täckte alla bestämmelser i direktivet i alla 28 medlemsstaterna, från 1991 och fram till i dag. Dessutom bads utvärderarna att rä</w:t>
      </w:r>
      <w:r>
        <w:rPr>
          <w:rFonts w:ascii="Times New Roman" w:hAnsi="Times New Roman"/>
          <w:noProof/>
          <w:sz w:val="24"/>
        </w:rPr>
        <w:t>kna in tidigare undersökningar och initiativ från kommissionen</w:t>
      </w:r>
      <w:r>
        <w:rPr>
          <w:noProof/>
        </w:rPr>
        <w:footnoteReference w:id="16"/>
      </w:r>
      <w:r>
        <w:rPr>
          <w:rFonts w:ascii="Times New Roman" w:hAnsi="Times New Roman"/>
          <w:noProof/>
          <w:sz w:val="24"/>
        </w:rPr>
        <w:t>, och även två undersökningar som höll på att avslutas under samma tidpunkt om att göra skjutvapen obrukbara, förstöra dem eller märka dem</w:t>
      </w:r>
      <w:r>
        <w:rPr>
          <w:noProof/>
          <w:vertAlign w:val="superscript"/>
        </w:rPr>
        <w:footnoteReference w:id="17"/>
      </w:r>
      <w:r>
        <w:rPr>
          <w:rFonts w:ascii="Times New Roman" w:hAnsi="Times New Roman"/>
          <w:noProof/>
          <w:sz w:val="24"/>
        </w:rPr>
        <w:t xml:space="preserve"> och om kampen mot olagliga vapentransporter inom EU</w:t>
      </w:r>
      <w:r>
        <w:rPr>
          <w:noProof/>
          <w:vertAlign w:val="superscript"/>
        </w:rPr>
        <w:footnoteReference w:id="18"/>
      </w:r>
      <w:r>
        <w:rPr>
          <w:rFonts w:ascii="Times New Roman" w:hAnsi="Times New Roman"/>
          <w:noProof/>
          <w:sz w:val="24"/>
        </w:rPr>
        <w:t>.</w:t>
      </w:r>
      <w:r>
        <w:rPr>
          <w:rFonts w:ascii="Times New Roman" w:hAnsi="Times New Roman"/>
          <w:noProof/>
          <w:sz w:val="24"/>
        </w:rPr>
        <w:t xml:space="preserve"> </w:t>
      </w:r>
    </w:p>
    <w:p w:rsidR="006C32AE" w:rsidRDefault="00F456ED">
      <w:pPr>
        <w:jc w:val="both"/>
        <w:rPr>
          <w:rFonts w:ascii="Times New Roman" w:hAnsi="Times New Roman"/>
          <w:noProof/>
          <w:sz w:val="24"/>
          <w:szCs w:val="24"/>
        </w:rPr>
      </w:pPr>
      <w:r>
        <w:rPr>
          <w:rFonts w:ascii="Times New Roman" w:hAnsi="Times New Roman"/>
          <w:noProof/>
          <w:sz w:val="24"/>
        </w:rPr>
        <w:t>(18) Analysen genomfördes genom dokumentanalys, en webbundersökning, intervjuer och fyra fallstudier</w:t>
      </w:r>
      <w:r>
        <w:rPr>
          <w:noProof/>
        </w:rPr>
        <w:footnoteReference w:id="19"/>
      </w:r>
      <w:r>
        <w:rPr>
          <w:rFonts w:ascii="Times New Roman" w:hAnsi="Times New Roman"/>
          <w:noProof/>
          <w:sz w:val="24"/>
        </w:rPr>
        <w:t xml:space="preserve"> (genomförda i fyra medlemsstater – Belgien, Frankrike, Polen och Tyskland). Utvärderarna kontaktade myndigheter i medlemsstaterna, representanter för va</w:t>
      </w:r>
      <w:r>
        <w:rPr>
          <w:rFonts w:ascii="Times New Roman" w:hAnsi="Times New Roman"/>
          <w:noProof/>
          <w:sz w:val="24"/>
        </w:rPr>
        <w:t>pentillverkare, vapenhandlare och vapenmäklare, användare av skjutvapen (inklusive jägare och tävlingsskyttar), internationella organ, organisationer, forskningsinstitut och andra experter, I webbundersökningen deltog 83 aktörer (34 myndigheter i medlemsst</w:t>
      </w:r>
      <w:r>
        <w:rPr>
          <w:rFonts w:ascii="Times New Roman" w:hAnsi="Times New Roman"/>
          <w:noProof/>
          <w:sz w:val="24"/>
        </w:rPr>
        <w:t>aterna, 28 branschrepresentanter, 16 användare och 5 experter), intervjuerna gjordes med 56 aktörer (23 myndigheter i medlemsstaterna, 16 branschrepresentanter, 9 användare och 8 experter) och 30 aktörer intervjuades för fallstudierna (12 myndigheter i med</w:t>
      </w:r>
      <w:r>
        <w:rPr>
          <w:rFonts w:ascii="Times New Roman" w:hAnsi="Times New Roman"/>
          <w:noProof/>
          <w:sz w:val="24"/>
        </w:rPr>
        <w:t>lemsstaterna, 8 branschrepresentanter, 8 användare och 2 experter).</w:t>
      </w:r>
    </w:p>
    <w:p w:rsidR="006C32AE" w:rsidRDefault="00F456ED">
      <w:pPr>
        <w:jc w:val="both"/>
        <w:rPr>
          <w:rFonts w:ascii="Times New Roman" w:hAnsi="Times New Roman"/>
          <w:noProof/>
          <w:sz w:val="24"/>
          <w:szCs w:val="24"/>
        </w:rPr>
      </w:pPr>
      <w:r>
        <w:rPr>
          <w:rFonts w:ascii="Times New Roman" w:hAnsi="Times New Roman"/>
          <w:noProof/>
          <w:sz w:val="24"/>
        </w:rPr>
        <w:t>(19) Redan under utvärderingens första månader flaggade utvärderarna för att det saknades viktiga uppgifter relaterade till både marknads- och säkerhetsaspekter. I fråga om marknaden gjord</w:t>
      </w:r>
      <w:r>
        <w:rPr>
          <w:rFonts w:ascii="Times New Roman" w:hAnsi="Times New Roman"/>
          <w:noProof/>
          <w:sz w:val="24"/>
        </w:rPr>
        <w:t>e de uppgifter som fanns tillgängliga på nationell nivå och EU-nivå normalt inte skillnad mellan civila skjutvapen och militära skjutvapen (vilket därmed gjorde det svårt att isolera uppgifter om civila skjutvapen). Även i de fall där detta var möjligt fan</w:t>
      </w:r>
      <w:r>
        <w:rPr>
          <w:rFonts w:ascii="Times New Roman" w:hAnsi="Times New Roman"/>
          <w:noProof/>
          <w:sz w:val="24"/>
        </w:rPr>
        <w:t>ns det inte alltid tillgängliga uppgifter på nationell nivå för medlemsstaten för alla länder (på grund av sekretess), vilket gjorde det omöjligt att titta på produktionstrender över en längre tid. Slutligen gav det största företaget inom branschen inte ti</w:t>
      </w:r>
      <w:r>
        <w:rPr>
          <w:rFonts w:ascii="Times New Roman" w:hAnsi="Times New Roman"/>
          <w:noProof/>
          <w:sz w:val="24"/>
        </w:rPr>
        <w:t>llgång till information i någon större utsträckning. I fråga om säkerhetsaspekten var de största problemen att det saknades detaljuppgifter om vilken typ eller kategori av skjutvapen som är i omlopp inom EU, samt om dessa används och transporteras olagligt</w:t>
      </w:r>
      <w:r>
        <w:rPr>
          <w:rFonts w:ascii="Times New Roman" w:hAnsi="Times New Roman"/>
          <w:noProof/>
          <w:sz w:val="24"/>
        </w:rPr>
        <w:t>. Det saknades även jämförbara och detaljerade uppgifter om trender i brott och aktiviteter som omfattar civila skjutvapen på EU-nivå. Det saknades även uppgifter om hur stor administrativ börda och ytterligare kostnader tillämpningen av en viss bestämmels</w:t>
      </w:r>
      <w:r>
        <w:rPr>
          <w:rFonts w:ascii="Times New Roman" w:hAnsi="Times New Roman"/>
          <w:noProof/>
          <w:sz w:val="24"/>
        </w:rPr>
        <w:t xml:space="preserve">e hade orsakat. </w:t>
      </w:r>
    </w:p>
    <w:p w:rsidR="006C32AE" w:rsidRDefault="00F456ED">
      <w:pPr>
        <w:pStyle w:val="Heading1"/>
        <w:rPr>
          <w:rFonts w:ascii="Times New Roman" w:hAnsi="Times New Roman"/>
          <w:noProof/>
          <w:sz w:val="24"/>
        </w:rPr>
      </w:pPr>
      <w:r>
        <w:rPr>
          <w:rFonts w:ascii="Times New Roman" w:hAnsi="Times New Roman"/>
          <w:noProof/>
          <w:sz w:val="24"/>
        </w:rPr>
        <w:t xml:space="preserve">5. Resultat från utvärderingen </w:t>
      </w:r>
    </w:p>
    <w:p w:rsidR="006C32AE" w:rsidRDefault="00F456ED">
      <w:pPr>
        <w:pStyle w:val="Heading2"/>
        <w:rPr>
          <w:rFonts w:ascii="Times New Roman" w:hAnsi="Times New Roman"/>
          <w:i w:val="0"/>
          <w:noProof/>
          <w:sz w:val="24"/>
        </w:rPr>
      </w:pPr>
      <w:r>
        <w:rPr>
          <w:rFonts w:ascii="Times New Roman" w:hAnsi="Times New Roman"/>
          <w:i w:val="0"/>
          <w:noProof/>
          <w:sz w:val="24"/>
        </w:rPr>
        <w:t>5.1 Utvärderingskriterier</w:t>
      </w:r>
    </w:p>
    <w:p w:rsidR="006C32AE" w:rsidRDefault="00F456ED">
      <w:pPr>
        <w:pStyle w:val="Heading3"/>
        <w:ind w:firstLine="708"/>
        <w:rPr>
          <w:rFonts w:ascii="Times New Roman" w:hAnsi="Times New Roman"/>
          <w:i/>
          <w:noProof/>
          <w:sz w:val="24"/>
        </w:rPr>
      </w:pPr>
      <w:r>
        <w:rPr>
          <w:rFonts w:ascii="Times New Roman" w:hAnsi="Times New Roman"/>
          <w:i/>
          <w:noProof/>
          <w:sz w:val="24"/>
        </w:rPr>
        <w:t>5.1.1 Ändamålsenlighet</w:t>
      </w:r>
    </w:p>
    <w:p w:rsidR="006C32AE" w:rsidRDefault="00F456ED">
      <w:pPr>
        <w:spacing w:after="0"/>
        <w:jc w:val="both"/>
        <w:rPr>
          <w:rFonts w:ascii="Times New Roman" w:hAnsi="Times New Roman"/>
          <w:noProof/>
          <w:sz w:val="24"/>
          <w:szCs w:val="24"/>
        </w:rPr>
      </w:pPr>
      <w:r>
        <w:rPr>
          <w:rFonts w:ascii="Times New Roman" w:hAnsi="Times New Roman"/>
          <w:noProof/>
          <w:sz w:val="24"/>
        </w:rPr>
        <w:t>(20) Direktivet har bidragit positivt till etablerandet av en välfungerande inre marknad för skjutvapen, vilket var ett av dess syften. Utvärderaren angav doc</w:t>
      </w:r>
      <w:r>
        <w:rPr>
          <w:rFonts w:ascii="Times New Roman" w:hAnsi="Times New Roman"/>
          <w:noProof/>
          <w:sz w:val="24"/>
        </w:rPr>
        <w:t>k att direktivet skulle kunna bidra till ytterligare förbättringar. Etableringen av kategorier och relaterade regelsystem gav möjlighet att förhindra potentiella marknadsstörningar i samband med avskaffandet av inre kontroller, som därmed skapade en inre m</w:t>
      </w:r>
      <w:r>
        <w:rPr>
          <w:rFonts w:ascii="Times New Roman" w:hAnsi="Times New Roman"/>
          <w:noProof/>
          <w:sz w:val="24"/>
        </w:rPr>
        <w:t>arknad. Sedan 2005</w:t>
      </w:r>
      <w:r>
        <w:rPr>
          <w:rStyle w:val="FootnoteReference"/>
          <w:rFonts w:ascii="Times New Roman" w:hAnsi="Times New Roman"/>
          <w:noProof/>
          <w:sz w:val="24"/>
        </w:rPr>
        <w:footnoteReference w:id="20"/>
      </w:r>
      <w:r>
        <w:rPr>
          <w:rFonts w:ascii="Times New Roman" w:hAnsi="Times New Roman"/>
          <w:noProof/>
          <w:sz w:val="24"/>
        </w:rPr>
        <w:t xml:space="preserve"> har handeln inom EU varit relativt stabil. Dock har de olika tolkningarna av bestämmelserna i direktivet begränsat omfattningen av de fördelar som ett ingripande på EU-nivå förväntades ge. Aktörer (branschaktörer och användare) tog upp </w:t>
      </w:r>
      <w:r>
        <w:rPr>
          <w:rFonts w:ascii="Times New Roman" w:hAnsi="Times New Roman"/>
          <w:noProof/>
          <w:sz w:val="24"/>
        </w:rPr>
        <w:t xml:space="preserve">ett antal farhågor relaterade till specifika problem och bördor i samband med förfaranden, särskilt eftersom det är de som drabbas av informationskostnader för att förstå regler och förfaranden som tillämpas i de andra medlemsstaterna (särskilt vad gäller </w:t>
      </w:r>
      <w:r>
        <w:rPr>
          <w:rFonts w:ascii="Times New Roman" w:hAnsi="Times New Roman"/>
          <w:noProof/>
          <w:sz w:val="24"/>
        </w:rPr>
        <w:t>det europeiska skjutvapenpasset). Även om kommissionen etablerade en kontaktgrupp 2009</w:t>
      </w:r>
      <w:r>
        <w:rPr>
          <w:rStyle w:val="FootnoteReference"/>
          <w:rFonts w:ascii="Times New Roman" w:hAnsi="Times New Roman"/>
          <w:noProof/>
          <w:sz w:val="24"/>
        </w:rPr>
        <w:footnoteReference w:id="21"/>
      </w:r>
      <w:r>
        <w:rPr>
          <w:rFonts w:ascii="Times New Roman" w:hAnsi="Times New Roman"/>
          <w:noProof/>
          <w:sz w:val="24"/>
        </w:rPr>
        <w:t xml:space="preserve"> för att underlätta informationsutbytet, har de intervjuade aktörerna påpekat att det fortfarande behövs ytterligare förbättringar i utbytet av viktig information mellan</w:t>
      </w:r>
      <w:r>
        <w:rPr>
          <w:rFonts w:ascii="Times New Roman" w:hAnsi="Times New Roman"/>
          <w:noProof/>
          <w:sz w:val="24"/>
        </w:rPr>
        <w:t xml:space="preserve"> medlemsstaterna. </w:t>
      </w:r>
    </w:p>
    <w:p w:rsidR="006C32AE" w:rsidRDefault="006C32AE">
      <w:pPr>
        <w:spacing w:after="0"/>
        <w:rPr>
          <w:rFonts w:ascii="Times New Roman" w:hAnsi="Times New Roman"/>
          <w:noProof/>
          <w:sz w:val="24"/>
          <w:szCs w:val="24"/>
        </w:rPr>
      </w:pPr>
    </w:p>
    <w:p w:rsidR="006C32AE" w:rsidRDefault="00F456ED">
      <w:pPr>
        <w:spacing w:after="0"/>
        <w:jc w:val="both"/>
        <w:rPr>
          <w:rFonts w:ascii="Times New Roman" w:hAnsi="Times New Roman"/>
          <w:noProof/>
          <w:sz w:val="24"/>
          <w:szCs w:val="24"/>
        </w:rPr>
      </w:pPr>
      <w:r>
        <w:rPr>
          <w:rFonts w:ascii="Times New Roman" w:hAnsi="Times New Roman"/>
          <w:noProof/>
          <w:sz w:val="24"/>
        </w:rPr>
        <w:t>(21) I fråga om säkerhetsaspekten (dvs. skyddet av invånarna och den lagliga marknaden för skjutvapen) har säkerhetsnivån höjts och skyddet mot olaglig handel med skjutvapen och kriminella gärningar förbättrats genom följande åtgärder:</w:t>
      </w:r>
    </w:p>
    <w:p w:rsidR="006C32AE" w:rsidRDefault="00F456ED">
      <w:pPr>
        <w:numPr>
          <w:ilvl w:val="0"/>
          <w:numId w:val="8"/>
        </w:numPr>
        <w:spacing w:after="0"/>
        <w:jc w:val="both"/>
        <w:rPr>
          <w:rFonts w:ascii="Times New Roman" w:hAnsi="Times New Roman"/>
          <w:noProof/>
          <w:sz w:val="24"/>
          <w:szCs w:val="24"/>
        </w:rPr>
      </w:pPr>
      <w:r>
        <w:rPr>
          <w:rFonts w:ascii="Times New Roman" w:hAnsi="Times New Roman"/>
          <w:noProof/>
          <w:sz w:val="24"/>
        </w:rPr>
        <w:t xml:space="preserve">Krav på myndigheterna i medlemsstaterna att kunna spåra skjutvapen (dvs. datoriserade register) och på vapenhandlare (registrering av samtliga skjutvapentransaktioner) (artikel 4). </w:t>
      </w:r>
    </w:p>
    <w:p w:rsidR="006C32AE" w:rsidRDefault="00F456ED">
      <w:pPr>
        <w:numPr>
          <w:ilvl w:val="0"/>
          <w:numId w:val="8"/>
        </w:numPr>
        <w:spacing w:after="0"/>
        <w:jc w:val="both"/>
        <w:rPr>
          <w:rFonts w:ascii="Times New Roman" w:hAnsi="Times New Roman"/>
          <w:noProof/>
          <w:sz w:val="24"/>
          <w:szCs w:val="24"/>
        </w:rPr>
      </w:pPr>
      <w:r>
        <w:rPr>
          <w:rFonts w:ascii="Times New Roman" w:hAnsi="Times New Roman"/>
          <w:noProof/>
          <w:sz w:val="24"/>
        </w:rPr>
        <w:t>Krav på märkning för tillverkare (i fråga om detta angavs vissa farhågor v</w:t>
      </w:r>
      <w:r>
        <w:rPr>
          <w:rFonts w:ascii="Times New Roman" w:hAnsi="Times New Roman"/>
          <w:noProof/>
          <w:sz w:val="24"/>
        </w:rPr>
        <w:t>ad gäller borttagning av märkning) (artikel 4.4).</w:t>
      </w:r>
    </w:p>
    <w:p w:rsidR="006C32AE" w:rsidRDefault="00F456ED">
      <w:pPr>
        <w:numPr>
          <w:ilvl w:val="0"/>
          <w:numId w:val="8"/>
        </w:numPr>
        <w:spacing w:after="0"/>
        <w:jc w:val="both"/>
        <w:rPr>
          <w:rFonts w:ascii="Times New Roman" w:hAnsi="Times New Roman"/>
          <w:noProof/>
          <w:sz w:val="24"/>
          <w:szCs w:val="24"/>
        </w:rPr>
      </w:pPr>
      <w:r>
        <w:rPr>
          <w:rFonts w:ascii="Times New Roman" w:hAnsi="Times New Roman"/>
          <w:noProof/>
          <w:sz w:val="24"/>
        </w:rPr>
        <w:t>Minimikrav för förvärv och innehav av skjutvapen (artikel 5).</w:t>
      </w:r>
    </w:p>
    <w:p w:rsidR="006C32AE" w:rsidRDefault="00F456ED">
      <w:pPr>
        <w:spacing w:after="0"/>
        <w:jc w:val="both"/>
        <w:rPr>
          <w:rFonts w:ascii="Times New Roman" w:hAnsi="Times New Roman"/>
          <w:noProof/>
          <w:sz w:val="24"/>
          <w:szCs w:val="24"/>
        </w:rPr>
      </w:pPr>
      <w:r>
        <w:rPr>
          <w:rFonts w:ascii="Times New Roman" w:hAnsi="Times New Roman"/>
          <w:noProof/>
          <w:sz w:val="24"/>
        </w:rPr>
        <w:t>Det anses fortfarande finnas utrymme för förbättring i samband med rapporterade fall av omvandling av larmvapen, skjutvapen som har gjorts obruk</w:t>
      </w:r>
      <w:r>
        <w:rPr>
          <w:rFonts w:ascii="Times New Roman" w:hAnsi="Times New Roman"/>
          <w:noProof/>
          <w:sz w:val="24"/>
        </w:rPr>
        <w:t>bara men som återigen tas i bruk, olaglig handel med delar till skjutvapen och tolkningen av ”väsentliga delar”.</w:t>
      </w:r>
    </w:p>
    <w:p w:rsidR="006C32AE" w:rsidRDefault="006C32AE">
      <w:pPr>
        <w:spacing w:after="0"/>
        <w:jc w:val="both"/>
        <w:rPr>
          <w:rFonts w:ascii="Times New Roman" w:hAnsi="Times New Roman"/>
          <w:noProof/>
          <w:sz w:val="24"/>
          <w:szCs w:val="24"/>
        </w:rPr>
      </w:pPr>
    </w:p>
    <w:p w:rsidR="006C32AE" w:rsidRDefault="00F456ED">
      <w:pPr>
        <w:spacing w:after="0"/>
        <w:jc w:val="both"/>
        <w:rPr>
          <w:rFonts w:ascii="Times New Roman" w:hAnsi="Times New Roman"/>
          <w:noProof/>
          <w:sz w:val="24"/>
          <w:szCs w:val="24"/>
        </w:rPr>
      </w:pPr>
      <w:r>
        <w:rPr>
          <w:rFonts w:ascii="Times New Roman" w:hAnsi="Times New Roman"/>
          <w:noProof/>
          <w:sz w:val="24"/>
        </w:rPr>
        <w:t>(22) Eftersom det saknas heltäckande uppgifter har det varit svårt för utvärderaren att kontrollera hur ändamålsenligt direktivet har fungerat</w:t>
      </w:r>
      <w:r>
        <w:rPr>
          <w:rFonts w:ascii="Times New Roman" w:hAnsi="Times New Roman"/>
          <w:noProof/>
          <w:sz w:val="24"/>
        </w:rPr>
        <w:t xml:space="preserve"> i fråga om säkerhetsmålen. Särskilt det faktum att det saknades en informationsbas med särskilda och detaljerade uppgifter från medlemsstaterna om kriminella gärningar genomförda med lagligt ägda skjutvapen, omarbetade larmvapen och skjutvapen som har gjo</w:t>
      </w:r>
      <w:r>
        <w:rPr>
          <w:rFonts w:ascii="Times New Roman" w:hAnsi="Times New Roman"/>
          <w:noProof/>
          <w:sz w:val="24"/>
        </w:rPr>
        <w:t xml:space="preserve">rts obrukbara men återigen har tagits i bruk gjorde det svårt att göra en kontroll. </w:t>
      </w:r>
    </w:p>
    <w:p w:rsidR="006C32AE" w:rsidRDefault="00F456ED">
      <w:pPr>
        <w:pStyle w:val="Heading3"/>
        <w:ind w:firstLine="708"/>
        <w:rPr>
          <w:rFonts w:ascii="Times New Roman" w:hAnsi="Times New Roman"/>
          <w:i/>
          <w:noProof/>
          <w:sz w:val="24"/>
        </w:rPr>
      </w:pPr>
      <w:r>
        <w:rPr>
          <w:rFonts w:ascii="Times New Roman" w:hAnsi="Times New Roman"/>
          <w:i/>
          <w:noProof/>
          <w:sz w:val="24"/>
        </w:rPr>
        <w:t xml:space="preserve">5.1.2 Effektivitet </w:t>
      </w:r>
    </w:p>
    <w:p w:rsidR="006C32AE" w:rsidRDefault="00F456ED">
      <w:pPr>
        <w:spacing w:after="0"/>
        <w:jc w:val="both"/>
        <w:rPr>
          <w:rFonts w:ascii="Times New Roman" w:hAnsi="Times New Roman"/>
          <w:noProof/>
          <w:sz w:val="24"/>
          <w:szCs w:val="24"/>
        </w:rPr>
      </w:pPr>
      <w:r>
        <w:rPr>
          <w:rFonts w:ascii="Times New Roman" w:hAnsi="Times New Roman"/>
          <w:noProof/>
          <w:sz w:val="24"/>
        </w:rPr>
        <w:t>(23) Utvärderingen har identifierat de kostnader som uppstår vid tillämpningen av var och en av direktivets bestämmelser (direkta efterlevnadskostnader</w:t>
      </w:r>
      <w:r>
        <w:rPr>
          <w:rFonts w:ascii="Times New Roman" w:hAnsi="Times New Roman"/>
          <w:noProof/>
          <w:sz w:val="24"/>
        </w:rPr>
        <w:t>, inklusive administrativ börda, och informationskostnader</w:t>
      </w:r>
      <w:r>
        <w:rPr>
          <w:rStyle w:val="FootnoteReference"/>
          <w:rFonts w:ascii="Times New Roman" w:hAnsi="Times New Roman"/>
          <w:noProof/>
          <w:sz w:val="24"/>
        </w:rPr>
        <w:footnoteReference w:id="22"/>
      </w:r>
      <w:r>
        <w:rPr>
          <w:rFonts w:ascii="Times New Roman" w:hAnsi="Times New Roman"/>
          <w:noProof/>
          <w:sz w:val="24"/>
        </w:rPr>
        <w:t>) och kartlagt vilka aktörer kostnaderna faller på. Utvärderingen inkluderade inte kostnader som uppstår i samband med tillämpningen av ytterligare krav eller kostnader som orsakas av nationella sk</w:t>
      </w:r>
      <w:r>
        <w:rPr>
          <w:rFonts w:ascii="Times New Roman" w:hAnsi="Times New Roman"/>
          <w:noProof/>
          <w:sz w:val="24"/>
        </w:rPr>
        <w:t>illnader i tillämpningen.</w:t>
      </w:r>
    </w:p>
    <w:p w:rsidR="006C32AE" w:rsidRDefault="006C32AE">
      <w:pPr>
        <w:spacing w:after="0"/>
        <w:jc w:val="both"/>
        <w:rPr>
          <w:rFonts w:ascii="Times New Roman" w:hAnsi="Times New Roman"/>
          <w:noProof/>
          <w:sz w:val="24"/>
          <w:szCs w:val="24"/>
        </w:rPr>
      </w:pPr>
    </w:p>
    <w:p w:rsidR="006C32AE" w:rsidRDefault="00F456ED">
      <w:pPr>
        <w:spacing w:after="0"/>
        <w:jc w:val="both"/>
        <w:rPr>
          <w:rFonts w:ascii="Times New Roman" w:hAnsi="Times New Roman"/>
          <w:noProof/>
          <w:sz w:val="24"/>
          <w:szCs w:val="24"/>
        </w:rPr>
      </w:pPr>
      <w:r>
        <w:rPr>
          <w:rFonts w:ascii="Times New Roman" w:hAnsi="Times New Roman"/>
          <w:noProof/>
          <w:sz w:val="24"/>
        </w:rPr>
        <w:t>(24) För att bedöma om direktivets mål uppnåddes till en skälig kostnad i de fall där det saknas kvantitativa uppgifter om kostnader, tittade utvärderaren på om kostnaderna relaterade till specifika bestämmelser ansågs skäliga ut</w:t>
      </w:r>
      <w:r>
        <w:rPr>
          <w:rFonts w:ascii="Times New Roman" w:hAnsi="Times New Roman"/>
          <w:noProof/>
          <w:sz w:val="24"/>
        </w:rPr>
        <w:t>ifrån aktörernas bedömning. En sådan kvalitativ utvärdering genomfördes utifrån tre olika kriterier: eftersträvade mål, aktörernas deltagande och kostnadernas art. Utifrån analysen verkar det som att de övergripande resultaten har uppnåtts till en skälig k</w:t>
      </w:r>
      <w:r>
        <w:rPr>
          <w:rFonts w:ascii="Times New Roman" w:hAnsi="Times New Roman"/>
          <w:noProof/>
          <w:sz w:val="24"/>
        </w:rPr>
        <w:t>ostnad. Mestadels delas kostnaderna rättvist mellan olika aktörer. Ofullständig harmonisering av direktivet resulterar i indirekta kostnader med negativa effekter i relation till särskilda bestämmelser (och särskilda olika grupper av aktörer), t.ex. europe</w:t>
      </w:r>
      <w:r>
        <w:rPr>
          <w:rFonts w:ascii="Times New Roman" w:hAnsi="Times New Roman"/>
          <w:noProof/>
          <w:sz w:val="24"/>
        </w:rPr>
        <w:t xml:space="preserve">iska skjutvapenpasset, register över vapenhandlare och vapenmäklare, informationsutbyte, krav vid innehav av skjutvapen, skjutvapen som gjorts obrukbara, spårbarhet och märkning. </w:t>
      </w:r>
    </w:p>
    <w:p w:rsidR="006C32AE" w:rsidRDefault="006C32AE">
      <w:pPr>
        <w:spacing w:after="0"/>
        <w:jc w:val="both"/>
        <w:rPr>
          <w:rFonts w:ascii="Times New Roman" w:hAnsi="Times New Roman"/>
          <w:noProof/>
          <w:sz w:val="24"/>
          <w:szCs w:val="24"/>
        </w:rPr>
      </w:pPr>
    </w:p>
    <w:p w:rsidR="006C32AE" w:rsidRDefault="00F456ED">
      <w:pPr>
        <w:spacing w:after="0"/>
        <w:jc w:val="both"/>
        <w:rPr>
          <w:rFonts w:ascii="Times New Roman" w:hAnsi="Times New Roman"/>
          <w:noProof/>
          <w:sz w:val="24"/>
          <w:szCs w:val="24"/>
        </w:rPr>
      </w:pPr>
      <w:r>
        <w:rPr>
          <w:rFonts w:ascii="Times New Roman" w:hAnsi="Times New Roman"/>
          <w:noProof/>
          <w:sz w:val="24"/>
        </w:rPr>
        <w:t>(25) Enligt olika branschrepresentanter (tillverkare och nationella organis</w:t>
      </w:r>
      <w:r>
        <w:rPr>
          <w:rFonts w:ascii="Times New Roman" w:hAnsi="Times New Roman"/>
          <w:noProof/>
          <w:sz w:val="24"/>
        </w:rPr>
        <w:t>ationer) är den administrativa bördan framför allt relaterad till nationell och byråkratisk ineffektivitet, snarare än till bestämmelserna i direktivet. Exempel på detta är stundtals långa handläggningstider för importtillstånd och exportlicenser för överf</w:t>
      </w:r>
      <w:r>
        <w:rPr>
          <w:rFonts w:ascii="Times New Roman" w:hAnsi="Times New Roman"/>
          <w:noProof/>
          <w:sz w:val="24"/>
        </w:rPr>
        <w:t xml:space="preserve">öringar inom EU samt nationella säkerhetsföreskrifter (t.ex. obligatoriska inspektioner av larmsystem som åläggs vapenhandlaren). Branschrepresentanter bekräftade att dessa administrativa bördor skulle kunna vara ett hinder för rörligheten på marknaden. </w:t>
      </w:r>
    </w:p>
    <w:p w:rsidR="006C32AE" w:rsidRDefault="006C32AE">
      <w:pPr>
        <w:spacing w:after="0"/>
        <w:jc w:val="both"/>
        <w:rPr>
          <w:rFonts w:ascii="Times New Roman" w:hAnsi="Times New Roman"/>
          <w:noProof/>
          <w:sz w:val="24"/>
          <w:szCs w:val="24"/>
        </w:rPr>
      </w:pPr>
    </w:p>
    <w:p w:rsidR="006C32AE" w:rsidRDefault="00F456ED">
      <w:pPr>
        <w:spacing w:after="0"/>
        <w:jc w:val="both"/>
        <w:rPr>
          <w:rFonts w:ascii="Times New Roman" w:hAnsi="Times New Roman"/>
          <w:i/>
          <w:noProof/>
          <w:sz w:val="24"/>
        </w:rPr>
      </w:pPr>
      <w:r>
        <w:rPr>
          <w:rFonts w:ascii="Times New Roman" w:hAnsi="Times New Roman"/>
          <w:noProof/>
          <w:sz w:val="24"/>
        </w:rPr>
        <w:t>(26) Utvärderaren angav sammanfattningsvis att själva direktivet hade lett till ett övergripande resultat som uppnåddes till en skälig kostnad. I de fall där aktörerna har upplevt administrativa bördor och kostnader beror de snarare på de administrativa fö</w:t>
      </w:r>
      <w:r>
        <w:rPr>
          <w:rFonts w:ascii="Times New Roman" w:hAnsi="Times New Roman"/>
          <w:noProof/>
          <w:sz w:val="24"/>
        </w:rPr>
        <w:t>rfarandena för att tillämpa direktivet på nationell nivå, och en minskning av dessa kostnader skulle innebära en förbättring.</w:t>
      </w:r>
    </w:p>
    <w:p w:rsidR="006C32AE" w:rsidRDefault="00F456ED">
      <w:pPr>
        <w:pStyle w:val="Heading3"/>
        <w:ind w:firstLine="708"/>
        <w:rPr>
          <w:rFonts w:ascii="Times New Roman" w:hAnsi="Times New Roman"/>
          <w:i/>
          <w:noProof/>
          <w:sz w:val="24"/>
        </w:rPr>
      </w:pPr>
      <w:r>
        <w:rPr>
          <w:rFonts w:ascii="Times New Roman" w:hAnsi="Times New Roman"/>
          <w:i/>
          <w:noProof/>
          <w:sz w:val="24"/>
        </w:rPr>
        <w:t xml:space="preserve">5.1.3 Samstämmighet  </w:t>
      </w:r>
    </w:p>
    <w:p w:rsidR="006C32AE" w:rsidRDefault="00F456ED">
      <w:pPr>
        <w:spacing w:after="0"/>
        <w:jc w:val="both"/>
        <w:rPr>
          <w:rFonts w:ascii="Times New Roman" w:hAnsi="Times New Roman"/>
          <w:noProof/>
          <w:sz w:val="24"/>
          <w:szCs w:val="24"/>
        </w:rPr>
      </w:pPr>
      <w:r>
        <w:rPr>
          <w:rFonts w:ascii="Times New Roman" w:hAnsi="Times New Roman"/>
          <w:noProof/>
          <w:sz w:val="24"/>
        </w:rPr>
        <w:t>(27) Att ett direktiv med minimikrav antogs ledde till vissa skillnader i tillämpning på nationell nivå, vil</w:t>
      </w:r>
      <w:r>
        <w:rPr>
          <w:rFonts w:ascii="Times New Roman" w:hAnsi="Times New Roman"/>
          <w:noProof/>
          <w:sz w:val="24"/>
        </w:rPr>
        <w:t>ket påverkade antingen den inre marknaden eller säkerhetsaspekterna.</w:t>
      </w:r>
    </w:p>
    <w:p w:rsidR="006C32AE" w:rsidRDefault="006C32AE">
      <w:pPr>
        <w:spacing w:after="0"/>
        <w:jc w:val="both"/>
        <w:rPr>
          <w:rFonts w:ascii="Times New Roman" w:hAnsi="Times New Roman"/>
          <w:noProof/>
          <w:sz w:val="24"/>
          <w:szCs w:val="24"/>
        </w:rPr>
      </w:pPr>
    </w:p>
    <w:p w:rsidR="006C32AE" w:rsidRDefault="00F456ED">
      <w:pPr>
        <w:spacing w:after="0"/>
        <w:jc w:val="both"/>
        <w:rPr>
          <w:rFonts w:ascii="Times New Roman" w:hAnsi="Times New Roman"/>
          <w:noProof/>
          <w:sz w:val="24"/>
          <w:szCs w:val="24"/>
        </w:rPr>
      </w:pPr>
      <w:r>
        <w:rPr>
          <w:rFonts w:ascii="Times New Roman" w:hAnsi="Times New Roman"/>
          <w:noProof/>
          <w:sz w:val="24"/>
        </w:rPr>
        <w:t xml:space="preserve">Vad gäller skillnader som påverkar den inre marknaden underströks följande i utvärderingen: </w:t>
      </w:r>
    </w:p>
    <w:p w:rsidR="006C32AE" w:rsidRDefault="00F456ED">
      <w:pPr>
        <w:numPr>
          <w:ilvl w:val="0"/>
          <w:numId w:val="4"/>
        </w:numPr>
        <w:spacing w:after="0"/>
        <w:jc w:val="both"/>
        <w:rPr>
          <w:rFonts w:ascii="Times New Roman" w:hAnsi="Times New Roman"/>
          <w:noProof/>
          <w:sz w:val="24"/>
          <w:szCs w:val="24"/>
        </w:rPr>
      </w:pPr>
      <w:r>
        <w:rPr>
          <w:rFonts w:ascii="Times New Roman" w:hAnsi="Times New Roman"/>
          <w:noProof/>
          <w:sz w:val="24"/>
        </w:rPr>
        <w:t xml:space="preserve">Avvikelser i tillämpningen av kategorier, särskilt kategorierna C och D, skapar förvirring i </w:t>
      </w:r>
      <w:r>
        <w:rPr>
          <w:rFonts w:ascii="Times New Roman" w:hAnsi="Times New Roman"/>
          <w:noProof/>
          <w:sz w:val="24"/>
        </w:rPr>
        <w:t xml:space="preserve">det dokument som krävs vid köp av skjutvapen i olika länder, hindrar rörligheten på marknaden för skjutvapen inom Europa och genererar kostnader. </w:t>
      </w:r>
    </w:p>
    <w:p w:rsidR="006C32AE" w:rsidRDefault="00F456ED">
      <w:pPr>
        <w:numPr>
          <w:ilvl w:val="0"/>
          <w:numId w:val="4"/>
        </w:numPr>
        <w:spacing w:after="0"/>
        <w:jc w:val="both"/>
        <w:rPr>
          <w:rFonts w:ascii="Times New Roman" w:hAnsi="Times New Roman"/>
          <w:noProof/>
          <w:sz w:val="24"/>
          <w:szCs w:val="24"/>
        </w:rPr>
      </w:pPr>
      <w:r>
        <w:rPr>
          <w:rFonts w:ascii="Times New Roman" w:hAnsi="Times New Roman"/>
          <w:noProof/>
          <w:sz w:val="24"/>
        </w:rPr>
        <w:t>Skillnader i tillämpningen av bestämmelser relaterade till det europeiska skjutvapenpasset, t.ex. antalet obl</w:t>
      </w:r>
      <w:r>
        <w:rPr>
          <w:rFonts w:ascii="Times New Roman" w:hAnsi="Times New Roman"/>
          <w:noProof/>
          <w:sz w:val="24"/>
        </w:rPr>
        <w:t>igatoriska dokument. Detta har haft en negativ effekt, eftersom det gör överföringen av skjutvapen krångligare.</w:t>
      </w:r>
    </w:p>
    <w:p w:rsidR="006C32AE" w:rsidRDefault="006C32AE">
      <w:pPr>
        <w:spacing w:after="0"/>
        <w:ind w:left="720"/>
        <w:jc w:val="both"/>
        <w:rPr>
          <w:rFonts w:ascii="Times New Roman" w:hAnsi="Times New Roman"/>
          <w:noProof/>
          <w:sz w:val="24"/>
          <w:szCs w:val="24"/>
        </w:rPr>
      </w:pPr>
    </w:p>
    <w:p w:rsidR="006C32AE" w:rsidRDefault="00F456ED">
      <w:pPr>
        <w:spacing w:after="0"/>
        <w:jc w:val="both"/>
        <w:rPr>
          <w:rFonts w:ascii="Times New Roman" w:hAnsi="Times New Roman"/>
          <w:noProof/>
          <w:sz w:val="24"/>
          <w:szCs w:val="24"/>
        </w:rPr>
      </w:pPr>
      <w:r>
        <w:rPr>
          <w:rFonts w:ascii="Times New Roman" w:hAnsi="Times New Roman"/>
          <w:noProof/>
          <w:sz w:val="24"/>
        </w:rPr>
        <w:t>De skillnader i tillämpningen som har påverkat EU-invånarnas säkerhet är följande:</w:t>
      </w:r>
    </w:p>
    <w:p w:rsidR="006C32AE" w:rsidRDefault="00F456ED">
      <w:pPr>
        <w:numPr>
          <w:ilvl w:val="0"/>
          <w:numId w:val="5"/>
        </w:numPr>
        <w:spacing w:after="0"/>
        <w:jc w:val="both"/>
        <w:rPr>
          <w:rFonts w:ascii="Times New Roman" w:hAnsi="Times New Roman"/>
          <w:noProof/>
          <w:sz w:val="24"/>
          <w:szCs w:val="24"/>
        </w:rPr>
      </w:pPr>
      <w:r>
        <w:rPr>
          <w:rFonts w:ascii="Times New Roman" w:hAnsi="Times New Roman"/>
          <w:noProof/>
          <w:sz w:val="24"/>
        </w:rPr>
        <w:t xml:space="preserve">Skillnader i märkningsstandarder, eftersom detta begränsar </w:t>
      </w:r>
      <w:r>
        <w:rPr>
          <w:rFonts w:ascii="Times New Roman" w:hAnsi="Times New Roman"/>
          <w:noProof/>
          <w:sz w:val="24"/>
        </w:rPr>
        <w:t>möjligheten att spåra skjutvapen eller bekämpa olaglig handel.</w:t>
      </w:r>
    </w:p>
    <w:p w:rsidR="006C32AE" w:rsidRDefault="00F456ED">
      <w:pPr>
        <w:numPr>
          <w:ilvl w:val="0"/>
          <w:numId w:val="5"/>
        </w:numPr>
        <w:spacing w:after="0"/>
        <w:jc w:val="both"/>
        <w:rPr>
          <w:rFonts w:ascii="Times New Roman" w:hAnsi="Times New Roman"/>
          <w:noProof/>
          <w:sz w:val="24"/>
          <w:szCs w:val="24"/>
        </w:rPr>
      </w:pPr>
      <w:r>
        <w:rPr>
          <w:rFonts w:ascii="Times New Roman" w:hAnsi="Times New Roman"/>
          <w:noProof/>
          <w:sz w:val="24"/>
        </w:rPr>
        <w:t>Skillnader i tekniker och standarder för att göra skjutvapen obrukbara samt valet av den myndighet som ska genomföra dessa åtgärder. Den här typen av skillnader orsakar problem eftersom den myn</w:t>
      </w:r>
      <w:r>
        <w:rPr>
          <w:rFonts w:ascii="Times New Roman" w:hAnsi="Times New Roman"/>
          <w:noProof/>
          <w:sz w:val="24"/>
        </w:rPr>
        <w:t>dighet eller aktör som är ansvarig för att göra skjutvapen obrukbara eventuellt inte har den nödvändiga tekniska kompetensen, men även för att standarderna i vissa medlemsstater inte anses vara tillräckliga.</w:t>
      </w:r>
    </w:p>
    <w:p w:rsidR="006C32AE" w:rsidRDefault="00F456ED">
      <w:pPr>
        <w:numPr>
          <w:ilvl w:val="0"/>
          <w:numId w:val="5"/>
        </w:numPr>
        <w:spacing w:after="0"/>
        <w:jc w:val="both"/>
        <w:rPr>
          <w:rFonts w:ascii="Times New Roman" w:hAnsi="Times New Roman"/>
          <w:noProof/>
          <w:sz w:val="24"/>
          <w:szCs w:val="24"/>
        </w:rPr>
      </w:pPr>
      <w:r>
        <w:rPr>
          <w:rFonts w:ascii="Times New Roman" w:hAnsi="Times New Roman"/>
          <w:noProof/>
          <w:sz w:val="24"/>
        </w:rPr>
        <w:t>Skillnader i kategoriseringen av vapen i den nat</w:t>
      </w:r>
      <w:r>
        <w:rPr>
          <w:rFonts w:ascii="Times New Roman" w:hAnsi="Times New Roman"/>
          <w:noProof/>
          <w:sz w:val="24"/>
        </w:rPr>
        <w:t>ionella lagstiftningen orsakar problem i fråga om spårbarhet och brottsbekämpning. Det gäller särskilt när ett föremål som kategoriseras som skjutvapen i en medlemsstat överförs till en medlemsstat där den inte längre kategoriseras som skjutvapen och myndi</w:t>
      </w:r>
      <w:r>
        <w:rPr>
          <w:rFonts w:ascii="Times New Roman" w:hAnsi="Times New Roman"/>
          <w:noProof/>
          <w:sz w:val="24"/>
        </w:rPr>
        <w:t xml:space="preserve">gheterna därmed inte kan fortsätta följa vapnet. </w:t>
      </w:r>
    </w:p>
    <w:p w:rsidR="006C32AE" w:rsidRDefault="00F456ED">
      <w:pPr>
        <w:numPr>
          <w:ilvl w:val="0"/>
          <w:numId w:val="5"/>
        </w:numPr>
        <w:spacing w:after="0"/>
        <w:jc w:val="both"/>
        <w:rPr>
          <w:rFonts w:ascii="Times New Roman" w:hAnsi="Times New Roman"/>
          <w:noProof/>
          <w:sz w:val="24"/>
          <w:szCs w:val="24"/>
        </w:rPr>
      </w:pPr>
      <w:r>
        <w:rPr>
          <w:rFonts w:ascii="Times New Roman" w:hAnsi="Times New Roman"/>
          <w:noProof/>
          <w:sz w:val="24"/>
        </w:rPr>
        <w:t>Skillnaderna i tolkningen av de viktigaste termerna i direktivet (väsentliga delar, vapenmäklare, larmvapen och antika vapen).</w:t>
      </w:r>
    </w:p>
    <w:p w:rsidR="006C32AE" w:rsidRDefault="006C32AE">
      <w:pPr>
        <w:spacing w:after="0"/>
        <w:jc w:val="both"/>
        <w:rPr>
          <w:rFonts w:ascii="Times New Roman" w:hAnsi="Times New Roman"/>
          <w:noProof/>
          <w:sz w:val="24"/>
          <w:szCs w:val="24"/>
        </w:rPr>
      </w:pPr>
    </w:p>
    <w:p w:rsidR="006C32AE" w:rsidRDefault="00F456ED">
      <w:pPr>
        <w:spacing w:after="0"/>
        <w:jc w:val="both"/>
        <w:rPr>
          <w:rFonts w:ascii="Times New Roman" w:hAnsi="Times New Roman"/>
          <w:noProof/>
          <w:sz w:val="24"/>
          <w:szCs w:val="24"/>
        </w:rPr>
      </w:pPr>
      <w:r>
        <w:rPr>
          <w:rFonts w:ascii="Times New Roman" w:hAnsi="Times New Roman"/>
          <w:noProof/>
          <w:sz w:val="24"/>
        </w:rPr>
        <w:t>Det har dock visat sig att det inte fanns några problem relaterade till kraven</w:t>
      </w:r>
      <w:r>
        <w:rPr>
          <w:rFonts w:ascii="Times New Roman" w:hAnsi="Times New Roman"/>
          <w:noProof/>
          <w:sz w:val="24"/>
        </w:rPr>
        <w:t xml:space="preserve"> vid innehav av skjutvapen och att direktivet har varit till hjälp för att harmonisera dessa krav.</w:t>
      </w:r>
    </w:p>
    <w:p w:rsidR="006C32AE" w:rsidRDefault="006C32AE">
      <w:pPr>
        <w:spacing w:after="0"/>
        <w:rPr>
          <w:rFonts w:ascii="Times New Roman" w:hAnsi="Times New Roman"/>
          <w:noProof/>
          <w:sz w:val="24"/>
          <w:szCs w:val="24"/>
        </w:rPr>
      </w:pPr>
    </w:p>
    <w:p w:rsidR="006C32AE" w:rsidRDefault="00F456ED">
      <w:pPr>
        <w:spacing w:after="0"/>
        <w:jc w:val="both"/>
        <w:rPr>
          <w:rStyle w:val="CommentReference"/>
          <w:rFonts w:ascii="Times New Roman" w:hAnsi="Times New Roman"/>
          <w:noProof/>
          <w:sz w:val="24"/>
          <w:szCs w:val="24"/>
        </w:rPr>
      </w:pPr>
      <w:r>
        <w:rPr>
          <w:rFonts w:ascii="Times New Roman" w:hAnsi="Times New Roman"/>
          <w:noProof/>
          <w:sz w:val="24"/>
        </w:rPr>
        <w:t>(28) Vad gäller samstämmigheten mellan skjutvapendirektivet och existerande EU-lagstiftning har utvärderingen visat att de största svårigheterna rör FN:s pr</w:t>
      </w:r>
      <w:r>
        <w:rPr>
          <w:rFonts w:ascii="Times New Roman" w:hAnsi="Times New Roman"/>
          <w:noProof/>
          <w:sz w:val="24"/>
        </w:rPr>
        <w:t>otokoll om skjutvapen. Ändringarna som gjordes 2008 anpassade endast delar av terminologin i direktivet till FN-protokollet. I direktivet upprättas en skillnad mellan väsentliga delar och andra komponenter som inte återfinns i FN-protokollet, där man refer</w:t>
      </w:r>
      <w:r>
        <w:rPr>
          <w:rFonts w:ascii="Times New Roman" w:hAnsi="Times New Roman"/>
          <w:noProof/>
          <w:sz w:val="24"/>
        </w:rPr>
        <w:t>erar till ”delar och komponenter”. Dessutom lämnar FN:s protokoll om skjutvapen</w:t>
      </w:r>
      <w:r>
        <w:rPr>
          <w:rStyle w:val="FootnoteReference"/>
          <w:rFonts w:ascii="Times New Roman" w:hAnsi="Times New Roman"/>
          <w:noProof/>
          <w:sz w:val="24"/>
        </w:rPr>
        <w:footnoteReference w:id="23"/>
      </w:r>
      <w:r>
        <w:rPr>
          <w:rFonts w:ascii="Times New Roman" w:hAnsi="Times New Roman"/>
          <w:noProof/>
          <w:sz w:val="24"/>
        </w:rPr>
        <w:t xml:space="preserve"> utrymme för en statlig part att erkänna ett skjutvapen som har gjorts obrukbart som ett skjutvapen i enlighet med de nationella lagarna, och att vidta nödvändiga åtgärder utif</w:t>
      </w:r>
      <w:r>
        <w:rPr>
          <w:rFonts w:ascii="Times New Roman" w:hAnsi="Times New Roman"/>
          <w:noProof/>
          <w:sz w:val="24"/>
        </w:rPr>
        <w:t>rån detta.</w:t>
      </w:r>
    </w:p>
    <w:p w:rsidR="006C32AE" w:rsidRDefault="00F456ED">
      <w:pPr>
        <w:pStyle w:val="Heading3"/>
        <w:ind w:firstLine="708"/>
        <w:rPr>
          <w:rFonts w:ascii="Times New Roman" w:hAnsi="Times New Roman"/>
          <w:i/>
          <w:noProof/>
          <w:sz w:val="24"/>
        </w:rPr>
      </w:pPr>
      <w:r>
        <w:rPr>
          <w:rFonts w:ascii="Times New Roman" w:hAnsi="Times New Roman"/>
          <w:i/>
          <w:noProof/>
          <w:sz w:val="24"/>
        </w:rPr>
        <w:t xml:space="preserve">5.1.4 Relevans </w:t>
      </w:r>
    </w:p>
    <w:p w:rsidR="006C32AE" w:rsidRDefault="00F456ED">
      <w:pPr>
        <w:spacing w:after="0"/>
        <w:jc w:val="both"/>
        <w:rPr>
          <w:rFonts w:ascii="Times New Roman" w:hAnsi="Times New Roman"/>
          <w:noProof/>
          <w:sz w:val="24"/>
          <w:szCs w:val="24"/>
        </w:rPr>
      </w:pPr>
      <w:r>
        <w:rPr>
          <w:rFonts w:ascii="Times New Roman" w:hAnsi="Times New Roman"/>
          <w:noProof/>
          <w:sz w:val="24"/>
        </w:rPr>
        <w:t>(29) Utvärderingen kom fram till att sammantaget är skjutvapendirektivet fortfarande fullt relevant för dagens marknadsbehov (dvs. i fråga om det gränsöverskridande flödet av skjutvapen). De farhågor som har tagits upp av ekonomi</w:t>
      </w:r>
      <w:r>
        <w:rPr>
          <w:rFonts w:ascii="Times New Roman" w:hAnsi="Times New Roman"/>
          <w:noProof/>
          <w:sz w:val="24"/>
        </w:rPr>
        <w:t>ska aktörer är framför allt relaterade till olika tillämpningsåtgärder och förfaranden som medlemsstaterna har antagit och som har orsakat ytterligare administrativ börda och kostnader som påverkar det gränsöverskridande flödet av skjutvapen negativt.</w:t>
      </w:r>
    </w:p>
    <w:p w:rsidR="006C32AE" w:rsidRDefault="006C32AE">
      <w:pPr>
        <w:spacing w:after="0"/>
        <w:jc w:val="both"/>
        <w:rPr>
          <w:rFonts w:ascii="Times New Roman" w:hAnsi="Times New Roman"/>
          <w:noProof/>
          <w:sz w:val="24"/>
          <w:szCs w:val="24"/>
        </w:rPr>
      </w:pPr>
    </w:p>
    <w:p w:rsidR="006C32AE" w:rsidRDefault="00F456ED">
      <w:pPr>
        <w:spacing w:after="0"/>
        <w:jc w:val="both"/>
        <w:rPr>
          <w:rFonts w:ascii="Times New Roman" w:hAnsi="Times New Roman"/>
          <w:noProof/>
          <w:sz w:val="24"/>
          <w:szCs w:val="24"/>
        </w:rPr>
      </w:pPr>
      <w:r>
        <w:rPr>
          <w:rFonts w:ascii="Times New Roman" w:hAnsi="Times New Roman"/>
          <w:noProof/>
          <w:sz w:val="24"/>
        </w:rPr>
        <w:t>(30</w:t>
      </w:r>
      <w:r>
        <w:rPr>
          <w:rFonts w:ascii="Times New Roman" w:hAnsi="Times New Roman"/>
          <w:noProof/>
          <w:sz w:val="24"/>
        </w:rPr>
        <w:t>) I fråga om säkerhetsmålen (t.ex. överträdelser som involverar lagligt ägda skjutvapen, stöld eller förlust av ursprungligen lagligt ägda skjutvapen, omvandling av larmvapen eller skjutvapen som har gjorts obrukbara), sammanfattar utvärderarna att direkti</w:t>
      </w:r>
      <w:r>
        <w:rPr>
          <w:rFonts w:ascii="Times New Roman" w:hAnsi="Times New Roman"/>
          <w:noProof/>
          <w:sz w:val="24"/>
        </w:rPr>
        <w:t xml:space="preserve">vet är relevant i fråga om de flesta säkerhetsriskerna. Utvärderarna har angett några företeelser som bör inkluderas i direktivet eller beskrivas bättre: omvandling av larmvapen, omvandling av halvautomatiska vapen, obrukbara vapen som åter görs brukbara, </w:t>
      </w:r>
      <w:r>
        <w:rPr>
          <w:rFonts w:ascii="Times New Roman" w:hAnsi="Times New Roman"/>
          <w:noProof/>
          <w:sz w:val="24"/>
        </w:rPr>
        <w:t xml:space="preserve">borttagning av märkning och olagligt bruk av ärvda vapen. Samtliga ger anledningar till oro gällande säkerhetsnivån i medlemsstaterna. Slutligen anges det i utvärderingen att framtida teknologiska utvecklingar, t.ex. nya tekniker (inklusive 3D-utskrifter) </w:t>
      </w:r>
      <w:r>
        <w:rPr>
          <w:rFonts w:ascii="Times New Roman" w:hAnsi="Times New Roman"/>
          <w:noProof/>
          <w:sz w:val="24"/>
        </w:rPr>
        <w:t>och nya försäljningskanaler (t.ex. internet)</w:t>
      </w:r>
      <w:r>
        <w:rPr>
          <w:rStyle w:val="FootnoteReference"/>
          <w:rFonts w:ascii="Times New Roman" w:hAnsi="Times New Roman"/>
          <w:noProof/>
          <w:sz w:val="24"/>
        </w:rPr>
        <w:footnoteReference w:id="24"/>
      </w:r>
      <w:r>
        <w:rPr>
          <w:rFonts w:ascii="Times New Roman" w:hAnsi="Times New Roman"/>
          <w:noProof/>
          <w:sz w:val="24"/>
        </w:rPr>
        <w:t xml:space="preserve"> framöver kan komma att påverka direktivets omfattning.</w:t>
      </w:r>
    </w:p>
    <w:p w:rsidR="006C32AE" w:rsidRDefault="00F456ED">
      <w:pPr>
        <w:pStyle w:val="Heading3"/>
        <w:ind w:firstLine="708"/>
        <w:rPr>
          <w:rFonts w:ascii="Times New Roman" w:hAnsi="Times New Roman"/>
          <w:i/>
          <w:noProof/>
          <w:sz w:val="24"/>
        </w:rPr>
      </w:pPr>
      <w:r>
        <w:rPr>
          <w:rFonts w:ascii="Times New Roman" w:hAnsi="Times New Roman"/>
          <w:i/>
          <w:noProof/>
          <w:sz w:val="24"/>
        </w:rPr>
        <w:t>5.1.5 Det europeiska mervärdet</w:t>
      </w:r>
    </w:p>
    <w:p w:rsidR="006C32AE" w:rsidRDefault="00F456ED">
      <w:pPr>
        <w:spacing w:after="0"/>
        <w:jc w:val="both"/>
        <w:rPr>
          <w:rFonts w:ascii="Times New Roman" w:hAnsi="Times New Roman"/>
          <w:noProof/>
          <w:sz w:val="24"/>
          <w:szCs w:val="24"/>
        </w:rPr>
      </w:pPr>
      <w:r>
        <w:rPr>
          <w:rFonts w:ascii="Times New Roman" w:hAnsi="Times New Roman"/>
          <w:noProof/>
          <w:sz w:val="24"/>
        </w:rPr>
        <w:t>(31) Skjutvapen är en särskild typ av föremål. De flesta säkerhetsfrågor som skjutvapendirektivet försöker hantera är av grä</w:t>
      </w:r>
      <w:r>
        <w:rPr>
          <w:rFonts w:ascii="Times New Roman" w:hAnsi="Times New Roman"/>
          <w:noProof/>
          <w:sz w:val="24"/>
        </w:rPr>
        <w:t>nsöverskridande art. En enda medlemsstat som är sårbar för kriminell aktivitet påverkar hela EU (t.ex. vid omvandling av larmvapen). Skillnader i den nationella lagstiftningen är ett hinder för kontroller och polisiärt samarbete mellan medlemsstaterna (t.e</w:t>
      </w:r>
      <w:r>
        <w:rPr>
          <w:rFonts w:ascii="Times New Roman" w:hAnsi="Times New Roman"/>
          <w:noProof/>
          <w:sz w:val="24"/>
        </w:rPr>
        <w:t>x. olika registreringskrav för samma typ av skjutvapen). Sammanfattningsvis konstateras i utvärderingen att de konkreta åtgärder som krävs för att uppnå målen – en hög säkerhetsnivå för EU-invånarna och ett gränsöverskridande flöde av skjutvapen – endast k</w:t>
      </w:r>
      <w:r>
        <w:rPr>
          <w:rFonts w:ascii="Times New Roman" w:hAnsi="Times New Roman"/>
          <w:noProof/>
          <w:sz w:val="24"/>
        </w:rPr>
        <w:t xml:space="preserve">an vidtas på EU-nivå. Skjutvapendirektivets onekliga mervärde består i etablerandet av ett gemensamt regelverk för regleringen av skjutvapen som inte hade kunnat genomföras genom nationella eller bilaterala interventioner. </w:t>
      </w:r>
    </w:p>
    <w:p w:rsidR="006C32AE" w:rsidRDefault="006C32AE">
      <w:pPr>
        <w:spacing w:after="0"/>
        <w:jc w:val="both"/>
        <w:rPr>
          <w:rFonts w:ascii="Times New Roman" w:hAnsi="Times New Roman"/>
          <w:noProof/>
          <w:sz w:val="24"/>
          <w:szCs w:val="24"/>
        </w:rPr>
      </w:pPr>
    </w:p>
    <w:p w:rsidR="006C32AE" w:rsidRDefault="00F456ED">
      <w:pPr>
        <w:spacing w:after="0"/>
        <w:jc w:val="both"/>
        <w:rPr>
          <w:rFonts w:ascii="Times New Roman" w:hAnsi="Times New Roman"/>
          <w:noProof/>
          <w:sz w:val="24"/>
          <w:szCs w:val="24"/>
        </w:rPr>
      </w:pPr>
      <w:r>
        <w:rPr>
          <w:rFonts w:ascii="Times New Roman" w:hAnsi="Times New Roman"/>
          <w:noProof/>
          <w:sz w:val="24"/>
        </w:rPr>
        <w:t>(32) Möjligheten att upprätthål</w:t>
      </w:r>
      <w:r>
        <w:rPr>
          <w:rFonts w:ascii="Times New Roman" w:hAnsi="Times New Roman"/>
          <w:noProof/>
          <w:sz w:val="24"/>
        </w:rPr>
        <w:t>la en hög säkerhetsnivå och förbättra den inre marknaden har fungerat tack vare det faktum att direktivet i sig är flexibelt. Direktivet fastställer gemensamma minimikrav samtidigt som det respekterar subsidiaritetsprincipen och ger medlemsstaten möjlighet</w:t>
      </w:r>
      <w:r>
        <w:rPr>
          <w:rFonts w:ascii="Times New Roman" w:hAnsi="Times New Roman"/>
          <w:noProof/>
          <w:sz w:val="24"/>
        </w:rPr>
        <w:t xml:space="preserve"> att anta strängare regler utifrån nationella behov och historik. Dessutom har medlemsstaterna och EU-invånarna fått en garanti på att de allmänna säkerhetsåtgärder som ingår i direktivet och rör skjutvapen som tillverkas och överförs inom Europa är i kraf</w:t>
      </w:r>
      <w:r>
        <w:rPr>
          <w:rFonts w:ascii="Times New Roman" w:hAnsi="Times New Roman"/>
          <w:noProof/>
          <w:sz w:val="24"/>
        </w:rPr>
        <w:t xml:space="preserve">t i samtliga medlemsstater. </w:t>
      </w:r>
    </w:p>
    <w:p w:rsidR="006C32AE" w:rsidRDefault="006C32AE">
      <w:pPr>
        <w:spacing w:after="0"/>
        <w:jc w:val="both"/>
        <w:rPr>
          <w:rFonts w:ascii="Times New Roman" w:hAnsi="Times New Roman"/>
          <w:noProof/>
          <w:sz w:val="24"/>
          <w:szCs w:val="24"/>
        </w:rPr>
      </w:pPr>
    </w:p>
    <w:p w:rsidR="006C32AE" w:rsidRDefault="00F456ED">
      <w:pPr>
        <w:spacing w:after="0"/>
        <w:jc w:val="both"/>
        <w:rPr>
          <w:rFonts w:ascii="Times New Roman" w:hAnsi="Times New Roman"/>
          <w:noProof/>
          <w:sz w:val="24"/>
          <w:szCs w:val="24"/>
        </w:rPr>
      </w:pPr>
      <w:r>
        <w:rPr>
          <w:rFonts w:ascii="Times New Roman" w:hAnsi="Times New Roman"/>
          <w:noProof/>
          <w:sz w:val="24"/>
        </w:rPr>
        <w:t>(33) De minimiregler som anges av direktivet bidrar även till att den inre marknaden fungerar bättre och att den lagliga marknaden för skjutvapen förstärks. Rörande marknadsaspekten har den största förväntade effekten på EU-ni</w:t>
      </w:r>
      <w:r>
        <w:rPr>
          <w:rFonts w:ascii="Times New Roman" w:hAnsi="Times New Roman"/>
          <w:noProof/>
          <w:sz w:val="24"/>
        </w:rPr>
        <w:t>vå (etablerandet av gemensamma kategorier) motverkats av att medlemsstaterna tillämpat reglerna på olika sätt. Dock är det goda resultatet av det europeiska skjutvapenpasset i fråga om stöd för gränsöverskridande rörlighet för jägare och tävlingsskyttar et</w:t>
      </w:r>
      <w:r>
        <w:rPr>
          <w:rFonts w:ascii="Times New Roman" w:hAnsi="Times New Roman"/>
          <w:noProof/>
          <w:sz w:val="24"/>
        </w:rPr>
        <w:t xml:space="preserve">t exempel på det potentiella mervärdet från samarbete på EU-nivå. </w:t>
      </w:r>
    </w:p>
    <w:p w:rsidR="006C32AE" w:rsidRDefault="006C32AE">
      <w:pPr>
        <w:spacing w:after="0"/>
        <w:rPr>
          <w:rFonts w:ascii="Times New Roman" w:hAnsi="Times New Roman"/>
          <w:noProof/>
          <w:sz w:val="24"/>
          <w:szCs w:val="24"/>
        </w:rPr>
      </w:pPr>
    </w:p>
    <w:p w:rsidR="006C32AE" w:rsidRDefault="00F456ED">
      <w:pPr>
        <w:pStyle w:val="Heading2"/>
        <w:rPr>
          <w:rFonts w:ascii="Times New Roman" w:hAnsi="Times New Roman"/>
          <w:i w:val="0"/>
          <w:noProof/>
          <w:sz w:val="24"/>
        </w:rPr>
      </w:pPr>
      <w:r>
        <w:rPr>
          <w:rFonts w:ascii="Times New Roman" w:hAnsi="Times New Roman"/>
          <w:i w:val="0"/>
          <w:noProof/>
          <w:sz w:val="24"/>
        </w:rPr>
        <w:t xml:space="preserve">5.2 Rekommendationer </w:t>
      </w:r>
    </w:p>
    <w:p w:rsidR="006C32AE" w:rsidRDefault="00F456ED">
      <w:pPr>
        <w:spacing w:after="0"/>
        <w:jc w:val="both"/>
        <w:rPr>
          <w:rFonts w:ascii="Times New Roman" w:hAnsi="Times New Roman"/>
          <w:noProof/>
          <w:sz w:val="24"/>
          <w:szCs w:val="24"/>
        </w:rPr>
      </w:pPr>
      <w:r>
        <w:rPr>
          <w:rFonts w:ascii="Times New Roman" w:hAnsi="Times New Roman"/>
          <w:noProof/>
          <w:sz w:val="24"/>
        </w:rPr>
        <w:t>(34) Baserat på resultaten från utvärderingen har utvärderaren tagit fram ett antal rekommendationer, uppdelat i sådant som kräver lagstiftningsåtgärder och sådana so</w:t>
      </w:r>
      <w:r>
        <w:rPr>
          <w:rFonts w:ascii="Times New Roman" w:hAnsi="Times New Roman"/>
          <w:noProof/>
          <w:sz w:val="24"/>
        </w:rPr>
        <w:t>m inte gör det.</w:t>
      </w:r>
    </w:p>
    <w:p w:rsidR="006C32AE" w:rsidRDefault="006C32AE">
      <w:pPr>
        <w:spacing w:after="0"/>
        <w:rPr>
          <w:rFonts w:ascii="Times New Roman" w:hAnsi="Times New Roman"/>
          <w:noProof/>
          <w:sz w:val="24"/>
          <w:szCs w:val="24"/>
        </w:rPr>
      </w:pPr>
    </w:p>
    <w:p w:rsidR="006C32AE" w:rsidRDefault="00F456ED">
      <w:pPr>
        <w:numPr>
          <w:ilvl w:val="0"/>
          <w:numId w:val="7"/>
        </w:numPr>
        <w:spacing w:after="0"/>
        <w:jc w:val="both"/>
        <w:rPr>
          <w:rFonts w:ascii="Times New Roman" w:hAnsi="Times New Roman"/>
          <w:b/>
          <w:i/>
          <w:noProof/>
          <w:sz w:val="24"/>
          <w:szCs w:val="24"/>
          <w:u w:val="single"/>
        </w:rPr>
      </w:pPr>
      <w:r>
        <w:rPr>
          <w:rFonts w:ascii="Times New Roman" w:hAnsi="Times New Roman"/>
          <w:b/>
          <w:noProof/>
          <w:sz w:val="24"/>
        </w:rPr>
        <w:t xml:space="preserve">Gemensamma kriterier för omvandling av larmvapen </w:t>
      </w:r>
      <w:r>
        <w:rPr>
          <w:rFonts w:ascii="Times New Roman" w:hAnsi="Times New Roman"/>
          <w:b/>
          <w:i/>
          <w:noProof/>
          <w:sz w:val="24"/>
          <w:u w:val="single"/>
        </w:rPr>
        <w:t>(kräver lagstiftning)</w:t>
      </w:r>
    </w:p>
    <w:p w:rsidR="006C32AE" w:rsidRDefault="00F456ED">
      <w:pPr>
        <w:spacing w:after="0"/>
        <w:jc w:val="both"/>
        <w:rPr>
          <w:rFonts w:ascii="Times New Roman" w:hAnsi="Times New Roman"/>
          <w:noProof/>
          <w:sz w:val="24"/>
          <w:szCs w:val="24"/>
        </w:rPr>
      </w:pPr>
      <w:r>
        <w:rPr>
          <w:rFonts w:ascii="Times New Roman" w:hAnsi="Times New Roman"/>
          <w:noProof/>
          <w:sz w:val="24"/>
        </w:rPr>
        <w:t>I utvärderingen underströks det viktiga i att klargöra definitionen av omvandling och kriterierna för definitionen av larmvapen, för att skapa en gemensam förståelse för vilken typ av larmvapen som kan omvandlas och begränsa spridningen av dem som har visa</w:t>
      </w:r>
      <w:r>
        <w:rPr>
          <w:rFonts w:ascii="Times New Roman" w:hAnsi="Times New Roman"/>
          <w:noProof/>
          <w:sz w:val="24"/>
        </w:rPr>
        <w:t xml:space="preserve">t sig vara möjliga att omvandla till fungerande skjutvapen. </w:t>
      </w:r>
      <w:r>
        <w:rPr>
          <w:rFonts w:ascii="Times New Roman" w:hAnsi="Times New Roman"/>
          <w:b/>
          <w:noProof/>
          <w:sz w:val="24"/>
        </w:rPr>
        <w:t>Underliggande problem:</w:t>
      </w:r>
      <w:r>
        <w:rPr>
          <w:rFonts w:ascii="Times New Roman" w:hAnsi="Times New Roman"/>
          <w:noProof/>
          <w:sz w:val="24"/>
        </w:rPr>
        <w:t xml:space="preserve"> Det framkom att omvandling av vapen som ursprungligen använder lös ammunition (larmvapen och signalvapen) till att använda skarp ammunition är ett allvarligt problem i ett s</w:t>
      </w:r>
      <w:r>
        <w:rPr>
          <w:rFonts w:ascii="Times New Roman" w:hAnsi="Times New Roman"/>
          <w:noProof/>
          <w:sz w:val="24"/>
        </w:rPr>
        <w:t xml:space="preserve">tort antal medlemsstater. </w:t>
      </w:r>
    </w:p>
    <w:p w:rsidR="006C32AE" w:rsidRDefault="006C32AE">
      <w:pPr>
        <w:spacing w:after="0"/>
        <w:jc w:val="both"/>
        <w:rPr>
          <w:rFonts w:ascii="Times New Roman" w:hAnsi="Times New Roman"/>
          <w:b/>
          <w:i/>
          <w:noProof/>
          <w:sz w:val="24"/>
          <w:szCs w:val="24"/>
          <w:u w:val="single"/>
        </w:rPr>
      </w:pPr>
    </w:p>
    <w:p w:rsidR="006C32AE" w:rsidRDefault="00F456ED">
      <w:pPr>
        <w:numPr>
          <w:ilvl w:val="0"/>
          <w:numId w:val="6"/>
        </w:numPr>
        <w:spacing w:after="0"/>
        <w:ind w:left="357" w:hanging="357"/>
        <w:jc w:val="both"/>
        <w:rPr>
          <w:rFonts w:ascii="Times New Roman" w:hAnsi="Times New Roman"/>
          <w:b/>
          <w:i/>
          <w:noProof/>
          <w:sz w:val="24"/>
          <w:szCs w:val="24"/>
          <w:u w:val="single"/>
        </w:rPr>
      </w:pPr>
      <w:r>
        <w:rPr>
          <w:rFonts w:ascii="Times New Roman" w:hAnsi="Times New Roman"/>
          <w:b/>
          <w:noProof/>
          <w:sz w:val="24"/>
        </w:rPr>
        <w:t xml:space="preserve">Harmonisering av normer och teknik för att göra skjutvapen obrukbara </w:t>
      </w:r>
      <w:r>
        <w:rPr>
          <w:rFonts w:ascii="Times New Roman" w:hAnsi="Times New Roman"/>
          <w:b/>
          <w:i/>
          <w:noProof/>
          <w:sz w:val="24"/>
          <w:u w:val="single"/>
        </w:rPr>
        <w:t>(kräver lagstiftning)</w:t>
      </w:r>
    </w:p>
    <w:p w:rsidR="006C32AE" w:rsidRDefault="00F456ED">
      <w:pPr>
        <w:jc w:val="both"/>
        <w:rPr>
          <w:rFonts w:ascii="Times New Roman" w:hAnsi="Times New Roman"/>
          <w:noProof/>
          <w:sz w:val="24"/>
          <w:szCs w:val="24"/>
        </w:rPr>
      </w:pPr>
      <w:r>
        <w:rPr>
          <w:rFonts w:ascii="Times New Roman" w:hAnsi="Times New Roman"/>
          <w:noProof/>
          <w:sz w:val="24"/>
        </w:rPr>
        <w:t>I utvärderingen ingår en rekommendation om att fortsätta det pågående arbetet med att fastställa gemensamma riktlinjer om normer och teknik för att göra skjutvapen obrukbara som även följer bestämmelserna i direktivet, i vilket det ju anges att kommissione</w:t>
      </w:r>
      <w:r>
        <w:rPr>
          <w:rFonts w:ascii="Times New Roman" w:hAnsi="Times New Roman"/>
          <w:noProof/>
          <w:sz w:val="24"/>
        </w:rPr>
        <w:t xml:space="preserve">n bör ta fram gemensamma riktlinjer för detta. Riktlinjernas omfattning bör utökas så att de även inkluderar regler rörande kraven på innehav, försäljning eller överföring av obrukbara skjutvapen. </w:t>
      </w:r>
      <w:r>
        <w:rPr>
          <w:rFonts w:ascii="Times New Roman" w:hAnsi="Times New Roman"/>
          <w:b/>
          <w:noProof/>
          <w:sz w:val="24"/>
        </w:rPr>
        <w:t>Underliggande problem:</w:t>
      </w:r>
      <w:r>
        <w:rPr>
          <w:rFonts w:ascii="Times New Roman" w:hAnsi="Times New Roman"/>
          <w:noProof/>
          <w:sz w:val="24"/>
        </w:rPr>
        <w:t xml:space="preserve"> Bristen på gemensamma riktlinjer om </w:t>
      </w:r>
      <w:r>
        <w:rPr>
          <w:rFonts w:ascii="Times New Roman" w:hAnsi="Times New Roman"/>
          <w:noProof/>
          <w:sz w:val="24"/>
        </w:rPr>
        <w:t>normer och tekniker för att göra skjutvapen obrukbara är orsak till att skjutvapen som gjorts obrukbara med hänsyn till olika säkerhetskrav är i omlopp och eventuellt kan tas i bruk igen. Bortsett från tekniska normer för att göra skjutvapen obrukbara är k</w:t>
      </w:r>
      <w:r>
        <w:rPr>
          <w:rFonts w:ascii="Times New Roman" w:hAnsi="Times New Roman"/>
          <w:noProof/>
          <w:sz w:val="24"/>
        </w:rPr>
        <w:t>raven för innehav, försäljning och överföring andra viktiga aspekter att ta med i beräkningen. I de flesta medlemsstaterna betraktas obrukbara skjutvapen inte längre som skjutvapen. Därför tas de bort från de officiella registren, vilket gör det omöjligt a</w:t>
      </w:r>
      <w:r>
        <w:rPr>
          <w:rFonts w:ascii="Times New Roman" w:hAnsi="Times New Roman"/>
          <w:noProof/>
          <w:sz w:val="24"/>
        </w:rPr>
        <w:t xml:space="preserve">tt spåra dem tillbaka till deras ursprungliga innehavare. Detta trots att dessa vapen fortfarande kan anses vara en säkerhetsrisk och användas för påtryckningar. </w:t>
      </w:r>
    </w:p>
    <w:p w:rsidR="006C32AE" w:rsidRDefault="00F456ED">
      <w:pPr>
        <w:numPr>
          <w:ilvl w:val="0"/>
          <w:numId w:val="6"/>
        </w:numPr>
        <w:spacing w:after="0"/>
        <w:ind w:left="357" w:hanging="357"/>
        <w:jc w:val="both"/>
        <w:rPr>
          <w:rFonts w:ascii="Times New Roman" w:hAnsi="Times New Roman"/>
          <w:b/>
          <w:noProof/>
          <w:sz w:val="24"/>
          <w:szCs w:val="24"/>
        </w:rPr>
      </w:pPr>
      <w:r>
        <w:rPr>
          <w:rFonts w:ascii="Times New Roman" w:hAnsi="Times New Roman"/>
          <w:b/>
          <w:noProof/>
          <w:sz w:val="24"/>
        </w:rPr>
        <w:t xml:space="preserve">Harmonisering av reglerna om märkning </w:t>
      </w:r>
      <w:r>
        <w:rPr>
          <w:rFonts w:ascii="Times New Roman" w:hAnsi="Times New Roman"/>
          <w:b/>
          <w:i/>
          <w:noProof/>
          <w:sz w:val="24"/>
          <w:u w:val="single"/>
        </w:rPr>
        <w:t>(kräver lagstiftning)</w:t>
      </w:r>
    </w:p>
    <w:p w:rsidR="006C32AE" w:rsidRDefault="00F456ED">
      <w:pPr>
        <w:spacing w:after="0"/>
        <w:jc w:val="both"/>
        <w:rPr>
          <w:rFonts w:ascii="Times New Roman" w:hAnsi="Times New Roman"/>
          <w:b/>
          <w:noProof/>
          <w:sz w:val="24"/>
          <w:szCs w:val="24"/>
        </w:rPr>
      </w:pPr>
      <w:r>
        <w:rPr>
          <w:rFonts w:ascii="Times New Roman" w:hAnsi="Times New Roman"/>
          <w:noProof/>
          <w:sz w:val="24"/>
        </w:rPr>
        <w:t>I utvärderingen rekommenderas att</w:t>
      </w:r>
      <w:r>
        <w:rPr>
          <w:rFonts w:ascii="Times New Roman" w:hAnsi="Times New Roman"/>
          <w:noProof/>
          <w:sz w:val="24"/>
        </w:rPr>
        <w:t xml:space="preserve"> direktivets nuvarande definition av delar och komponenter anpassas till den definition som ingår i FN:s protokoll om skjutvapen, att det föreslås märkningsnormer på EU-nivå och att direktivet utökas med ett krav på märkning av alla väsentliga delar vid ti</w:t>
      </w:r>
      <w:r>
        <w:rPr>
          <w:rFonts w:ascii="Times New Roman" w:hAnsi="Times New Roman"/>
          <w:noProof/>
          <w:sz w:val="24"/>
        </w:rPr>
        <w:t xml:space="preserve">dpunkten för tillverkning eller import. </w:t>
      </w:r>
      <w:r>
        <w:rPr>
          <w:rFonts w:ascii="Times New Roman" w:hAnsi="Times New Roman"/>
          <w:b/>
          <w:noProof/>
          <w:sz w:val="24"/>
        </w:rPr>
        <w:t>Underliggande problem:</w:t>
      </w:r>
      <w:r>
        <w:rPr>
          <w:rFonts w:ascii="Times New Roman" w:hAnsi="Times New Roman"/>
          <w:noProof/>
          <w:sz w:val="24"/>
        </w:rPr>
        <w:t xml:space="preserve"> Vissa medlemsstater har inte behandlat de väsentliga delarna som skjutvapen, och skyldigheten att endast markera ”en väsentlig del” har tolkats på olika sätt, vilket har skapat svårigheter för </w:t>
      </w:r>
      <w:r>
        <w:rPr>
          <w:rFonts w:ascii="Times New Roman" w:hAnsi="Times New Roman"/>
          <w:noProof/>
          <w:sz w:val="24"/>
        </w:rPr>
        <w:t>brottsbekämpande myndigheter vid spårning av skjutvapen i gränsöverskridande brott. Det kan även komma att förhindra en välfungerande inre marknad, eftersom märkningen eventuellt inte erkänns av alla medlemsstater.</w:t>
      </w:r>
      <w:r>
        <w:rPr>
          <w:noProof/>
        </w:rPr>
        <w:t xml:space="preserve"> </w:t>
      </w:r>
      <w:r>
        <w:rPr>
          <w:rFonts w:ascii="Times New Roman" w:hAnsi="Times New Roman"/>
          <w:noProof/>
          <w:sz w:val="24"/>
        </w:rPr>
        <w:t>Det bör göras en preliminär djupanalys av</w:t>
      </w:r>
      <w:r>
        <w:rPr>
          <w:rFonts w:ascii="Times New Roman" w:hAnsi="Times New Roman"/>
          <w:noProof/>
          <w:sz w:val="24"/>
        </w:rPr>
        <w:t xml:space="preserve"> vilka delar till skjutvapen som regleras och märks i medlemsstaterna. Man bör även på EU-nivå ta upp skillnaderna mellan definitionen av ”väsentliga delar” i skjutvapendirektivet och ”delar och komponenter” i FN-protokollet, för att utvärdera om det behöv</w:t>
      </w:r>
      <w:r>
        <w:rPr>
          <w:rFonts w:ascii="Times New Roman" w:hAnsi="Times New Roman"/>
          <w:noProof/>
          <w:sz w:val="24"/>
        </w:rPr>
        <w:t xml:space="preserve">er göras en ändring av definitionerna i direktivet. </w:t>
      </w:r>
    </w:p>
    <w:p w:rsidR="006C32AE" w:rsidRDefault="006C32AE">
      <w:pPr>
        <w:spacing w:after="0"/>
        <w:ind w:left="357"/>
        <w:jc w:val="both"/>
        <w:rPr>
          <w:rFonts w:ascii="Times New Roman" w:hAnsi="Times New Roman"/>
          <w:b/>
          <w:noProof/>
          <w:sz w:val="24"/>
          <w:szCs w:val="24"/>
        </w:rPr>
      </w:pPr>
    </w:p>
    <w:p w:rsidR="006C32AE" w:rsidRDefault="00F456ED">
      <w:pPr>
        <w:numPr>
          <w:ilvl w:val="0"/>
          <w:numId w:val="6"/>
        </w:numPr>
        <w:spacing w:after="0"/>
        <w:ind w:left="357" w:hanging="357"/>
        <w:jc w:val="both"/>
        <w:rPr>
          <w:rFonts w:ascii="Times New Roman" w:hAnsi="Times New Roman"/>
          <w:b/>
          <w:noProof/>
          <w:sz w:val="24"/>
          <w:szCs w:val="24"/>
        </w:rPr>
      </w:pPr>
      <w:r>
        <w:rPr>
          <w:rFonts w:ascii="Times New Roman" w:hAnsi="Times New Roman"/>
          <w:b/>
          <w:noProof/>
          <w:sz w:val="24"/>
        </w:rPr>
        <w:t xml:space="preserve">Öppenhet och tillgång till nationella regler för tillämpning av direktivet </w:t>
      </w:r>
      <w:r>
        <w:rPr>
          <w:rFonts w:ascii="Times New Roman" w:hAnsi="Times New Roman"/>
          <w:b/>
          <w:i/>
          <w:noProof/>
          <w:sz w:val="24"/>
        </w:rPr>
        <w:t>(kräver ingen lagstiftning)</w:t>
      </w:r>
      <w:r>
        <w:rPr>
          <w:rFonts w:ascii="Times New Roman" w:hAnsi="Times New Roman"/>
          <w:b/>
          <w:noProof/>
          <w:sz w:val="24"/>
        </w:rPr>
        <w:t xml:space="preserve"> </w:t>
      </w:r>
    </w:p>
    <w:p w:rsidR="006C32AE" w:rsidRDefault="00F456ED">
      <w:pPr>
        <w:spacing w:after="0"/>
        <w:jc w:val="both"/>
        <w:rPr>
          <w:rFonts w:ascii="Times New Roman" w:hAnsi="Times New Roman"/>
          <w:noProof/>
          <w:sz w:val="24"/>
          <w:szCs w:val="24"/>
        </w:rPr>
      </w:pPr>
      <w:r>
        <w:rPr>
          <w:rFonts w:ascii="Times New Roman" w:hAnsi="Times New Roman"/>
          <w:noProof/>
          <w:sz w:val="24"/>
        </w:rPr>
        <w:t xml:space="preserve">I utvärderingen rekommenderas att alla intresserade aktörer på ett bättre sätt ska ha tillgång på </w:t>
      </w:r>
      <w:r>
        <w:rPr>
          <w:rFonts w:ascii="Times New Roman" w:hAnsi="Times New Roman"/>
          <w:noProof/>
          <w:sz w:val="24"/>
        </w:rPr>
        <w:t>EU-nivå till sådan information som samlas in på nationell nivå (t.ex. genom att skapa en databas som samlar information om befintlig lagstiftning och krav i de 28 medlemsstaterna), särskilt sett till de informationskostnader som annars kan uppstå för små o</w:t>
      </w:r>
      <w:r>
        <w:rPr>
          <w:rFonts w:ascii="Times New Roman" w:hAnsi="Times New Roman"/>
          <w:noProof/>
          <w:sz w:val="24"/>
        </w:rPr>
        <w:t xml:space="preserve">ch medelstora företag. </w:t>
      </w:r>
      <w:r>
        <w:rPr>
          <w:rFonts w:ascii="Times New Roman" w:hAnsi="Times New Roman"/>
          <w:b/>
          <w:noProof/>
          <w:sz w:val="24"/>
        </w:rPr>
        <w:t>Underliggande problem:</w:t>
      </w:r>
      <w:r>
        <w:rPr>
          <w:rFonts w:ascii="Times New Roman" w:hAnsi="Times New Roman"/>
          <w:noProof/>
          <w:sz w:val="24"/>
        </w:rPr>
        <w:t xml:space="preserve"> Skillnader vid tillämpningen är orsak till långsammare överföring av skjutvapen inom EU, informationskostnader (särskilt för små och medelstora företag) och bördor på grund av skillnader i de olika administrati</w:t>
      </w:r>
      <w:r>
        <w:rPr>
          <w:rFonts w:ascii="Times New Roman" w:hAnsi="Times New Roman"/>
          <w:noProof/>
          <w:sz w:val="24"/>
        </w:rPr>
        <w:t xml:space="preserve">va förfarandena. </w:t>
      </w:r>
    </w:p>
    <w:p w:rsidR="006C32AE" w:rsidRDefault="006C32AE">
      <w:pPr>
        <w:spacing w:after="0"/>
        <w:jc w:val="both"/>
        <w:rPr>
          <w:rFonts w:ascii="Times New Roman" w:hAnsi="Times New Roman"/>
          <w:noProof/>
          <w:sz w:val="24"/>
          <w:szCs w:val="24"/>
        </w:rPr>
      </w:pPr>
    </w:p>
    <w:p w:rsidR="006C32AE" w:rsidRDefault="00F456ED">
      <w:pPr>
        <w:numPr>
          <w:ilvl w:val="0"/>
          <w:numId w:val="6"/>
        </w:numPr>
        <w:spacing w:after="0"/>
        <w:ind w:left="357" w:hanging="357"/>
        <w:jc w:val="both"/>
        <w:rPr>
          <w:rFonts w:ascii="Times New Roman" w:hAnsi="Times New Roman"/>
          <w:b/>
          <w:noProof/>
          <w:sz w:val="24"/>
          <w:szCs w:val="24"/>
        </w:rPr>
      </w:pPr>
      <w:r>
        <w:rPr>
          <w:rFonts w:ascii="Times New Roman" w:hAnsi="Times New Roman"/>
          <w:b/>
          <w:noProof/>
          <w:sz w:val="24"/>
        </w:rPr>
        <w:t xml:space="preserve">Gemensamt system för klassificering av skjutvapen för jakt och tävlingsskytte och förtydligande av reglerna för det europeiska skjutvapenpasset </w:t>
      </w:r>
      <w:r>
        <w:rPr>
          <w:rFonts w:ascii="Times New Roman" w:hAnsi="Times New Roman"/>
          <w:b/>
          <w:i/>
          <w:noProof/>
          <w:sz w:val="24"/>
        </w:rPr>
        <w:t>(kräver ingen lagstiftning)</w:t>
      </w:r>
      <w:r>
        <w:rPr>
          <w:rFonts w:ascii="Times New Roman" w:hAnsi="Times New Roman"/>
          <w:b/>
          <w:noProof/>
          <w:sz w:val="24"/>
        </w:rPr>
        <w:t xml:space="preserve"> </w:t>
      </w:r>
    </w:p>
    <w:p w:rsidR="006C32AE" w:rsidRDefault="00F456ED">
      <w:pPr>
        <w:spacing w:after="0"/>
        <w:jc w:val="both"/>
        <w:rPr>
          <w:rFonts w:ascii="Times New Roman" w:hAnsi="Times New Roman"/>
          <w:noProof/>
          <w:sz w:val="24"/>
          <w:szCs w:val="24"/>
        </w:rPr>
      </w:pPr>
      <w:r>
        <w:rPr>
          <w:rFonts w:ascii="Times New Roman" w:hAnsi="Times New Roman"/>
          <w:noProof/>
          <w:sz w:val="24"/>
        </w:rPr>
        <w:t>I utvärderingen rekommenderas att regler som gäller det europeis</w:t>
      </w:r>
      <w:r>
        <w:rPr>
          <w:rFonts w:ascii="Times New Roman" w:hAnsi="Times New Roman"/>
          <w:noProof/>
          <w:sz w:val="24"/>
        </w:rPr>
        <w:t xml:space="preserve">ka skjutvapenpasset definieras ytterligare på EU-nivå (t.ex. i fråga om antalet ytterligare dokument som de nationella myndigheterna kräver eller antalet skjutvapen som kan inkluderas i skjutvapenpasset). </w:t>
      </w:r>
      <w:r>
        <w:rPr>
          <w:rFonts w:ascii="Times New Roman" w:hAnsi="Times New Roman"/>
          <w:b/>
          <w:noProof/>
          <w:sz w:val="24"/>
        </w:rPr>
        <w:t>Underliggande problem:</w:t>
      </w:r>
      <w:r>
        <w:rPr>
          <w:rFonts w:ascii="Times New Roman" w:hAnsi="Times New Roman"/>
          <w:noProof/>
          <w:sz w:val="24"/>
        </w:rPr>
        <w:t xml:space="preserve"> Klassificeringen av de skjut</w:t>
      </w:r>
      <w:r>
        <w:rPr>
          <w:rFonts w:ascii="Times New Roman" w:hAnsi="Times New Roman"/>
          <w:noProof/>
          <w:sz w:val="24"/>
        </w:rPr>
        <w:t>vapen som normalt används för dessa aktiviteter varierar i olika medlemsstater (med andra ord kan skjutvapen som normalt används för tävlingsskytte vara förbjudna i vissa medlemsstater). Även restriktiva tolkningar av vissa regler som hänger samman med skj</w:t>
      </w:r>
      <w:r>
        <w:rPr>
          <w:rFonts w:ascii="Times New Roman" w:hAnsi="Times New Roman"/>
          <w:noProof/>
          <w:sz w:val="24"/>
        </w:rPr>
        <w:t xml:space="preserve">utvapenpasset kan orsaka problem. </w:t>
      </w:r>
    </w:p>
    <w:p w:rsidR="006C32AE" w:rsidRDefault="006C32AE">
      <w:pPr>
        <w:spacing w:after="0"/>
        <w:ind w:left="357"/>
        <w:jc w:val="both"/>
        <w:rPr>
          <w:rFonts w:ascii="Times New Roman" w:hAnsi="Times New Roman"/>
          <w:noProof/>
          <w:sz w:val="24"/>
          <w:szCs w:val="24"/>
        </w:rPr>
      </w:pPr>
    </w:p>
    <w:p w:rsidR="006C32AE" w:rsidRDefault="00F456ED">
      <w:pPr>
        <w:numPr>
          <w:ilvl w:val="0"/>
          <w:numId w:val="6"/>
        </w:numPr>
        <w:spacing w:after="0"/>
        <w:ind w:left="357" w:hanging="357"/>
        <w:jc w:val="both"/>
        <w:rPr>
          <w:rFonts w:ascii="Times New Roman" w:hAnsi="Times New Roman"/>
          <w:b/>
          <w:noProof/>
          <w:sz w:val="24"/>
          <w:szCs w:val="24"/>
        </w:rPr>
      </w:pPr>
      <w:r>
        <w:rPr>
          <w:rFonts w:ascii="Times New Roman" w:hAnsi="Times New Roman"/>
          <w:b/>
          <w:noProof/>
          <w:sz w:val="24"/>
        </w:rPr>
        <w:t xml:space="preserve">Djupanalys av nyckelfrågor </w:t>
      </w:r>
      <w:r>
        <w:rPr>
          <w:rFonts w:ascii="Times New Roman" w:hAnsi="Times New Roman"/>
          <w:b/>
          <w:i/>
          <w:noProof/>
          <w:sz w:val="24"/>
        </w:rPr>
        <w:t xml:space="preserve">(kräver ingen lagstiftning)  </w:t>
      </w:r>
    </w:p>
    <w:p w:rsidR="006C32AE" w:rsidRDefault="00F456ED">
      <w:pPr>
        <w:spacing w:after="0"/>
        <w:jc w:val="both"/>
        <w:rPr>
          <w:rFonts w:ascii="Times New Roman" w:hAnsi="Times New Roman"/>
          <w:noProof/>
          <w:sz w:val="24"/>
          <w:szCs w:val="24"/>
        </w:rPr>
      </w:pPr>
      <w:r>
        <w:rPr>
          <w:rFonts w:ascii="Times New Roman" w:hAnsi="Times New Roman"/>
          <w:noProof/>
          <w:sz w:val="24"/>
        </w:rPr>
        <w:t>I utvärderingen rekommenderas en djupanalys av vissa specifika punkter i direktivet som i utvärderingen visade sig vara problematiska: 1) ytterligare harmonisering</w:t>
      </w:r>
      <w:r>
        <w:rPr>
          <w:rFonts w:ascii="Times New Roman" w:hAnsi="Times New Roman"/>
          <w:noProof/>
          <w:sz w:val="24"/>
        </w:rPr>
        <w:t xml:space="preserve"> av kraven i samband med innehav av skjutvapen 2) tolkning av termen vapenmäklare 3) utvärdering av reglerna som tillämpas för halvautomatiska vapen och utvärdering av deras skadenivå (sett till det faktum att de kan omvandlas till automatvapen). </w:t>
      </w:r>
      <w:r>
        <w:rPr>
          <w:rFonts w:ascii="Times New Roman" w:hAnsi="Times New Roman"/>
          <w:b/>
          <w:noProof/>
          <w:sz w:val="24"/>
        </w:rPr>
        <w:t>Underligg</w:t>
      </w:r>
      <w:r>
        <w:rPr>
          <w:rFonts w:ascii="Times New Roman" w:hAnsi="Times New Roman"/>
          <w:b/>
          <w:noProof/>
          <w:sz w:val="24"/>
        </w:rPr>
        <w:t>ande problem:</w:t>
      </w:r>
      <w:r>
        <w:rPr>
          <w:rFonts w:ascii="Times New Roman" w:hAnsi="Times New Roman"/>
          <w:noProof/>
          <w:sz w:val="24"/>
        </w:rPr>
        <w:t xml:space="preserve"> 1) Krav för innehav av skjutvapen: utvärderarna noterade en stegvis nationell anpassning i medlemsstaterna mot gemensamma och mer detaljerade krav än de som anges i direktivet. 2) Termen vapenmäklare: inkonsekvens i definitionen av termen kan</w:t>
      </w:r>
      <w:r>
        <w:rPr>
          <w:rFonts w:ascii="Times New Roman" w:hAnsi="Times New Roman"/>
          <w:noProof/>
          <w:sz w:val="24"/>
        </w:rPr>
        <w:t xml:space="preserve"> orsaka risker. 3) Halvautomatiska vapen: ett antal medlemsstater har understrukit riskerna i samband med omvandlingen av halvautomatiska vapen till automatvapen.</w:t>
      </w:r>
    </w:p>
    <w:p w:rsidR="006C32AE" w:rsidRDefault="006C32AE">
      <w:pPr>
        <w:spacing w:after="0"/>
        <w:ind w:left="357"/>
        <w:jc w:val="both"/>
        <w:rPr>
          <w:rFonts w:ascii="Times New Roman" w:hAnsi="Times New Roman"/>
          <w:noProof/>
          <w:sz w:val="24"/>
          <w:szCs w:val="24"/>
        </w:rPr>
      </w:pPr>
    </w:p>
    <w:p w:rsidR="006C32AE" w:rsidRDefault="00F456ED" w:rsidP="00F456ED">
      <w:pPr>
        <w:keepNext/>
        <w:numPr>
          <w:ilvl w:val="0"/>
          <w:numId w:val="6"/>
        </w:numPr>
        <w:spacing w:after="0"/>
        <w:ind w:left="357" w:hanging="357"/>
        <w:jc w:val="both"/>
        <w:rPr>
          <w:rFonts w:ascii="Times New Roman" w:hAnsi="Times New Roman"/>
          <w:b/>
          <w:noProof/>
          <w:sz w:val="24"/>
          <w:szCs w:val="24"/>
        </w:rPr>
      </w:pPr>
      <w:r>
        <w:rPr>
          <w:rFonts w:ascii="Times New Roman" w:hAnsi="Times New Roman"/>
          <w:b/>
          <w:noProof/>
          <w:sz w:val="24"/>
        </w:rPr>
        <w:t xml:space="preserve">Förbättrad kunskap om ny teknik </w:t>
      </w:r>
      <w:r>
        <w:rPr>
          <w:rFonts w:ascii="Times New Roman" w:hAnsi="Times New Roman"/>
          <w:b/>
          <w:i/>
          <w:noProof/>
          <w:sz w:val="24"/>
        </w:rPr>
        <w:t>(kräver ingen lagstiftning)</w:t>
      </w:r>
    </w:p>
    <w:p w:rsidR="006C32AE" w:rsidRDefault="00F456ED">
      <w:pPr>
        <w:spacing w:after="0"/>
        <w:jc w:val="both"/>
        <w:rPr>
          <w:rFonts w:ascii="Times New Roman" w:hAnsi="Times New Roman"/>
          <w:noProof/>
          <w:sz w:val="24"/>
          <w:szCs w:val="24"/>
        </w:rPr>
      </w:pPr>
      <w:r>
        <w:rPr>
          <w:rFonts w:ascii="Times New Roman" w:hAnsi="Times New Roman"/>
          <w:noProof/>
          <w:sz w:val="24"/>
        </w:rPr>
        <w:t>I utvärderingen rekommenderas yt</w:t>
      </w:r>
      <w:r>
        <w:rPr>
          <w:rFonts w:ascii="Times New Roman" w:hAnsi="Times New Roman"/>
          <w:noProof/>
          <w:sz w:val="24"/>
        </w:rPr>
        <w:t>terligare åtgärder för att underlätta kunskapsdelandet mellan medlemsstaterna om utvecklingen på marknaden för skjutvapen och olaglig handel med dessa (t.ex. webbmarknaden för skjutvapen, delar till skjutvapen och andra vapen), och den effekt som ny teknik</w:t>
      </w:r>
      <w:r>
        <w:rPr>
          <w:rFonts w:ascii="Times New Roman" w:hAnsi="Times New Roman"/>
          <w:noProof/>
          <w:sz w:val="24"/>
        </w:rPr>
        <w:t xml:space="preserve"> (3D-utskrifter) kan ha för kontroll och spårning av vapen. </w:t>
      </w:r>
      <w:r>
        <w:rPr>
          <w:rFonts w:ascii="Times New Roman" w:hAnsi="Times New Roman"/>
          <w:b/>
          <w:noProof/>
          <w:sz w:val="24"/>
        </w:rPr>
        <w:t>Underliggande problem:</w:t>
      </w:r>
      <w:r>
        <w:rPr>
          <w:rFonts w:ascii="Times New Roman" w:hAnsi="Times New Roman"/>
          <w:noProof/>
          <w:sz w:val="24"/>
        </w:rPr>
        <w:t xml:space="preserve"> Nya tekniska utmaningar innebär en svårighet för brottsbekämpande myndigheter att spåra och upptäcka skjutvapen eller skjutvapenkomponenter i medlemsstaterna och kommer anta</w:t>
      </w:r>
      <w:r>
        <w:rPr>
          <w:rFonts w:ascii="Times New Roman" w:hAnsi="Times New Roman"/>
          <w:noProof/>
          <w:sz w:val="24"/>
        </w:rPr>
        <w:t xml:space="preserve">gligen att leda till svårigheter vid spårning och kontroll av framtida överföringar av skjutvapen. </w:t>
      </w:r>
    </w:p>
    <w:p w:rsidR="006C32AE" w:rsidRDefault="006C32AE">
      <w:pPr>
        <w:spacing w:after="0"/>
        <w:ind w:left="357"/>
        <w:jc w:val="both"/>
        <w:rPr>
          <w:rFonts w:ascii="Times New Roman" w:hAnsi="Times New Roman"/>
          <w:noProof/>
          <w:sz w:val="24"/>
          <w:szCs w:val="24"/>
        </w:rPr>
      </w:pPr>
    </w:p>
    <w:p w:rsidR="006C32AE" w:rsidRDefault="00F456ED">
      <w:pPr>
        <w:numPr>
          <w:ilvl w:val="0"/>
          <w:numId w:val="6"/>
        </w:numPr>
        <w:spacing w:after="0"/>
        <w:ind w:left="357" w:hanging="357"/>
        <w:jc w:val="both"/>
        <w:rPr>
          <w:rFonts w:ascii="Times New Roman" w:hAnsi="Times New Roman"/>
          <w:b/>
          <w:noProof/>
          <w:sz w:val="24"/>
          <w:szCs w:val="24"/>
        </w:rPr>
      </w:pPr>
      <w:r>
        <w:rPr>
          <w:rFonts w:ascii="Times New Roman" w:hAnsi="Times New Roman"/>
          <w:b/>
          <w:noProof/>
          <w:sz w:val="24"/>
        </w:rPr>
        <w:t xml:space="preserve">Förbättrad insamling av uppgifter </w:t>
      </w:r>
      <w:r>
        <w:rPr>
          <w:rFonts w:ascii="Times New Roman" w:hAnsi="Times New Roman"/>
          <w:b/>
          <w:i/>
          <w:noProof/>
          <w:sz w:val="24"/>
        </w:rPr>
        <w:t>(kräver ingen lagstiftning)</w:t>
      </w:r>
    </w:p>
    <w:p w:rsidR="006C32AE" w:rsidRDefault="00F456ED">
      <w:pPr>
        <w:spacing w:after="0"/>
        <w:jc w:val="both"/>
        <w:rPr>
          <w:rFonts w:ascii="Times New Roman" w:hAnsi="Times New Roman"/>
          <w:noProof/>
          <w:sz w:val="24"/>
          <w:szCs w:val="24"/>
        </w:rPr>
      </w:pPr>
      <w:r>
        <w:rPr>
          <w:rFonts w:ascii="Times New Roman" w:hAnsi="Times New Roman"/>
          <w:noProof/>
          <w:sz w:val="24"/>
        </w:rPr>
        <w:t>I utvärderingen rekommenderas att insamlingen av uppgifter förbättras för att skapa en täckan</w:t>
      </w:r>
      <w:r>
        <w:rPr>
          <w:rFonts w:ascii="Times New Roman" w:hAnsi="Times New Roman"/>
          <w:noProof/>
          <w:sz w:val="24"/>
        </w:rPr>
        <w:t xml:space="preserve">de informationsbas för civila skjutvapen och brottslig verksamhet där sådana har använts, för att stödja kommande beslutsprocedurer på EU-nivå. </w:t>
      </w:r>
      <w:r>
        <w:rPr>
          <w:rFonts w:ascii="Times New Roman" w:hAnsi="Times New Roman"/>
          <w:b/>
          <w:noProof/>
          <w:sz w:val="24"/>
        </w:rPr>
        <w:t>Underliggande problem:</w:t>
      </w:r>
      <w:r>
        <w:rPr>
          <w:rFonts w:ascii="Times New Roman" w:hAnsi="Times New Roman"/>
          <w:noProof/>
          <w:sz w:val="24"/>
        </w:rPr>
        <w:t xml:space="preserve"> Bristen på detaljerad och omfattande information är ett av de största hindren för evidensbaserade strategier inom politiken. </w:t>
      </w:r>
    </w:p>
    <w:p w:rsidR="006C32AE" w:rsidRDefault="00F456ED">
      <w:pPr>
        <w:pStyle w:val="Heading1"/>
        <w:rPr>
          <w:rFonts w:ascii="Times New Roman" w:hAnsi="Times New Roman"/>
          <w:noProof/>
          <w:sz w:val="24"/>
        </w:rPr>
      </w:pPr>
      <w:r>
        <w:rPr>
          <w:rFonts w:ascii="Times New Roman" w:hAnsi="Times New Roman"/>
          <w:noProof/>
          <w:sz w:val="24"/>
        </w:rPr>
        <w:t xml:space="preserve">6. Kritisk utvärdering och återkoppling från kommittén för skjutvapen </w:t>
      </w:r>
    </w:p>
    <w:p w:rsidR="006C32AE" w:rsidRDefault="00F456ED">
      <w:pPr>
        <w:jc w:val="both"/>
        <w:rPr>
          <w:rFonts w:ascii="Times New Roman" w:hAnsi="Times New Roman"/>
          <w:noProof/>
          <w:sz w:val="24"/>
          <w:szCs w:val="24"/>
        </w:rPr>
      </w:pPr>
      <w:r>
        <w:rPr>
          <w:rFonts w:ascii="Times New Roman" w:hAnsi="Times New Roman"/>
          <w:noProof/>
          <w:sz w:val="24"/>
        </w:rPr>
        <w:t>(35) Utvärderingen motsvarade de utvärderingsfrågor som ko</w:t>
      </w:r>
      <w:r>
        <w:rPr>
          <w:rFonts w:ascii="Times New Roman" w:hAnsi="Times New Roman"/>
          <w:noProof/>
          <w:sz w:val="24"/>
        </w:rPr>
        <w:t xml:space="preserve">mmissionen angav, och analysen baserades på en grundlig genomgång av de insamlade uppgifterna. Sett ur ett kvalitetsperspektiv var dock de uppgifter som fanns tillgängliga via officiell statistik inte tillräckliga. Det finns en tydlig brist på tillgänglig </w:t>
      </w:r>
      <w:r>
        <w:rPr>
          <w:rFonts w:ascii="Times New Roman" w:hAnsi="Times New Roman"/>
          <w:noProof/>
          <w:sz w:val="24"/>
        </w:rPr>
        <w:t>information i säkerhetsfrågor (t.ex. uppgifter om brott som inte är uppdelade per kategori av skjutvapen, begränsade distinktioner mellan lagliga och olagliga skjutvapen som används i brott, begränsade uppgifter om produktionen av civila skjutvapen per med</w:t>
      </w:r>
      <w:r>
        <w:rPr>
          <w:rFonts w:ascii="Times New Roman" w:hAnsi="Times New Roman"/>
          <w:noProof/>
          <w:sz w:val="24"/>
        </w:rPr>
        <w:t xml:space="preserve">lemsstat m.m.), samt osäker information om marknadsstrukturen för civila skjutvapen (dvs. produktion, import och export av civila skjutvapen, information om anställda och omsättning för företag i branschen). Det saknas uppgifter om beräknade kostnader och </w:t>
      </w:r>
      <w:r>
        <w:rPr>
          <w:rFonts w:ascii="Times New Roman" w:hAnsi="Times New Roman"/>
          <w:noProof/>
          <w:sz w:val="24"/>
        </w:rPr>
        <w:t>administrativa bördor för tillämpningen av specifika bestämmelser.</w:t>
      </w:r>
    </w:p>
    <w:p w:rsidR="006C32AE" w:rsidRDefault="00F456ED">
      <w:pPr>
        <w:jc w:val="both"/>
        <w:rPr>
          <w:rFonts w:ascii="Times New Roman" w:hAnsi="Times New Roman"/>
          <w:noProof/>
          <w:sz w:val="24"/>
        </w:rPr>
      </w:pPr>
      <w:r>
        <w:rPr>
          <w:rFonts w:ascii="Times New Roman" w:hAnsi="Times New Roman"/>
          <w:noProof/>
          <w:sz w:val="24"/>
        </w:rPr>
        <w:t>(36) Utvärderarna kompenserade bristen på aggregerade uppgifter och statistik om civila skjutvapen på EU-nivå genom att kontakta nationella branschorganisationer och via intervjuer samla in</w:t>
      </w:r>
      <w:r>
        <w:rPr>
          <w:rFonts w:ascii="Times New Roman" w:hAnsi="Times New Roman"/>
          <w:noProof/>
          <w:sz w:val="24"/>
        </w:rPr>
        <w:t xml:space="preserve"> den information som saknades. Information från olika källor gav utvärderarna möjlighet att dubbelkontrollera informationens kvalitet och pålitlighet. </w:t>
      </w:r>
    </w:p>
    <w:p w:rsidR="006C32AE" w:rsidRDefault="00F456ED">
      <w:pPr>
        <w:jc w:val="both"/>
        <w:rPr>
          <w:rFonts w:ascii="Times New Roman" w:hAnsi="Times New Roman"/>
          <w:noProof/>
          <w:sz w:val="24"/>
        </w:rPr>
      </w:pPr>
      <w:r>
        <w:rPr>
          <w:rFonts w:ascii="Times New Roman" w:hAnsi="Times New Roman"/>
          <w:noProof/>
          <w:sz w:val="24"/>
        </w:rPr>
        <w:t>(37) För att bättre kunna sammanställa ett yttrande om betydelsen av resultaten och rekommendationerna f</w:t>
      </w:r>
      <w:r>
        <w:rPr>
          <w:rFonts w:ascii="Times New Roman" w:hAnsi="Times New Roman"/>
          <w:noProof/>
          <w:sz w:val="24"/>
        </w:rPr>
        <w:t>rån utvärderingen uppmanade kommissionen ledamöterna i kommittén för skjutvapen (sammansatt av representanter från 28 medlemsstater och fyra EES- och Efta-länder) att kommentera dessa. Resultatet från utvärderingen lades fram för ledamöterna vid kommitténs</w:t>
      </w:r>
      <w:r>
        <w:rPr>
          <w:rFonts w:ascii="Times New Roman" w:hAnsi="Times New Roman"/>
          <w:noProof/>
          <w:sz w:val="24"/>
        </w:rPr>
        <w:t xml:space="preserve"> möte den 18 december 2014. Vid detta tillfälle kom representanterna från medlemsstaterna fram till att sammantaget var rekommendationerna bra. Efter de dramatiska händelserna i januari 2015 uttryckte medlemsstaterna mer utförliga åsikter om utvärderingens</w:t>
      </w:r>
      <w:r>
        <w:rPr>
          <w:rFonts w:ascii="Times New Roman" w:hAnsi="Times New Roman"/>
          <w:noProof/>
          <w:sz w:val="24"/>
        </w:rPr>
        <w:t xml:space="preserve"> rekommendationer vid ett kommittémöte den 25 mars 2015. Medlemsstaterna angav hur pass brådskande och relevant de ansåg var och en av rekommendationerna vara. Dessutom kompletterade några medlemsstater (Frankrike, Storbritannien, Sverige och Belgien) den </w:t>
      </w:r>
      <w:r>
        <w:rPr>
          <w:rFonts w:ascii="Times New Roman" w:hAnsi="Times New Roman"/>
          <w:noProof/>
          <w:sz w:val="24"/>
        </w:rPr>
        <w:t>muntliga återkopplingen med skriftliga kommentarer.</w:t>
      </w:r>
    </w:p>
    <w:p w:rsidR="006C32AE" w:rsidRDefault="00F456ED">
      <w:pPr>
        <w:jc w:val="both"/>
        <w:rPr>
          <w:rFonts w:ascii="Times New Roman" w:hAnsi="Times New Roman"/>
          <w:noProof/>
          <w:sz w:val="24"/>
          <w:szCs w:val="24"/>
        </w:rPr>
      </w:pPr>
      <w:r>
        <w:rPr>
          <w:rFonts w:ascii="Times New Roman" w:hAnsi="Times New Roman"/>
          <w:noProof/>
          <w:sz w:val="24"/>
        </w:rPr>
        <w:t>(38) Den information som har samlats in från medlemsstaterna visar följande:</w:t>
      </w:r>
    </w:p>
    <w:p w:rsidR="006C32AE" w:rsidRDefault="00F456ED">
      <w:pPr>
        <w:numPr>
          <w:ilvl w:val="0"/>
          <w:numId w:val="9"/>
        </w:numPr>
        <w:jc w:val="both"/>
        <w:rPr>
          <w:rFonts w:ascii="Times New Roman" w:hAnsi="Times New Roman"/>
          <w:noProof/>
          <w:sz w:val="24"/>
          <w:szCs w:val="24"/>
        </w:rPr>
      </w:pPr>
      <w:r>
        <w:rPr>
          <w:rFonts w:ascii="Times New Roman" w:hAnsi="Times New Roman"/>
          <w:noProof/>
          <w:sz w:val="24"/>
        </w:rPr>
        <w:t xml:space="preserve">Ett stort antal medlemsstater var överens om att de högst prioriterade rekommendationerna är i) gemensamma kriterier för </w:t>
      </w:r>
      <w:r>
        <w:rPr>
          <w:rFonts w:ascii="Times New Roman" w:hAnsi="Times New Roman"/>
          <w:b/>
          <w:noProof/>
          <w:sz w:val="24"/>
        </w:rPr>
        <w:t>omvandling av larmvapen</w:t>
      </w:r>
      <w:r>
        <w:rPr>
          <w:rFonts w:ascii="Times New Roman" w:hAnsi="Times New Roman"/>
          <w:noProof/>
          <w:sz w:val="24"/>
        </w:rPr>
        <w:t xml:space="preserve">, ii) harmoniserade normer och regler om att </w:t>
      </w:r>
      <w:r>
        <w:rPr>
          <w:rFonts w:ascii="Times New Roman" w:hAnsi="Times New Roman"/>
          <w:b/>
          <w:noProof/>
          <w:sz w:val="24"/>
        </w:rPr>
        <w:t>göra skjutvapen obrukbara</w:t>
      </w:r>
      <w:r>
        <w:rPr>
          <w:rFonts w:ascii="Times New Roman" w:hAnsi="Times New Roman"/>
          <w:noProof/>
          <w:sz w:val="24"/>
        </w:rPr>
        <w:t xml:space="preserve">, och iii) harmoniserade regler om </w:t>
      </w:r>
      <w:r>
        <w:rPr>
          <w:rFonts w:ascii="Times New Roman" w:hAnsi="Times New Roman"/>
          <w:b/>
          <w:noProof/>
          <w:sz w:val="24"/>
        </w:rPr>
        <w:t>märkning</w:t>
      </w:r>
      <w:r>
        <w:rPr>
          <w:rFonts w:ascii="Times New Roman" w:hAnsi="Times New Roman"/>
          <w:noProof/>
          <w:sz w:val="24"/>
        </w:rPr>
        <w:t>. Enligt det största antalet medlemsstater kräver dessa frågor en revidering av direktivet. Ett antal medlemsstater unde</w:t>
      </w:r>
      <w:r>
        <w:rPr>
          <w:rFonts w:ascii="Times New Roman" w:hAnsi="Times New Roman"/>
          <w:noProof/>
          <w:sz w:val="24"/>
        </w:rPr>
        <w:t xml:space="preserve">rströk hur viktigt det är att fortsätta det pågående arbetet med de riktlinjer om att göra skjutvapen obrukbara som föreskrivs genom direktivet. </w:t>
      </w:r>
    </w:p>
    <w:p w:rsidR="006C32AE" w:rsidRDefault="00F456ED">
      <w:pPr>
        <w:numPr>
          <w:ilvl w:val="0"/>
          <w:numId w:val="9"/>
        </w:numPr>
        <w:jc w:val="both"/>
        <w:rPr>
          <w:rFonts w:ascii="Times New Roman" w:hAnsi="Times New Roman"/>
          <w:noProof/>
          <w:sz w:val="24"/>
          <w:szCs w:val="24"/>
        </w:rPr>
      </w:pPr>
      <w:r>
        <w:rPr>
          <w:rFonts w:ascii="Times New Roman" w:hAnsi="Times New Roman"/>
          <w:noProof/>
          <w:sz w:val="24"/>
        </w:rPr>
        <w:t>De flesta medlemsstaterna ansåg att följande rekommendationer skulle tas i beaktande, men att prioritetsgraden</w:t>
      </w:r>
      <w:r>
        <w:rPr>
          <w:rFonts w:ascii="Times New Roman" w:hAnsi="Times New Roman"/>
          <w:noProof/>
          <w:sz w:val="24"/>
        </w:rPr>
        <w:t xml:space="preserve"> var medel eller låg: i) mer öppenhet och tillgång till nationella regler för tillämpning av direktivet, ii) förbättrad kunskap om ny teknik, och iii) effektivare insamling av uppgifter.</w:t>
      </w:r>
    </w:p>
    <w:p w:rsidR="006C32AE" w:rsidRDefault="00F456ED">
      <w:pPr>
        <w:numPr>
          <w:ilvl w:val="0"/>
          <w:numId w:val="9"/>
        </w:numPr>
        <w:jc w:val="both"/>
        <w:rPr>
          <w:rFonts w:ascii="Times New Roman" w:hAnsi="Times New Roman"/>
          <w:noProof/>
          <w:sz w:val="24"/>
          <w:szCs w:val="24"/>
        </w:rPr>
      </w:pPr>
      <w:r>
        <w:rPr>
          <w:rFonts w:ascii="Times New Roman" w:hAnsi="Times New Roman"/>
          <w:noProof/>
          <w:sz w:val="24"/>
        </w:rPr>
        <w:t xml:space="preserve">I fråga om rekommendationerna för </w:t>
      </w:r>
      <w:r>
        <w:rPr>
          <w:rFonts w:ascii="Times New Roman" w:hAnsi="Times New Roman"/>
          <w:b/>
          <w:noProof/>
          <w:sz w:val="24"/>
        </w:rPr>
        <w:t>driftskompatibilitet</w:t>
      </w:r>
      <w:r>
        <w:rPr>
          <w:rFonts w:ascii="Times New Roman" w:hAnsi="Times New Roman"/>
          <w:noProof/>
          <w:sz w:val="24"/>
        </w:rPr>
        <w:t xml:space="preserve"> mellan de data</w:t>
      </w:r>
      <w:r>
        <w:rPr>
          <w:rFonts w:ascii="Times New Roman" w:hAnsi="Times New Roman"/>
          <w:noProof/>
          <w:sz w:val="24"/>
        </w:rPr>
        <w:t>register som har skapats på nationell nivå hade medlemsstaterna olika åsikter. Ett antal medlemsstater anser att en av de viktigaste frågorna är möjligheten att spåra skjutvapen och därför skulle samordning av de nationella dataregistren kunna vara polis o</w:t>
      </w:r>
      <w:r>
        <w:rPr>
          <w:rFonts w:ascii="Times New Roman" w:hAnsi="Times New Roman"/>
          <w:noProof/>
          <w:sz w:val="24"/>
        </w:rPr>
        <w:t>ch nationella myndigheter till hjälp genom informationsdelning. Å andra sidan underströk ett antal medlemsstater att samordning av registren skulle kunna resultera i mycket arbete som inte nödvändigtvis leder till något positivt på grund av inkompatibla it</w:t>
      </w:r>
      <w:r>
        <w:rPr>
          <w:rFonts w:ascii="Times New Roman" w:hAnsi="Times New Roman"/>
          <w:noProof/>
          <w:sz w:val="24"/>
        </w:rPr>
        <w:t>-system eller tekniska svårigheter, eller – framför allt – på grund av offentlighetsprinciper och regler gällande utbyte av personuppgifter. Medlemsstaterna föreslog en försiktig balansgång mellan kostnader och administrativ börda gentemot de eventuella fö</w:t>
      </w:r>
      <w:r>
        <w:rPr>
          <w:rFonts w:ascii="Times New Roman" w:hAnsi="Times New Roman"/>
          <w:noProof/>
          <w:sz w:val="24"/>
        </w:rPr>
        <w:t>rdelarna från samverkan. Det första steget bör bli att analysera vilken typ av information som behöver utbytas och att därefter titta på hur detta kan göras.</w:t>
      </w:r>
    </w:p>
    <w:p w:rsidR="006C32AE" w:rsidRDefault="00F456ED">
      <w:pPr>
        <w:numPr>
          <w:ilvl w:val="0"/>
          <w:numId w:val="9"/>
        </w:numPr>
        <w:jc w:val="both"/>
        <w:rPr>
          <w:rFonts w:ascii="Times New Roman" w:hAnsi="Times New Roman"/>
          <w:noProof/>
          <w:color w:val="000000"/>
          <w:sz w:val="24"/>
          <w:szCs w:val="24"/>
        </w:rPr>
      </w:pPr>
      <w:r>
        <w:rPr>
          <w:rFonts w:ascii="Times New Roman" w:hAnsi="Times New Roman"/>
          <w:noProof/>
          <w:sz w:val="24"/>
        </w:rPr>
        <w:t>Medlemsstaterna hade ingen gemensam åsikt gällande rekommendationen att komma överens om ett gemen</w:t>
      </w:r>
      <w:r>
        <w:rPr>
          <w:rFonts w:ascii="Times New Roman" w:hAnsi="Times New Roman"/>
          <w:noProof/>
          <w:sz w:val="24"/>
        </w:rPr>
        <w:t>samt förhållningssätt för klassificeringen av jakt- och sportvapen och förtydliga reglerna kring det europeiska vapenpasset. Vissa medlemsstater ansåg att det inte skulle vara ett problem att höja antalet vapen som får registreras i det europeiska vapenpas</w:t>
      </w:r>
      <w:r>
        <w:rPr>
          <w:rFonts w:ascii="Times New Roman" w:hAnsi="Times New Roman"/>
          <w:noProof/>
          <w:sz w:val="24"/>
        </w:rPr>
        <w:t>set, men att länderna fortfarande bör vara fria att be om ytterligare dokument. Andra medlemsstater ansåg att bristen på information i det europeiska vapenpasset är ett problem. En medlemsstat underströk särskilt behovet att bättre informera jägare som bes</w:t>
      </w:r>
      <w:r>
        <w:rPr>
          <w:rFonts w:ascii="Times New Roman" w:hAnsi="Times New Roman"/>
          <w:noProof/>
          <w:sz w:val="24"/>
        </w:rPr>
        <w:t>öker andra medlemsstater om hur det europeiska vapenpasset ska användas. Endast ett fåtal medlemsstater föreslog att man skulle se över direktivet för att harmonisera skjutvapenkategorierna.</w:t>
      </w:r>
    </w:p>
    <w:p w:rsidR="006C32AE" w:rsidRDefault="00F456ED">
      <w:pPr>
        <w:numPr>
          <w:ilvl w:val="0"/>
          <w:numId w:val="9"/>
        </w:numPr>
        <w:jc w:val="both"/>
        <w:rPr>
          <w:rFonts w:ascii="Times New Roman" w:hAnsi="Times New Roman"/>
          <w:noProof/>
          <w:sz w:val="24"/>
          <w:szCs w:val="24"/>
        </w:rPr>
      </w:pPr>
      <w:r>
        <w:rPr>
          <w:rFonts w:ascii="Times New Roman" w:hAnsi="Times New Roman"/>
          <w:noProof/>
          <w:sz w:val="24"/>
        </w:rPr>
        <w:t>Medlemsstaterna hade olika åsikter även om rekommendationen att u</w:t>
      </w:r>
      <w:r>
        <w:rPr>
          <w:rFonts w:ascii="Times New Roman" w:hAnsi="Times New Roman"/>
          <w:noProof/>
          <w:sz w:val="24"/>
        </w:rPr>
        <w:t xml:space="preserve">ndersöka frågor som t.ex. krav på innehav, definitionen av vapenmäklare och omvandling av vapen. Många medlemsstater verkade överens om att det finns ett behov att definiera termerna vapenmäklare, komponenter och delar på ett bättre sätt (och vid behov se </w:t>
      </w:r>
      <w:r>
        <w:rPr>
          <w:rFonts w:ascii="Times New Roman" w:hAnsi="Times New Roman"/>
          <w:noProof/>
          <w:sz w:val="24"/>
        </w:rPr>
        <w:t>över direktivet på de här punkterna), och diskutera omvandlingen av halvautomatiska vapen till automatvapen (och vice versa). Dock var det bara ett fåtal medlemsstater som lyfte behovet att se över de nuvarande kraven vid vapeninnehav.</w:t>
      </w:r>
    </w:p>
    <w:p w:rsidR="006C32AE" w:rsidRDefault="00F456ED">
      <w:pPr>
        <w:numPr>
          <w:ilvl w:val="0"/>
          <w:numId w:val="9"/>
        </w:numPr>
        <w:jc w:val="both"/>
        <w:rPr>
          <w:rFonts w:ascii="Times New Roman" w:hAnsi="Times New Roman"/>
          <w:noProof/>
          <w:sz w:val="24"/>
          <w:szCs w:val="24"/>
        </w:rPr>
      </w:pPr>
      <w:r>
        <w:rPr>
          <w:rFonts w:ascii="Times New Roman" w:hAnsi="Times New Roman"/>
          <w:noProof/>
          <w:sz w:val="24"/>
        </w:rPr>
        <w:t xml:space="preserve">Ett betydande antal </w:t>
      </w:r>
      <w:r>
        <w:rPr>
          <w:rFonts w:ascii="Times New Roman" w:hAnsi="Times New Roman"/>
          <w:noProof/>
          <w:sz w:val="24"/>
        </w:rPr>
        <w:t>medlemsstater ansåg även att vissa definitioner (vapenhandlare, väsentliga komponenter av skjutvapen och replikvapen) behöver förtydligas.</w:t>
      </w:r>
    </w:p>
    <w:p w:rsidR="006C32AE" w:rsidRDefault="00F456ED">
      <w:pPr>
        <w:jc w:val="both"/>
        <w:rPr>
          <w:rFonts w:ascii="Times New Roman" w:hAnsi="Times New Roman"/>
          <w:noProof/>
          <w:sz w:val="24"/>
          <w:szCs w:val="24"/>
        </w:rPr>
      </w:pPr>
      <w:r>
        <w:rPr>
          <w:rFonts w:ascii="Times New Roman" w:hAnsi="Times New Roman"/>
          <w:noProof/>
          <w:sz w:val="24"/>
        </w:rPr>
        <w:t>(39) Med grund i utvärderarens arbete och återkopplingen från medlemsstaterna instämmer kommissionen i resultatet frå</w:t>
      </w:r>
      <w:r>
        <w:rPr>
          <w:rFonts w:ascii="Times New Roman" w:hAnsi="Times New Roman"/>
          <w:noProof/>
          <w:sz w:val="24"/>
        </w:rPr>
        <w:t xml:space="preserve">n utvärderingen. Kommissionen anser även att rekommendationerna är rättfärdigade och relevanta, även om vissa av dem kräver mer akuta åtgärder än andra. Vissa rekommendationer (t.ex. märkning av skjutvapnets samtliga delar och samordnade dataregister) kan </w:t>
      </w:r>
      <w:r>
        <w:rPr>
          <w:rFonts w:ascii="Times New Roman" w:hAnsi="Times New Roman"/>
          <w:noProof/>
          <w:sz w:val="24"/>
        </w:rPr>
        <w:t xml:space="preserve">få en betydande effekt i form av kostnader även för tillverkare och vapenhandlare (särskilt små och medelstora företag), varför ytterligare undersökningar och eventuella förstudier (t.ex. rörande samordningen av dataregister) kan behöva göras. </w:t>
      </w:r>
    </w:p>
    <w:p w:rsidR="006C32AE" w:rsidRDefault="00F456ED">
      <w:pPr>
        <w:pStyle w:val="Heading1"/>
        <w:rPr>
          <w:rFonts w:ascii="Times New Roman" w:hAnsi="Times New Roman"/>
          <w:noProof/>
          <w:sz w:val="24"/>
        </w:rPr>
      </w:pPr>
      <w:r>
        <w:rPr>
          <w:rFonts w:ascii="Times New Roman" w:hAnsi="Times New Roman"/>
          <w:noProof/>
          <w:sz w:val="24"/>
        </w:rPr>
        <w:t>7. Nästa st</w:t>
      </w:r>
      <w:r>
        <w:rPr>
          <w:rFonts w:ascii="Times New Roman" w:hAnsi="Times New Roman"/>
          <w:noProof/>
          <w:sz w:val="24"/>
        </w:rPr>
        <w:t>eg</w:t>
      </w:r>
    </w:p>
    <w:p w:rsidR="006C32AE" w:rsidRDefault="00F456ED">
      <w:pPr>
        <w:spacing w:after="120"/>
        <w:jc w:val="both"/>
        <w:rPr>
          <w:rFonts w:ascii="Times New Roman" w:hAnsi="Times New Roman"/>
          <w:noProof/>
          <w:sz w:val="24"/>
          <w:szCs w:val="24"/>
        </w:rPr>
      </w:pPr>
      <w:r>
        <w:rPr>
          <w:rFonts w:ascii="Times New Roman" w:hAnsi="Times New Roman"/>
          <w:noProof/>
          <w:sz w:val="24"/>
        </w:rPr>
        <w:t>(40) Studien visar att skjutvapendirektivet har bidragit på ett positivt sätt till en välfungerande inre marknad genom att stödja gränsöverskridande flöden av skjutvapen och bibehålla höga säkerhetsnivåer, det ger ett europeiskt mervärde och är relevant</w:t>
      </w:r>
      <w:r>
        <w:rPr>
          <w:rFonts w:ascii="Times New Roman" w:hAnsi="Times New Roman"/>
          <w:noProof/>
          <w:sz w:val="24"/>
        </w:rPr>
        <w:t xml:space="preserve">.  </w:t>
      </w:r>
    </w:p>
    <w:p w:rsidR="006C32AE" w:rsidRDefault="00F456ED">
      <w:pPr>
        <w:spacing w:after="120"/>
        <w:jc w:val="both"/>
        <w:rPr>
          <w:rFonts w:ascii="Times New Roman" w:hAnsi="Times New Roman"/>
          <w:noProof/>
          <w:sz w:val="24"/>
          <w:szCs w:val="24"/>
        </w:rPr>
      </w:pPr>
      <w:r>
        <w:rPr>
          <w:rFonts w:ascii="Times New Roman" w:hAnsi="Times New Roman"/>
          <w:noProof/>
          <w:sz w:val="24"/>
        </w:rPr>
        <w:t>(41) Det återstår dock några hinder som riskerar att leda till direktivet inte ger tänkt resultat. I utvärderingen och under diskussionerna med medlemsstaterna har särskilt följande kritiska frågor kommit upp för vidare åtgärder: a) omvandling av vapen</w:t>
      </w:r>
      <w:r>
        <w:rPr>
          <w:rFonts w:ascii="Times New Roman" w:hAnsi="Times New Roman"/>
          <w:noProof/>
          <w:sz w:val="24"/>
        </w:rPr>
        <w:t xml:space="preserve"> som använder lös ammunition (t.ex. larmvapen) till verkliga skjutvapen, b) tydligare krav för märkning av skjutvapen (för att möjliggöra spårning), c) gemensamma och strängare riktlinjer för att göra skjutvapen obrukbara, d) tydligare definitioner, e) und</w:t>
      </w:r>
      <w:r>
        <w:rPr>
          <w:rFonts w:ascii="Times New Roman" w:hAnsi="Times New Roman"/>
          <w:noProof/>
          <w:sz w:val="24"/>
        </w:rPr>
        <w:t>ersökning av försäljningsformer på internet, f) effektivare och förbättrade nationella register för dataöverföring och undersöka möjligheterna att samordna registren, samt g) förbättrade förfaranden vid insamling av uppgifter om civila skjutvapen och brott</w:t>
      </w:r>
      <w:r>
        <w:rPr>
          <w:rFonts w:ascii="Times New Roman" w:hAnsi="Times New Roman"/>
          <w:noProof/>
          <w:sz w:val="24"/>
        </w:rPr>
        <w:t xml:space="preserve"> där sådana har använts, som stöd till framtida korrekta beslutsförfaranden på EU-nivå. </w:t>
      </w:r>
    </w:p>
    <w:p w:rsidR="006C32AE" w:rsidRDefault="00F456ED">
      <w:pPr>
        <w:spacing w:after="120"/>
        <w:jc w:val="both"/>
        <w:rPr>
          <w:rFonts w:ascii="Times New Roman" w:hAnsi="Times New Roman"/>
          <w:noProof/>
          <w:sz w:val="24"/>
          <w:szCs w:val="24"/>
        </w:rPr>
      </w:pPr>
      <w:r>
        <w:rPr>
          <w:rFonts w:ascii="Times New Roman" w:hAnsi="Times New Roman"/>
          <w:noProof/>
          <w:sz w:val="24"/>
        </w:rPr>
        <w:t>(42) I och med att arbetet på de gemensamma riktlinjerna och normerna för att göra skjutvapen obrukbara redan har kommit en god bit på vägen, har kommissionen beslutat</w:t>
      </w:r>
      <w:r>
        <w:rPr>
          <w:rFonts w:ascii="Times New Roman" w:hAnsi="Times New Roman"/>
          <w:noProof/>
          <w:sz w:val="24"/>
        </w:rPr>
        <w:t xml:space="preserve"> att tidigarelägga översynen av direktivet med hänsyn till effekten av terroristattackerna i Paris den 13 november, de tidigare attackerna och skjutningarna i Paris och Köpenhamn samt incidenten ombord på ett tåg från Amsterdam till Paris. Kommissionen har</w:t>
      </w:r>
      <w:r>
        <w:rPr>
          <w:rFonts w:ascii="Times New Roman" w:hAnsi="Times New Roman"/>
          <w:noProof/>
          <w:sz w:val="24"/>
        </w:rPr>
        <w:t xml:space="preserve"> därför beslutat att tillsammans med denna rapport lägga fram en översyn av direktivet baserat på de hitintills insamlade bevisen och med hänsyn till riktlinjerna för bättre lagstiftning.</w:t>
      </w:r>
    </w:p>
    <w:p w:rsidR="006C32AE" w:rsidRDefault="00F456ED">
      <w:pPr>
        <w:spacing w:after="120"/>
        <w:jc w:val="both"/>
        <w:rPr>
          <w:rFonts w:ascii="Times New Roman" w:hAnsi="Times New Roman"/>
          <w:noProof/>
          <w:sz w:val="24"/>
          <w:szCs w:val="24"/>
        </w:rPr>
      </w:pPr>
      <w:r>
        <w:rPr>
          <w:rFonts w:ascii="Times New Roman" w:hAnsi="Times New Roman"/>
          <w:noProof/>
          <w:sz w:val="24"/>
        </w:rPr>
        <w:t xml:space="preserve">(43) I linje med kommissionens meddelande </w:t>
      </w:r>
      <w:r>
        <w:rPr>
          <w:rFonts w:ascii="Times New Roman" w:hAnsi="Times New Roman"/>
          <w:i/>
          <w:noProof/>
          <w:sz w:val="24"/>
        </w:rPr>
        <w:t>Den europeiska säkerhetsag</w:t>
      </w:r>
      <w:r>
        <w:rPr>
          <w:rFonts w:ascii="Times New Roman" w:hAnsi="Times New Roman"/>
          <w:i/>
          <w:noProof/>
          <w:sz w:val="24"/>
        </w:rPr>
        <w:t>endan</w:t>
      </w:r>
      <w:r>
        <w:rPr>
          <w:rStyle w:val="FootnoteReference"/>
          <w:rFonts w:ascii="Times New Roman" w:hAnsi="Times New Roman"/>
          <w:noProof/>
          <w:sz w:val="24"/>
        </w:rPr>
        <w:footnoteReference w:id="25"/>
      </w:r>
      <w:r>
        <w:rPr>
          <w:rFonts w:ascii="Times New Roman" w:hAnsi="Times New Roman"/>
          <w:noProof/>
          <w:sz w:val="24"/>
        </w:rPr>
        <w:t>, som var ett svar på EU-ministrarnas gemensamma uttalande från Riga</w:t>
      </w:r>
      <w:r>
        <w:rPr>
          <w:rStyle w:val="FootnoteReference"/>
          <w:rFonts w:ascii="Times New Roman" w:hAnsi="Times New Roman"/>
          <w:noProof/>
          <w:sz w:val="24"/>
        </w:rPr>
        <w:footnoteReference w:id="26"/>
      </w:r>
      <w:r>
        <w:rPr>
          <w:rFonts w:ascii="Times New Roman" w:hAnsi="Times New Roman"/>
          <w:noProof/>
          <w:sz w:val="24"/>
        </w:rPr>
        <w:t xml:space="preserve"> och förklaringen från inrikesministrarna av den 29 augusti 2015, har förslaget som kommer med denna rapport som syfte att förstärka den existerande lagstiftningen om skjutvapen, gö</w:t>
      </w:r>
      <w:r>
        <w:rPr>
          <w:rFonts w:ascii="Times New Roman" w:hAnsi="Times New Roman"/>
          <w:noProof/>
          <w:sz w:val="24"/>
        </w:rPr>
        <w:t>ra informationsutbytet effektivare, diskutera olaglig handel och obrukbara skjutvapen som åter tas i bruk, förbättra normerna för märkning för att lättare kunna spåra skjutvapen och, slutligen, se över hur frågor gällande omvandling av vapen eller vapen fö</w:t>
      </w:r>
      <w:r>
        <w:rPr>
          <w:rFonts w:ascii="Times New Roman" w:hAnsi="Times New Roman"/>
          <w:noProof/>
          <w:sz w:val="24"/>
        </w:rPr>
        <w:t xml:space="preserve">r lös ammunition (t.ex. larmvapen), ska hanteras. </w:t>
      </w:r>
    </w:p>
    <w:p w:rsidR="006C32AE" w:rsidRDefault="006C32AE">
      <w:pPr>
        <w:rPr>
          <w:noProof/>
        </w:rPr>
      </w:pPr>
    </w:p>
    <w:sectPr w:rsidR="006C32AE">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2AE" w:rsidRDefault="00F456ED">
      <w:pPr>
        <w:spacing w:after="0" w:line="240" w:lineRule="auto"/>
      </w:pPr>
      <w:r>
        <w:separator/>
      </w:r>
    </w:p>
  </w:endnote>
  <w:endnote w:type="continuationSeparator" w:id="0">
    <w:p w:rsidR="006C32AE" w:rsidRDefault="00F45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2AE" w:rsidRDefault="006C32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2AE" w:rsidRDefault="00F456ED">
    <w:pPr>
      <w:pStyle w:val="FooterCoverPage"/>
      <w:rPr>
        <w:rFonts w:ascii="Arial" w:hAnsi="Arial" w:cs="Arial"/>
        <w:b/>
        <w:sz w:val="48"/>
      </w:rPr>
    </w:pPr>
    <w:r>
      <w:rPr>
        <w:rFonts w:ascii="Arial" w:hAnsi="Arial" w:cs="Arial"/>
        <w:b/>
        <w:sz w:val="48"/>
      </w:rPr>
      <w:t>SV</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proofErr w:type="spellStart"/>
    <w:r>
      <w:rPr>
        <w:rFonts w:ascii="Arial" w:hAnsi="Arial" w:cs="Arial"/>
        <w:b/>
        <w:sz w:val="48"/>
      </w:rPr>
      <w:t>SV</w:t>
    </w:r>
    <w:proofErr w:type="spell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2AE" w:rsidRDefault="006C32AE">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2AE" w:rsidRDefault="006C32A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2AE" w:rsidRDefault="00F456ED">
    <w:pPr>
      <w:pStyle w:val="Footer"/>
      <w:jc w:val="right"/>
    </w:pPr>
    <w:r>
      <w:fldChar w:fldCharType="begin"/>
    </w:r>
    <w:r>
      <w:instrText xml:space="preserve"> PAGE   \* MERGEFORMAT </w:instrText>
    </w:r>
    <w:r>
      <w:fldChar w:fldCharType="separate"/>
    </w:r>
    <w:r>
      <w:rPr>
        <w:noProof/>
      </w:rPr>
      <w:t>1</w:t>
    </w:r>
    <w:r>
      <w:rPr>
        <w:noProof/>
      </w:rPr>
      <w:fldChar w:fldCharType="end"/>
    </w:r>
  </w:p>
  <w:p w:rsidR="006C32AE" w:rsidRDefault="006C32A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2AE" w:rsidRDefault="006C32AE">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2AE" w:rsidRDefault="006C32AE">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5830193"/>
      <w:docPartObj>
        <w:docPartGallery w:val="Page Numbers (Bottom of Page)"/>
        <w:docPartUnique/>
      </w:docPartObj>
    </w:sdtPr>
    <w:sdtEndPr>
      <w:rPr>
        <w:noProof/>
      </w:rPr>
    </w:sdtEndPr>
    <w:sdtContent>
      <w:p w:rsidR="006C32AE" w:rsidRDefault="00F456ED">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rsidR="006C32AE" w:rsidRDefault="006C32AE">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2AE" w:rsidRDefault="006C32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2AE" w:rsidRDefault="00F456ED">
      <w:pPr>
        <w:spacing w:after="0" w:line="240" w:lineRule="auto"/>
      </w:pPr>
      <w:r>
        <w:separator/>
      </w:r>
    </w:p>
  </w:footnote>
  <w:footnote w:type="continuationSeparator" w:id="0">
    <w:p w:rsidR="006C32AE" w:rsidRDefault="00F456ED">
      <w:pPr>
        <w:spacing w:after="0" w:line="240" w:lineRule="auto"/>
      </w:pPr>
      <w:r>
        <w:continuationSeparator/>
      </w:r>
    </w:p>
  </w:footnote>
  <w:footnote w:id="1">
    <w:p w:rsidR="006C32AE" w:rsidRDefault="00F456ED">
      <w:pPr>
        <w:pStyle w:val="FootnoteText"/>
        <w:spacing w:after="0" w:line="240" w:lineRule="auto"/>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EGT L 256, 13.9.1991, s. 51</w:t>
      </w:r>
    </w:p>
  </w:footnote>
  <w:footnote w:id="2">
    <w:p w:rsidR="006C32AE" w:rsidRDefault="00F456ED">
      <w:pPr>
        <w:pStyle w:val="FootnoteText"/>
        <w:spacing w:after="0" w:line="240" w:lineRule="auto"/>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EUT L 179, 8.7.2008, s. 5.</w:t>
      </w:r>
    </w:p>
  </w:footnote>
  <w:footnote w:id="3">
    <w:p w:rsidR="006C32AE" w:rsidRDefault="00F456ED">
      <w:pPr>
        <w:pStyle w:val="FootnoteText"/>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hyperlink r:id="rId1">
        <w:r>
          <w:rPr>
            <w:rStyle w:val="Hyperlink"/>
            <w:rFonts w:ascii="Times New Roman" w:hAnsi="Times New Roman"/>
            <w:lang w:val="de-DE"/>
          </w:rPr>
          <w:t>http://bookshop.europa.eu/en/evaluation-of-the-firearms-directive-pbNB0514159/</w:t>
        </w:r>
      </w:hyperlink>
      <w:r>
        <w:rPr>
          <w:rFonts w:ascii="Times New Roman" w:hAnsi="Times New Roman"/>
          <w:lang w:val="de-DE"/>
        </w:rPr>
        <w:t>; http://bookshop.europa.eu/en/evaluation-of-the-firearms-directive-pbNB0114006/</w:t>
      </w:r>
    </w:p>
  </w:footnote>
  <w:footnote w:id="4">
    <w:p w:rsidR="006C32AE" w:rsidRDefault="00F456ED">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COM(2013) 685 final.</w:t>
      </w:r>
    </w:p>
  </w:footnote>
  <w:footnote w:id="5">
    <w:p w:rsidR="006C32AE" w:rsidRDefault="00F456ED">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Europeiska ekonomiska samarbetsområdet.</w:t>
      </w:r>
    </w:p>
  </w:footnote>
  <w:footnote w:id="6">
    <w:p w:rsidR="006C32AE" w:rsidRDefault="00F456ED">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Europeiska frihandelssammanslu</w:t>
      </w:r>
      <w:r>
        <w:rPr>
          <w:rFonts w:ascii="Times New Roman" w:hAnsi="Times New Roman"/>
        </w:rPr>
        <w:t>tningen.</w:t>
      </w:r>
    </w:p>
  </w:footnote>
  <w:footnote w:id="7">
    <w:p w:rsidR="006C32AE" w:rsidRDefault="00F456ED">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Island, Liechtenstein, Norge och Schweiz. </w:t>
      </w:r>
    </w:p>
  </w:footnote>
  <w:footnote w:id="8">
    <w:p w:rsidR="006C32AE" w:rsidRDefault="00F456ED">
      <w:pPr>
        <w:pStyle w:val="FootnoteText"/>
        <w:spacing w:after="0" w:line="240" w:lineRule="auto"/>
      </w:pPr>
      <w:r>
        <w:rPr>
          <w:rStyle w:val="FootnoteReference"/>
        </w:rPr>
        <w:footnoteRef/>
      </w:r>
      <w:r>
        <w:t xml:space="preserve"> </w:t>
      </w:r>
      <w:r>
        <w:rPr>
          <w:rFonts w:ascii="Times New Roman" w:hAnsi="Times New Roman"/>
        </w:rPr>
        <w:t>KOM(2000) 837 slutlig, Kommissionens rapport till Europaparlamentet och rådet om genomförande av rådets direktiv 91/477/EEG av den 18 juni 1991 om kontroll av förvärv och innehav av vapen, Bryssel, 15</w:t>
      </w:r>
      <w:r>
        <w:rPr>
          <w:rFonts w:ascii="Times New Roman" w:hAnsi="Times New Roman"/>
        </w:rPr>
        <w:t>.12.2000.</w:t>
      </w:r>
    </w:p>
  </w:footnote>
  <w:footnote w:id="9">
    <w:p w:rsidR="006C32AE" w:rsidRDefault="00F456ED">
      <w:pPr>
        <w:pStyle w:val="FootnoteText"/>
        <w:spacing w:after="0" w:line="240" w:lineRule="auto"/>
      </w:pPr>
      <w:r>
        <w:rPr>
          <w:rStyle w:val="FootnoteReference"/>
        </w:rPr>
        <w:footnoteRef/>
      </w:r>
      <w:r>
        <w:t xml:space="preserve"> </w:t>
      </w:r>
      <w:r>
        <w:rPr>
          <w:rFonts w:ascii="Times New Roman" w:hAnsi="Times New Roman"/>
        </w:rPr>
        <w:t>Förenta nationernas protokoll mot olaglig tillverkning av och handel med skjutvapen, delar av och komponenter till dessa samt ammunition, vilket kompletterar Förenta nationernas konvention mot gränsöverskridande organiserad brottslighet.</w:t>
      </w:r>
    </w:p>
  </w:footnote>
  <w:footnote w:id="10">
    <w:p w:rsidR="006C32AE" w:rsidRDefault="00F456ED">
      <w:pPr>
        <w:pStyle w:val="FootnoteText"/>
        <w:spacing w:after="0" w:line="240" w:lineRule="auto"/>
        <w:rPr>
          <w:rFonts w:ascii="Times New Roman" w:hAnsi="Times New Roman"/>
        </w:rPr>
      </w:pPr>
      <w:r>
        <w:rPr>
          <w:rStyle w:val="FootnoteReference"/>
        </w:rPr>
        <w:footnoteRef/>
      </w:r>
      <w:r>
        <w:t xml:space="preserve"> </w:t>
      </w:r>
      <w:r>
        <w:rPr>
          <w:rFonts w:ascii="Times New Roman" w:hAnsi="Times New Roman"/>
        </w:rPr>
        <w:t>FN:s</w:t>
      </w:r>
      <w:r>
        <w:rPr>
          <w:rFonts w:ascii="Times New Roman" w:hAnsi="Times New Roman"/>
        </w:rPr>
        <w:t xml:space="preserve"> protokoll om skjutvapen ratificerades av kommissionen 2014.</w:t>
      </w:r>
      <w:r>
        <w:t xml:space="preserve"> </w:t>
      </w:r>
      <w:r>
        <w:rPr>
          <w:rFonts w:ascii="Times New Roman" w:hAnsi="Times New Roman"/>
        </w:rPr>
        <w:t>Rådets beslut av den 11 februari 2014 om ingående på Europeiska unionens vägnar av protokollet mot olaglig tillverkning av och handel med skjutvapen, delar av och komponenter till dessa samt ammu</w:t>
      </w:r>
      <w:r>
        <w:rPr>
          <w:rFonts w:ascii="Times New Roman" w:hAnsi="Times New Roman"/>
        </w:rPr>
        <w:t>nition, vilket kompletterar Förenta nationernas konvention mot gränsöverskridande organiserad brottslighet (2014/164/EU). EUT L 89, 23.3.2014, s. 7.</w:t>
      </w:r>
    </w:p>
  </w:footnote>
  <w:footnote w:id="11">
    <w:p w:rsidR="006C32AE" w:rsidRDefault="00F456ED">
      <w:pPr>
        <w:pStyle w:val="FootnoteText"/>
        <w:spacing w:after="0" w:line="240" w:lineRule="auto"/>
        <w:jc w:val="both"/>
      </w:pPr>
      <w:r>
        <w:rPr>
          <w:rStyle w:val="FootnoteReference"/>
        </w:rPr>
        <w:footnoteRef/>
      </w:r>
      <w:r>
        <w:t xml:space="preserve"> </w:t>
      </w:r>
      <w:r>
        <w:rPr>
          <w:rFonts w:ascii="Times New Roman" w:hAnsi="Times New Roman"/>
        </w:rPr>
        <w:t>Europaparlamentets och rådets förordning (EU) nr 258/2012 av den 14 mars 2012 om genomförande av artikel </w:t>
      </w:r>
      <w:r>
        <w:rPr>
          <w:rFonts w:ascii="Times New Roman" w:hAnsi="Times New Roman"/>
        </w:rPr>
        <w:t>10 i FN:s protokoll om olaglig tillverkning av och handel med eldvapen, delar till eldvapen och ammunition, bifogat till Förenta nationernas konvention mot gränsöverskridande organiserad brottslighet (FN:s protokoll om skjutvapen), och om införande av expo</w:t>
      </w:r>
      <w:r>
        <w:rPr>
          <w:rFonts w:ascii="Times New Roman" w:hAnsi="Times New Roman"/>
        </w:rPr>
        <w:t>rttillstånd, import- och transiteringsåtgärder för skjutvapen, delar till skjutvapen och ammunition.</w:t>
      </w:r>
    </w:p>
  </w:footnote>
  <w:footnote w:id="12">
    <w:p w:rsidR="006C32AE" w:rsidRDefault="00F456ED">
      <w:pPr>
        <w:pStyle w:val="FootnoteText"/>
        <w:spacing w:after="0" w:line="240" w:lineRule="auto"/>
        <w:jc w:val="both"/>
      </w:pPr>
      <w:r>
        <w:rPr>
          <w:rStyle w:val="FootnoteReference"/>
        </w:rPr>
        <w:footnoteRef/>
      </w:r>
      <w:r>
        <w:t xml:space="preserve"> </w:t>
      </w:r>
      <w:r>
        <w:rPr>
          <w:rFonts w:ascii="Times New Roman" w:hAnsi="Times New Roman"/>
        </w:rPr>
        <w:t>Förordningens huvudpunkt är principen att överföring av civila skjutvapen mellan medlemsstaterna är tillåtet på villkor att alla inblandade länder är inf</w:t>
      </w:r>
      <w:r>
        <w:rPr>
          <w:rFonts w:ascii="Times New Roman" w:hAnsi="Times New Roman"/>
        </w:rPr>
        <w:t>örstådda med detta och ger sitt tillstånd, och att vapnens ursprung är känt.</w:t>
      </w:r>
    </w:p>
  </w:footnote>
  <w:footnote w:id="13">
    <w:p w:rsidR="006C32AE" w:rsidRDefault="00F456ED">
      <w:pPr>
        <w:pStyle w:val="FootnoteText"/>
        <w:spacing w:after="0" w:line="240" w:lineRule="auto"/>
        <w:jc w:val="both"/>
      </w:pPr>
      <w:r>
        <w:rPr>
          <w:rStyle w:val="FootnoteReference"/>
        </w:rPr>
        <w:footnoteRef/>
      </w:r>
      <w:r>
        <w:t xml:space="preserve"> </w:t>
      </w:r>
      <w:r>
        <w:rPr>
          <w:rFonts w:ascii="Times New Roman" w:hAnsi="Times New Roman"/>
        </w:rPr>
        <w:t xml:space="preserve">COM(2013) 715 final, </w:t>
      </w:r>
      <w:r>
        <w:rPr>
          <w:rFonts w:ascii="Times New Roman" w:hAnsi="Times New Roman"/>
          <w:i/>
        </w:rPr>
        <w:t>Meddelande från kommissionen till rådet och Europaparlamentet: Skjutvapen och EU:s inre säkerhet: skydda medborgarna och försvåra olaglig handel</w:t>
      </w:r>
      <w:r>
        <w:rPr>
          <w:rFonts w:ascii="Times New Roman" w:hAnsi="Times New Roman"/>
        </w:rPr>
        <w:t>.</w:t>
      </w:r>
    </w:p>
  </w:footnote>
  <w:footnote w:id="14">
    <w:p w:rsidR="006C32AE" w:rsidRDefault="00F456ED">
      <w:pPr>
        <w:autoSpaceDE w:val="0"/>
        <w:autoSpaceDN w:val="0"/>
        <w:adjustRightInd w:val="0"/>
        <w:spacing w:after="0" w:line="240" w:lineRule="auto"/>
        <w:jc w:val="both"/>
        <w:rPr>
          <w:rFonts w:ascii="Times New Roman" w:hAnsi="Times New Roman"/>
          <w:sz w:val="20"/>
          <w:szCs w:val="20"/>
        </w:rPr>
      </w:pPr>
      <w:r>
        <w:rPr>
          <w:rStyle w:val="FootnoteReference"/>
        </w:rPr>
        <w:footnoteRef/>
      </w:r>
      <w:r>
        <w:t xml:space="preserve"> </w:t>
      </w:r>
      <w:r>
        <w:rPr>
          <w:rFonts w:ascii="Times New Roman" w:hAnsi="Times New Roman"/>
          <w:sz w:val="20"/>
        </w:rPr>
        <w:t xml:space="preserve">COM(2015) 185 final, </w:t>
      </w:r>
      <w:r>
        <w:rPr>
          <w:rFonts w:ascii="Times New Roman" w:hAnsi="Times New Roman"/>
          <w:i/>
          <w:sz w:val="20"/>
        </w:rPr>
        <w:t>Meddelande från kommissionen till Europaparlamentet, rådet, europeiska ekonomiska och sociala kommittén samt regionkommittén: Europeiska säkerhetsagendan</w:t>
      </w:r>
      <w:r>
        <w:rPr>
          <w:rFonts w:ascii="Times New Roman" w:hAnsi="Times New Roman"/>
          <w:sz w:val="20"/>
        </w:rPr>
        <w:t>.</w:t>
      </w:r>
    </w:p>
  </w:footnote>
  <w:footnote w:id="15">
    <w:p w:rsidR="006C32AE" w:rsidRDefault="00F456ED">
      <w:pPr>
        <w:pStyle w:val="FootnoteText"/>
      </w:pPr>
      <w:r>
        <w:rPr>
          <w:rStyle w:val="FootnoteReference"/>
        </w:rPr>
        <w:footnoteRef/>
      </w:r>
      <w:r>
        <w:t xml:space="preserve"> </w:t>
      </w:r>
      <w:r>
        <w:rPr>
          <w:rFonts w:ascii="Times New Roman" w:hAnsi="Times New Roman"/>
        </w:rPr>
        <w:t>I artikel 3 i skjutvapendirektivet anges att ”[m]edlemsstaterna får i sin lags</w:t>
      </w:r>
      <w:r>
        <w:rPr>
          <w:rFonts w:ascii="Times New Roman" w:hAnsi="Times New Roman"/>
        </w:rPr>
        <w:t>tiftning anta strängare bestämmelser än vad som föreskrivs i detta direktiv”.</w:t>
      </w:r>
    </w:p>
  </w:footnote>
  <w:footnote w:id="16">
    <w:p w:rsidR="006C32AE" w:rsidRDefault="00F456ED">
      <w:pPr>
        <w:pStyle w:val="FootnoteText"/>
        <w:rPr>
          <w:rFonts w:ascii="Times New Roman" w:hAnsi="Times New Roman"/>
          <w:lang w:val="en-GB"/>
        </w:rPr>
      </w:pPr>
      <w:r>
        <w:rPr>
          <w:rStyle w:val="FootnoteReference"/>
        </w:rPr>
        <w:footnoteRef/>
      </w:r>
      <w:r>
        <w:t xml:space="preserve"> </w:t>
      </w:r>
      <w:r>
        <w:rPr>
          <w:rFonts w:ascii="Times New Roman" w:hAnsi="Times New Roman"/>
        </w:rPr>
        <w:t xml:space="preserve">Bland annat omfattas följande: COM(2012) 415, </w:t>
      </w:r>
      <w:r>
        <w:rPr>
          <w:rFonts w:ascii="Times New Roman" w:hAnsi="Times New Roman"/>
          <w:i/>
        </w:rPr>
        <w:t>Eventuella fördelar och nackdelar med en begränsning till två kategorier av skjutvapen (förbjudna eller tillåtna) i syfte att uppn</w:t>
      </w:r>
      <w:r>
        <w:rPr>
          <w:rFonts w:ascii="Times New Roman" w:hAnsi="Times New Roman"/>
          <w:i/>
        </w:rPr>
        <w:t>å en bättre fungerande inre marknad för dessa vapen tack vare en eventuell förenkling</w:t>
      </w:r>
      <w:r>
        <w:rPr>
          <w:rFonts w:ascii="Times New Roman" w:hAnsi="Times New Roman"/>
        </w:rPr>
        <w:t xml:space="preserve">. </w:t>
      </w:r>
      <w:proofErr w:type="gramStart"/>
      <w:r>
        <w:rPr>
          <w:rFonts w:ascii="Times New Roman" w:hAnsi="Times New Roman"/>
          <w:lang w:val="en-GB"/>
        </w:rPr>
        <w:t>COM(</w:t>
      </w:r>
      <w:proofErr w:type="gramEnd"/>
      <w:r>
        <w:rPr>
          <w:rFonts w:ascii="Times New Roman" w:hAnsi="Times New Roman"/>
          <w:lang w:val="en-GB"/>
        </w:rPr>
        <w:t xml:space="preserve">2010) 0404, </w:t>
      </w:r>
      <w:r>
        <w:rPr>
          <w:rFonts w:ascii="Times New Roman" w:hAnsi="Times New Roman"/>
          <w:i/>
          <w:lang w:val="en-GB"/>
        </w:rPr>
        <w:t>The placing on the market of replica firearms.</w:t>
      </w:r>
      <w:r>
        <w:rPr>
          <w:rFonts w:ascii="Times New Roman" w:hAnsi="Times New Roman"/>
          <w:lang w:val="en-GB"/>
        </w:rPr>
        <w:t xml:space="preserve"> </w:t>
      </w:r>
    </w:p>
  </w:footnote>
  <w:footnote w:id="17">
    <w:p w:rsidR="006C32AE" w:rsidRDefault="00F456ED">
      <w:pPr>
        <w:pStyle w:val="FootnoteText"/>
        <w:rPr>
          <w:lang w:val="en-GB"/>
        </w:rPr>
      </w:pPr>
      <w:r>
        <w:rPr>
          <w:rStyle w:val="FootnoteReference"/>
        </w:rPr>
        <w:footnoteRef/>
      </w:r>
      <w:r>
        <w:rPr>
          <w:lang w:val="en-GB"/>
        </w:rPr>
        <w:t xml:space="preserve"> </w:t>
      </w:r>
      <w:proofErr w:type="gramStart"/>
      <w:r>
        <w:rPr>
          <w:rFonts w:ascii="Times New Roman" w:hAnsi="Times New Roman"/>
          <w:i/>
          <w:lang w:val="en-GB"/>
        </w:rPr>
        <w:t>Study to support an Impact Assessment on a possible initiative related to improving rules on deactivati</w:t>
      </w:r>
      <w:r>
        <w:rPr>
          <w:rFonts w:ascii="Times New Roman" w:hAnsi="Times New Roman"/>
          <w:i/>
          <w:lang w:val="en-GB"/>
        </w:rPr>
        <w:t>on, destruction and marking procedures of firearms in the EU, as well as alarm weapons and replicas</w:t>
      </w:r>
      <w:r>
        <w:rPr>
          <w:rFonts w:ascii="Times New Roman" w:hAnsi="Times New Roman"/>
          <w:lang w:val="en-GB"/>
        </w:rPr>
        <w:t>.</w:t>
      </w:r>
      <w:proofErr w:type="gramEnd"/>
      <w:r>
        <w:rPr>
          <w:rFonts w:ascii="Times New Roman" w:hAnsi="Times New Roman"/>
          <w:lang w:val="en-GB"/>
        </w:rPr>
        <w:t xml:space="preserve"> (</w:t>
      </w:r>
      <w:hyperlink r:id="rId2">
        <w:r>
          <w:rPr>
            <w:rStyle w:val="Hyperlink"/>
            <w:rFonts w:ascii="Times New Roman" w:hAnsi="Times New Roman"/>
            <w:lang w:val="en-GB"/>
          </w:rPr>
          <w:t>http://www.sipri.org/research/security/europe/publications</w:t>
        </w:r>
        <w:r>
          <w:rPr>
            <w:rStyle w:val="Hyperlink"/>
            <w:rFonts w:ascii="Times New Roman" w:hAnsi="Times New Roman"/>
            <w:lang w:val="en-GB"/>
          </w:rPr>
          <w:t>/study-on-firearms</w:t>
        </w:r>
      </w:hyperlink>
      <w:r>
        <w:rPr>
          <w:rFonts w:ascii="Times New Roman" w:hAnsi="Times New Roman"/>
          <w:lang w:val="en-GB"/>
        </w:rPr>
        <w:t xml:space="preserve"> )</w:t>
      </w:r>
    </w:p>
  </w:footnote>
  <w:footnote w:id="18">
    <w:p w:rsidR="006C32AE" w:rsidRDefault="00F456ED">
      <w:pPr>
        <w:pStyle w:val="FootnoteText"/>
        <w:rPr>
          <w:lang w:val="en-GB"/>
        </w:rPr>
      </w:pPr>
      <w:r>
        <w:rPr>
          <w:rStyle w:val="FootnoteReference"/>
        </w:rPr>
        <w:footnoteRef/>
      </w:r>
      <w:r>
        <w:rPr>
          <w:lang w:val="en-GB"/>
        </w:rPr>
        <w:t xml:space="preserve"> </w:t>
      </w:r>
      <w:proofErr w:type="gramStart"/>
      <w:r>
        <w:rPr>
          <w:rFonts w:ascii="Times New Roman" w:hAnsi="Times New Roman"/>
          <w:i/>
          <w:lang w:val="en-GB"/>
        </w:rPr>
        <w:t>Study to support an Impact Assessment on options for combatting illicit arms trafficking in the EU</w:t>
      </w:r>
      <w:r>
        <w:rPr>
          <w:rFonts w:ascii="Times New Roman" w:hAnsi="Times New Roman"/>
          <w:lang w:val="en-GB"/>
        </w:rPr>
        <w:t>.</w:t>
      </w:r>
      <w:proofErr w:type="gramEnd"/>
    </w:p>
  </w:footnote>
  <w:footnote w:id="19">
    <w:p w:rsidR="006C32AE" w:rsidRDefault="00F456ED">
      <w:pPr>
        <w:pStyle w:val="FootnoteText"/>
      </w:pPr>
      <w:r>
        <w:rPr>
          <w:rStyle w:val="FootnoteReference"/>
        </w:rPr>
        <w:footnoteRef/>
      </w:r>
      <w:r>
        <w:t xml:space="preserve"> </w:t>
      </w:r>
      <w:r>
        <w:rPr>
          <w:rFonts w:ascii="Times New Roman" w:hAnsi="Times New Roman"/>
        </w:rPr>
        <w:t xml:space="preserve">Kriterierna för att välja ut medlemsstater till fallstudierna var följande: i) storleken på vapenmarknaden, ii) säkerhetsproblem i </w:t>
      </w:r>
      <w:r>
        <w:rPr>
          <w:rFonts w:ascii="Times New Roman" w:hAnsi="Times New Roman"/>
        </w:rPr>
        <w:t>medlemsstaten, iii) skjutvapen i andel av befolkningen, och iv) det registrerade antalet stulna eller förlorade skjutvapen.</w:t>
      </w:r>
    </w:p>
  </w:footnote>
  <w:footnote w:id="20">
    <w:p w:rsidR="006C32AE" w:rsidRDefault="00F456ED">
      <w:pPr>
        <w:pStyle w:val="FootnoteText"/>
      </w:pPr>
      <w:r>
        <w:rPr>
          <w:rStyle w:val="FootnoteReference"/>
        </w:rPr>
        <w:footnoteRef/>
      </w:r>
      <w:r>
        <w:t xml:space="preserve"> </w:t>
      </w:r>
      <w:r>
        <w:rPr>
          <w:rFonts w:ascii="Times New Roman" w:hAnsi="Times New Roman"/>
        </w:rPr>
        <w:t>Tidsramen 2005–2013 har använts som referens eftersom EU då redan hade 25 medlemsstater.</w:t>
      </w:r>
    </w:p>
  </w:footnote>
  <w:footnote w:id="21">
    <w:p w:rsidR="006C32AE" w:rsidRDefault="00F456ED">
      <w:pPr>
        <w:pStyle w:val="FootnoteText"/>
        <w:spacing w:after="0" w:line="240" w:lineRule="auto"/>
      </w:pPr>
      <w:r>
        <w:rPr>
          <w:rStyle w:val="FootnoteReference"/>
        </w:rPr>
        <w:footnoteRef/>
      </w:r>
      <w:r>
        <w:t xml:space="preserve"> </w:t>
      </w:r>
      <w:r>
        <w:rPr>
          <w:rFonts w:ascii="Times New Roman" w:hAnsi="Times New Roman"/>
        </w:rPr>
        <w:t>Artikel 13.3 i skjutvapendirektivet ang</w:t>
      </w:r>
      <w:r>
        <w:rPr>
          <w:rFonts w:ascii="Times New Roman" w:hAnsi="Times New Roman"/>
        </w:rPr>
        <w:t>er att en kontaktgrupp ska upprättas.</w:t>
      </w:r>
    </w:p>
  </w:footnote>
  <w:footnote w:id="22">
    <w:p w:rsidR="006C32AE" w:rsidRDefault="00F456ED">
      <w:pPr>
        <w:pStyle w:val="FootnoteText"/>
        <w:spacing w:after="0" w:line="240" w:lineRule="auto"/>
        <w:jc w:val="both"/>
      </w:pPr>
      <w:r>
        <w:rPr>
          <w:rStyle w:val="FootnoteReference"/>
        </w:rPr>
        <w:footnoteRef/>
      </w:r>
      <w:r>
        <w:t xml:space="preserve"> </w:t>
      </w:r>
      <w:r>
        <w:rPr>
          <w:rFonts w:ascii="Times New Roman" w:hAnsi="Times New Roman"/>
          <w:u w:val="single"/>
        </w:rPr>
        <w:t xml:space="preserve">Direkta </w:t>
      </w:r>
      <w:proofErr w:type="gramStart"/>
      <w:r>
        <w:rPr>
          <w:rFonts w:ascii="Times New Roman" w:hAnsi="Times New Roman"/>
          <w:u w:val="single"/>
        </w:rPr>
        <w:t>efterlevnadskostnader</w:t>
      </w:r>
      <w:proofErr w:type="gramEnd"/>
      <w:r>
        <w:rPr>
          <w:rFonts w:ascii="Times New Roman" w:hAnsi="Times New Roman"/>
        </w:rPr>
        <w:t xml:space="preserve"> omfattar alla de förfaranden som behöver genomföras för att tillämpa direktivet på nationell nivå. </w:t>
      </w:r>
      <w:r>
        <w:rPr>
          <w:rFonts w:ascii="Times New Roman" w:hAnsi="Times New Roman"/>
          <w:u w:val="single"/>
        </w:rPr>
        <w:t>Administrativa bördor</w:t>
      </w:r>
      <w:r>
        <w:rPr>
          <w:rFonts w:ascii="Times New Roman" w:hAnsi="Times New Roman"/>
        </w:rPr>
        <w:t xml:space="preserve"> är kostnader som åläggs företag och användare i samband med genom</w:t>
      </w:r>
      <w:r>
        <w:rPr>
          <w:rFonts w:ascii="Times New Roman" w:hAnsi="Times New Roman"/>
        </w:rPr>
        <w:t xml:space="preserve">förandet av informationsskyldigheter som ålagts dem genom myndigheternas lagstiftning, samt kostnader för medlemsstaternas myndigheter i samband med tillämpningen av ytterligare förfaranden. </w:t>
      </w:r>
      <w:r>
        <w:rPr>
          <w:rFonts w:ascii="Times New Roman" w:hAnsi="Times New Roman"/>
          <w:u w:val="single"/>
        </w:rPr>
        <w:t>Informationskostnader</w:t>
      </w:r>
      <w:r>
        <w:rPr>
          <w:rFonts w:ascii="Times New Roman" w:hAnsi="Times New Roman"/>
        </w:rPr>
        <w:t xml:space="preserve"> orsakas av skillnaderna i tillämpningen av </w:t>
      </w:r>
      <w:r>
        <w:rPr>
          <w:rFonts w:ascii="Times New Roman" w:hAnsi="Times New Roman"/>
        </w:rPr>
        <w:t>direktivet, vilket leder till att medlemsstaterna, tillverkarna och användarna måste informeras om de krav som gäller utomlands.</w:t>
      </w:r>
    </w:p>
  </w:footnote>
  <w:footnote w:id="23">
    <w:p w:rsidR="006C32AE" w:rsidRDefault="00F456ED">
      <w:pPr>
        <w:pStyle w:val="FootnoteText"/>
      </w:pPr>
      <w:r>
        <w:rPr>
          <w:rStyle w:val="FootnoteReference"/>
        </w:rPr>
        <w:footnoteRef/>
      </w:r>
      <w:r>
        <w:t xml:space="preserve"> </w:t>
      </w:r>
      <w:r>
        <w:rPr>
          <w:rFonts w:ascii="Times New Roman" w:hAnsi="Times New Roman"/>
        </w:rPr>
        <w:t>Artikel 9 i FN:s protokoll om skjutvapen.</w:t>
      </w:r>
    </w:p>
  </w:footnote>
  <w:footnote w:id="24">
    <w:p w:rsidR="006C32AE" w:rsidRDefault="00F456ED">
      <w:pPr>
        <w:pStyle w:val="FootnoteText"/>
        <w:rPr>
          <w:rFonts w:ascii="Times New Roman" w:hAnsi="Times New Roman"/>
          <w:sz w:val="24"/>
          <w:szCs w:val="24"/>
        </w:rPr>
      </w:pPr>
      <w:r>
        <w:rPr>
          <w:rStyle w:val="FootnoteReference"/>
        </w:rPr>
        <w:footnoteRef/>
      </w:r>
      <w:r>
        <w:t xml:space="preserve"> </w:t>
      </w:r>
      <w:r>
        <w:rPr>
          <w:rFonts w:ascii="Times New Roman" w:hAnsi="Times New Roman"/>
        </w:rPr>
        <w:t xml:space="preserve">I fråga om näthandel och nya tekniker pekar utvärderingen på internets allt </w:t>
      </w:r>
      <w:r>
        <w:rPr>
          <w:rFonts w:ascii="Times New Roman" w:hAnsi="Times New Roman"/>
        </w:rPr>
        <w:t>större roll som försäljningskanal för skjutvapen och framtida svårigheter att kontrollera detta. Dock anges det i utvärderingen att den nuvarande ramen är tillräcklig för att hantera den typen av situation.</w:t>
      </w:r>
    </w:p>
  </w:footnote>
  <w:footnote w:id="25">
    <w:p w:rsidR="006C32AE" w:rsidRDefault="00F456ED">
      <w:pPr>
        <w:pStyle w:val="FootnoteText"/>
        <w:spacing w:after="0" w:line="240" w:lineRule="auto"/>
      </w:pPr>
      <w:r>
        <w:rPr>
          <w:rStyle w:val="FootnoteReference"/>
        </w:rPr>
        <w:footnoteRef/>
      </w:r>
      <w:r>
        <w:t xml:space="preserve"> </w:t>
      </w:r>
      <w:r>
        <w:rPr>
          <w:rFonts w:ascii="Times New Roman" w:hAnsi="Times New Roman"/>
        </w:rPr>
        <w:t>COM(2015) 185 final.</w:t>
      </w:r>
    </w:p>
  </w:footnote>
  <w:footnote w:id="26">
    <w:p w:rsidR="006C32AE" w:rsidRDefault="00F456ED">
      <w:pPr>
        <w:spacing w:after="0" w:line="240" w:lineRule="auto"/>
        <w:jc w:val="both"/>
        <w:rPr>
          <w:rFonts w:ascii="Times New Roman" w:hAnsi="Times New Roman"/>
          <w:sz w:val="24"/>
          <w:szCs w:val="24"/>
        </w:rPr>
      </w:pPr>
      <w:r>
        <w:rPr>
          <w:rStyle w:val="FootnoteReference"/>
        </w:rPr>
        <w:footnoteRef/>
      </w:r>
      <w:r>
        <w:t xml:space="preserve"> </w:t>
      </w:r>
      <w:r>
        <w:rPr>
          <w:rFonts w:ascii="Times New Roman" w:hAnsi="Times New Roman"/>
          <w:sz w:val="20"/>
        </w:rPr>
        <w:t>Gemensamt uttalande efte</w:t>
      </w:r>
      <w:r>
        <w:rPr>
          <w:rFonts w:ascii="Times New Roman" w:hAnsi="Times New Roman"/>
          <w:sz w:val="20"/>
        </w:rPr>
        <w:t>r det informella mötet mellan ministrarna för rättsliga och inrikes frågor i Riga den 29 och 30 januari.</w:t>
      </w:r>
    </w:p>
    <w:p w:rsidR="006C32AE" w:rsidRDefault="006C32A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2AE" w:rsidRDefault="006C32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2AE" w:rsidRDefault="006C32AE">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2AE" w:rsidRDefault="006C32AE">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2AE" w:rsidRDefault="006C32A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2AE" w:rsidRDefault="006C32A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2AE" w:rsidRDefault="006C32A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2AE" w:rsidRDefault="006C32A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2AE" w:rsidRDefault="006C32AE">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2AE" w:rsidRDefault="006C32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03D66"/>
    <w:multiLevelType w:val="hybridMultilevel"/>
    <w:tmpl w:val="77D6BD0C"/>
    <w:lvl w:ilvl="0" w:tplc="1194DFAA">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612FB1"/>
    <w:multiLevelType w:val="hybridMultilevel"/>
    <w:tmpl w:val="A426D61E"/>
    <w:lvl w:ilvl="0" w:tplc="1194DFAA">
      <w:numFmt w:val="bullet"/>
      <w:lvlText w:val="-"/>
      <w:lvlJc w:val="left"/>
      <w:pPr>
        <w:ind w:left="360" w:hanging="360"/>
      </w:pPr>
      <w:rPr>
        <w:rFonts w:ascii="Verdana" w:eastAsia="Calibri"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36687004"/>
    <w:multiLevelType w:val="hybridMultilevel"/>
    <w:tmpl w:val="13DE9942"/>
    <w:lvl w:ilvl="0" w:tplc="1194DFAA">
      <w:numFmt w:val="bullet"/>
      <w:lvlText w:val="-"/>
      <w:lvlJc w:val="left"/>
      <w:pPr>
        <w:ind w:left="720" w:hanging="360"/>
      </w:pPr>
      <w:rPr>
        <w:rFonts w:ascii="Verdana" w:eastAsia="Calibri" w:hAnsi="Verdan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FDD4F8B"/>
    <w:multiLevelType w:val="hybridMultilevel"/>
    <w:tmpl w:val="941A539C"/>
    <w:lvl w:ilvl="0" w:tplc="1194DFAA">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2FD0D70"/>
    <w:multiLevelType w:val="hybridMultilevel"/>
    <w:tmpl w:val="42285C8C"/>
    <w:lvl w:ilvl="0" w:tplc="1194DFAA">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CFA1ACC"/>
    <w:multiLevelType w:val="hybridMultilevel"/>
    <w:tmpl w:val="7A58F2EC"/>
    <w:lvl w:ilvl="0" w:tplc="1194DFAA">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3241602"/>
    <w:multiLevelType w:val="hybridMultilevel"/>
    <w:tmpl w:val="F6DC0A46"/>
    <w:lvl w:ilvl="0" w:tplc="1194DFAA">
      <w:numFmt w:val="bullet"/>
      <w:lvlText w:val="-"/>
      <w:lvlJc w:val="left"/>
      <w:pPr>
        <w:ind w:left="360" w:hanging="360"/>
      </w:pPr>
      <w:rPr>
        <w:rFonts w:ascii="Verdana" w:eastAsia="Calibri" w:hAnsi="Verdana"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72184960"/>
    <w:multiLevelType w:val="hybridMultilevel"/>
    <w:tmpl w:val="5882F394"/>
    <w:lvl w:ilvl="0" w:tplc="1194DFAA">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4471ED2"/>
    <w:multiLevelType w:val="hybridMultilevel"/>
    <w:tmpl w:val="0BFC1468"/>
    <w:lvl w:ilvl="0" w:tplc="1194DFAA">
      <w:numFmt w:val="bullet"/>
      <w:lvlText w:val="-"/>
      <w:lvlJc w:val="left"/>
      <w:pPr>
        <w:ind w:left="360" w:hanging="360"/>
      </w:pPr>
      <w:rPr>
        <w:rFonts w:ascii="Verdana" w:eastAsia="Calibri"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7"/>
  </w:num>
  <w:num w:numId="6">
    <w:abstractNumId w:val="6"/>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Red"/>
    <w:docVar w:name="LW_CONFIDENCE" w:val=" "/>
    <w:docVar w:name="LW_CONST_RESTREINT_UE" w:val="RESTREINT UE"/>
    <w:docVar w:name="LW_CORRIGENDUM" w:val="&lt;UNUSED&gt;"/>
    <w:docVar w:name="LW_COVERPAGE_GUID" w:val="4E2635B0A1BC43A8BD2178C560846366"/>
    <w:docVar w:name="LW_CROSSREFERENCE" w:val="&lt;UNUSED&gt;"/>
    <w:docVar w:name="LW_DocType" w:val="NORMAL"/>
    <w:docVar w:name="LW_EMISSION" w:val="18.11.2015"/>
    <w:docVar w:name="LW_EMISSION_ISODATE" w:val="2015-11-18"/>
    <w:docVar w:name="LW_EMISSION_LOCATION" w:val="BRX"/>
    <w:docVar w:name="LW_EMISSION_PREFIX" w:val="Bryssel den "/>
    <w:docVar w:name="LW_EMISSION_SUFFIX" w:val=" "/>
    <w:docVar w:name="LW_ID_DOCTYPE_NONLW" w:val="CP-005"/>
    <w:docVar w:name="LW_LANGUE" w:val="SV"/>
    <w:docVar w:name="LW_MARKING" w:val="&lt;UNUSED&gt;"/>
    <w:docVar w:name="LW_NOM.INST" w:val="EUROPEISKA KOMMISSIONEN"/>
    <w:docVar w:name="LW_NOM.INST_JOINTDOC" w:val="&lt;EMPTY&gt;"/>
    <w:docVar w:name="LW_PART_NBR" w:val="1"/>
    <w:docVar w:name="LW_PART_NBR_TOTAL" w:val="1"/>
    <w:docVar w:name="LW_REF.INST.NEW" w:val="COM"/>
    <w:docVar w:name="LW_REF.INST.NEW_ADOPTED" w:val="final"/>
    <w:docVar w:name="LW_REF.INST.NEW_TEXT" w:val="(2015) 751"/>
    <w:docVar w:name="LW_REF.INTERNE" w:val="&lt;UNUSED&gt;"/>
    <w:docVar w:name="LW_SOUS.TITRE.OBJ.CP" w:val="&lt;UNUSED&gt;"/>
    <w:docVar w:name="LW_SUPERTITRE" w:val="&lt;UNUSED&gt;"/>
    <w:docVar w:name="LW_TITRE.OBJ.CP" w:val="Refit-utvärdering av rådets direktiv 91/477/EG av den 18 juni 1991, ändrad genom direktiv 2008/51/EG av den 21 maj 2008, om kontroll av förvärv och innehav av vapen "/>
    <w:docVar w:name="LW_TYPE.DOC.CP" w:val="RAPPORT FRÅN KOMMISSIONEN TILL RÅDET OCH EUROPAPARLAMENTET"/>
  </w:docVars>
  <w:rsids>
    <w:rsidRoot w:val="006C32AE"/>
    <w:rsid w:val="006C32AE"/>
    <w:rsid w:val="00E4489B"/>
    <w:rsid w:val="00F45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sv-SE" w:bidi="sv-S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Times New Roman"/>
    </w:rPr>
  </w:style>
  <w:style w:type="paragraph" w:styleId="Heading1">
    <w:name w:val="heading 1"/>
    <w:basedOn w:val="Normal"/>
    <w:next w:val="Normal"/>
    <w:link w:val="Heading1Char"/>
    <w:uiPriority w:val="9"/>
    <w:qFormat/>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eastAsia="Times New Roman" w:hAnsi="Cambria" w:cs="Times New Roman"/>
      <w:b/>
      <w:bCs/>
      <w:kern w:val="32"/>
      <w:sz w:val="32"/>
      <w:szCs w:val="32"/>
      <w:lang w:val="sv-SE"/>
    </w:rPr>
  </w:style>
  <w:style w:type="character" w:customStyle="1" w:styleId="Heading2Char">
    <w:name w:val="Heading 2 Char"/>
    <w:basedOn w:val="DefaultParagraphFont"/>
    <w:link w:val="Heading2"/>
    <w:uiPriority w:val="9"/>
    <w:rPr>
      <w:rFonts w:ascii="Cambria" w:eastAsia="Times New Roman" w:hAnsi="Cambria" w:cs="Times New Roman"/>
      <w:b/>
      <w:bCs/>
      <w:i/>
      <w:iCs/>
      <w:sz w:val="28"/>
      <w:szCs w:val="28"/>
      <w:lang w:val="sv-SE"/>
    </w:rPr>
  </w:style>
  <w:style w:type="character" w:customStyle="1" w:styleId="Heading3Char">
    <w:name w:val="Heading 3 Char"/>
    <w:basedOn w:val="DefaultParagraphFont"/>
    <w:link w:val="Heading3"/>
    <w:uiPriority w:val="9"/>
    <w:rPr>
      <w:rFonts w:ascii="Cambria" w:eastAsia="Times New Roman" w:hAnsi="Cambria" w:cs="Times New Roman"/>
      <w:b/>
      <w:bCs/>
      <w:sz w:val="26"/>
      <w:szCs w:val="26"/>
      <w:lang w:val="sv-SE"/>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ascii="Calibri" w:eastAsia="Calibri" w:hAnsi="Calibri" w:cs="Times New Roman"/>
      <w:lang w:val="sv-SE"/>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ascii="Calibri" w:eastAsia="Calibri" w:hAnsi="Calibri" w:cs="Times New Roman"/>
      <w:lang w:val="sv-SE"/>
    </w:rPr>
  </w:style>
  <w:style w:type="paragraph" w:customStyle="1" w:styleId="Typedudocument">
    <w:name w:val="Type du document"/>
    <w:basedOn w:val="Normal"/>
    <w:next w:val="Normal"/>
    <w:link w:val="TypedudocumentChar"/>
    <w:pPr>
      <w:spacing w:before="360" w:after="0" w:line="240" w:lineRule="auto"/>
      <w:jc w:val="center"/>
    </w:pPr>
    <w:rPr>
      <w:rFonts w:ascii="Times New Roman" w:hAnsi="Times New Roman"/>
      <w:b/>
      <w:sz w:val="24"/>
    </w:rPr>
  </w:style>
  <w:style w:type="paragraph" w:customStyle="1" w:styleId="Titreobjet">
    <w:name w:val="Titre objet"/>
    <w:basedOn w:val="Normal"/>
    <w:next w:val="Normal"/>
    <w:pPr>
      <w:spacing w:before="360" w:after="360" w:line="240" w:lineRule="auto"/>
      <w:jc w:val="center"/>
    </w:pPr>
    <w:rPr>
      <w:rFonts w:ascii="Times New Roman" w:hAnsi="Times New Roman"/>
      <w:b/>
      <w:sz w:val="24"/>
    </w:rPr>
  </w:style>
  <w:style w:type="character" w:customStyle="1" w:styleId="TypedudocumentChar">
    <w:name w:val="Type du document Char"/>
    <w:link w:val="Typedudocument"/>
    <w:rPr>
      <w:rFonts w:ascii="Times New Roman" w:eastAsia="Calibri" w:hAnsi="Times New Roman" w:cs="Times New Roman"/>
      <w:b/>
      <w:sz w:val="24"/>
      <w:lang w:val="sv-SE"/>
    </w:rPr>
  </w:style>
  <w:style w:type="character" w:styleId="CommentReference">
    <w:name w:val="annotation reference"/>
    <w:uiPriority w:val="99"/>
    <w:unhideWhenUsed/>
    <w:rPr>
      <w:sz w:val="16"/>
      <w:szCs w:val="16"/>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rPr>
      <w:rFonts w:ascii="Calibri" w:eastAsia="Calibri" w:hAnsi="Calibri" w:cs="Times New Roman"/>
      <w:sz w:val="20"/>
      <w:szCs w:val="20"/>
      <w:lang w:val="sv-SE"/>
    </w:rPr>
  </w:style>
  <w:style w:type="character" w:styleId="FootnoteReference">
    <w:name w:val="footnote reference"/>
    <w:aliases w:val="Footnote Reference Superscript,Footnote symbol,Voetnootverwijzing,Times 10 Point,Exposant 3 Point,Fußnotenzeichen2,Footnote number,fr,o,Footnotemark,FR,Footnotemark1,Footnotemark2,FR1,Footnotemark3,FR2,Footnotemark4,footnote ref,Footn"/>
    <w:uiPriority w:val="99"/>
    <w:unhideWhenUsed/>
    <w:qFormat/>
    <w:rPr>
      <w:vertAlign w:val="superscript"/>
    </w:rPr>
  </w:style>
  <w:style w:type="paragraph" w:customStyle="1" w:styleId="Body">
    <w:name w:val="Body"/>
    <w:basedOn w:val="Normal"/>
    <w:link w:val="BodyChar"/>
    <w:qFormat/>
    <w:pPr>
      <w:spacing w:before="120" w:after="120" w:line="240" w:lineRule="auto"/>
      <w:jc w:val="both"/>
    </w:pPr>
    <w:rPr>
      <w:rFonts w:ascii="Verdana" w:eastAsia="Times New Roman" w:hAnsi="Verdana"/>
      <w:sz w:val="20"/>
      <w:szCs w:val="20"/>
    </w:rPr>
  </w:style>
  <w:style w:type="character" w:customStyle="1" w:styleId="BodyChar">
    <w:name w:val="Body Char"/>
    <w:link w:val="Body"/>
    <w:rPr>
      <w:rFonts w:ascii="Verdana" w:eastAsia="Times New Roman" w:hAnsi="Verdana" w:cs="Times New Roman"/>
      <w:sz w:val="20"/>
      <w:szCs w:val="20"/>
      <w:lang w:val="sv-SE"/>
    </w:rPr>
  </w:style>
  <w:style w:type="character" w:styleId="Hyperlink">
    <w:name w:val="Hyperlink"/>
    <w:uiPriority w:val="99"/>
    <w:unhideWhenUsed/>
    <w:rPr>
      <w:color w:val="0000FF"/>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val="sv-SE"/>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eastAsiaTheme="minorHAnsi" w:hAnsi="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sz w:val="24"/>
    </w:rPr>
  </w:style>
  <w:style w:type="character" w:customStyle="1" w:styleId="FooterCoverPageChar">
    <w:name w:val="Footer Cover Page Char"/>
    <w:basedOn w:val="DefaultParagraphFont"/>
    <w:link w:val="FooterCoverPage"/>
    <w:rPr>
      <w:rFonts w:ascii="Times New Roman" w:eastAsia="Calibri"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sz w:val="24"/>
    </w:rPr>
  </w:style>
  <w:style w:type="character" w:customStyle="1" w:styleId="HeaderCoverPageChar">
    <w:name w:val="Header Cover Page Char"/>
    <w:basedOn w:val="DefaultParagraphFont"/>
    <w:link w:val="HeaderCoverPage"/>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sv-SE" w:bidi="sv-S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Times New Roman"/>
    </w:rPr>
  </w:style>
  <w:style w:type="paragraph" w:styleId="Heading1">
    <w:name w:val="heading 1"/>
    <w:basedOn w:val="Normal"/>
    <w:next w:val="Normal"/>
    <w:link w:val="Heading1Char"/>
    <w:uiPriority w:val="9"/>
    <w:qFormat/>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eastAsia="Times New Roman" w:hAnsi="Cambria" w:cs="Times New Roman"/>
      <w:b/>
      <w:bCs/>
      <w:kern w:val="32"/>
      <w:sz w:val="32"/>
      <w:szCs w:val="32"/>
      <w:lang w:val="sv-SE"/>
    </w:rPr>
  </w:style>
  <w:style w:type="character" w:customStyle="1" w:styleId="Heading2Char">
    <w:name w:val="Heading 2 Char"/>
    <w:basedOn w:val="DefaultParagraphFont"/>
    <w:link w:val="Heading2"/>
    <w:uiPriority w:val="9"/>
    <w:rPr>
      <w:rFonts w:ascii="Cambria" w:eastAsia="Times New Roman" w:hAnsi="Cambria" w:cs="Times New Roman"/>
      <w:b/>
      <w:bCs/>
      <w:i/>
      <w:iCs/>
      <w:sz w:val="28"/>
      <w:szCs w:val="28"/>
      <w:lang w:val="sv-SE"/>
    </w:rPr>
  </w:style>
  <w:style w:type="character" w:customStyle="1" w:styleId="Heading3Char">
    <w:name w:val="Heading 3 Char"/>
    <w:basedOn w:val="DefaultParagraphFont"/>
    <w:link w:val="Heading3"/>
    <w:uiPriority w:val="9"/>
    <w:rPr>
      <w:rFonts w:ascii="Cambria" w:eastAsia="Times New Roman" w:hAnsi="Cambria" w:cs="Times New Roman"/>
      <w:b/>
      <w:bCs/>
      <w:sz w:val="26"/>
      <w:szCs w:val="26"/>
      <w:lang w:val="sv-SE"/>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ascii="Calibri" w:eastAsia="Calibri" w:hAnsi="Calibri" w:cs="Times New Roman"/>
      <w:lang w:val="sv-SE"/>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ascii="Calibri" w:eastAsia="Calibri" w:hAnsi="Calibri" w:cs="Times New Roman"/>
      <w:lang w:val="sv-SE"/>
    </w:rPr>
  </w:style>
  <w:style w:type="paragraph" w:customStyle="1" w:styleId="Typedudocument">
    <w:name w:val="Type du document"/>
    <w:basedOn w:val="Normal"/>
    <w:next w:val="Normal"/>
    <w:link w:val="TypedudocumentChar"/>
    <w:pPr>
      <w:spacing w:before="360" w:after="0" w:line="240" w:lineRule="auto"/>
      <w:jc w:val="center"/>
    </w:pPr>
    <w:rPr>
      <w:rFonts w:ascii="Times New Roman" w:hAnsi="Times New Roman"/>
      <w:b/>
      <w:sz w:val="24"/>
    </w:rPr>
  </w:style>
  <w:style w:type="paragraph" w:customStyle="1" w:styleId="Titreobjet">
    <w:name w:val="Titre objet"/>
    <w:basedOn w:val="Normal"/>
    <w:next w:val="Normal"/>
    <w:pPr>
      <w:spacing w:before="360" w:after="360" w:line="240" w:lineRule="auto"/>
      <w:jc w:val="center"/>
    </w:pPr>
    <w:rPr>
      <w:rFonts w:ascii="Times New Roman" w:hAnsi="Times New Roman"/>
      <w:b/>
      <w:sz w:val="24"/>
    </w:rPr>
  </w:style>
  <w:style w:type="character" w:customStyle="1" w:styleId="TypedudocumentChar">
    <w:name w:val="Type du document Char"/>
    <w:link w:val="Typedudocument"/>
    <w:rPr>
      <w:rFonts w:ascii="Times New Roman" w:eastAsia="Calibri" w:hAnsi="Times New Roman" w:cs="Times New Roman"/>
      <w:b/>
      <w:sz w:val="24"/>
      <w:lang w:val="sv-SE"/>
    </w:rPr>
  </w:style>
  <w:style w:type="character" w:styleId="CommentReference">
    <w:name w:val="annotation reference"/>
    <w:uiPriority w:val="99"/>
    <w:unhideWhenUsed/>
    <w:rPr>
      <w:sz w:val="16"/>
      <w:szCs w:val="16"/>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rPr>
      <w:rFonts w:ascii="Calibri" w:eastAsia="Calibri" w:hAnsi="Calibri" w:cs="Times New Roman"/>
      <w:sz w:val="20"/>
      <w:szCs w:val="20"/>
      <w:lang w:val="sv-SE"/>
    </w:rPr>
  </w:style>
  <w:style w:type="character" w:styleId="FootnoteReference">
    <w:name w:val="footnote reference"/>
    <w:aliases w:val="Footnote Reference Superscript,Footnote symbol,Voetnootverwijzing,Times 10 Point,Exposant 3 Point,Fußnotenzeichen2,Footnote number,fr,o,Footnotemark,FR,Footnotemark1,Footnotemark2,FR1,Footnotemark3,FR2,Footnotemark4,footnote ref,Footn"/>
    <w:uiPriority w:val="99"/>
    <w:unhideWhenUsed/>
    <w:qFormat/>
    <w:rPr>
      <w:vertAlign w:val="superscript"/>
    </w:rPr>
  </w:style>
  <w:style w:type="paragraph" w:customStyle="1" w:styleId="Body">
    <w:name w:val="Body"/>
    <w:basedOn w:val="Normal"/>
    <w:link w:val="BodyChar"/>
    <w:qFormat/>
    <w:pPr>
      <w:spacing w:before="120" w:after="120" w:line="240" w:lineRule="auto"/>
      <w:jc w:val="both"/>
    </w:pPr>
    <w:rPr>
      <w:rFonts w:ascii="Verdana" w:eastAsia="Times New Roman" w:hAnsi="Verdana"/>
      <w:sz w:val="20"/>
      <w:szCs w:val="20"/>
    </w:rPr>
  </w:style>
  <w:style w:type="character" w:customStyle="1" w:styleId="BodyChar">
    <w:name w:val="Body Char"/>
    <w:link w:val="Body"/>
    <w:rPr>
      <w:rFonts w:ascii="Verdana" w:eastAsia="Times New Roman" w:hAnsi="Verdana" w:cs="Times New Roman"/>
      <w:sz w:val="20"/>
      <w:szCs w:val="20"/>
      <w:lang w:val="sv-SE"/>
    </w:rPr>
  </w:style>
  <w:style w:type="character" w:styleId="Hyperlink">
    <w:name w:val="Hyperlink"/>
    <w:uiPriority w:val="99"/>
    <w:unhideWhenUsed/>
    <w:rPr>
      <w:color w:val="0000FF"/>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val="sv-SE"/>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eastAsiaTheme="minorHAnsi" w:hAnsi="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sz w:val="24"/>
    </w:rPr>
  </w:style>
  <w:style w:type="character" w:customStyle="1" w:styleId="FooterCoverPageChar">
    <w:name w:val="Footer Cover Page Char"/>
    <w:basedOn w:val="DefaultParagraphFont"/>
    <w:link w:val="FooterCoverPage"/>
    <w:rPr>
      <w:rFonts w:ascii="Times New Roman" w:eastAsia="Calibri"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sz w:val="24"/>
    </w:rPr>
  </w:style>
  <w:style w:type="character" w:customStyle="1" w:styleId="HeaderCoverPageChar">
    <w:name w:val="Header Cover Page Char"/>
    <w:basedOn w:val="DefaultParagraphFont"/>
    <w:link w:val="HeaderCoverPage"/>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sipri.org/research/security/europe/publications/study-on-firearms" TargetMode="External"/><Relationship Id="rId1" Type="http://schemas.openxmlformats.org/officeDocument/2006/relationships/hyperlink" Target="http://bookshop.europa.eu/en/evaluation-of-the-firearms-directive-pbNB051415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NOT.DOTM</Template>
  <TotalTime>22</TotalTime>
  <Pages>18</Pages>
  <Words>6507</Words>
  <Characters>35792</Characters>
  <Application>Microsoft Office Word</Application>
  <DocSecurity>0</DocSecurity>
  <Lines>606</Lines>
  <Paragraphs>254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32</cp:revision>
  <dcterms:created xsi:type="dcterms:W3CDTF">2015-11-19T15:40:00Z</dcterms:created>
  <dcterms:modified xsi:type="dcterms:W3CDTF">2015-12-07T15:59:00Z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Classification">
    <vt:lpwstr> </vt:lpwstr>
  </property>
  <property fmtid="{D5CDD505-2E9C-101B-9397-08002B2CF9AE}" pid="5" name="ELDocType">
    <vt:lpwstr>NOT.DOT</vt:lpwstr>
  </property>
  <property fmtid="{D5CDD505-2E9C-101B-9397-08002B2CF9AE}" pid="6" name="DocStatus">
    <vt:lpwstr>Red</vt:lpwstr>
  </property>
  <property name="OP_sanitized" fmtid="{D5CDD505-2E9C-101B-9397-08002B2CF9AE}" pid="7">
    <vt:lpwstr>True</vt:lpwstr>
  </property>
</Properties>
</file>