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DE1EF01C6B7C411C8C6013243FE1160D" style="width:450.8pt;height:320.5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TOCHeading"/>
        <w:rPr>
          <w:noProof/>
        </w:rPr>
      </w:pPr>
      <w:bookmarkStart w:id="1" w:name="_Toc401153889"/>
      <w:bookmarkStart w:id="2" w:name="_Toc435796648"/>
      <w:bookmarkStart w:id="3" w:name="_GoBack"/>
      <w:bookmarkEnd w:id="3"/>
      <w:r>
        <w:rPr>
          <w:noProof/>
        </w:rPr>
        <w:lastRenderedPageBreak/>
        <w:t>Innehållsförteckning</w:t>
      </w:r>
    </w:p>
    <w:p>
      <w:pPr>
        <w:pStyle w:val="TOC1"/>
        <w:rPr>
          <w:rFonts w:asciiTheme="minorHAnsi" w:eastAsiaTheme="minorEastAsia" w:hAnsiTheme="minorHAnsi" w:cstheme="minorBidi"/>
          <w:noProof/>
          <w:sz w:val="22"/>
          <w:lang w:val="en-GB" w:eastAsia="en-GB" w:bidi="ar-SA"/>
        </w:rPr>
      </w:pPr>
      <w:r>
        <w:rPr>
          <w:noProof/>
        </w:rPr>
        <w:fldChar w:fldCharType="begin"/>
      </w:r>
      <w:r>
        <w:rPr>
          <w:noProof/>
        </w:rPr>
        <w:instrText xml:space="preserve"> TOC \o "1-3" \h \z \u </w:instrText>
      </w:r>
      <w:r>
        <w:rPr>
          <w:noProof/>
        </w:rPr>
        <w:fldChar w:fldCharType="separate"/>
      </w:r>
      <w:hyperlink w:anchor="_Toc437600141" w:history="1">
        <w:r>
          <w:rPr>
            <w:rStyle w:val="Hyperlink"/>
            <w:noProof/>
          </w:rPr>
          <w:t>1.</w:t>
        </w:r>
        <w:r>
          <w:rPr>
            <w:rFonts w:asciiTheme="minorHAnsi" w:eastAsiaTheme="minorEastAsia" w:hAnsiTheme="minorHAnsi" w:cstheme="minorBidi"/>
            <w:noProof/>
            <w:sz w:val="22"/>
            <w:lang w:val="en-GB" w:eastAsia="en-GB" w:bidi="ar-SA"/>
          </w:rPr>
          <w:tab/>
        </w:r>
        <w:r>
          <w:rPr>
            <w:rStyle w:val="Hyperlink"/>
            <w:noProof/>
          </w:rPr>
          <w:t>INLEDNING</w:t>
        </w:r>
        <w:r>
          <w:rPr>
            <w:noProof/>
            <w:webHidden/>
          </w:rPr>
          <w:tab/>
        </w:r>
        <w:r>
          <w:rPr>
            <w:noProof/>
            <w:webHidden/>
          </w:rPr>
          <w:fldChar w:fldCharType="begin"/>
        </w:r>
        <w:r>
          <w:rPr>
            <w:noProof/>
            <w:webHidden/>
          </w:rPr>
          <w:instrText xml:space="preserve"> PAGEREF _Toc437600141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noProof/>
          <w:sz w:val="22"/>
          <w:lang w:val="en-GB" w:eastAsia="en-GB" w:bidi="ar-SA"/>
        </w:rPr>
      </w:pPr>
      <w:hyperlink w:anchor="_Toc437600142" w:history="1">
        <w:r>
          <w:rPr>
            <w:rStyle w:val="Hyperlink"/>
            <w:noProof/>
          </w:rPr>
          <w:t>2.</w:t>
        </w:r>
        <w:r>
          <w:rPr>
            <w:rFonts w:asciiTheme="minorHAnsi" w:eastAsiaTheme="minorEastAsia" w:hAnsiTheme="minorHAnsi" w:cstheme="minorBidi"/>
            <w:noProof/>
            <w:sz w:val="22"/>
            <w:lang w:val="en-GB" w:eastAsia="en-GB" w:bidi="ar-SA"/>
          </w:rPr>
          <w:tab/>
        </w:r>
        <w:r>
          <w:rPr>
            <w:rStyle w:val="Hyperlink"/>
            <w:noProof/>
          </w:rPr>
          <w:t>SAMLAD BEDÖMNING AV GENOMFÖRANDET AV EFF</w:t>
        </w:r>
        <w:r>
          <w:rPr>
            <w:noProof/>
            <w:webHidden/>
          </w:rPr>
          <w:tab/>
        </w:r>
        <w:r>
          <w:rPr>
            <w:noProof/>
            <w:webHidden/>
          </w:rPr>
          <w:fldChar w:fldCharType="begin"/>
        </w:r>
        <w:r>
          <w:rPr>
            <w:noProof/>
            <w:webHidden/>
          </w:rPr>
          <w:instrText xml:space="preserve"> PAGEREF _Toc437600142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43" w:history="1">
        <w:r>
          <w:rPr>
            <w:rStyle w:val="Hyperlink"/>
            <w:noProof/>
          </w:rPr>
          <w:t>2.1.</w:t>
        </w:r>
        <w:r>
          <w:rPr>
            <w:rFonts w:asciiTheme="minorHAnsi" w:eastAsiaTheme="minorEastAsia" w:hAnsiTheme="minorHAnsi" w:cstheme="minorBidi"/>
            <w:noProof/>
            <w:sz w:val="22"/>
            <w:lang w:val="en-GB" w:eastAsia="en-GB" w:bidi="ar-SA"/>
          </w:rPr>
          <w:tab/>
        </w:r>
        <w:r>
          <w:rPr>
            <w:rStyle w:val="Hyperlink"/>
            <w:noProof/>
          </w:rPr>
          <w:t>Medlemsstaternas ekonomiska genomförande av EFF</w:t>
        </w:r>
        <w:r>
          <w:rPr>
            <w:noProof/>
            <w:webHidden/>
          </w:rPr>
          <w:tab/>
        </w:r>
        <w:r>
          <w:rPr>
            <w:noProof/>
            <w:webHidden/>
          </w:rPr>
          <w:fldChar w:fldCharType="begin"/>
        </w:r>
        <w:r>
          <w:rPr>
            <w:noProof/>
            <w:webHidden/>
          </w:rPr>
          <w:instrText xml:space="preserve"> PAGEREF _Toc437600143 \h </w:instrText>
        </w:r>
        <w:r>
          <w:rPr>
            <w:noProof/>
            <w:webHidden/>
          </w:rPr>
        </w:r>
        <w:r>
          <w:rPr>
            <w:noProof/>
            <w:webHidden/>
          </w:rPr>
          <w:fldChar w:fldCharType="separate"/>
        </w:r>
        <w:r>
          <w:rPr>
            <w:noProof/>
            <w:webHidden/>
          </w:rPr>
          <w:t>2</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44" w:history="1">
        <w:r>
          <w:rPr>
            <w:rStyle w:val="Hyperlink"/>
            <w:noProof/>
          </w:rPr>
          <w:t>2.2.</w:t>
        </w:r>
        <w:r>
          <w:rPr>
            <w:rFonts w:asciiTheme="minorHAnsi" w:eastAsiaTheme="minorEastAsia" w:hAnsiTheme="minorHAnsi" w:cstheme="minorBidi"/>
            <w:noProof/>
            <w:sz w:val="22"/>
            <w:lang w:val="en-GB" w:eastAsia="en-GB" w:bidi="ar-SA"/>
          </w:rPr>
          <w:tab/>
        </w:r>
        <w:r>
          <w:rPr>
            <w:rStyle w:val="Hyperlink"/>
            <w:noProof/>
          </w:rPr>
          <w:t>EFF:s huvudsakliga insatsområden</w:t>
        </w:r>
        <w:r>
          <w:rPr>
            <w:noProof/>
            <w:webHidden/>
          </w:rPr>
          <w:tab/>
        </w:r>
        <w:r>
          <w:rPr>
            <w:noProof/>
            <w:webHidden/>
          </w:rPr>
          <w:fldChar w:fldCharType="begin"/>
        </w:r>
        <w:r>
          <w:rPr>
            <w:noProof/>
            <w:webHidden/>
          </w:rPr>
          <w:instrText xml:space="preserve"> PAGEREF _Toc437600144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45" w:history="1">
        <w:r>
          <w:rPr>
            <w:rStyle w:val="Hyperlink"/>
            <w:noProof/>
          </w:rPr>
          <w:t>2.3.</w:t>
        </w:r>
        <w:r>
          <w:rPr>
            <w:rFonts w:asciiTheme="minorHAnsi" w:eastAsiaTheme="minorEastAsia" w:hAnsiTheme="minorHAnsi" w:cstheme="minorBidi"/>
            <w:noProof/>
            <w:sz w:val="22"/>
            <w:lang w:val="en-GB" w:eastAsia="en-GB" w:bidi="ar-SA"/>
          </w:rPr>
          <w:tab/>
        </w:r>
        <w:r>
          <w:rPr>
            <w:rStyle w:val="Hyperlink"/>
            <w:noProof/>
          </w:rPr>
          <w:t>Utveckling per prioriterat område</w:t>
        </w:r>
        <w:r>
          <w:rPr>
            <w:noProof/>
            <w:webHidden/>
          </w:rPr>
          <w:tab/>
        </w:r>
        <w:r>
          <w:rPr>
            <w:noProof/>
            <w:webHidden/>
          </w:rPr>
          <w:fldChar w:fldCharType="begin"/>
        </w:r>
        <w:r>
          <w:rPr>
            <w:noProof/>
            <w:webHidden/>
          </w:rPr>
          <w:instrText xml:space="preserve"> PAGEREF _Toc437600145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46" w:history="1">
        <w:r>
          <w:rPr>
            <w:rStyle w:val="Hyperlink"/>
            <w:noProof/>
          </w:rPr>
          <w:t>2.4.</w:t>
        </w:r>
        <w:r>
          <w:rPr>
            <w:rFonts w:asciiTheme="minorHAnsi" w:eastAsiaTheme="minorEastAsia" w:hAnsiTheme="minorHAnsi" w:cstheme="minorBidi"/>
            <w:noProof/>
            <w:sz w:val="22"/>
            <w:lang w:val="en-GB" w:eastAsia="en-GB" w:bidi="ar-SA"/>
          </w:rPr>
          <w:tab/>
        </w:r>
        <w:r>
          <w:rPr>
            <w:rStyle w:val="Hyperlink"/>
            <w:noProof/>
          </w:rPr>
          <w:t>Kommissionens budgetgenomförande</w:t>
        </w:r>
        <w:r>
          <w:rPr>
            <w:noProof/>
            <w:webHidden/>
          </w:rPr>
          <w:tab/>
        </w:r>
        <w:r>
          <w:rPr>
            <w:noProof/>
            <w:webHidden/>
          </w:rPr>
          <w:fldChar w:fldCharType="begin"/>
        </w:r>
        <w:r>
          <w:rPr>
            <w:noProof/>
            <w:webHidden/>
          </w:rPr>
          <w:instrText xml:space="preserve"> PAGEREF _Toc437600146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47" w:history="1">
        <w:r>
          <w:rPr>
            <w:rStyle w:val="Hyperlink"/>
            <w:noProof/>
          </w:rPr>
          <w:t>2.5.</w:t>
        </w:r>
        <w:r>
          <w:rPr>
            <w:rFonts w:asciiTheme="minorHAnsi" w:eastAsiaTheme="minorEastAsia" w:hAnsiTheme="minorHAnsi" w:cstheme="minorBidi"/>
            <w:noProof/>
            <w:sz w:val="22"/>
            <w:lang w:val="en-GB" w:eastAsia="en-GB" w:bidi="ar-SA"/>
          </w:rPr>
          <w:tab/>
        </w:r>
        <w:r>
          <w:rPr>
            <w:rStyle w:val="Hyperlink"/>
            <w:noProof/>
          </w:rPr>
          <w:t>Medlemsstaternas användning av tekniskt stöd</w:t>
        </w:r>
        <w:r>
          <w:rPr>
            <w:noProof/>
            <w:webHidden/>
          </w:rPr>
          <w:tab/>
        </w:r>
        <w:r>
          <w:rPr>
            <w:noProof/>
            <w:webHidden/>
          </w:rPr>
          <w:fldChar w:fldCharType="begin"/>
        </w:r>
        <w:r>
          <w:rPr>
            <w:noProof/>
            <w:webHidden/>
          </w:rPr>
          <w:instrText xml:space="preserve"> PAGEREF _Toc437600147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48" w:history="1">
        <w:r>
          <w:rPr>
            <w:rStyle w:val="Hyperlink"/>
            <w:noProof/>
          </w:rPr>
          <w:t>2.6.</w:t>
        </w:r>
        <w:r>
          <w:rPr>
            <w:rFonts w:asciiTheme="minorHAnsi" w:eastAsiaTheme="minorEastAsia" w:hAnsiTheme="minorHAnsi" w:cstheme="minorBidi"/>
            <w:noProof/>
            <w:sz w:val="22"/>
            <w:lang w:val="en-GB" w:eastAsia="en-GB" w:bidi="ar-SA"/>
          </w:rPr>
          <w:tab/>
        </w:r>
        <w:r>
          <w:rPr>
            <w:rStyle w:val="Hyperlink"/>
            <w:noProof/>
          </w:rPr>
          <w:t>Kommissionens användning av tekniskt stöd</w:t>
        </w:r>
        <w:r>
          <w:rPr>
            <w:noProof/>
            <w:webHidden/>
          </w:rPr>
          <w:tab/>
        </w:r>
        <w:r>
          <w:rPr>
            <w:noProof/>
            <w:webHidden/>
          </w:rPr>
          <w:fldChar w:fldCharType="begin"/>
        </w:r>
        <w:r>
          <w:rPr>
            <w:noProof/>
            <w:webHidden/>
          </w:rPr>
          <w:instrText xml:space="preserve"> PAGEREF _Toc437600148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49" w:history="1">
        <w:r>
          <w:rPr>
            <w:rStyle w:val="Hyperlink"/>
            <w:noProof/>
          </w:rPr>
          <w:t>2.7.</w:t>
        </w:r>
        <w:r>
          <w:rPr>
            <w:rFonts w:asciiTheme="minorHAnsi" w:eastAsiaTheme="minorEastAsia" w:hAnsiTheme="minorHAnsi" w:cstheme="minorBidi"/>
            <w:noProof/>
            <w:sz w:val="22"/>
            <w:lang w:val="en-GB" w:eastAsia="en-GB" w:bidi="ar-SA"/>
          </w:rPr>
          <w:tab/>
        </w:r>
        <w:r>
          <w:rPr>
            <w:rStyle w:val="Hyperlink"/>
            <w:noProof/>
          </w:rPr>
          <w:t>Samordning av EFF med strukturfonderna och Europeiska jordbruksfonden för landsbygdsutveckling (Ejflu)</w:t>
        </w:r>
        <w:r>
          <w:rPr>
            <w:noProof/>
            <w:webHidden/>
          </w:rPr>
          <w:tab/>
        </w:r>
        <w:r>
          <w:rPr>
            <w:noProof/>
            <w:webHidden/>
          </w:rPr>
          <w:fldChar w:fldCharType="begin"/>
        </w:r>
        <w:r>
          <w:rPr>
            <w:noProof/>
            <w:webHidden/>
          </w:rPr>
          <w:instrText xml:space="preserve"> PAGEREF _Toc437600149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50" w:history="1">
        <w:r>
          <w:rPr>
            <w:rStyle w:val="Hyperlink"/>
            <w:noProof/>
          </w:rPr>
          <w:t>2.8.</w:t>
        </w:r>
        <w:r>
          <w:rPr>
            <w:rFonts w:asciiTheme="minorHAnsi" w:eastAsiaTheme="minorEastAsia" w:hAnsiTheme="minorHAnsi" w:cstheme="minorBidi"/>
            <w:noProof/>
            <w:sz w:val="22"/>
            <w:lang w:val="en-GB" w:eastAsia="en-GB" w:bidi="ar-SA"/>
          </w:rPr>
          <w:tab/>
        </w:r>
        <w:r>
          <w:rPr>
            <w:rStyle w:val="Hyperlink"/>
            <w:noProof/>
          </w:rPr>
          <w:t>Oegentligheter som rapporterats av medlemsstaterna</w:t>
        </w:r>
        <w:r>
          <w:rPr>
            <w:noProof/>
            <w:webHidden/>
          </w:rPr>
          <w:tab/>
        </w:r>
        <w:r>
          <w:rPr>
            <w:noProof/>
            <w:webHidden/>
          </w:rPr>
          <w:fldChar w:fldCharType="begin"/>
        </w:r>
        <w:r>
          <w:rPr>
            <w:noProof/>
            <w:webHidden/>
          </w:rPr>
          <w:instrText xml:space="preserve"> PAGEREF _Toc437600150 \h </w:instrText>
        </w:r>
        <w:r>
          <w:rPr>
            <w:noProof/>
            <w:webHidden/>
          </w:rPr>
        </w:r>
        <w:r>
          <w:rPr>
            <w:noProof/>
            <w:webHidden/>
          </w:rPr>
          <w:fldChar w:fldCharType="separate"/>
        </w:r>
        <w:r>
          <w:rPr>
            <w:noProof/>
            <w:webHidden/>
          </w:rPr>
          <w:t>6</w:t>
        </w:r>
        <w:r>
          <w:rPr>
            <w:noProof/>
            <w:webHidden/>
          </w:rPr>
          <w:fldChar w:fldCharType="end"/>
        </w:r>
      </w:hyperlink>
    </w:p>
    <w:p>
      <w:pPr>
        <w:pStyle w:val="TOC1"/>
        <w:rPr>
          <w:rFonts w:asciiTheme="minorHAnsi" w:eastAsiaTheme="minorEastAsia" w:hAnsiTheme="minorHAnsi" w:cstheme="minorBidi"/>
          <w:noProof/>
          <w:sz w:val="22"/>
          <w:lang w:val="en-GB" w:eastAsia="en-GB" w:bidi="ar-SA"/>
        </w:rPr>
      </w:pPr>
      <w:hyperlink w:anchor="_Toc437600151" w:history="1">
        <w:r>
          <w:rPr>
            <w:rStyle w:val="Hyperlink"/>
            <w:noProof/>
          </w:rPr>
          <w:t>3.</w:t>
        </w:r>
        <w:r>
          <w:rPr>
            <w:rFonts w:asciiTheme="minorHAnsi" w:eastAsiaTheme="minorEastAsia" w:hAnsiTheme="minorHAnsi" w:cstheme="minorBidi"/>
            <w:noProof/>
            <w:sz w:val="22"/>
            <w:lang w:val="en-GB" w:eastAsia="en-GB" w:bidi="ar-SA"/>
          </w:rPr>
          <w:tab/>
        </w:r>
        <w:r>
          <w:rPr>
            <w:rStyle w:val="Hyperlink"/>
            <w:noProof/>
          </w:rPr>
          <w:t>BEDÖMNING AV GENOMFÖRANDET AV EFF PER OMRÅDE</w:t>
        </w:r>
        <w:r>
          <w:rPr>
            <w:noProof/>
            <w:webHidden/>
          </w:rPr>
          <w:tab/>
        </w:r>
        <w:r>
          <w:rPr>
            <w:noProof/>
            <w:webHidden/>
          </w:rPr>
          <w:fldChar w:fldCharType="begin"/>
        </w:r>
        <w:r>
          <w:rPr>
            <w:noProof/>
            <w:webHidden/>
          </w:rPr>
          <w:instrText xml:space="preserve"> PAGEREF _Toc437600151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52" w:history="1">
        <w:r>
          <w:rPr>
            <w:rStyle w:val="Hyperlink"/>
            <w:noProof/>
          </w:rPr>
          <w:t>3.1.</w:t>
        </w:r>
        <w:r>
          <w:rPr>
            <w:rFonts w:asciiTheme="minorHAnsi" w:eastAsiaTheme="minorEastAsia" w:hAnsiTheme="minorHAnsi" w:cstheme="minorBidi"/>
            <w:noProof/>
            <w:sz w:val="22"/>
            <w:lang w:val="en-GB" w:eastAsia="en-GB" w:bidi="ar-SA"/>
          </w:rPr>
          <w:tab/>
        </w:r>
        <w:r>
          <w:rPr>
            <w:rStyle w:val="Hyperlink"/>
            <w:noProof/>
          </w:rPr>
          <w:t>Område 1: Åtgärder för anpassning av gemenskapens fiskeflotta</w:t>
        </w:r>
        <w:r>
          <w:rPr>
            <w:noProof/>
            <w:webHidden/>
          </w:rPr>
          <w:tab/>
        </w:r>
        <w:r>
          <w:rPr>
            <w:noProof/>
            <w:webHidden/>
          </w:rPr>
          <w:fldChar w:fldCharType="begin"/>
        </w:r>
        <w:r>
          <w:rPr>
            <w:noProof/>
            <w:webHidden/>
          </w:rPr>
          <w:instrText xml:space="preserve"> PAGEREF _Toc437600152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53" w:history="1">
        <w:r>
          <w:rPr>
            <w:rStyle w:val="Hyperlink"/>
            <w:noProof/>
          </w:rPr>
          <w:t>3.1.1.</w:t>
        </w:r>
        <w:r>
          <w:rPr>
            <w:rFonts w:asciiTheme="minorHAnsi" w:eastAsiaTheme="minorEastAsia" w:hAnsiTheme="minorHAnsi" w:cstheme="minorBidi"/>
            <w:noProof/>
            <w:sz w:val="22"/>
            <w:lang w:val="en-GB" w:eastAsia="en-GB" w:bidi="ar-SA"/>
          </w:rPr>
          <w:tab/>
        </w:r>
        <w:r>
          <w:rPr>
            <w:rStyle w:val="Hyperlink"/>
            <w:noProof/>
          </w:rPr>
          <w:t>Det ekonomiska resultatet för EU:s fiskeflotta 2013 (baserat på den årliga ekonomiska rapporten 2015)</w:t>
        </w:r>
        <w:r>
          <w:rPr>
            <w:noProof/>
            <w:webHidden/>
          </w:rPr>
          <w:tab/>
        </w:r>
        <w:r>
          <w:rPr>
            <w:noProof/>
            <w:webHidden/>
          </w:rPr>
          <w:fldChar w:fldCharType="begin"/>
        </w:r>
        <w:r>
          <w:rPr>
            <w:noProof/>
            <w:webHidden/>
          </w:rPr>
          <w:instrText xml:space="preserve"> PAGEREF _Toc437600153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54" w:history="1">
        <w:r>
          <w:rPr>
            <w:rStyle w:val="Hyperlink"/>
            <w:noProof/>
          </w:rPr>
          <w:t>3.1.2.</w:t>
        </w:r>
        <w:r>
          <w:rPr>
            <w:rFonts w:asciiTheme="minorHAnsi" w:eastAsiaTheme="minorEastAsia" w:hAnsiTheme="minorHAnsi" w:cstheme="minorBidi"/>
            <w:noProof/>
            <w:sz w:val="22"/>
            <w:lang w:val="en-GB" w:eastAsia="en-GB" w:bidi="ar-SA"/>
          </w:rPr>
          <w:tab/>
        </w:r>
        <w:r>
          <w:rPr>
            <w:rStyle w:val="Hyperlink"/>
            <w:noProof/>
          </w:rPr>
          <w:t>Definitivt upphörande av fiskeverksamhet</w:t>
        </w:r>
        <w:r>
          <w:rPr>
            <w:noProof/>
            <w:webHidden/>
          </w:rPr>
          <w:tab/>
        </w:r>
        <w:r>
          <w:rPr>
            <w:noProof/>
            <w:webHidden/>
          </w:rPr>
          <w:fldChar w:fldCharType="begin"/>
        </w:r>
        <w:r>
          <w:rPr>
            <w:noProof/>
            <w:webHidden/>
          </w:rPr>
          <w:instrText xml:space="preserve"> PAGEREF _Toc437600154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55" w:history="1">
        <w:r>
          <w:rPr>
            <w:rStyle w:val="Hyperlink"/>
            <w:noProof/>
          </w:rPr>
          <w:t>3.1.3.</w:t>
        </w:r>
        <w:r>
          <w:rPr>
            <w:rFonts w:asciiTheme="minorHAnsi" w:eastAsiaTheme="minorEastAsia" w:hAnsiTheme="minorHAnsi" w:cstheme="minorBidi"/>
            <w:noProof/>
            <w:sz w:val="22"/>
            <w:lang w:val="en-GB" w:eastAsia="en-GB" w:bidi="ar-SA"/>
          </w:rPr>
          <w:tab/>
        </w:r>
        <w:r>
          <w:rPr>
            <w:rStyle w:val="Hyperlink"/>
            <w:noProof/>
          </w:rPr>
          <w:t>Tillfälligt upphörande av fiskeverksamhet</w:t>
        </w:r>
        <w:r>
          <w:rPr>
            <w:noProof/>
            <w:webHidden/>
          </w:rPr>
          <w:tab/>
        </w:r>
        <w:r>
          <w:rPr>
            <w:noProof/>
            <w:webHidden/>
          </w:rPr>
          <w:fldChar w:fldCharType="begin"/>
        </w:r>
        <w:r>
          <w:rPr>
            <w:noProof/>
            <w:webHidden/>
          </w:rPr>
          <w:instrText xml:space="preserve"> PAGEREF _Toc437600155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56" w:history="1">
        <w:r>
          <w:rPr>
            <w:rStyle w:val="Hyperlink"/>
            <w:noProof/>
          </w:rPr>
          <w:t>3.1.4.</w:t>
        </w:r>
        <w:r>
          <w:rPr>
            <w:rFonts w:asciiTheme="minorHAnsi" w:eastAsiaTheme="minorEastAsia" w:hAnsiTheme="minorHAnsi" w:cstheme="minorBidi"/>
            <w:noProof/>
            <w:sz w:val="22"/>
            <w:lang w:val="en-GB" w:eastAsia="en-GB" w:bidi="ar-SA"/>
          </w:rPr>
          <w:tab/>
        </w:r>
        <w:r>
          <w:rPr>
            <w:rStyle w:val="Hyperlink"/>
            <w:noProof/>
          </w:rPr>
          <w:t>Investeringar ombord på fiskefartyg och selektivitet</w:t>
        </w:r>
        <w:r>
          <w:rPr>
            <w:noProof/>
            <w:webHidden/>
          </w:rPr>
          <w:tab/>
        </w:r>
        <w:r>
          <w:rPr>
            <w:noProof/>
            <w:webHidden/>
          </w:rPr>
          <w:fldChar w:fldCharType="begin"/>
        </w:r>
        <w:r>
          <w:rPr>
            <w:noProof/>
            <w:webHidden/>
          </w:rPr>
          <w:instrText xml:space="preserve"> PAGEREF _Toc437600156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57" w:history="1">
        <w:r>
          <w:rPr>
            <w:rStyle w:val="Hyperlink"/>
            <w:noProof/>
          </w:rPr>
          <w:t>3.1.5.</w:t>
        </w:r>
        <w:r>
          <w:rPr>
            <w:rFonts w:asciiTheme="minorHAnsi" w:eastAsiaTheme="minorEastAsia" w:hAnsiTheme="minorHAnsi" w:cstheme="minorBidi"/>
            <w:noProof/>
            <w:sz w:val="22"/>
            <w:lang w:val="en-GB" w:eastAsia="en-GB" w:bidi="ar-SA"/>
          </w:rPr>
          <w:tab/>
        </w:r>
        <w:r>
          <w:rPr>
            <w:rStyle w:val="Hyperlink"/>
            <w:noProof/>
          </w:rPr>
          <w:t>Småskaligt kustfiske</w:t>
        </w:r>
        <w:r>
          <w:rPr>
            <w:noProof/>
            <w:webHidden/>
          </w:rPr>
          <w:tab/>
        </w:r>
        <w:r>
          <w:rPr>
            <w:noProof/>
            <w:webHidden/>
          </w:rPr>
          <w:fldChar w:fldCharType="begin"/>
        </w:r>
        <w:r>
          <w:rPr>
            <w:noProof/>
            <w:webHidden/>
          </w:rPr>
          <w:instrText xml:space="preserve"> PAGEREF _Toc437600157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58" w:history="1">
        <w:r>
          <w:rPr>
            <w:rStyle w:val="Hyperlink"/>
            <w:noProof/>
          </w:rPr>
          <w:t>3.1.6.</w:t>
        </w:r>
        <w:r>
          <w:rPr>
            <w:rFonts w:asciiTheme="minorHAnsi" w:eastAsiaTheme="minorEastAsia" w:hAnsiTheme="minorHAnsi" w:cstheme="minorBidi"/>
            <w:noProof/>
            <w:sz w:val="22"/>
            <w:lang w:val="en-GB" w:eastAsia="en-GB" w:bidi="ar-SA"/>
          </w:rPr>
          <w:tab/>
        </w:r>
        <w:r>
          <w:rPr>
            <w:rStyle w:val="Hyperlink"/>
            <w:noProof/>
          </w:rPr>
          <w:t>Socioekonomisk kompensation för förvaltningen av fiskeflottan</w:t>
        </w:r>
        <w:r>
          <w:rPr>
            <w:noProof/>
            <w:webHidden/>
          </w:rPr>
          <w:tab/>
        </w:r>
        <w:r>
          <w:rPr>
            <w:noProof/>
            <w:webHidden/>
          </w:rPr>
          <w:fldChar w:fldCharType="begin"/>
        </w:r>
        <w:r>
          <w:rPr>
            <w:noProof/>
            <w:webHidden/>
          </w:rPr>
          <w:instrText xml:space="preserve"> PAGEREF _Toc437600158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59" w:history="1">
        <w:r>
          <w:rPr>
            <w:rStyle w:val="Hyperlink"/>
            <w:noProof/>
          </w:rPr>
          <w:t>3.2.</w:t>
        </w:r>
        <w:r>
          <w:rPr>
            <w:rFonts w:asciiTheme="minorHAnsi" w:eastAsiaTheme="minorEastAsia" w:hAnsiTheme="minorHAnsi" w:cstheme="minorBidi"/>
            <w:noProof/>
            <w:sz w:val="22"/>
            <w:lang w:val="en-GB" w:eastAsia="en-GB" w:bidi="ar-SA"/>
          </w:rPr>
          <w:tab/>
        </w:r>
        <w:r>
          <w:rPr>
            <w:rStyle w:val="Hyperlink"/>
            <w:noProof/>
          </w:rPr>
          <w:t>Område 2: Vattenbruk, inlandsfiske, beredning och saluföring av fiskeri- och vattenbruksprodukter</w:t>
        </w:r>
        <w:r>
          <w:rPr>
            <w:noProof/>
            <w:webHidden/>
          </w:rPr>
          <w:tab/>
        </w:r>
        <w:r>
          <w:rPr>
            <w:noProof/>
            <w:webHidden/>
          </w:rPr>
          <w:fldChar w:fldCharType="begin"/>
        </w:r>
        <w:r>
          <w:rPr>
            <w:noProof/>
            <w:webHidden/>
          </w:rPr>
          <w:instrText xml:space="preserve"> PAGEREF _Toc437600159 \h </w:instrText>
        </w:r>
        <w:r>
          <w:rPr>
            <w:noProof/>
            <w:webHidden/>
          </w:rPr>
        </w:r>
        <w:r>
          <w:rPr>
            <w:noProof/>
            <w:webHidden/>
          </w:rPr>
          <w:fldChar w:fldCharType="separate"/>
        </w:r>
        <w:r>
          <w:rPr>
            <w:noProof/>
            <w:webHidden/>
          </w:rPr>
          <w:t>9</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60" w:history="1">
        <w:r>
          <w:rPr>
            <w:rStyle w:val="Hyperlink"/>
            <w:noProof/>
          </w:rPr>
          <w:t>3.2.1.</w:t>
        </w:r>
        <w:r>
          <w:rPr>
            <w:rFonts w:asciiTheme="minorHAnsi" w:eastAsiaTheme="minorEastAsia" w:hAnsiTheme="minorHAnsi" w:cstheme="minorBidi"/>
            <w:noProof/>
            <w:sz w:val="22"/>
            <w:lang w:val="en-GB" w:eastAsia="en-GB" w:bidi="ar-SA"/>
          </w:rPr>
          <w:tab/>
        </w:r>
        <w:r>
          <w:rPr>
            <w:rStyle w:val="Hyperlink"/>
            <w:noProof/>
          </w:rPr>
          <w:t>Inlandsfiske</w:t>
        </w:r>
        <w:r>
          <w:rPr>
            <w:noProof/>
            <w:webHidden/>
          </w:rPr>
          <w:tab/>
        </w:r>
        <w:r>
          <w:rPr>
            <w:noProof/>
            <w:webHidden/>
          </w:rPr>
          <w:fldChar w:fldCharType="begin"/>
        </w:r>
        <w:r>
          <w:rPr>
            <w:noProof/>
            <w:webHidden/>
          </w:rPr>
          <w:instrText xml:space="preserve"> PAGEREF _Toc437600160 \h </w:instrText>
        </w:r>
        <w:r>
          <w:rPr>
            <w:noProof/>
            <w:webHidden/>
          </w:rPr>
        </w:r>
        <w:r>
          <w:rPr>
            <w:noProof/>
            <w:webHidden/>
          </w:rPr>
          <w:fldChar w:fldCharType="separate"/>
        </w:r>
        <w:r>
          <w:rPr>
            <w:noProof/>
            <w:webHidden/>
          </w:rPr>
          <w:t>9</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61" w:history="1">
        <w:r>
          <w:rPr>
            <w:rStyle w:val="Hyperlink"/>
            <w:noProof/>
          </w:rPr>
          <w:t>3.2.2.</w:t>
        </w:r>
        <w:r>
          <w:rPr>
            <w:rFonts w:asciiTheme="minorHAnsi" w:eastAsiaTheme="minorEastAsia" w:hAnsiTheme="minorHAnsi" w:cstheme="minorBidi"/>
            <w:noProof/>
            <w:sz w:val="22"/>
            <w:lang w:val="en-GB" w:eastAsia="en-GB" w:bidi="ar-SA"/>
          </w:rPr>
          <w:tab/>
        </w:r>
        <w:r>
          <w:rPr>
            <w:rStyle w:val="Hyperlink"/>
            <w:noProof/>
          </w:rPr>
          <w:t>Vattenbruk</w:t>
        </w:r>
        <w:r>
          <w:rPr>
            <w:noProof/>
            <w:webHidden/>
          </w:rPr>
          <w:tab/>
        </w:r>
        <w:r>
          <w:rPr>
            <w:noProof/>
            <w:webHidden/>
          </w:rPr>
          <w:fldChar w:fldCharType="begin"/>
        </w:r>
        <w:r>
          <w:rPr>
            <w:noProof/>
            <w:webHidden/>
          </w:rPr>
          <w:instrText xml:space="preserve"> PAGEREF _Toc437600161 \h </w:instrText>
        </w:r>
        <w:r>
          <w:rPr>
            <w:noProof/>
            <w:webHidden/>
          </w:rPr>
        </w:r>
        <w:r>
          <w:rPr>
            <w:noProof/>
            <w:webHidden/>
          </w:rPr>
          <w:fldChar w:fldCharType="separate"/>
        </w:r>
        <w:r>
          <w:rPr>
            <w:noProof/>
            <w:webHidden/>
          </w:rPr>
          <w:t>9</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62" w:history="1">
        <w:r>
          <w:rPr>
            <w:rStyle w:val="Hyperlink"/>
            <w:noProof/>
          </w:rPr>
          <w:t>3.2.3.</w:t>
        </w:r>
        <w:r>
          <w:rPr>
            <w:rFonts w:asciiTheme="minorHAnsi" w:eastAsiaTheme="minorEastAsia" w:hAnsiTheme="minorHAnsi" w:cstheme="minorBidi"/>
            <w:noProof/>
            <w:sz w:val="22"/>
            <w:lang w:val="en-GB" w:eastAsia="en-GB" w:bidi="ar-SA"/>
          </w:rPr>
          <w:tab/>
        </w:r>
        <w:r>
          <w:rPr>
            <w:rStyle w:val="Hyperlink"/>
            <w:noProof/>
          </w:rPr>
          <w:t>Beredning</w:t>
        </w:r>
        <w:r>
          <w:rPr>
            <w:noProof/>
            <w:webHidden/>
          </w:rPr>
          <w:tab/>
        </w:r>
        <w:r>
          <w:rPr>
            <w:noProof/>
            <w:webHidden/>
          </w:rPr>
          <w:fldChar w:fldCharType="begin"/>
        </w:r>
        <w:r>
          <w:rPr>
            <w:noProof/>
            <w:webHidden/>
          </w:rPr>
          <w:instrText xml:space="preserve"> PAGEREF _Toc437600162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63" w:history="1">
        <w:r>
          <w:rPr>
            <w:rStyle w:val="Hyperlink"/>
            <w:noProof/>
          </w:rPr>
          <w:t>3.3.</w:t>
        </w:r>
        <w:r>
          <w:rPr>
            <w:rFonts w:asciiTheme="minorHAnsi" w:eastAsiaTheme="minorEastAsia" w:hAnsiTheme="minorHAnsi" w:cstheme="minorBidi"/>
            <w:noProof/>
            <w:sz w:val="22"/>
            <w:lang w:val="en-GB" w:eastAsia="en-GB" w:bidi="ar-SA"/>
          </w:rPr>
          <w:tab/>
        </w:r>
        <w:r>
          <w:rPr>
            <w:rStyle w:val="Hyperlink"/>
            <w:noProof/>
          </w:rPr>
          <w:t>Område 3: Åtgärder av gemensamt intresse</w:t>
        </w:r>
        <w:r>
          <w:rPr>
            <w:noProof/>
            <w:webHidden/>
          </w:rPr>
          <w:tab/>
        </w:r>
        <w:r>
          <w:rPr>
            <w:noProof/>
            <w:webHidden/>
          </w:rPr>
          <w:fldChar w:fldCharType="begin"/>
        </w:r>
        <w:r>
          <w:rPr>
            <w:noProof/>
            <w:webHidden/>
          </w:rPr>
          <w:instrText xml:space="preserve"> PAGEREF _Toc437600163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64" w:history="1">
        <w:r>
          <w:rPr>
            <w:rStyle w:val="Hyperlink"/>
            <w:noProof/>
          </w:rPr>
          <w:t>3.3.1.</w:t>
        </w:r>
        <w:r>
          <w:rPr>
            <w:rFonts w:asciiTheme="minorHAnsi" w:eastAsiaTheme="minorEastAsia" w:hAnsiTheme="minorHAnsi" w:cstheme="minorBidi"/>
            <w:noProof/>
            <w:sz w:val="22"/>
            <w:lang w:val="en-GB" w:eastAsia="en-GB" w:bidi="ar-SA"/>
          </w:rPr>
          <w:tab/>
        </w:r>
        <w:r>
          <w:rPr>
            <w:rStyle w:val="Hyperlink"/>
            <w:noProof/>
          </w:rPr>
          <w:t>Fiskehamnar, landningsplatser och skyddshamnar</w:t>
        </w:r>
        <w:r>
          <w:rPr>
            <w:noProof/>
            <w:webHidden/>
          </w:rPr>
          <w:tab/>
        </w:r>
        <w:r>
          <w:rPr>
            <w:noProof/>
            <w:webHidden/>
          </w:rPr>
          <w:fldChar w:fldCharType="begin"/>
        </w:r>
        <w:r>
          <w:rPr>
            <w:noProof/>
            <w:webHidden/>
          </w:rPr>
          <w:instrText xml:space="preserve"> PAGEREF _Toc437600164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65" w:history="1">
        <w:r>
          <w:rPr>
            <w:rStyle w:val="Hyperlink"/>
            <w:noProof/>
          </w:rPr>
          <w:t>3.3.2.</w:t>
        </w:r>
        <w:r>
          <w:rPr>
            <w:rFonts w:asciiTheme="minorHAnsi" w:eastAsiaTheme="minorEastAsia" w:hAnsiTheme="minorHAnsi" w:cstheme="minorBidi"/>
            <w:noProof/>
            <w:sz w:val="22"/>
            <w:lang w:val="en-GB" w:eastAsia="en-GB" w:bidi="ar-SA"/>
          </w:rPr>
          <w:tab/>
        </w:r>
        <w:r>
          <w:rPr>
            <w:rStyle w:val="Hyperlink"/>
            <w:noProof/>
          </w:rPr>
          <w:t>Utveckling av nya avsättningsmöjligheter och reklamkampanjer</w:t>
        </w:r>
        <w:r>
          <w:rPr>
            <w:noProof/>
            <w:webHidden/>
          </w:rPr>
          <w:tab/>
        </w:r>
        <w:r>
          <w:rPr>
            <w:noProof/>
            <w:webHidden/>
          </w:rPr>
          <w:fldChar w:fldCharType="begin"/>
        </w:r>
        <w:r>
          <w:rPr>
            <w:noProof/>
            <w:webHidden/>
          </w:rPr>
          <w:instrText xml:space="preserve"> PAGEREF _Toc437600165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sz w:val="22"/>
          <w:lang w:val="en-GB" w:eastAsia="en-GB" w:bidi="ar-SA"/>
        </w:rPr>
      </w:pPr>
      <w:hyperlink w:anchor="_Toc437600166" w:history="1">
        <w:r>
          <w:rPr>
            <w:rStyle w:val="Hyperlink"/>
            <w:noProof/>
          </w:rPr>
          <w:t>3.3.3.</w:t>
        </w:r>
        <w:r>
          <w:rPr>
            <w:rFonts w:asciiTheme="minorHAnsi" w:eastAsiaTheme="minorEastAsia" w:hAnsiTheme="minorHAnsi" w:cstheme="minorBidi"/>
            <w:noProof/>
            <w:sz w:val="22"/>
            <w:lang w:val="en-GB" w:eastAsia="en-GB" w:bidi="ar-SA"/>
          </w:rPr>
          <w:tab/>
        </w:r>
        <w:r>
          <w:rPr>
            <w:rStyle w:val="Hyperlink"/>
            <w:noProof/>
          </w:rPr>
          <w:t>Pilotprojekt</w:t>
        </w:r>
        <w:r>
          <w:rPr>
            <w:noProof/>
            <w:webHidden/>
          </w:rPr>
          <w:tab/>
        </w:r>
        <w:r>
          <w:rPr>
            <w:noProof/>
            <w:webHidden/>
          </w:rPr>
          <w:fldChar w:fldCharType="begin"/>
        </w:r>
        <w:r>
          <w:rPr>
            <w:noProof/>
            <w:webHidden/>
          </w:rPr>
          <w:instrText xml:space="preserve"> PAGEREF _Toc437600166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sz w:val="22"/>
          <w:lang w:val="en-GB" w:eastAsia="en-GB" w:bidi="ar-SA"/>
        </w:rPr>
      </w:pPr>
      <w:hyperlink w:anchor="_Toc437600167" w:history="1">
        <w:r>
          <w:rPr>
            <w:rStyle w:val="Hyperlink"/>
            <w:noProof/>
          </w:rPr>
          <w:t>3.4.</w:t>
        </w:r>
        <w:r>
          <w:rPr>
            <w:rFonts w:asciiTheme="minorHAnsi" w:eastAsiaTheme="minorEastAsia" w:hAnsiTheme="minorHAnsi" w:cstheme="minorBidi"/>
            <w:noProof/>
            <w:sz w:val="22"/>
            <w:lang w:val="en-GB" w:eastAsia="en-GB" w:bidi="ar-SA"/>
          </w:rPr>
          <w:tab/>
        </w:r>
        <w:r>
          <w:rPr>
            <w:rStyle w:val="Hyperlink"/>
            <w:noProof/>
          </w:rPr>
          <w:t>Område 4: Hållbar utveckling i fiskeområden</w:t>
        </w:r>
        <w:r>
          <w:rPr>
            <w:noProof/>
            <w:webHidden/>
          </w:rPr>
          <w:tab/>
        </w:r>
        <w:r>
          <w:rPr>
            <w:noProof/>
            <w:webHidden/>
          </w:rPr>
          <w:fldChar w:fldCharType="begin"/>
        </w:r>
        <w:r>
          <w:rPr>
            <w:noProof/>
            <w:webHidden/>
          </w:rPr>
          <w:instrText xml:space="preserve"> PAGEREF _Toc437600167 \h </w:instrText>
        </w:r>
        <w:r>
          <w:rPr>
            <w:noProof/>
            <w:webHidden/>
          </w:rPr>
        </w:r>
        <w:r>
          <w:rPr>
            <w:noProof/>
            <w:webHidden/>
          </w:rPr>
          <w:fldChar w:fldCharType="separate"/>
        </w:r>
        <w:r>
          <w:rPr>
            <w:noProof/>
            <w:webHidden/>
          </w:rPr>
          <w:t>11</w:t>
        </w:r>
        <w:r>
          <w:rPr>
            <w:noProof/>
            <w:webHidden/>
          </w:rPr>
          <w:fldChar w:fldCharType="end"/>
        </w:r>
      </w:hyperlink>
    </w:p>
    <w:p>
      <w:pPr>
        <w:pStyle w:val="TOC1"/>
        <w:rPr>
          <w:rFonts w:asciiTheme="minorHAnsi" w:eastAsiaTheme="minorEastAsia" w:hAnsiTheme="minorHAnsi" w:cstheme="minorBidi"/>
          <w:noProof/>
          <w:sz w:val="22"/>
          <w:lang w:val="en-GB" w:eastAsia="en-GB" w:bidi="ar-SA"/>
        </w:rPr>
      </w:pPr>
      <w:hyperlink w:anchor="_Toc437600168" w:history="1">
        <w:r>
          <w:rPr>
            <w:rStyle w:val="Hyperlink"/>
            <w:noProof/>
          </w:rPr>
          <w:t>4.</w:t>
        </w:r>
        <w:r>
          <w:rPr>
            <w:rFonts w:asciiTheme="minorHAnsi" w:eastAsiaTheme="minorEastAsia" w:hAnsiTheme="minorHAnsi" w:cstheme="minorBidi"/>
            <w:noProof/>
            <w:sz w:val="22"/>
            <w:lang w:val="en-GB" w:eastAsia="en-GB" w:bidi="ar-SA"/>
          </w:rPr>
          <w:tab/>
        </w:r>
        <w:r>
          <w:rPr>
            <w:rStyle w:val="Hyperlink"/>
            <w:noProof/>
          </w:rPr>
          <w:t>Första uppsättningen operativa slutsatser avseende EFF för perioden 2007–2013</w:t>
        </w:r>
        <w:r>
          <w:rPr>
            <w:noProof/>
            <w:webHidden/>
          </w:rPr>
          <w:tab/>
        </w:r>
        <w:r>
          <w:rPr>
            <w:noProof/>
            <w:webHidden/>
          </w:rPr>
          <w:fldChar w:fldCharType="begin"/>
        </w:r>
        <w:r>
          <w:rPr>
            <w:noProof/>
            <w:webHidden/>
          </w:rPr>
          <w:instrText xml:space="preserve"> PAGEREF _Toc437600168 \h </w:instrText>
        </w:r>
        <w:r>
          <w:rPr>
            <w:noProof/>
            <w:webHidden/>
          </w:rPr>
        </w:r>
        <w:r>
          <w:rPr>
            <w:noProof/>
            <w:webHidden/>
          </w:rPr>
          <w:fldChar w:fldCharType="separate"/>
        </w:r>
        <w:r>
          <w:rPr>
            <w:noProof/>
            <w:webHidden/>
          </w:rPr>
          <w:t>11</w:t>
        </w:r>
        <w:r>
          <w:rPr>
            <w:noProof/>
            <w:webHidden/>
          </w:rPr>
          <w:fldChar w:fldCharType="end"/>
        </w:r>
      </w:hyperlink>
    </w:p>
    <w:p>
      <w:pPr>
        <w:pStyle w:val="TOC1"/>
        <w:rPr>
          <w:rFonts w:asciiTheme="minorHAnsi" w:eastAsiaTheme="minorEastAsia" w:hAnsiTheme="minorHAnsi" w:cstheme="minorBidi"/>
          <w:noProof/>
          <w:sz w:val="22"/>
        </w:rPr>
      </w:pPr>
      <w:r>
        <w:rPr>
          <w:rFonts w:eastAsia="Times New Roman"/>
          <w:smallCaps/>
          <w:noProof/>
          <w:szCs w:val="28"/>
        </w:rPr>
        <w:fldChar w:fldCharType="end"/>
      </w:r>
      <w:r>
        <w:rPr>
          <w:noProof/>
        </w:rPr>
        <w:br w:type="page"/>
      </w:r>
    </w:p>
    <w:p>
      <w:pPr>
        <w:pStyle w:val="ManualHeading1"/>
        <w:rPr>
          <w:noProof/>
        </w:rPr>
      </w:pPr>
      <w:bookmarkStart w:id="4" w:name="_Toc435798316"/>
      <w:bookmarkStart w:id="5" w:name="_Toc437600141"/>
      <w:r>
        <w:t>1.</w:t>
      </w:r>
      <w:r>
        <w:tab/>
      </w:r>
      <w:r>
        <w:rPr>
          <w:noProof/>
        </w:rPr>
        <w:t>INLEDNING</w:t>
      </w:r>
      <w:bookmarkEnd w:id="1"/>
      <w:bookmarkEnd w:id="2"/>
      <w:bookmarkEnd w:id="4"/>
      <w:bookmarkEnd w:id="5"/>
    </w:p>
    <w:p>
      <w:pPr>
        <w:rPr>
          <w:noProof/>
        </w:rPr>
      </w:pPr>
      <w:r>
        <w:rPr>
          <w:noProof/>
        </w:rPr>
        <w:t>I enlighet med artikel 68 i förordningen om Europeiska fiskerifonden</w:t>
      </w:r>
      <w:r>
        <w:rPr>
          <w:rStyle w:val="FootnoteReference"/>
          <w:noProof/>
        </w:rPr>
        <w:footnoteReference w:id="1"/>
      </w:r>
      <w:r>
        <w:rPr>
          <w:noProof/>
        </w:rPr>
        <w:t xml:space="preserve"> ska kommissionen senast den 31 december varje år för Europaparlamentet, rådet, Europeiska ekonomiska och sociala kommittén och Regionkommittén lägga fram en rapport om hur Europeiska fiskerifonden (EFF) genomförs. Rapporten grundar sig på kommissionens granskning och utvärdering av medlemsstaternas årsrapporter och all annan tillgänglig information. Den innehåller även en analys av genomförandet av några viktiga EFF-åtgärder.</w:t>
      </w:r>
    </w:p>
    <w:p>
      <w:pPr>
        <w:rPr>
          <w:noProof/>
        </w:rPr>
      </w:pPr>
      <w:r>
        <w:rPr>
          <w:noProof/>
        </w:rPr>
        <w:t>Det åtföljande arbetsdokumentet från kommissionens avdelningar innehåller en sammanfattning av genomförandet av EFF i varje medlemsstat samt fem tabeller med detaljerad information om det ekonomiska genomförandet</w:t>
      </w:r>
      <w:r>
        <w:rPr>
          <w:rStyle w:val="FootnoteReference"/>
          <w:noProof/>
        </w:rPr>
        <w:footnoteReference w:id="2"/>
      </w:r>
      <w:r>
        <w:rPr>
          <w:noProof/>
        </w:rPr>
        <w:t>. I denna sista rapport gör kommissionen en övergripande utvärdering av medlemsstaternas och kommissionens genomförande av EFF 2014. De uppgifter om åtaganden som medlemsstaterna lämnat var tillräckliga för en mer omfattande analys fram till den 31 maj 2015 och gav också en mer heltäckande bild av hur EFF genomförs mindre än ett år före tidsfristen för genomförandet av EFF ute på fältet (den 31 december 2015). Eftersom medlemsstaterna enligt kommissionens delegerade förordning (EU) 2015/895</w:t>
      </w:r>
      <w:r>
        <w:rPr>
          <w:rStyle w:val="FootnoteReference"/>
          <w:noProof/>
        </w:rPr>
        <w:footnoteReference w:id="3"/>
      </w:r>
      <w:r>
        <w:rPr>
          <w:noProof/>
        </w:rPr>
        <w:t xml:space="preserve"> inte måste lämna in årsrapporter 2016 om genomförandet av det operativa programmet 2015, kommer kommissionen inte att lägga fram en årsrapport om genomförandet av EFF under det året.</w:t>
      </w:r>
    </w:p>
    <w:p>
      <w:pPr>
        <w:rPr>
          <w:noProof/>
        </w:rPr>
      </w:pPr>
      <w:r>
        <w:rPr>
          <w:noProof/>
        </w:rPr>
        <w:t>Kommissionen kommer dock att ta med en sammanfattning av revisionerna av medlemsstaternas förvaltnings- och kontrollsystem och av stödet från EFF enligt artikel 68.3 d i EFF-förordningen som en bilaga till 2016 års sammanfattande rapport om programmen inom de europeiska struktur- och investeringsfonderna (ESI-fonderna) enligt artikel 53 i förordningen om gemensamma bestämmelser</w:t>
      </w:r>
      <w:r>
        <w:rPr>
          <w:rStyle w:val="FootnoteReference"/>
          <w:noProof/>
        </w:rPr>
        <w:footnoteReference w:id="4"/>
      </w:r>
      <w:r>
        <w:rPr>
          <w:noProof/>
        </w:rPr>
        <w:t xml:space="preserve">. </w:t>
      </w:r>
    </w:p>
    <w:p>
      <w:pPr>
        <w:pStyle w:val="ManualHeading1"/>
        <w:rPr>
          <w:noProof/>
        </w:rPr>
      </w:pPr>
      <w:bookmarkStart w:id="6" w:name="_Toc401153890"/>
      <w:bookmarkStart w:id="7" w:name="_Toc435796649"/>
      <w:bookmarkStart w:id="8" w:name="_Toc435798317"/>
      <w:bookmarkStart w:id="9" w:name="_Toc437600142"/>
      <w:r>
        <w:t>2.</w:t>
      </w:r>
      <w:r>
        <w:tab/>
      </w:r>
      <w:r>
        <w:rPr>
          <w:noProof/>
        </w:rPr>
        <w:t>SAMLAD BEDÖMNING AV GENOMFÖRANDET AV EFF</w:t>
      </w:r>
      <w:bookmarkEnd w:id="6"/>
      <w:bookmarkEnd w:id="7"/>
      <w:bookmarkEnd w:id="8"/>
      <w:bookmarkEnd w:id="9"/>
    </w:p>
    <w:p>
      <w:pPr>
        <w:pStyle w:val="ManualHeading2"/>
        <w:rPr>
          <w:noProof/>
        </w:rPr>
      </w:pPr>
      <w:bookmarkStart w:id="10" w:name="_Toc401153891"/>
      <w:bookmarkStart w:id="11" w:name="_Toc435796650"/>
      <w:bookmarkStart w:id="12" w:name="_Toc435798318"/>
      <w:bookmarkStart w:id="13" w:name="_Toc437600143"/>
      <w:r>
        <w:t>2.1.</w:t>
      </w:r>
      <w:r>
        <w:tab/>
      </w:r>
      <w:r>
        <w:rPr>
          <w:noProof/>
        </w:rPr>
        <w:t>Medlemsstaternas ekonomiska genomförande av EFF</w:t>
      </w:r>
      <w:bookmarkEnd w:id="10"/>
      <w:bookmarkEnd w:id="11"/>
      <w:bookmarkEnd w:id="12"/>
      <w:bookmarkEnd w:id="13"/>
    </w:p>
    <w:p>
      <w:pPr>
        <w:rPr>
          <w:noProof/>
        </w:rPr>
      </w:pPr>
      <w:r>
        <w:rPr>
          <w:noProof/>
        </w:rPr>
        <w:t>Medlemsstaternas attesterade mellanliggande betalningar 2014 uppgick till 567 miljoner euro, vilket är en ökning på 4 % jämfört med samma siffra för 2013 (544 miljoner euro).</w:t>
      </w:r>
    </w:p>
    <w:p>
      <w:pPr>
        <w:widowControl/>
        <w:rPr>
          <w:noProof/>
        </w:rPr>
      </w:pPr>
      <w:r>
        <w:rPr>
          <w:noProof/>
        </w:rPr>
        <w:t>Från 2007 till den 31 maj 2015 uppgick medlemsstaternas EFF-åtaganden till 3,91 miljarder euro. Detta är en ökning på 14,5 % av EFF-åtagandena jämfört med den 31 maj 2014 (495 miljoner euro på ett år), när åtagandenivån fortfarande var förhållandevis låg. Den 31 maj 2015 hade 90,83 % av EFF tilldelats</w:t>
      </w:r>
      <w:r>
        <w:rPr>
          <w:rStyle w:val="FootnoteReference"/>
          <w:noProof/>
        </w:rPr>
        <w:footnoteReference w:id="5"/>
      </w:r>
      <w:r>
        <w:rPr>
          <w:noProof/>
        </w:rPr>
        <w:t xml:space="preserve">. </w:t>
      </w:r>
    </w:p>
    <w:p>
      <w:pPr>
        <w:rPr>
          <w:noProof/>
        </w:rPr>
      </w:pPr>
      <w:r>
        <w:rPr>
          <w:noProof/>
        </w:rPr>
        <w:t>Både åtaganden och attesterade utgifter på medlemsstatsnivå ligger fortfarande under den nivå som väntas uppnås innan genomförandet av EFF avslutas. Den 31 maj 2015 hade över 9 % av EFF-anslaget (cirka 394 miljoner euro) ännu inte fördelats, vilket visar på ett brådskande behov av att påskynda åtagandena. Precis som för attesterade betalningar ger detta anledning till oro, med tanke på att slutdatumet för stödberättigande utgifter är den 31 december 2015.</w:t>
      </w:r>
    </w:p>
    <w:p>
      <w:pPr>
        <w:rPr>
          <w:noProof/>
        </w:rPr>
      </w:pPr>
      <w:r>
        <w:rPr>
          <w:noProof/>
        </w:rPr>
        <w:t xml:space="preserve">Det offentliga nationella bidraget fram till den 31 maj 2015 var 2,44 miljarder euro, vilket utgör en ökning på 321,62 miljoner euro jämfört med den 31 maj 2014 (+15,17 %). </w:t>
      </w:r>
    </w:p>
    <w:p>
      <w:pPr>
        <w:rPr>
          <w:noProof/>
        </w:rPr>
      </w:pPr>
      <w:r>
        <w:rPr>
          <w:noProof/>
        </w:rPr>
        <w:t xml:space="preserve">Under samma period uppgick de privata bidragen till EFF-stödda åtgärder till 2,92 miljarder euro, vilket motsvarar ytterligare 375,36 miljoner euro, en ökning med 14,73 % jämfört med den 31 maj 2014. Som redan framgår av tidigare rapporter återfinns de privata bidragen främst inom beredning (45,62 %), vattenbruk (24,95 %) och investeringar ombord (10,23 %). Förutom dessa områden tillkommer nu investeringar i utveckling av fiskeområden (8,57 %). Dessa fyra områden står för nästan 90 % av de privata investeringarna. </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trPr>
          <w:trHeight w:val="1240"/>
        </w:trPr>
        <w:tc>
          <w:tcPr>
            <w:tcW w:w="9180" w:type="dxa"/>
          </w:tcPr>
          <w:p>
            <w:pPr>
              <w:rPr>
                <w:b/>
                <w:noProof/>
                <w:szCs w:val="24"/>
              </w:rPr>
            </w:pPr>
            <w:r>
              <w:rPr>
                <w:b/>
                <w:noProof/>
              </w:rPr>
              <w:t>Under perioden den 1 januari 2007–31 maj 2015 uppgick investeringarna i fiskeri- och vattenbrukssektorn till totalt 9,27 miljarder euro: 42,14 % från EFF, 26,33 % från nationella offentliga bidrag och 31,52 % från privat finansiering. Dessa procentandelar förblev i stort sett stabila, med bara en liten minskning (–1,5 %) av EFF-delen under hela perioden.</w:t>
            </w:r>
          </w:p>
        </w:tc>
      </w:tr>
    </w:tbl>
    <w:p>
      <w:pPr>
        <w:rPr>
          <w:noProof/>
        </w:rPr>
      </w:pPr>
      <w:r>
        <w:rPr>
          <w:noProof/>
        </w:rPr>
        <w:t>När det gäller hävstångseffekten genererar varje euro som anslås från EFF 1,37 euro i nationella anslag (+2,2 % jämfört med den 31 maj 2014), varav 0,75 euro utgör privat finansiering och 0,62 euro nationella offentliga bidrag.</w:t>
      </w:r>
    </w:p>
    <w:p>
      <w:pPr>
        <w:pStyle w:val="ManualHeading2"/>
        <w:rPr>
          <w:noProof/>
        </w:rPr>
      </w:pPr>
      <w:bookmarkStart w:id="14" w:name="_Toc401153892"/>
      <w:bookmarkStart w:id="15" w:name="_Toc435796651"/>
      <w:bookmarkStart w:id="16" w:name="_Toc435798319"/>
      <w:bookmarkStart w:id="17" w:name="_Toc437600144"/>
      <w:r>
        <w:t>2.2.</w:t>
      </w:r>
      <w:r>
        <w:tab/>
      </w:r>
      <w:r>
        <w:rPr>
          <w:noProof/>
        </w:rPr>
        <w:t>EFF:s huvudsakliga insatsområden</w:t>
      </w:r>
      <w:bookmarkEnd w:id="14"/>
      <w:bookmarkEnd w:id="15"/>
      <w:bookmarkEnd w:id="16"/>
      <w:bookmarkEnd w:id="17"/>
    </w:p>
    <w:p>
      <w:pPr>
        <w:rPr>
          <w:noProof/>
        </w:rPr>
      </w:pPr>
      <w:r>
        <w:rPr>
          <w:noProof/>
        </w:rPr>
        <w:t>I tabellen nedan jämförs åtagandenivån för de fem mest använda åtgärderna i slutet av juli 2012, maj 2013, maj 2014 respektive maj 2015:</w:t>
      </w:r>
    </w:p>
    <w:p>
      <w:pPr>
        <w:jc w:val="center"/>
        <w:rPr>
          <w:b/>
          <w:noProof/>
          <w:sz w:val="20"/>
          <w:szCs w:val="20"/>
          <w:u w:val="single"/>
        </w:rPr>
      </w:pPr>
      <w:r>
        <w:rPr>
          <w:b/>
          <w:noProof/>
          <w:sz w:val="20"/>
          <w:u w:val="single"/>
        </w:rPr>
        <w:t>Tabell 1</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2295"/>
        <w:gridCol w:w="2295"/>
        <w:gridCol w:w="2295"/>
      </w:tblGrid>
      <w:tr>
        <w:trPr>
          <w:jc w:val="center"/>
        </w:trPr>
        <w:tc>
          <w:tcPr>
            <w:tcW w:w="2294" w:type="dxa"/>
            <w:shd w:val="clear" w:color="auto" w:fill="auto"/>
          </w:tcPr>
          <w:p>
            <w:pPr>
              <w:jc w:val="center"/>
              <w:rPr>
                <w:b/>
                <w:noProof/>
                <w:sz w:val="18"/>
                <w:szCs w:val="18"/>
              </w:rPr>
            </w:pPr>
            <w:r>
              <w:rPr>
                <w:b/>
                <w:noProof/>
                <w:sz w:val="18"/>
              </w:rPr>
              <w:t>31 juli 2012</w:t>
            </w:r>
          </w:p>
        </w:tc>
        <w:tc>
          <w:tcPr>
            <w:tcW w:w="2295" w:type="dxa"/>
            <w:shd w:val="clear" w:color="auto" w:fill="auto"/>
          </w:tcPr>
          <w:p>
            <w:pPr>
              <w:keepNext/>
              <w:jc w:val="center"/>
              <w:rPr>
                <w:b/>
                <w:noProof/>
                <w:sz w:val="18"/>
                <w:szCs w:val="18"/>
              </w:rPr>
            </w:pPr>
            <w:r>
              <w:rPr>
                <w:b/>
                <w:noProof/>
                <w:sz w:val="18"/>
              </w:rPr>
              <w:t>31 maj 2013</w:t>
            </w:r>
          </w:p>
        </w:tc>
        <w:tc>
          <w:tcPr>
            <w:tcW w:w="2295" w:type="dxa"/>
          </w:tcPr>
          <w:p>
            <w:pPr>
              <w:keepNext/>
              <w:jc w:val="center"/>
              <w:rPr>
                <w:b/>
                <w:noProof/>
                <w:sz w:val="18"/>
                <w:szCs w:val="18"/>
              </w:rPr>
            </w:pPr>
            <w:r>
              <w:rPr>
                <w:b/>
                <w:noProof/>
                <w:sz w:val="18"/>
              </w:rPr>
              <w:t>31 maj 2014</w:t>
            </w:r>
          </w:p>
        </w:tc>
        <w:tc>
          <w:tcPr>
            <w:tcW w:w="2295" w:type="dxa"/>
          </w:tcPr>
          <w:p>
            <w:pPr>
              <w:keepNext/>
              <w:jc w:val="center"/>
              <w:rPr>
                <w:b/>
                <w:noProof/>
                <w:sz w:val="18"/>
                <w:szCs w:val="18"/>
              </w:rPr>
            </w:pPr>
            <w:r>
              <w:rPr>
                <w:b/>
                <w:noProof/>
                <w:sz w:val="18"/>
              </w:rPr>
              <w:t>31 maj 2015</w:t>
            </w:r>
          </w:p>
        </w:tc>
      </w:tr>
      <w:tr>
        <w:trPr>
          <w:jc w:val="center"/>
        </w:trPr>
        <w:tc>
          <w:tcPr>
            <w:tcW w:w="2294" w:type="dxa"/>
            <w:shd w:val="clear" w:color="auto" w:fill="auto"/>
          </w:tcPr>
          <w:p>
            <w:pPr>
              <w:keepNext/>
              <w:jc w:val="center"/>
              <w:rPr>
                <w:noProof/>
                <w:sz w:val="16"/>
                <w:szCs w:val="16"/>
              </w:rPr>
            </w:pPr>
            <w:r>
              <w:rPr>
                <w:noProof/>
                <w:sz w:val="16"/>
              </w:rPr>
              <w:t>Definitivt upphörande (19,61 %)</w:t>
            </w:r>
          </w:p>
        </w:tc>
        <w:tc>
          <w:tcPr>
            <w:tcW w:w="2295" w:type="dxa"/>
            <w:shd w:val="clear" w:color="auto" w:fill="auto"/>
          </w:tcPr>
          <w:p>
            <w:pPr>
              <w:keepNext/>
              <w:jc w:val="center"/>
              <w:rPr>
                <w:noProof/>
                <w:sz w:val="16"/>
                <w:szCs w:val="16"/>
              </w:rPr>
            </w:pPr>
            <w:r>
              <w:rPr>
                <w:noProof/>
                <w:sz w:val="16"/>
              </w:rPr>
              <w:t>Beredning (17,41 %)</w:t>
            </w:r>
          </w:p>
        </w:tc>
        <w:tc>
          <w:tcPr>
            <w:tcW w:w="2295" w:type="dxa"/>
          </w:tcPr>
          <w:p>
            <w:pPr>
              <w:keepNext/>
              <w:jc w:val="center"/>
              <w:rPr>
                <w:noProof/>
                <w:sz w:val="16"/>
                <w:szCs w:val="16"/>
              </w:rPr>
            </w:pPr>
            <w:r>
              <w:rPr>
                <w:noProof/>
                <w:sz w:val="16"/>
              </w:rPr>
              <w:t>Beredning (16,65 %)</w:t>
            </w:r>
          </w:p>
        </w:tc>
        <w:tc>
          <w:tcPr>
            <w:tcW w:w="2295" w:type="dxa"/>
          </w:tcPr>
          <w:p>
            <w:pPr>
              <w:keepNext/>
              <w:jc w:val="center"/>
              <w:rPr>
                <w:noProof/>
                <w:sz w:val="16"/>
                <w:szCs w:val="16"/>
              </w:rPr>
            </w:pPr>
            <w:r>
              <w:rPr>
                <w:noProof/>
                <w:sz w:val="16"/>
              </w:rPr>
              <w:t>Beredning (17,53 %)</w:t>
            </w:r>
          </w:p>
        </w:tc>
      </w:tr>
      <w:tr>
        <w:trPr>
          <w:jc w:val="center"/>
        </w:trPr>
        <w:tc>
          <w:tcPr>
            <w:tcW w:w="2294" w:type="dxa"/>
            <w:shd w:val="clear" w:color="auto" w:fill="auto"/>
          </w:tcPr>
          <w:p>
            <w:pPr>
              <w:keepNext/>
              <w:jc w:val="center"/>
              <w:rPr>
                <w:noProof/>
                <w:sz w:val="16"/>
                <w:szCs w:val="16"/>
              </w:rPr>
            </w:pPr>
            <w:r>
              <w:rPr>
                <w:noProof/>
                <w:sz w:val="16"/>
              </w:rPr>
              <w:t>Vattenbruk (12,98 %)</w:t>
            </w:r>
          </w:p>
        </w:tc>
        <w:tc>
          <w:tcPr>
            <w:tcW w:w="2295" w:type="dxa"/>
            <w:shd w:val="clear" w:color="auto" w:fill="auto"/>
          </w:tcPr>
          <w:p>
            <w:pPr>
              <w:keepNext/>
              <w:jc w:val="center"/>
              <w:rPr>
                <w:noProof/>
                <w:sz w:val="16"/>
                <w:szCs w:val="16"/>
              </w:rPr>
            </w:pPr>
            <w:r>
              <w:rPr>
                <w:noProof/>
                <w:sz w:val="16"/>
              </w:rPr>
              <w:t>Definitivt upphörande (17,25 %)</w:t>
            </w:r>
          </w:p>
        </w:tc>
        <w:tc>
          <w:tcPr>
            <w:tcW w:w="2295" w:type="dxa"/>
          </w:tcPr>
          <w:p>
            <w:pPr>
              <w:keepNext/>
              <w:jc w:val="center"/>
              <w:rPr>
                <w:noProof/>
                <w:sz w:val="16"/>
                <w:szCs w:val="16"/>
              </w:rPr>
            </w:pPr>
            <w:r>
              <w:rPr>
                <w:noProof/>
                <w:sz w:val="16"/>
              </w:rPr>
              <w:t>Definitivt upphörande (15,44 %)</w:t>
            </w:r>
          </w:p>
        </w:tc>
        <w:tc>
          <w:tcPr>
            <w:tcW w:w="2295" w:type="dxa"/>
          </w:tcPr>
          <w:p>
            <w:pPr>
              <w:keepNext/>
              <w:jc w:val="center"/>
              <w:rPr>
                <w:noProof/>
                <w:sz w:val="16"/>
                <w:szCs w:val="16"/>
              </w:rPr>
            </w:pPr>
            <w:r>
              <w:rPr>
                <w:noProof/>
                <w:sz w:val="16"/>
              </w:rPr>
              <w:t xml:space="preserve">Vattenbruk (14,33 %) </w:t>
            </w:r>
          </w:p>
        </w:tc>
      </w:tr>
      <w:tr>
        <w:trPr>
          <w:jc w:val="center"/>
        </w:trPr>
        <w:tc>
          <w:tcPr>
            <w:tcW w:w="2294" w:type="dxa"/>
            <w:shd w:val="clear" w:color="auto" w:fill="auto"/>
          </w:tcPr>
          <w:p>
            <w:pPr>
              <w:keepNext/>
              <w:jc w:val="center"/>
              <w:rPr>
                <w:noProof/>
                <w:sz w:val="16"/>
                <w:szCs w:val="16"/>
              </w:rPr>
            </w:pPr>
            <w:r>
              <w:rPr>
                <w:noProof/>
                <w:sz w:val="16"/>
              </w:rPr>
              <w:t>Beredning (12,79 %)</w:t>
            </w:r>
          </w:p>
        </w:tc>
        <w:tc>
          <w:tcPr>
            <w:tcW w:w="2295" w:type="dxa"/>
            <w:shd w:val="clear" w:color="auto" w:fill="auto"/>
          </w:tcPr>
          <w:p>
            <w:pPr>
              <w:keepNext/>
              <w:jc w:val="center"/>
              <w:rPr>
                <w:noProof/>
                <w:sz w:val="16"/>
                <w:szCs w:val="16"/>
              </w:rPr>
            </w:pPr>
            <w:r>
              <w:rPr>
                <w:noProof/>
                <w:sz w:val="16"/>
              </w:rPr>
              <w:t>Vattenbruk (14,83 %)</w:t>
            </w:r>
          </w:p>
        </w:tc>
        <w:tc>
          <w:tcPr>
            <w:tcW w:w="2295" w:type="dxa"/>
          </w:tcPr>
          <w:p>
            <w:pPr>
              <w:keepNext/>
              <w:jc w:val="center"/>
              <w:rPr>
                <w:noProof/>
                <w:sz w:val="16"/>
                <w:szCs w:val="16"/>
              </w:rPr>
            </w:pPr>
            <w:r>
              <w:rPr>
                <w:noProof/>
                <w:sz w:val="16"/>
              </w:rPr>
              <w:t>Vattenbruk (14,43 %)</w:t>
            </w:r>
          </w:p>
        </w:tc>
        <w:tc>
          <w:tcPr>
            <w:tcW w:w="2295" w:type="dxa"/>
          </w:tcPr>
          <w:p>
            <w:pPr>
              <w:keepNext/>
              <w:jc w:val="center"/>
              <w:rPr>
                <w:noProof/>
                <w:sz w:val="16"/>
                <w:szCs w:val="16"/>
              </w:rPr>
            </w:pPr>
            <w:r>
              <w:rPr>
                <w:noProof/>
                <w:sz w:val="16"/>
              </w:rPr>
              <w:t>Definitivt upphörande (13,98 %)</w:t>
            </w:r>
          </w:p>
        </w:tc>
      </w:tr>
      <w:tr>
        <w:trPr>
          <w:jc w:val="center"/>
        </w:trPr>
        <w:tc>
          <w:tcPr>
            <w:tcW w:w="2294" w:type="dxa"/>
            <w:shd w:val="clear" w:color="auto" w:fill="auto"/>
          </w:tcPr>
          <w:p>
            <w:pPr>
              <w:keepNext/>
              <w:jc w:val="center"/>
              <w:rPr>
                <w:noProof/>
                <w:sz w:val="16"/>
                <w:szCs w:val="16"/>
              </w:rPr>
            </w:pPr>
            <w:r>
              <w:rPr>
                <w:noProof/>
                <w:sz w:val="16"/>
              </w:rPr>
              <w:t>Fiskehamnar (10,89 %)</w:t>
            </w:r>
          </w:p>
        </w:tc>
        <w:tc>
          <w:tcPr>
            <w:tcW w:w="2295" w:type="dxa"/>
            <w:shd w:val="clear" w:color="auto" w:fill="auto"/>
          </w:tcPr>
          <w:p>
            <w:pPr>
              <w:keepNext/>
              <w:jc w:val="center"/>
              <w:rPr>
                <w:noProof/>
                <w:sz w:val="16"/>
                <w:szCs w:val="16"/>
              </w:rPr>
            </w:pPr>
            <w:r>
              <w:rPr>
                <w:noProof/>
                <w:sz w:val="16"/>
              </w:rPr>
              <w:t>Fiskehamnar (11,46 %)</w:t>
            </w:r>
          </w:p>
        </w:tc>
        <w:tc>
          <w:tcPr>
            <w:tcW w:w="2295" w:type="dxa"/>
          </w:tcPr>
          <w:p>
            <w:pPr>
              <w:keepNext/>
              <w:jc w:val="center"/>
              <w:rPr>
                <w:noProof/>
                <w:sz w:val="16"/>
                <w:szCs w:val="16"/>
              </w:rPr>
            </w:pPr>
            <w:r>
              <w:rPr>
                <w:noProof/>
                <w:sz w:val="16"/>
              </w:rPr>
              <w:t>Fiskehamnar (11,61 %)</w:t>
            </w:r>
          </w:p>
        </w:tc>
        <w:tc>
          <w:tcPr>
            <w:tcW w:w="2295" w:type="dxa"/>
          </w:tcPr>
          <w:p>
            <w:pPr>
              <w:keepNext/>
              <w:jc w:val="center"/>
              <w:rPr>
                <w:noProof/>
                <w:sz w:val="16"/>
                <w:szCs w:val="16"/>
              </w:rPr>
            </w:pPr>
            <w:r>
              <w:rPr>
                <w:noProof/>
                <w:sz w:val="16"/>
              </w:rPr>
              <w:t>Utveckling av fiskeområden (11,47 %)</w:t>
            </w:r>
          </w:p>
        </w:tc>
      </w:tr>
      <w:tr>
        <w:trPr>
          <w:jc w:val="center"/>
        </w:trPr>
        <w:tc>
          <w:tcPr>
            <w:tcW w:w="2294" w:type="dxa"/>
            <w:shd w:val="clear" w:color="auto" w:fill="auto"/>
          </w:tcPr>
          <w:p>
            <w:pPr>
              <w:jc w:val="center"/>
              <w:rPr>
                <w:noProof/>
                <w:sz w:val="16"/>
                <w:szCs w:val="16"/>
              </w:rPr>
            </w:pPr>
            <w:r>
              <w:rPr>
                <w:noProof/>
                <w:sz w:val="16"/>
              </w:rPr>
              <w:t>Tillfälligt upphörande (7,67 %)</w:t>
            </w:r>
          </w:p>
        </w:tc>
        <w:tc>
          <w:tcPr>
            <w:tcW w:w="2295" w:type="dxa"/>
            <w:shd w:val="clear" w:color="auto" w:fill="auto"/>
          </w:tcPr>
          <w:p>
            <w:pPr>
              <w:keepNext/>
              <w:jc w:val="center"/>
              <w:rPr>
                <w:noProof/>
                <w:sz w:val="16"/>
                <w:szCs w:val="16"/>
              </w:rPr>
            </w:pPr>
            <w:r>
              <w:rPr>
                <w:noProof/>
                <w:sz w:val="16"/>
              </w:rPr>
              <w:t>Tillfälligt upphörande (7,40 %)</w:t>
            </w:r>
          </w:p>
        </w:tc>
        <w:tc>
          <w:tcPr>
            <w:tcW w:w="2295" w:type="dxa"/>
          </w:tcPr>
          <w:p>
            <w:pPr>
              <w:keepNext/>
              <w:jc w:val="center"/>
              <w:rPr>
                <w:noProof/>
                <w:sz w:val="16"/>
                <w:szCs w:val="16"/>
              </w:rPr>
            </w:pPr>
            <w:r>
              <w:rPr>
                <w:noProof/>
                <w:sz w:val="16"/>
              </w:rPr>
              <w:t>Utveckling av fiskeområden (9,25 %)</w:t>
            </w:r>
          </w:p>
        </w:tc>
        <w:tc>
          <w:tcPr>
            <w:tcW w:w="2295" w:type="dxa"/>
          </w:tcPr>
          <w:p>
            <w:pPr>
              <w:keepNext/>
              <w:jc w:val="center"/>
              <w:rPr>
                <w:noProof/>
                <w:sz w:val="16"/>
                <w:szCs w:val="16"/>
              </w:rPr>
            </w:pPr>
            <w:r>
              <w:rPr>
                <w:noProof/>
                <w:sz w:val="16"/>
              </w:rPr>
              <w:t>Fiskehamnar (11,15 %)</w:t>
            </w:r>
          </w:p>
        </w:tc>
      </w:tr>
    </w:tbl>
    <w:p>
      <w:pPr>
        <w:rPr>
          <w:noProof/>
        </w:rPr>
      </w:pPr>
      <w:r>
        <w:rPr>
          <w:noProof/>
        </w:rPr>
        <w:t>Koncentrationen av EFF-åtaganden till dessa fem åtgärder är fortfarande förhållandevis hög (68,46 %). Denna siffra liknar siffran för 2013 och är något högre än siffran för 2014.</w:t>
      </w:r>
    </w:p>
    <w:p>
      <w:pPr>
        <w:rPr>
          <w:noProof/>
        </w:rPr>
      </w:pPr>
      <w:r>
        <w:rPr>
          <w:noProof/>
        </w:rPr>
        <w:t>Definitivt och tillfälligt upphörande fortsätter att minska relativt sett (se tabell 3), särskilt tillfälligt upphörande, som med 5,83 % av åtagandena har passerats av gemensamma insatser inom område 3 (7,36 % av åtagandena) och nu är den sjunde mest använda åtgärden. Tabellen nedan belyser denna minskning: åtagandegraden för de båda åtgärderna tillsammans har minskat med 30 % under den analyserade perioden.</w:t>
      </w:r>
    </w:p>
    <w:p>
      <w:pPr>
        <w:rPr>
          <w:noProof/>
        </w:rPr>
      </w:pPr>
    </w:p>
    <w:p>
      <w:pPr>
        <w:ind w:left="2880" w:firstLine="720"/>
        <w:rPr>
          <w:b/>
          <w:noProof/>
          <w:sz w:val="20"/>
          <w:szCs w:val="20"/>
          <w:u w:val="single"/>
        </w:rPr>
      </w:pPr>
      <w:r>
        <w:rPr>
          <w:b/>
          <w:noProof/>
          <w:sz w:val="20"/>
          <w:u w:val="single"/>
        </w:rPr>
        <w:t>Tabell 2</w:t>
      </w:r>
    </w:p>
    <w:tbl>
      <w:tblPr>
        <w:tblW w:w="3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3261"/>
      </w:tblGrid>
      <w:tr>
        <w:trPr>
          <w:jc w:val="center"/>
        </w:trPr>
        <w:tc>
          <w:tcPr>
            <w:tcW w:w="2108" w:type="pct"/>
            <w:shd w:val="clear" w:color="auto" w:fill="auto"/>
          </w:tcPr>
          <w:p>
            <w:pPr>
              <w:rPr>
                <w:noProof/>
                <w:sz w:val="18"/>
                <w:szCs w:val="18"/>
              </w:rPr>
            </w:pPr>
          </w:p>
        </w:tc>
        <w:tc>
          <w:tcPr>
            <w:tcW w:w="2892" w:type="pct"/>
            <w:shd w:val="clear" w:color="auto" w:fill="auto"/>
          </w:tcPr>
          <w:p>
            <w:pPr>
              <w:keepNext/>
              <w:rPr>
                <w:noProof/>
                <w:sz w:val="18"/>
                <w:szCs w:val="18"/>
              </w:rPr>
            </w:pPr>
            <w:r>
              <w:rPr>
                <w:noProof/>
                <w:sz w:val="18"/>
              </w:rPr>
              <w:t>Definitivt och tillfälligt upphörande</w:t>
            </w:r>
          </w:p>
          <w:p>
            <w:pPr>
              <w:keepNext/>
              <w:rPr>
                <w:noProof/>
                <w:sz w:val="18"/>
                <w:szCs w:val="18"/>
              </w:rPr>
            </w:pPr>
            <w:r>
              <w:rPr>
                <w:noProof/>
                <w:sz w:val="18"/>
              </w:rPr>
              <w:t xml:space="preserve"> (% av de totala EFF-åtagandena)</w:t>
            </w:r>
          </w:p>
        </w:tc>
      </w:tr>
      <w:tr>
        <w:trPr>
          <w:jc w:val="center"/>
        </w:trPr>
        <w:tc>
          <w:tcPr>
            <w:tcW w:w="2108" w:type="pct"/>
            <w:shd w:val="clear" w:color="auto" w:fill="auto"/>
          </w:tcPr>
          <w:p>
            <w:pPr>
              <w:jc w:val="center"/>
              <w:rPr>
                <w:noProof/>
                <w:sz w:val="18"/>
                <w:szCs w:val="18"/>
              </w:rPr>
            </w:pPr>
            <w:r>
              <w:rPr>
                <w:noProof/>
                <w:sz w:val="18"/>
              </w:rPr>
              <w:t>31 juli 2012</w:t>
            </w:r>
          </w:p>
        </w:tc>
        <w:tc>
          <w:tcPr>
            <w:tcW w:w="2892" w:type="pct"/>
            <w:shd w:val="clear" w:color="auto" w:fill="auto"/>
          </w:tcPr>
          <w:p>
            <w:pPr>
              <w:keepNext/>
              <w:jc w:val="center"/>
              <w:rPr>
                <w:noProof/>
                <w:sz w:val="18"/>
                <w:szCs w:val="18"/>
              </w:rPr>
            </w:pPr>
            <w:r>
              <w:rPr>
                <w:noProof/>
                <w:sz w:val="18"/>
              </w:rPr>
              <w:t>28,28 %</w:t>
            </w:r>
          </w:p>
        </w:tc>
      </w:tr>
      <w:tr>
        <w:trPr>
          <w:jc w:val="center"/>
        </w:trPr>
        <w:tc>
          <w:tcPr>
            <w:tcW w:w="2108" w:type="pct"/>
            <w:shd w:val="clear" w:color="auto" w:fill="auto"/>
          </w:tcPr>
          <w:p>
            <w:pPr>
              <w:jc w:val="center"/>
              <w:rPr>
                <w:noProof/>
                <w:sz w:val="18"/>
                <w:szCs w:val="18"/>
              </w:rPr>
            </w:pPr>
            <w:r>
              <w:rPr>
                <w:noProof/>
                <w:sz w:val="18"/>
              </w:rPr>
              <w:t>31 maj 2013</w:t>
            </w:r>
          </w:p>
        </w:tc>
        <w:tc>
          <w:tcPr>
            <w:tcW w:w="2892" w:type="pct"/>
            <w:shd w:val="clear" w:color="auto" w:fill="auto"/>
          </w:tcPr>
          <w:p>
            <w:pPr>
              <w:keepNext/>
              <w:jc w:val="center"/>
              <w:rPr>
                <w:noProof/>
                <w:sz w:val="18"/>
                <w:szCs w:val="18"/>
              </w:rPr>
            </w:pPr>
            <w:r>
              <w:rPr>
                <w:noProof/>
                <w:sz w:val="18"/>
              </w:rPr>
              <w:t>24,65 %</w:t>
            </w:r>
          </w:p>
        </w:tc>
      </w:tr>
      <w:tr>
        <w:trPr>
          <w:jc w:val="center"/>
        </w:trPr>
        <w:tc>
          <w:tcPr>
            <w:tcW w:w="2108" w:type="pct"/>
            <w:shd w:val="clear" w:color="auto" w:fill="auto"/>
          </w:tcPr>
          <w:p>
            <w:pPr>
              <w:jc w:val="center"/>
              <w:rPr>
                <w:noProof/>
                <w:sz w:val="18"/>
                <w:szCs w:val="18"/>
              </w:rPr>
            </w:pPr>
            <w:r>
              <w:rPr>
                <w:noProof/>
                <w:sz w:val="18"/>
              </w:rPr>
              <w:t>31 maj 2014</w:t>
            </w:r>
          </w:p>
        </w:tc>
        <w:tc>
          <w:tcPr>
            <w:tcW w:w="2892" w:type="pct"/>
            <w:shd w:val="clear" w:color="auto" w:fill="auto"/>
          </w:tcPr>
          <w:p>
            <w:pPr>
              <w:keepNext/>
              <w:jc w:val="center"/>
              <w:rPr>
                <w:noProof/>
                <w:sz w:val="18"/>
                <w:szCs w:val="18"/>
              </w:rPr>
            </w:pPr>
            <w:r>
              <w:rPr>
                <w:noProof/>
                <w:sz w:val="18"/>
              </w:rPr>
              <w:t>22,2 %</w:t>
            </w:r>
          </w:p>
        </w:tc>
      </w:tr>
      <w:tr>
        <w:trPr>
          <w:jc w:val="center"/>
        </w:trPr>
        <w:tc>
          <w:tcPr>
            <w:tcW w:w="2108" w:type="pct"/>
            <w:shd w:val="clear" w:color="auto" w:fill="auto"/>
          </w:tcPr>
          <w:p>
            <w:pPr>
              <w:jc w:val="center"/>
              <w:rPr>
                <w:noProof/>
                <w:sz w:val="18"/>
                <w:szCs w:val="18"/>
              </w:rPr>
            </w:pPr>
            <w:r>
              <w:rPr>
                <w:noProof/>
                <w:sz w:val="18"/>
              </w:rPr>
              <w:t>31 maj 2015</w:t>
            </w:r>
          </w:p>
        </w:tc>
        <w:tc>
          <w:tcPr>
            <w:tcW w:w="2892" w:type="pct"/>
            <w:shd w:val="clear" w:color="auto" w:fill="auto"/>
          </w:tcPr>
          <w:p>
            <w:pPr>
              <w:keepNext/>
              <w:jc w:val="center"/>
              <w:rPr>
                <w:noProof/>
                <w:sz w:val="18"/>
                <w:szCs w:val="18"/>
              </w:rPr>
            </w:pPr>
            <w:r>
              <w:rPr>
                <w:noProof/>
                <w:sz w:val="18"/>
              </w:rPr>
              <w:t>19,81 %</w:t>
            </w:r>
          </w:p>
        </w:tc>
      </w:tr>
    </w:tbl>
    <w:p>
      <w:pPr>
        <w:pStyle w:val="ManualHeading2"/>
        <w:rPr>
          <w:noProof/>
        </w:rPr>
      </w:pPr>
      <w:bookmarkStart w:id="18" w:name="_Toc401153893"/>
      <w:bookmarkStart w:id="19" w:name="_Toc435796652"/>
      <w:bookmarkStart w:id="20" w:name="_Toc435798320"/>
      <w:bookmarkStart w:id="21" w:name="_Toc437600145"/>
      <w:r>
        <w:t>2.3.</w:t>
      </w:r>
      <w:r>
        <w:tab/>
      </w:r>
      <w:r>
        <w:rPr>
          <w:noProof/>
        </w:rPr>
        <w:t>Utveckling per prioriterat område</w:t>
      </w:r>
      <w:bookmarkEnd w:id="18"/>
      <w:bookmarkEnd w:id="19"/>
      <w:bookmarkEnd w:id="20"/>
      <w:bookmarkEnd w:id="21"/>
    </w:p>
    <w:p>
      <w:pPr>
        <w:rPr>
          <w:noProof/>
        </w:rPr>
      </w:pPr>
      <w:r>
        <w:rPr>
          <w:noProof/>
        </w:rPr>
        <w:t>Tabellen nedan visar utvecklingen av den relativa vikten av totala åtaganden per prioriterat område för perioden juli 2012–maj 2015.</w:t>
      </w:r>
    </w:p>
    <w:p>
      <w:pPr>
        <w:rPr>
          <w:noProof/>
        </w:rPr>
      </w:pPr>
      <w:r>
        <w:rPr>
          <w:noProof/>
        </w:rPr>
        <w:t>Situationen den 31 maj 2015 följer tendensen från tidigare år, även minskningen för område 1. Detta gäller dock med undantag för område 4, som har ökat betydligt i relativ vikt sedan 2012.</w:t>
      </w:r>
    </w:p>
    <w:p>
      <w:pPr>
        <w:jc w:val="center"/>
        <w:rPr>
          <w:b/>
          <w:noProof/>
          <w:sz w:val="20"/>
          <w:szCs w:val="20"/>
          <w:u w:val="single"/>
        </w:rPr>
      </w:pPr>
      <w:r>
        <w:rPr>
          <w:b/>
          <w:noProof/>
          <w:sz w:val="20"/>
          <w:u w:val="single"/>
        </w:rPr>
        <w:t>Tabell 3</w:t>
      </w:r>
    </w:p>
    <w:tbl>
      <w:tblPr>
        <w:tblW w:w="11005" w:type="dxa"/>
        <w:jc w:val="center"/>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1"/>
        <w:gridCol w:w="2201"/>
        <w:gridCol w:w="2201"/>
        <w:gridCol w:w="2201"/>
        <w:gridCol w:w="2201"/>
      </w:tblGrid>
      <w:tr>
        <w:trPr>
          <w:trHeight w:val="516"/>
          <w:jc w:val="center"/>
        </w:trPr>
        <w:tc>
          <w:tcPr>
            <w:tcW w:w="2201" w:type="dxa"/>
            <w:shd w:val="clear" w:color="auto" w:fill="auto"/>
          </w:tcPr>
          <w:p>
            <w:pPr>
              <w:keepNext/>
              <w:jc w:val="center"/>
              <w:rPr>
                <w:b/>
                <w:noProof/>
                <w:sz w:val="18"/>
                <w:szCs w:val="18"/>
              </w:rPr>
            </w:pPr>
            <w:r>
              <w:rPr>
                <w:b/>
                <w:noProof/>
                <w:sz w:val="18"/>
              </w:rPr>
              <w:t>Prioriterat område</w:t>
            </w:r>
            <w:r>
              <w:rPr>
                <w:rStyle w:val="FootnoteReference"/>
                <w:b/>
                <w:noProof/>
                <w:sz w:val="18"/>
              </w:rPr>
              <w:footnoteReference w:id="6"/>
            </w:r>
          </w:p>
        </w:tc>
        <w:tc>
          <w:tcPr>
            <w:tcW w:w="2201" w:type="dxa"/>
            <w:shd w:val="clear" w:color="auto" w:fill="auto"/>
          </w:tcPr>
          <w:p>
            <w:pPr>
              <w:keepNext/>
              <w:jc w:val="center"/>
              <w:rPr>
                <w:b/>
                <w:noProof/>
                <w:sz w:val="18"/>
                <w:szCs w:val="18"/>
              </w:rPr>
            </w:pPr>
            <w:r>
              <w:rPr>
                <w:b/>
                <w:noProof/>
                <w:sz w:val="18"/>
              </w:rPr>
              <w:t>31 juli 2012</w:t>
            </w:r>
          </w:p>
        </w:tc>
        <w:tc>
          <w:tcPr>
            <w:tcW w:w="2201" w:type="dxa"/>
            <w:shd w:val="clear" w:color="auto" w:fill="auto"/>
          </w:tcPr>
          <w:p>
            <w:pPr>
              <w:keepNext/>
              <w:jc w:val="center"/>
              <w:rPr>
                <w:b/>
                <w:noProof/>
                <w:sz w:val="18"/>
                <w:szCs w:val="18"/>
              </w:rPr>
            </w:pPr>
            <w:r>
              <w:rPr>
                <w:b/>
                <w:noProof/>
                <w:sz w:val="18"/>
              </w:rPr>
              <w:t>31 maj 2013</w:t>
            </w:r>
          </w:p>
        </w:tc>
        <w:tc>
          <w:tcPr>
            <w:tcW w:w="2201" w:type="dxa"/>
          </w:tcPr>
          <w:p>
            <w:pPr>
              <w:keepNext/>
              <w:jc w:val="center"/>
              <w:rPr>
                <w:b/>
                <w:noProof/>
                <w:sz w:val="18"/>
                <w:szCs w:val="18"/>
              </w:rPr>
            </w:pPr>
            <w:r>
              <w:rPr>
                <w:b/>
                <w:noProof/>
                <w:sz w:val="18"/>
              </w:rPr>
              <w:t>31 maj 2014</w:t>
            </w:r>
          </w:p>
        </w:tc>
        <w:tc>
          <w:tcPr>
            <w:tcW w:w="2201" w:type="dxa"/>
          </w:tcPr>
          <w:p>
            <w:pPr>
              <w:keepNext/>
              <w:jc w:val="center"/>
              <w:rPr>
                <w:b/>
                <w:noProof/>
                <w:sz w:val="18"/>
                <w:szCs w:val="18"/>
              </w:rPr>
            </w:pPr>
            <w:r>
              <w:rPr>
                <w:b/>
                <w:noProof/>
                <w:sz w:val="18"/>
              </w:rPr>
              <w:t>31 maj 2015</w:t>
            </w:r>
          </w:p>
        </w:tc>
      </w:tr>
      <w:tr>
        <w:trPr>
          <w:trHeight w:val="516"/>
          <w:jc w:val="center"/>
        </w:trPr>
        <w:tc>
          <w:tcPr>
            <w:tcW w:w="2201" w:type="dxa"/>
            <w:shd w:val="clear" w:color="auto" w:fill="auto"/>
          </w:tcPr>
          <w:p>
            <w:pPr>
              <w:keepNext/>
              <w:jc w:val="center"/>
              <w:rPr>
                <w:b/>
                <w:noProof/>
                <w:sz w:val="18"/>
                <w:szCs w:val="18"/>
              </w:rPr>
            </w:pPr>
            <w:r>
              <w:rPr>
                <w:b/>
                <w:noProof/>
                <w:sz w:val="18"/>
              </w:rPr>
              <w:t>Område 1</w:t>
            </w:r>
          </w:p>
        </w:tc>
        <w:tc>
          <w:tcPr>
            <w:tcW w:w="2201" w:type="dxa"/>
            <w:shd w:val="clear" w:color="auto" w:fill="auto"/>
          </w:tcPr>
          <w:p>
            <w:pPr>
              <w:keepNext/>
              <w:jc w:val="center"/>
              <w:rPr>
                <w:noProof/>
                <w:sz w:val="18"/>
                <w:szCs w:val="18"/>
              </w:rPr>
            </w:pPr>
            <w:r>
              <w:rPr>
                <w:noProof/>
                <w:sz w:val="18"/>
              </w:rPr>
              <w:t>33,05 %</w:t>
            </w:r>
          </w:p>
        </w:tc>
        <w:tc>
          <w:tcPr>
            <w:tcW w:w="2201" w:type="dxa"/>
            <w:shd w:val="clear" w:color="auto" w:fill="auto"/>
          </w:tcPr>
          <w:p>
            <w:pPr>
              <w:keepNext/>
              <w:jc w:val="center"/>
              <w:rPr>
                <w:noProof/>
                <w:sz w:val="18"/>
                <w:szCs w:val="18"/>
              </w:rPr>
            </w:pPr>
            <w:r>
              <w:rPr>
                <w:noProof/>
                <w:sz w:val="18"/>
              </w:rPr>
              <w:t>30,42 %</w:t>
            </w:r>
          </w:p>
        </w:tc>
        <w:tc>
          <w:tcPr>
            <w:tcW w:w="2201" w:type="dxa"/>
            <w:vAlign w:val="center"/>
          </w:tcPr>
          <w:p>
            <w:pPr>
              <w:keepNext/>
              <w:jc w:val="center"/>
              <w:rPr>
                <w:noProof/>
                <w:sz w:val="18"/>
                <w:szCs w:val="18"/>
              </w:rPr>
            </w:pPr>
            <w:r>
              <w:rPr>
                <w:noProof/>
                <w:sz w:val="18"/>
              </w:rPr>
              <w:t>27,77 %</w:t>
            </w:r>
          </w:p>
        </w:tc>
        <w:tc>
          <w:tcPr>
            <w:tcW w:w="2201" w:type="dxa"/>
          </w:tcPr>
          <w:p>
            <w:pPr>
              <w:keepNext/>
              <w:jc w:val="center"/>
              <w:rPr>
                <w:noProof/>
                <w:sz w:val="18"/>
                <w:szCs w:val="18"/>
              </w:rPr>
            </w:pPr>
            <w:r>
              <w:rPr>
                <w:noProof/>
                <w:sz w:val="18"/>
              </w:rPr>
              <w:t>25,72 %</w:t>
            </w:r>
          </w:p>
        </w:tc>
      </w:tr>
      <w:tr>
        <w:trPr>
          <w:trHeight w:val="516"/>
          <w:jc w:val="center"/>
        </w:trPr>
        <w:tc>
          <w:tcPr>
            <w:tcW w:w="2201" w:type="dxa"/>
            <w:shd w:val="clear" w:color="auto" w:fill="auto"/>
          </w:tcPr>
          <w:p>
            <w:pPr>
              <w:keepNext/>
              <w:jc w:val="center"/>
              <w:rPr>
                <w:b/>
                <w:noProof/>
                <w:sz w:val="18"/>
                <w:szCs w:val="18"/>
              </w:rPr>
            </w:pPr>
            <w:r>
              <w:rPr>
                <w:b/>
                <w:noProof/>
                <w:sz w:val="18"/>
              </w:rPr>
              <w:t>Område 2</w:t>
            </w:r>
          </w:p>
        </w:tc>
        <w:tc>
          <w:tcPr>
            <w:tcW w:w="2201" w:type="dxa"/>
            <w:shd w:val="clear" w:color="auto" w:fill="auto"/>
          </w:tcPr>
          <w:p>
            <w:pPr>
              <w:keepNext/>
              <w:jc w:val="center"/>
              <w:rPr>
                <w:noProof/>
                <w:sz w:val="18"/>
                <w:szCs w:val="18"/>
              </w:rPr>
            </w:pPr>
            <w:r>
              <w:rPr>
                <w:noProof/>
                <w:sz w:val="18"/>
              </w:rPr>
              <w:t>28,96 %</w:t>
            </w:r>
          </w:p>
        </w:tc>
        <w:tc>
          <w:tcPr>
            <w:tcW w:w="2201" w:type="dxa"/>
            <w:shd w:val="clear" w:color="auto" w:fill="auto"/>
          </w:tcPr>
          <w:p>
            <w:pPr>
              <w:keepNext/>
              <w:jc w:val="center"/>
              <w:rPr>
                <w:noProof/>
                <w:sz w:val="18"/>
                <w:szCs w:val="18"/>
              </w:rPr>
            </w:pPr>
            <w:r>
              <w:rPr>
                <w:noProof/>
                <w:sz w:val="18"/>
              </w:rPr>
              <w:t>32,64 %</w:t>
            </w:r>
          </w:p>
        </w:tc>
        <w:tc>
          <w:tcPr>
            <w:tcW w:w="2201" w:type="dxa"/>
            <w:vAlign w:val="center"/>
          </w:tcPr>
          <w:p>
            <w:pPr>
              <w:keepNext/>
              <w:jc w:val="center"/>
              <w:rPr>
                <w:noProof/>
                <w:sz w:val="18"/>
                <w:szCs w:val="18"/>
              </w:rPr>
            </w:pPr>
            <w:r>
              <w:rPr>
                <w:noProof/>
                <w:sz w:val="18"/>
              </w:rPr>
              <w:t>31,44 %</w:t>
            </w:r>
          </w:p>
        </w:tc>
        <w:tc>
          <w:tcPr>
            <w:tcW w:w="2201" w:type="dxa"/>
          </w:tcPr>
          <w:p>
            <w:pPr>
              <w:keepNext/>
              <w:jc w:val="center"/>
              <w:rPr>
                <w:noProof/>
                <w:sz w:val="18"/>
                <w:szCs w:val="18"/>
              </w:rPr>
            </w:pPr>
            <w:r>
              <w:rPr>
                <w:noProof/>
                <w:sz w:val="18"/>
              </w:rPr>
              <w:t>32,3 %</w:t>
            </w:r>
          </w:p>
        </w:tc>
      </w:tr>
      <w:tr>
        <w:trPr>
          <w:trHeight w:val="516"/>
          <w:jc w:val="center"/>
        </w:trPr>
        <w:tc>
          <w:tcPr>
            <w:tcW w:w="2201" w:type="dxa"/>
            <w:shd w:val="clear" w:color="auto" w:fill="auto"/>
          </w:tcPr>
          <w:p>
            <w:pPr>
              <w:keepNext/>
              <w:jc w:val="center"/>
              <w:rPr>
                <w:b/>
                <w:noProof/>
                <w:sz w:val="18"/>
                <w:szCs w:val="18"/>
              </w:rPr>
            </w:pPr>
            <w:r>
              <w:rPr>
                <w:b/>
                <w:noProof/>
                <w:sz w:val="18"/>
              </w:rPr>
              <w:t>Område 3</w:t>
            </w:r>
          </w:p>
        </w:tc>
        <w:tc>
          <w:tcPr>
            <w:tcW w:w="2201" w:type="dxa"/>
            <w:shd w:val="clear" w:color="auto" w:fill="auto"/>
          </w:tcPr>
          <w:p>
            <w:pPr>
              <w:keepNext/>
              <w:jc w:val="center"/>
              <w:rPr>
                <w:noProof/>
                <w:sz w:val="18"/>
                <w:szCs w:val="18"/>
              </w:rPr>
            </w:pPr>
            <w:r>
              <w:rPr>
                <w:noProof/>
                <w:sz w:val="18"/>
              </w:rPr>
              <w:t>27,59 %</w:t>
            </w:r>
          </w:p>
        </w:tc>
        <w:tc>
          <w:tcPr>
            <w:tcW w:w="2201" w:type="dxa"/>
            <w:shd w:val="clear" w:color="auto" w:fill="auto"/>
          </w:tcPr>
          <w:p>
            <w:pPr>
              <w:keepNext/>
              <w:jc w:val="center"/>
              <w:rPr>
                <w:noProof/>
                <w:sz w:val="18"/>
                <w:szCs w:val="18"/>
              </w:rPr>
            </w:pPr>
            <w:r>
              <w:rPr>
                <w:noProof/>
                <w:sz w:val="18"/>
              </w:rPr>
              <w:t>27,38 %</w:t>
            </w:r>
          </w:p>
        </w:tc>
        <w:tc>
          <w:tcPr>
            <w:tcW w:w="2201" w:type="dxa"/>
            <w:vAlign w:val="center"/>
          </w:tcPr>
          <w:p>
            <w:pPr>
              <w:keepNext/>
              <w:jc w:val="center"/>
              <w:rPr>
                <w:noProof/>
                <w:sz w:val="18"/>
                <w:szCs w:val="18"/>
              </w:rPr>
            </w:pPr>
            <w:r>
              <w:rPr>
                <w:noProof/>
                <w:sz w:val="18"/>
              </w:rPr>
              <w:t>28,46 %</w:t>
            </w:r>
          </w:p>
        </w:tc>
        <w:tc>
          <w:tcPr>
            <w:tcW w:w="2201" w:type="dxa"/>
          </w:tcPr>
          <w:p>
            <w:pPr>
              <w:keepNext/>
              <w:jc w:val="center"/>
              <w:rPr>
                <w:noProof/>
                <w:sz w:val="18"/>
                <w:szCs w:val="18"/>
              </w:rPr>
            </w:pPr>
            <w:r>
              <w:rPr>
                <w:noProof/>
                <w:sz w:val="18"/>
              </w:rPr>
              <w:t>27,26 %</w:t>
            </w:r>
          </w:p>
        </w:tc>
      </w:tr>
      <w:tr>
        <w:trPr>
          <w:trHeight w:val="516"/>
          <w:jc w:val="center"/>
        </w:trPr>
        <w:tc>
          <w:tcPr>
            <w:tcW w:w="2201" w:type="dxa"/>
            <w:shd w:val="clear" w:color="auto" w:fill="auto"/>
          </w:tcPr>
          <w:p>
            <w:pPr>
              <w:keepNext/>
              <w:jc w:val="center"/>
              <w:rPr>
                <w:b/>
                <w:noProof/>
                <w:sz w:val="18"/>
                <w:szCs w:val="18"/>
              </w:rPr>
            </w:pPr>
            <w:r>
              <w:rPr>
                <w:b/>
                <w:noProof/>
                <w:sz w:val="18"/>
              </w:rPr>
              <w:t>Område 4</w:t>
            </w:r>
          </w:p>
        </w:tc>
        <w:tc>
          <w:tcPr>
            <w:tcW w:w="2201" w:type="dxa"/>
            <w:shd w:val="clear" w:color="auto" w:fill="auto"/>
          </w:tcPr>
          <w:p>
            <w:pPr>
              <w:keepNext/>
              <w:jc w:val="center"/>
              <w:rPr>
                <w:noProof/>
                <w:sz w:val="18"/>
                <w:szCs w:val="18"/>
              </w:rPr>
            </w:pPr>
            <w:r>
              <w:rPr>
                <w:noProof/>
                <w:sz w:val="18"/>
              </w:rPr>
              <w:t>7,1 %</w:t>
            </w:r>
          </w:p>
        </w:tc>
        <w:tc>
          <w:tcPr>
            <w:tcW w:w="2201" w:type="dxa"/>
            <w:shd w:val="clear" w:color="auto" w:fill="auto"/>
          </w:tcPr>
          <w:p>
            <w:pPr>
              <w:keepNext/>
              <w:jc w:val="center"/>
              <w:rPr>
                <w:noProof/>
                <w:sz w:val="18"/>
                <w:szCs w:val="18"/>
              </w:rPr>
            </w:pPr>
            <w:r>
              <w:rPr>
                <w:noProof/>
                <w:sz w:val="18"/>
              </w:rPr>
              <w:t>7,2 %</w:t>
            </w:r>
          </w:p>
        </w:tc>
        <w:tc>
          <w:tcPr>
            <w:tcW w:w="2201" w:type="dxa"/>
            <w:vAlign w:val="center"/>
          </w:tcPr>
          <w:p>
            <w:pPr>
              <w:keepNext/>
              <w:jc w:val="center"/>
              <w:rPr>
                <w:noProof/>
                <w:sz w:val="18"/>
                <w:szCs w:val="18"/>
              </w:rPr>
            </w:pPr>
            <w:r>
              <w:rPr>
                <w:noProof/>
                <w:sz w:val="18"/>
              </w:rPr>
              <w:t>9,25 %</w:t>
            </w:r>
          </w:p>
        </w:tc>
        <w:tc>
          <w:tcPr>
            <w:tcW w:w="2201" w:type="dxa"/>
          </w:tcPr>
          <w:p>
            <w:pPr>
              <w:keepNext/>
              <w:jc w:val="center"/>
              <w:rPr>
                <w:noProof/>
                <w:sz w:val="18"/>
                <w:szCs w:val="18"/>
              </w:rPr>
            </w:pPr>
            <w:r>
              <w:rPr>
                <w:noProof/>
                <w:sz w:val="18"/>
              </w:rPr>
              <w:t>11,47 %</w:t>
            </w:r>
          </w:p>
        </w:tc>
      </w:tr>
      <w:tr>
        <w:trPr>
          <w:trHeight w:val="516"/>
          <w:jc w:val="center"/>
        </w:trPr>
        <w:tc>
          <w:tcPr>
            <w:tcW w:w="2201" w:type="dxa"/>
            <w:shd w:val="clear" w:color="auto" w:fill="auto"/>
          </w:tcPr>
          <w:p>
            <w:pPr>
              <w:keepNext/>
              <w:jc w:val="center"/>
              <w:rPr>
                <w:b/>
                <w:noProof/>
                <w:sz w:val="18"/>
                <w:szCs w:val="18"/>
              </w:rPr>
            </w:pPr>
            <w:r>
              <w:rPr>
                <w:b/>
                <w:noProof/>
                <w:sz w:val="18"/>
              </w:rPr>
              <w:t>Område 5</w:t>
            </w:r>
          </w:p>
        </w:tc>
        <w:tc>
          <w:tcPr>
            <w:tcW w:w="2201" w:type="dxa"/>
            <w:shd w:val="clear" w:color="auto" w:fill="auto"/>
          </w:tcPr>
          <w:p>
            <w:pPr>
              <w:keepNext/>
              <w:jc w:val="center"/>
              <w:rPr>
                <w:noProof/>
                <w:sz w:val="18"/>
                <w:szCs w:val="18"/>
              </w:rPr>
            </w:pPr>
            <w:r>
              <w:rPr>
                <w:noProof/>
                <w:sz w:val="18"/>
              </w:rPr>
              <w:t>3,29 %</w:t>
            </w:r>
          </w:p>
        </w:tc>
        <w:tc>
          <w:tcPr>
            <w:tcW w:w="2201" w:type="dxa"/>
            <w:shd w:val="clear" w:color="auto" w:fill="auto"/>
          </w:tcPr>
          <w:p>
            <w:pPr>
              <w:keepNext/>
              <w:jc w:val="center"/>
              <w:rPr>
                <w:noProof/>
                <w:sz w:val="18"/>
                <w:szCs w:val="18"/>
              </w:rPr>
            </w:pPr>
            <w:r>
              <w:rPr>
                <w:noProof/>
                <w:sz w:val="18"/>
              </w:rPr>
              <w:t>2,42 %</w:t>
            </w:r>
          </w:p>
        </w:tc>
        <w:tc>
          <w:tcPr>
            <w:tcW w:w="2201" w:type="dxa"/>
            <w:vAlign w:val="center"/>
          </w:tcPr>
          <w:p>
            <w:pPr>
              <w:keepNext/>
              <w:jc w:val="center"/>
              <w:rPr>
                <w:noProof/>
                <w:sz w:val="18"/>
                <w:szCs w:val="18"/>
              </w:rPr>
            </w:pPr>
            <w:r>
              <w:rPr>
                <w:noProof/>
                <w:sz w:val="18"/>
              </w:rPr>
              <w:t>3,07 %</w:t>
            </w:r>
          </w:p>
        </w:tc>
        <w:tc>
          <w:tcPr>
            <w:tcW w:w="2201" w:type="dxa"/>
          </w:tcPr>
          <w:p>
            <w:pPr>
              <w:keepNext/>
              <w:jc w:val="center"/>
              <w:rPr>
                <w:noProof/>
                <w:sz w:val="18"/>
                <w:szCs w:val="18"/>
              </w:rPr>
            </w:pPr>
            <w:r>
              <w:rPr>
                <w:noProof/>
                <w:sz w:val="18"/>
              </w:rPr>
              <w:t>3,25 %</w:t>
            </w:r>
          </w:p>
        </w:tc>
      </w:tr>
    </w:tbl>
    <w:p>
      <w:pPr>
        <w:rPr>
          <w:noProof/>
        </w:rPr>
      </w:pPr>
    </w:p>
    <w:p>
      <w:pPr>
        <w:rPr>
          <w:noProof/>
        </w:rPr>
      </w:pPr>
      <w:r>
        <w:rPr>
          <w:noProof/>
        </w:rPr>
        <w:t>Tabellen och diagrammet nedan visar förhållandet mellan faktiska åtaganden och planerade utgifter 2007 per prioriterat område för perioden 2012–2015.</w:t>
      </w:r>
    </w:p>
    <w:p>
      <w:pPr>
        <w:keepLines/>
        <w:spacing w:before="720"/>
        <w:jc w:val="center"/>
        <w:rPr>
          <w:b/>
          <w:noProof/>
          <w:sz w:val="20"/>
          <w:szCs w:val="20"/>
          <w:u w:val="single"/>
        </w:rPr>
      </w:pPr>
      <w:r>
        <w:rPr>
          <w:b/>
          <w:noProof/>
          <w:sz w:val="20"/>
          <w:u w:val="single"/>
        </w:rPr>
        <w:t>Tabell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1557"/>
        <w:gridCol w:w="1558"/>
        <w:gridCol w:w="1580"/>
        <w:gridCol w:w="1433"/>
        <w:gridCol w:w="1433"/>
      </w:tblGrid>
      <w:tr>
        <w:trPr>
          <w:jc w:val="center"/>
        </w:trPr>
        <w:tc>
          <w:tcPr>
            <w:tcW w:w="1584" w:type="dxa"/>
            <w:shd w:val="clear" w:color="auto" w:fill="auto"/>
          </w:tcPr>
          <w:p>
            <w:pPr>
              <w:keepLines/>
              <w:jc w:val="center"/>
              <w:rPr>
                <w:b/>
                <w:noProof/>
                <w:sz w:val="22"/>
                <w:szCs w:val="24"/>
              </w:rPr>
            </w:pPr>
            <w:r>
              <w:rPr>
                <w:b/>
                <w:noProof/>
                <w:sz w:val="22"/>
              </w:rPr>
              <w:t>Prioriterat område</w:t>
            </w:r>
          </w:p>
        </w:tc>
        <w:tc>
          <w:tcPr>
            <w:tcW w:w="1557" w:type="dxa"/>
            <w:shd w:val="clear" w:color="auto" w:fill="auto"/>
          </w:tcPr>
          <w:p>
            <w:pPr>
              <w:keepNext/>
              <w:keepLines/>
              <w:jc w:val="center"/>
              <w:rPr>
                <w:b/>
                <w:noProof/>
                <w:sz w:val="22"/>
                <w:szCs w:val="24"/>
              </w:rPr>
            </w:pPr>
            <w:r>
              <w:rPr>
                <w:b/>
                <w:noProof/>
                <w:sz w:val="22"/>
              </w:rPr>
              <w:t>31 juli 2012</w:t>
            </w:r>
          </w:p>
        </w:tc>
        <w:tc>
          <w:tcPr>
            <w:tcW w:w="1558" w:type="dxa"/>
            <w:shd w:val="clear" w:color="auto" w:fill="auto"/>
          </w:tcPr>
          <w:p>
            <w:pPr>
              <w:keepNext/>
              <w:keepLines/>
              <w:jc w:val="center"/>
              <w:rPr>
                <w:b/>
                <w:noProof/>
                <w:sz w:val="22"/>
                <w:szCs w:val="24"/>
              </w:rPr>
            </w:pPr>
            <w:r>
              <w:rPr>
                <w:b/>
                <w:noProof/>
                <w:sz w:val="22"/>
              </w:rPr>
              <w:t>31 maj 2013</w:t>
            </w:r>
          </w:p>
        </w:tc>
        <w:tc>
          <w:tcPr>
            <w:tcW w:w="1580" w:type="dxa"/>
          </w:tcPr>
          <w:p>
            <w:pPr>
              <w:keepNext/>
              <w:keepLines/>
              <w:jc w:val="center"/>
              <w:rPr>
                <w:b/>
                <w:noProof/>
                <w:sz w:val="22"/>
                <w:szCs w:val="24"/>
              </w:rPr>
            </w:pPr>
            <w:r>
              <w:rPr>
                <w:b/>
                <w:noProof/>
                <w:sz w:val="22"/>
              </w:rPr>
              <w:t>31 maj 2014</w:t>
            </w:r>
          </w:p>
        </w:tc>
        <w:tc>
          <w:tcPr>
            <w:tcW w:w="1433" w:type="dxa"/>
          </w:tcPr>
          <w:p>
            <w:pPr>
              <w:keepNext/>
              <w:keepLines/>
              <w:jc w:val="center"/>
              <w:rPr>
                <w:b/>
                <w:noProof/>
                <w:sz w:val="22"/>
                <w:szCs w:val="24"/>
              </w:rPr>
            </w:pPr>
            <w:r>
              <w:rPr>
                <w:b/>
                <w:noProof/>
                <w:sz w:val="22"/>
              </w:rPr>
              <w:t>31 maj 2015</w:t>
            </w:r>
          </w:p>
        </w:tc>
        <w:tc>
          <w:tcPr>
            <w:tcW w:w="1433" w:type="dxa"/>
          </w:tcPr>
          <w:p>
            <w:pPr>
              <w:keepNext/>
              <w:keepLines/>
              <w:jc w:val="center"/>
              <w:rPr>
                <w:b/>
                <w:noProof/>
                <w:sz w:val="22"/>
                <w:szCs w:val="24"/>
              </w:rPr>
            </w:pPr>
            <w:r>
              <w:rPr>
                <w:b/>
                <w:noProof/>
                <w:sz w:val="22"/>
              </w:rPr>
              <w:t>% framsteg 2015/2012</w:t>
            </w:r>
          </w:p>
        </w:tc>
      </w:tr>
      <w:tr>
        <w:trPr>
          <w:jc w:val="center"/>
        </w:trPr>
        <w:tc>
          <w:tcPr>
            <w:tcW w:w="1584" w:type="dxa"/>
            <w:shd w:val="clear" w:color="auto" w:fill="auto"/>
          </w:tcPr>
          <w:p>
            <w:pPr>
              <w:keepLines/>
              <w:jc w:val="center"/>
              <w:rPr>
                <w:b/>
                <w:noProof/>
                <w:sz w:val="22"/>
                <w:szCs w:val="24"/>
              </w:rPr>
            </w:pPr>
            <w:r>
              <w:rPr>
                <w:b/>
                <w:noProof/>
                <w:sz w:val="22"/>
              </w:rPr>
              <w:t>Område 1</w:t>
            </w:r>
          </w:p>
        </w:tc>
        <w:tc>
          <w:tcPr>
            <w:tcW w:w="1557" w:type="dxa"/>
            <w:shd w:val="clear" w:color="auto" w:fill="auto"/>
          </w:tcPr>
          <w:p>
            <w:pPr>
              <w:keepNext/>
              <w:keepLines/>
              <w:jc w:val="center"/>
              <w:rPr>
                <w:noProof/>
                <w:sz w:val="22"/>
                <w:szCs w:val="24"/>
              </w:rPr>
            </w:pPr>
            <w:r>
              <w:rPr>
                <w:noProof/>
                <w:sz w:val="22"/>
              </w:rPr>
              <w:t>67,24 %</w:t>
            </w:r>
          </w:p>
        </w:tc>
        <w:tc>
          <w:tcPr>
            <w:tcW w:w="1558" w:type="dxa"/>
            <w:shd w:val="clear" w:color="auto" w:fill="auto"/>
          </w:tcPr>
          <w:p>
            <w:pPr>
              <w:keepNext/>
              <w:keepLines/>
              <w:jc w:val="center"/>
              <w:rPr>
                <w:noProof/>
                <w:sz w:val="22"/>
                <w:szCs w:val="24"/>
              </w:rPr>
            </w:pPr>
            <w:r>
              <w:rPr>
                <w:noProof/>
                <w:sz w:val="22"/>
              </w:rPr>
              <w:t>74,36 %</w:t>
            </w:r>
          </w:p>
        </w:tc>
        <w:tc>
          <w:tcPr>
            <w:tcW w:w="1580" w:type="dxa"/>
            <w:vAlign w:val="bottom"/>
          </w:tcPr>
          <w:p>
            <w:pPr>
              <w:keepNext/>
              <w:keepLines/>
              <w:jc w:val="center"/>
              <w:rPr>
                <w:noProof/>
                <w:sz w:val="22"/>
                <w:szCs w:val="24"/>
              </w:rPr>
            </w:pPr>
            <w:r>
              <w:rPr>
                <w:noProof/>
                <w:sz w:val="22"/>
              </w:rPr>
              <w:t>79,61 %</w:t>
            </w:r>
          </w:p>
        </w:tc>
        <w:tc>
          <w:tcPr>
            <w:tcW w:w="1433"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tblGrid>
            <w:tr>
              <w:trPr>
                <w:jc w:val="center"/>
              </w:trPr>
              <w:tc>
                <w:tcPr>
                  <w:tcW w:w="1575" w:type="dxa"/>
                </w:tcPr>
                <w:p>
                  <w:pPr>
                    <w:keepNext/>
                    <w:keepLines/>
                    <w:jc w:val="center"/>
                    <w:rPr>
                      <w:noProof/>
                      <w:sz w:val="22"/>
                      <w:szCs w:val="24"/>
                    </w:rPr>
                  </w:pPr>
                  <w:r>
                    <w:rPr>
                      <w:noProof/>
                      <w:sz w:val="22"/>
                    </w:rPr>
                    <w:t>85,24 %</w:t>
                  </w:r>
                </w:p>
              </w:tc>
            </w:tr>
          </w:tbl>
          <w:p>
            <w:pPr>
              <w:keepNext/>
              <w:keepLines/>
              <w:jc w:val="center"/>
              <w:rPr>
                <w:noProof/>
                <w:sz w:val="22"/>
                <w:szCs w:val="24"/>
              </w:rPr>
            </w:pPr>
          </w:p>
        </w:tc>
        <w:tc>
          <w:tcPr>
            <w:tcW w:w="1433" w:type="dxa"/>
          </w:tcPr>
          <w:p>
            <w:pPr>
              <w:keepNext/>
              <w:keepLines/>
              <w:jc w:val="center"/>
              <w:rPr>
                <w:noProof/>
                <w:sz w:val="22"/>
                <w:szCs w:val="24"/>
              </w:rPr>
            </w:pPr>
            <w:r>
              <w:rPr>
                <w:noProof/>
                <w:sz w:val="22"/>
              </w:rPr>
              <w:t>+26,78 %</w:t>
            </w:r>
          </w:p>
        </w:tc>
      </w:tr>
      <w:tr>
        <w:trPr>
          <w:jc w:val="center"/>
        </w:trPr>
        <w:tc>
          <w:tcPr>
            <w:tcW w:w="1584" w:type="dxa"/>
            <w:shd w:val="clear" w:color="auto" w:fill="auto"/>
          </w:tcPr>
          <w:p>
            <w:pPr>
              <w:jc w:val="center"/>
              <w:rPr>
                <w:b/>
                <w:noProof/>
                <w:sz w:val="22"/>
                <w:szCs w:val="24"/>
              </w:rPr>
            </w:pPr>
            <w:r>
              <w:rPr>
                <w:b/>
                <w:noProof/>
                <w:sz w:val="22"/>
              </w:rPr>
              <w:t>Område 2</w:t>
            </w:r>
          </w:p>
        </w:tc>
        <w:tc>
          <w:tcPr>
            <w:tcW w:w="1557" w:type="dxa"/>
            <w:shd w:val="clear" w:color="auto" w:fill="auto"/>
          </w:tcPr>
          <w:p>
            <w:pPr>
              <w:keepNext/>
              <w:jc w:val="center"/>
              <w:rPr>
                <w:noProof/>
                <w:sz w:val="22"/>
                <w:szCs w:val="24"/>
              </w:rPr>
            </w:pPr>
            <w:r>
              <w:rPr>
                <w:noProof/>
                <w:sz w:val="22"/>
              </w:rPr>
              <w:t>56,6 %</w:t>
            </w:r>
          </w:p>
        </w:tc>
        <w:tc>
          <w:tcPr>
            <w:tcW w:w="1558" w:type="dxa"/>
            <w:shd w:val="clear" w:color="auto" w:fill="auto"/>
          </w:tcPr>
          <w:p>
            <w:pPr>
              <w:keepNext/>
              <w:jc w:val="center"/>
              <w:rPr>
                <w:noProof/>
                <w:sz w:val="22"/>
                <w:szCs w:val="24"/>
              </w:rPr>
            </w:pPr>
            <w:r>
              <w:rPr>
                <w:noProof/>
                <w:sz w:val="22"/>
              </w:rPr>
              <w:t>77,47 %</w:t>
            </w:r>
          </w:p>
        </w:tc>
        <w:tc>
          <w:tcPr>
            <w:tcW w:w="1580" w:type="dxa"/>
            <w:vAlign w:val="bottom"/>
          </w:tcPr>
          <w:p>
            <w:pPr>
              <w:keepNext/>
              <w:jc w:val="center"/>
              <w:rPr>
                <w:noProof/>
                <w:sz w:val="22"/>
                <w:szCs w:val="24"/>
              </w:rPr>
            </w:pPr>
            <w:r>
              <w:rPr>
                <w:noProof/>
                <w:sz w:val="22"/>
              </w:rPr>
              <w:t>86,77 %</w:t>
            </w:r>
          </w:p>
        </w:tc>
        <w:tc>
          <w:tcPr>
            <w:tcW w:w="1433" w:type="dxa"/>
          </w:tcPr>
          <w:p>
            <w:pPr>
              <w:keepNext/>
              <w:jc w:val="center"/>
              <w:rPr>
                <w:noProof/>
                <w:sz w:val="22"/>
                <w:szCs w:val="24"/>
              </w:rPr>
            </w:pPr>
            <w:r>
              <w:rPr>
                <w:noProof/>
                <w:sz w:val="22"/>
              </w:rPr>
              <w:t>98,4 %</w:t>
            </w:r>
          </w:p>
        </w:tc>
        <w:tc>
          <w:tcPr>
            <w:tcW w:w="1433" w:type="dxa"/>
          </w:tcPr>
          <w:p>
            <w:pPr>
              <w:keepNext/>
              <w:jc w:val="center"/>
              <w:rPr>
                <w:noProof/>
                <w:sz w:val="22"/>
                <w:szCs w:val="24"/>
              </w:rPr>
            </w:pPr>
            <w:r>
              <w:rPr>
                <w:noProof/>
                <w:sz w:val="22"/>
              </w:rPr>
              <w:t>+73,85 %</w:t>
            </w:r>
          </w:p>
        </w:tc>
      </w:tr>
      <w:tr>
        <w:trPr>
          <w:jc w:val="center"/>
        </w:trPr>
        <w:tc>
          <w:tcPr>
            <w:tcW w:w="1584" w:type="dxa"/>
            <w:shd w:val="clear" w:color="auto" w:fill="auto"/>
          </w:tcPr>
          <w:p>
            <w:pPr>
              <w:jc w:val="center"/>
              <w:rPr>
                <w:b/>
                <w:noProof/>
                <w:sz w:val="22"/>
                <w:szCs w:val="24"/>
              </w:rPr>
            </w:pPr>
            <w:r>
              <w:rPr>
                <w:b/>
                <w:noProof/>
                <w:sz w:val="22"/>
              </w:rPr>
              <w:t>Område 3</w:t>
            </w:r>
          </w:p>
        </w:tc>
        <w:tc>
          <w:tcPr>
            <w:tcW w:w="1557" w:type="dxa"/>
            <w:shd w:val="clear" w:color="auto" w:fill="auto"/>
          </w:tcPr>
          <w:p>
            <w:pPr>
              <w:keepNext/>
              <w:jc w:val="center"/>
              <w:rPr>
                <w:noProof/>
                <w:sz w:val="22"/>
                <w:szCs w:val="24"/>
              </w:rPr>
            </w:pPr>
            <w:r>
              <w:rPr>
                <w:noProof/>
                <w:sz w:val="22"/>
              </w:rPr>
              <w:t>57,8 %</w:t>
            </w:r>
          </w:p>
        </w:tc>
        <w:tc>
          <w:tcPr>
            <w:tcW w:w="1558" w:type="dxa"/>
            <w:shd w:val="clear" w:color="auto" w:fill="auto"/>
          </w:tcPr>
          <w:p>
            <w:pPr>
              <w:keepNext/>
              <w:jc w:val="center"/>
              <w:rPr>
                <w:noProof/>
                <w:sz w:val="22"/>
                <w:szCs w:val="24"/>
              </w:rPr>
            </w:pPr>
            <w:r>
              <w:rPr>
                <w:noProof/>
                <w:sz w:val="22"/>
              </w:rPr>
              <w:t>67,31 %</w:t>
            </w:r>
          </w:p>
        </w:tc>
        <w:tc>
          <w:tcPr>
            <w:tcW w:w="1580" w:type="dxa"/>
            <w:vAlign w:val="bottom"/>
          </w:tcPr>
          <w:p>
            <w:pPr>
              <w:keepNext/>
              <w:jc w:val="center"/>
              <w:rPr>
                <w:noProof/>
                <w:sz w:val="22"/>
                <w:szCs w:val="24"/>
              </w:rPr>
            </w:pPr>
            <w:r>
              <w:rPr>
                <w:noProof/>
                <w:sz w:val="22"/>
              </w:rPr>
              <w:t>83,80 %</w:t>
            </w:r>
          </w:p>
        </w:tc>
        <w:tc>
          <w:tcPr>
            <w:tcW w:w="1433" w:type="dxa"/>
          </w:tcPr>
          <w:p>
            <w:pPr>
              <w:keepNext/>
              <w:jc w:val="center"/>
              <w:rPr>
                <w:noProof/>
                <w:sz w:val="22"/>
                <w:szCs w:val="24"/>
              </w:rPr>
            </w:pPr>
            <w:r>
              <w:rPr>
                <w:noProof/>
                <w:sz w:val="22"/>
              </w:rPr>
              <w:t>93,85 %</w:t>
            </w:r>
          </w:p>
        </w:tc>
        <w:tc>
          <w:tcPr>
            <w:tcW w:w="1433" w:type="dxa"/>
          </w:tcPr>
          <w:p>
            <w:pPr>
              <w:keepNext/>
              <w:jc w:val="center"/>
              <w:rPr>
                <w:noProof/>
                <w:sz w:val="22"/>
                <w:szCs w:val="24"/>
              </w:rPr>
            </w:pPr>
            <w:r>
              <w:rPr>
                <w:noProof/>
                <w:sz w:val="22"/>
              </w:rPr>
              <w:t>+62,37 %</w:t>
            </w:r>
          </w:p>
        </w:tc>
      </w:tr>
      <w:tr>
        <w:trPr>
          <w:jc w:val="center"/>
        </w:trPr>
        <w:tc>
          <w:tcPr>
            <w:tcW w:w="1584" w:type="dxa"/>
            <w:shd w:val="clear" w:color="auto" w:fill="auto"/>
          </w:tcPr>
          <w:p>
            <w:pPr>
              <w:jc w:val="center"/>
              <w:rPr>
                <w:b/>
                <w:noProof/>
                <w:sz w:val="22"/>
                <w:szCs w:val="24"/>
              </w:rPr>
            </w:pPr>
            <w:r>
              <w:rPr>
                <w:b/>
                <w:noProof/>
                <w:sz w:val="22"/>
              </w:rPr>
              <w:t>Område 4</w:t>
            </w:r>
          </w:p>
        </w:tc>
        <w:tc>
          <w:tcPr>
            <w:tcW w:w="1557" w:type="dxa"/>
            <w:shd w:val="clear" w:color="auto" w:fill="auto"/>
          </w:tcPr>
          <w:p>
            <w:pPr>
              <w:keepNext/>
              <w:jc w:val="center"/>
              <w:rPr>
                <w:noProof/>
                <w:sz w:val="22"/>
                <w:szCs w:val="24"/>
              </w:rPr>
            </w:pPr>
            <w:r>
              <w:rPr>
                <w:noProof/>
                <w:sz w:val="22"/>
              </w:rPr>
              <w:t>28 %</w:t>
            </w:r>
          </w:p>
        </w:tc>
        <w:tc>
          <w:tcPr>
            <w:tcW w:w="1558" w:type="dxa"/>
            <w:shd w:val="clear" w:color="auto" w:fill="auto"/>
          </w:tcPr>
          <w:p>
            <w:pPr>
              <w:keepNext/>
              <w:jc w:val="center"/>
              <w:rPr>
                <w:noProof/>
                <w:sz w:val="22"/>
                <w:szCs w:val="24"/>
              </w:rPr>
            </w:pPr>
            <w:r>
              <w:rPr>
                <w:noProof/>
                <w:sz w:val="22"/>
              </w:rPr>
              <w:t>44,60 %</w:t>
            </w:r>
          </w:p>
        </w:tc>
        <w:tc>
          <w:tcPr>
            <w:tcW w:w="1580" w:type="dxa"/>
            <w:vAlign w:val="bottom"/>
          </w:tcPr>
          <w:p>
            <w:pPr>
              <w:keepNext/>
              <w:jc w:val="center"/>
              <w:rPr>
                <w:noProof/>
                <w:sz w:val="22"/>
                <w:szCs w:val="24"/>
              </w:rPr>
            </w:pPr>
            <w:r>
              <w:rPr>
                <w:noProof/>
                <w:sz w:val="22"/>
              </w:rPr>
              <w:t>56,89 %</w:t>
            </w:r>
          </w:p>
        </w:tc>
        <w:tc>
          <w:tcPr>
            <w:tcW w:w="1433" w:type="dxa"/>
          </w:tcPr>
          <w:p>
            <w:pPr>
              <w:keepNext/>
              <w:jc w:val="center"/>
              <w:rPr>
                <w:noProof/>
                <w:sz w:val="22"/>
                <w:szCs w:val="24"/>
              </w:rPr>
            </w:pPr>
            <w:r>
              <w:rPr>
                <w:noProof/>
                <w:sz w:val="22"/>
              </w:rPr>
              <w:t>80,9 %</w:t>
            </w:r>
          </w:p>
        </w:tc>
        <w:tc>
          <w:tcPr>
            <w:tcW w:w="1433" w:type="dxa"/>
          </w:tcPr>
          <w:p>
            <w:pPr>
              <w:keepNext/>
              <w:jc w:val="center"/>
              <w:rPr>
                <w:noProof/>
                <w:sz w:val="22"/>
                <w:szCs w:val="24"/>
              </w:rPr>
            </w:pPr>
            <w:r>
              <w:rPr>
                <w:noProof/>
                <w:sz w:val="22"/>
              </w:rPr>
              <w:t>+188,92 %</w:t>
            </w:r>
          </w:p>
        </w:tc>
      </w:tr>
      <w:tr>
        <w:trPr>
          <w:jc w:val="center"/>
        </w:trPr>
        <w:tc>
          <w:tcPr>
            <w:tcW w:w="1584" w:type="dxa"/>
            <w:shd w:val="clear" w:color="auto" w:fill="auto"/>
          </w:tcPr>
          <w:p>
            <w:pPr>
              <w:jc w:val="center"/>
              <w:rPr>
                <w:b/>
                <w:noProof/>
                <w:sz w:val="22"/>
                <w:szCs w:val="24"/>
              </w:rPr>
            </w:pPr>
            <w:r>
              <w:rPr>
                <w:b/>
                <w:noProof/>
                <w:sz w:val="22"/>
              </w:rPr>
              <w:t>Område 5</w:t>
            </w:r>
          </w:p>
        </w:tc>
        <w:tc>
          <w:tcPr>
            <w:tcW w:w="1557" w:type="dxa"/>
            <w:shd w:val="clear" w:color="auto" w:fill="auto"/>
          </w:tcPr>
          <w:p>
            <w:pPr>
              <w:keepNext/>
              <w:jc w:val="center"/>
              <w:rPr>
                <w:noProof/>
                <w:sz w:val="22"/>
                <w:szCs w:val="24"/>
              </w:rPr>
            </w:pPr>
            <w:r>
              <w:rPr>
                <w:noProof/>
                <w:sz w:val="22"/>
              </w:rPr>
              <w:t>44,04 %</w:t>
            </w:r>
          </w:p>
        </w:tc>
        <w:tc>
          <w:tcPr>
            <w:tcW w:w="1558" w:type="dxa"/>
            <w:shd w:val="clear" w:color="auto" w:fill="auto"/>
          </w:tcPr>
          <w:p>
            <w:pPr>
              <w:keepNext/>
              <w:jc w:val="center"/>
              <w:rPr>
                <w:noProof/>
                <w:sz w:val="22"/>
                <w:szCs w:val="24"/>
              </w:rPr>
            </w:pPr>
            <w:r>
              <w:rPr>
                <w:noProof/>
                <w:sz w:val="22"/>
              </w:rPr>
              <w:t>44,60 %</w:t>
            </w:r>
          </w:p>
        </w:tc>
        <w:tc>
          <w:tcPr>
            <w:tcW w:w="1580" w:type="dxa"/>
            <w:vAlign w:val="bottom"/>
          </w:tcPr>
          <w:p>
            <w:pPr>
              <w:keepNext/>
              <w:jc w:val="center"/>
              <w:rPr>
                <w:noProof/>
                <w:sz w:val="22"/>
                <w:szCs w:val="24"/>
              </w:rPr>
            </w:pPr>
            <w:r>
              <w:rPr>
                <w:noProof/>
                <w:sz w:val="22"/>
              </w:rPr>
              <w:t>65,34 %</w:t>
            </w:r>
          </w:p>
        </w:tc>
        <w:tc>
          <w:tcPr>
            <w:tcW w:w="1433" w:type="dxa"/>
          </w:tcPr>
          <w:p>
            <w:pPr>
              <w:keepNext/>
              <w:jc w:val="center"/>
              <w:rPr>
                <w:noProof/>
                <w:sz w:val="22"/>
                <w:szCs w:val="24"/>
              </w:rPr>
            </w:pPr>
            <w:r>
              <w:rPr>
                <w:noProof/>
                <w:sz w:val="22"/>
              </w:rPr>
              <w:t>83,86 %</w:t>
            </w:r>
          </w:p>
        </w:tc>
        <w:tc>
          <w:tcPr>
            <w:tcW w:w="1433" w:type="dxa"/>
          </w:tcPr>
          <w:p>
            <w:pPr>
              <w:keepNext/>
              <w:jc w:val="center"/>
              <w:rPr>
                <w:noProof/>
                <w:sz w:val="22"/>
                <w:szCs w:val="24"/>
              </w:rPr>
            </w:pPr>
            <w:r>
              <w:rPr>
                <w:noProof/>
                <w:sz w:val="22"/>
              </w:rPr>
              <w:t>+90,43 %</w:t>
            </w:r>
          </w:p>
        </w:tc>
      </w:tr>
      <w:tr>
        <w:trPr>
          <w:jc w:val="center"/>
        </w:trPr>
        <w:tc>
          <w:tcPr>
            <w:tcW w:w="1584" w:type="dxa"/>
            <w:shd w:val="clear" w:color="auto" w:fill="auto"/>
          </w:tcPr>
          <w:p>
            <w:pPr>
              <w:jc w:val="center"/>
              <w:rPr>
                <w:b/>
                <w:noProof/>
                <w:sz w:val="22"/>
                <w:szCs w:val="24"/>
              </w:rPr>
            </w:pPr>
            <w:r>
              <w:rPr>
                <w:b/>
                <w:noProof/>
                <w:sz w:val="22"/>
              </w:rPr>
              <w:t>Totalt EFF</w:t>
            </w:r>
          </w:p>
        </w:tc>
        <w:tc>
          <w:tcPr>
            <w:tcW w:w="1557" w:type="dxa"/>
            <w:shd w:val="clear" w:color="auto" w:fill="auto"/>
          </w:tcPr>
          <w:p>
            <w:pPr>
              <w:keepNext/>
              <w:jc w:val="center"/>
              <w:rPr>
                <w:b/>
                <w:noProof/>
                <w:sz w:val="22"/>
                <w:szCs w:val="24"/>
              </w:rPr>
            </w:pPr>
            <w:r>
              <w:rPr>
                <w:b/>
                <w:noProof/>
                <w:sz w:val="22"/>
              </w:rPr>
              <w:t>56,31 %</w:t>
            </w:r>
          </w:p>
        </w:tc>
        <w:tc>
          <w:tcPr>
            <w:tcW w:w="1558" w:type="dxa"/>
            <w:shd w:val="clear" w:color="auto" w:fill="auto"/>
          </w:tcPr>
          <w:p>
            <w:pPr>
              <w:keepNext/>
              <w:jc w:val="center"/>
              <w:rPr>
                <w:b/>
                <w:noProof/>
                <w:sz w:val="22"/>
                <w:szCs w:val="24"/>
              </w:rPr>
            </w:pPr>
            <w:r>
              <w:rPr>
                <w:b/>
                <w:noProof/>
                <w:sz w:val="22"/>
              </w:rPr>
              <w:t>67,37 %</w:t>
            </w:r>
          </w:p>
        </w:tc>
        <w:tc>
          <w:tcPr>
            <w:tcW w:w="1580" w:type="dxa"/>
            <w:vAlign w:val="bottom"/>
          </w:tcPr>
          <w:p>
            <w:pPr>
              <w:keepNext/>
              <w:jc w:val="center"/>
              <w:rPr>
                <w:b/>
                <w:noProof/>
                <w:sz w:val="22"/>
                <w:szCs w:val="24"/>
              </w:rPr>
            </w:pPr>
            <w:r>
              <w:rPr>
                <w:b/>
                <w:noProof/>
                <w:sz w:val="22"/>
              </w:rPr>
              <w:t>79,33 %</w:t>
            </w:r>
          </w:p>
        </w:tc>
        <w:tc>
          <w:tcPr>
            <w:tcW w:w="1433"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tblGrid>
            <w:tr>
              <w:trPr>
                <w:jc w:val="center"/>
              </w:trPr>
              <w:tc>
                <w:tcPr>
                  <w:tcW w:w="1575" w:type="dxa"/>
                </w:tcPr>
                <w:p>
                  <w:pPr>
                    <w:keepNext/>
                    <w:jc w:val="center"/>
                    <w:rPr>
                      <w:b/>
                      <w:noProof/>
                      <w:sz w:val="22"/>
                      <w:szCs w:val="24"/>
                    </w:rPr>
                  </w:pPr>
                  <w:r>
                    <w:rPr>
                      <w:b/>
                      <w:noProof/>
                      <w:sz w:val="22"/>
                    </w:rPr>
                    <w:t>90,83 %</w:t>
                  </w:r>
                </w:p>
              </w:tc>
            </w:tr>
          </w:tbl>
          <w:p>
            <w:pPr>
              <w:keepNext/>
              <w:jc w:val="center"/>
              <w:rPr>
                <w:b/>
                <w:noProof/>
                <w:sz w:val="22"/>
                <w:szCs w:val="24"/>
              </w:rPr>
            </w:pPr>
          </w:p>
        </w:tc>
        <w:tc>
          <w:tcPr>
            <w:tcW w:w="1433" w:type="dxa"/>
          </w:tcPr>
          <w:p>
            <w:pPr>
              <w:keepNext/>
              <w:jc w:val="center"/>
              <w:rPr>
                <w:b/>
                <w:noProof/>
                <w:sz w:val="22"/>
                <w:szCs w:val="24"/>
              </w:rPr>
            </w:pPr>
            <w:r>
              <w:rPr>
                <w:b/>
                <w:noProof/>
                <w:sz w:val="22"/>
              </w:rPr>
              <w:t>+61,3 %</w:t>
            </w:r>
          </w:p>
        </w:tc>
      </w:tr>
    </w:tbl>
    <w:p>
      <w:pPr>
        <w:rPr>
          <w:noProof/>
          <w:szCs w:val="24"/>
        </w:rPr>
      </w:pPr>
    </w:p>
    <w:p>
      <w:pPr>
        <w:rPr>
          <w:noProof/>
          <w:szCs w:val="24"/>
        </w:rPr>
      </w:pPr>
      <w:r>
        <w:rPr>
          <w:noProof/>
          <w:lang w:val="en-US" w:eastAsia="en-US" w:bidi="ar-SA"/>
        </w:rPr>
        <w:drawing>
          <wp:inline distT="0" distB="0" distL="0" distR="0">
            <wp:extent cx="4032914" cy="2477069"/>
            <wp:effectExtent l="0" t="0" r="24765" b="1905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rPr>
          <w:noProof/>
        </w:rPr>
      </w:pPr>
      <w:r>
        <w:rPr>
          <w:noProof/>
        </w:rPr>
        <w:t>Ovanstående tabeller och diagram visar att åtagandenivån under en period på tre år har jämnats ut mellan de olika områdena. Åtagandenivån skilde sig nämligen betydligt tidigare under programperioden av olika skäl, t.ex. bränslekrisen 2008, effekterna av den ekonomiska och finansiella krisen och det nya inslaget i område 4, som ledde till att obalansen mellan interventionens mål och de faktiska behoven ute på fältet jämnades ut.</w:t>
      </w:r>
    </w:p>
    <w:p>
      <w:pPr>
        <w:rPr>
          <w:noProof/>
        </w:rPr>
      </w:pPr>
      <w:r>
        <w:rPr>
          <w:noProof/>
        </w:rPr>
        <w:t>Den mest märkbara utvecklingen, som redan har kunnat konstateras i tidigare kommissionsrapporter, är minskningen av offentliga utgifter för område 1. Denna minskning kan förklaras av två faktorer: För det första har de skrotningssystem som redan genomförts inom Fonden för fiskets utveckling (FFU)</w:t>
      </w:r>
      <w:r>
        <w:rPr>
          <w:rStyle w:val="FootnoteReference"/>
          <w:noProof/>
        </w:rPr>
        <w:footnoteReference w:id="7"/>
      </w:r>
      <w:r>
        <w:rPr>
          <w:noProof/>
        </w:rPr>
        <w:t xml:space="preserve">, och som fortsatte under de första åren av genomförandet av EFF, i hög grad bidragit till att lösa problemen med överkapacitet inom vissa flottsegment. För det andra har ett antal flottor förbättrat sin lönsamhet under de senaste åren, vilket har gjort sektorn mer övertygad om att den kan utvecklas utan hjälp av offentligt stöd. Till följd av detta utvecklas område 1 relativt långsamt och släpar nu efter genomsnittet. </w:t>
      </w:r>
    </w:p>
    <w:p>
      <w:pPr>
        <w:widowControl/>
        <w:rPr>
          <w:noProof/>
        </w:rPr>
      </w:pPr>
      <w:r>
        <w:rPr>
          <w:noProof/>
        </w:rPr>
        <w:t xml:space="preserve">Områdena 2 och 3 har kommit längst när det gäller åtaganden. Område 2 ligger mycket nära 100 % och område 3 närmar sig 95 %. Det är dock inom område 4 (och område 5) som framstegen går snabbare sedan 2012. I maj 2015 hade område 4 nästan kommit i kapp de övriga områdena. På mindre än tre år har avståndet från genomsnittet minskats från 29 procentenheter till 10, med en kraftig ökning av takten efter maj 2014 (+42 %). </w:t>
      </w:r>
    </w:p>
    <w:p>
      <w:pPr>
        <w:pStyle w:val="ManualHeading2"/>
        <w:rPr>
          <w:noProof/>
        </w:rPr>
      </w:pPr>
      <w:bookmarkStart w:id="22" w:name="_Toc401153894"/>
      <w:bookmarkStart w:id="23" w:name="_Toc435796653"/>
      <w:bookmarkStart w:id="24" w:name="_Toc435798321"/>
      <w:bookmarkStart w:id="25" w:name="_Toc437600146"/>
      <w:r>
        <w:t>2.4.</w:t>
      </w:r>
      <w:r>
        <w:tab/>
      </w:r>
      <w:r>
        <w:rPr>
          <w:noProof/>
        </w:rPr>
        <w:t>Kommissionens budgetgenomförande</w:t>
      </w:r>
      <w:bookmarkEnd w:id="22"/>
      <w:bookmarkEnd w:id="23"/>
      <w:bookmarkEnd w:id="24"/>
      <w:bookmarkEnd w:id="25"/>
    </w:p>
    <w:p>
      <w:pPr>
        <w:rPr>
          <w:noProof/>
        </w:rPr>
      </w:pPr>
      <w:r>
        <w:rPr>
          <w:noProof/>
        </w:rPr>
        <w:t>Enligt den finansiella programplaneringen gjordes de sista årliga åtagandena för perioden 2007–2013 i EU-budgeten 2013.</w:t>
      </w:r>
    </w:p>
    <w:p>
      <w:pPr>
        <w:rPr>
          <w:noProof/>
        </w:rPr>
      </w:pPr>
      <w:r>
        <w:rPr>
          <w:noProof/>
        </w:rPr>
        <w:t>Under 2014 betalades 13,9 % (567,25 miljoner euro) av det totala anslaget ut i form av mellanliggande betalningar: 83,8 % för konvergensregioner (475,49 miljoner euro) och 16,2 % för icke-konvergensregioner (91,76 miljoner euro). Detaljerad information lämnas i bilaga 1 och i det åtföljande arbetsdokumentet från kommissionens avdelningar.</w:t>
      </w:r>
    </w:p>
    <w:p>
      <w:pPr>
        <w:pStyle w:val="ManualHeading2"/>
        <w:rPr>
          <w:noProof/>
        </w:rPr>
      </w:pPr>
      <w:bookmarkStart w:id="26" w:name="_Toc401153895"/>
      <w:bookmarkStart w:id="27" w:name="_Toc435796654"/>
      <w:bookmarkStart w:id="28" w:name="_Toc435798322"/>
      <w:bookmarkStart w:id="29" w:name="_Toc437600147"/>
      <w:r>
        <w:t>2.5.</w:t>
      </w:r>
      <w:r>
        <w:tab/>
      </w:r>
      <w:r>
        <w:rPr>
          <w:noProof/>
        </w:rPr>
        <w:t>Medlemsstaternas användning av tekniskt stöd</w:t>
      </w:r>
      <w:bookmarkEnd w:id="26"/>
      <w:bookmarkEnd w:id="27"/>
      <w:bookmarkEnd w:id="28"/>
      <w:bookmarkEnd w:id="29"/>
    </w:p>
    <w:p>
      <w:pPr>
        <w:rPr>
          <w:noProof/>
        </w:rPr>
      </w:pPr>
      <w:r>
        <w:rPr>
          <w:noProof/>
        </w:rPr>
        <w:t>Under 2014 gjorde 23 medlemsstater åtaganden inom budgeten för tekniskt stöd (område 5). De större åtagandena gjordes av Kroatien (100 % av de EFF-medel som anslogs för område 5), Polen (8,2 %), Sverige (6,5 %), Danmark (6 %), Belgien (5,8 %) och Rumänien (7 %). De finansierade åtgärderna rörde förbättringar av den administrativa kapaciteten, it</w:t>
      </w:r>
      <w:r>
        <w:rPr>
          <w:noProof/>
        </w:rPr>
        <w:noBreakHyphen/>
        <w:t>utveckling, marknadsföring och information samt stöd till förvaltningen och genomförandet av de operativa programmen. Diagrammet ovan visar den betydande ökning som inleddes i maj 2013 med en åtagandegrad på 45 %, som sedan uppgick till 84 % två år senare.</w:t>
      </w:r>
    </w:p>
    <w:p>
      <w:pPr>
        <w:pStyle w:val="ManualHeading2"/>
        <w:rPr>
          <w:noProof/>
        </w:rPr>
      </w:pPr>
      <w:bookmarkStart w:id="30" w:name="_Toc401153896"/>
      <w:bookmarkStart w:id="31" w:name="_Toc435796655"/>
      <w:bookmarkStart w:id="32" w:name="_Toc435798323"/>
      <w:bookmarkStart w:id="33" w:name="_Toc437600148"/>
      <w:r>
        <w:t>2.6.</w:t>
      </w:r>
      <w:r>
        <w:tab/>
      </w:r>
      <w:r>
        <w:rPr>
          <w:noProof/>
        </w:rPr>
        <w:t>Kommissionens användning av tekniskt stöd</w:t>
      </w:r>
      <w:bookmarkEnd w:id="30"/>
      <w:bookmarkEnd w:id="31"/>
      <w:bookmarkEnd w:id="32"/>
      <w:bookmarkEnd w:id="33"/>
    </w:p>
    <w:p>
      <w:pPr>
        <w:rPr>
          <w:noProof/>
        </w:rPr>
      </w:pPr>
      <w:r>
        <w:rPr>
          <w:noProof/>
        </w:rPr>
        <w:t>Europeiska havs- och fiskerifonden (EHFF)</w:t>
      </w:r>
      <w:r>
        <w:rPr>
          <w:rStyle w:val="FootnoteReference"/>
          <w:noProof/>
        </w:rPr>
        <w:footnoteReference w:id="8"/>
      </w:r>
      <w:r>
        <w:rPr>
          <w:noProof/>
        </w:rPr>
        <w:t xml:space="preserve"> inrättades den 1 januari 2014 och ersatte EFF. Under 2014 gjorde kommissionen därför inga åtaganden för nya åtgärder inom EFF:s tekniska stöd. </w:t>
      </w:r>
    </w:p>
    <w:p>
      <w:pPr>
        <w:pStyle w:val="ManualHeading2"/>
        <w:rPr>
          <w:noProof/>
        </w:rPr>
      </w:pPr>
      <w:bookmarkStart w:id="34" w:name="_Toc401153901"/>
      <w:bookmarkStart w:id="35" w:name="_Toc435796656"/>
      <w:bookmarkStart w:id="36" w:name="_Toc435798324"/>
      <w:bookmarkStart w:id="37" w:name="_Toc437600149"/>
      <w:r>
        <w:t>2.7.</w:t>
      </w:r>
      <w:r>
        <w:tab/>
      </w:r>
      <w:r>
        <w:rPr>
          <w:noProof/>
        </w:rPr>
        <w:t>Samordning av EFF med strukturfonderna och Europeiska jordbruksfonden för landsbygdsutveckling (Ejflu)</w:t>
      </w:r>
      <w:bookmarkEnd w:id="34"/>
      <w:r>
        <w:rPr>
          <w:rStyle w:val="FootnoteReference"/>
          <w:noProof/>
        </w:rPr>
        <w:footnoteReference w:id="9"/>
      </w:r>
      <w:bookmarkEnd w:id="35"/>
      <w:bookmarkEnd w:id="36"/>
      <w:bookmarkEnd w:id="37"/>
    </w:p>
    <w:p>
      <w:pPr>
        <w:rPr>
          <w:noProof/>
        </w:rPr>
      </w:pPr>
      <w:r>
        <w:rPr>
          <w:noProof/>
        </w:rPr>
        <w:t>De operativa programmen visar att medlemsstaterna redan från början har varit medvetna om behovet av att skapa konsekvens och samordning i genomförandet mellan EFF och strukturfonderna, även Ejflu. Medlemsstaternas årliga genomföranderapporter berör inte uttryckligen grundläggande samordningsproblem.</w:t>
      </w:r>
    </w:p>
    <w:p>
      <w:pPr>
        <w:pStyle w:val="ManualHeading2"/>
        <w:rPr>
          <w:noProof/>
        </w:rPr>
      </w:pPr>
      <w:bookmarkStart w:id="38" w:name="_Toc435798325"/>
      <w:bookmarkStart w:id="39" w:name="_Toc437600150"/>
      <w:r>
        <w:t>2.8.</w:t>
      </w:r>
      <w:r>
        <w:tab/>
      </w:r>
      <w:r>
        <w:rPr>
          <w:noProof/>
        </w:rPr>
        <w:t>Oegentligheter som rapporterats av medlemsstaterna</w:t>
      </w:r>
      <w:bookmarkEnd w:id="38"/>
      <w:bookmarkEnd w:id="39"/>
    </w:p>
    <w:p>
      <w:pPr>
        <w:rPr>
          <w:noProof/>
        </w:rPr>
      </w:pPr>
      <w:r>
        <w:rPr>
          <w:noProof/>
        </w:rPr>
        <w:t>När det gäller EFF upptäckte och rapporterade medlemsstaterna 102 oegentligheter under 2014 som uppgick till ett belopp av 8,7 miljoner euro (vilket motsvarar 1,5 % av de attesterade utgifterna). Av dessa rapporterades elva som bedrägliga av fem medlemsstater, motsvarande ett belopp på 2,1 miljoner euro</w:t>
      </w:r>
      <w:r>
        <w:rPr>
          <w:rStyle w:val="FootnoteReference"/>
          <w:noProof/>
        </w:rPr>
        <w:footnoteReference w:id="10"/>
      </w:r>
      <w:r>
        <w:rPr>
          <w:noProof/>
        </w:rPr>
        <w:t>.</w:t>
      </w:r>
    </w:p>
    <w:p>
      <w:pPr>
        <w:pStyle w:val="ManualHeading1"/>
        <w:rPr>
          <w:noProof/>
        </w:rPr>
      </w:pPr>
      <w:bookmarkStart w:id="40" w:name="_Toc401153903"/>
      <w:bookmarkStart w:id="41" w:name="_Toc435796657"/>
      <w:bookmarkStart w:id="42" w:name="_Toc435798326"/>
      <w:bookmarkStart w:id="43" w:name="_Toc437600151"/>
      <w:bookmarkStart w:id="44" w:name="_Toc401153905"/>
      <w:r>
        <w:t>3.</w:t>
      </w:r>
      <w:r>
        <w:tab/>
      </w:r>
      <w:r>
        <w:rPr>
          <w:noProof/>
        </w:rPr>
        <w:t>BEDÖMNING AV GENOMFÖRANDET AV EFF PER OMRÅDE</w:t>
      </w:r>
      <w:bookmarkEnd w:id="40"/>
      <w:bookmarkEnd w:id="41"/>
      <w:bookmarkEnd w:id="42"/>
      <w:bookmarkEnd w:id="43"/>
    </w:p>
    <w:p>
      <w:pPr>
        <w:rPr>
          <w:noProof/>
        </w:rPr>
      </w:pPr>
      <w:r>
        <w:rPr>
          <w:noProof/>
        </w:rPr>
        <w:t>Den 31 maj 2015 hade EFF-stöd anslagits till sammanlagt 134 689 insatser. I nedanstående tabell sammanfattas utvecklingen av antalet insatser under perioden juli 2012–maj 2015. Tabellen visar en ökning med tvåsiffriga procenttal, men den årliga ökningstakten har minskat sedan 2012.</w:t>
      </w:r>
    </w:p>
    <w:p>
      <w:pPr>
        <w:jc w:val="center"/>
        <w:rPr>
          <w:b/>
          <w:noProof/>
          <w:sz w:val="20"/>
          <w:szCs w:val="20"/>
          <w:u w:val="single"/>
        </w:rPr>
      </w:pPr>
      <w:r>
        <w:rPr>
          <w:b/>
          <w:noProof/>
          <w:sz w:val="20"/>
          <w:u w:val="single"/>
        </w:rPr>
        <w:t>Tabell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1775"/>
        <w:gridCol w:w="2268"/>
        <w:gridCol w:w="1560"/>
      </w:tblGrid>
      <w:tr>
        <w:trPr>
          <w:jc w:val="center"/>
        </w:trPr>
        <w:tc>
          <w:tcPr>
            <w:tcW w:w="2302" w:type="dxa"/>
            <w:shd w:val="clear" w:color="auto" w:fill="auto"/>
          </w:tcPr>
          <w:p>
            <w:pPr>
              <w:jc w:val="center"/>
              <w:rPr>
                <w:b/>
                <w:noProof/>
                <w:sz w:val="18"/>
                <w:szCs w:val="18"/>
              </w:rPr>
            </w:pPr>
            <w:r>
              <w:rPr>
                <w:b/>
                <w:noProof/>
                <w:sz w:val="18"/>
              </w:rPr>
              <w:t>EFF-insatser</w:t>
            </w:r>
          </w:p>
        </w:tc>
        <w:tc>
          <w:tcPr>
            <w:tcW w:w="1775" w:type="dxa"/>
            <w:shd w:val="clear" w:color="auto" w:fill="auto"/>
          </w:tcPr>
          <w:p>
            <w:pPr>
              <w:jc w:val="center"/>
              <w:rPr>
                <w:b/>
                <w:noProof/>
                <w:sz w:val="18"/>
                <w:szCs w:val="18"/>
              </w:rPr>
            </w:pPr>
            <w:r>
              <w:rPr>
                <w:b/>
                <w:noProof/>
                <w:sz w:val="18"/>
              </w:rPr>
              <w:t>Insatser</w:t>
            </w:r>
          </w:p>
        </w:tc>
        <w:tc>
          <w:tcPr>
            <w:tcW w:w="2268" w:type="dxa"/>
            <w:shd w:val="clear" w:color="auto" w:fill="auto"/>
          </w:tcPr>
          <w:p>
            <w:pPr>
              <w:jc w:val="center"/>
              <w:rPr>
                <w:b/>
                <w:noProof/>
                <w:sz w:val="18"/>
                <w:szCs w:val="18"/>
              </w:rPr>
            </w:pPr>
            <w:r>
              <w:rPr>
                <w:b/>
                <w:noProof/>
                <w:sz w:val="18"/>
              </w:rPr>
              <w:t>Juli 2012 = 100</w:t>
            </w:r>
          </w:p>
        </w:tc>
        <w:tc>
          <w:tcPr>
            <w:tcW w:w="1560" w:type="dxa"/>
            <w:shd w:val="clear" w:color="auto" w:fill="auto"/>
          </w:tcPr>
          <w:p>
            <w:pPr>
              <w:jc w:val="center"/>
              <w:rPr>
                <w:b/>
                <w:noProof/>
                <w:sz w:val="18"/>
                <w:szCs w:val="18"/>
              </w:rPr>
            </w:pPr>
            <w:r>
              <w:rPr>
                <w:b/>
                <w:noProof/>
                <w:sz w:val="18"/>
              </w:rPr>
              <w:t>Δ % år/år</w:t>
            </w:r>
          </w:p>
        </w:tc>
      </w:tr>
      <w:tr>
        <w:trPr>
          <w:jc w:val="center"/>
        </w:trPr>
        <w:tc>
          <w:tcPr>
            <w:tcW w:w="2302" w:type="dxa"/>
            <w:shd w:val="clear" w:color="auto" w:fill="auto"/>
          </w:tcPr>
          <w:p>
            <w:pPr>
              <w:jc w:val="center"/>
              <w:rPr>
                <w:noProof/>
                <w:sz w:val="18"/>
                <w:szCs w:val="18"/>
              </w:rPr>
            </w:pPr>
            <w:r>
              <w:rPr>
                <w:noProof/>
                <w:sz w:val="18"/>
              </w:rPr>
              <w:t>31 juli 2012</w:t>
            </w:r>
          </w:p>
        </w:tc>
        <w:tc>
          <w:tcPr>
            <w:tcW w:w="1775" w:type="dxa"/>
            <w:shd w:val="clear" w:color="auto" w:fill="auto"/>
          </w:tcPr>
          <w:p>
            <w:pPr>
              <w:jc w:val="center"/>
              <w:rPr>
                <w:noProof/>
                <w:sz w:val="18"/>
                <w:szCs w:val="18"/>
              </w:rPr>
            </w:pPr>
            <w:r>
              <w:rPr>
                <w:noProof/>
                <w:sz w:val="18"/>
              </w:rPr>
              <w:t>84 489</w:t>
            </w:r>
          </w:p>
        </w:tc>
        <w:tc>
          <w:tcPr>
            <w:tcW w:w="2268" w:type="dxa"/>
            <w:shd w:val="clear" w:color="auto" w:fill="auto"/>
          </w:tcPr>
          <w:p>
            <w:pPr>
              <w:jc w:val="center"/>
              <w:rPr>
                <w:noProof/>
                <w:sz w:val="18"/>
                <w:szCs w:val="18"/>
              </w:rPr>
            </w:pPr>
            <w:r>
              <w:rPr>
                <w:noProof/>
                <w:sz w:val="18"/>
              </w:rPr>
              <w:t>100</w:t>
            </w:r>
          </w:p>
        </w:tc>
        <w:tc>
          <w:tcPr>
            <w:tcW w:w="1560" w:type="dxa"/>
            <w:shd w:val="clear" w:color="auto" w:fill="auto"/>
          </w:tcPr>
          <w:p>
            <w:pPr>
              <w:jc w:val="center"/>
              <w:rPr>
                <w:noProof/>
                <w:sz w:val="18"/>
                <w:szCs w:val="18"/>
              </w:rPr>
            </w:pPr>
          </w:p>
        </w:tc>
      </w:tr>
      <w:tr>
        <w:trPr>
          <w:jc w:val="center"/>
        </w:trPr>
        <w:tc>
          <w:tcPr>
            <w:tcW w:w="2302" w:type="dxa"/>
            <w:shd w:val="clear" w:color="auto" w:fill="auto"/>
          </w:tcPr>
          <w:p>
            <w:pPr>
              <w:jc w:val="center"/>
              <w:rPr>
                <w:noProof/>
                <w:sz w:val="18"/>
                <w:szCs w:val="18"/>
              </w:rPr>
            </w:pPr>
            <w:r>
              <w:rPr>
                <w:noProof/>
                <w:sz w:val="18"/>
              </w:rPr>
              <w:t>31 maj 2013</w:t>
            </w:r>
          </w:p>
        </w:tc>
        <w:tc>
          <w:tcPr>
            <w:tcW w:w="1775" w:type="dxa"/>
            <w:shd w:val="clear" w:color="auto" w:fill="auto"/>
          </w:tcPr>
          <w:p>
            <w:pPr>
              <w:jc w:val="center"/>
              <w:rPr>
                <w:noProof/>
                <w:sz w:val="18"/>
                <w:szCs w:val="18"/>
              </w:rPr>
            </w:pPr>
            <w:r>
              <w:rPr>
                <w:noProof/>
                <w:sz w:val="18"/>
              </w:rPr>
              <w:t>104 848</w:t>
            </w:r>
          </w:p>
        </w:tc>
        <w:tc>
          <w:tcPr>
            <w:tcW w:w="2268" w:type="dxa"/>
            <w:shd w:val="clear" w:color="auto" w:fill="auto"/>
          </w:tcPr>
          <w:p>
            <w:pPr>
              <w:jc w:val="center"/>
              <w:rPr>
                <w:noProof/>
                <w:sz w:val="18"/>
                <w:szCs w:val="18"/>
              </w:rPr>
            </w:pPr>
            <w:r>
              <w:rPr>
                <w:noProof/>
                <w:sz w:val="18"/>
              </w:rPr>
              <w:t>124</w:t>
            </w:r>
          </w:p>
        </w:tc>
        <w:tc>
          <w:tcPr>
            <w:tcW w:w="1560" w:type="dxa"/>
            <w:shd w:val="clear" w:color="auto" w:fill="auto"/>
          </w:tcPr>
          <w:p>
            <w:pPr>
              <w:jc w:val="center"/>
              <w:rPr>
                <w:noProof/>
                <w:sz w:val="18"/>
                <w:szCs w:val="18"/>
              </w:rPr>
            </w:pPr>
            <w:r>
              <w:rPr>
                <w:noProof/>
                <w:sz w:val="18"/>
              </w:rPr>
              <w:t>+24 %</w:t>
            </w:r>
          </w:p>
        </w:tc>
      </w:tr>
      <w:tr>
        <w:trPr>
          <w:jc w:val="center"/>
        </w:trPr>
        <w:tc>
          <w:tcPr>
            <w:tcW w:w="2302" w:type="dxa"/>
            <w:shd w:val="clear" w:color="auto" w:fill="auto"/>
          </w:tcPr>
          <w:p>
            <w:pPr>
              <w:jc w:val="center"/>
              <w:rPr>
                <w:noProof/>
                <w:sz w:val="18"/>
                <w:szCs w:val="18"/>
              </w:rPr>
            </w:pPr>
            <w:r>
              <w:rPr>
                <w:noProof/>
                <w:sz w:val="18"/>
              </w:rPr>
              <w:t>31 maj 2014</w:t>
            </w:r>
          </w:p>
        </w:tc>
        <w:tc>
          <w:tcPr>
            <w:tcW w:w="1775" w:type="dxa"/>
            <w:shd w:val="clear" w:color="auto" w:fill="auto"/>
          </w:tcPr>
          <w:p>
            <w:pPr>
              <w:jc w:val="center"/>
              <w:rPr>
                <w:noProof/>
                <w:sz w:val="18"/>
                <w:szCs w:val="18"/>
              </w:rPr>
            </w:pPr>
            <w:r>
              <w:rPr>
                <w:noProof/>
                <w:sz w:val="18"/>
              </w:rPr>
              <w:t>121 073</w:t>
            </w:r>
          </w:p>
        </w:tc>
        <w:tc>
          <w:tcPr>
            <w:tcW w:w="2268" w:type="dxa"/>
            <w:shd w:val="clear" w:color="auto" w:fill="auto"/>
          </w:tcPr>
          <w:p>
            <w:pPr>
              <w:jc w:val="center"/>
              <w:rPr>
                <w:noProof/>
                <w:sz w:val="18"/>
                <w:szCs w:val="18"/>
              </w:rPr>
            </w:pPr>
            <w:r>
              <w:rPr>
                <w:noProof/>
                <w:sz w:val="18"/>
              </w:rPr>
              <w:t>143</w:t>
            </w:r>
          </w:p>
        </w:tc>
        <w:tc>
          <w:tcPr>
            <w:tcW w:w="1560" w:type="dxa"/>
            <w:shd w:val="clear" w:color="auto" w:fill="auto"/>
          </w:tcPr>
          <w:p>
            <w:pPr>
              <w:jc w:val="center"/>
              <w:rPr>
                <w:noProof/>
                <w:sz w:val="18"/>
                <w:szCs w:val="18"/>
              </w:rPr>
            </w:pPr>
            <w:r>
              <w:rPr>
                <w:noProof/>
                <w:sz w:val="18"/>
              </w:rPr>
              <w:t>+15,5 %</w:t>
            </w:r>
          </w:p>
        </w:tc>
      </w:tr>
      <w:tr>
        <w:trPr>
          <w:jc w:val="center"/>
        </w:trPr>
        <w:tc>
          <w:tcPr>
            <w:tcW w:w="2302" w:type="dxa"/>
            <w:shd w:val="clear" w:color="auto" w:fill="auto"/>
          </w:tcPr>
          <w:p>
            <w:pPr>
              <w:jc w:val="center"/>
              <w:rPr>
                <w:noProof/>
                <w:sz w:val="18"/>
                <w:szCs w:val="18"/>
              </w:rPr>
            </w:pPr>
            <w:r>
              <w:rPr>
                <w:noProof/>
                <w:sz w:val="18"/>
              </w:rPr>
              <w:t>31 maj 2015</w:t>
            </w:r>
          </w:p>
        </w:tc>
        <w:tc>
          <w:tcPr>
            <w:tcW w:w="1775" w:type="dxa"/>
            <w:shd w:val="clear" w:color="auto" w:fill="auto"/>
          </w:tcPr>
          <w:p>
            <w:pPr>
              <w:jc w:val="center"/>
              <w:rPr>
                <w:noProof/>
                <w:sz w:val="18"/>
                <w:szCs w:val="18"/>
              </w:rPr>
            </w:pPr>
            <w:r>
              <w:rPr>
                <w:noProof/>
                <w:sz w:val="18"/>
              </w:rPr>
              <w:t>136 489</w:t>
            </w:r>
          </w:p>
        </w:tc>
        <w:tc>
          <w:tcPr>
            <w:tcW w:w="2268" w:type="dxa"/>
            <w:shd w:val="clear" w:color="auto" w:fill="auto"/>
          </w:tcPr>
          <w:p>
            <w:pPr>
              <w:jc w:val="center"/>
              <w:rPr>
                <w:noProof/>
                <w:sz w:val="18"/>
                <w:szCs w:val="18"/>
              </w:rPr>
            </w:pPr>
            <w:r>
              <w:rPr>
                <w:noProof/>
                <w:sz w:val="18"/>
              </w:rPr>
              <w:t>161,5</w:t>
            </w:r>
          </w:p>
        </w:tc>
        <w:tc>
          <w:tcPr>
            <w:tcW w:w="1560" w:type="dxa"/>
            <w:shd w:val="clear" w:color="auto" w:fill="auto"/>
          </w:tcPr>
          <w:p>
            <w:pPr>
              <w:jc w:val="center"/>
              <w:rPr>
                <w:noProof/>
                <w:sz w:val="18"/>
                <w:szCs w:val="18"/>
              </w:rPr>
            </w:pPr>
            <w:r>
              <w:rPr>
                <w:noProof/>
                <w:sz w:val="18"/>
              </w:rPr>
              <w:t>+12,7 %</w:t>
            </w:r>
          </w:p>
        </w:tc>
      </w:tr>
    </w:tbl>
    <w:p>
      <w:pPr>
        <w:rPr>
          <w:noProof/>
        </w:rPr>
      </w:pPr>
      <w:r>
        <w:rPr>
          <w:noProof/>
        </w:rPr>
        <w:t xml:space="preserve">Den genomsnittliga årskostnaden per insats är 67 941 euro, varav 46 525 utgörs av totalt offentligt stöd och 28 635 euro är EFF-bidraget. Det privata bidraget uppgår till 21 416 euro, strax över 30 % av de totala stödberättigande kostnaderna. Dessa belopp utgör en liten ökning (+1,5 %) jämfört med 2014. </w:t>
      </w:r>
    </w:p>
    <w:p>
      <w:pPr>
        <w:pStyle w:val="ManualHeading2"/>
        <w:rPr>
          <w:noProof/>
        </w:rPr>
      </w:pPr>
      <w:bookmarkStart w:id="45" w:name="_Toc401153904"/>
      <w:bookmarkStart w:id="46" w:name="_Toc435796658"/>
      <w:bookmarkStart w:id="47" w:name="_Toc435798327"/>
      <w:bookmarkStart w:id="48" w:name="_Toc437600152"/>
      <w:r>
        <w:t>3.1.</w:t>
      </w:r>
      <w:r>
        <w:tab/>
      </w:r>
      <w:r>
        <w:rPr>
          <w:noProof/>
        </w:rPr>
        <w:t>Område 1</w:t>
      </w:r>
      <w:bookmarkEnd w:id="45"/>
      <w:r>
        <w:rPr>
          <w:noProof/>
        </w:rPr>
        <w:t>: Åtgärder för anpassning av gemenskapens fiskeflotta</w:t>
      </w:r>
      <w:bookmarkEnd w:id="46"/>
      <w:bookmarkEnd w:id="47"/>
      <w:bookmarkEnd w:id="48"/>
    </w:p>
    <w:p>
      <w:pPr>
        <w:pStyle w:val="ManualHeading3"/>
        <w:rPr>
          <w:noProof/>
        </w:rPr>
      </w:pPr>
      <w:bookmarkStart w:id="49" w:name="_Toc435796659"/>
      <w:bookmarkStart w:id="50" w:name="_Toc435798328"/>
      <w:bookmarkStart w:id="51" w:name="_Toc437600153"/>
      <w:r>
        <w:t>3.1.1.</w:t>
      </w:r>
      <w:r>
        <w:tab/>
      </w:r>
      <w:r>
        <w:rPr>
          <w:noProof/>
        </w:rPr>
        <w:t>Det ekonomiska resultatet för EU:s fiskeflotta 2013 (baserat på den årliga ekonomiska rapporten 2015</w:t>
      </w:r>
      <w:r>
        <w:rPr>
          <w:rStyle w:val="FootnoteReference"/>
          <w:noProof/>
        </w:rPr>
        <w:footnoteReference w:id="11"/>
      </w:r>
      <w:r>
        <w:rPr>
          <w:noProof/>
        </w:rPr>
        <w:t>)</w:t>
      </w:r>
      <w:bookmarkEnd w:id="44"/>
      <w:bookmarkEnd w:id="49"/>
      <w:bookmarkEnd w:id="50"/>
      <w:bookmarkEnd w:id="51"/>
    </w:p>
    <w:p>
      <w:pPr>
        <w:rPr>
          <w:noProof/>
        </w:rPr>
      </w:pPr>
      <w:r>
        <w:rPr>
          <w:noProof/>
        </w:rPr>
        <w:t xml:space="preserve">Uppgifterna för 2013, som den årliga ekonomiska rapporten grundas på, visar att EU:s fiskeflotta generellt sett var lönsam under 2013, med 6,8 miljarder euro i intäkter, 3,4 miljarder euro i bruttoförädlingsvärde, 506 miljoner euro i nettovinst och 7,8 % i nettovinstmarginal. Denna positiva tendens lyser också igenom i industrins positiva förväntningar som inneburit ökande investeringar under de senaste åren (främst i nya fiskefartyg och investeringar ombord). Denna allmänt positiva tendens gäller dock inte samtliga EU-flottor, eftersom tre nationella flottor, nämligen Belgiens, Finlands och Portugals, gick med förlust 2013. </w:t>
      </w:r>
    </w:p>
    <w:p>
      <w:pPr>
        <w:rPr>
          <w:noProof/>
        </w:rPr>
      </w:pPr>
      <w:r>
        <w:rPr>
          <w:noProof/>
        </w:rPr>
        <w:t xml:space="preserve">Den generella förbättringen av de ekonomiska resultaten kan till stor del förklaras av den positiva utvecklingen av det första försäljningspriset för vissa viktiga fiskarter, övergången till mer bränsleeffektiva fiskeredskap och motorbyten (i vissa fall med EFF-stöd), konsolidering av flottan samt ändrade fiske- och saluföringsmetoder. Sjunkande bränslepriser och en minskning av bränsleförbrukningen med 10 % från 2008 till 2013 har också bidragit till att förbättra de flesta EU-flottors ekonomiska resultat. Minskningen av bränsleförbrukningen, som började under en period med höga bränslepriser, pågår fortfarande trots lägre bränslepriser. </w:t>
      </w:r>
    </w:p>
    <w:p>
      <w:pPr>
        <w:rPr>
          <w:noProof/>
        </w:rPr>
      </w:pPr>
      <w:r>
        <w:rPr>
          <w:noProof/>
        </w:rPr>
        <w:t>Uppgifterna i den årliga ekonomiska rapporten visar dock på stora skillnader mellan regionerna (särskilt i Medelhavsområdet) och mellan olika flottsegment. Resultaten för det småskaliga kustfisket tenderade att försämras, medan industriflottorna förbättrade sina resultat avsevärt under perioden 2008–2013.</w:t>
      </w:r>
    </w:p>
    <w:p>
      <w:pPr>
        <w:pStyle w:val="ManualHeading3"/>
        <w:rPr>
          <w:noProof/>
        </w:rPr>
      </w:pPr>
      <w:bookmarkStart w:id="52" w:name="_Toc401153906"/>
      <w:bookmarkStart w:id="53" w:name="_Toc435796660"/>
      <w:bookmarkStart w:id="54" w:name="_Toc435798329"/>
      <w:bookmarkStart w:id="55" w:name="_Toc437600154"/>
      <w:r>
        <w:t>3.1.2.</w:t>
      </w:r>
      <w:r>
        <w:tab/>
      </w:r>
      <w:r>
        <w:rPr>
          <w:noProof/>
        </w:rPr>
        <w:t>Definitivt upphörande av fiskeverksamhet</w:t>
      </w:r>
      <w:bookmarkEnd w:id="52"/>
      <w:bookmarkEnd w:id="53"/>
      <w:bookmarkEnd w:id="54"/>
      <w:bookmarkEnd w:id="55"/>
    </w:p>
    <w:p>
      <w:pPr>
        <w:keepNext/>
        <w:widowControl/>
        <w:rPr>
          <w:noProof/>
        </w:rPr>
      </w:pPr>
      <w:r>
        <w:rPr>
          <w:noProof/>
        </w:rPr>
        <w:t>Den 31 maj 2015 hade EFF bidragit till 4 267 insatser för definitivt upphörande (+4 % jämfört med den 31 maj 2014), till en sammanlagd offentlig kostnad på 935,81 miljoner euro, inklusive 546,34 miljoner euro från EFF.</w:t>
      </w:r>
    </w:p>
    <w:p>
      <w:pPr>
        <w:rPr>
          <w:noProof/>
        </w:rPr>
      </w:pPr>
      <w:r>
        <w:rPr>
          <w:noProof/>
        </w:rPr>
        <w:t>Kostnaden per insats har inte ändrats nämnvärt jämfört med tidigare år. Den totala kostnaden per insats uppgår till 219 313 miljoner euro, varav 128 038 euro utgörs av EFF-finansiering (den femte dyraste räknat i åtaganden för EFF-finansiering).</w:t>
      </w:r>
    </w:p>
    <w:p>
      <w:pPr>
        <w:rPr>
          <w:noProof/>
        </w:rPr>
      </w:pPr>
      <w:r>
        <w:rPr>
          <w:noProof/>
        </w:rPr>
        <w:t>I den ovanstående siffran ingår ett fåtal omställningsinsatser (48). Kostnaderna per omställning (383 131 euro, varav 237 249 euro från EFF) är 73 % högre än kostnaderna för skrotning.</w:t>
      </w:r>
    </w:p>
    <w:p>
      <w:pPr>
        <w:pStyle w:val="ManualHeading3"/>
        <w:rPr>
          <w:noProof/>
        </w:rPr>
      </w:pPr>
      <w:bookmarkStart w:id="56" w:name="_Toc401153907"/>
      <w:bookmarkStart w:id="57" w:name="_Toc435796661"/>
      <w:bookmarkStart w:id="58" w:name="_Toc435798330"/>
      <w:bookmarkStart w:id="59" w:name="_Toc437600155"/>
      <w:r>
        <w:t>3.1.3.</w:t>
      </w:r>
      <w:r>
        <w:tab/>
      </w:r>
      <w:r>
        <w:rPr>
          <w:noProof/>
        </w:rPr>
        <w:t>Tillfälligt upphörande av fiskeverksamhet</w:t>
      </w:r>
      <w:bookmarkEnd w:id="56"/>
      <w:bookmarkEnd w:id="57"/>
      <w:bookmarkEnd w:id="58"/>
      <w:bookmarkEnd w:id="59"/>
    </w:p>
    <w:p>
      <w:pPr>
        <w:rPr>
          <w:noProof/>
        </w:rPr>
      </w:pPr>
      <w:r>
        <w:rPr>
          <w:noProof/>
        </w:rPr>
        <w:t>Precis som under tidigare år är tillfälligt upphörande fortfarande den mest använda åtgärden räknat i antalet insatser (63 152 insatser, 46,27 % av det totala antalet). Relativt sett minskade dock betydelsen av stödet för tillfälligt upphörande med 10 % mellan maj 2014 och maj 2015.</w:t>
      </w:r>
    </w:p>
    <w:p>
      <w:pPr>
        <w:rPr>
          <w:noProof/>
        </w:rPr>
      </w:pPr>
      <w:r>
        <w:rPr>
          <w:noProof/>
        </w:rPr>
        <w:t xml:space="preserve">De genomsnittliga kostnaderna per insats inom denna åtgärd är fortfarande lägst i EFF (6 109 euro totalt, 3 608 euro i EFF-kostnader), och de har fortsatt att minska sedan juli 2012. </w:t>
      </w:r>
    </w:p>
    <w:p>
      <w:pPr>
        <w:pStyle w:val="ManualHeading3"/>
        <w:rPr>
          <w:noProof/>
        </w:rPr>
      </w:pPr>
      <w:bookmarkStart w:id="60" w:name="_Toc401153908"/>
      <w:bookmarkStart w:id="61" w:name="_Toc435796662"/>
      <w:bookmarkStart w:id="62" w:name="_Toc435798331"/>
      <w:bookmarkStart w:id="63" w:name="_Toc437600156"/>
      <w:r>
        <w:t>3.1.4.</w:t>
      </w:r>
      <w:r>
        <w:tab/>
      </w:r>
      <w:r>
        <w:rPr>
          <w:noProof/>
        </w:rPr>
        <w:t>Investeringar ombord på fiskefartyg och selektivitet</w:t>
      </w:r>
      <w:bookmarkEnd w:id="60"/>
      <w:bookmarkEnd w:id="61"/>
      <w:bookmarkEnd w:id="62"/>
      <w:bookmarkEnd w:id="63"/>
    </w:p>
    <w:p>
      <w:pPr>
        <w:rPr>
          <w:noProof/>
        </w:rPr>
      </w:pPr>
      <w:r>
        <w:rPr>
          <w:noProof/>
        </w:rPr>
        <w:t xml:space="preserve">Investeringarna i selektiva fiskeredskap och investeringar ombord på fiskefartyg är de näst mest använda EFF-åtgärderna (13 019 insatser). Deras relativa betydelse har dock minskat sedan maj 2013 (från 10,8 % till 9,54 %). </w:t>
      </w:r>
    </w:p>
    <w:p>
      <w:pPr>
        <w:rPr>
          <w:noProof/>
        </w:rPr>
      </w:pPr>
      <w:r>
        <w:rPr>
          <w:noProof/>
        </w:rPr>
        <w:t>De totala investeringarna uppgick till 509,6 miljoner euro, varav den totala andelen offentligt stöd var 210,53 miljoner euro. EFF:s bidrag till andelen offentligt stöd var 121,93 miljoner euro (3,12 % av de totala EFF-åtagandena, en ökning från 2,86 % det föregående året).</w:t>
      </w:r>
    </w:p>
    <w:p>
      <w:pPr>
        <w:rPr>
          <w:noProof/>
        </w:rPr>
      </w:pPr>
      <w:r>
        <w:rPr>
          <w:noProof/>
        </w:rPr>
        <w:t>Kostnaden per insats uppgick till 39 143 euro, varav det offentliga bidraget var 16 171 euro (9 366 euro från EFF). Det privata bidraget per insats var förhållandevis stort: 23 000 euro.</w:t>
      </w:r>
    </w:p>
    <w:p>
      <w:pPr>
        <w:rPr>
          <w:noProof/>
        </w:rPr>
      </w:pPr>
      <w:r>
        <w:rPr>
          <w:noProof/>
        </w:rPr>
        <w:t>Siffrorna ovan omfattar 1 509 motorbyten och 954 byten av redskap. Motorbyten utgör strax över 1 % av det totala antalet insatser, men bara 0,31 % av de totala EFF-åtagandena. De totala kostnaderna per insats uppgår till 32 753 euro, varav 8 057 euro är stöd från EFF och 5 890 euro är nationella offentliga bidrag.</w:t>
      </w:r>
    </w:p>
    <w:p>
      <w:pPr>
        <w:rPr>
          <w:noProof/>
        </w:rPr>
      </w:pPr>
      <w:r>
        <w:rPr>
          <w:noProof/>
        </w:rPr>
        <w:t>Tolv medlemsstater har använt åtgärden. Frankrike (516), Spanien (348), Portugal (220), Italien (111), Grekland (102) och Storbritannien (92) står för 99 % av det totala antalet insatser. Om man tar hänsyn till flottstorleken är dock Belgien (där motorbytena motsvarar 24,39 % av flottan), Frankrike (7,3 %) och Cypern (4,9 %) de tre mest intensiva användarna.</w:t>
      </w:r>
    </w:p>
    <w:p>
      <w:pPr>
        <w:rPr>
          <w:noProof/>
        </w:rPr>
      </w:pPr>
      <w:r>
        <w:rPr>
          <w:noProof/>
        </w:rPr>
        <w:t>De totala kostnaderna per insats är lägre för byte av redskap: 21 495 euro, varav 4 873 euro är stöd från EFF och ytterligare 4 600 euro är nationella offentliga bidrag. Sammanlagt 13 medlemsstater har använt denna åtgärd, och Cypern (429), Spanien (139), Grekland (118), Italien (88) och Storbritannien står för 80 % av det totala antalet insatser.</w:t>
      </w:r>
    </w:p>
    <w:p>
      <w:pPr>
        <w:pStyle w:val="ManualHeading3"/>
        <w:rPr>
          <w:noProof/>
        </w:rPr>
      </w:pPr>
      <w:bookmarkStart w:id="64" w:name="_Toc435796663"/>
      <w:bookmarkStart w:id="65" w:name="_Toc435798332"/>
      <w:bookmarkStart w:id="66" w:name="_Toc437600157"/>
      <w:bookmarkStart w:id="67" w:name="_Toc401153909"/>
      <w:r>
        <w:t>3.1.5.</w:t>
      </w:r>
      <w:r>
        <w:tab/>
      </w:r>
      <w:r>
        <w:rPr>
          <w:noProof/>
        </w:rPr>
        <w:t>Småskaligt kustfiske</w:t>
      </w:r>
      <w:bookmarkEnd w:id="64"/>
      <w:bookmarkEnd w:id="65"/>
      <w:bookmarkEnd w:id="66"/>
    </w:p>
    <w:p>
      <w:pPr>
        <w:rPr>
          <w:noProof/>
        </w:rPr>
      </w:pPr>
      <w:r>
        <w:rPr>
          <w:noProof/>
        </w:rPr>
        <w:t>Insatserna för småskaligt kustfiske är fortfarande få. De utgör endast 4,21 % av det totala antalet insatser och bara 0,97 % av de totala EFF-åtagandena. De totala kostnaderna per insats uppgår till 11 808 euro, varav det offentliga bidraget var 9 586 euro. EFF-delen, 6 620 euro, är den näst lägsta efter tillfälligt upphörande. Det privata bidraget uppgick till 2 222 euro.</w:t>
      </w:r>
    </w:p>
    <w:p>
      <w:pPr>
        <w:pStyle w:val="ManualHeading3"/>
        <w:rPr>
          <w:noProof/>
        </w:rPr>
      </w:pPr>
      <w:bookmarkStart w:id="68" w:name="_Toc435796664"/>
      <w:bookmarkStart w:id="69" w:name="_Toc435798333"/>
      <w:bookmarkStart w:id="70" w:name="_Toc437600158"/>
      <w:r>
        <w:t>3.1.6.</w:t>
      </w:r>
      <w:r>
        <w:tab/>
      </w:r>
      <w:r>
        <w:rPr>
          <w:noProof/>
        </w:rPr>
        <w:t>Socioekonomisk kompensation för förvaltningen av fiskeflottan</w:t>
      </w:r>
      <w:bookmarkEnd w:id="67"/>
      <w:bookmarkEnd w:id="68"/>
      <w:bookmarkEnd w:id="69"/>
      <w:bookmarkEnd w:id="70"/>
    </w:p>
    <w:p>
      <w:pPr>
        <w:rPr>
          <w:noProof/>
          <w:szCs w:val="24"/>
        </w:rPr>
      </w:pPr>
      <w:r>
        <w:rPr>
          <w:noProof/>
        </w:rPr>
        <w:t xml:space="preserve">Antalet insatser inom denna åtgärd ligger mycket nära den förra åtgärden: 4,17 % av det totala antalet insatser och bara 1,82 % av de totala EFF-åtagandena. Den totala kostnaden per insats uppgår till 36 991 euro, varav 20 961 euro täcktes av offentliga bidrag (12 499 euro från EFF). Det privata bidraget, 16 000 euro, är mycket högre än för småskaligt kustfiske. </w:t>
      </w:r>
    </w:p>
    <w:p>
      <w:pPr>
        <w:rPr>
          <w:noProof/>
        </w:rPr>
      </w:pPr>
      <w:r>
        <w:rPr>
          <w:noProof/>
        </w:rPr>
        <w:t xml:space="preserve">Allt som allt bekräftar antalet och kostnaderna för insatserna inom område 1 dess relativa minskning under årens lopp. </w:t>
      </w:r>
    </w:p>
    <w:p>
      <w:pPr>
        <w:pStyle w:val="ManualHeading2"/>
        <w:rPr>
          <w:noProof/>
        </w:rPr>
      </w:pPr>
      <w:bookmarkStart w:id="71" w:name="_Toc401153910"/>
      <w:bookmarkStart w:id="72" w:name="_Toc435796665"/>
      <w:bookmarkStart w:id="73" w:name="_Toc435798334"/>
      <w:bookmarkStart w:id="74" w:name="_Toc437600159"/>
      <w:r>
        <w:t>3.2.</w:t>
      </w:r>
      <w:r>
        <w:tab/>
      </w:r>
      <w:r>
        <w:rPr>
          <w:noProof/>
        </w:rPr>
        <w:t>Område 2</w:t>
      </w:r>
      <w:bookmarkEnd w:id="71"/>
      <w:r>
        <w:rPr>
          <w:noProof/>
        </w:rPr>
        <w:t>: Vattenbruk, inlandsfiske, beredning och saluföring av fiskeri- och vattenbruksprodukter</w:t>
      </w:r>
      <w:bookmarkEnd w:id="72"/>
      <w:bookmarkEnd w:id="73"/>
      <w:bookmarkEnd w:id="74"/>
    </w:p>
    <w:p>
      <w:pPr>
        <w:pStyle w:val="ManualHeading3"/>
        <w:rPr>
          <w:noProof/>
        </w:rPr>
      </w:pPr>
      <w:bookmarkStart w:id="75" w:name="_Toc401153911"/>
      <w:bookmarkStart w:id="76" w:name="_Toc435796666"/>
      <w:bookmarkStart w:id="77" w:name="_Toc435798335"/>
      <w:bookmarkStart w:id="78" w:name="_Toc437600160"/>
      <w:r>
        <w:t>3.2.1.</w:t>
      </w:r>
      <w:r>
        <w:tab/>
      </w:r>
      <w:r>
        <w:rPr>
          <w:noProof/>
        </w:rPr>
        <w:t>Inlandsfiske</w:t>
      </w:r>
      <w:bookmarkEnd w:id="75"/>
      <w:bookmarkEnd w:id="76"/>
      <w:bookmarkEnd w:id="77"/>
      <w:bookmarkEnd w:id="78"/>
    </w:p>
    <w:p>
      <w:pPr>
        <w:rPr>
          <w:noProof/>
        </w:rPr>
      </w:pPr>
      <w:r>
        <w:rPr>
          <w:noProof/>
        </w:rPr>
        <w:t>Insatserna för inlandsfiske är fortfarande få till antalet och mycket små räknat i totala kostnader. Antalet insatser ökade dock med 41 % mellan den 31 maj 2014 och den 31 maj 2015. Den 31 maj 2015 fanns 1 327 insatser (0,97 % av det totala antalet). De står för 0,44 % av de totala EFF-åtagandena och är den näst minsta åtagandeposten. De är också de fjärde billigaste räknat i EFF-åtaganden per insats och står för 12 892 euro, vilket är mindre än hälften av den genomsnittliga EFF-kostnaden per insats. De totala kostnaderna per insats uppgår till 33 089 euro, vilket fortfarande är den tredje lägsta siffran. Det nationella offentliga bidraget är 9 390 euro och det privata bidraget per insats är 10 800 euro.</w:t>
      </w:r>
    </w:p>
    <w:p>
      <w:pPr>
        <w:pStyle w:val="ManualHeading3"/>
        <w:rPr>
          <w:noProof/>
        </w:rPr>
      </w:pPr>
      <w:bookmarkStart w:id="79" w:name="_Toc401153912"/>
      <w:bookmarkStart w:id="80" w:name="_Toc435796667"/>
      <w:bookmarkStart w:id="81" w:name="_Toc435798336"/>
      <w:bookmarkStart w:id="82" w:name="_Toc437600161"/>
      <w:r>
        <w:t>3.2.2.</w:t>
      </w:r>
      <w:r>
        <w:tab/>
      </w:r>
      <w:r>
        <w:rPr>
          <w:noProof/>
        </w:rPr>
        <w:t>Vattenbruk</w:t>
      </w:r>
      <w:bookmarkEnd w:id="79"/>
      <w:bookmarkEnd w:id="80"/>
      <w:bookmarkEnd w:id="81"/>
      <w:bookmarkEnd w:id="82"/>
    </w:p>
    <w:p>
      <w:pPr>
        <w:rPr>
          <w:noProof/>
        </w:rPr>
      </w:pPr>
      <w:r>
        <w:rPr>
          <w:noProof/>
        </w:rPr>
        <w:t>Som nämns ovan är vattenbruksåtgärder det näst största investeringsområdet för EFF. Antalet insatser är förhållandevis litet (8 358 insatser, 6,12 % av det totala antalet), men de använder 14,33 % av EFF-åtagandena. Den totala kostnaden per insats är 186 042 euro (+4 % jämfört med maj 2014), varav 87 261 euro utgörs av privata bidrag (+8,3 %), 31 783 euro av nationella offentliga medel (+5,7 %) och 66 998 euro av EFF-finansiering (–2 %). De totala åtagandena uppgår till 1 554,9 miljoner euro, varav 559,97 miljoner utgörs av EFF</w:t>
      </w:r>
      <w:r>
        <w:rPr>
          <w:noProof/>
        </w:rPr>
        <w:noBreakHyphen/>
        <w:t>finansiering, 265,6 miljoner euro av nationella offentliga bidrag och 729,3 miljoner euro av privat finansiering.</w:t>
      </w:r>
    </w:p>
    <w:p>
      <w:pPr>
        <w:rPr>
          <w:noProof/>
        </w:rPr>
      </w:pPr>
      <w:r>
        <w:rPr>
          <w:noProof/>
        </w:rPr>
        <w:t>Omkring 60 % av insatserna motsvarar modernisering och utvidgning av befintliga vattenbruksanläggningar, 19 % miljövårdande åtgärder och 17,6 % ny produktionskapacitet. Insatserna för ny produktionskapacitet är de som använder det största beloppet från EFF (155 727 euro), nära följt av kläckningsanläggningar (130 802 euro) och djurhälsoåtgärder (106 628 euro). Resten av åtgärderna kostar mindre än 60 000 euro räknat i EFF-bidrag.</w:t>
      </w:r>
    </w:p>
    <w:p>
      <w:pPr>
        <w:rPr>
          <w:noProof/>
        </w:rPr>
      </w:pPr>
      <w:r>
        <w:rPr>
          <w:noProof/>
        </w:rPr>
        <w:t>En euro i EFF-stöd genererar 1,78 euro i nationella medel, varav 1,31 euro utgörs av privata medel och 0,47 euro av offentliga medel.</w:t>
      </w:r>
    </w:p>
    <w:p>
      <w:pPr>
        <w:pStyle w:val="ManualHeading3"/>
        <w:rPr>
          <w:noProof/>
        </w:rPr>
      </w:pPr>
      <w:bookmarkStart w:id="83" w:name="_Toc401153913"/>
      <w:bookmarkStart w:id="84" w:name="_Toc435796668"/>
      <w:bookmarkStart w:id="85" w:name="_Toc435798337"/>
      <w:bookmarkStart w:id="86" w:name="_Toc437600162"/>
      <w:r>
        <w:t>3.2.3.</w:t>
      </w:r>
      <w:r>
        <w:tab/>
      </w:r>
      <w:r>
        <w:rPr>
          <w:noProof/>
        </w:rPr>
        <w:t>Beredning</w:t>
      </w:r>
      <w:bookmarkEnd w:id="83"/>
      <w:bookmarkEnd w:id="84"/>
      <w:bookmarkEnd w:id="85"/>
      <w:bookmarkEnd w:id="86"/>
    </w:p>
    <w:p>
      <w:pPr>
        <w:rPr>
          <w:noProof/>
        </w:rPr>
      </w:pPr>
      <w:r>
        <w:rPr>
          <w:noProof/>
        </w:rPr>
        <w:t>Beredning är fortfarande den största utgiftsposten räknat i EFF-åtaganden. Den relativa betydelsen av insatser för beredning har ökat sedan juli 2012 (+37 %). De 5 016 insatserna motsvarar endast 3,68 % av det totala antalet insatser men utgör 17,53 % av EFF-åtagandena.</w:t>
      </w:r>
    </w:p>
    <w:p>
      <w:pPr>
        <w:widowControl/>
        <w:rPr>
          <w:noProof/>
        </w:rPr>
      </w:pPr>
      <w:r>
        <w:rPr>
          <w:noProof/>
        </w:rPr>
        <w:t>De totala kostnaderna för insatser uppgår till 2,39 miljarder euro. Av dessa utgörs 1,33 miljarder euro av privata medel och 1,06 miljarder euro av offentliga medel, varav 685 miljoner euro kommer från EFF och resten utgörs av nationella offentliga bidrag.</w:t>
      </w:r>
    </w:p>
    <w:p>
      <w:pPr>
        <w:rPr>
          <w:noProof/>
        </w:rPr>
      </w:pPr>
      <w:r>
        <w:rPr>
          <w:noProof/>
        </w:rPr>
        <w:t>De totala kostnaderna per insats uppgår till 476 314 euro (dubbelt så mycket som insatser för definitivt upphörande). Det privata bidraget uppgår till 265 822 euro och det offentliga bidraget uppgår till 210 492 euro, varav 136 605 euro utgörs av EFF-medel (det tredje största bidraget).</w:t>
      </w:r>
    </w:p>
    <w:p>
      <w:pPr>
        <w:rPr>
          <w:noProof/>
        </w:rPr>
      </w:pPr>
      <w:r>
        <w:rPr>
          <w:noProof/>
        </w:rPr>
        <w:t>Omkring 75 % av insatserna motsvarar byggande av nya beredningsanläggningar eller modernisering eller utvidgning av befintliga anläggningar, 20 % motsvarar modernisering av saluföringsanläggningar och resten motsvarar byggande av saluföringsanläggningar. EFF</w:t>
      </w:r>
      <w:r>
        <w:rPr>
          <w:noProof/>
        </w:rPr>
        <w:noBreakHyphen/>
        <w:t>kostnaderna per insats överstiger 160 000 euro för beredningsanläggningar, 155 000 euro för byggande av saluföringsanläggningar och 49 500 euro för modernisering av saluföringsanläggningar.</w:t>
      </w:r>
    </w:p>
    <w:p>
      <w:pPr>
        <w:rPr>
          <w:noProof/>
        </w:rPr>
      </w:pPr>
      <w:r>
        <w:rPr>
          <w:noProof/>
        </w:rPr>
        <w:t>En euro av EFF-medlen genererar 2,49 euro i nationella bidrag, varav 1,95 euro utgörs av privata medel och återstoden är offentliga medel.</w:t>
      </w:r>
    </w:p>
    <w:p>
      <w:pPr>
        <w:pStyle w:val="ManualHeading2"/>
        <w:rPr>
          <w:noProof/>
        </w:rPr>
      </w:pPr>
      <w:bookmarkStart w:id="87" w:name="_Toc401153914"/>
      <w:bookmarkStart w:id="88" w:name="_Toc435796669"/>
      <w:bookmarkStart w:id="89" w:name="_Toc435798338"/>
      <w:bookmarkStart w:id="90" w:name="_Toc437600163"/>
      <w:r>
        <w:t>3.3.</w:t>
      </w:r>
      <w:r>
        <w:tab/>
      </w:r>
      <w:r>
        <w:rPr>
          <w:noProof/>
        </w:rPr>
        <w:t>Område 3</w:t>
      </w:r>
      <w:bookmarkEnd w:id="87"/>
      <w:r>
        <w:rPr>
          <w:noProof/>
        </w:rPr>
        <w:t>: Åtgärder av gemensamt intresse</w:t>
      </w:r>
      <w:bookmarkEnd w:id="88"/>
      <w:bookmarkEnd w:id="89"/>
      <w:bookmarkEnd w:id="90"/>
    </w:p>
    <w:p>
      <w:pPr>
        <w:pStyle w:val="ManualHeading3"/>
        <w:rPr>
          <w:noProof/>
        </w:rPr>
      </w:pPr>
      <w:bookmarkStart w:id="91" w:name="_Toc401153915"/>
      <w:bookmarkStart w:id="92" w:name="_Toc435796670"/>
      <w:bookmarkStart w:id="93" w:name="_Toc435798339"/>
      <w:bookmarkStart w:id="94" w:name="_Toc437600164"/>
      <w:r>
        <w:t>3.3.1.</w:t>
      </w:r>
      <w:r>
        <w:tab/>
      </w:r>
      <w:r>
        <w:rPr>
          <w:noProof/>
        </w:rPr>
        <w:t>Fiskehamnar, landningsplatser och skyddshamnar</w:t>
      </w:r>
      <w:bookmarkEnd w:id="91"/>
      <w:bookmarkEnd w:id="92"/>
      <w:bookmarkEnd w:id="93"/>
      <w:bookmarkEnd w:id="94"/>
    </w:p>
    <w:p>
      <w:pPr>
        <w:rPr>
          <w:noProof/>
        </w:rPr>
      </w:pPr>
      <w:r>
        <w:rPr>
          <w:noProof/>
        </w:rPr>
        <w:t>Den 31 maj 2015 bidrog EFF till 1 702 infrastrukturprojekt (1,25 % av det totala bidraget). De totala investeringarna uppgår till 815,3 miljoner euro (+17 % jämfört med maj 2014), med ett offentligt bidrag på 745 miljoner euro (+16,5 %), varav 435,96 miljoner euro kommer från EFF (+10 %).</w:t>
      </w:r>
    </w:p>
    <w:p>
      <w:pPr>
        <w:rPr>
          <w:noProof/>
        </w:rPr>
      </w:pPr>
      <w:r>
        <w:rPr>
          <w:noProof/>
        </w:rPr>
        <w:t xml:space="preserve">Infrastrukturprojekt är fortfarande dyrast räknat i totala investeringar per projekt (479 043 euro), EFF-finansiering (256 141 euro, –6,5 %) och nationella offentliga bidrag (181 600 euro, +8,4 %). </w:t>
      </w:r>
    </w:p>
    <w:p>
      <w:pPr>
        <w:pStyle w:val="ManualHeading3"/>
        <w:rPr>
          <w:noProof/>
        </w:rPr>
      </w:pPr>
      <w:bookmarkStart w:id="95" w:name="_Toc401153916"/>
      <w:bookmarkStart w:id="96" w:name="_Toc435796671"/>
      <w:bookmarkStart w:id="97" w:name="_Toc435798340"/>
      <w:bookmarkStart w:id="98" w:name="_Toc437600165"/>
      <w:r>
        <w:t>3.3.2.</w:t>
      </w:r>
      <w:r>
        <w:tab/>
      </w:r>
      <w:r>
        <w:rPr>
          <w:noProof/>
        </w:rPr>
        <w:t>Utveckling av nya avsättningsmöjligheter och reklamkampanjer</w:t>
      </w:r>
      <w:bookmarkEnd w:id="95"/>
      <w:bookmarkEnd w:id="96"/>
      <w:bookmarkEnd w:id="97"/>
      <w:bookmarkEnd w:id="98"/>
    </w:p>
    <w:p>
      <w:pPr>
        <w:rPr>
          <w:noProof/>
        </w:rPr>
      </w:pPr>
      <w:r>
        <w:rPr>
          <w:noProof/>
        </w:rPr>
        <w:t>Trots att de finansierade åtgärderna på detta område var förhållandevis få (2 363 stycken, 1,73 % av det totala antalet), använde de den 31 maj 2015 3,63 % av de totala EFF</w:t>
      </w:r>
      <w:r>
        <w:rPr>
          <w:noProof/>
        </w:rPr>
        <w:noBreakHyphen/>
        <w:t>åtagandena.</w:t>
      </w:r>
    </w:p>
    <w:p>
      <w:pPr>
        <w:rPr>
          <w:noProof/>
        </w:rPr>
      </w:pPr>
      <w:r>
        <w:rPr>
          <w:noProof/>
        </w:rPr>
        <w:t>De totala kostnaderna uppgick till 245,2 miljoner euro, varav 228,14 miljoner euro utgjordes av offentliga bidrag (141,73 miljoner euro från EFF) och endast 17 miljoner euro var privata bidrag.</w:t>
      </w:r>
    </w:p>
    <w:p>
      <w:pPr>
        <w:rPr>
          <w:noProof/>
        </w:rPr>
      </w:pPr>
      <w:r>
        <w:rPr>
          <w:noProof/>
        </w:rPr>
        <w:t xml:space="preserve">Den totala kostnaden per insats är 103 758 euro (+4,2 % jämfört med maj 2014), varav 59 979 euro kommer från EFF (+2,5 %), 36 570 euro utgörs av nationella offentliga medel (+10,5 %) och 7 210 euro (–9,8 %) utgörs av privata bidrag. </w:t>
      </w:r>
    </w:p>
    <w:p>
      <w:pPr>
        <w:pStyle w:val="ManualHeading3"/>
        <w:rPr>
          <w:noProof/>
        </w:rPr>
      </w:pPr>
      <w:bookmarkStart w:id="99" w:name="_Toc401153917"/>
      <w:bookmarkStart w:id="100" w:name="_Toc435796672"/>
      <w:bookmarkStart w:id="101" w:name="_Toc435798341"/>
      <w:bookmarkStart w:id="102" w:name="_Toc437600166"/>
      <w:r>
        <w:t>3.3.3.</w:t>
      </w:r>
      <w:r>
        <w:tab/>
      </w:r>
      <w:r>
        <w:rPr>
          <w:noProof/>
        </w:rPr>
        <w:t>Pilotprojekt</w:t>
      </w:r>
      <w:bookmarkEnd w:id="99"/>
      <w:bookmarkEnd w:id="100"/>
      <w:bookmarkEnd w:id="101"/>
      <w:bookmarkEnd w:id="102"/>
      <w:r>
        <w:rPr>
          <w:noProof/>
        </w:rPr>
        <w:t xml:space="preserve"> </w:t>
      </w:r>
    </w:p>
    <w:p>
      <w:pPr>
        <w:rPr>
          <w:noProof/>
        </w:rPr>
      </w:pPr>
      <w:r>
        <w:rPr>
          <w:noProof/>
        </w:rPr>
        <w:t>Pilotprojekten inbegriper experimentell användning av mer selektiv fisketeknik för att förvärva och sprida ny teknisk kunskap och genomförs av ett behörigt organ som medlemsstaten utsett för det ändamålet i partnerskap med ett vetenskapligt eller tekniskt organ.</w:t>
      </w:r>
    </w:p>
    <w:p>
      <w:pPr>
        <w:rPr>
          <w:noProof/>
        </w:rPr>
      </w:pPr>
      <w:r>
        <w:rPr>
          <w:noProof/>
        </w:rPr>
        <w:t>Siffrorna per den 31 maj 2015 är blygsamma: 716 insatser, vilket bara utgör 0,52 % av det totala antalet insatser. Detta är emellertid en betydande ökning jämfört med den 31 maj 2014 (+20,5 %). Insatserna använder 2,64 % av EFF-medlen och 3,87 % av de nationella offentliga medlen.</w:t>
      </w:r>
    </w:p>
    <w:p>
      <w:pPr>
        <w:rPr>
          <w:noProof/>
        </w:rPr>
      </w:pPr>
      <w:r>
        <w:rPr>
          <w:noProof/>
        </w:rPr>
        <w:t>De totala kostnaderna uppgår till 234,6 miljoner euro, varav 197,6 miljoner euro utgörs av offentliga bidrag (103,2 miljoner euro från EFF).</w:t>
      </w:r>
    </w:p>
    <w:p>
      <w:pPr>
        <w:rPr>
          <w:noProof/>
        </w:rPr>
      </w:pPr>
      <w:r>
        <w:rPr>
          <w:noProof/>
        </w:rPr>
        <w:t>De totala kostnaderna per insats är 327 691 euro, varav 275 976 euro utgörs av offentliga medel (144 164 euro från EFF, den näst största posten) och 51 716 euro utgörs av privata medel.</w:t>
      </w:r>
    </w:p>
    <w:p>
      <w:pPr>
        <w:rPr>
          <w:noProof/>
          <w:szCs w:val="24"/>
        </w:rPr>
      </w:pPr>
      <w:r>
        <w:rPr>
          <w:noProof/>
        </w:rPr>
        <w:t>En euro av EFF-medlen genererar 1,27 euro i nationella medel, varav endast 25 % utgörs av privata medel. Hävstångseffekten är bland de lägsta, vilket visar på behovet av offentlig finansiering för att främja innovation.</w:t>
      </w:r>
    </w:p>
    <w:p>
      <w:pPr>
        <w:pStyle w:val="ManualHeading2"/>
        <w:rPr>
          <w:noProof/>
        </w:rPr>
      </w:pPr>
      <w:bookmarkStart w:id="103" w:name="_Toc401153918"/>
      <w:bookmarkStart w:id="104" w:name="_Toc435796673"/>
      <w:bookmarkStart w:id="105" w:name="_Toc435798342"/>
      <w:bookmarkStart w:id="106" w:name="_Toc437600167"/>
      <w:r>
        <w:t>3.4.</w:t>
      </w:r>
      <w:r>
        <w:tab/>
      </w:r>
      <w:r>
        <w:rPr>
          <w:noProof/>
        </w:rPr>
        <w:t>Område 4</w:t>
      </w:r>
      <w:bookmarkEnd w:id="103"/>
      <w:r>
        <w:rPr>
          <w:noProof/>
        </w:rPr>
        <w:t>: Hållbar utveckling i fiskeområden</w:t>
      </w:r>
      <w:bookmarkEnd w:id="104"/>
      <w:bookmarkEnd w:id="105"/>
      <w:bookmarkEnd w:id="106"/>
      <w:r>
        <w:rPr>
          <w:noProof/>
        </w:rPr>
        <w:t xml:space="preserve"> </w:t>
      </w:r>
    </w:p>
    <w:p>
      <w:pPr>
        <w:spacing w:after="160"/>
        <w:rPr>
          <w:noProof/>
          <w:szCs w:val="24"/>
        </w:rPr>
      </w:pPr>
      <w:r>
        <w:rPr>
          <w:noProof/>
        </w:rPr>
        <w:t>De föregående årens snabba genomförandetakt inom område 4 höll i sig från maj 2014 till maj 2015. De 21 medlemsstater som genomför område 4 valde sina lokala aktionsgrupper för fiske, och i maj 2015 hade antalet grupper nått 312.</w:t>
      </w:r>
    </w:p>
    <w:p>
      <w:pPr>
        <w:spacing w:after="160"/>
        <w:rPr>
          <w:noProof/>
          <w:szCs w:val="24"/>
        </w:rPr>
      </w:pPr>
      <w:r>
        <w:rPr>
          <w:noProof/>
        </w:rPr>
        <w:t>Lokala aktionsgrupper för fiske, initiativtagare till projekt, förvaltande myndigheter och förmedlande organ arbetade alla aktivt med att utforma, välja, godkänna och betala projekt. Siffrorna för detta område visar en stadig ökning av projektgodkännanden: Endast 2 756 projekt hade valts ute på fältet i slutet av 2012, men denna siffra ökade till 6 353 projekt på ett år. Tendensen fortsatte och den 31 maj 2015 hade 11 299 projekt godkänts (+28,4 %), vilket utgör 8,28 % av det totala antalet projekt. Projekten använder 11,47 % av de totala åtagandena för EFF.</w:t>
      </w:r>
    </w:p>
    <w:p>
      <w:pPr>
        <w:spacing w:after="160"/>
        <w:rPr>
          <w:noProof/>
          <w:szCs w:val="24"/>
        </w:rPr>
      </w:pPr>
      <w:r>
        <w:rPr>
          <w:noProof/>
        </w:rPr>
        <w:t>De totala kostnaderna inom område 4 uppgår till 912,1 miljoner euro, varav 661,7 miljoner euro utgörs av offentliga bidrag. EFF bidrog med 448,34 miljoner euro till den offentliga delen.</w:t>
      </w:r>
    </w:p>
    <w:p>
      <w:pPr>
        <w:spacing w:after="160"/>
        <w:rPr>
          <w:noProof/>
          <w:szCs w:val="24"/>
        </w:rPr>
      </w:pPr>
      <w:r>
        <w:rPr>
          <w:noProof/>
        </w:rPr>
        <w:t>De totala kostnaderna per projekt uppgår till 80 728 miljoner euro, varav 22 165 euro utgörs av privata bidrag och 58 562 euro utgörs av offentliga bidrag (39 680 euro från EFF).</w:t>
      </w:r>
    </w:p>
    <w:p>
      <w:pPr>
        <w:spacing w:after="160"/>
        <w:rPr>
          <w:noProof/>
          <w:szCs w:val="24"/>
        </w:rPr>
      </w:pPr>
      <w:r>
        <w:rPr>
          <w:noProof/>
        </w:rPr>
        <w:t>En euro av EFF-medlen genererar 1,03 euro i nationella medel (55 % privata medel och resten nationella offentliga medel).</w:t>
      </w:r>
    </w:p>
    <w:p>
      <w:pPr>
        <w:pStyle w:val="ManualHeading1"/>
        <w:rPr>
          <w:noProof/>
        </w:rPr>
      </w:pPr>
      <w:bookmarkStart w:id="107" w:name="_Toc401153919"/>
      <w:bookmarkStart w:id="108" w:name="_Toc435796674"/>
      <w:bookmarkStart w:id="109" w:name="_Toc435798343"/>
      <w:bookmarkStart w:id="110" w:name="_Toc437600168"/>
      <w:r>
        <w:t>4.</w:t>
      </w:r>
      <w:r>
        <w:tab/>
      </w:r>
      <w:r>
        <w:rPr>
          <w:noProof/>
        </w:rPr>
        <w:t>Första uppsättningen operativa slutsatser avseende EFF för perioden 2007–2013</w:t>
      </w:r>
      <w:bookmarkEnd w:id="107"/>
      <w:bookmarkEnd w:id="108"/>
      <w:bookmarkEnd w:id="109"/>
      <w:bookmarkEnd w:id="110"/>
    </w:p>
    <w:p>
      <w:pPr>
        <w:pStyle w:val="ListBullet"/>
        <w:numPr>
          <w:ilvl w:val="0"/>
          <w:numId w:val="28"/>
        </w:numPr>
        <w:ind w:left="426" w:hanging="426"/>
        <w:rPr>
          <w:noProof/>
        </w:rPr>
      </w:pPr>
      <w:r>
        <w:rPr>
          <w:noProof/>
        </w:rPr>
        <w:t>Den årliga genomföranderapporten 2014 bekräftar följande tendenser som beskrivits i tidigare rapporter:</w:t>
      </w:r>
    </w:p>
    <w:p>
      <w:pPr>
        <w:pStyle w:val="ListBullet"/>
        <w:numPr>
          <w:ilvl w:val="0"/>
          <w:numId w:val="30"/>
        </w:numPr>
        <w:tabs>
          <w:tab w:val="left" w:pos="993"/>
        </w:tabs>
        <w:rPr>
          <w:noProof/>
        </w:rPr>
      </w:pPr>
      <w:r>
        <w:rPr>
          <w:noProof/>
        </w:rPr>
        <w:t xml:space="preserve">Område 1: De senaste årens gradvisa minskning av EFF-stöd till åtgärder inom detta område (särskilt definitivt och tillfälligt upphörande) har varit mer framträdande under åren 2014–2015. Denna minskning kan förklaras av följande faktorer: De skrotningssystem som tidigare genomförts bidrog delvis till att lösa problemen inom vissa flottsegment. Den förbättrade lönsamheten för vissa flottor har ökat sektorns förtroende inför framtiden. </w:t>
      </w:r>
    </w:p>
    <w:p>
      <w:pPr>
        <w:pStyle w:val="ListBullet"/>
        <w:numPr>
          <w:ilvl w:val="0"/>
          <w:numId w:val="30"/>
        </w:numPr>
        <w:tabs>
          <w:tab w:val="left" w:pos="993"/>
        </w:tabs>
        <w:rPr>
          <w:noProof/>
        </w:rPr>
      </w:pPr>
      <w:r>
        <w:rPr>
          <w:noProof/>
        </w:rPr>
        <w:t xml:space="preserve">Område 2: Vattenbruksåtgärder är det näst största investeringsområdet för EFF efter beredning. </w:t>
      </w:r>
    </w:p>
    <w:p>
      <w:pPr>
        <w:pStyle w:val="ListBullet"/>
        <w:numPr>
          <w:ilvl w:val="0"/>
          <w:numId w:val="30"/>
        </w:numPr>
        <w:tabs>
          <w:tab w:val="left" w:pos="993"/>
        </w:tabs>
        <w:rPr>
          <w:noProof/>
        </w:rPr>
      </w:pPr>
      <w:r>
        <w:rPr>
          <w:noProof/>
        </w:rPr>
        <w:t>Område 3 gör fortfarande framsteg, dock i en något långsammare takt.</w:t>
      </w:r>
    </w:p>
    <w:p>
      <w:pPr>
        <w:pStyle w:val="ListBullet"/>
        <w:numPr>
          <w:ilvl w:val="0"/>
          <w:numId w:val="30"/>
        </w:numPr>
        <w:tabs>
          <w:tab w:val="left" w:pos="993"/>
        </w:tabs>
        <w:rPr>
          <w:noProof/>
        </w:rPr>
      </w:pPr>
      <w:r>
        <w:rPr>
          <w:noProof/>
        </w:rPr>
        <w:t xml:space="preserve">Område 4 utvecklas snabbt och utgör nu 11,47 % av de totala EFF-åtagandena. </w:t>
      </w:r>
    </w:p>
    <w:p>
      <w:pPr>
        <w:pStyle w:val="ListBullet"/>
        <w:ind w:left="426"/>
        <w:rPr>
          <w:noProof/>
          <w:sz w:val="16"/>
          <w:szCs w:val="16"/>
        </w:rPr>
      </w:pPr>
    </w:p>
    <w:p>
      <w:pPr>
        <w:pStyle w:val="ListBullet"/>
        <w:widowControl/>
        <w:numPr>
          <w:ilvl w:val="0"/>
          <w:numId w:val="28"/>
        </w:numPr>
        <w:ind w:left="425" w:hanging="425"/>
        <w:rPr>
          <w:noProof/>
        </w:rPr>
      </w:pPr>
      <w:r>
        <w:rPr>
          <w:noProof/>
        </w:rPr>
        <w:t xml:space="preserve">En jämförelse mellan situationen i slutet av maj 2015 och 2014 visar att det genomsnittliga nationella offentliga bidraget per insats ökar snabbare än EFF-bidragen (särskilt för vattenbruk, beredning, pilotprojekt och saluföring). Med tanke på den relativa minskningen av statliga stödordningar kan det dessutom hävdas att det nationella stödet riktas mot samfinansiering av EFF-åtgärder i stället för att bevilja statligt stöd.  </w:t>
      </w:r>
    </w:p>
    <w:p>
      <w:pPr>
        <w:pStyle w:val="ListBullet"/>
        <w:ind w:left="426"/>
        <w:rPr>
          <w:noProof/>
          <w:sz w:val="16"/>
          <w:szCs w:val="16"/>
        </w:rPr>
      </w:pPr>
    </w:p>
    <w:p>
      <w:pPr>
        <w:pStyle w:val="ListBullet"/>
        <w:numPr>
          <w:ilvl w:val="0"/>
          <w:numId w:val="28"/>
        </w:numPr>
        <w:ind w:left="426" w:hanging="426"/>
        <w:rPr>
          <w:noProof/>
        </w:rPr>
      </w:pPr>
      <w:r>
        <w:rPr>
          <w:noProof/>
        </w:rPr>
        <w:t xml:space="preserve">Det finns vissa belägg för att de privata bidragen per insats ökar.  Detta kan delvis förklaras av en minskning i stödnivån för EFF-stödda insatser, särskilt inom lönsamma sektorer (främst vattenbruk och beredning), vilket kan överensstämma med de senaste årens finanspolitiska konsolidering.  </w:t>
      </w:r>
    </w:p>
    <w:p>
      <w:pPr>
        <w:pStyle w:val="ListBullet"/>
        <w:ind w:left="426"/>
        <w:rPr>
          <w:noProof/>
          <w:sz w:val="16"/>
          <w:szCs w:val="16"/>
        </w:rPr>
      </w:pPr>
    </w:p>
    <w:p>
      <w:pPr>
        <w:pStyle w:val="ListBullet"/>
        <w:numPr>
          <w:ilvl w:val="0"/>
          <w:numId w:val="28"/>
        </w:numPr>
        <w:ind w:left="426" w:hanging="426"/>
        <w:rPr>
          <w:noProof/>
        </w:rPr>
      </w:pPr>
      <w:r>
        <w:rPr>
          <w:noProof/>
        </w:rPr>
        <w:t>Både åtaganden och attesterade utgifter på medlemsstatsnivå har förbättrats, men de ligger fortfarande under den nivå som väntas uppnås innan genomförandet av EFF avslutas. Den 31 maj 2015 hade över 9 % av EFF-anslaget (cirka 394 miljoner euro) ännu inte fördelats, vilket visar på ett brådskande behov av att påskynda betalningarna för att säkerställa ett fullt utnyttjande av alla tillgängliga medel inom tidsfristen (31 december 2015).</w:t>
      </w:r>
    </w:p>
    <w:p>
      <w:pPr>
        <w:rPr>
          <w:noProof/>
          <w:szCs w:val="24"/>
        </w:rPr>
      </w:pPr>
      <w:r>
        <w:rPr>
          <w:noProof/>
        </w:rPr>
        <w:br w:type="page"/>
        <w:t>KOMMISSIONENS EKONOMISKA GENOMFÖRANDE AV EFF I KONVERGENSREGIONER OCH ICKE-KONVERGENSREGIONER</w:t>
      </w:r>
    </w:p>
    <w:tbl>
      <w:tblPr>
        <w:tblW w:w="5095" w:type="pct"/>
        <w:tblLayout w:type="fixed"/>
        <w:tblLook w:val="04A0" w:firstRow="1" w:lastRow="0" w:firstColumn="1" w:lastColumn="0" w:noHBand="0" w:noVBand="1"/>
      </w:tblPr>
      <w:tblGrid>
        <w:gridCol w:w="1525"/>
        <w:gridCol w:w="1844"/>
        <w:gridCol w:w="1274"/>
        <w:gridCol w:w="1420"/>
        <w:gridCol w:w="1662"/>
        <w:gridCol w:w="874"/>
        <w:gridCol w:w="13"/>
        <w:gridCol w:w="852"/>
      </w:tblGrid>
      <w:tr>
        <w:trPr>
          <w:trHeight w:val="720"/>
        </w:trPr>
        <w:tc>
          <w:tcPr>
            <w:tcW w:w="806" w:type="pct"/>
            <w:tcBorders>
              <w:top w:val="single" w:sz="4" w:space="0" w:color="auto"/>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Land</w:t>
            </w:r>
          </w:p>
        </w:tc>
        <w:tc>
          <w:tcPr>
            <w:tcW w:w="974" w:type="pct"/>
            <w:tcBorders>
              <w:top w:val="single" w:sz="4" w:space="0" w:color="auto"/>
              <w:left w:val="nil"/>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p>
        </w:tc>
        <w:tc>
          <w:tcPr>
            <w:tcW w:w="673" w:type="pct"/>
            <w:tcBorders>
              <w:top w:val="single" w:sz="4" w:space="0" w:color="auto"/>
              <w:left w:val="nil"/>
              <w:bottom w:val="nil"/>
              <w:right w:val="single" w:sz="4" w:space="0" w:color="auto"/>
            </w:tcBorders>
            <w:shd w:val="clear" w:color="auto" w:fill="auto"/>
            <w:vAlign w:val="center"/>
          </w:tcPr>
          <w:p>
            <w:pPr>
              <w:spacing w:after="0"/>
              <w:jc w:val="center"/>
              <w:rPr>
                <w:rFonts w:ascii="Arial" w:eastAsia="Times New Roman" w:hAnsi="Arial" w:cs="Arial"/>
                <w:b/>
                <w:bCs/>
                <w:noProof/>
                <w:sz w:val="16"/>
                <w:szCs w:val="16"/>
              </w:rPr>
            </w:pPr>
            <w:r>
              <w:rPr>
                <w:rFonts w:ascii="Arial" w:hAnsi="Arial"/>
                <w:b/>
                <w:noProof/>
                <w:sz w:val="16"/>
              </w:rPr>
              <w:t>Beslutat</w:t>
            </w:r>
            <w:r>
              <w:rPr>
                <w:rFonts w:ascii="Arial" w:eastAsia="Times New Roman" w:hAnsi="Arial" w:cs="Arial"/>
                <w:b/>
                <w:bCs/>
                <w:noProof/>
                <w:sz w:val="16"/>
                <w:szCs w:val="16"/>
              </w:rPr>
              <w:br/>
            </w:r>
            <w:r>
              <w:rPr>
                <w:rFonts w:ascii="Arial" w:hAnsi="Arial"/>
                <w:b/>
                <w:noProof/>
                <w:sz w:val="16"/>
              </w:rPr>
              <w:t>a</w:t>
            </w:r>
          </w:p>
        </w:tc>
        <w:tc>
          <w:tcPr>
            <w:tcW w:w="750" w:type="pct"/>
            <w:tcBorders>
              <w:top w:val="single" w:sz="4" w:space="0" w:color="auto"/>
              <w:left w:val="nil"/>
              <w:bottom w:val="nil"/>
              <w:right w:val="single" w:sz="4" w:space="0" w:color="auto"/>
            </w:tcBorders>
            <w:shd w:val="clear" w:color="auto" w:fill="auto"/>
            <w:vAlign w:val="center"/>
          </w:tcPr>
          <w:p>
            <w:pPr>
              <w:spacing w:after="0"/>
              <w:jc w:val="center"/>
              <w:rPr>
                <w:rFonts w:ascii="Arial" w:eastAsia="Times New Roman" w:hAnsi="Arial" w:cs="Arial"/>
                <w:b/>
                <w:bCs/>
                <w:noProof/>
                <w:sz w:val="16"/>
                <w:szCs w:val="16"/>
              </w:rPr>
            </w:pPr>
            <w:r>
              <w:rPr>
                <w:rFonts w:ascii="Arial" w:hAnsi="Arial"/>
                <w:b/>
                <w:noProof/>
                <w:sz w:val="16"/>
              </w:rPr>
              <w:t>Åtagande</w:t>
            </w:r>
            <w:r>
              <w:rPr>
                <w:rFonts w:ascii="Arial" w:eastAsia="Times New Roman" w:hAnsi="Arial" w:cs="Arial"/>
                <w:b/>
                <w:bCs/>
                <w:noProof/>
                <w:sz w:val="16"/>
                <w:szCs w:val="16"/>
              </w:rPr>
              <w:br/>
            </w:r>
            <w:r>
              <w:rPr>
                <w:rFonts w:ascii="Arial" w:hAnsi="Arial"/>
                <w:b/>
                <w:noProof/>
                <w:sz w:val="16"/>
              </w:rPr>
              <w:t>b</w:t>
            </w:r>
          </w:p>
        </w:tc>
        <w:tc>
          <w:tcPr>
            <w:tcW w:w="878" w:type="pct"/>
            <w:tcBorders>
              <w:top w:val="single" w:sz="4" w:space="0" w:color="auto"/>
              <w:left w:val="nil"/>
              <w:bottom w:val="nil"/>
              <w:right w:val="single" w:sz="4" w:space="0" w:color="auto"/>
            </w:tcBorders>
            <w:shd w:val="clear" w:color="auto" w:fill="auto"/>
            <w:vAlign w:val="center"/>
          </w:tcPr>
          <w:p>
            <w:pPr>
              <w:spacing w:after="0"/>
              <w:jc w:val="center"/>
              <w:rPr>
                <w:rFonts w:ascii="Arial" w:eastAsia="Times New Roman" w:hAnsi="Arial" w:cs="Arial"/>
                <w:b/>
                <w:bCs/>
                <w:noProof/>
                <w:sz w:val="16"/>
                <w:szCs w:val="16"/>
              </w:rPr>
            </w:pPr>
            <w:r>
              <w:rPr>
                <w:rFonts w:ascii="Arial" w:hAnsi="Arial"/>
                <w:b/>
                <w:noProof/>
                <w:sz w:val="16"/>
              </w:rPr>
              <w:t>Utbetalat</w:t>
            </w:r>
            <w:r>
              <w:rPr>
                <w:rFonts w:ascii="Arial" w:eastAsia="Times New Roman" w:hAnsi="Arial" w:cs="Arial"/>
                <w:b/>
                <w:bCs/>
                <w:noProof/>
                <w:sz w:val="16"/>
                <w:szCs w:val="16"/>
              </w:rPr>
              <w:br/>
            </w:r>
            <w:r>
              <w:rPr>
                <w:rFonts w:ascii="Arial" w:hAnsi="Arial"/>
                <w:b/>
                <w:noProof/>
                <w:sz w:val="16"/>
              </w:rPr>
              <w:t>c</w:t>
            </w:r>
          </w:p>
        </w:tc>
        <w:tc>
          <w:tcPr>
            <w:tcW w:w="469" w:type="pct"/>
            <w:gridSpan w:val="2"/>
            <w:tcBorders>
              <w:top w:val="single" w:sz="4" w:space="0" w:color="auto"/>
              <w:left w:val="nil"/>
              <w:bottom w:val="nil"/>
              <w:right w:val="single" w:sz="4" w:space="0" w:color="auto"/>
            </w:tcBorders>
            <w:shd w:val="clear" w:color="auto" w:fill="auto"/>
            <w:vAlign w:val="center"/>
          </w:tcPr>
          <w:p>
            <w:pPr>
              <w:spacing w:after="0"/>
              <w:jc w:val="center"/>
              <w:rPr>
                <w:rFonts w:ascii="Arial" w:eastAsia="Times New Roman" w:hAnsi="Arial" w:cs="Arial"/>
                <w:b/>
                <w:bCs/>
                <w:noProof/>
                <w:sz w:val="16"/>
                <w:szCs w:val="16"/>
              </w:rPr>
            </w:pPr>
            <w:r>
              <w:rPr>
                <w:rFonts w:ascii="Arial" w:hAnsi="Arial"/>
                <w:b/>
                <w:noProof/>
                <w:sz w:val="16"/>
              </w:rPr>
              <w:t>%</w:t>
            </w:r>
            <w:r>
              <w:rPr>
                <w:rFonts w:ascii="Arial" w:eastAsia="Times New Roman" w:hAnsi="Arial" w:cs="Arial"/>
                <w:b/>
                <w:bCs/>
                <w:noProof/>
                <w:sz w:val="16"/>
                <w:szCs w:val="16"/>
              </w:rPr>
              <w:br/>
            </w:r>
            <w:r>
              <w:rPr>
                <w:rFonts w:ascii="Arial" w:hAnsi="Arial"/>
                <w:b/>
                <w:noProof/>
                <w:sz w:val="16"/>
              </w:rPr>
              <w:t>b/a</w:t>
            </w:r>
          </w:p>
        </w:tc>
        <w:tc>
          <w:tcPr>
            <w:tcW w:w="450" w:type="pct"/>
            <w:tcBorders>
              <w:top w:val="single" w:sz="4" w:space="0" w:color="auto"/>
              <w:left w:val="nil"/>
              <w:bottom w:val="nil"/>
              <w:right w:val="single" w:sz="4" w:space="0" w:color="auto"/>
            </w:tcBorders>
            <w:shd w:val="clear" w:color="auto" w:fill="auto"/>
            <w:vAlign w:val="center"/>
          </w:tcPr>
          <w:p>
            <w:pPr>
              <w:spacing w:after="0"/>
              <w:jc w:val="center"/>
              <w:rPr>
                <w:rFonts w:ascii="Arial" w:eastAsia="Times New Roman" w:hAnsi="Arial" w:cs="Arial"/>
                <w:b/>
                <w:bCs/>
                <w:noProof/>
                <w:sz w:val="16"/>
                <w:szCs w:val="16"/>
              </w:rPr>
            </w:pPr>
            <w:r>
              <w:rPr>
                <w:rFonts w:ascii="Arial" w:hAnsi="Arial"/>
                <w:b/>
                <w:noProof/>
                <w:sz w:val="16"/>
              </w:rPr>
              <w:t>%</w:t>
            </w:r>
            <w:r>
              <w:rPr>
                <w:rFonts w:ascii="Arial" w:eastAsia="Times New Roman" w:hAnsi="Arial" w:cs="Arial"/>
                <w:b/>
                <w:bCs/>
                <w:noProof/>
                <w:sz w:val="16"/>
                <w:szCs w:val="16"/>
              </w:rPr>
              <w:br/>
            </w:r>
            <w:r>
              <w:rPr>
                <w:rFonts w:ascii="Arial" w:hAnsi="Arial"/>
                <w:b/>
                <w:noProof/>
                <w:sz w:val="16"/>
              </w:rPr>
              <w:t>c/a</w:t>
            </w: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Belgien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single" w:sz="8" w:space="0" w:color="auto"/>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26 261 648</w:t>
            </w:r>
          </w:p>
        </w:tc>
        <w:tc>
          <w:tcPr>
            <w:tcW w:w="750" w:type="pct"/>
            <w:tcBorders>
              <w:top w:val="single" w:sz="8" w:space="0" w:color="auto"/>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26 261 648</w:t>
            </w:r>
          </w:p>
        </w:tc>
        <w:tc>
          <w:tcPr>
            <w:tcW w:w="878" w:type="pct"/>
            <w:tcBorders>
              <w:top w:val="single" w:sz="8" w:space="0" w:color="auto"/>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19 168 499,99</w:t>
            </w:r>
          </w:p>
        </w:tc>
        <w:tc>
          <w:tcPr>
            <w:tcW w:w="469" w:type="pct"/>
            <w:gridSpan w:val="2"/>
            <w:tcBorders>
              <w:top w:val="single" w:sz="8" w:space="0" w:color="auto"/>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single" w:sz="8" w:space="0" w:color="auto"/>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72,99 %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3 312 272,66</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Bulgarien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62 783 169</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62 783 169</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40 409 056,31</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64,36 %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9 986 093,35</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Tjeckien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27 106 675</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27 106 675</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19 509 468,35</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71,97 %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0,00</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Danmark</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133 675 169</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133 675 169</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83 947 337,37</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62,80 %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703 841,35</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Tyskland</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132 253 458</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132 253 458</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93 631 371,14</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70,80 %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11 800 128,31</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Estland</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84 568 039</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84 568 039</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69 771 197,49</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82,50 %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15 434 669,72</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Irland</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42 266 603</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42 266 603</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33 467 120,83</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79,18 %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0,00</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Grekland</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202 554 357</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202 554 357</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152 710 751,91</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75,39 %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7 010 048,52</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Spanien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1 055 250 968</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1 055 250 968</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849 911 777,01</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80,54 %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183 145 255,98</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Frankrike</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207 096 020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207 096 020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155 655 960,43</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75,16 %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24 039 286,49</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Kroatien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8 700 000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8 700 000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2 175 000,00</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25,00 %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0,00</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Italien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387 646 899</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387 646 899</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288 717 023,71</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74,48 %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47 721 421,32</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Cypern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19 724 418</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19 724 418</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18 541 677,89</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94,00 %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2 995 629,13</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Lettland</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125 015 563</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125 015 563</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118 634 206,03</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94,90 %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16 211 375,11</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Litauen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54 713 408</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54 713 408</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45 722 592,94</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83,57 %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5 928 308,26</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Luxemburg</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0,00</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0,00 %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0,00 %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0,00</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Ungern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34 743 470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34 743 470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28 805 751,06</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82,91 %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3 149 813,47</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Malta</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8 372 329</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8 372 329</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6 254 113,69</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74,70 %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1 760 768,20</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Nederländerna</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43 282 778</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43 282 778</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27 186 099,98</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62,81 %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0,00</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Österrike</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5 249 497</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5 249 497</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4 996 352,10</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95,18 %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274 079,34</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Polen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734 092 574</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734 092 574</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522 607 848,80</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71,19 %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132 430 235,90</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Portugal</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225 864 267</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225 864 267</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175 162 077,61</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77,55 %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29 046 260,61</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Rumänien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178 273 115</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178 273 115</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112 008 165,34</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62,83 %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24 331 634,79</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Slovenien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21 640 283</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21 640 283</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18 617 242,85</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86,03 %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5 135 416,12</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Slovakien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12 868 797</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12 868 797</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9 637 369,63</w:t>
            </w:r>
          </w:p>
        </w:tc>
        <w:tc>
          <w:tcPr>
            <w:tcW w:w="462"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7" w:type="pct"/>
            <w:gridSpan w:val="2"/>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74,89 %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1 333 295,86</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Finland</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38 491 347</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38 491 347</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31 131 452,69</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80,88 %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3 702 853,12</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Sverige</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54 638 257</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54 638 257</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40 709 427,72</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74,51 %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5 542 368,16</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nil"/>
              <w:left w:val="single" w:sz="4" w:space="0" w:color="auto"/>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Storbritannien</w:t>
            </w: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Perioden 2007–2013</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129 620 927</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129 620 927</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94 591 015,74</w:t>
            </w:r>
          </w:p>
        </w:tc>
        <w:tc>
          <w:tcPr>
            <w:tcW w:w="469" w:type="pct"/>
            <w:gridSpan w:val="2"/>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100 %</w:t>
            </w:r>
          </w:p>
        </w:tc>
        <w:tc>
          <w:tcPr>
            <w:tcW w:w="450" w:type="pct"/>
            <w:tcBorders>
              <w:top w:val="nil"/>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72,98 %</w:t>
            </w:r>
          </w:p>
        </w:tc>
      </w:tr>
      <w:tr>
        <w:trPr>
          <w:trHeight w:val="360"/>
        </w:trPr>
        <w:tc>
          <w:tcPr>
            <w:tcW w:w="806" w:type="pct"/>
            <w:vMerge/>
            <w:tcBorders>
              <w:top w:val="nil"/>
              <w:left w:val="single" w:sz="4" w:space="0" w:color="auto"/>
              <w:bottom w:val="single" w:sz="4" w:space="0" w:color="auto"/>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4" w:space="0" w:color="auto"/>
              <w:right w:val="nil"/>
            </w:tcBorders>
            <w:shd w:val="clear" w:color="auto" w:fill="auto"/>
            <w:noWrap/>
            <w:vAlign w:val="center"/>
          </w:tcPr>
          <w:p>
            <w:pPr>
              <w:spacing w:after="0"/>
              <w:jc w:val="center"/>
              <w:rPr>
                <w:rFonts w:ascii="Arial" w:eastAsia="Times New Roman" w:hAnsi="Arial" w:cs="Arial"/>
                <w:noProof/>
                <w:sz w:val="16"/>
                <w:szCs w:val="16"/>
              </w:rPr>
            </w:pPr>
            <w:r>
              <w:rPr>
                <w:rFonts w:ascii="Arial" w:hAnsi="Arial"/>
                <w:noProof/>
                <w:sz w:val="16"/>
              </w:rPr>
              <w:t>Budgetår: 2014</w:t>
            </w:r>
          </w:p>
        </w:tc>
        <w:tc>
          <w:tcPr>
            <w:tcW w:w="673" w:type="pct"/>
            <w:tcBorders>
              <w:top w:val="nil"/>
              <w:left w:val="single" w:sz="8" w:space="0" w:color="auto"/>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750"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0</w:t>
            </w:r>
          </w:p>
        </w:tc>
        <w:tc>
          <w:tcPr>
            <w:tcW w:w="878" w:type="pct"/>
            <w:tcBorders>
              <w:top w:val="nil"/>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noProof/>
                <w:sz w:val="16"/>
                <w:szCs w:val="16"/>
              </w:rPr>
            </w:pPr>
            <w:r>
              <w:rPr>
                <w:rFonts w:ascii="Arial" w:hAnsi="Arial"/>
                <w:noProof/>
                <w:sz w:val="16"/>
              </w:rPr>
              <w:t xml:space="preserve"> 32 251 658,18</w:t>
            </w:r>
          </w:p>
        </w:tc>
        <w:tc>
          <w:tcPr>
            <w:tcW w:w="919" w:type="pct"/>
            <w:gridSpan w:val="3"/>
            <w:tcBorders>
              <w:top w:val="single" w:sz="4" w:space="0" w:color="auto"/>
              <w:left w:val="nil"/>
              <w:bottom w:val="single" w:sz="4" w:space="0" w:color="auto"/>
              <w:right w:val="single" w:sz="8" w:space="0" w:color="000000"/>
            </w:tcBorders>
            <w:shd w:val="clear" w:color="auto" w:fill="auto"/>
            <w:noWrap/>
            <w:vAlign w:val="center"/>
          </w:tcPr>
          <w:p>
            <w:pPr>
              <w:spacing w:after="0"/>
              <w:jc w:val="right"/>
              <w:rPr>
                <w:rFonts w:ascii="Arial" w:eastAsia="Times New Roman" w:hAnsi="Arial" w:cs="Arial"/>
                <w:noProof/>
                <w:sz w:val="16"/>
                <w:szCs w:val="16"/>
              </w:rPr>
            </w:pPr>
          </w:p>
        </w:tc>
      </w:tr>
      <w:tr>
        <w:trPr>
          <w:trHeight w:val="360"/>
        </w:trPr>
        <w:tc>
          <w:tcPr>
            <w:tcW w:w="806" w:type="pct"/>
            <w:vMerge w:val="restart"/>
            <w:tcBorders>
              <w:top w:val="single" w:sz="8" w:space="0" w:color="auto"/>
              <w:left w:val="single" w:sz="8" w:space="0" w:color="auto"/>
              <w:bottom w:val="single" w:sz="8" w:space="0" w:color="000000"/>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Totalt</w:t>
            </w:r>
          </w:p>
        </w:tc>
        <w:tc>
          <w:tcPr>
            <w:tcW w:w="974" w:type="pct"/>
            <w:tcBorders>
              <w:top w:val="single" w:sz="8" w:space="0" w:color="auto"/>
              <w:left w:val="nil"/>
              <w:bottom w:val="single" w:sz="4"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Perioden 2007–2013</w:t>
            </w:r>
          </w:p>
        </w:tc>
        <w:tc>
          <w:tcPr>
            <w:tcW w:w="673" w:type="pct"/>
            <w:tcBorders>
              <w:top w:val="single" w:sz="8" w:space="0" w:color="auto"/>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b/>
                <w:bCs/>
                <w:noProof/>
                <w:sz w:val="16"/>
                <w:szCs w:val="16"/>
              </w:rPr>
            </w:pPr>
            <w:r>
              <w:rPr>
                <w:rFonts w:ascii="Arial" w:hAnsi="Arial"/>
                <w:b/>
                <w:noProof/>
                <w:sz w:val="16"/>
              </w:rPr>
              <w:t>4 056 754 035</w:t>
            </w:r>
          </w:p>
        </w:tc>
        <w:tc>
          <w:tcPr>
            <w:tcW w:w="750" w:type="pct"/>
            <w:tcBorders>
              <w:top w:val="single" w:sz="8" w:space="0" w:color="auto"/>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b/>
                <w:bCs/>
                <w:noProof/>
                <w:sz w:val="16"/>
                <w:szCs w:val="16"/>
              </w:rPr>
            </w:pPr>
            <w:r>
              <w:rPr>
                <w:rFonts w:ascii="Arial" w:hAnsi="Arial"/>
                <w:b/>
                <w:noProof/>
                <w:sz w:val="16"/>
              </w:rPr>
              <w:t>4 056 754 035</w:t>
            </w:r>
          </w:p>
        </w:tc>
        <w:tc>
          <w:tcPr>
            <w:tcW w:w="878" w:type="pct"/>
            <w:tcBorders>
              <w:top w:val="single" w:sz="8" w:space="0" w:color="auto"/>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b/>
                <w:bCs/>
                <w:noProof/>
                <w:sz w:val="16"/>
                <w:szCs w:val="16"/>
              </w:rPr>
            </w:pPr>
            <w:r>
              <w:rPr>
                <w:rFonts w:ascii="Arial" w:hAnsi="Arial"/>
                <w:b/>
                <w:noProof/>
                <w:sz w:val="16"/>
              </w:rPr>
              <w:t>3 063 679 958,61</w:t>
            </w:r>
          </w:p>
        </w:tc>
        <w:tc>
          <w:tcPr>
            <w:tcW w:w="469" w:type="pct"/>
            <w:gridSpan w:val="2"/>
            <w:tcBorders>
              <w:top w:val="single" w:sz="8" w:space="0" w:color="auto"/>
              <w:left w:val="nil"/>
              <w:bottom w:val="single" w:sz="4" w:space="0" w:color="auto"/>
              <w:right w:val="single" w:sz="4" w:space="0" w:color="auto"/>
            </w:tcBorders>
            <w:shd w:val="clear" w:color="auto" w:fill="auto"/>
            <w:noWrap/>
            <w:vAlign w:val="center"/>
          </w:tcPr>
          <w:p>
            <w:pPr>
              <w:spacing w:after="0"/>
              <w:jc w:val="right"/>
              <w:rPr>
                <w:rFonts w:ascii="Arial" w:eastAsia="Times New Roman" w:hAnsi="Arial" w:cs="Arial"/>
                <w:b/>
                <w:bCs/>
                <w:noProof/>
                <w:sz w:val="16"/>
                <w:szCs w:val="16"/>
              </w:rPr>
            </w:pPr>
            <w:r>
              <w:rPr>
                <w:rFonts w:ascii="Arial" w:hAnsi="Arial"/>
                <w:b/>
                <w:noProof/>
                <w:sz w:val="16"/>
              </w:rPr>
              <w:t>100 %</w:t>
            </w:r>
          </w:p>
        </w:tc>
        <w:tc>
          <w:tcPr>
            <w:tcW w:w="450" w:type="pct"/>
            <w:tcBorders>
              <w:top w:val="single" w:sz="8" w:space="0" w:color="auto"/>
              <w:left w:val="nil"/>
              <w:bottom w:val="single" w:sz="4" w:space="0" w:color="auto"/>
              <w:right w:val="single" w:sz="8" w:space="0" w:color="auto"/>
            </w:tcBorders>
            <w:shd w:val="clear" w:color="auto" w:fill="auto"/>
            <w:noWrap/>
            <w:vAlign w:val="center"/>
          </w:tcPr>
          <w:p>
            <w:pPr>
              <w:spacing w:after="0"/>
              <w:jc w:val="right"/>
              <w:rPr>
                <w:rFonts w:ascii="Arial" w:eastAsia="Times New Roman" w:hAnsi="Arial" w:cs="Arial"/>
                <w:b/>
                <w:bCs/>
                <w:noProof/>
                <w:sz w:val="16"/>
                <w:szCs w:val="16"/>
              </w:rPr>
            </w:pPr>
            <w:r>
              <w:rPr>
                <w:rFonts w:ascii="Arial" w:hAnsi="Arial"/>
                <w:b/>
                <w:noProof/>
                <w:sz w:val="16"/>
              </w:rPr>
              <w:t>75,52 %</w:t>
            </w:r>
          </w:p>
        </w:tc>
      </w:tr>
      <w:tr>
        <w:trPr>
          <w:trHeight w:val="360"/>
        </w:trPr>
        <w:tc>
          <w:tcPr>
            <w:tcW w:w="806" w:type="pct"/>
            <w:vMerge/>
            <w:tcBorders>
              <w:top w:val="single" w:sz="8" w:space="0" w:color="auto"/>
              <w:left w:val="single" w:sz="8" w:space="0" w:color="auto"/>
              <w:bottom w:val="single" w:sz="8" w:space="0" w:color="000000"/>
              <w:right w:val="single" w:sz="4" w:space="0" w:color="auto"/>
            </w:tcBorders>
            <w:vAlign w:val="center"/>
          </w:tcPr>
          <w:p>
            <w:pPr>
              <w:spacing w:after="0"/>
              <w:jc w:val="center"/>
              <w:rPr>
                <w:rFonts w:ascii="Arial" w:eastAsia="Times New Roman" w:hAnsi="Arial" w:cs="Arial"/>
                <w:b/>
                <w:bCs/>
                <w:noProof/>
                <w:sz w:val="16"/>
                <w:szCs w:val="16"/>
              </w:rPr>
            </w:pPr>
          </w:p>
        </w:tc>
        <w:tc>
          <w:tcPr>
            <w:tcW w:w="974" w:type="pct"/>
            <w:tcBorders>
              <w:top w:val="nil"/>
              <w:left w:val="nil"/>
              <w:bottom w:val="single" w:sz="8" w:space="0" w:color="auto"/>
              <w:right w:val="single" w:sz="4" w:space="0" w:color="auto"/>
            </w:tcBorders>
            <w:shd w:val="clear" w:color="auto" w:fill="auto"/>
            <w:noWrap/>
            <w:vAlign w:val="center"/>
          </w:tcPr>
          <w:p>
            <w:pPr>
              <w:spacing w:after="0"/>
              <w:jc w:val="center"/>
              <w:rPr>
                <w:rFonts w:ascii="Arial" w:eastAsia="Times New Roman" w:hAnsi="Arial" w:cs="Arial"/>
                <w:b/>
                <w:bCs/>
                <w:noProof/>
                <w:sz w:val="16"/>
                <w:szCs w:val="16"/>
              </w:rPr>
            </w:pPr>
            <w:r>
              <w:rPr>
                <w:rFonts w:ascii="Arial" w:hAnsi="Arial"/>
                <w:b/>
                <w:noProof/>
                <w:sz w:val="16"/>
              </w:rPr>
              <w:t>Budgetår: 2014</w:t>
            </w:r>
          </w:p>
        </w:tc>
        <w:tc>
          <w:tcPr>
            <w:tcW w:w="673" w:type="pct"/>
            <w:tcBorders>
              <w:top w:val="nil"/>
              <w:left w:val="nil"/>
              <w:bottom w:val="single" w:sz="8" w:space="0" w:color="auto"/>
              <w:right w:val="single" w:sz="4" w:space="0" w:color="auto"/>
            </w:tcBorders>
            <w:shd w:val="clear" w:color="auto" w:fill="auto"/>
            <w:noWrap/>
            <w:vAlign w:val="center"/>
          </w:tcPr>
          <w:p>
            <w:pPr>
              <w:spacing w:after="0"/>
              <w:jc w:val="right"/>
              <w:rPr>
                <w:rFonts w:ascii="Arial" w:eastAsia="Times New Roman" w:hAnsi="Arial" w:cs="Arial"/>
                <w:b/>
                <w:bCs/>
                <w:noProof/>
                <w:sz w:val="16"/>
                <w:szCs w:val="16"/>
              </w:rPr>
            </w:pPr>
            <w:r>
              <w:rPr>
                <w:rFonts w:ascii="Arial" w:hAnsi="Arial"/>
                <w:b/>
                <w:noProof/>
                <w:sz w:val="16"/>
              </w:rPr>
              <w:t xml:space="preserve">   0</w:t>
            </w:r>
          </w:p>
        </w:tc>
        <w:tc>
          <w:tcPr>
            <w:tcW w:w="750" w:type="pct"/>
            <w:tcBorders>
              <w:top w:val="nil"/>
              <w:left w:val="nil"/>
              <w:bottom w:val="single" w:sz="8" w:space="0" w:color="auto"/>
              <w:right w:val="single" w:sz="4" w:space="0" w:color="auto"/>
            </w:tcBorders>
            <w:shd w:val="clear" w:color="auto" w:fill="auto"/>
            <w:noWrap/>
            <w:vAlign w:val="center"/>
          </w:tcPr>
          <w:p>
            <w:pPr>
              <w:spacing w:after="0"/>
              <w:jc w:val="right"/>
              <w:rPr>
                <w:rFonts w:ascii="Arial" w:eastAsia="Times New Roman" w:hAnsi="Arial" w:cs="Arial"/>
                <w:b/>
                <w:bCs/>
                <w:noProof/>
                <w:sz w:val="16"/>
                <w:szCs w:val="16"/>
              </w:rPr>
            </w:pPr>
            <w:r>
              <w:rPr>
                <w:rFonts w:ascii="Arial" w:hAnsi="Arial"/>
                <w:b/>
                <w:noProof/>
                <w:sz w:val="16"/>
              </w:rPr>
              <w:t xml:space="preserve">   0</w:t>
            </w:r>
          </w:p>
        </w:tc>
        <w:tc>
          <w:tcPr>
            <w:tcW w:w="878" w:type="pct"/>
            <w:tcBorders>
              <w:top w:val="nil"/>
              <w:left w:val="nil"/>
              <w:bottom w:val="single" w:sz="8" w:space="0" w:color="auto"/>
              <w:right w:val="single" w:sz="4" w:space="0" w:color="auto"/>
            </w:tcBorders>
            <w:shd w:val="clear" w:color="auto" w:fill="auto"/>
            <w:noWrap/>
            <w:vAlign w:val="center"/>
          </w:tcPr>
          <w:p>
            <w:pPr>
              <w:spacing w:after="0"/>
              <w:jc w:val="right"/>
              <w:rPr>
                <w:rFonts w:ascii="Arial" w:eastAsia="Times New Roman" w:hAnsi="Arial" w:cs="Arial"/>
                <w:b/>
                <w:bCs/>
                <w:noProof/>
                <w:sz w:val="16"/>
                <w:szCs w:val="16"/>
              </w:rPr>
            </w:pPr>
            <w:r>
              <w:rPr>
                <w:rFonts w:ascii="Arial" w:hAnsi="Arial"/>
                <w:b/>
                <w:noProof/>
                <w:sz w:val="16"/>
              </w:rPr>
              <w:t xml:space="preserve"> 567 246 713,95</w:t>
            </w:r>
          </w:p>
        </w:tc>
        <w:tc>
          <w:tcPr>
            <w:tcW w:w="919" w:type="pct"/>
            <w:gridSpan w:val="3"/>
            <w:tcBorders>
              <w:top w:val="single" w:sz="4" w:space="0" w:color="auto"/>
              <w:left w:val="nil"/>
              <w:bottom w:val="single" w:sz="8" w:space="0" w:color="auto"/>
              <w:right w:val="single" w:sz="8" w:space="0" w:color="000000"/>
            </w:tcBorders>
            <w:shd w:val="clear" w:color="auto" w:fill="auto"/>
            <w:noWrap/>
            <w:vAlign w:val="center"/>
          </w:tcPr>
          <w:p>
            <w:pPr>
              <w:spacing w:after="0"/>
              <w:jc w:val="right"/>
              <w:rPr>
                <w:rFonts w:ascii="Arial" w:eastAsia="Times New Roman" w:hAnsi="Arial" w:cs="Arial"/>
                <w:b/>
                <w:bCs/>
                <w:noProof/>
                <w:sz w:val="16"/>
                <w:szCs w:val="16"/>
              </w:rPr>
            </w:pPr>
          </w:p>
        </w:tc>
      </w:tr>
    </w:tbl>
    <w:p>
      <w:pPr>
        <w:rPr>
          <w:noProof/>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72144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pPr>
    </w:p>
    <w:p>
      <w:pPr>
        <w:pStyle w:val="FootnoteText"/>
      </w:pPr>
      <w:r>
        <w:rPr>
          <w:rStyle w:val="FootnoteReference"/>
        </w:rPr>
        <w:footnoteRef/>
      </w:r>
      <w:r>
        <w:tab/>
        <w:t>Artikel 68 i rådets förordning (EG) nr 1198/2006 av den 27 juli 2006 om Europeiska fiskerifonden (EUT L 120, 15.8.2006).</w:t>
      </w:r>
    </w:p>
  </w:footnote>
  <w:footnote w:id="2">
    <w:p>
      <w:pPr>
        <w:pStyle w:val="FootnoteText"/>
      </w:pPr>
      <w:r>
        <w:rPr>
          <w:rStyle w:val="FootnoteReference"/>
        </w:rPr>
        <w:footnoteRef/>
      </w:r>
      <w:r>
        <w:tab/>
        <w:t>Tabell I. Ekonomiskt genomförande i konvergensregioner.</w:t>
      </w:r>
    </w:p>
    <w:p>
      <w:pPr>
        <w:pStyle w:val="FootnoteText"/>
      </w:pPr>
      <w:r>
        <w:tab/>
        <w:t>Tabell II. Ekonomiskt genomförande i icke-konvergensregioner.</w:t>
      </w:r>
    </w:p>
    <w:p>
      <w:pPr>
        <w:pStyle w:val="FootnoteText"/>
      </w:pPr>
      <w:r>
        <w:tab/>
        <w:t xml:space="preserve">Tabell III. Ekonomiskt genomförande i konvergensregioner och icke-konvergensregioner. </w:t>
      </w:r>
    </w:p>
    <w:p>
      <w:pPr>
        <w:pStyle w:val="FootnoteText"/>
      </w:pPr>
      <w:r>
        <w:tab/>
        <w:t>Tabell IV. EFF-programbelopp per prioriterat område och medlemsstat.</w:t>
      </w:r>
    </w:p>
    <w:p>
      <w:pPr>
        <w:pStyle w:val="FootnoteText"/>
      </w:pPr>
      <w:r>
        <w:tab/>
        <w:t>Attesterade utgifter inom EFF per prioriterat område och medlemsstat.</w:t>
      </w:r>
    </w:p>
  </w:footnote>
  <w:footnote w:id="3">
    <w:p>
      <w:pPr>
        <w:pStyle w:val="FootnoteText"/>
      </w:pPr>
      <w:r>
        <w:rPr>
          <w:rStyle w:val="FootnoteReference"/>
        </w:rPr>
        <w:footnoteRef/>
      </w:r>
      <w:r>
        <w:tab/>
        <w:t>Kommissionens delegerade förordning (EU) 2015/895 av den 2 februari 2015 om komplettering av Europaparlamentets och rådets förordning (EU) nr 508/2014 om Europeiska havs- och fiskerifonden vad gäller övergångsbestämmelser (EUT L 147, s. 1).</w:t>
      </w:r>
    </w:p>
  </w:footnote>
  <w:footnote w:id="4">
    <w:p>
      <w:pPr>
        <w:pStyle w:val="FootnoteText"/>
      </w:pPr>
      <w:r>
        <w:rPr>
          <w:rStyle w:val="FootnoteReference"/>
        </w:rPr>
        <w:footnoteRef/>
      </w:r>
      <w:r>
        <w:tab/>
        <w:t>Europaparlamentets och rådets förordning (EU) nr 1303/2013 om fastställande av gemensamma bestämmelser för Europeiska regionala utvecklingsfonden, Europeiska socialfonden, Sammanhållningsfonden, Europeiska jordbruksfonden för landsbygdsutveckling och Europeiska havs</w:t>
      </w:r>
      <w:r>
        <w:noBreakHyphen/>
        <w:t xml:space="preserve"> och fiskerifonden, om fastställande av allmänna bestämmelser för Europeiska regionala utvecklingsfonden, Europeiska socialfonden, Sammanhållningsfonden och Europeiska havs- och fiskerifonden samt om upphävande av rådets förordning (EG) nr 1083/2006 (EUT L 347, 20.12.2013).</w:t>
      </w:r>
    </w:p>
  </w:footnote>
  <w:footnote w:id="5">
    <w:p>
      <w:pPr>
        <w:pStyle w:val="FootnoteText"/>
      </w:pPr>
      <w:r>
        <w:rPr>
          <w:rStyle w:val="FootnoteReference"/>
        </w:rPr>
        <w:footnoteRef/>
      </w:r>
      <w:r>
        <w:tab/>
        <w:t>Denna siffra motsvarar det ursprungliga anslaget 2007. När återtaganden räknas med (256,9 miljoner euro fram till den 31 december 2014) ökar åtagandegraden till 96,3 % av det ändrade EFF-anslaget.</w:t>
      </w:r>
    </w:p>
  </w:footnote>
  <w:footnote w:id="6">
    <w:p>
      <w:pPr>
        <w:pStyle w:val="FootnoteText"/>
      </w:pPr>
      <w:r>
        <w:rPr>
          <w:rStyle w:val="FootnoteReference"/>
        </w:rPr>
        <w:footnoteRef/>
      </w:r>
      <w:r>
        <w:tab/>
        <w:t>Område 1: Åtgärder för anpassning av gemenskapens fiskeflotta.</w:t>
      </w:r>
      <w:r>
        <w:tab/>
      </w:r>
      <w:r>
        <w:br/>
        <w:t>Område 2: Vattenbruk, inlandsfiske, beredning och saluföring av fiskeri- och vattenbruksprodukter.</w:t>
      </w:r>
    </w:p>
    <w:p>
      <w:pPr>
        <w:pStyle w:val="FootnoteText"/>
        <w:ind w:firstLine="0"/>
      </w:pPr>
      <w:r>
        <w:t>Område 3: Åtgärder av gemensamt intresse.</w:t>
      </w:r>
      <w:r>
        <w:tab/>
      </w:r>
      <w:r>
        <w:br/>
        <w:t>Område 4: Hållbar utveckling i fiskeområden.</w:t>
      </w:r>
      <w:r>
        <w:tab/>
      </w:r>
    </w:p>
  </w:footnote>
  <w:footnote w:id="7">
    <w:p>
      <w:pPr>
        <w:pStyle w:val="FootnoteText"/>
      </w:pPr>
      <w:r>
        <w:rPr>
          <w:rStyle w:val="FootnoteReference"/>
        </w:rPr>
        <w:footnoteRef/>
      </w:r>
      <w:r>
        <w:tab/>
        <w:t>Rådets förordning (EG) nr </w:t>
      </w:r>
      <w:hyperlink r:id="rId1">
        <w:r>
          <w:t>1263/1999</w:t>
        </w:r>
      </w:hyperlink>
      <w:r>
        <w:t xml:space="preserve"> om Fonden för fiskets utveckling (EGT L 161, 26.6.1999).</w:t>
      </w:r>
    </w:p>
    <w:p>
      <w:pPr>
        <w:pStyle w:val="FootnoteText"/>
      </w:pPr>
    </w:p>
  </w:footnote>
  <w:footnote w:id="8">
    <w:p>
      <w:pPr>
        <w:pStyle w:val="FootnoteText"/>
      </w:pPr>
      <w:r>
        <w:rPr>
          <w:rStyle w:val="FootnoteReference"/>
        </w:rPr>
        <w:footnoteRef/>
      </w:r>
      <w:r>
        <w:tab/>
        <w:t>Rådets förordning (EU) nr 508/2014 om Europeiska havs- och fiskerifonden (EUT L 149, 20.5.2014, s. 1).</w:t>
      </w:r>
    </w:p>
  </w:footnote>
  <w:footnote w:id="9">
    <w:p>
      <w:pPr>
        <w:pStyle w:val="FootnoteText"/>
      </w:pPr>
      <w:r>
        <w:rPr>
          <w:rStyle w:val="FootnoteReference"/>
        </w:rPr>
        <w:footnoteRef/>
      </w:r>
      <w:r>
        <w:tab/>
        <w:t>Rådets förordning (EG) nr </w:t>
      </w:r>
      <w:hyperlink r:id="rId2">
        <w:r>
          <w:t>1698/2005</w:t>
        </w:r>
      </w:hyperlink>
      <w:r>
        <w:t xml:space="preserve"> om stöd för landsbygdsutveckling från Europeiska jordbruksfonden för landsbygdsutveckling (EJFLU) (EUT L 277, 21.10.2005).</w:t>
      </w:r>
    </w:p>
  </w:footnote>
  <w:footnote w:id="10">
    <w:p>
      <w:pPr>
        <w:pStyle w:val="FootnoteText"/>
      </w:pPr>
      <w:r>
        <w:rPr>
          <w:rStyle w:val="FootnoteReference"/>
        </w:rPr>
        <w:footnoteRef/>
      </w:r>
      <w:r>
        <w:tab/>
        <w:t xml:space="preserve">En fullständig översikt av rapporterade oegentligheter när det gäller EFF återfinns i arbetsdokumentet från kommissionens avdelningar (SWD(2015) 156 final, s. 44–47), </w:t>
      </w:r>
      <w:r>
        <w:rPr>
          <w:i/>
        </w:rPr>
        <w:t>Statistical evaluation of irregularities reported for 2014 accompanying the Report from the Commission to the European Parliament and the Council on the Protection of the European Union’s Financial Interests – Fight against Fraud – Annual Report 2014</w:t>
      </w:r>
      <w:r>
        <w:t xml:space="preserve"> (COM(2015) 386 final).</w:t>
      </w:r>
    </w:p>
  </w:footnote>
  <w:footnote w:id="11">
    <w:p>
      <w:pPr>
        <w:pStyle w:val="FootnoteText"/>
      </w:pPr>
      <w:r>
        <w:rPr>
          <w:rStyle w:val="FootnoteReference"/>
        </w:rPr>
        <w:footnoteRef/>
      </w:r>
      <w:r>
        <w:tab/>
        <w:t>De uppgifter som medlemsstaterna samlat in inom ramen för uppgiftsinsamling har en eftersläpning på två år.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CFC50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4C86526"/>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11241836"/>
    <w:lvl w:ilvl="0">
      <w:start w:val="1"/>
      <w:numFmt w:val="decimal"/>
      <w:pStyle w:val="ListNumber2"/>
      <w:lvlText w:val="%1."/>
      <w:lvlJc w:val="left"/>
      <w:pPr>
        <w:tabs>
          <w:tab w:val="num" w:pos="643"/>
        </w:tabs>
        <w:ind w:left="643" w:hanging="360"/>
      </w:pPr>
    </w:lvl>
  </w:abstractNum>
  <w:abstractNum w:abstractNumId="3">
    <w:nsid w:val="FFFFFF81"/>
    <w:multiLevelType w:val="singleLevel"/>
    <w:tmpl w:val="6AA6E77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B046A1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3207CA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5170A734"/>
    <w:lvl w:ilvl="0">
      <w:start w:val="1"/>
      <w:numFmt w:val="decimal"/>
      <w:pStyle w:val="ListNumber"/>
      <w:lvlText w:val="%1."/>
      <w:lvlJc w:val="left"/>
      <w:pPr>
        <w:tabs>
          <w:tab w:val="num" w:pos="360"/>
        </w:tabs>
        <w:ind w:left="360" w:hanging="360"/>
      </w:pPr>
    </w:lvl>
  </w:abstractNum>
  <w:abstractNum w:abstractNumId="7">
    <w:nsid w:val="FFFFFF89"/>
    <w:multiLevelType w:val="singleLevel"/>
    <w:tmpl w:val="574EB64E"/>
    <w:lvl w:ilvl="0">
      <w:start w:val="1"/>
      <w:numFmt w:val="bullet"/>
      <w:lvlText w:val=""/>
      <w:lvlJc w:val="left"/>
      <w:pPr>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4293F3F"/>
    <w:multiLevelType w:val="singleLevel"/>
    <w:tmpl w:val="B074E4EC"/>
    <w:name w:val="0.858833"/>
    <w:lvl w:ilvl="0">
      <w:start w:val="1"/>
      <w:numFmt w:val="bullet"/>
      <w:pStyle w:val="ListDash"/>
      <w:lvlText w:val="–"/>
      <w:lvlJc w:val="left"/>
      <w:pPr>
        <w:tabs>
          <w:tab w:val="num" w:pos="283"/>
        </w:tabs>
        <w:ind w:left="283" w:hanging="283"/>
      </w:pPr>
      <w:rPr>
        <w:rFonts w:ascii="Times New Roman" w:hAnsi="Times New Roman"/>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0587DCF"/>
    <w:multiLevelType w:val="hybridMultilevel"/>
    <w:tmpl w:val="213431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54BD0BEC"/>
    <w:multiLevelType w:val="singleLevel"/>
    <w:tmpl w:val="72D6F376"/>
    <w:lvl w:ilvl="0">
      <w:start w:val="1"/>
      <w:numFmt w:val="bullet"/>
      <w:pStyle w:val="Caption"/>
      <w:lvlText w:val=""/>
      <w:lvlJc w:val="left"/>
      <w:pPr>
        <w:tabs>
          <w:tab w:val="num" w:pos="283"/>
        </w:tabs>
        <w:ind w:left="283" w:hanging="283"/>
      </w:pPr>
      <w:rPr>
        <w:rFonts w:ascii="Symbol" w:hAnsi="Symbol"/>
      </w:rPr>
    </w:lvl>
  </w:abstractNum>
  <w:abstractNum w:abstractNumId="18">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nsid w:val="57553109"/>
    <w:multiLevelType w:val="hybridMultilevel"/>
    <w:tmpl w:val="6EE6C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6">
    <w:nsid w:val="7E6719BE"/>
    <w:multiLevelType w:val="hybridMultilevel"/>
    <w:tmpl w:val="A82E7F74"/>
    <w:lvl w:ilvl="0" w:tplc="6DACD2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5"/>
  </w:num>
  <w:num w:numId="6">
    <w:abstractNumId w:val="4"/>
  </w:num>
  <w:num w:numId="7">
    <w:abstractNumId w:val="3"/>
  </w:num>
  <w:num w:numId="8">
    <w:abstractNumId w:val="6"/>
  </w:num>
  <w:num w:numId="9">
    <w:abstractNumId w:val="2"/>
  </w:num>
  <w:num w:numId="10">
    <w:abstractNumId w:val="0"/>
  </w:num>
  <w:num w:numId="11">
    <w:abstractNumId w:val="22"/>
  </w:num>
  <w:num w:numId="12">
    <w:abstractNumId w:val="13"/>
  </w:num>
  <w:num w:numId="13">
    <w:abstractNumId w:val="24"/>
  </w:num>
  <w:num w:numId="14">
    <w:abstractNumId w:val="11"/>
  </w:num>
  <w:num w:numId="15">
    <w:abstractNumId w:val="14"/>
  </w:num>
  <w:num w:numId="16">
    <w:abstractNumId w:val="9"/>
  </w:num>
  <w:num w:numId="17">
    <w:abstractNumId w:val="8"/>
  </w:num>
  <w:num w:numId="18">
    <w:abstractNumId w:val="15"/>
  </w:num>
  <w:num w:numId="19">
    <w:abstractNumId w:val="20"/>
  </w:num>
  <w:num w:numId="20">
    <w:abstractNumId w:val="21"/>
  </w:num>
  <w:num w:numId="21">
    <w:abstractNumId w:val="10"/>
  </w:num>
  <w:num w:numId="22">
    <w:abstractNumId w:val="18"/>
  </w:num>
  <w:num w:numId="23">
    <w:abstractNumId w:val="25"/>
  </w:num>
  <w:num w:numId="24">
    <w:abstractNumId w:val="17"/>
  </w:num>
  <w:num w:numId="25">
    <w:abstractNumId w:val="16"/>
  </w:num>
  <w:num w:numId="26">
    <w:abstractNumId w:val="7"/>
  </w:num>
  <w:num w:numId="27">
    <w:abstractNumId w:val="7"/>
  </w:num>
  <w:num w:numId="28">
    <w:abstractNumId w:val="19"/>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E1EF01C6B7C411C8C6013243FE1160D"/>
    <w:docVar w:name="LW_CROSSREFERENCE" w:val="{SWD(2015) 295 final}"/>
    <w:docVar w:name="LW_DocType" w:val="NORMAL"/>
    <w:docVar w:name="LW_EMISSION" w:val="17.12.2015"/>
    <w:docVar w:name="LW_EMISSION_ISODATE" w:val="2015-12-17"/>
    <w:docVar w:name="LW_EMISSION_LOCATION" w:val="BRX"/>
    <w:docVar w:name="LW_EMISSION_PREFIX" w:val="Bryssel den "/>
    <w:docVar w:name="LW_EMISSION_SUFFIX" w:val=" "/>
    <w:docVar w:name="LW_ID_DOCTYPE_NONLW" w:val="CP-003"/>
    <w:docVar w:name="LW_LANGUE" w:val="SV"/>
    <w:docVar w:name="LW_MARKING" w:val="&lt;UNUSED&gt;"/>
    <w:docVar w:name="LW_NOM.INST" w:val="EUROPEISKA KOMMISSIONEN"/>
    <w:docVar w:name="LW_NOM.INST_JOINTDOC" w:val="&lt;EMPTY&gt;"/>
    <w:docVar w:name="LW_PART_NBR" w:val="1"/>
    <w:docVar w:name="LW_PART_NBR_TOTAL" w:val="1"/>
    <w:docVar w:name="LW_REF.INST.NEW" w:val="COM"/>
    <w:docVar w:name="LW_REF.INST.NEW_ADOPTED" w:val="final"/>
    <w:docVar w:name="LW_REF.INST.NEW_TEXT" w:val="(2015) 662"/>
    <w:docVar w:name="LW_REF.INTERNE" w:val="&lt;UNUSED&gt;"/>
    <w:docVar w:name="LW_SOUS.TITRE.OBJ.CP" w:val="&lt;UNUSED&gt;"/>
    <w:docVar w:name="LW_SUPERTITRE" w:val="&lt;UNUSED&gt;"/>
    <w:docVar w:name="LW_TITRE.OBJ.CP" w:val="ÅTTONDE ÅRSRAPPORTEN OM GENOMFÖRANDET AV EUROPEISKA FISKERIFONDEN (2014)"/>
    <w:docVar w:name="LW_TYPE.DOC.CP" w:val="RAPPORT FRÅN KOMMISSIONEN"/>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
      </w:numPr>
      <w:spacing w:before="360" w:after="120"/>
      <w:outlineLvl w:val="0"/>
    </w:pPr>
    <w:rPr>
      <w:rFonts w:eastAsia="Times New Roman" w:cs="Times New Roman"/>
      <w:b/>
      <w:bCs/>
      <w:smallCaps/>
      <w:szCs w:val="28"/>
    </w:rPr>
  </w:style>
  <w:style w:type="paragraph" w:styleId="Heading2">
    <w:name w:val="heading 2"/>
    <w:basedOn w:val="Normal"/>
    <w:next w:val="Text1"/>
    <w:link w:val="Heading2Char"/>
    <w:uiPriority w:val="9"/>
    <w:qFormat/>
    <w:pPr>
      <w:keepNext/>
      <w:numPr>
        <w:ilvl w:val="1"/>
        <w:numId w:val="3"/>
      </w:numPr>
      <w:spacing w:before="120" w:after="120"/>
      <w:outlineLvl w:val="1"/>
    </w:pPr>
    <w:rPr>
      <w:rFonts w:eastAsia="Times New Roman" w:cs="Times New Roman"/>
      <w:b/>
      <w:bCs/>
      <w:szCs w:val="26"/>
    </w:rPr>
  </w:style>
  <w:style w:type="paragraph" w:styleId="Heading3">
    <w:name w:val="heading 3"/>
    <w:basedOn w:val="Normal"/>
    <w:next w:val="Text1"/>
    <w:link w:val="Heading3Char"/>
    <w:uiPriority w:val="9"/>
    <w:qFormat/>
    <w:pPr>
      <w:keepNext/>
      <w:numPr>
        <w:ilvl w:val="2"/>
        <w:numId w:val="3"/>
      </w:numPr>
      <w:spacing w:before="120" w:after="120"/>
      <w:outlineLvl w:val="2"/>
    </w:pPr>
    <w:rPr>
      <w:rFonts w:eastAsia="Times New Roman" w:cs="Times New Roman"/>
      <w:bCs/>
      <w:i/>
    </w:rPr>
  </w:style>
  <w:style w:type="paragraph" w:styleId="Heading4">
    <w:name w:val="heading 4"/>
    <w:basedOn w:val="Normal"/>
    <w:next w:val="Text1"/>
    <w:link w:val="Heading4Char"/>
    <w:uiPriority w:val="9"/>
    <w:qFormat/>
    <w:pPr>
      <w:keepNext/>
      <w:numPr>
        <w:ilvl w:val="3"/>
        <w:numId w:val="3"/>
      </w:numPr>
      <w:spacing w:before="120" w:after="120"/>
      <w:outlineLvl w:val="3"/>
    </w:pPr>
    <w:rPr>
      <w:rFonts w:eastAsia="Times New Roman" w:cs="Times New Roman"/>
      <w:bCs/>
      <w:iCs/>
    </w:rPr>
  </w:style>
  <w:style w:type="paragraph" w:styleId="Heading5">
    <w:name w:val="heading 5"/>
    <w:basedOn w:val="Normal"/>
    <w:next w:val="Normal"/>
    <w:link w:val="Heading5Char"/>
    <w:uiPriority w:val="9"/>
    <w:qFormat/>
    <w:pPr>
      <w:keepNext/>
      <w:keepLines/>
      <w:spacing w:before="200" w:after="0"/>
      <w:ind w:left="1008" w:hanging="1008"/>
      <w:outlineLvl w:val="4"/>
    </w:pPr>
    <w:rPr>
      <w:rFonts w:ascii="Cambria" w:eastAsia="Times New Roman" w:hAnsi="Cambria" w:cs="Times New Roman"/>
      <w:color w:val="243F60"/>
    </w:rPr>
  </w:style>
  <w:style w:type="paragraph" w:styleId="Heading6">
    <w:name w:val="heading 6"/>
    <w:basedOn w:val="Normal"/>
    <w:next w:val="Normal"/>
    <w:link w:val="Heading6Char"/>
    <w:uiPriority w:val="9"/>
    <w:qFormat/>
    <w:pPr>
      <w:keepNext/>
      <w:keepLines/>
      <w:spacing w:before="200" w:after="0"/>
      <w:ind w:left="1152" w:hanging="1152"/>
      <w:outlineLvl w:val="5"/>
    </w:pPr>
    <w:rPr>
      <w:rFonts w:ascii="Cambria" w:eastAsia="Times New Roman" w:hAnsi="Cambria" w:cs="Times New Roman"/>
      <w:i/>
      <w:iCs/>
      <w:color w:val="243F60"/>
    </w:rPr>
  </w:style>
  <w:style w:type="paragraph" w:styleId="Heading7">
    <w:name w:val="heading 7"/>
    <w:basedOn w:val="Normal"/>
    <w:next w:val="Normal"/>
    <w:link w:val="Heading7Char"/>
    <w:uiPriority w:val="9"/>
    <w:qFormat/>
    <w:pPr>
      <w:keepNext/>
      <w:keepLines/>
      <w:spacing w:before="200" w:after="0"/>
      <w:ind w:left="1296" w:hanging="1296"/>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qFormat/>
    <w:pPr>
      <w:keepNext/>
      <w:keepLines/>
      <w:spacing w:before="200" w:after="0"/>
      <w:ind w:left="1440" w:hanging="1440"/>
      <w:outlineLvl w:val="7"/>
    </w:pPr>
    <w:rPr>
      <w:rFonts w:ascii="Cambria" w:eastAsia="Times New Roman" w:hAnsi="Cambria" w:cs="Times New Roman"/>
      <w:color w:val="404040"/>
      <w:sz w:val="20"/>
    </w:rPr>
  </w:style>
  <w:style w:type="paragraph" w:styleId="Heading9">
    <w:name w:val="heading 9"/>
    <w:basedOn w:val="Normal"/>
    <w:next w:val="Normal"/>
    <w:link w:val="Heading9Char"/>
    <w:uiPriority w:val="9"/>
    <w:qFormat/>
    <w:pPr>
      <w:keepNext/>
      <w:keepLines/>
      <w:spacing w:before="200" w:after="0"/>
      <w:ind w:left="1584" w:hanging="1584"/>
      <w:outlineLvl w:val="8"/>
    </w:pPr>
    <w:rPr>
      <w:rFonts w:ascii="Cambria" w:eastAsia="Times New Roman" w:hAnsi="Cambria" w:cs="Times New Roman"/>
      <w:i/>
      <w:iCs/>
      <w:color w:val="40404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cs="Times New Roman"/>
    </w:rPr>
  </w:style>
  <w:style w:type="paragraph" w:styleId="Header">
    <w:name w:val="header"/>
    <w:basedOn w:val="Normal"/>
    <w:link w:val="HeaderChar"/>
    <w:uiPriority w:val="99"/>
    <w:unhideWhenUsed/>
    <w:pPr>
      <w:tabs>
        <w:tab w:val="center" w:pos="4536"/>
        <w:tab w:val="right" w:pos="9072"/>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cs="Times New Roman"/>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pPr>
    <w:rPr>
      <w:rFonts w:cs="Times New Roman"/>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sv-SE"/>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sv-SE"/>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sv-SE"/>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lang w:eastAsia="sv-SE"/>
    </w:rPr>
  </w:style>
  <w:style w:type="character" w:customStyle="1" w:styleId="Heading5Char">
    <w:name w:val="Heading 5 Char"/>
    <w:basedOn w:val="DefaultParagraphFont"/>
    <w:link w:val="Heading5"/>
    <w:uiPriority w:val="9"/>
    <w:rPr>
      <w:rFonts w:ascii="Cambria" w:eastAsia="Times New Roman" w:hAnsi="Cambria" w:cs="Times New Roman"/>
      <w:color w:val="243F60"/>
    </w:rPr>
  </w:style>
  <w:style w:type="character" w:customStyle="1" w:styleId="Heading6Char">
    <w:name w:val="Heading 6 Char"/>
    <w:basedOn w:val="DefaultParagraphFont"/>
    <w:link w:val="Heading6"/>
    <w:uiPriority w:val="9"/>
    <w:rPr>
      <w:rFonts w:ascii="Cambria" w:eastAsia="Times New Roman" w:hAnsi="Cambria" w:cs="Times New Roman"/>
      <w:i/>
      <w:iCs/>
      <w:color w:val="243F60"/>
    </w:rPr>
  </w:style>
  <w:style w:type="character" w:customStyle="1" w:styleId="Heading7Char">
    <w:name w:val="Heading 7 Char"/>
    <w:basedOn w:val="DefaultParagraphFont"/>
    <w:link w:val="Heading7"/>
    <w:uiPriority w:val="9"/>
    <w:rPr>
      <w:rFonts w:ascii="Cambria" w:eastAsia="Times New Roman" w:hAnsi="Cambria" w:cs="Times New Roman"/>
      <w:i/>
      <w:iCs/>
      <w:color w:val="404040"/>
    </w:rPr>
  </w:style>
  <w:style w:type="character" w:customStyle="1" w:styleId="Heading8Char">
    <w:name w:val="Heading 8 Char"/>
    <w:basedOn w:val="DefaultParagraphFont"/>
    <w:link w:val="Heading8"/>
    <w:uiPriority w:val="9"/>
    <w:rPr>
      <w:rFonts w:ascii="Cambria" w:eastAsia="Times New Roman" w:hAnsi="Cambria" w:cs="Times New Roman"/>
      <w:color w:val="404040"/>
      <w:sz w:val="20"/>
    </w:rPr>
  </w:style>
  <w:style w:type="character" w:customStyle="1" w:styleId="Heading9Char">
    <w:name w:val="Heading 9 Char"/>
    <w:basedOn w:val="DefaultParagraphFont"/>
    <w:link w:val="Heading9"/>
    <w:uiPriority w:val="9"/>
    <w:rPr>
      <w:rFonts w:ascii="Cambria" w:eastAsia="Times New Roman" w:hAnsi="Cambria" w:cs="Times New Roman"/>
      <w:i/>
      <w:iCs/>
      <w:color w:val="404040"/>
      <w:sz w:val="20"/>
    </w:rPr>
  </w:style>
  <w:style w:type="character" w:styleId="Hyperlink">
    <w:name w:val="Hyperlink"/>
    <w:uiPriority w:val="99"/>
    <w:rPr>
      <w:color w:val="0000FF"/>
      <w:u w:val="single"/>
    </w:rPr>
  </w:style>
  <w:style w:type="paragraph" w:styleId="ListNumber3">
    <w:name w:val="List Number 3"/>
    <w:basedOn w:val="Normal"/>
    <w:uiPriority w:val="99"/>
    <w:pPr>
      <w:numPr>
        <w:numId w:val="1"/>
      </w:numPr>
      <w:spacing w:before="120" w:after="120"/>
      <w:contextualSpacing/>
    </w:pPr>
    <w:rPr>
      <w:rFonts w:eastAsia="Times New Roman" w:cs="Times New Roman"/>
      <w:szCs w:val="24"/>
    </w:rPr>
  </w:style>
  <w:style w:type="paragraph" w:customStyle="1" w:styleId="ListDash">
    <w:name w:val="List Dash"/>
    <w:basedOn w:val="Normal"/>
    <w:pPr>
      <w:numPr>
        <w:numId w:val="2"/>
      </w:numPr>
      <w:spacing w:after="240"/>
    </w:pPr>
    <w:rPr>
      <w:rFonts w:eastAsia="Times New Roman" w:cs="Times New Roman"/>
    </w:rPr>
  </w:style>
  <w:style w:type="paragraph" w:styleId="Caption">
    <w:name w:val="caption"/>
    <w:basedOn w:val="Normal"/>
    <w:next w:val="Normal"/>
    <w:uiPriority w:val="35"/>
    <w:qFormat/>
    <w:pPr>
      <w:numPr>
        <w:numId w:val="24"/>
      </w:numPr>
      <w:tabs>
        <w:tab w:val="clear" w:pos="283"/>
      </w:tabs>
      <w:spacing w:before="120" w:after="120"/>
      <w:ind w:left="0" w:firstLine="0"/>
    </w:pPr>
    <w:rPr>
      <w:rFonts w:eastAsia="Calibri" w:cs="Times New Roman"/>
      <w:b/>
      <w:bCs/>
      <w:sz w:val="20"/>
    </w:rPr>
  </w:style>
  <w:style w:type="paragraph" w:styleId="TableofFigures">
    <w:name w:val="table of figures"/>
    <w:basedOn w:val="Normal"/>
    <w:next w:val="Normal"/>
    <w:uiPriority w:val="99"/>
    <w:semiHidden/>
    <w:unhideWhenUsed/>
    <w:pPr>
      <w:spacing w:before="120" w:after="120"/>
    </w:pPr>
    <w:rPr>
      <w:rFonts w:eastAsia="Calibri" w:cs="Times New Roman"/>
    </w:rPr>
  </w:style>
  <w:style w:type="paragraph" w:styleId="ListBullet">
    <w:name w:val="List Bullet"/>
    <w:basedOn w:val="Normal"/>
    <w:unhideWhenUsed/>
    <w:pPr>
      <w:spacing w:before="120" w:after="120"/>
      <w:contextualSpacing/>
    </w:pPr>
    <w:rPr>
      <w:rFonts w:eastAsia="Calibri" w:cs="Times New Roman"/>
    </w:rPr>
  </w:style>
  <w:style w:type="paragraph" w:styleId="ListBullet2">
    <w:name w:val="List Bullet 2"/>
    <w:basedOn w:val="Normal"/>
    <w:uiPriority w:val="99"/>
    <w:semiHidden/>
    <w:unhideWhenUsed/>
    <w:pPr>
      <w:numPr>
        <w:numId w:val="5"/>
      </w:numPr>
      <w:spacing w:before="120" w:after="120"/>
      <w:contextualSpacing/>
    </w:pPr>
    <w:rPr>
      <w:rFonts w:eastAsia="Calibri" w:cs="Times New Roman"/>
    </w:rPr>
  </w:style>
  <w:style w:type="paragraph" w:styleId="ListBullet3">
    <w:name w:val="List Bullet 3"/>
    <w:basedOn w:val="Normal"/>
    <w:uiPriority w:val="99"/>
    <w:semiHidden/>
    <w:unhideWhenUsed/>
    <w:pPr>
      <w:numPr>
        <w:numId w:val="6"/>
      </w:numPr>
      <w:spacing w:before="120" w:after="120"/>
      <w:contextualSpacing/>
    </w:pPr>
    <w:rPr>
      <w:rFonts w:eastAsia="Calibri" w:cs="Times New Roman"/>
    </w:rPr>
  </w:style>
  <w:style w:type="paragraph" w:styleId="ListBullet4">
    <w:name w:val="List Bullet 4"/>
    <w:basedOn w:val="Normal"/>
    <w:uiPriority w:val="99"/>
    <w:semiHidden/>
    <w:unhideWhenUsed/>
    <w:pPr>
      <w:numPr>
        <w:numId w:val="7"/>
      </w:numPr>
      <w:spacing w:before="120" w:after="120"/>
      <w:contextualSpacing/>
    </w:pPr>
    <w:rPr>
      <w:rFonts w:eastAsia="Calibri" w:cs="Times New Roman"/>
    </w:rPr>
  </w:style>
  <w:style w:type="paragraph" w:styleId="ListNumber">
    <w:name w:val="List Number"/>
    <w:basedOn w:val="Normal"/>
    <w:uiPriority w:val="99"/>
    <w:semiHidden/>
    <w:unhideWhenUsed/>
    <w:pPr>
      <w:numPr>
        <w:numId w:val="8"/>
      </w:numPr>
      <w:spacing w:before="120" w:after="120"/>
      <w:contextualSpacing/>
    </w:pPr>
    <w:rPr>
      <w:rFonts w:eastAsia="Calibri" w:cs="Times New Roman"/>
    </w:rPr>
  </w:style>
  <w:style w:type="paragraph" w:styleId="ListNumber2">
    <w:name w:val="List Number 2"/>
    <w:basedOn w:val="Normal"/>
    <w:uiPriority w:val="99"/>
    <w:semiHidden/>
    <w:unhideWhenUsed/>
    <w:pPr>
      <w:numPr>
        <w:numId w:val="9"/>
      </w:numPr>
      <w:spacing w:before="120" w:after="120"/>
      <w:contextualSpacing/>
    </w:pPr>
    <w:rPr>
      <w:rFonts w:eastAsia="Calibri" w:cs="Times New Roman"/>
    </w:rPr>
  </w:style>
  <w:style w:type="paragraph" w:styleId="ListNumber4">
    <w:name w:val="List Number 4"/>
    <w:basedOn w:val="Normal"/>
    <w:uiPriority w:val="99"/>
    <w:semiHidden/>
    <w:unhideWhenUsed/>
    <w:pPr>
      <w:numPr>
        <w:numId w:val="10"/>
      </w:numPr>
      <w:spacing w:before="120" w:after="120"/>
      <w:contextualSpacing/>
    </w:pPr>
    <w:rPr>
      <w:rFonts w:eastAsia="Calibri" w:cs="Times New Roman"/>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before="120" w:after="120"/>
    </w:pPr>
    <w:rPr>
      <w:rFonts w:eastAsia="Calibri" w:cs="Times New Roman"/>
      <w:sz w:val="20"/>
    </w:rPr>
  </w:style>
  <w:style w:type="character" w:customStyle="1" w:styleId="CommentTextChar">
    <w:name w:val="Comment Text Char"/>
    <w:basedOn w:val="DefaultParagraphFont"/>
    <w:link w:val="CommentText"/>
    <w:uiPriority w:val="99"/>
    <w:rPr>
      <w:rFonts w:ascii="Times New Roman" w:eastAsia="Calibri" w:hAnsi="Times New Roman" w:cs="Times New Roman"/>
      <w:sz w:val="20"/>
      <w:lang w:eastAsia="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Calibri" w:hAnsi="Times New Roman" w:cs="Times New Roman"/>
      <w:b/>
      <w:bCs/>
      <w:sz w:val="20"/>
      <w:lang w:eastAsia="sv-SE"/>
    </w:rPr>
  </w:style>
  <w:style w:type="paragraph" w:styleId="BalloonText">
    <w:name w:val="Balloon Text"/>
    <w:basedOn w:val="Normal"/>
    <w:link w:val="BalloonTextChar"/>
    <w:uiPriority w:val="99"/>
    <w:semiHidden/>
    <w:unhideWhenUsed/>
    <w:pPr>
      <w:spacing w:after="0"/>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lang w:eastAsia="sv-SE"/>
    </w:rPr>
  </w:style>
  <w:style w:type="table" w:styleId="TableGrid">
    <w:name w:val="Table Grid"/>
    <w:basedOn w:val="TableNormal"/>
    <w:uiPriority w:val="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emal">
    <w:name w:val="Noemal"/>
    <w:basedOn w:val="Text1"/>
  </w:style>
  <w:style w:type="paragraph" w:styleId="ListParagraph">
    <w:name w:val="List Paragraph"/>
    <w:basedOn w:val="Normal"/>
    <w:uiPriority w:val="34"/>
    <w:qFormat/>
    <w:pPr>
      <w:ind w:left="720"/>
      <w:contextualSpacing/>
    </w:pPr>
    <w:rPr>
      <w:rFonts w:ascii="Calibri" w:eastAsia="Calibri" w:hAnsi="Calibri" w:cs="Times New Roman"/>
    </w:rPr>
  </w:style>
  <w:style w:type="paragraph" w:customStyle="1" w:styleId="Default">
    <w:name w:val="Default"/>
    <w:pPr>
      <w:autoSpaceDE w:val="0"/>
      <w:autoSpaceDN w:val="0"/>
      <w:adjustRightInd w:val="0"/>
    </w:pPr>
    <w:rPr>
      <w:rFonts w:ascii="Calibri" w:eastAsia="Calibri" w:hAnsi="Calibri" w:cs="Calibri"/>
      <w:color w:val="000000"/>
      <w:sz w:val="24"/>
      <w:szCs w:val="24"/>
    </w:rPr>
  </w:style>
  <w:style w:type="paragraph" w:styleId="NormalWeb">
    <w:name w:val="Normal (Web)"/>
    <w:basedOn w:val="Normal"/>
    <w:uiPriority w:val="99"/>
    <w:unhideWhenUsed/>
    <w:pPr>
      <w:spacing w:before="100" w:beforeAutospacing="1" w:after="100" w:afterAutospacing="1"/>
    </w:pPr>
    <w:rPr>
      <w:rFonts w:eastAsia="Calibri" w:cs="Times New Roman"/>
      <w:szCs w:val="24"/>
    </w:rPr>
  </w:style>
  <w:style w:type="paragraph" w:styleId="Revision">
    <w:name w:val="Revision"/>
    <w:hidden/>
    <w:uiPriority w:val="99"/>
    <w:semiHidden/>
    <w:rPr>
      <w:rFonts w:ascii="Times New Roman" w:eastAsia="Calibri" w:hAnsi="Times New Roman" w:cs="Times New Roman"/>
      <w:sz w:val="24"/>
    </w:rPr>
  </w:style>
  <w:style w:type="character" w:styleId="FollowedHyperlink">
    <w:name w:val="FollowedHyperlink"/>
    <w:uiPriority w:val="99"/>
    <w:semiHidden/>
    <w:unhideWhenUsed/>
    <w:rPr>
      <w:color w:val="800080"/>
      <w:u w:val="single"/>
    </w:rPr>
  </w:style>
  <w:style w:type="paragraph" w:styleId="FootnoteText">
    <w:name w:val="footnote text"/>
    <w:basedOn w:val="Normal"/>
    <w:link w:val="FootnoteTextChar"/>
    <w:semiHidden/>
    <w:unhideWhenUsed/>
    <w:pPr>
      <w:spacing w:after="0"/>
      <w:ind w:left="720" w:hanging="720"/>
    </w:pPr>
    <w:rPr>
      <w:rFonts w:eastAsia="Calibri" w:cs="Times New Roman"/>
      <w:sz w:val="20"/>
      <w:szCs w:val="20"/>
    </w:rPr>
  </w:style>
  <w:style w:type="character" w:customStyle="1" w:styleId="FootnoteTextChar">
    <w:name w:val="Footnote Text Char"/>
    <w:basedOn w:val="DefaultParagraphFont"/>
    <w:link w:val="FootnoteText"/>
    <w:semiHidden/>
    <w:rPr>
      <w:rFonts w:ascii="Times New Roman" w:eastAsia="Calibri" w:hAnsi="Times New Roman" w:cs="Times New Roman"/>
      <w:sz w:val="20"/>
      <w:szCs w:val="20"/>
      <w:lang w:eastAsia="sv-SE"/>
    </w:rPr>
  </w:style>
  <w:style w:type="paragraph" w:styleId="TOCHeading">
    <w:name w:val="TOC Heading"/>
    <w:basedOn w:val="Normal"/>
    <w:next w:val="Normal"/>
    <w:uiPriority w:val="39"/>
    <w:qFormat/>
    <w:pPr>
      <w:spacing w:before="120" w:after="240"/>
      <w:jc w:val="center"/>
    </w:pPr>
    <w:rPr>
      <w:rFonts w:eastAsia="Calibri" w:cs="Times New Roman"/>
      <w:b/>
      <w:sz w:val="28"/>
    </w:rPr>
  </w:style>
  <w:style w:type="paragraph" w:styleId="TOC1">
    <w:name w:val="toc 1"/>
    <w:basedOn w:val="Normal"/>
    <w:next w:val="Normal"/>
    <w:uiPriority w:val="39"/>
    <w:unhideWhenUsed/>
    <w:pPr>
      <w:tabs>
        <w:tab w:val="right" w:leader="dot" w:pos="9071"/>
      </w:tabs>
      <w:spacing w:before="60" w:after="120"/>
      <w:ind w:left="850" w:hanging="850"/>
    </w:pPr>
    <w:rPr>
      <w:rFonts w:eastAsia="Calibri" w:cs="Times New Roman"/>
    </w:rPr>
  </w:style>
  <w:style w:type="paragraph" w:styleId="TOC2">
    <w:name w:val="toc 2"/>
    <w:basedOn w:val="Normal"/>
    <w:next w:val="Normal"/>
    <w:uiPriority w:val="39"/>
    <w:unhideWhenUsed/>
    <w:pPr>
      <w:tabs>
        <w:tab w:val="right" w:leader="dot" w:pos="9071"/>
      </w:tabs>
      <w:spacing w:before="60" w:after="120"/>
      <w:ind w:left="850" w:hanging="850"/>
    </w:pPr>
    <w:rPr>
      <w:rFonts w:eastAsia="Calibri" w:cs="Times New Roman"/>
    </w:rPr>
  </w:style>
  <w:style w:type="paragraph" w:styleId="TOC3">
    <w:name w:val="toc 3"/>
    <w:basedOn w:val="Normal"/>
    <w:next w:val="Normal"/>
    <w:uiPriority w:val="39"/>
    <w:unhideWhenUsed/>
    <w:pPr>
      <w:tabs>
        <w:tab w:val="right" w:leader="dot" w:pos="9071"/>
      </w:tabs>
      <w:spacing w:before="60" w:after="120"/>
      <w:ind w:left="850" w:hanging="850"/>
    </w:pPr>
    <w:rPr>
      <w:rFonts w:eastAsia="Calibri" w:cs="Times New Roman"/>
    </w:rPr>
  </w:style>
  <w:style w:type="paragraph" w:styleId="TOC4">
    <w:name w:val="toc 4"/>
    <w:basedOn w:val="Normal"/>
    <w:next w:val="Normal"/>
    <w:uiPriority w:val="39"/>
    <w:semiHidden/>
    <w:unhideWhenUsed/>
    <w:pPr>
      <w:tabs>
        <w:tab w:val="right" w:leader="dot" w:pos="9071"/>
      </w:tabs>
      <w:spacing w:before="60" w:after="120"/>
      <w:ind w:left="850" w:hanging="850"/>
    </w:pPr>
    <w:rPr>
      <w:rFonts w:eastAsia="Calibri" w:cs="Times New Roman"/>
    </w:rPr>
  </w:style>
  <w:style w:type="paragraph" w:styleId="TOC5">
    <w:name w:val="toc 5"/>
    <w:basedOn w:val="Normal"/>
    <w:next w:val="Normal"/>
    <w:uiPriority w:val="39"/>
    <w:semiHidden/>
    <w:unhideWhenUsed/>
    <w:pPr>
      <w:tabs>
        <w:tab w:val="right" w:leader="dot" w:pos="9071"/>
      </w:tabs>
      <w:spacing w:before="300" w:after="120"/>
    </w:pPr>
    <w:rPr>
      <w:rFonts w:eastAsia="Calibri" w:cs="Times New Roman"/>
    </w:rPr>
  </w:style>
  <w:style w:type="paragraph" w:styleId="TOC6">
    <w:name w:val="toc 6"/>
    <w:basedOn w:val="Normal"/>
    <w:next w:val="Normal"/>
    <w:uiPriority w:val="39"/>
    <w:semiHidden/>
    <w:unhideWhenUsed/>
    <w:pPr>
      <w:tabs>
        <w:tab w:val="right" w:leader="dot" w:pos="9071"/>
      </w:tabs>
      <w:spacing w:before="240" w:after="120"/>
    </w:pPr>
    <w:rPr>
      <w:rFonts w:eastAsia="Calibri" w:cs="Times New Roman"/>
    </w:rPr>
  </w:style>
  <w:style w:type="paragraph" w:styleId="TOC7">
    <w:name w:val="toc 7"/>
    <w:basedOn w:val="Normal"/>
    <w:next w:val="Normal"/>
    <w:uiPriority w:val="39"/>
    <w:semiHidden/>
    <w:unhideWhenUsed/>
    <w:pPr>
      <w:tabs>
        <w:tab w:val="right" w:leader="dot" w:pos="9071"/>
      </w:tabs>
      <w:spacing w:before="180" w:after="120"/>
    </w:pPr>
    <w:rPr>
      <w:rFonts w:eastAsia="Calibri" w:cs="Times New Roman"/>
    </w:rPr>
  </w:style>
  <w:style w:type="paragraph" w:styleId="TOC8">
    <w:name w:val="toc 8"/>
    <w:basedOn w:val="Normal"/>
    <w:next w:val="Normal"/>
    <w:uiPriority w:val="39"/>
    <w:semiHidden/>
    <w:unhideWhenUsed/>
    <w:pPr>
      <w:tabs>
        <w:tab w:val="right" w:leader="dot" w:pos="9071"/>
      </w:tabs>
      <w:spacing w:before="120" w:after="120"/>
    </w:pPr>
    <w:rPr>
      <w:rFonts w:eastAsia="Calibri" w:cs="Times New Roman"/>
    </w:rPr>
  </w:style>
  <w:style w:type="paragraph" w:styleId="TOC9">
    <w:name w:val="toc 9"/>
    <w:basedOn w:val="Normal"/>
    <w:next w:val="Normal"/>
    <w:uiPriority w:val="39"/>
    <w:semiHidden/>
    <w:unhideWhenUsed/>
    <w:pPr>
      <w:tabs>
        <w:tab w:val="right" w:leader="dot" w:pos="9071"/>
      </w:tabs>
      <w:spacing w:before="120" w:after="120"/>
    </w:pPr>
    <w:rPr>
      <w:rFonts w:eastAsia="Calibri" w:cs="Times New Roman"/>
    </w:rPr>
  </w:style>
  <w:style w:type="paragraph" w:customStyle="1" w:styleId="HeaderLandscape">
    <w:name w:val="HeaderLandscape"/>
    <w:basedOn w:val="Normal"/>
    <w:pPr>
      <w:tabs>
        <w:tab w:val="center" w:pos="7285"/>
        <w:tab w:val="right" w:pos="14003"/>
      </w:tabs>
      <w:spacing w:after="120"/>
    </w:pPr>
    <w:rPr>
      <w:rFonts w:eastAsia="Times New Roman" w:cs="Times New Roman"/>
      <w:szCs w:val="24"/>
    </w:rPr>
  </w:style>
  <w:style w:type="paragraph" w:customStyle="1" w:styleId="FooterLandscape">
    <w:name w:val="FooterLandscape"/>
    <w:basedOn w:val="Normal"/>
    <w:pPr>
      <w:tabs>
        <w:tab w:val="center" w:pos="7285"/>
        <w:tab w:val="center" w:pos="10913"/>
        <w:tab w:val="right" w:pos="15137"/>
      </w:tabs>
      <w:spacing w:before="360" w:after="0"/>
      <w:ind w:left="-567" w:right="-567"/>
    </w:pPr>
    <w:rPr>
      <w:rFonts w:eastAsia="Calibri" w:cs="Times New Roman"/>
    </w:rPr>
  </w:style>
  <w:style w:type="character" w:styleId="FootnoteReference">
    <w:name w:val="footnote reference"/>
    <w:uiPriority w:val="99"/>
    <w:semiHidden/>
    <w:unhideWhenUsed/>
    <w:rPr>
      <w:shd w:val="clear" w:color="auto" w:fill="auto"/>
      <w:vertAlign w:val="superscript"/>
    </w:rPr>
  </w:style>
  <w:style w:type="paragraph" w:customStyle="1" w:styleId="Text1">
    <w:name w:val="Text 1"/>
    <w:basedOn w:val="Normal"/>
    <w:pPr>
      <w:spacing w:before="120" w:after="120"/>
      <w:ind w:left="850"/>
    </w:pPr>
    <w:rPr>
      <w:rFonts w:eastAsia="Calibri" w:cs="Times New Roman"/>
    </w:rPr>
  </w:style>
  <w:style w:type="paragraph" w:customStyle="1" w:styleId="Text2">
    <w:name w:val="Text 2"/>
    <w:basedOn w:val="Normal"/>
    <w:pPr>
      <w:spacing w:before="120" w:after="120"/>
      <w:ind w:left="1417"/>
    </w:pPr>
    <w:rPr>
      <w:rFonts w:eastAsia="Calibri" w:cs="Times New Roman"/>
    </w:rPr>
  </w:style>
  <w:style w:type="paragraph" w:customStyle="1" w:styleId="Text3">
    <w:name w:val="Text 3"/>
    <w:basedOn w:val="Normal"/>
    <w:pPr>
      <w:spacing w:before="120" w:after="120"/>
      <w:ind w:left="1984"/>
    </w:pPr>
    <w:rPr>
      <w:rFonts w:eastAsia="Calibri" w:cs="Times New Roman"/>
    </w:rPr>
  </w:style>
  <w:style w:type="paragraph" w:customStyle="1" w:styleId="Text4">
    <w:name w:val="Text 4"/>
    <w:basedOn w:val="Normal"/>
    <w:pPr>
      <w:spacing w:before="120" w:after="120"/>
      <w:ind w:left="2551"/>
    </w:pPr>
    <w:rPr>
      <w:rFonts w:eastAsia="Calibri" w:cs="Times New Roman"/>
    </w:rPr>
  </w:style>
  <w:style w:type="paragraph" w:customStyle="1" w:styleId="NormalCentered">
    <w:name w:val="Normal Centered"/>
    <w:basedOn w:val="Normal"/>
    <w:pPr>
      <w:spacing w:before="120" w:after="120"/>
      <w:jc w:val="center"/>
    </w:pPr>
    <w:rPr>
      <w:rFonts w:eastAsia="Calibri" w:cs="Times New Roman"/>
    </w:rPr>
  </w:style>
  <w:style w:type="paragraph" w:customStyle="1" w:styleId="NormalLeft">
    <w:name w:val="Normal Left"/>
    <w:basedOn w:val="Normal"/>
    <w:pPr>
      <w:spacing w:before="120" w:after="120"/>
    </w:pPr>
    <w:rPr>
      <w:rFonts w:eastAsia="Calibri" w:cs="Times New Roman"/>
    </w:rPr>
  </w:style>
  <w:style w:type="paragraph" w:customStyle="1" w:styleId="NormalRight">
    <w:name w:val="Normal Right"/>
    <w:basedOn w:val="Normal"/>
    <w:pPr>
      <w:spacing w:before="120" w:after="120"/>
      <w:jc w:val="right"/>
    </w:pPr>
    <w:rPr>
      <w:rFonts w:eastAsia="Calibri" w:cs="Times New Roman"/>
    </w:rPr>
  </w:style>
  <w:style w:type="paragraph" w:customStyle="1" w:styleId="QuotedText">
    <w:name w:val="Quoted Text"/>
    <w:basedOn w:val="Normal"/>
    <w:pPr>
      <w:spacing w:before="120" w:after="120"/>
      <w:ind w:left="1417"/>
    </w:pPr>
    <w:rPr>
      <w:rFonts w:eastAsia="Calibri" w:cs="Times New Roman"/>
    </w:rPr>
  </w:style>
  <w:style w:type="paragraph" w:customStyle="1" w:styleId="Point0">
    <w:name w:val="Point 0"/>
    <w:basedOn w:val="Normal"/>
    <w:pPr>
      <w:spacing w:before="120" w:after="120"/>
      <w:ind w:left="850" w:hanging="850"/>
    </w:pPr>
    <w:rPr>
      <w:rFonts w:eastAsia="Calibri" w:cs="Times New Roman"/>
    </w:rPr>
  </w:style>
  <w:style w:type="paragraph" w:customStyle="1" w:styleId="Point1">
    <w:name w:val="Point 1"/>
    <w:basedOn w:val="Normal"/>
    <w:pPr>
      <w:spacing w:before="120" w:after="120"/>
      <w:ind w:left="1417" w:hanging="567"/>
    </w:pPr>
    <w:rPr>
      <w:rFonts w:eastAsia="Calibri" w:cs="Times New Roman"/>
    </w:rPr>
  </w:style>
  <w:style w:type="paragraph" w:customStyle="1" w:styleId="Point2">
    <w:name w:val="Point 2"/>
    <w:basedOn w:val="Normal"/>
    <w:pPr>
      <w:spacing w:before="120" w:after="120"/>
      <w:ind w:left="1984" w:hanging="567"/>
    </w:pPr>
    <w:rPr>
      <w:rFonts w:eastAsia="Calibri" w:cs="Times New Roman"/>
    </w:rPr>
  </w:style>
  <w:style w:type="paragraph" w:customStyle="1" w:styleId="Point3">
    <w:name w:val="Point 3"/>
    <w:basedOn w:val="Normal"/>
    <w:pPr>
      <w:spacing w:before="120" w:after="120"/>
      <w:ind w:left="2551" w:hanging="567"/>
    </w:pPr>
    <w:rPr>
      <w:rFonts w:eastAsia="Calibri" w:cs="Times New Roman"/>
    </w:rPr>
  </w:style>
  <w:style w:type="paragraph" w:customStyle="1" w:styleId="Point4">
    <w:name w:val="Point 4"/>
    <w:basedOn w:val="Normal"/>
    <w:pPr>
      <w:spacing w:before="120" w:after="120"/>
      <w:ind w:left="3118" w:hanging="567"/>
    </w:pPr>
    <w:rPr>
      <w:rFonts w:eastAsia="Calibri" w:cs="Times New Roman"/>
    </w:r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spacing w:before="120" w:after="120"/>
      <w:ind w:left="1417" w:hanging="1417"/>
    </w:pPr>
    <w:rPr>
      <w:rFonts w:eastAsia="Calibri" w:cs="Times New Roman"/>
    </w:rPr>
  </w:style>
  <w:style w:type="paragraph" w:customStyle="1" w:styleId="PointDouble1">
    <w:name w:val="PointDouble 1"/>
    <w:basedOn w:val="Normal"/>
    <w:pPr>
      <w:tabs>
        <w:tab w:val="left" w:pos="1417"/>
      </w:tabs>
      <w:spacing w:before="120" w:after="120"/>
      <w:ind w:left="1984" w:hanging="1134"/>
    </w:pPr>
    <w:rPr>
      <w:rFonts w:eastAsia="Calibri" w:cs="Times New Roman"/>
    </w:rPr>
  </w:style>
  <w:style w:type="paragraph" w:customStyle="1" w:styleId="PointDouble2">
    <w:name w:val="PointDouble 2"/>
    <w:basedOn w:val="Normal"/>
    <w:pPr>
      <w:tabs>
        <w:tab w:val="left" w:pos="1984"/>
      </w:tabs>
      <w:spacing w:before="120" w:after="120"/>
      <w:ind w:left="2551" w:hanging="1134"/>
    </w:pPr>
    <w:rPr>
      <w:rFonts w:eastAsia="Calibri" w:cs="Times New Roman"/>
    </w:rPr>
  </w:style>
  <w:style w:type="paragraph" w:customStyle="1" w:styleId="PointDouble3">
    <w:name w:val="PointDouble 3"/>
    <w:basedOn w:val="Normal"/>
    <w:pPr>
      <w:tabs>
        <w:tab w:val="left" w:pos="2551"/>
      </w:tabs>
      <w:spacing w:before="120" w:after="120"/>
      <w:ind w:left="3118" w:hanging="1134"/>
    </w:pPr>
    <w:rPr>
      <w:rFonts w:eastAsia="Calibri" w:cs="Times New Roman"/>
    </w:rPr>
  </w:style>
  <w:style w:type="paragraph" w:customStyle="1" w:styleId="PointDouble4">
    <w:name w:val="PointDouble 4"/>
    <w:basedOn w:val="Normal"/>
    <w:pPr>
      <w:tabs>
        <w:tab w:val="left" w:pos="3118"/>
      </w:tabs>
      <w:spacing w:before="120" w:after="120"/>
      <w:ind w:left="3685" w:hanging="1134"/>
    </w:pPr>
    <w:rPr>
      <w:rFonts w:eastAsia="Calibri" w:cs="Times New Roman"/>
    </w:rPr>
  </w:style>
  <w:style w:type="paragraph" w:customStyle="1" w:styleId="PointTriple0">
    <w:name w:val="PointTriple 0"/>
    <w:basedOn w:val="Normal"/>
    <w:pPr>
      <w:tabs>
        <w:tab w:val="left" w:pos="850"/>
        <w:tab w:val="left" w:pos="1417"/>
      </w:tabs>
      <w:spacing w:before="120" w:after="120"/>
      <w:ind w:left="1984" w:hanging="1984"/>
    </w:pPr>
    <w:rPr>
      <w:rFonts w:eastAsia="Calibri" w:cs="Times New Roman"/>
    </w:rPr>
  </w:style>
  <w:style w:type="paragraph" w:customStyle="1" w:styleId="PointTriple1">
    <w:name w:val="PointTriple 1"/>
    <w:basedOn w:val="Normal"/>
    <w:pPr>
      <w:tabs>
        <w:tab w:val="left" w:pos="1417"/>
        <w:tab w:val="left" w:pos="1984"/>
      </w:tabs>
      <w:spacing w:before="120" w:after="120"/>
      <w:ind w:left="2551" w:hanging="1701"/>
    </w:pPr>
    <w:rPr>
      <w:rFonts w:eastAsia="Calibri" w:cs="Times New Roman"/>
    </w:rPr>
  </w:style>
  <w:style w:type="paragraph" w:customStyle="1" w:styleId="PointTriple2">
    <w:name w:val="PointTriple 2"/>
    <w:basedOn w:val="Normal"/>
    <w:pPr>
      <w:tabs>
        <w:tab w:val="left" w:pos="1984"/>
        <w:tab w:val="left" w:pos="2551"/>
      </w:tabs>
      <w:spacing w:before="120" w:after="120"/>
      <w:ind w:left="3118" w:hanging="1701"/>
    </w:pPr>
    <w:rPr>
      <w:rFonts w:eastAsia="Calibri" w:cs="Times New Roman"/>
    </w:rPr>
  </w:style>
  <w:style w:type="paragraph" w:customStyle="1" w:styleId="PointTriple3">
    <w:name w:val="PointTriple 3"/>
    <w:basedOn w:val="Normal"/>
    <w:pPr>
      <w:tabs>
        <w:tab w:val="left" w:pos="2551"/>
        <w:tab w:val="left" w:pos="3118"/>
      </w:tabs>
      <w:spacing w:before="120" w:after="120"/>
      <w:ind w:left="3685" w:hanging="1701"/>
    </w:pPr>
    <w:rPr>
      <w:rFonts w:eastAsia="Calibri" w:cs="Times New Roman"/>
    </w:rPr>
  </w:style>
  <w:style w:type="paragraph" w:customStyle="1" w:styleId="PointTriple4">
    <w:name w:val="PointTriple 4"/>
    <w:basedOn w:val="Normal"/>
    <w:pPr>
      <w:tabs>
        <w:tab w:val="left" w:pos="3118"/>
        <w:tab w:val="left" w:pos="3685"/>
      </w:tabs>
      <w:spacing w:before="120" w:after="120"/>
      <w:ind w:left="4252" w:hanging="1701"/>
    </w:pPr>
    <w:rPr>
      <w:rFonts w:eastAsia="Calibri" w:cs="Times New Roman"/>
    </w:rPr>
  </w:style>
  <w:style w:type="paragraph" w:customStyle="1" w:styleId="NumPar1">
    <w:name w:val="NumPar 1"/>
    <w:basedOn w:val="Normal"/>
    <w:next w:val="Text1"/>
    <w:pPr>
      <w:numPr>
        <w:numId w:val="16"/>
      </w:numPr>
      <w:spacing w:before="120" w:after="120"/>
    </w:pPr>
    <w:rPr>
      <w:rFonts w:eastAsia="Calibri" w:cs="Times New Roman"/>
    </w:rPr>
  </w:style>
  <w:style w:type="paragraph" w:customStyle="1" w:styleId="NumPar2">
    <w:name w:val="NumPar 2"/>
    <w:basedOn w:val="Normal"/>
    <w:next w:val="Text1"/>
    <w:pPr>
      <w:numPr>
        <w:ilvl w:val="1"/>
        <w:numId w:val="16"/>
      </w:numPr>
      <w:spacing w:before="120" w:after="120"/>
    </w:pPr>
    <w:rPr>
      <w:rFonts w:eastAsia="Calibri" w:cs="Times New Roman"/>
    </w:rPr>
  </w:style>
  <w:style w:type="paragraph" w:customStyle="1" w:styleId="NumPar3">
    <w:name w:val="NumPar 3"/>
    <w:basedOn w:val="Normal"/>
    <w:next w:val="Text1"/>
    <w:pPr>
      <w:numPr>
        <w:ilvl w:val="2"/>
        <w:numId w:val="16"/>
      </w:numPr>
      <w:spacing w:before="120" w:after="120"/>
    </w:pPr>
    <w:rPr>
      <w:rFonts w:eastAsia="Calibri" w:cs="Times New Roman"/>
    </w:rPr>
  </w:style>
  <w:style w:type="paragraph" w:customStyle="1" w:styleId="NumPar4">
    <w:name w:val="NumPar 4"/>
    <w:basedOn w:val="Normal"/>
    <w:next w:val="Text1"/>
    <w:pPr>
      <w:numPr>
        <w:ilvl w:val="3"/>
        <w:numId w:val="16"/>
      </w:numPr>
      <w:spacing w:before="120" w:after="120"/>
    </w:pPr>
    <w:rPr>
      <w:rFonts w:eastAsia="Calibri" w:cs="Times New Roman"/>
    </w:rPr>
  </w:style>
  <w:style w:type="paragraph" w:customStyle="1" w:styleId="ManualNumPar1">
    <w:name w:val="Manual NumPar 1"/>
    <w:basedOn w:val="Normal"/>
    <w:next w:val="Text1"/>
    <w:pPr>
      <w:spacing w:before="120" w:after="120"/>
      <w:ind w:left="850" w:hanging="850"/>
    </w:pPr>
    <w:rPr>
      <w:rFonts w:eastAsia="Calibri" w:cs="Times New Roman"/>
    </w:rPr>
  </w:style>
  <w:style w:type="paragraph" w:customStyle="1" w:styleId="ManualNumPar2">
    <w:name w:val="Manual NumPar 2"/>
    <w:basedOn w:val="Normal"/>
    <w:next w:val="Text1"/>
    <w:pPr>
      <w:spacing w:before="120" w:after="120"/>
      <w:ind w:left="850" w:hanging="850"/>
    </w:pPr>
    <w:rPr>
      <w:rFonts w:eastAsia="Calibri" w:cs="Times New Roman"/>
    </w:rPr>
  </w:style>
  <w:style w:type="paragraph" w:customStyle="1" w:styleId="ManualNumPar3">
    <w:name w:val="Manual NumPar 3"/>
    <w:basedOn w:val="Normal"/>
    <w:next w:val="Text1"/>
    <w:pPr>
      <w:spacing w:before="120" w:after="120"/>
      <w:ind w:left="850" w:hanging="850"/>
    </w:pPr>
    <w:rPr>
      <w:rFonts w:eastAsia="Calibri" w:cs="Times New Roman"/>
    </w:rPr>
  </w:style>
  <w:style w:type="paragraph" w:customStyle="1" w:styleId="ManualNumPar4">
    <w:name w:val="Manual NumPar 4"/>
    <w:basedOn w:val="Normal"/>
    <w:next w:val="Text1"/>
    <w:pPr>
      <w:spacing w:before="120" w:after="120"/>
      <w:ind w:left="850" w:hanging="850"/>
    </w:pPr>
    <w:rPr>
      <w:rFonts w:eastAsia="Calibri" w:cs="Times New Roman"/>
    </w:rPr>
  </w:style>
  <w:style w:type="paragraph" w:customStyle="1" w:styleId="QuotedNumPar">
    <w:name w:val="Quoted NumPar"/>
    <w:basedOn w:val="Normal"/>
    <w:pPr>
      <w:spacing w:before="120" w:after="120"/>
      <w:ind w:left="1417" w:hanging="567"/>
    </w:pPr>
    <w:rPr>
      <w:rFonts w:eastAsia="Calibri" w:cs="Times New Roman"/>
    </w:rPr>
  </w:style>
  <w:style w:type="paragraph" w:customStyle="1" w:styleId="ManualHeading1">
    <w:name w:val="Manual Heading 1"/>
    <w:basedOn w:val="Normal"/>
    <w:next w:val="Text1"/>
    <w:pPr>
      <w:keepNext/>
      <w:tabs>
        <w:tab w:val="left" w:pos="850"/>
      </w:tabs>
      <w:spacing w:before="360" w:after="120"/>
      <w:ind w:left="850" w:hanging="850"/>
      <w:outlineLvl w:val="0"/>
    </w:pPr>
    <w:rPr>
      <w:rFonts w:eastAsia="Calibri" w:cs="Times New Roman"/>
      <w:b/>
      <w:smallCaps/>
    </w:rPr>
  </w:style>
  <w:style w:type="paragraph" w:customStyle="1" w:styleId="ManualHeading2">
    <w:name w:val="Manual Heading 2"/>
    <w:basedOn w:val="Normal"/>
    <w:next w:val="Text1"/>
    <w:pPr>
      <w:keepNext/>
      <w:tabs>
        <w:tab w:val="left" w:pos="850"/>
      </w:tabs>
      <w:spacing w:before="120" w:after="120"/>
      <w:ind w:left="850" w:hanging="850"/>
      <w:outlineLvl w:val="1"/>
    </w:pPr>
    <w:rPr>
      <w:rFonts w:eastAsia="Calibri" w:cs="Times New Roman"/>
      <w:b/>
    </w:rPr>
  </w:style>
  <w:style w:type="paragraph" w:customStyle="1" w:styleId="ManualHeading3">
    <w:name w:val="Manual Heading 3"/>
    <w:basedOn w:val="Normal"/>
    <w:next w:val="Text1"/>
    <w:pPr>
      <w:keepNext/>
      <w:tabs>
        <w:tab w:val="left" w:pos="850"/>
      </w:tabs>
      <w:spacing w:before="120" w:after="120"/>
      <w:ind w:left="850" w:hanging="850"/>
      <w:outlineLvl w:val="2"/>
    </w:pPr>
    <w:rPr>
      <w:rFonts w:eastAsia="Calibri" w:cs="Times New Roman"/>
      <w:i/>
    </w:rPr>
  </w:style>
  <w:style w:type="paragraph" w:customStyle="1" w:styleId="ManualHeading4">
    <w:name w:val="Manual Heading 4"/>
    <w:basedOn w:val="Normal"/>
    <w:next w:val="Text1"/>
    <w:pPr>
      <w:keepNext/>
      <w:tabs>
        <w:tab w:val="left" w:pos="850"/>
      </w:tabs>
      <w:spacing w:before="120" w:after="120"/>
      <w:ind w:left="850" w:hanging="850"/>
      <w:outlineLvl w:val="3"/>
    </w:pPr>
    <w:rPr>
      <w:rFonts w:eastAsia="Calibri" w:cs="Times New Roman"/>
    </w:rPr>
  </w:style>
  <w:style w:type="paragraph" w:customStyle="1" w:styleId="ChapterTitle">
    <w:name w:val="ChapterTitle"/>
    <w:basedOn w:val="Normal"/>
    <w:next w:val="Normal"/>
    <w:pPr>
      <w:keepNext/>
      <w:spacing w:before="120" w:after="360"/>
      <w:jc w:val="center"/>
    </w:pPr>
    <w:rPr>
      <w:rFonts w:eastAsia="Calibri" w:cs="Times New Roman"/>
      <w:b/>
      <w:sz w:val="32"/>
    </w:rPr>
  </w:style>
  <w:style w:type="paragraph" w:customStyle="1" w:styleId="PartTitle">
    <w:name w:val="PartTitle"/>
    <w:basedOn w:val="Normal"/>
    <w:next w:val="ChapterTitle"/>
    <w:pPr>
      <w:keepNext/>
      <w:pageBreakBefore/>
      <w:spacing w:before="120" w:after="360"/>
      <w:jc w:val="center"/>
    </w:pPr>
    <w:rPr>
      <w:rFonts w:eastAsia="Calibri" w:cs="Times New Roman"/>
      <w:b/>
      <w:sz w:val="36"/>
    </w:rPr>
  </w:style>
  <w:style w:type="paragraph" w:customStyle="1" w:styleId="SectionTitle">
    <w:name w:val="SectionTitle"/>
    <w:basedOn w:val="Normal"/>
    <w:next w:val="Heading1"/>
    <w:pPr>
      <w:keepNext/>
      <w:spacing w:before="120" w:after="360"/>
      <w:jc w:val="center"/>
    </w:pPr>
    <w:rPr>
      <w:rFonts w:eastAsia="Calibri" w:cs="Times New Roman"/>
      <w:b/>
      <w:smallCaps/>
      <w:sz w:val="28"/>
    </w:rPr>
  </w:style>
  <w:style w:type="paragraph" w:customStyle="1" w:styleId="TableTitle">
    <w:name w:val="Table Title"/>
    <w:basedOn w:val="Normal"/>
    <w:next w:val="Normal"/>
    <w:pPr>
      <w:spacing w:before="120" w:after="120"/>
      <w:jc w:val="center"/>
    </w:pPr>
    <w:rPr>
      <w:rFonts w:eastAsia="Calibri" w:cs="Times New Roman"/>
      <w:b/>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numId w:val="17"/>
      </w:numPr>
      <w:spacing w:before="120" w:after="120"/>
    </w:pPr>
    <w:rPr>
      <w:rFonts w:eastAsia="Calibri" w:cs="Times New Roman"/>
    </w:rPr>
  </w:style>
  <w:style w:type="paragraph" w:customStyle="1" w:styleId="Point1number">
    <w:name w:val="Point 1 (number)"/>
    <w:basedOn w:val="Normal"/>
    <w:pPr>
      <w:numPr>
        <w:ilvl w:val="2"/>
        <w:numId w:val="17"/>
      </w:numPr>
      <w:spacing w:before="120" w:after="120"/>
    </w:pPr>
    <w:rPr>
      <w:rFonts w:eastAsia="Calibri" w:cs="Times New Roman"/>
    </w:rPr>
  </w:style>
  <w:style w:type="paragraph" w:customStyle="1" w:styleId="Point2number">
    <w:name w:val="Point 2 (number)"/>
    <w:basedOn w:val="Normal"/>
    <w:pPr>
      <w:numPr>
        <w:ilvl w:val="4"/>
        <w:numId w:val="17"/>
      </w:numPr>
      <w:spacing w:before="120" w:after="120"/>
    </w:pPr>
    <w:rPr>
      <w:rFonts w:eastAsia="Calibri" w:cs="Times New Roman"/>
    </w:rPr>
  </w:style>
  <w:style w:type="paragraph" w:customStyle="1" w:styleId="Point3number">
    <w:name w:val="Point 3 (number)"/>
    <w:basedOn w:val="Normal"/>
    <w:pPr>
      <w:numPr>
        <w:ilvl w:val="6"/>
        <w:numId w:val="17"/>
      </w:numPr>
      <w:spacing w:before="120" w:after="120"/>
    </w:pPr>
    <w:rPr>
      <w:rFonts w:eastAsia="Calibri" w:cs="Times New Roman"/>
    </w:rPr>
  </w:style>
  <w:style w:type="paragraph" w:customStyle="1" w:styleId="Point0letter">
    <w:name w:val="Point 0 (letter)"/>
    <w:basedOn w:val="Normal"/>
    <w:pPr>
      <w:numPr>
        <w:ilvl w:val="1"/>
        <w:numId w:val="17"/>
      </w:numPr>
      <w:spacing w:before="120" w:after="120"/>
    </w:pPr>
    <w:rPr>
      <w:rFonts w:eastAsia="Calibri" w:cs="Times New Roman"/>
    </w:rPr>
  </w:style>
  <w:style w:type="paragraph" w:customStyle="1" w:styleId="Point1letter">
    <w:name w:val="Point 1 (letter)"/>
    <w:basedOn w:val="Normal"/>
    <w:pPr>
      <w:numPr>
        <w:ilvl w:val="3"/>
        <w:numId w:val="17"/>
      </w:numPr>
      <w:spacing w:before="120" w:after="120"/>
    </w:pPr>
    <w:rPr>
      <w:rFonts w:eastAsia="Calibri" w:cs="Times New Roman"/>
    </w:rPr>
  </w:style>
  <w:style w:type="paragraph" w:customStyle="1" w:styleId="Point2letter">
    <w:name w:val="Point 2 (letter)"/>
    <w:basedOn w:val="Normal"/>
    <w:pPr>
      <w:numPr>
        <w:ilvl w:val="5"/>
        <w:numId w:val="17"/>
      </w:numPr>
      <w:spacing w:before="120" w:after="120"/>
    </w:pPr>
    <w:rPr>
      <w:rFonts w:eastAsia="Calibri" w:cs="Times New Roman"/>
    </w:rPr>
  </w:style>
  <w:style w:type="paragraph" w:customStyle="1" w:styleId="Point3letter">
    <w:name w:val="Point 3 (letter)"/>
    <w:basedOn w:val="Normal"/>
    <w:pPr>
      <w:numPr>
        <w:ilvl w:val="7"/>
        <w:numId w:val="17"/>
      </w:numPr>
      <w:spacing w:before="120" w:after="120"/>
    </w:pPr>
    <w:rPr>
      <w:rFonts w:eastAsia="Calibri" w:cs="Times New Roman"/>
    </w:rPr>
  </w:style>
  <w:style w:type="paragraph" w:customStyle="1" w:styleId="Point4letter">
    <w:name w:val="Point 4 (letter)"/>
    <w:basedOn w:val="Normal"/>
    <w:pPr>
      <w:numPr>
        <w:ilvl w:val="8"/>
        <w:numId w:val="17"/>
      </w:numPr>
      <w:spacing w:before="120" w:after="120"/>
    </w:pPr>
    <w:rPr>
      <w:rFonts w:eastAsia="Calibri" w:cs="Times New Roman"/>
    </w:rPr>
  </w:style>
  <w:style w:type="paragraph" w:customStyle="1" w:styleId="Bullet0">
    <w:name w:val="Bullet 0"/>
    <w:basedOn w:val="Normal"/>
    <w:pPr>
      <w:numPr>
        <w:numId w:val="18"/>
      </w:numPr>
      <w:spacing w:before="120" w:after="120"/>
    </w:pPr>
    <w:rPr>
      <w:rFonts w:eastAsia="Calibri" w:cs="Times New Roman"/>
    </w:rPr>
  </w:style>
  <w:style w:type="paragraph" w:customStyle="1" w:styleId="Bullet1">
    <w:name w:val="Bullet 1"/>
    <w:basedOn w:val="Normal"/>
    <w:pPr>
      <w:numPr>
        <w:numId w:val="19"/>
      </w:numPr>
      <w:spacing w:before="120" w:after="120"/>
    </w:pPr>
    <w:rPr>
      <w:rFonts w:eastAsia="Calibri" w:cs="Times New Roman"/>
    </w:rPr>
  </w:style>
  <w:style w:type="paragraph" w:customStyle="1" w:styleId="Bullet2">
    <w:name w:val="Bullet 2"/>
    <w:basedOn w:val="Normal"/>
    <w:pPr>
      <w:numPr>
        <w:numId w:val="20"/>
      </w:numPr>
      <w:spacing w:before="120" w:after="120"/>
    </w:pPr>
    <w:rPr>
      <w:rFonts w:eastAsia="Calibri" w:cs="Times New Roman"/>
    </w:rPr>
  </w:style>
  <w:style w:type="paragraph" w:customStyle="1" w:styleId="Bullet3">
    <w:name w:val="Bullet 3"/>
    <w:basedOn w:val="Normal"/>
    <w:pPr>
      <w:numPr>
        <w:numId w:val="21"/>
      </w:numPr>
      <w:spacing w:before="120" w:after="120"/>
    </w:pPr>
    <w:rPr>
      <w:rFonts w:eastAsia="Calibri" w:cs="Times New Roman"/>
    </w:rPr>
  </w:style>
  <w:style w:type="paragraph" w:customStyle="1" w:styleId="Bullet4">
    <w:name w:val="Bullet 4"/>
    <w:basedOn w:val="Normal"/>
    <w:pPr>
      <w:numPr>
        <w:numId w:val="22"/>
      </w:numPr>
      <w:spacing w:before="120" w:after="120"/>
    </w:pPr>
    <w:rPr>
      <w:rFonts w:eastAsia="Calibri" w:cs="Times New Roman"/>
    </w:rPr>
  </w:style>
  <w:style w:type="paragraph" w:customStyle="1" w:styleId="Annexetitreexpos">
    <w:name w:val="Annexe titre (exposé)"/>
    <w:basedOn w:val="Normal"/>
    <w:next w:val="Normal"/>
    <w:pPr>
      <w:spacing w:before="120" w:after="120"/>
      <w:jc w:val="center"/>
    </w:pPr>
    <w:rPr>
      <w:rFonts w:eastAsia="Calibri" w:cs="Times New Roman"/>
      <w:b/>
      <w:u w:val="single"/>
    </w:rPr>
  </w:style>
  <w:style w:type="paragraph" w:customStyle="1" w:styleId="Annexetitre">
    <w:name w:val="Annexe titre"/>
    <w:basedOn w:val="Normal"/>
    <w:next w:val="Normal"/>
    <w:pPr>
      <w:spacing w:before="120" w:after="120"/>
      <w:jc w:val="center"/>
    </w:pPr>
    <w:rPr>
      <w:rFonts w:eastAsia="Calibri" w:cs="Times New Roman"/>
      <w:b/>
      <w:u w:val="single"/>
    </w:rPr>
  </w:style>
  <w:style w:type="paragraph" w:customStyle="1" w:styleId="Annexetitrefichefinancire">
    <w:name w:val="Annexe titre (fiche financière)"/>
    <w:basedOn w:val="Normal"/>
    <w:next w:val="Normal"/>
    <w:pPr>
      <w:spacing w:before="120" w:after="120"/>
      <w:jc w:val="center"/>
    </w:pPr>
    <w:rPr>
      <w:rFonts w:eastAsia="Calibri" w:cs="Times New Roman"/>
      <w:b/>
      <w:u w:val="single"/>
    </w:rPr>
  </w:style>
  <w:style w:type="paragraph" w:customStyle="1" w:styleId="Applicationdirecte">
    <w:name w:val="Application directe"/>
    <w:basedOn w:val="Normal"/>
    <w:next w:val="Fait"/>
    <w:pPr>
      <w:spacing w:before="480" w:after="120"/>
    </w:pPr>
    <w:rPr>
      <w:rFonts w:eastAsia="Calibri" w:cs="Times New Roman"/>
    </w:rPr>
  </w:style>
  <w:style w:type="paragraph" w:customStyle="1" w:styleId="Avertissementtitre">
    <w:name w:val="Avertissement titre"/>
    <w:basedOn w:val="Normal"/>
    <w:next w:val="Normal"/>
    <w:pPr>
      <w:keepNext/>
      <w:spacing w:before="480" w:after="120"/>
    </w:pPr>
    <w:rPr>
      <w:rFonts w:eastAsia="Calibri" w:cs="Times New Roman"/>
      <w:u w:val="single"/>
    </w:rPr>
  </w:style>
  <w:style w:type="paragraph" w:customStyle="1" w:styleId="Confidence">
    <w:name w:val="Confidence"/>
    <w:basedOn w:val="Normal"/>
    <w:next w:val="Normal"/>
    <w:pPr>
      <w:spacing w:before="360" w:after="120"/>
      <w:jc w:val="center"/>
    </w:pPr>
    <w:rPr>
      <w:rFonts w:eastAsia="Calibri" w:cs="Times New Roman"/>
    </w:rPr>
  </w:style>
  <w:style w:type="paragraph" w:customStyle="1" w:styleId="Confidentialit">
    <w:name w:val="Confidentialité"/>
    <w:basedOn w:val="Normal"/>
    <w:next w:val="TypedudocumentPagedecouverture"/>
    <w:pPr>
      <w:spacing w:before="240" w:after="240"/>
      <w:ind w:left="5103"/>
    </w:pPr>
    <w:rPr>
      <w:rFonts w:eastAsia="Calibri" w:cs="Times New Roman"/>
      <w:i/>
      <w:sz w:val="32"/>
    </w:rPr>
  </w:style>
  <w:style w:type="paragraph" w:customStyle="1" w:styleId="Considrant">
    <w:name w:val="Considérant"/>
    <w:basedOn w:val="Normal"/>
    <w:pPr>
      <w:numPr>
        <w:numId w:val="23"/>
      </w:numPr>
      <w:spacing w:before="120" w:after="120"/>
    </w:pPr>
    <w:rPr>
      <w:rFonts w:eastAsia="Calibri" w:cs="Times New Roman"/>
    </w:rPr>
  </w:style>
  <w:style w:type="paragraph" w:customStyle="1" w:styleId="Corrigendum">
    <w:name w:val="Corrigendum"/>
    <w:basedOn w:val="Normal"/>
    <w:next w:val="Normal"/>
    <w:pPr>
      <w:spacing w:after="240"/>
    </w:pPr>
    <w:rPr>
      <w:rFonts w:eastAsia="Calibri" w:cs="Times New Roman"/>
    </w:rPr>
  </w:style>
  <w:style w:type="paragraph" w:customStyle="1" w:styleId="Datedadoption">
    <w:name w:val="Date d'adoption"/>
    <w:basedOn w:val="Normal"/>
    <w:next w:val="Titreobjet"/>
    <w:pPr>
      <w:spacing w:before="360" w:after="0"/>
      <w:jc w:val="center"/>
    </w:pPr>
    <w:rPr>
      <w:rFonts w:eastAsia="Calibri" w:cs="Times New Roman"/>
      <w:b/>
    </w:rPr>
  </w:style>
  <w:style w:type="paragraph" w:customStyle="1" w:styleId="Emission">
    <w:name w:val="Emission"/>
    <w:basedOn w:val="Normal"/>
    <w:next w:val="Rfrenceinstitutionnelle"/>
    <w:pPr>
      <w:spacing w:after="0"/>
      <w:ind w:left="5103"/>
    </w:pPr>
    <w:rPr>
      <w:rFonts w:eastAsia="Calibri" w:cs="Times New Roman"/>
    </w:rPr>
  </w:style>
  <w:style w:type="paragraph" w:customStyle="1" w:styleId="Exposdesmotifstitre">
    <w:name w:val="Exposé des motifs titre"/>
    <w:basedOn w:val="Normal"/>
    <w:next w:val="Normal"/>
    <w:pPr>
      <w:spacing w:before="120" w:after="120"/>
      <w:jc w:val="center"/>
    </w:pPr>
    <w:rPr>
      <w:rFonts w:eastAsia="Calibri" w:cs="Times New Roman"/>
      <w:b/>
      <w:u w:val="single"/>
    </w:rPr>
  </w:style>
  <w:style w:type="paragraph" w:customStyle="1" w:styleId="Fait">
    <w:name w:val="Fait à"/>
    <w:basedOn w:val="Normal"/>
    <w:next w:val="Institutionquisigne"/>
    <w:pPr>
      <w:keepNext/>
      <w:spacing w:before="120" w:after="0"/>
    </w:pPr>
    <w:rPr>
      <w:rFonts w:eastAsia="Calibri" w:cs="Times New Roman"/>
    </w:rPr>
  </w:style>
  <w:style w:type="paragraph" w:customStyle="1" w:styleId="Formuledadoption">
    <w:name w:val="Formule d'adoption"/>
    <w:basedOn w:val="Normal"/>
    <w:next w:val="Titrearticle"/>
    <w:pPr>
      <w:keepNext/>
      <w:spacing w:before="120" w:after="120"/>
    </w:pPr>
    <w:rPr>
      <w:rFonts w:eastAsia="Calibri" w:cs="Times New Roman"/>
    </w:rPr>
  </w:style>
  <w:style w:type="paragraph" w:customStyle="1" w:styleId="Institutionquiagit">
    <w:name w:val="Institution qui agit"/>
    <w:basedOn w:val="Normal"/>
    <w:next w:val="Normal"/>
    <w:pPr>
      <w:keepNext/>
      <w:spacing w:before="600" w:after="120"/>
    </w:pPr>
    <w:rPr>
      <w:rFonts w:eastAsia="Calibri" w:cs="Times New Roman"/>
    </w:rPr>
  </w:style>
  <w:style w:type="paragraph" w:customStyle="1" w:styleId="Institutionquisigne">
    <w:name w:val="Institution qui signe"/>
    <w:basedOn w:val="Normal"/>
    <w:next w:val="Personnequisigne"/>
    <w:pPr>
      <w:keepNext/>
      <w:tabs>
        <w:tab w:val="left" w:pos="4252"/>
      </w:tabs>
      <w:spacing w:before="720" w:after="0"/>
    </w:pPr>
    <w:rPr>
      <w:rFonts w:eastAsia="Calibri" w:cs="Times New Roman"/>
      <w:i/>
    </w:rPr>
  </w:style>
  <w:style w:type="paragraph" w:customStyle="1" w:styleId="Langue">
    <w:name w:val="Langue"/>
    <w:basedOn w:val="Normal"/>
    <w:next w:val="Rfrenceinterne"/>
    <w:pPr>
      <w:framePr w:wrap="around" w:vAnchor="page" w:hAnchor="text" w:xAlign="center" w:y="14741"/>
      <w:spacing w:after="600"/>
      <w:jc w:val="center"/>
    </w:pPr>
    <w:rPr>
      <w:rFonts w:eastAsia="Calibri" w:cs="Times New Roman"/>
      <w:b/>
      <w:caps/>
    </w:rPr>
  </w:style>
  <w:style w:type="paragraph" w:customStyle="1" w:styleId="ManualConsidrant">
    <w:name w:val="Manual Considérant"/>
    <w:basedOn w:val="Normal"/>
    <w:pPr>
      <w:spacing w:before="120" w:after="120"/>
      <w:ind w:left="709" w:hanging="709"/>
    </w:pPr>
    <w:rPr>
      <w:rFonts w:eastAsia="Calibri" w:cs="Times New Roman"/>
    </w:rPr>
  </w:style>
  <w:style w:type="paragraph" w:customStyle="1" w:styleId="Nomdelinstitution">
    <w:name w:val="Nom de l'institution"/>
    <w:basedOn w:val="Normal"/>
    <w:next w:val="Emission"/>
    <w:pPr>
      <w:spacing w:after="0"/>
    </w:pPr>
    <w:rPr>
      <w:rFonts w:ascii="Arial" w:eastAsia="Calibri" w:hAnsi="Arial" w:cs="Arial"/>
    </w:rPr>
  </w:style>
  <w:style w:type="paragraph" w:customStyle="1" w:styleId="Personnequisigne">
    <w:name w:val="Personne qui signe"/>
    <w:basedOn w:val="Normal"/>
    <w:next w:val="Institutionquisigne"/>
    <w:pPr>
      <w:tabs>
        <w:tab w:val="left" w:pos="4252"/>
      </w:tabs>
      <w:spacing w:after="0"/>
    </w:pPr>
    <w:rPr>
      <w:rFonts w:eastAsia="Calibri" w:cs="Times New Roman"/>
      <w:i/>
    </w:rPr>
  </w:style>
  <w:style w:type="paragraph" w:customStyle="1" w:styleId="Rfrenceinstitutionnelle">
    <w:name w:val="Référence institutionnelle"/>
    <w:basedOn w:val="Normal"/>
    <w:next w:val="Confidentialit"/>
    <w:pPr>
      <w:spacing w:after="240"/>
      <w:ind w:left="5103"/>
    </w:pPr>
    <w:rPr>
      <w:rFonts w:eastAsia="Calibri" w:cs="Times New Roman"/>
    </w:rPr>
  </w:style>
  <w:style w:type="paragraph" w:customStyle="1" w:styleId="Rfrenceinterinstitutionnelle">
    <w:name w:val="Référence interinstitutionnelle"/>
    <w:basedOn w:val="Normal"/>
    <w:next w:val="Statut"/>
    <w:pPr>
      <w:spacing w:after="0"/>
      <w:ind w:left="5103"/>
    </w:pPr>
    <w:rPr>
      <w:rFonts w:eastAsia="Calibri" w:cs="Times New Roman"/>
    </w:rPr>
  </w:style>
  <w:style w:type="paragraph" w:customStyle="1" w:styleId="Rfrenceinterne">
    <w:name w:val="Référence interne"/>
    <w:basedOn w:val="Normal"/>
    <w:next w:val="Rfrenceinterinstitutionnelle"/>
    <w:pPr>
      <w:spacing w:after="0"/>
      <w:ind w:left="5103"/>
    </w:pPr>
    <w:rPr>
      <w:rFonts w:eastAsia="Calibri" w:cs="Times New Roman"/>
    </w:rPr>
  </w:style>
  <w:style w:type="paragraph" w:customStyle="1" w:styleId="Sous-titreobjet">
    <w:name w:val="Sous-titre objet"/>
    <w:basedOn w:val="Normal"/>
    <w:pPr>
      <w:spacing w:after="0"/>
      <w:jc w:val="center"/>
    </w:pPr>
    <w:rPr>
      <w:rFonts w:eastAsia="Calibri" w:cs="Times New Roman"/>
      <w:b/>
    </w:rPr>
  </w:style>
  <w:style w:type="paragraph" w:customStyle="1" w:styleId="Statut">
    <w:name w:val="Statut"/>
    <w:basedOn w:val="Normal"/>
    <w:next w:val="Typedudocument"/>
    <w:pPr>
      <w:spacing w:before="360" w:after="0"/>
      <w:jc w:val="center"/>
    </w:pPr>
    <w:rPr>
      <w:rFonts w:eastAsia="Calibri" w:cs="Times New Roman"/>
    </w:rPr>
  </w:style>
  <w:style w:type="paragraph" w:customStyle="1" w:styleId="Titrearticle">
    <w:name w:val="Titre article"/>
    <w:basedOn w:val="Normal"/>
    <w:next w:val="Normal"/>
    <w:pPr>
      <w:keepNext/>
      <w:spacing w:before="360" w:after="120"/>
      <w:jc w:val="center"/>
    </w:pPr>
    <w:rPr>
      <w:rFonts w:eastAsia="Calibri" w:cs="Times New Roman"/>
      <w:i/>
    </w:rPr>
  </w:style>
  <w:style w:type="paragraph" w:customStyle="1" w:styleId="Titreobjet">
    <w:name w:val="Titre objet"/>
    <w:basedOn w:val="Normal"/>
    <w:next w:val="Sous-titreobjet"/>
    <w:pPr>
      <w:spacing w:before="360" w:after="360"/>
      <w:jc w:val="center"/>
    </w:pPr>
    <w:rPr>
      <w:rFonts w:eastAsia="Calibri" w:cs="Times New Roman"/>
      <w:b/>
    </w:rPr>
  </w:style>
  <w:style w:type="paragraph" w:customStyle="1" w:styleId="Typedudocument">
    <w:name w:val="Type du document"/>
    <w:basedOn w:val="Normal"/>
    <w:next w:val="Titreobjet"/>
    <w:pPr>
      <w:spacing w:before="360" w:after="0"/>
      <w:jc w:val="center"/>
    </w:pPr>
    <w:rPr>
      <w:rFonts w:eastAsia="Calibri" w:cs="Times New Roman"/>
      <w:b/>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eastAsia="Calibri" w:cs="Times New Roman"/>
    </w:rPr>
  </w:style>
  <w:style w:type="paragraph" w:customStyle="1" w:styleId="Objetexterne">
    <w:name w:val="Objet externe"/>
    <w:basedOn w:val="Normal"/>
    <w:next w:val="Normal"/>
    <w:pPr>
      <w:spacing w:before="120" w:after="120"/>
    </w:pPr>
    <w:rPr>
      <w:rFonts w:eastAsia="Calibri" w:cs="Times New Roman"/>
      <w:i/>
      <w:caps/>
    </w:rPr>
  </w:style>
  <w:style w:type="paragraph" w:customStyle="1" w:styleId="Supertitre">
    <w:name w:val="Supertitre"/>
    <w:basedOn w:val="Normal"/>
    <w:next w:val="Normal"/>
    <w:pPr>
      <w:spacing w:after="600"/>
      <w:jc w:val="center"/>
    </w:pPr>
    <w:rPr>
      <w:rFonts w:eastAsia="Calibri" w:cs="Times New Roman"/>
      <w:b/>
    </w:rPr>
  </w:style>
  <w:style w:type="paragraph" w:customStyle="1" w:styleId="Languesfaisantfoi">
    <w:name w:val="Langues faisant foi"/>
    <w:basedOn w:val="Normal"/>
    <w:next w:val="Normal"/>
    <w:pPr>
      <w:spacing w:before="360" w:after="0"/>
      <w:jc w:val="center"/>
    </w:pPr>
    <w:rPr>
      <w:rFonts w:eastAsia="Calibri" w:cs="Times New Roman"/>
    </w:rPr>
  </w:style>
  <w:style w:type="paragraph" w:customStyle="1" w:styleId="Rfrencecroise">
    <w:name w:val="Référence croisée"/>
    <w:basedOn w:val="Normal"/>
    <w:pPr>
      <w:spacing w:after="0"/>
      <w:jc w:val="center"/>
    </w:pPr>
    <w:rPr>
      <w:rFonts w:eastAsia="Calibri" w:cs="Times New Roman"/>
    </w:rPr>
  </w:style>
  <w:style w:type="paragraph" w:customStyle="1" w:styleId="Fichefinanciretitre">
    <w:name w:val="Fiche financière titre"/>
    <w:basedOn w:val="Normal"/>
    <w:next w:val="Normal"/>
    <w:pPr>
      <w:spacing w:before="120" w:after="120"/>
      <w:jc w:val="center"/>
    </w:pPr>
    <w:rPr>
      <w:rFonts w:eastAsia="Calibri" w:cs="Times New Roman"/>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ind w:left="5103"/>
    </w:pPr>
    <w:rPr>
      <w:rFonts w:eastAsia="Calibri" w:cs="Times New Roman"/>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jc w:val="center"/>
    </w:pPr>
    <w:rPr>
      <w:rFonts w:eastAsia="Calibri" w:cs="Times New Roman"/>
      <w:b/>
      <w:i/>
    </w:rPr>
  </w:style>
  <w:style w:type="paragraph" w:customStyle="1" w:styleId="Typeacteprincipal">
    <w:name w:val="Type acte principal"/>
    <w:basedOn w:val="Normal"/>
    <w:next w:val="Objetacteprincipal"/>
    <w:pPr>
      <w:spacing w:after="240"/>
      <w:jc w:val="center"/>
    </w:pPr>
    <w:rPr>
      <w:rFonts w:eastAsia="Calibri" w:cs="Times New Roman"/>
      <w:b/>
    </w:rPr>
  </w:style>
  <w:style w:type="paragraph" w:customStyle="1" w:styleId="Objetacteprincipal">
    <w:name w:val="Objet acte principal"/>
    <w:basedOn w:val="Normal"/>
    <w:next w:val="Titrearticle"/>
    <w:pPr>
      <w:spacing w:after="360"/>
      <w:jc w:val="center"/>
    </w:pPr>
    <w:rPr>
      <w:rFonts w:eastAsia="Calibri" w:cs="Times New Roman"/>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rPr>
      <w:rFonts w:eastAsia="Calibri" w:cs="Times New Roman"/>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sz w:val="20"/>
      <w:szCs w:val="20"/>
    </w:rPr>
  </w:style>
  <w:style w:type="character" w:styleId="EndnoteReference">
    <w:name w:val="end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
      </w:numPr>
      <w:spacing w:before="360" w:after="120"/>
      <w:outlineLvl w:val="0"/>
    </w:pPr>
    <w:rPr>
      <w:rFonts w:eastAsia="Times New Roman" w:cs="Times New Roman"/>
      <w:b/>
      <w:bCs/>
      <w:smallCaps/>
      <w:szCs w:val="28"/>
    </w:rPr>
  </w:style>
  <w:style w:type="paragraph" w:styleId="Heading2">
    <w:name w:val="heading 2"/>
    <w:basedOn w:val="Normal"/>
    <w:next w:val="Text1"/>
    <w:link w:val="Heading2Char"/>
    <w:uiPriority w:val="9"/>
    <w:qFormat/>
    <w:pPr>
      <w:keepNext/>
      <w:numPr>
        <w:ilvl w:val="1"/>
        <w:numId w:val="3"/>
      </w:numPr>
      <w:spacing w:before="120" w:after="120"/>
      <w:outlineLvl w:val="1"/>
    </w:pPr>
    <w:rPr>
      <w:rFonts w:eastAsia="Times New Roman" w:cs="Times New Roman"/>
      <w:b/>
      <w:bCs/>
      <w:szCs w:val="26"/>
    </w:rPr>
  </w:style>
  <w:style w:type="paragraph" w:styleId="Heading3">
    <w:name w:val="heading 3"/>
    <w:basedOn w:val="Normal"/>
    <w:next w:val="Text1"/>
    <w:link w:val="Heading3Char"/>
    <w:uiPriority w:val="9"/>
    <w:qFormat/>
    <w:pPr>
      <w:keepNext/>
      <w:numPr>
        <w:ilvl w:val="2"/>
        <w:numId w:val="3"/>
      </w:numPr>
      <w:spacing w:before="120" w:after="120"/>
      <w:outlineLvl w:val="2"/>
    </w:pPr>
    <w:rPr>
      <w:rFonts w:eastAsia="Times New Roman" w:cs="Times New Roman"/>
      <w:bCs/>
      <w:i/>
    </w:rPr>
  </w:style>
  <w:style w:type="paragraph" w:styleId="Heading4">
    <w:name w:val="heading 4"/>
    <w:basedOn w:val="Normal"/>
    <w:next w:val="Text1"/>
    <w:link w:val="Heading4Char"/>
    <w:uiPriority w:val="9"/>
    <w:qFormat/>
    <w:pPr>
      <w:keepNext/>
      <w:numPr>
        <w:ilvl w:val="3"/>
        <w:numId w:val="3"/>
      </w:numPr>
      <w:spacing w:before="120" w:after="120"/>
      <w:outlineLvl w:val="3"/>
    </w:pPr>
    <w:rPr>
      <w:rFonts w:eastAsia="Times New Roman" w:cs="Times New Roman"/>
      <w:bCs/>
      <w:iCs/>
    </w:rPr>
  </w:style>
  <w:style w:type="paragraph" w:styleId="Heading5">
    <w:name w:val="heading 5"/>
    <w:basedOn w:val="Normal"/>
    <w:next w:val="Normal"/>
    <w:link w:val="Heading5Char"/>
    <w:uiPriority w:val="9"/>
    <w:qFormat/>
    <w:pPr>
      <w:keepNext/>
      <w:keepLines/>
      <w:spacing w:before="200" w:after="0"/>
      <w:ind w:left="1008" w:hanging="1008"/>
      <w:outlineLvl w:val="4"/>
    </w:pPr>
    <w:rPr>
      <w:rFonts w:ascii="Cambria" w:eastAsia="Times New Roman" w:hAnsi="Cambria" w:cs="Times New Roman"/>
      <w:color w:val="243F60"/>
    </w:rPr>
  </w:style>
  <w:style w:type="paragraph" w:styleId="Heading6">
    <w:name w:val="heading 6"/>
    <w:basedOn w:val="Normal"/>
    <w:next w:val="Normal"/>
    <w:link w:val="Heading6Char"/>
    <w:uiPriority w:val="9"/>
    <w:qFormat/>
    <w:pPr>
      <w:keepNext/>
      <w:keepLines/>
      <w:spacing w:before="200" w:after="0"/>
      <w:ind w:left="1152" w:hanging="1152"/>
      <w:outlineLvl w:val="5"/>
    </w:pPr>
    <w:rPr>
      <w:rFonts w:ascii="Cambria" w:eastAsia="Times New Roman" w:hAnsi="Cambria" w:cs="Times New Roman"/>
      <w:i/>
      <w:iCs/>
      <w:color w:val="243F60"/>
    </w:rPr>
  </w:style>
  <w:style w:type="paragraph" w:styleId="Heading7">
    <w:name w:val="heading 7"/>
    <w:basedOn w:val="Normal"/>
    <w:next w:val="Normal"/>
    <w:link w:val="Heading7Char"/>
    <w:uiPriority w:val="9"/>
    <w:qFormat/>
    <w:pPr>
      <w:keepNext/>
      <w:keepLines/>
      <w:spacing w:before="200" w:after="0"/>
      <w:ind w:left="1296" w:hanging="1296"/>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qFormat/>
    <w:pPr>
      <w:keepNext/>
      <w:keepLines/>
      <w:spacing w:before="200" w:after="0"/>
      <w:ind w:left="1440" w:hanging="1440"/>
      <w:outlineLvl w:val="7"/>
    </w:pPr>
    <w:rPr>
      <w:rFonts w:ascii="Cambria" w:eastAsia="Times New Roman" w:hAnsi="Cambria" w:cs="Times New Roman"/>
      <w:color w:val="404040"/>
      <w:sz w:val="20"/>
    </w:rPr>
  </w:style>
  <w:style w:type="paragraph" w:styleId="Heading9">
    <w:name w:val="heading 9"/>
    <w:basedOn w:val="Normal"/>
    <w:next w:val="Normal"/>
    <w:link w:val="Heading9Char"/>
    <w:uiPriority w:val="9"/>
    <w:qFormat/>
    <w:pPr>
      <w:keepNext/>
      <w:keepLines/>
      <w:spacing w:before="200" w:after="0"/>
      <w:ind w:left="1584" w:hanging="1584"/>
      <w:outlineLvl w:val="8"/>
    </w:pPr>
    <w:rPr>
      <w:rFonts w:ascii="Cambria" w:eastAsia="Times New Roman" w:hAnsi="Cambria" w:cs="Times New Roman"/>
      <w:i/>
      <w:iCs/>
      <w:color w:val="40404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cs="Times New Roman"/>
    </w:rPr>
  </w:style>
  <w:style w:type="paragraph" w:styleId="Header">
    <w:name w:val="header"/>
    <w:basedOn w:val="Normal"/>
    <w:link w:val="HeaderChar"/>
    <w:uiPriority w:val="99"/>
    <w:unhideWhenUsed/>
    <w:pPr>
      <w:tabs>
        <w:tab w:val="center" w:pos="4536"/>
        <w:tab w:val="right" w:pos="9072"/>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cs="Times New Roman"/>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pPr>
    <w:rPr>
      <w:rFonts w:cs="Times New Roman"/>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sv-SE"/>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sv-SE"/>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lang w:eastAsia="sv-SE"/>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lang w:eastAsia="sv-SE"/>
    </w:rPr>
  </w:style>
  <w:style w:type="character" w:customStyle="1" w:styleId="Heading5Char">
    <w:name w:val="Heading 5 Char"/>
    <w:basedOn w:val="DefaultParagraphFont"/>
    <w:link w:val="Heading5"/>
    <w:uiPriority w:val="9"/>
    <w:rPr>
      <w:rFonts w:ascii="Cambria" w:eastAsia="Times New Roman" w:hAnsi="Cambria" w:cs="Times New Roman"/>
      <w:color w:val="243F60"/>
    </w:rPr>
  </w:style>
  <w:style w:type="character" w:customStyle="1" w:styleId="Heading6Char">
    <w:name w:val="Heading 6 Char"/>
    <w:basedOn w:val="DefaultParagraphFont"/>
    <w:link w:val="Heading6"/>
    <w:uiPriority w:val="9"/>
    <w:rPr>
      <w:rFonts w:ascii="Cambria" w:eastAsia="Times New Roman" w:hAnsi="Cambria" w:cs="Times New Roman"/>
      <w:i/>
      <w:iCs/>
      <w:color w:val="243F60"/>
    </w:rPr>
  </w:style>
  <w:style w:type="character" w:customStyle="1" w:styleId="Heading7Char">
    <w:name w:val="Heading 7 Char"/>
    <w:basedOn w:val="DefaultParagraphFont"/>
    <w:link w:val="Heading7"/>
    <w:uiPriority w:val="9"/>
    <w:rPr>
      <w:rFonts w:ascii="Cambria" w:eastAsia="Times New Roman" w:hAnsi="Cambria" w:cs="Times New Roman"/>
      <w:i/>
      <w:iCs/>
      <w:color w:val="404040"/>
    </w:rPr>
  </w:style>
  <w:style w:type="character" w:customStyle="1" w:styleId="Heading8Char">
    <w:name w:val="Heading 8 Char"/>
    <w:basedOn w:val="DefaultParagraphFont"/>
    <w:link w:val="Heading8"/>
    <w:uiPriority w:val="9"/>
    <w:rPr>
      <w:rFonts w:ascii="Cambria" w:eastAsia="Times New Roman" w:hAnsi="Cambria" w:cs="Times New Roman"/>
      <w:color w:val="404040"/>
      <w:sz w:val="20"/>
    </w:rPr>
  </w:style>
  <w:style w:type="character" w:customStyle="1" w:styleId="Heading9Char">
    <w:name w:val="Heading 9 Char"/>
    <w:basedOn w:val="DefaultParagraphFont"/>
    <w:link w:val="Heading9"/>
    <w:uiPriority w:val="9"/>
    <w:rPr>
      <w:rFonts w:ascii="Cambria" w:eastAsia="Times New Roman" w:hAnsi="Cambria" w:cs="Times New Roman"/>
      <w:i/>
      <w:iCs/>
      <w:color w:val="404040"/>
      <w:sz w:val="20"/>
    </w:rPr>
  </w:style>
  <w:style w:type="character" w:styleId="Hyperlink">
    <w:name w:val="Hyperlink"/>
    <w:uiPriority w:val="99"/>
    <w:rPr>
      <w:color w:val="0000FF"/>
      <w:u w:val="single"/>
    </w:rPr>
  </w:style>
  <w:style w:type="paragraph" w:styleId="ListNumber3">
    <w:name w:val="List Number 3"/>
    <w:basedOn w:val="Normal"/>
    <w:uiPriority w:val="99"/>
    <w:pPr>
      <w:numPr>
        <w:numId w:val="1"/>
      </w:numPr>
      <w:spacing w:before="120" w:after="120"/>
      <w:contextualSpacing/>
    </w:pPr>
    <w:rPr>
      <w:rFonts w:eastAsia="Times New Roman" w:cs="Times New Roman"/>
      <w:szCs w:val="24"/>
    </w:rPr>
  </w:style>
  <w:style w:type="paragraph" w:customStyle="1" w:styleId="ListDash">
    <w:name w:val="List Dash"/>
    <w:basedOn w:val="Normal"/>
    <w:pPr>
      <w:numPr>
        <w:numId w:val="2"/>
      </w:numPr>
      <w:spacing w:after="240"/>
    </w:pPr>
    <w:rPr>
      <w:rFonts w:eastAsia="Times New Roman" w:cs="Times New Roman"/>
    </w:rPr>
  </w:style>
  <w:style w:type="paragraph" w:styleId="Caption">
    <w:name w:val="caption"/>
    <w:basedOn w:val="Normal"/>
    <w:next w:val="Normal"/>
    <w:uiPriority w:val="35"/>
    <w:qFormat/>
    <w:pPr>
      <w:numPr>
        <w:numId w:val="24"/>
      </w:numPr>
      <w:tabs>
        <w:tab w:val="clear" w:pos="283"/>
      </w:tabs>
      <w:spacing w:before="120" w:after="120"/>
      <w:ind w:left="0" w:firstLine="0"/>
    </w:pPr>
    <w:rPr>
      <w:rFonts w:eastAsia="Calibri" w:cs="Times New Roman"/>
      <w:b/>
      <w:bCs/>
      <w:sz w:val="20"/>
    </w:rPr>
  </w:style>
  <w:style w:type="paragraph" w:styleId="TableofFigures">
    <w:name w:val="table of figures"/>
    <w:basedOn w:val="Normal"/>
    <w:next w:val="Normal"/>
    <w:uiPriority w:val="99"/>
    <w:semiHidden/>
    <w:unhideWhenUsed/>
    <w:pPr>
      <w:spacing w:before="120" w:after="120"/>
    </w:pPr>
    <w:rPr>
      <w:rFonts w:eastAsia="Calibri" w:cs="Times New Roman"/>
    </w:rPr>
  </w:style>
  <w:style w:type="paragraph" w:styleId="ListBullet">
    <w:name w:val="List Bullet"/>
    <w:basedOn w:val="Normal"/>
    <w:unhideWhenUsed/>
    <w:pPr>
      <w:spacing w:before="120" w:after="120"/>
      <w:contextualSpacing/>
    </w:pPr>
    <w:rPr>
      <w:rFonts w:eastAsia="Calibri" w:cs="Times New Roman"/>
    </w:rPr>
  </w:style>
  <w:style w:type="paragraph" w:styleId="ListBullet2">
    <w:name w:val="List Bullet 2"/>
    <w:basedOn w:val="Normal"/>
    <w:uiPriority w:val="99"/>
    <w:semiHidden/>
    <w:unhideWhenUsed/>
    <w:pPr>
      <w:numPr>
        <w:numId w:val="5"/>
      </w:numPr>
      <w:spacing w:before="120" w:after="120"/>
      <w:contextualSpacing/>
    </w:pPr>
    <w:rPr>
      <w:rFonts w:eastAsia="Calibri" w:cs="Times New Roman"/>
    </w:rPr>
  </w:style>
  <w:style w:type="paragraph" w:styleId="ListBullet3">
    <w:name w:val="List Bullet 3"/>
    <w:basedOn w:val="Normal"/>
    <w:uiPriority w:val="99"/>
    <w:semiHidden/>
    <w:unhideWhenUsed/>
    <w:pPr>
      <w:numPr>
        <w:numId w:val="6"/>
      </w:numPr>
      <w:spacing w:before="120" w:after="120"/>
      <w:contextualSpacing/>
    </w:pPr>
    <w:rPr>
      <w:rFonts w:eastAsia="Calibri" w:cs="Times New Roman"/>
    </w:rPr>
  </w:style>
  <w:style w:type="paragraph" w:styleId="ListBullet4">
    <w:name w:val="List Bullet 4"/>
    <w:basedOn w:val="Normal"/>
    <w:uiPriority w:val="99"/>
    <w:semiHidden/>
    <w:unhideWhenUsed/>
    <w:pPr>
      <w:numPr>
        <w:numId w:val="7"/>
      </w:numPr>
      <w:spacing w:before="120" w:after="120"/>
      <w:contextualSpacing/>
    </w:pPr>
    <w:rPr>
      <w:rFonts w:eastAsia="Calibri" w:cs="Times New Roman"/>
    </w:rPr>
  </w:style>
  <w:style w:type="paragraph" w:styleId="ListNumber">
    <w:name w:val="List Number"/>
    <w:basedOn w:val="Normal"/>
    <w:uiPriority w:val="99"/>
    <w:semiHidden/>
    <w:unhideWhenUsed/>
    <w:pPr>
      <w:numPr>
        <w:numId w:val="8"/>
      </w:numPr>
      <w:spacing w:before="120" w:after="120"/>
      <w:contextualSpacing/>
    </w:pPr>
    <w:rPr>
      <w:rFonts w:eastAsia="Calibri" w:cs="Times New Roman"/>
    </w:rPr>
  </w:style>
  <w:style w:type="paragraph" w:styleId="ListNumber2">
    <w:name w:val="List Number 2"/>
    <w:basedOn w:val="Normal"/>
    <w:uiPriority w:val="99"/>
    <w:semiHidden/>
    <w:unhideWhenUsed/>
    <w:pPr>
      <w:numPr>
        <w:numId w:val="9"/>
      </w:numPr>
      <w:spacing w:before="120" w:after="120"/>
      <w:contextualSpacing/>
    </w:pPr>
    <w:rPr>
      <w:rFonts w:eastAsia="Calibri" w:cs="Times New Roman"/>
    </w:rPr>
  </w:style>
  <w:style w:type="paragraph" w:styleId="ListNumber4">
    <w:name w:val="List Number 4"/>
    <w:basedOn w:val="Normal"/>
    <w:uiPriority w:val="99"/>
    <w:semiHidden/>
    <w:unhideWhenUsed/>
    <w:pPr>
      <w:numPr>
        <w:numId w:val="10"/>
      </w:numPr>
      <w:spacing w:before="120" w:after="120"/>
      <w:contextualSpacing/>
    </w:pPr>
    <w:rPr>
      <w:rFonts w:eastAsia="Calibri" w:cs="Times New Roman"/>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before="120" w:after="120"/>
    </w:pPr>
    <w:rPr>
      <w:rFonts w:eastAsia="Calibri" w:cs="Times New Roman"/>
      <w:sz w:val="20"/>
    </w:rPr>
  </w:style>
  <w:style w:type="character" w:customStyle="1" w:styleId="CommentTextChar">
    <w:name w:val="Comment Text Char"/>
    <w:basedOn w:val="DefaultParagraphFont"/>
    <w:link w:val="CommentText"/>
    <w:uiPriority w:val="99"/>
    <w:rPr>
      <w:rFonts w:ascii="Times New Roman" w:eastAsia="Calibri" w:hAnsi="Times New Roman" w:cs="Times New Roman"/>
      <w:sz w:val="20"/>
      <w:lang w:eastAsia="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Calibri" w:hAnsi="Times New Roman" w:cs="Times New Roman"/>
      <w:b/>
      <w:bCs/>
      <w:sz w:val="20"/>
      <w:lang w:eastAsia="sv-SE"/>
    </w:rPr>
  </w:style>
  <w:style w:type="paragraph" w:styleId="BalloonText">
    <w:name w:val="Balloon Text"/>
    <w:basedOn w:val="Normal"/>
    <w:link w:val="BalloonTextChar"/>
    <w:uiPriority w:val="99"/>
    <w:semiHidden/>
    <w:unhideWhenUsed/>
    <w:pPr>
      <w:spacing w:after="0"/>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lang w:eastAsia="sv-SE"/>
    </w:rPr>
  </w:style>
  <w:style w:type="table" w:styleId="TableGrid">
    <w:name w:val="Table Grid"/>
    <w:basedOn w:val="TableNormal"/>
    <w:uiPriority w:val="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emal">
    <w:name w:val="Noemal"/>
    <w:basedOn w:val="Text1"/>
  </w:style>
  <w:style w:type="paragraph" w:styleId="ListParagraph">
    <w:name w:val="List Paragraph"/>
    <w:basedOn w:val="Normal"/>
    <w:uiPriority w:val="34"/>
    <w:qFormat/>
    <w:pPr>
      <w:ind w:left="720"/>
      <w:contextualSpacing/>
    </w:pPr>
    <w:rPr>
      <w:rFonts w:ascii="Calibri" w:eastAsia="Calibri" w:hAnsi="Calibri" w:cs="Times New Roman"/>
    </w:rPr>
  </w:style>
  <w:style w:type="paragraph" w:customStyle="1" w:styleId="Default">
    <w:name w:val="Default"/>
    <w:pPr>
      <w:autoSpaceDE w:val="0"/>
      <w:autoSpaceDN w:val="0"/>
      <w:adjustRightInd w:val="0"/>
    </w:pPr>
    <w:rPr>
      <w:rFonts w:ascii="Calibri" w:eastAsia="Calibri" w:hAnsi="Calibri" w:cs="Calibri"/>
      <w:color w:val="000000"/>
      <w:sz w:val="24"/>
      <w:szCs w:val="24"/>
    </w:rPr>
  </w:style>
  <w:style w:type="paragraph" w:styleId="NormalWeb">
    <w:name w:val="Normal (Web)"/>
    <w:basedOn w:val="Normal"/>
    <w:uiPriority w:val="99"/>
    <w:unhideWhenUsed/>
    <w:pPr>
      <w:spacing w:before="100" w:beforeAutospacing="1" w:after="100" w:afterAutospacing="1"/>
    </w:pPr>
    <w:rPr>
      <w:rFonts w:eastAsia="Calibri" w:cs="Times New Roman"/>
      <w:szCs w:val="24"/>
    </w:rPr>
  </w:style>
  <w:style w:type="paragraph" w:styleId="Revision">
    <w:name w:val="Revision"/>
    <w:hidden/>
    <w:uiPriority w:val="99"/>
    <w:semiHidden/>
    <w:rPr>
      <w:rFonts w:ascii="Times New Roman" w:eastAsia="Calibri" w:hAnsi="Times New Roman" w:cs="Times New Roman"/>
      <w:sz w:val="24"/>
    </w:rPr>
  </w:style>
  <w:style w:type="character" w:styleId="FollowedHyperlink">
    <w:name w:val="FollowedHyperlink"/>
    <w:uiPriority w:val="99"/>
    <w:semiHidden/>
    <w:unhideWhenUsed/>
    <w:rPr>
      <w:color w:val="800080"/>
      <w:u w:val="single"/>
    </w:rPr>
  </w:style>
  <w:style w:type="paragraph" w:styleId="FootnoteText">
    <w:name w:val="footnote text"/>
    <w:basedOn w:val="Normal"/>
    <w:link w:val="FootnoteTextChar"/>
    <w:semiHidden/>
    <w:unhideWhenUsed/>
    <w:pPr>
      <w:spacing w:after="0"/>
      <w:ind w:left="720" w:hanging="720"/>
    </w:pPr>
    <w:rPr>
      <w:rFonts w:eastAsia="Calibri" w:cs="Times New Roman"/>
      <w:sz w:val="20"/>
      <w:szCs w:val="20"/>
    </w:rPr>
  </w:style>
  <w:style w:type="character" w:customStyle="1" w:styleId="FootnoteTextChar">
    <w:name w:val="Footnote Text Char"/>
    <w:basedOn w:val="DefaultParagraphFont"/>
    <w:link w:val="FootnoteText"/>
    <w:semiHidden/>
    <w:rPr>
      <w:rFonts w:ascii="Times New Roman" w:eastAsia="Calibri" w:hAnsi="Times New Roman" w:cs="Times New Roman"/>
      <w:sz w:val="20"/>
      <w:szCs w:val="20"/>
      <w:lang w:eastAsia="sv-SE"/>
    </w:rPr>
  </w:style>
  <w:style w:type="paragraph" w:styleId="TOCHeading">
    <w:name w:val="TOC Heading"/>
    <w:basedOn w:val="Normal"/>
    <w:next w:val="Normal"/>
    <w:uiPriority w:val="39"/>
    <w:qFormat/>
    <w:pPr>
      <w:spacing w:before="120" w:after="240"/>
      <w:jc w:val="center"/>
    </w:pPr>
    <w:rPr>
      <w:rFonts w:eastAsia="Calibri" w:cs="Times New Roman"/>
      <w:b/>
      <w:sz w:val="28"/>
    </w:rPr>
  </w:style>
  <w:style w:type="paragraph" w:styleId="TOC1">
    <w:name w:val="toc 1"/>
    <w:basedOn w:val="Normal"/>
    <w:next w:val="Normal"/>
    <w:uiPriority w:val="39"/>
    <w:unhideWhenUsed/>
    <w:pPr>
      <w:tabs>
        <w:tab w:val="right" w:leader="dot" w:pos="9071"/>
      </w:tabs>
      <w:spacing w:before="60" w:after="120"/>
      <w:ind w:left="850" w:hanging="850"/>
    </w:pPr>
    <w:rPr>
      <w:rFonts w:eastAsia="Calibri" w:cs="Times New Roman"/>
    </w:rPr>
  </w:style>
  <w:style w:type="paragraph" w:styleId="TOC2">
    <w:name w:val="toc 2"/>
    <w:basedOn w:val="Normal"/>
    <w:next w:val="Normal"/>
    <w:uiPriority w:val="39"/>
    <w:unhideWhenUsed/>
    <w:pPr>
      <w:tabs>
        <w:tab w:val="right" w:leader="dot" w:pos="9071"/>
      </w:tabs>
      <w:spacing w:before="60" w:after="120"/>
      <w:ind w:left="850" w:hanging="850"/>
    </w:pPr>
    <w:rPr>
      <w:rFonts w:eastAsia="Calibri" w:cs="Times New Roman"/>
    </w:rPr>
  </w:style>
  <w:style w:type="paragraph" w:styleId="TOC3">
    <w:name w:val="toc 3"/>
    <w:basedOn w:val="Normal"/>
    <w:next w:val="Normal"/>
    <w:uiPriority w:val="39"/>
    <w:unhideWhenUsed/>
    <w:pPr>
      <w:tabs>
        <w:tab w:val="right" w:leader="dot" w:pos="9071"/>
      </w:tabs>
      <w:spacing w:before="60" w:after="120"/>
      <w:ind w:left="850" w:hanging="850"/>
    </w:pPr>
    <w:rPr>
      <w:rFonts w:eastAsia="Calibri" w:cs="Times New Roman"/>
    </w:rPr>
  </w:style>
  <w:style w:type="paragraph" w:styleId="TOC4">
    <w:name w:val="toc 4"/>
    <w:basedOn w:val="Normal"/>
    <w:next w:val="Normal"/>
    <w:uiPriority w:val="39"/>
    <w:semiHidden/>
    <w:unhideWhenUsed/>
    <w:pPr>
      <w:tabs>
        <w:tab w:val="right" w:leader="dot" w:pos="9071"/>
      </w:tabs>
      <w:spacing w:before="60" w:after="120"/>
      <w:ind w:left="850" w:hanging="850"/>
    </w:pPr>
    <w:rPr>
      <w:rFonts w:eastAsia="Calibri" w:cs="Times New Roman"/>
    </w:rPr>
  </w:style>
  <w:style w:type="paragraph" w:styleId="TOC5">
    <w:name w:val="toc 5"/>
    <w:basedOn w:val="Normal"/>
    <w:next w:val="Normal"/>
    <w:uiPriority w:val="39"/>
    <w:semiHidden/>
    <w:unhideWhenUsed/>
    <w:pPr>
      <w:tabs>
        <w:tab w:val="right" w:leader="dot" w:pos="9071"/>
      </w:tabs>
      <w:spacing w:before="300" w:after="120"/>
    </w:pPr>
    <w:rPr>
      <w:rFonts w:eastAsia="Calibri" w:cs="Times New Roman"/>
    </w:rPr>
  </w:style>
  <w:style w:type="paragraph" w:styleId="TOC6">
    <w:name w:val="toc 6"/>
    <w:basedOn w:val="Normal"/>
    <w:next w:val="Normal"/>
    <w:uiPriority w:val="39"/>
    <w:semiHidden/>
    <w:unhideWhenUsed/>
    <w:pPr>
      <w:tabs>
        <w:tab w:val="right" w:leader="dot" w:pos="9071"/>
      </w:tabs>
      <w:spacing w:before="240" w:after="120"/>
    </w:pPr>
    <w:rPr>
      <w:rFonts w:eastAsia="Calibri" w:cs="Times New Roman"/>
    </w:rPr>
  </w:style>
  <w:style w:type="paragraph" w:styleId="TOC7">
    <w:name w:val="toc 7"/>
    <w:basedOn w:val="Normal"/>
    <w:next w:val="Normal"/>
    <w:uiPriority w:val="39"/>
    <w:semiHidden/>
    <w:unhideWhenUsed/>
    <w:pPr>
      <w:tabs>
        <w:tab w:val="right" w:leader="dot" w:pos="9071"/>
      </w:tabs>
      <w:spacing w:before="180" w:after="120"/>
    </w:pPr>
    <w:rPr>
      <w:rFonts w:eastAsia="Calibri" w:cs="Times New Roman"/>
    </w:rPr>
  </w:style>
  <w:style w:type="paragraph" w:styleId="TOC8">
    <w:name w:val="toc 8"/>
    <w:basedOn w:val="Normal"/>
    <w:next w:val="Normal"/>
    <w:uiPriority w:val="39"/>
    <w:semiHidden/>
    <w:unhideWhenUsed/>
    <w:pPr>
      <w:tabs>
        <w:tab w:val="right" w:leader="dot" w:pos="9071"/>
      </w:tabs>
      <w:spacing w:before="120" w:after="120"/>
    </w:pPr>
    <w:rPr>
      <w:rFonts w:eastAsia="Calibri" w:cs="Times New Roman"/>
    </w:rPr>
  </w:style>
  <w:style w:type="paragraph" w:styleId="TOC9">
    <w:name w:val="toc 9"/>
    <w:basedOn w:val="Normal"/>
    <w:next w:val="Normal"/>
    <w:uiPriority w:val="39"/>
    <w:semiHidden/>
    <w:unhideWhenUsed/>
    <w:pPr>
      <w:tabs>
        <w:tab w:val="right" w:leader="dot" w:pos="9071"/>
      </w:tabs>
      <w:spacing w:before="120" w:after="120"/>
    </w:pPr>
    <w:rPr>
      <w:rFonts w:eastAsia="Calibri" w:cs="Times New Roman"/>
    </w:rPr>
  </w:style>
  <w:style w:type="paragraph" w:customStyle="1" w:styleId="HeaderLandscape">
    <w:name w:val="HeaderLandscape"/>
    <w:basedOn w:val="Normal"/>
    <w:pPr>
      <w:tabs>
        <w:tab w:val="center" w:pos="7285"/>
        <w:tab w:val="right" w:pos="14003"/>
      </w:tabs>
      <w:spacing w:after="120"/>
    </w:pPr>
    <w:rPr>
      <w:rFonts w:eastAsia="Times New Roman" w:cs="Times New Roman"/>
      <w:szCs w:val="24"/>
    </w:rPr>
  </w:style>
  <w:style w:type="paragraph" w:customStyle="1" w:styleId="FooterLandscape">
    <w:name w:val="FooterLandscape"/>
    <w:basedOn w:val="Normal"/>
    <w:pPr>
      <w:tabs>
        <w:tab w:val="center" w:pos="7285"/>
        <w:tab w:val="center" w:pos="10913"/>
        <w:tab w:val="right" w:pos="15137"/>
      </w:tabs>
      <w:spacing w:before="360" w:after="0"/>
      <w:ind w:left="-567" w:right="-567"/>
    </w:pPr>
    <w:rPr>
      <w:rFonts w:eastAsia="Calibri" w:cs="Times New Roman"/>
    </w:rPr>
  </w:style>
  <w:style w:type="character" w:styleId="FootnoteReference">
    <w:name w:val="footnote reference"/>
    <w:uiPriority w:val="99"/>
    <w:semiHidden/>
    <w:unhideWhenUsed/>
    <w:rPr>
      <w:shd w:val="clear" w:color="auto" w:fill="auto"/>
      <w:vertAlign w:val="superscript"/>
    </w:rPr>
  </w:style>
  <w:style w:type="paragraph" w:customStyle="1" w:styleId="Text1">
    <w:name w:val="Text 1"/>
    <w:basedOn w:val="Normal"/>
    <w:pPr>
      <w:spacing w:before="120" w:after="120"/>
      <w:ind w:left="850"/>
    </w:pPr>
    <w:rPr>
      <w:rFonts w:eastAsia="Calibri" w:cs="Times New Roman"/>
    </w:rPr>
  </w:style>
  <w:style w:type="paragraph" w:customStyle="1" w:styleId="Text2">
    <w:name w:val="Text 2"/>
    <w:basedOn w:val="Normal"/>
    <w:pPr>
      <w:spacing w:before="120" w:after="120"/>
      <w:ind w:left="1417"/>
    </w:pPr>
    <w:rPr>
      <w:rFonts w:eastAsia="Calibri" w:cs="Times New Roman"/>
    </w:rPr>
  </w:style>
  <w:style w:type="paragraph" w:customStyle="1" w:styleId="Text3">
    <w:name w:val="Text 3"/>
    <w:basedOn w:val="Normal"/>
    <w:pPr>
      <w:spacing w:before="120" w:after="120"/>
      <w:ind w:left="1984"/>
    </w:pPr>
    <w:rPr>
      <w:rFonts w:eastAsia="Calibri" w:cs="Times New Roman"/>
    </w:rPr>
  </w:style>
  <w:style w:type="paragraph" w:customStyle="1" w:styleId="Text4">
    <w:name w:val="Text 4"/>
    <w:basedOn w:val="Normal"/>
    <w:pPr>
      <w:spacing w:before="120" w:after="120"/>
      <w:ind w:left="2551"/>
    </w:pPr>
    <w:rPr>
      <w:rFonts w:eastAsia="Calibri" w:cs="Times New Roman"/>
    </w:rPr>
  </w:style>
  <w:style w:type="paragraph" w:customStyle="1" w:styleId="NormalCentered">
    <w:name w:val="Normal Centered"/>
    <w:basedOn w:val="Normal"/>
    <w:pPr>
      <w:spacing w:before="120" w:after="120"/>
      <w:jc w:val="center"/>
    </w:pPr>
    <w:rPr>
      <w:rFonts w:eastAsia="Calibri" w:cs="Times New Roman"/>
    </w:rPr>
  </w:style>
  <w:style w:type="paragraph" w:customStyle="1" w:styleId="NormalLeft">
    <w:name w:val="Normal Left"/>
    <w:basedOn w:val="Normal"/>
    <w:pPr>
      <w:spacing w:before="120" w:after="120"/>
    </w:pPr>
    <w:rPr>
      <w:rFonts w:eastAsia="Calibri" w:cs="Times New Roman"/>
    </w:rPr>
  </w:style>
  <w:style w:type="paragraph" w:customStyle="1" w:styleId="NormalRight">
    <w:name w:val="Normal Right"/>
    <w:basedOn w:val="Normal"/>
    <w:pPr>
      <w:spacing w:before="120" w:after="120"/>
      <w:jc w:val="right"/>
    </w:pPr>
    <w:rPr>
      <w:rFonts w:eastAsia="Calibri" w:cs="Times New Roman"/>
    </w:rPr>
  </w:style>
  <w:style w:type="paragraph" w:customStyle="1" w:styleId="QuotedText">
    <w:name w:val="Quoted Text"/>
    <w:basedOn w:val="Normal"/>
    <w:pPr>
      <w:spacing w:before="120" w:after="120"/>
      <w:ind w:left="1417"/>
    </w:pPr>
    <w:rPr>
      <w:rFonts w:eastAsia="Calibri" w:cs="Times New Roman"/>
    </w:rPr>
  </w:style>
  <w:style w:type="paragraph" w:customStyle="1" w:styleId="Point0">
    <w:name w:val="Point 0"/>
    <w:basedOn w:val="Normal"/>
    <w:pPr>
      <w:spacing w:before="120" w:after="120"/>
      <w:ind w:left="850" w:hanging="850"/>
    </w:pPr>
    <w:rPr>
      <w:rFonts w:eastAsia="Calibri" w:cs="Times New Roman"/>
    </w:rPr>
  </w:style>
  <w:style w:type="paragraph" w:customStyle="1" w:styleId="Point1">
    <w:name w:val="Point 1"/>
    <w:basedOn w:val="Normal"/>
    <w:pPr>
      <w:spacing w:before="120" w:after="120"/>
      <w:ind w:left="1417" w:hanging="567"/>
    </w:pPr>
    <w:rPr>
      <w:rFonts w:eastAsia="Calibri" w:cs="Times New Roman"/>
    </w:rPr>
  </w:style>
  <w:style w:type="paragraph" w:customStyle="1" w:styleId="Point2">
    <w:name w:val="Point 2"/>
    <w:basedOn w:val="Normal"/>
    <w:pPr>
      <w:spacing w:before="120" w:after="120"/>
      <w:ind w:left="1984" w:hanging="567"/>
    </w:pPr>
    <w:rPr>
      <w:rFonts w:eastAsia="Calibri" w:cs="Times New Roman"/>
    </w:rPr>
  </w:style>
  <w:style w:type="paragraph" w:customStyle="1" w:styleId="Point3">
    <w:name w:val="Point 3"/>
    <w:basedOn w:val="Normal"/>
    <w:pPr>
      <w:spacing w:before="120" w:after="120"/>
      <w:ind w:left="2551" w:hanging="567"/>
    </w:pPr>
    <w:rPr>
      <w:rFonts w:eastAsia="Calibri" w:cs="Times New Roman"/>
    </w:rPr>
  </w:style>
  <w:style w:type="paragraph" w:customStyle="1" w:styleId="Point4">
    <w:name w:val="Point 4"/>
    <w:basedOn w:val="Normal"/>
    <w:pPr>
      <w:spacing w:before="120" w:after="120"/>
      <w:ind w:left="3118" w:hanging="567"/>
    </w:pPr>
    <w:rPr>
      <w:rFonts w:eastAsia="Calibri" w:cs="Times New Roman"/>
    </w:r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spacing w:before="120" w:after="120"/>
      <w:ind w:left="1417" w:hanging="1417"/>
    </w:pPr>
    <w:rPr>
      <w:rFonts w:eastAsia="Calibri" w:cs="Times New Roman"/>
    </w:rPr>
  </w:style>
  <w:style w:type="paragraph" w:customStyle="1" w:styleId="PointDouble1">
    <w:name w:val="PointDouble 1"/>
    <w:basedOn w:val="Normal"/>
    <w:pPr>
      <w:tabs>
        <w:tab w:val="left" w:pos="1417"/>
      </w:tabs>
      <w:spacing w:before="120" w:after="120"/>
      <w:ind w:left="1984" w:hanging="1134"/>
    </w:pPr>
    <w:rPr>
      <w:rFonts w:eastAsia="Calibri" w:cs="Times New Roman"/>
    </w:rPr>
  </w:style>
  <w:style w:type="paragraph" w:customStyle="1" w:styleId="PointDouble2">
    <w:name w:val="PointDouble 2"/>
    <w:basedOn w:val="Normal"/>
    <w:pPr>
      <w:tabs>
        <w:tab w:val="left" w:pos="1984"/>
      </w:tabs>
      <w:spacing w:before="120" w:after="120"/>
      <w:ind w:left="2551" w:hanging="1134"/>
    </w:pPr>
    <w:rPr>
      <w:rFonts w:eastAsia="Calibri" w:cs="Times New Roman"/>
    </w:rPr>
  </w:style>
  <w:style w:type="paragraph" w:customStyle="1" w:styleId="PointDouble3">
    <w:name w:val="PointDouble 3"/>
    <w:basedOn w:val="Normal"/>
    <w:pPr>
      <w:tabs>
        <w:tab w:val="left" w:pos="2551"/>
      </w:tabs>
      <w:spacing w:before="120" w:after="120"/>
      <w:ind w:left="3118" w:hanging="1134"/>
    </w:pPr>
    <w:rPr>
      <w:rFonts w:eastAsia="Calibri" w:cs="Times New Roman"/>
    </w:rPr>
  </w:style>
  <w:style w:type="paragraph" w:customStyle="1" w:styleId="PointDouble4">
    <w:name w:val="PointDouble 4"/>
    <w:basedOn w:val="Normal"/>
    <w:pPr>
      <w:tabs>
        <w:tab w:val="left" w:pos="3118"/>
      </w:tabs>
      <w:spacing w:before="120" w:after="120"/>
      <w:ind w:left="3685" w:hanging="1134"/>
    </w:pPr>
    <w:rPr>
      <w:rFonts w:eastAsia="Calibri" w:cs="Times New Roman"/>
    </w:rPr>
  </w:style>
  <w:style w:type="paragraph" w:customStyle="1" w:styleId="PointTriple0">
    <w:name w:val="PointTriple 0"/>
    <w:basedOn w:val="Normal"/>
    <w:pPr>
      <w:tabs>
        <w:tab w:val="left" w:pos="850"/>
        <w:tab w:val="left" w:pos="1417"/>
      </w:tabs>
      <w:spacing w:before="120" w:after="120"/>
      <w:ind w:left="1984" w:hanging="1984"/>
    </w:pPr>
    <w:rPr>
      <w:rFonts w:eastAsia="Calibri" w:cs="Times New Roman"/>
    </w:rPr>
  </w:style>
  <w:style w:type="paragraph" w:customStyle="1" w:styleId="PointTriple1">
    <w:name w:val="PointTriple 1"/>
    <w:basedOn w:val="Normal"/>
    <w:pPr>
      <w:tabs>
        <w:tab w:val="left" w:pos="1417"/>
        <w:tab w:val="left" w:pos="1984"/>
      </w:tabs>
      <w:spacing w:before="120" w:after="120"/>
      <w:ind w:left="2551" w:hanging="1701"/>
    </w:pPr>
    <w:rPr>
      <w:rFonts w:eastAsia="Calibri" w:cs="Times New Roman"/>
    </w:rPr>
  </w:style>
  <w:style w:type="paragraph" w:customStyle="1" w:styleId="PointTriple2">
    <w:name w:val="PointTriple 2"/>
    <w:basedOn w:val="Normal"/>
    <w:pPr>
      <w:tabs>
        <w:tab w:val="left" w:pos="1984"/>
        <w:tab w:val="left" w:pos="2551"/>
      </w:tabs>
      <w:spacing w:before="120" w:after="120"/>
      <w:ind w:left="3118" w:hanging="1701"/>
    </w:pPr>
    <w:rPr>
      <w:rFonts w:eastAsia="Calibri" w:cs="Times New Roman"/>
    </w:rPr>
  </w:style>
  <w:style w:type="paragraph" w:customStyle="1" w:styleId="PointTriple3">
    <w:name w:val="PointTriple 3"/>
    <w:basedOn w:val="Normal"/>
    <w:pPr>
      <w:tabs>
        <w:tab w:val="left" w:pos="2551"/>
        <w:tab w:val="left" w:pos="3118"/>
      </w:tabs>
      <w:spacing w:before="120" w:after="120"/>
      <w:ind w:left="3685" w:hanging="1701"/>
    </w:pPr>
    <w:rPr>
      <w:rFonts w:eastAsia="Calibri" w:cs="Times New Roman"/>
    </w:rPr>
  </w:style>
  <w:style w:type="paragraph" w:customStyle="1" w:styleId="PointTriple4">
    <w:name w:val="PointTriple 4"/>
    <w:basedOn w:val="Normal"/>
    <w:pPr>
      <w:tabs>
        <w:tab w:val="left" w:pos="3118"/>
        <w:tab w:val="left" w:pos="3685"/>
      </w:tabs>
      <w:spacing w:before="120" w:after="120"/>
      <w:ind w:left="4252" w:hanging="1701"/>
    </w:pPr>
    <w:rPr>
      <w:rFonts w:eastAsia="Calibri" w:cs="Times New Roman"/>
    </w:rPr>
  </w:style>
  <w:style w:type="paragraph" w:customStyle="1" w:styleId="NumPar1">
    <w:name w:val="NumPar 1"/>
    <w:basedOn w:val="Normal"/>
    <w:next w:val="Text1"/>
    <w:pPr>
      <w:numPr>
        <w:numId w:val="16"/>
      </w:numPr>
      <w:spacing w:before="120" w:after="120"/>
    </w:pPr>
    <w:rPr>
      <w:rFonts w:eastAsia="Calibri" w:cs="Times New Roman"/>
    </w:rPr>
  </w:style>
  <w:style w:type="paragraph" w:customStyle="1" w:styleId="NumPar2">
    <w:name w:val="NumPar 2"/>
    <w:basedOn w:val="Normal"/>
    <w:next w:val="Text1"/>
    <w:pPr>
      <w:numPr>
        <w:ilvl w:val="1"/>
        <w:numId w:val="16"/>
      </w:numPr>
      <w:spacing w:before="120" w:after="120"/>
    </w:pPr>
    <w:rPr>
      <w:rFonts w:eastAsia="Calibri" w:cs="Times New Roman"/>
    </w:rPr>
  </w:style>
  <w:style w:type="paragraph" w:customStyle="1" w:styleId="NumPar3">
    <w:name w:val="NumPar 3"/>
    <w:basedOn w:val="Normal"/>
    <w:next w:val="Text1"/>
    <w:pPr>
      <w:numPr>
        <w:ilvl w:val="2"/>
        <w:numId w:val="16"/>
      </w:numPr>
      <w:spacing w:before="120" w:after="120"/>
    </w:pPr>
    <w:rPr>
      <w:rFonts w:eastAsia="Calibri" w:cs="Times New Roman"/>
    </w:rPr>
  </w:style>
  <w:style w:type="paragraph" w:customStyle="1" w:styleId="NumPar4">
    <w:name w:val="NumPar 4"/>
    <w:basedOn w:val="Normal"/>
    <w:next w:val="Text1"/>
    <w:pPr>
      <w:numPr>
        <w:ilvl w:val="3"/>
        <w:numId w:val="16"/>
      </w:numPr>
      <w:spacing w:before="120" w:after="120"/>
    </w:pPr>
    <w:rPr>
      <w:rFonts w:eastAsia="Calibri" w:cs="Times New Roman"/>
    </w:rPr>
  </w:style>
  <w:style w:type="paragraph" w:customStyle="1" w:styleId="ManualNumPar1">
    <w:name w:val="Manual NumPar 1"/>
    <w:basedOn w:val="Normal"/>
    <w:next w:val="Text1"/>
    <w:pPr>
      <w:spacing w:before="120" w:after="120"/>
      <w:ind w:left="850" w:hanging="850"/>
    </w:pPr>
    <w:rPr>
      <w:rFonts w:eastAsia="Calibri" w:cs="Times New Roman"/>
    </w:rPr>
  </w:style>
  <w:style w:type="paragraph" w:customStyle="1" w:styleId="ManualNumPar2">
    <w:name w:val="Manual NumPar 2"/>
    <w:basedOn w:val="Normal"/>
    <w:next w:val="Text1"/>
    <w:pPr>
      <w:spacing w:before="120" w:after="120"/>
      <w:ind w:left="850" w:hanging="850"/>
    </w:pPr>
    <w:rPr>
      <w:rFonts w:eastAsia="Calibri" w:cs="Times New Roman"/>
    </w:rPr>
  </w:style>
  <w:style w:type="paragraph" w:customStyle="1" w:styleId="ManualNumPar3">
    <w:name w:val="Manual NumPar 3"/>
    <w:basedOn w:val="Normal"/>
    <w:next w:val="Text1"/>
    <w:pPr>
      <w:spacing w:before="120" w:after="120"/>
      <w:ind w:left="850" w:hanging="850"/>
    </w:pPr>
    <w:rPr>
      <w:rFonts w:eastAsia="Calibri" w:cs="Times New Roman"/>
    </w:rPr>
  </w:style>
  <w:style w:type="paragraph" w:customStyle="1" w:styleId="ManualNumPar4">
    <w:name w:val="Manual NumPar 4"/>
    <w:basedOn w:val="Normal"/>
    <w:next w:val="Text1"/>
    <w:pPr>
      <w:spacing w:before="120" w:after="120"/>
      <w:ind w:left="850" w:hanging="850"/>
    </w:pPr>
    <w:rPr>
      <w:rFonts w:eastAsia="Calibri" w:cs="Times New Roman"/>
    </w:rPr>
  </w:style>
  <w:style w:type="paragraph" w:customStyle="1" w:styleId="QuotedNumPar">
    <w:name w:val="Quoted NumPar"/>
    <w:basedOn w:val="Normal"/>
    <w:pPr>
      <w:spacing w:before="120" w:after="120"/>
      <w:ind w:left="1417" w:hanging="567"/>
    </w:pPr>
    <w:rPr>
      <w:rFonts w:eastAsia="Calibri" w:cs="Times New Roman"/>
    </w:rPr>
  </w:style>
  <w:style w:type="paragraph" w:customStyle="1" w:styleId="ManualHeading1">
    <w:name w:val="Manual Heading 1"/>
    <w:basedOn w:val="Normal"/>
    <w:next w:val="Text1"/>
    <w:pPr>
      <w:keepNext/>
      <w:tabs>
        <w:tab w:val="left" w:pos="850"/>
      </w:tabs>
      <w:spacing w:before="360" w:after="120"/>
      <w:ind w:left="850" w:hanging="850"/>
      <w:outlineLvl w:val="0"/>
    </w:pPr>
    <w:rPr>
      <w:rFonts w:eastAsia="Calibri" w:cs="Times New Roman"/>
      <w:b/>
      <w:smallCaps/>
    </w:rPr>
  </w:style>
  <w:style w:type="paragraph" w:customStyle="1" w:styleId="ManualHeading2">
    <w:name w:val="Manual Heading 2"/>
    <w:basedOn w:val="Normal"/>
    <w:next w:val="Text1"/>
    <w:pPr>
      <w:keepNext/>
      <w:tabs>
        <w:tab w:val="left" w:pos="850"/>
      </w:tabs>
      <w:spacing w:before="120" w:after="120"/>
      <w:ind w:left="850" w:hanging="850"/>
      <w:outlineLvl w:val="1"/>
    </w:pPr>
    <w:rPr>
      <w:rFonts w:eastAsia="Calibri" w:cs="Times New Roman"/>
      <w:b/>
    </w:rPr>
  </w:style>
  <w:style w:type="paragraph" w:customStyle="1" w:styleId="ManualHeading3">
    <w:name w:val="Manual Heading 3"/>
    <w:basedOn w:val="Normal"/>
    <w:next w:val="Text1"/>
    <w:pPr>
      <w:keepNext/>
      <w:tabs>
        <w:tab w:val="left" w:pos="850"/>
      </w:tabs>
      <w:spacing w:before="120" w:after="120"/>
      <w:ind w:left="850" w:hanging="850"/>
      <w:outlineLvl w:val="2"/>
    </w:pPr>
    <w:rPr>
      <w:rFonts w:eastAsia="Calibri" w:cs="Times New Roman"/>
      <w:i/>
    </w:rPr>
  </w:style>
  <w:style w:type="paragraph" w:customStyle="1" w:styleId="ManualHeading4">
    <w:name w:val="Manual Heading 4"/>
    <w:basedOn w:val="Normal"/>
    <w:next w:val="Text1"/>
    <w:pPr>
      <w:keepNext/>
      <w:tabs>
        <w:tab w:val="left" w:pos="850"/>
      </w:tabs>
      <w:spacing w:before="120" w:after="120"/>
      <w:ind w:left="850" w:hanging="850"/>
      <w:outlineLvl w:val="3"/>
    </w:pPr>
    <w:rPr>
      <w:rFonts w:eastAsia="Calibri" w:cs="Times New Roman"/>
    </w:rPr>
  </w:style>
  <w:style w:type="paragraph" w:customStyle="1" w:styleId="ChapterTitle">
    <w:name w:val="ChapterTitle"/>
    <w:basedOn w:val="Normal"/>
    <w:next w:val="Normal"/>
    <w:pPr>
      <w:keepNext/>
      <w:spacing w:before="120" w:after="360"/>
      <w:jc w:val="center"/>
    </w:pPr>
    <w:rPr>
      <w:rFonts w:eastAsia="Calibri" w:cs="Times New Roman"/>
      <w:b/>
      <w:sz w:val="32"/>
    </w:rPr>
  </w:style>
  <w:style w:type="paragraph" w:customStyle="1" w:styleId="PartTitle">
    <w:name w:val="PartTitle"/>
    <w:basedOn w:val="Normal"/>
    <w:next w:val="ChapterTitle"/>
    <w:pPr>
      <w:keepNext/>
      <w:pageBreakBefore/>
      <w:spacing w:before="120" w:after="360"/>
      <w:jc w:val="center"/>
    </w:pPr>
    <w:rPr>
      <w:rFonts w:eastAsia="Calibri" w:cs="Times New Roman"/>
      <w:b/>
      <w:sz w:val="36"/>
    </w:rPr>
  </w:style>
  <w:style w:type="paragraph" w:customStyle="1" w:styleId="SectionTitle">
    <w:name w:val="SectionTitle"/>
    <w:basedOn w:val="Normal"/>
    <w:next w:val="Heading1"/>
    <w:pPr>
      <w:keepNext/>
      <w:spacing w:before="120" w:after="360"/>
      <w:jc w:val="center"/>
    </w:pPr>
    <w:rPr>
      <w:rFonts w:eastAsia="Calibri" w:cs="Times New Roman"/>
      <w:b/>
      <w:smallCaps/>
      <w:sz w:val="28"/>
    </w:rPr>
  </w:style>
  <w:style w:type="paragraph" w:customStyle="1" w:styleId="TableTitle">
    <w:name w:val="Table Title"/>
    <w:basedOn w:val="Normal"/>
    <w:next w:val="Normal"/>
    <w:pPr>
      <w:spacing w:before="120" w:after="120"/>
      <w:jc w:val="center"/>
    </w:pPr>
    <w:rPr>
      <w:rFonts w:eastAsia="Calibri" w:cs="Times New Roman"/>
      <w:b/>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numId w:val="17"/>
      </w:numPr>
      <w:spacing w:before="120" w:after="120"/>
    </w:pPr>
    <w:rPr>
      <w:rFonts w:eastAsia="Calibri" w:cs="Times New Roman"/>
    </w:rPr>
  </w:style>
  <w:style w:type="paragraph" w:customStyle="1" w:styleId="Point1number">
    <w:name w:val="Point 1 (number)"/>
    <w:basedOn w:val="Normal"/>
    <w:pPr>
      <w:numPr>
        <w:ilvl w:val="2"/>
        <w:numId w:val="17"/>
      </w:numPr>
      <w:spacing w:before="120" w:after="120"/>
    </w:pPr>
    <w:rPr>
      <w:rFonts w:eastAsia="Calibri" w:cs="Times New Roman"/>
    </w:rPr>
  </w:style>
  <w:style w:type="paragraph" w:customStyle="1" w:styleId="Point2number">
    <w:name w:val="Point 2 (number)"/>
    <w:basedOn w:val="Normal"/>
    <w:pPr>
      <w:numPr>
        <w:ilvl w:val="4"/>
        <w:numId w:val="17"/>
      </w:numPr>
      <w:spacing w:before="120" w:after="120"/>
    </w:pPr>
    <w:rPr>
      <w:rFonts w:eastAsia="Calibri" w:cs="Times New Roman"/>
    </w:rPr>
  </w:style>
  <w:style w:type="paragraph" w:customStyle="1" w:styleId="Point3number">
    <w:name w:val="Point 3 (number)"/>
    <w:basedOn w:val="Normal"/>
    <w:pPr>
      <w:numPr>
        <w:ilvl w:val="6"/>
        <w:numId w:val="17"/>
      </w:numPr>
      <w:spacing w:before="120" w:after="120"/>
    </w:pPr>
    <w:rPr>
      <w:rFonts w:eastAsia="Calibri" w:cs="Times New Roman"/>
    </w:rPr>
  </w:style>
  <w:style w:type="paragraph" w:customStyle="1" w:styleId="Point0letter">
    <w:name w:val="Point 0 (letter)"/>
    <w:basedOn w:val="Normal"/>
    <w:pPr>
      <w:numPr>
        <w:ilvl w:val="1"/>
        <w:numId w:val="17"/>
      </w:numPr>
      <w:spacing w:before="120" w:after="120"/>
    </w:pPr>
    <w:rPr>
      <w:rFonts w:eastAsia="Calibri" w:cs="Times New Roman"/>
    </w:rPr>
  </w:style>
  <w:style w:type="paragraph" w:customStyle="1" w:styleId="Point1letter">
    <w:name w:val="Point 1 (letter)"/>
    <w:basedOn w:val="Normal"/>
    <w:pPr>
      <w:numPr>
        <w:ilvl w:val="3"/>
        <w:numId w:val="17"/>
      </w:numPr>
      <w:spacing w:before="120" w:after="120"/>
    </w:pPr>
    <w:rPr>
      <w:rFonts w:eastAsia="Calibri" w:cs="Times New Roman"/>
    </w:rPr>
  </w:style>
  <w:style w:type="paragraph" w:customStyle="1" w:styleId="Point2letter">
    <w:name w:val="Point 2 (letter)"/>
    <w:basedOn w:val="Normal"/>
    <w:pPr>
      <w:numPr>
        <w:ilvl w:val="5"/>
        <w:numId w:val="17"/>
      </w:numPr>
      <w:spacing w:before="120" w:after="120"/>
    </w:pPr>
    <w:rPr>
      <w:rFonts w:eastAsia="Calibri" w:cs="Times New Roman"/>
    </w:rPr>
  </w:style>
  <w:style w:type="paragraph" w:customStyle="1" w:styleId="Point3letter">
    <w:name w:val="Point 3 (letter)"/>
    <w:basedOn w:val="Normal"/>
    <w:pPr>
      <w:numPr>
        <w:ilvl w:val="7"/>
        <w:numId w:val="17"/>
      </w:numPr>
      <w:spacing w:before="120" w:after="120"/>
    </w:pPr>
    <w:rPr>
      <w:rFonts w:eastAsia="Calibri" w:cs="Times New Roman"/>
    </w:rPr>
  </w:style>
  <w:style w:type="paragraph" w:customStyle="1" w:styleId="Point4letter">
    <w:name w:val="Point 4 (letter)"/>
    <w:basedOn w:val="Normal"/>
    <w:pPr>
      <w:numPr>
        <w:ilvl w:val="8"/>
        <w:numId w:val="17"/>
      </w:numPr>
      <w:spacing w:before="120" w:after="120"/>
    </w:pPr>
    <w:rPr>
      <w:rFonts w:eastAsia="Calibri" w:cs="Times New Roman"/>
    </w:rPr>
  </w:style>
  <w:style w:type="paragraph" w:customStyle="1" w:styleId="Bullet0">
    <w:name w:val="Bullet 0"/>
    <w:basedOn w:val="Normal"/>
    <w:pPr>
      <w:numPr>
        <w:numId w:val="18"/>
      </w:numPr>
      <w:spacing w:before="120" w:after="120"/>
    </w:pPr>
    <w:rPr>
      <w:rFonts w:eastAsia="Calibri" w:cs="Times New Roman"/>
    </w:rPr>
  </w:style>
  <w:style w:type="paragraph" w:customStyle="1" w:styleId="Bullet1">
    <w:name w:val="Bullet 1"/>
    <w:basedOn w:val="Normal"/>
    <w:pPr>
      <w:numPr>
        <w:numId w:val="19"/>
      </w:numPr>
      <w:spacing w:before="120" w:after="120"/>
    </w:pPr>
    <w:rPr>
      <w:rFonts w:eastAsia="Calibri" w:cs="Times New Roman"/>
    </w:rPr>
  </w:style>
  <w:style w:type="paragraph" w:customStyle="1" w:styleId="Bullet2">
    <w:name w:val="Bullet 2"/>
    <w:basedOn w:val="Normal"/>
    <w:pPr>
      <w:numPr>
        <w:numId w:val="20"/>
      </w:numPr>
      <w:spacing w:before="120" w:after="120"/>
    </w:pPr>
    <w:rPr>
      <w:rFonts w:eastAsia="Calibri" w:cs="Times New Roman"/>
    </w:rPr>
  </w:style>
  <w:style w:type="paragraph" w:customStyle="1" w:styleId="Bullet3">
    <w:name w:val="Bullet 3"/>
    <w:basedOn w:val="Normal"/>
    <w:pPr>
      <w:numPr>
        <w:numId w:val="21"/>
      </w:numPr>
      <w:spacing w:before="120" w:after="120"/>
    </w:pPr>
    <w:rPr>
      <w:rFonts w:eastAsia="Calibri" w:cs="Times New Roman"/>
    </w:rPr>
  </w:style>
  <w:style w:type="paragraph" w:customStyle="1" w:styleId="Bullet4">
    <w:name w:val="Bullet 4"/>
    <w:basedOn w:val="Normal"/>
    <w:pPr>
      <w:numPr>
        <w:numId w:val="22"/>
      </w:numPr>
      <w:spacing w:before="120" w:after="120"/>
    </w:pPr>
    <w:rPr>
      <w:rFonts w:eastAsia="Calibri" w:cs="Times New Roman"/>
    </w:rPr>
  </w:style>
  <w:style w:type="paragraph" w:customStyle="1" w:styleId="Annexetitreexpos">
    <w:name w:val="Annexe titre (exposé)"/>
    <w:basedOn w:val="Normal"/>
    <w:next w:val="Normal"/>
    <w:pPr>
      <w:spacing w:before="120" w:after="120"/>
      <w:jc w:val="center"/>
    </w:pPr>
    <w:rPr>
      <w:rFonts w:eastAsia="Calibri" w:cs="Times New Roman"/>
      <w:b/>
      <w:u w:val="single"/>
    </w:rPr>
  </w:style>
  <w:style w:type="paragraph" w:customStyle="1" w:styleId="Annexetitre">
    <w:name w:val="Annexe titre"/>
    <w:basedOn w:val="Normal"/>
    <w:next w:val="Normal"/>
    <w:pPr>
      <w:spacing w:before="120" w:after="120"/>
      <w:jc w:val="center"/>
    </w:pPr>
    <w:rPr>
      <w:rFonts w:eastAsia="Calibri" w:cs="Times New Roman"/>
      <w:b/>
      <w:u w:val="single"/>
    </w:rPr>
  </w:style>
  <w:style w:type="paragraph" w:customStyle="1" w:styleId="Annexetitrefichefinancire">
    <w:name w:val="Annexe titre (fiche financière)"/>
    <w:basedOn w:val="Normal"/>
    <w:next w:val="Normal"/>
    <w:pPr>
      <w:spacing w:before="120" w:after="120"/>
      <w:jc w:val="center"/>
    </w:pPr>
    <w:rPr>
      <w:rFonts w:eastAsia="Calibri" w:cs="Times New Roman"/>
      <w:b/>
      <w:u w:val="single"/>
    </w:rPr>
  </w:style>
  <w:style w:type="paragraph" w:customStyle="1" w:styleId="Applicationdirecte">
    <w:name w:val="Application directe"/>
    <w:basedOn w:val="Normal"/>
    <w:next w:val="Fait"/>
    <w:pPr>
      <w:spacing w:before="480" w:after="120"/>
    </w:pPr>
    <w:rPr>
      <w:rFonts w:eastAsia="Calibri" w:cs="Times New Roman"/>
    </w:rPr>
  </w:style>
  <w:style w:type="paragraph" w:customStyle="1" w:styleId="Avertissementtitre">
    <w:name w:val="Avertissement titre"/>
    <w:basedOn w:val="Normal"/>
    <w:next w:val="Normal"/>
    <w:pPr>
      <w:keepNext/>
      <w:spacing w:before="480" w:after="120"/>
    </w:pPr>
    <w:rPr>
      <w:rFonts w:eastAsia="Calibri" w:cs="Times New Roman"/>
      <w:u w:val="single"/>
    </w:rPr>
  </w:style>
  <w:style w:type="paragraph" w:customStyle="1" w:styleId="Confidence">
    <w:name w:val="Confidence"/>
    <w:basedOn w:val="Normal"/>
    <w:next w:val="Normal"/>
    <w:pPr>
      <w:spacing w:before="360" w:after="120"/>
      <w:jc w:val="center"/>
    </w:pPr>
    <w:rPr>
      <w:rFonts w:eastAsia="Calibri" w:cs="Times New Roman"/>
    </w:rPr>
  </w:style>
  <w:style w:type="paragraph" w:customStyle="1" w:styleId="Confidentialit">
    <w:name w:val="Confidentialité"/>
    <w:basedOn w:val="Normal"/>
    <w:next w:val="TypedudocumentPagedecouverture"/>
    <w:pPr>
      <w:spacing w:before="240" w:after="240"/>
      <w:ind w:left="5103"/>
    </w:pPr>
    <w:rPr>
      <w:rFonts w:eastAsia="Calibri" w:cs="Times New Roman"/>
      <w:i/>
      <w:sz w:val="32"/>
    </w:rPr>
  </w:style>
  <w:style w:type="paragraph" w:customStyle="1" w:styleId="Considrant">
    <w:name w:val="Considérant"/>
    <w:basedOn w:val="Normal"/>
    <w:pPr>
      <w:numPr>
        <w:numId w:val="23"/>
      </w:numPr>
      <w:spacing w:before="120" w:after="120"/>
    </w:pPr>
    <w:rPr>
      <w:rFonts w:eastAsia="Calibri" w:cs="Times New Roman"/>
    </w:rPr>
  </w:style>
  <w:style w:type="paragraph" w:customStyle="1" w:styleId="Corrigendum">
    <w:name w:val="Corrigendum"/>
    <w:basedOn w:val="Normal"/>
    <w:next w:val="Normal"/>
    <w:pPr>
      <w:spacing w:after="240"/>
    </w:pPr>
    <w:rPr>
      <w:rFonts w:eastAsia="Calibri" w:cs="Times New Roman"/>
    </w:rPr>
  </w:style>
  <w:style w:type="paragraph" w:customStyle="1" w:styleId="Datedadoption">
    <w:name w:val="Date d'adoption"/>
    <w:basedOn w:val="Normal"/>
    <w:next w:val="Titreobjet"/>
    <w:pPr>
      <w:spacing w:before="360" w:after="0"/>
      <w:jc w:val="center"/>
    </w:pPr>
    <w:rPr>
      <w:rFonts w:eastAsia="Calibri" w:cs="Times New Roman"/>
      <w:b/>
    </w:rPr>
  </w:style>
  <w:style w:type="paragraph" w:customStyle="1" w:styleId="Emission">
    <w:name w:val="Emission"/>
    <w:basedOn w:val="Normal"/>
    <w:next w:val="Rfrenceinstitutionnelle"/>
    <w:pPr>
      <w:spacing w:after="0"/>
      <w:ind w:left="5103"/>
    </w:pPr>
    <w:rPr>
      <w:rFonts w:eastAsia="Calibri" w:cs="Times New Roman"/>
    </w:rPr>
  </w:style>
  <w:style w:type="paragraph" w:customStyle="1" w:styleId="Exposdesmotifstitre">
    <w:name w:val="Exposé des motifs titre"/>
    <w:basedOn w:val="Normal"/>
    <w:next w:val="Normal"/>
    <w:pPr>
      <w:spacing w:before="120" w:after="120"/>
      <w:jc w:val="center"/>
    </w:pPr>
    <w:rPr>
      <w:rFonts w:eastAsia="Calibri" w:cs="Times New Roman"/>
      <w:b/>
      <w:u w:val="single"/>
    </w:rPr>
  </w:style>
  <w:style w:type="paragraph" w:customStyle="1" w:styleId="Fait">
    <w:name w:val="Fait à"/>
    <w:basedOn w:val="Normal"/>
    <w:next w:val="Institutionquisigne"/>
    <w:pPr>
      <w:keepNext/>
      <w:spacing w:before="120" w:after="0"/>
    </w:pPr>
    <w:rPr>
      <w:rFonts w:eastAsia="Calibri" w:cs="Times New Roman"/>
    </w:rPr>
  </w:style>
  <w:style w:type="paragraph" w:customStyle="1" w:styleId="Formuledadoption">
    <w:name w:val="Formule d'adoption"/>
    <w:basedOn w:val="Normal"/>
    <w:next w:val="Titrearticle"/>
    <w:pPr>
      <w:keepNext/>
      <w:spacing w:before="120" w:after="120"/>
    </w:pPr>
    <w:rPr>
      <w:rFonts w:eastAsia="Calibri" w:cs="Times New Roman"/>
    </w:rPr>
  </w:style>
  <w:style w:type="paragraph" w:customStyle="1" w:styleId="Institutionquiagit">
    <w:name w:val="Institution qui agit"/>
    <w:basedOn w:val="Normal"/>
    <w:next w:val="Normal"/>
    <w:pPr>
      <w:keepNext/>
      <w:spacing w:before="600" w:after="120"/>
    </w:pPr>
    <w:rPr>
      <w:rFonts w:eastAsia="Calibri" w:cs="Times New Roman"/>
    </w:rPr>
  </w:style>
  <w:style w:type="paragraph" w:customStyle="1" w:styleId="Institutionquisigne">
    <w:name w:val="Institution qui signe"/>
    <w:basedOn w:val="Normal"/>
    <w:next w:val="Personnequisigne"/>
    <w:pPr>
      <w:keepNext/>
      <w:tabs>
        <w:tab w:val="left" w:pos="4252"/>
      </w:tabs>
      <w:spacing w:before="720" w:after="0"/>
    </w:pPr>
    <w:rPr>
      <w:rFonts w:eastAsia="Calibri" w:cs="Times New Roman"/>
      <w:i/>
    </w:rPr>
  </w:style>
  <w:style w:type="paragraph" w:customStyle="1" w:styleId="Langue">
    <w:name w:val="Langue"/>
    <w:basedOn w:val="Normal"/>
    <w:next w:val="Rfrenceinterne"/>
    <w:pPr>
      <w:framePr w:wrap="around" w:vAnchor="page" w:hAnchor="text" w:xAlign="center" w:y="14741"/>
      <w:spacing w:after="600"/>
      <w:jc w:val="center"/>
    </w:pPr>
    <w:rPr>
      <w:rFonts w:eastAsia="Calibri" w:cs="Times New Roman"/>
      <w:b/>
      <w:caps/>
    </w:rPr>
  </w:style>
  <w:style w:type="paragraph" w:customStyle="1" w:styleId="ManualConsidrant">
    <w:name w:val="Manual Considérant"/>
    <w:basedOn w:val="Normal"/>
    <w:pPr>
      <w:spacing w:before="120" w:after="120"/>
      <w:ind w:left="709" w:hanging="709"/>
    </w:pPr>
    <w:rPr>
      <w:rFonts w:eastAsia="Calibri" w:cs="Times New Roman"/>
    </w:rPr>
  </w:style>
  <w:style w:type="paragraph" w:customStyle="1" w:styleId="Nomdelinstitution">
    <w:name w:val="Nom de l'institution"/>
    <w:basedOn w:val="Normal"/>
    <w:next w:val="Emission"/>
    <w:pPr>
      <w:spacing w:after="0"/>
    </w:pPr>
    <w:rPr>
      <w:rFonts w:ascii="Arial" w:eastAsia="Calibri" w:hAnsi="Arial" w:cs="Arial"/>
    </w:rPr>
  </w:style>
  <w:style w:type="paragraph" w:customStyle="1" w:styleId="Personnequisigne">
    <w:name w:val="Personne qui signe"/>
    <w:basedOn w:val="Normal"/>
    <w:next w:val="Institutionquisigne"/>
    <w:pPr>
      <w:tabs>
        <w:tab w:val="left" w:pos="4252"/>
      </w:tabs>
      <w:spacing w:after="0"/>
    </w:pPr>
    <w:rPr>
      <w:rFonts w:eastAsia="Calibri" w:cs="Times New Roman"/>
      <w:i/>
    </w:rPr>
  </w:style>
  <w:style w:type="paragraph" w:customStyle="1" w:styleId="Rfrenceinstitutionnelle">
    <w:name w:val="Référence institutionnelle"/>
    <w:basedOn w:val="Normal"/>
    <w:next w:val="Confidentialit"/>
    <w:pPr>
      <w:spacing w:after="240"/>
      <w:ind w:left="5103"/>
    </w:pPr>
    <w:rPr>
      <w:rFonts w:eastAsia="Calibri" w:cs="Times New Roman"/>
    </w:rPr>
  </w:style>
  <w:style w:type="paragraph" w:customStyle="1" w:styleId="Rfrenceinterinstitutionnelle">
    <w:name w:val="Référence interinstitutionnelle"/>
    <w:basedOn w:val="Normal"/>
    <w:next w:val="Statut"/>
    <w:pPr>
      <w:spacing w:after="0"/>
      <w:ind w:left="5103"/>
    </w:pPr>
    <w:rPr>
      <w:rFonts w:eastAsia="Calibri" w:cs="Times New Roman"/>
    </w:rPr>
  </w:style>
  <w:style w:type="paragraph" w:customStyle="1" w:styleId="Rfrenceinterne">
    <w:name w:val="Référence interne"/>
    <w:basedOn w:val="Normal"/>
    <w:next w:val="Rfrenceinterinstitutionnelle"/>
    <w:pPr>
      <w:spacing w:after="0"/>
      <w:ind w:left="5103"/>
    </w:pPr>
    <w:rPr>
      <w:rFonts w:eastAsia="Calibri" w:cs="Times New Roman"/>
    </w:rPr>
  </w:style>
  <w:style w:type="paragraph" w:customStyle="1" w:styleId="Sous-titreobjet">
    <w:name w:val="Sous-titre objet"/>
    <w:basedOn w:val="Normal"/>
    <w:pPr>
      <w:spacing w:after="0"/>
      <w:jc w:val="center"/>
    </w:pPr>
    <w:rPr>
      <w:rFonts w:eastAsia="Calibri" w:cs="Times New Roman"/>
      <w:b/>
    </w:rPr>
  </w:style>
  <w:style w:type="paragraph" w:customStyle="1" w:styleId="Statut">
    <w:name w:val="Statut"/>
    <w:basedOn w:val="Normal"/>
    <w:next w:val="Typedudocument"/>
    <w:pPr>
      <w:spacing w:before="360" w:after="0"/>
      <w:jc w:val="center"/>
    </w:pPr>
    <w:rPr>
      <w:rFonts w:eastAsia="Calibri" w:cs="Times New Roman"/>
    </w:rPr>
  </w:style>
  <w:style w:type="paragraph" w:customStyle="1" w:styleId="Titrearticle">
    <w:name w:val="Titre article"/>
    <w:basedOn w:val="Normal"/>
    <w:next w:val="Normal"/>
    <w:pPr>
      <w:keepNext/>
      <w:spacing w:before="360" w:after="120"/>
      <w:jc w:val="center"/>
    </w:pPr>
    <w:rPr>
      <w:rFonts w:eastAsia="Calibri" w:cs="Times New Roman"/>
      <w:i/>
    </w:rPr>
  </w:style>
  <w:style w:type="paragraph" w:customStyle="1" w:styleId="Titreobjet">
    <w:name w:val="Titre objet"/>
    <w:basedOn w:val="Normal"/>
    <w:next w:val="Sous-titreobjet"/>
    <w:pPr>
      <w:spacing w:before="360" w:after="360"/>
      <w:jc w:val="center"/>
    </w:pPr>
    <w:rPr>
      <w:rFonts w:eastAsia="Calibri" w:cs="Times New Roman"/>
      <w:b/>
    </w:rPr>
  </w:style>
  <w:style w:type="paragraph" w:customStyle="1" w:styleId="Typedudocument">
    <w:name w:val="Type du document"/>
    <w:basedOn w:val="Normal"/>
    <w:next w:val="Titreobjet"/>
    <w:pPr>
      <w:spacing w:before="360" w:after="0"/>
      <w:jc w:val="center"/>
    </w:pPr>
    <w:rPr>
      <w:rFonts w:eastAsia="Calibri" w:cs="Times New Roman"/>
      <w:b/>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eastAsia="Calibri" w:cs="Times New Roman"/>
    </w:rPr>
  </w:style>
  <w:style w:type="paragraph" w:customStyle="1" w:styleId="Objetexterne">
    <w:name w:val="Objet externe"/>
    <w:basedOn w:val="Normal"/>
    <w:next w:val="Normal"/>
    <w:pPr>
      <w:spacing w:before="120" w:after="120"/>
    </w:pPr>
    <w:rPr>
      <w:rFonts w:eastAsia="Calibri" w:cs="Times New Roman"/>
      <w:i/>
      <w:caps/>
    </w:rPr>
  </w:style>
  <w:style w:type="paragraph" w:customStyle="1" w:styleId="Supertitre">
    <w:name w:val="Supertitre"/>
    <w:basedOn w:val="Normal"/>
    <w:next w:val="Normal"/>
    <w:pPr>
      <w:spacing w:after="600"/>
      <w:jc w:val="center"/>
    </w:pPr>
    <w:rPr>
      <w:rFonts w:eastAsia="Calibri" w:cs="Times New Roman"/>
      <w:b/>
    </w:rPr>
  </w:style>
  <w:style w:type="paragraph" w:customStyle="1" w:styleId="Languesfaisantfoi">
    <w:name w:val="Langues faisant foi"/>
    <w:basedOn w:val="Normal"/>
    <w:next w:val="Normal"/>
    <w:pPr>
      <w:spacing w:before="360" w:after="0"/>
      <w:jc w:val="center"/>
    </w:pPr>
    <w:rPr>
      <w:rFonts w:eastAsia="Calibri" w:cs="Times New Roman"/>
    </w:rPr>
  </w:style>
  <w:style w:type="paragraph" w:customStyle="1" w:styleId="Rfrencecroise">
    <w:name w:val="Référence croisée"/>
    <w:basedOn w:val="Normal"/>
    <w:pPr>
      <w:spacing w:after="0"/>
      <w:jc w:val="center"/>
    </w:pPr>
    <w:rPr>
      <w:rFonts w:eastAsia="Calibri" w:cs="Times New Roman"/>
    </w:rPr>
  </w:style>
  <w:style w:type="paragraph" w:customStyle="1" w:styleId="Fichefinanciretitre">
    <w:name w:val="Fiche financière titre"/>
    <w:basedOn w:val="Normal"/>
    <w:next w:val="Normal"/>
    <w:pPr>
      <w:spacing w:before="120" w:after="120"/>
      <w:jc w:val="center"/>
    </w:pPr>
    <w:rPr>
      <w:rFonts w:eastAsia="Calibri" w:cs="Times New Roman"/>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ind w:left="5103"/>
    </w:pPr>
    <w:rPr>
      <w:rFonts w:eastAsia="Calibri" w:cs="Times New Roman"/>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jc w:val="center"/>
    </w:pPr>
    <w:rPr>
      <w:rFonts w:eastAsia="Calibri" w:cs="Times New Roman"/>
      <w:b/>
      <w:i/>
    </w:rPr>
  </w:style>
  <w:style w:type="paragraph" w:customStyle="1" w:styleId="Typeacteprincipal">
    <w:name w:val="Type acte principal"/>
    <w:basedOn w:val="Normal"/>
    <w:next w:val="Objetacteprincipal"/>
    <w:pPr>
      <w:spacing w:after="240"/>
      <w:jc w:val="center"/>
    </w:pPr>
    <w:rPr>
      <w:rFonts w:eastAsia="Calibri" w:cs="Times New Roman"/>
      <w:b/>
    </w:rPr>
  </w:style>
  <w:style w:type="paragraph" w:customStyle="1" w:styleId="Objetacteprincipal">
    <w:name w:val="Objet acte principal"/>
    <w:basedOn w:val="Normal"/>
    <w:next w:val="Titrearticle"/>
    <w:pPr>
      <w:spacing w:after="360"/>
      <w:jc w:val="center"/>
    </w:pPr>
    <w:rPr>
      <w:rFonts w:eastAsia="Calibri" w:cs="Times New Roman"/>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rPr>
      <w:rFonts w:eastAsia="Calibri" w:cs="Times New Roman"/>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sz w:val="20"/>
      <w:szCs w:val="20"/>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824115">
      <w:bodyDiv w:val="1"/>
      <w:marLeft w:val="0"/>
      <w:marRight w:val="0"/>
      <w:marTop w:val="0"/>
      <w:marBottom w:val="0"/>
      <w:divBdr>
        <w:top w:val="none" w:sz="0" w:space="0" w:color="auto"/>
        <w:left w:val="none" w:sz="0" w:space="0" w:color="auto"/>
        <w:bottom w:val="none" w:sz="0" w:space="0" w:color="auto"/>
        <w:right w:val="none" w:sz="0" w:space="0" w:color="auto"/>
      </w:divBdr>
      <w:divsChild>
        <w:div w:id="724910686">
          <w:marLeft w:val="0"/>
          <w:marRight w:val="0"/>
          <w:marTop w:val="0"/>
          <w:marBottom w:val="0"/>
          <w:divBdr>
            <w:top w:val="none" w:sz="0" w:space="0" w:color="auto"/>
            <w:left w:val="none" w:sz="0" w:space="0" w:color="auto"/>
            <w:bottom w:val="none" w:sz="0" w:space="0" w:color="auto"/>
            <w:right w:val="none" w:sz="0" w:space="0" w:color="auto"/>
          </w:divBdr>
          <w:divsChild>
            <w:div w:id="616761165">
              <w:marLeft w:val="0"/>
              <w:marRight w:val="0"/>
              <w:marTop w:val="0"/>
              <w:marBottom w:val="0"/>
              <w:divBdr>
                <w:top w:val="none" w:sz="0" w:space="0" w:color="auto"/>
                <w:left w:val="none" w:sz="0" w:space="0" w:color="auto"/>
                <w:bottom w:val="none" w:sz="0" w:space="0" w:color="auto"/>
                <w:right w:val="none" w:sz="0" w:space="0" w:color="auto"/>
              </w:divBdr>
              <w:divsChild>
                <w:div w:id="839781217">
                  <w:marLeft w:val="0"/>
                  <w:marRight w:val="0"/>
                  <w:marTop w:val="0"/>
                  <w:marBottom w:val="0"/>
                  <w:divBdr>
                    <w:top w:val="none" w:sz="0" w:space="0" w:color="auto"/>
                    <w:left w:val="none" w:sz="0" w:space="0" w:color="auto"/>
                    <w:bottom w:val="none" w:sz="0" w:space="0" w:color="auto"/>
                    <w:right w:val="none" w:sz="0" w:space="0" w:color="auto"/>
                  </w:divBdr>
                  <w:divsChild>
                    <w:div w:id="1214659983">
                      <w:marLeft w:val="1"/>
                      <w:marRight w:val="1"/>
                      <w:marTop w:val="0"/>
                      <w:marBottom w:val="0"/>
                      <w:divBdr>
                        <w:top w:val="none" w:sz="0" w:space="0" w:color="auto"/>
                        <w:left w:val="none" w:sz="0" w:space="0" w:color="auto"/>
                        <w:bottom w:val="none" w:sz="0" w:space="0" w:color="auto"/>
                        <w:right w:val="none" w:sz="0" w:space="0" w:color="auto"/>
                      </w:divBdr>
                      <w:divsChild>
                        <w:div w:id="1930232110">
                          <w:marLeft w:val="0"/>
                          <w:marRight w:val="0"/>
                          <w:marTop w:val="0"/>
                          <w:marBottom w:val="0"/>
                          <w:divBdr>
                            <w:top w:val="none" w:sz="0" w:space="0" w:color="auto"/>
                            <w:left w:val="none" w:sz="0" w:space="0" w:color="auto"/>
                            <w:bottom w:val="none" w:sz="0" w:space="0" w:color="auto"/>
                            <w:right w:val="none" w:sz="0" w:space="0" w:color="auto"/>
                          </w:divBdr>
                          <w:divsChild>
                            <w:div w:id="607735913">
                              <w:marLeft w:val="0"/>
                              <w:marRight w:val="0"/>
                              <w:marTop w:val="0"/>
                              <w:marBottom w:val="360"/>
                              <w:divBdr>
                                <w:top w:val="none" w:sz="0" w:space="0" w:color="auto"/>
                                <w:left w:val="none" w:sz="0" w:space="0" w:color="auto"/>
                                <w:bottom w:val="none" w:sz="0" w:space="0" w:color="auto"/>
                                <w:right w:val="none" w:sz="0" w:space="0" w:color="auto"/>
                              </w:divBdr>
                              <w:divsChild>
                                <w:div w:id="189536489">
                                  <w:marLeft w:val="0"/>
                                  <w:marRight w:val="0"/>
                                  <w:marTop w:val="0"/>
                                  <w:marBottom w:val="0"/>
                                  <w:divBdr>
                                    <w:top w:val="none" w:sz="0" w:space="0" w:color="auto"/>
                                    <w:left w:val="none" w:sz="0" w:space="0" w:color="auto"/>
                                    <w:bottom w:val="none" w:sz="0" w:space="0" w:color="auto"/>
                                    <w:right w:val="none" w:sz="0" w:space="0" w:color="auto"/>
                                  </w:divBdr>
                                  <w:divsChild>
                                    <w:div w:id="69896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485815">
      <w:bodyDiv w:val="1"/>
      <w:marLeft w:val="0"/>
      <w:marRight w:val="0"/>
      <w:marTop w:val="0"/>
      <w:marBottom w:val="0"/>
      <w:divBdr>
        <w:top w:val="none" w:sz="0" w:space="0" w:color="auto"/>
        <w:left w:val="none" w:sz="0" w:space="0" w:color="auto"/>
        <w:bottom w:val="none" w:sz="0" w:space="0" w:color="auto"/>
        <w:right w:val="none" w:sz="0" w:space="0" w:color="auto"/>
      </w:divBdr>
    </w:div>
    <w:div w:id="1248417554">
      <w:bodyDiv w:val="1"/>
      <w:marLeft w:val="0"/>
      <w:marRight w:val="0"/>
      <w:marTop w:val="0"/>
      <w:marBottom w:val="0"/>
      <w:divBdr>
        <w:top w:val="none" w:sz="0" w:space="0" w:color="auto"/>
        <w:left w:val="none" w:sz="0" w:space="0" w:color="auto"/>
        <w:bottom w:val="none" w:sz="0" w:space="0" w:color="auto"/>
        <w:right w:val="none" w:sz="0" w:space="0" w:color="auto"/>
      </w:divBdr>
      <w:divsChild>
        <w:div w:id="327371580">
          <w:marLeft w:val="0"/>
          <w:marRight w:val="0"/>
          <w:marTop w:val="0"/>
          <w:marBottom w:val="0"/>
          <w:divBdr>
            <w:top w:val="none" w:sz="0" w:space="0" w:color="auto"/>
            <w:left w:val="none" w:sz="0" w:space="0" w:color="auto"/>
            <w:bottom w:val="none" w:sz="0" w:space="0" w:color="auto"/>
            <w:right w:val="none" w:sz="0" w:space="0" w:color="auto"/>
          </w:divBdr>
          <w:divsChild>
            <w:div w:id="426772151">
              <w:marLeft w:val="0"/>
              <w:marRight w:val="0"/>
              <w:marTop w:val="0"/>
              <w:marBottom w:val="0"/>
              <w:divBdr>
                <w:top w:val="none" w:sz="0" w:space="0" w:color="auto"/>
                <w:left w:val="none" w:sz="0" w:space="0" w:color="auto"/>
                <w:bottom w:val="none" w:sz="0" w:space="0" w:color="auto"/>
                <w:right w:val="none" w:sz="0" w:space="0" w:color="auto"/>
              </w:divBdr>
              <w:divsChild>
                <w:div w:id="1951625751">
                  <w:marLeft w:val="0"/>
                  <w:marRight w:val="0"/>
                  <w:marTop w:val="0"/>
                  <w:marBottom w:val="0"/>
                  <w:divBdr>
                    <w:top w:val="none" w:sz="0" w:space="0" w:color="auto"/>
                    <w:left w:val="none" w:sz="0" w:space="0" w:color="auto"/>
                    <w:bottom w:val="none" w:sz="0" w:space="0" w:color="auto"/>
                    <w:right w:val="none" w:sz="0" w:space="0" w:color="auto"/>
                  </w:divBdr>
                  <w:divsChild>
                    <w:div w:id="1397390671">
                      <w:marLeft w:val="1"/>
                      <w:marRight w:val="1"/>
                      <w:marTop w:val="0"/>
                      <w:marBottom w:val="0"/>
                      <w:divBdr>
                        <w:top w:val="none" w:sz="0" w:space="0" w:color="auto"/>
                        <w:left w:val="none" w:sz="0" w:space="0" w:color="auto"/>
                        <w:bottom w:val="none" w:sz="0" w:space="0" w:color="auto"/>
                        <w:right w:val="none" w:sz="0" w:space="0" w:color="auto"/>
                      </w:divBdr>
                      <w:divsChild>
                        <w:div w:id="862284499">
                          <w:marLeft w:val="0"/>
                          <w:marRight w:val="0"/>
                          <w:marTop w:val="0"/>
                          <w:marBottom w:val="0"/>
                          <w:divBdr>
                            <w:top w:val="none" w:sz="0" w:space="0" w:color="auto"/>
                            <w:left w:val="none" w:sz="0" w:space="0" w:color="auto"/>
                            <w:bottom w:val="none" w:sz="0" w:space="0" w:color="auto"/>
                            <w:right w:val="none" w:sz="0" w:space="0" w:color="auto"/>
                          </w:divBdr>
                          <w:divsChild>
                            <w:div w:id="1935016898">
                              <w:marLeft w:val="0"/>
                              <w:marRight w:val="0"/>
                              <w:marTop w:val="0"/>
                              <w:marBottom w:val="360"/>
                              <w:divBdr>
                                <w:top w:val="none" w:sz="0" w:space="0" w:color="auto"/>
                                <w:left w:val="none" w:sz="0" w:space="0" w:color="auto"/>
                                <w:bottom w:val="none" w:sz="0" w:space="0" w:color="auto"/>
                                <w:right w:val="none" w:sz="0" w:space="0" w:color="auto"/>
                              </w:divBdr>
                              <w:divsChild>
                                <w:div w:id="1095587352">
                                  <w:marLeft w:val="0"/>
                                  <w:marRight w:val="0"/>
                                  <w:marTop w:val="0"/>
                                  <w:marBottom w:val="0"/>
                                  <w:divBdr>
                                    <w:top w:val="none" w:sz="0" w:space="0" w:color="auto"/>
                                    <w:left w:val="none" w:sz="0" w:space="0" w:color="auto"/>
                                    <w:bottom w:val="none" w:sz="0" w:space="0" w:color="auto"/>
                                    <w:right w:val="none" w:sz="0" w:space="0" w:color="auto"/>
                                  </w:divBdr>
                                  <w:divsChild>
                                    <w:div w:id="1737630938">
                                      <w:marLeft w:val="0"/>
                                      <w:marRight w:val="0"/>
                                      <w:marTop w:val="0"/>
                                      <w:marBottom w:val="0"/>
                                      <w:divBdr>
                                        <w:top w:val="none" w:sz="0" w:space="0" w:color="auto"/>
                                        <w:left w:val="none" w:sz="0" w:space="0" w:color="auto"/>
                                        <w:bottom w:val="none" w:sz="0" w:space="0" w:color="auto"/>
                                        <w:right w:val="none" w:sz="0" w:space="0" w:color="auto"/>
                                      </w:divBdr>
                                      <w:divsChild>
                                        <w:div w:id="1612861031">
                                          <w:marLeft w:val="0"/>
                                          <w:marRight w:val="0"/>
                                          <w:marTop w:val="0"/>
                                          <w:marBottom w:val="0"/>
                                          <w:divBdr>
                                            <w:top w:val="none" w:sz="0" w:space="0" w:color="auto"/>
                                            <w:left w:val="none" w:sz="0" w:space="0" w:color="auto"/>
                                            <w:bottom w:val="none" w:sz="0" w:space="0" w:color="auto"/>
                                            <w:right w:val="none" w:sz="0" w:space="0" w:color="auto"/>
                                          </w:divBdr>
                                          <w:divsChild>
                                            <w:div w:id="193635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0136323">
      <w:bodyDiv w:val="1"/>
      <w:marLeft w:val="0"/>
      <w:marRight w:val="0"/>
      <w:marTop w:val="0"/>
      <w:marBottom w:val="0"/>
      <w:divBdr>
        <w:top w:val="none" w:sz="0" w:space="0" w:color="auto"/>
        <w:left w:val="none" w:sz="0" w:space="0" w:color="auto"/>
        <w:bottom w:val="none" w:sz="0" w:space="0" w:color="auto"/>
        <w:right w:val="none" w:sz="0" w:space="0" w:color="auto"/>
      </w:divBdr>
    </w:div>
    <w:div w:id="1605455919">
      <w:bodyDiv w:val="1"/>
      <w:marLeft w:val="0"/>
      <w:marRight w:val="0"/>
      <w:marTop w:val="0"/>
      <w:marBottom w:val="0"/>
      <w:divBdr>
        <w:top w:val="none" w:sz="0" w:space="0" w:color="auto"/>
        <w:left w:val="none" w:sz="0" w:space="0" w:color="auto"/>
        <w:bottom w:val="none" w:sz="0" w:space="0" w:color="auto"/>
        <w:right w:val="none" w:sz="0" w:space="0" w:color="auto"/>
      </w:divBdr>
    </w:div>
    <w:div w:id="1686664081">
      <w:bodyDiv w:val="1"/>
      <w:marLeft w:val="0"/>
      <w:marRight w:val="0"/>
      <w:marTop w:val="0"/>
      <w:marBottom w:val="0"/>
      <w:divBdr>
        <w:top w:val="none" w:sz="0" w:space="0" w:color="auto"/>
        <w:left w:val="none" w:sz="0" w:space="0" w:color="auto"/>
        <w:bottom w:val="none" w:sz="0" w:space="0" w:color="auto"/>
        <w:right w:val="none" w:sz="0" w:space="0" w:color="auto"/>
      </w:divBdr>
      <w:divsChild>
        <w:div w:id="1738548769">
          <w:marLeft w:val="0"/>
          <w:marRight w:val="0"/>
          <w:marTop w:val="0"/>
          <w:marBottom w:val="0"/>
          <w:divBdr>
            <w:top w:val="none" w:sz="0" w:space="0" w:color="auto"/>
            <w:left w:val="none" w:sz="0" w:space="0" w:color="auto"/>
            <w:bottom w:val="none" w:sz="0" w:space="0" w:color="auto"/>
            <w:right w:val="none" w:sz="0" w:space="0" w:color="auto"/>
          </w:divBdr>
          <w:divsChild>
            <w:div w:id="2041085350">
              <w:marLeft w:val="0"/>
              <w:marRight w:val="0"/>
              <w:marTop w:val="0"/>
              <w:marBottom w:val="0"/>
              <w:divBdr>
                <w:top w:val="none" w:sz="0" w:space="0" w:color="auto"/>
                <w:left w:val="none" w:sz="0" w:space="0" w:color="auto"/>
                <w:bottom w:val="none" w:sz="0" w:space="0" w:color="auto"/>
                <w:right w:val="none" w:sz="0" w:space="0" w:color="auto"/>
              </w:divBdr>
              <w:divsChild>
                <w:div w:id="1470591200">
                  <w:marLeft w:val="0"/>
                  <w:marRight w:val="0"/>
                  <w:marTop w:val="0"/>
                  <w:marBottom w:val="0"/>
                  <w:divBdr>
                    <w:top w:val="none" w:sz="0" w:space="0" w:color="auto"/>
                    <w:left w:val="none" w:sz="0" w:space="0" w:color="auto"/>
                    <w:bottom w:val="none" w:sz="0" w:space="0" w:color="auto"/>
                    <w:right w:val="none" w:sz="0" w:space="0" w:color="auto"/>
                  </w:divBdr>
                  <w:divsChild>
                    <w:div w:id="284894843">
                      <w:marLeft w:val="1"/>
                      <w:marRight w:val="1"/>
                      <w:marTop w:val="0"/>
                      <w:marBottom w:val="0"/>
                      <w:divBdr>
                        <w:top w:val="none" w:sz="0" w:space="0" w:color="auto"/>
                        <w:left w:val="none" w:sz="0" w:space="0" w:color="auto"/>
                        <w:bottom w:val="none" w:sz="0" w:space="0" w:color="auto"/>
                        <w:right w:val="none" w:sz="0" w:space="0" w:color="auto"/>
                      </w:divBdr>
                      <w:divsChild>
                        <w:div w:id="1180896624">
                          <w:marLeft w:val="0"/>
                          <w:marRight w:val="0"/>
                          <w:marTop w:val="0"/>
                          <w:marBottom w:val="0"/>
                          <w:divBdr>
                            <w:top w:val="none" w:sz="0" w:space="0" w:color="auto"/>
                            <w:left w:val="none" w:sz="0" w:space="0" w:color="auto"/>
                            <w:bottom w:val="none" w:sz="0" w:space="0" w:color="auto"/>
                            <w:right w:val="none" w:sz="0" w:space="0" w:color="auto"/>
                          </w:divBdr>
                          <w:divsChild>
                            <w:div w:id="1664043141">
                              <w:marLeft w:val="0"/>
                              <w:marRight w:val="0"/>
                              <w:marTop w:val="0"/>
                              <w:marBottom w:val="360"/>
                              <w:divBdr>
                                <w:top w:val="none" w:sz="0" w:space="0" w:color="auto"/>
                                <w:left w:val="none" w:sz="0" w:space="0" w:color="auto"/>
                                <w:bottom w:val="none" w:sz="0" w:space="0" w:color="auto"/>
                                <w:right w:val="none" w:sz="0" w:space="0" w:color="auto"/>
                              </w:divBdr>
                              <w:divsChild>
                                <w:div w:id="271519070">
                                  <w:marLeft w:val="0"/>
                                  <w:marRight w:val="0"/>
                                  <w:marTop w:val="0"/>
                                  <w:marBottom w:val="0"/>
                                  <w:divBdr>
                                    <w:top w:val="none" w:sz="0" w:space="0" w:color="auto"/>
                                    <w:left w:val="none" w:sz="0" w:space="0" w:color="auto"/>
                                    <w:bottom w:val="none" w:sz="0" w:space="0" w:color="auto"/>
                                    <w:right w:val="none" w:sz="0" w:space="0" w:color="auto"/>
                                  </w:divBdr>
                                  <w:divsChild>
                                    <w:div w:id="76141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gal-content/SV/AUTO/?uri=celex:32005R1698" TargetMode="External"/><Relationship Id="rId1" Type="http://schemas.openxmlformats.org/officeDocument/2006/relationships/hyperlink" Target="http://eur-lex.europa.eu/legal-content/SV/AUTO/?uri=celex:31999R1263"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Sheet1!$A$2</c:f>
              <c:strCache>
                <c:ptCount val="1"/>
                <c:pt idx="0">
                  <c:v>Område 1</c:v>
                </c:pt>
              </c:strCache>
            </c:strRef>
          </c:tx>
          <c:cat>
            <c:strRef>
              <c:f>Sheet1!$B$1:$E$1</c:f>
              <c:strCache>
                <c:ptCount val="4"/>
                <c:pt idx="0">
                  <c:v>31 juli 2012</c:v>
                </c:pt>
                <c:pt idx="1">
                  <c:v>31 maj 2013</c:v>
                </c:pt>
                <c:pt idx="2">
                  <c:v>31 maj 2014</c:v>
                </c:pt>
                <c:pt idx="3">
                  <c:v>31 maj 2015</c:v>
                </c:pt>
              </c:strCache>
            </c:strRef>
          </c:cat>
          <c:val>
            <c:numRef>
              <c:f>Sheet1!$B$2:$E$2</c:f>
              <c:numCache>
                <c:formatCode>0.00%</c:formatCode>
                <c:ptCount val="4"/>
                <c:pt idx="0">
                  <c:v>0.6724</c:v>
                </c:pt>
                <c:pt idx="1">
                  <c:v>0.74360000000000004</c:v>
                </c:pt>
                <c:pt idx="2">
                  <c:v>0.79610000000000003</c:v>
                </c:pt>
                <c:pt idx="3">
                  <c:v>0.85240000000000005</c:v>
                </c:pt>
              </c:numCache>
            </c:numRef>
          </c:val>
          <c:smooth val="0"/>
        </c:ser>
        <c:ser>
          <c:idx val="1"/>
          <c:order val="1"/>
          <c:tx>
            <c:strRef>
              <c:f>Sheet1!$A$3</c:f>
              <c:strCache>
                <c:ptCount val="1"/>
                <c:pt idx="0">
                  <c:v>Område 2</c:v>
                </c:pt>
              </c:strCache>
            </c:strRef>
          </c:tx>
          <c:cat>
            <c:strRef>
              <c:f>Sheet1!$B$1:$E$1</c:f>
              <c:strCache>
                <c:ptCount val="4"/>
                <c:pt idx="0">
                  <c:v>31 juli 2012</c:v>
                </c:pt>
                <c:pt idx="1">
                  <c:v>31 maj 2013</c:v>
                </c:pt>
                <c:pt idx="2">
                  <c:v>31 maj 2014</c:v>
                </c:pt>
                <c:pt idx="3">
                  <c:v>31 maj 2015</c:v>
                </c:pt>
              </c:strCache>
            </c:strRef>
          </c:cat>
          <c:val>
            <c:numRef>
              <c:f>Sheet1!$B$3:$E$3</c:f>
              <c:numCache>
                <c:formatCode>0.00%</c:formatCode>
                <c:ptCount val="4"/>
                <c:pt idx="0">
                  <c:v>0.56599999999999995</c:v>
                </c:pt>
                <c:pt idx="1">
                  <c:v>0.77470000000000006</c:v>
                </c:pt>
                <c:pt idx="2">
                  <c:v>0.86770000000000003</c:v>
                </c:pt>
                <c:pt idx="3">
                  <c:v>0.98399999999999999</c:v>
                </c:pt>
              </c:numCache>
            </c:numRef>
          </c:val>
          <c:smooth val="0"/>
        </c:ser>
        <c:ser>
          <c:idx val="2"/>
          <c:order val="2"/>
          <c:tx>
            <c:strRef>
              <c:f>Sheet1!$A$4</c:f>
              <c:strCache>
                <c:ptCount val="1"/>
                <c:pt idx="0">
                  <c:v>Område 3</c:v>
                </c:pt>
              </c:strCache>
            </c:strRef>
          </c:tx>
          <c:cat>
            <c:strRef>
              <c:f>Sheet1!$B$1:$E$1</c:f>
              <c:strCache>
                <c:ptCount val="4"/>
                <c:pt idx="0">
                  <c:v>31 juli 2012</c:v>
                </c:pt>
                <c:pt idx="1">
                  <c:v>31 maj 2013</c:v>
                </c:pt>
                <c:pt idx="2">
                  <c:v>31 maj 2014</c:v>
                </c:pt>
                <c:pt idx="3">
                  <c:v>31 maj 2015</c:v>
                </c:pt>
              </c:strCache>
            </c:strRef>
          </c:cat>
          <c:val>
            <c:numRef>
              <c:f>Sheet1!$B$4:$E$4</c:f>
              <c:numCache>
                <c:formatCode>0.00%</c:formatCode>
                <c:ptCount val="4"/>
                <c:pt idx="0">
                  <c:v>0.57799999999999996</c:v>
                </c:pt>
                <c:pt idx="1">
                  <c:v>0.67310000000000003</c:v>
                </c:pt>
                <c:pt idx="2">
                  <c:v>0.83799999999999997</c:v>
                </c:pt>
                <c:pt idx="3">
                  <c:v>0.9385</c:v>
                </c:pt>
              </c:numCache>
            </c:numRef>
          </c:val>
          <c:smooth val="0"/>
        </c:ser>
        <c:ser>
          <c:idx val="3"/>
          <c:order val="3"/>
          <c:tx>
            <c:strRef>
              <c:f>Sheet1!$A$5</c:f>
              <c:strCache>
                <c:ptCount val="1"/>
                <c:pt idx="0">
                  <c:v>Område 4</c:v>
                </c:pt>
              </c:strCache>
            </c:strRef>
          </c:tx>
          <c:cat>
            <c:strRef>
              <c:f>Sheet1!$B$1:$E$1</c:f>
              <c:strCache>
                <c:ptCount val="4"/>
                <c:pt idx="0">
                  <c:v>31 juli 2012</c:v>
                </c:pt>
                <c:pt idx="1">
                  <c:v>31 maj 2013</c:v>
                </c:pt>
                <c:pt idx="2">
                  <c:v>31 maj 2014</c:v>
                </c:pt>
                <c:pt idx="3">
                  <c:v>31 maj 2015</c:v>
                </c:pt>
              </c:strCache>
            </c:strRef>
          </c:cat>
          <c:val>
            <c:numRef>
              <c:f>Sheet1!$B$5:$E$5</c:f>
              <c:numCache>
                <c:formatCode>0.00%</c:formatCode>
                <c:ptCount val="4"/>
                <c:pt idx="0">
                  <c:v>0.28000000000000003</c:v>
                </c:pt>
                <c:pt idx="1">
                  <c:v>0.44600000000000001</c:v>
                </c:pt>
                <c:pt idx="2">
                  <c:v>0.56889999999999996</c:v>
                </c:pt>
                <c:pt idx="3">
                  <c:v>0.80900000000000005</c:v>
                </c:pt>
              </c:numCache>
            </c:numRef>
          </c:val>
          <c:smooth val="0"/>
        </c:ser>
        <c:ser>
          <c:idx val="4"/>
          <c:order val="4"/>
          <c:tx>
            <c:strRef>
              <c:f>Sheet1!$A$6</c:f>
              <c:strCache>
                <c:ptCount val="1"/>
                <c:pt idx="0">
                  <c:v>Område 5</c:v>
                </c:pt>
              </c:strCache>
            </c:strRef>
          </c:tx>
          <c:cat>
            <c:strRef>
              <c:f>Sheet1!$B$1:$E$1</c:f>
              <c:strCache>
                <c:ptCount val="4"/>
                <c:pt idx="0">
                  <c:v>31 juli 2012</c:v>
                </c:pt>
                <c:pt idx="1">
                  <c:v>31 maj 2013</c:v>
                </c:pt>
                <c:pt idx="2">
                  <c:v>31 maj 2014</c:v>
                </c:pt>
                <c:pt idx="3">
                  <c:v>31 maj 2015</c:v>
                </c:pt>
              </c:strCache>
            </c:strRef>
          </c:cat>
          <c:val>
            <c:numRef>
              <c:f>Sheet1!$B$6:$E$6</c:f>
              <c:numCache>
                <c:formatCode>0.00%</c:formatCode>
                <c:ptCount val="4"/>
                <c:pt idx="0">
                  <c:v>0.44040000000000001</c:v>
                </c:pt>
                <c:pt idx="1">
                  <c:v>0.44600000000000001</c:v>
                </c:pt>
                <c:pt idx="2">
                  <c:v>0.65339999999999998</c:v>
                </c:pt>
                <c:pt idx="3">
                  <c:v>0.83860000000000001</c:v>
                </c:pt>
              </c:numCache>
            </c:numRef>
          </c:val>
          <c:smooth val="0"/>
        </c:ser>
        <c:ser>
          <c:idx val="5"/>
          <c:order val="5"/>
          <c:tx>
            <c:strRef>
              <c:f>Sheet1!$A$7</c:f>
              <c:strCache>
                <c:ptCount val="1"/>
                <c:pt idx="0">
                  <c:v>EFF</c:v>
                </c:pt>
              </c:strCache>
            </c:strRef>
          </c:tx>
          <c:cat>
            <c:strRef>
              <c:f>Sheet1!$B$1:$E$1</c:f>
              <c:strCache>
                <c:ptCount val="4"/>
                <c:pt idx="0">
                  <c:v>31 juli 2012</c:v>
                </c:pt>
                <c:pt idx="1">
                  <c:v>31 maj 2013</c:v>
                </c:pt>
                <c:pt idx="2">
                  <c:v>31 maj 2014</c:v>
                </c:pt>
                <c:pt idx="3">
                  <c:v>31 maj 2015</c:v>
                </c:pt>
              </c:strCache>
            </c:strRef>
          </c:cat>
          <c:val>
            <c:numRef>
              <c:f>Sheet1!$B$7:$E$7</c:f>
              <c:numCache>
                <c:formatCode>0.00%</c:formatCode>
                <c:ptCount val="4"/>
                <c:pt idx="0">
                  <c:v>0.56310000000000004</c:v>
                </c:pt>
                <c:pt idx="1">
                  <c:v>0.67369999999999997</c:v>
                </c:pt>
                <c:pt idx="2">
                  <c:v>0.79330000000000001</c:v>
                </c:pt>
                <c:pt idx="3">
                  <c:v>0.9083</c:v>
                </c:pt>
              </c:numCache>
            </c:numRef>
          </c:val>
          <c:smooth val="0"/>
        </c:ser>
        <c:dLbls>
          <c:showLegendKey val="0"/>
          <c:showVal val="0"/>
          <c:showCatName val="0"/>
          <c:showSerName val="0"/>
          <c:showPercent val="0"/>
          <c:showBubbleSize val="0"/>
        </c:dLbls>
        <c:marker val="1"/>
        <c:smooth val="0"/>
        <c:axId val="51591424"/>
        <c:axId val="51601408"/>
      </c:lineChart>
      <c:catAx>
        <c:axId val="51591424"/>
        <c:scaling>
          <c:orientation val="minMax"/>
        </c:scaling>
        <c:delete val="0"/>
        <c:axPos val="b"/>
        <c:numFmt formatCode="@" sourceLinked="1"/>
        <c:majorTickMark val="out"/>
        <c:minorTickMark val="none"/>
        <c:tickLblPos val="nextTo"/>
        <c:crossAx val="51601408"/>
        <c:crosses val="autoZero"/>
        <c:auto val="1"/>
        <c:lblAlgn val="ctr"/>
        <c:lblOffset val="100"/>
        <c:noMultiLvlLbl val="0"/>
      </c:catAx>
      <c:valAx>
        <c:axId val="51601408"/>
        <c:scaling>
          <c:orientation val="minMax"/>
          <c:max val="1"/>
          <c:min val="0.2"/>
        </c:scaling>
        <c:delete val="0"/>
        <c:axPos val="l"/>
        <c:majorGridlines/>
        <c:numFmt formatCode="0.00%" sourceLinked="1"/>
        <c:majorTickMark val="out"/>
        <c:minorTickMark val="none"/>
        <c:tickLblPos val="nextTo"/>
        <c:crossAx val="51591424"/>
        <c:crosses val="autoZero"/>
        <c:crossBetween val="between"/>
        <c:majorUnit val="0.1"/>
      </c:valAx>
    </c:plotArea>
    <c:legend>
      <c:legendPos val="b"/>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81AE8-AE1A-4395-A493-3F6E3B322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15</Pages>
  <Words>5088</Words>
  <Characters>28295</Characters>
  <Application>Microsoft Office Word</Application>
  <DocSecurity>0</DocSecurity>
  <Lines>975</Lines>
  <Paragraphs>741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60</cp:revision>
  <cp:lastPrinted>2015-12-07T09:50:00Z</cp:lastPrinted>
  <dcterms:created xsi:type="dcterms:W3CDTF">2015-11-20T11:02:00Z</dcterms:created>
  <dcterms:modified xsi:type="dcterms:W3CDTF">2015-12-15T13:29:00Z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