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229C9" w14:textId="565A10A9" w:rsidR="00646AC2" w:rsidRPr="005454D7" w:rsidRDefault="00D240AC" w:rsidP="00D95AE9">
      <w:pPr>
        <w:jc w:val="center"/>
      </w:pPr>
      <w:r>
        <w:rPr>
          <w:noProof/>
        </w:rPr>
        <w:drawing>
          <wp:inline distT="0" distB="0" distL="0" distR="0" wp14:anchorId="1208C767" wp14:editId="0097B07B">
            <wp:extent cx="1792605" cy="1239520"/>
            <wp:effectExtent l="0" t="0" r="0" b="0"/>
            <wp:docPr id="1" name="Picture 1" title="EESCLogo_SL"/>
            <wp:cNvGraphicFramePr/>
            <a:graphic xmlns:a="http://schemas.openxmlformats.org/drawingml/2006/main">
              <a:graphicData uri="http://schemas.openxmlformats.org/drawingml/2006/picture">
                <pic:pic xmlns:pic="http://schemas.openxmlformats.org/drawingml/2006/picture">
                  <pic:nvPicPr>
                    <pic:cNvPr id="1" name="Picture 1" title="EESCLogo_SL"/>
                    <pic:cNvPicPr/>
                  </pic:nvPicPr>
                  <pic:blipFill>
                    <a:blip r:embed="rId10"/>
                    <a:stretch>
                      <a:fillRect/>
                    </a:stretch>
                  </pic:blipFill>
                  <pic:spPr>
                    <a:xfrm>
                      <a:off x="0" y="0"/>
                      <a:ext cx="1792605" cy="1239520"/>
                    </a:xfrm>
                    <a:prstGeom prst="rect">
                      <a:avLst/>
                    </a:prstGeom>
                  </pic:spPr>
                </pic:pic>
              </a:graphicData>
            </a:graphic>
          </wp:inline>
        </w:drawing>
      </w:r>
      <w:r w:rsidR="003E0EB4">
        <w:rPr>
          <w:noProof/>
          <w:sz w:val="20"/>
        </w:rPr>
        <mc:AlternateContent>
          <mc:Choice Requires="wps">
            <w:drawing>
              <wp:anchor distT="0" distB="0" distL="114300" distR="114300" simplePos="0" relativeHeight="251658240" behindDoc="1" locked="0" layoutInCell="0" allowOverlap="1" wp14:anchorId="572791BF" wp14:editId="583E0327">
                <wp:simplePos x="0" y="0"/>
                <wp:positionH relativeFrom="page">
                  <wp:posOffset>6769100</wp:posOffset>
                </wp:positionH>
                <wp:positionV relativeFrom="page">
                  <wp:posOffset>10081260</wp:posOffset>
                </wp:positionV>
                <wp:extent cx="647700" cy="396240"/>
                <wp:effectExtent l="0" t="3810" r="3175" b="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07E995" w14:textId="77777777" w:rsidR="00DB53C1" w:rsidRPr="00260E65" w:rsidRDefault="00DB53C1">
                            <w:pPr>
                              <w:jc w:val="center"/>
                              <w:rPr>
                                <w:rFonts w:ascii="Arial" w:hAnsi="Arial" w:cs="Arial"/>
                                <w:b/>
                                <w:bCs/>
                                <w:sz w:val="48"/>
                              </w:rPr>
                            </w:pPr>
                            <w:r>
                              <w:rPr>
                                <w:rFonts w:ascii="Arial" w:hAnsi="Arial"/>
                                <w:b/>
                                <w:sz w:val="48"/>
                              </w:rPr>
                              <w:t>SL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2791BF" id="_x0000_t202" coordsize="21600,21600" o:spt="202" path="m,l,21600r21600,l21600,xe">
                <v:stroke joinstyle="miter"/>
                <v:path gradientshapeok="t" o:connecttype="rect"/>
              </v:shapetype>
              <v:shape id="Text Box 17" o:spid="_x0000_s1026" type="#_x0000_t202" style="position:absolute;left:0;text-align:left;margin-left:533pt;margin-top:793.8pt;width:51pt;height:3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" o:allowincell="f" filled="f" stroked="f">
                <v:textbox>
                  <w:txbxContent>
                    <w:p w14:paraId="3F07E995" w14:textId="77777777" w:rsidR="00DB53C1" w:rsidRPr="00260E65" w:rsidRDefault="00DB53C1">
                      <w:pPr>
                        <w:jc w:val="center"/>
                        <w:rPr>
                          <w:rFonts w:ascii="Arial" w:hAnsi="Arial" w:cs="Arial"/>
                          <w:b/>
                          <w:bCs/>
                          <w:sz w:val="48"/>
                        </w:rPr>
                      </w:pPr>
                      <w:r>
                        <w:rPr>
                          <w:rFonts w:ascii="Arial" w:hAnsi="Arial"/>
                          <w:b/>
                          <w:sz w:val="48"/>
                        </w:rPr>
                        <w:t>SL</w:t>
                      </w:r>
                    </w:p>
                  </w:txbxContent>
                </v:textbox>
                <w10:wrap anchorx="page" anchory="page"/>
              </v:shape>
            </w:pict>
          </mc:Fallback>
        </mc:AlternateContent>
      </w:r>
    </w:p>
    <w:p w14:paraId="058B9A77" w14:textId="77777777" w:rsidR="003E0EB4" w:rsidRPr="005454D7" w:rsidRDefault="003E0EB4" w:rsidP="00D95AE9">
      <w:pPr>
        <w:jc w:val="left"/>
        <w:rPr>
          <w:lang w:val="en-GB"/>
        </w:rPr>
      </w:pPr>
    </w:p>
    <w:p w14:paraId="6E5229CA" w14:textId="07659895" w:rsidR="00646AC2" w:rsidRPr="005454D7" w:rsidRDefault="00B83A12" w:rsidP="00D95AE9">
      <w:pPr>
        <w:jc w:val="right"/>
      </w:pPr>
      <w:r>
        <w:rPr>
          <w:b/>
        </w:rPr>
        <w:t>NAT/952</w:t>
      </w:r>
    </w:p>
    <w:p w14:paraId="6E5229CB" w14:textId="4F317170" w:rsidR="00563C84" w:rsidRPr="005454D7" w:rsidRDefault="00D17325" w:rsidP="00D95AE9">
      <w:pPr>
        <w:jc w:val="right"/>
        <w:rPr>
          <w:b/>
          <w:bCs/>
        </w:rPr>
      </w:pPr>
      <w:r>
        <w:rPr>
          <w:b/>
        </w:rPr>
        <w:t>Sprememba evropskih podnebnih pravil</w:t>
      </w:r>
    </w:p>
    <w:p w14:paraId="6E5229CC" w14:textId="77777777" w:rsidR="009B30AA" w:rsidRPr="005454D7" w:rsidRDefault="009B30AA" w:rsidP="00D95AE9">
      <w:pPr>
        <w:rPr>
          <w:lang w:val="en-GB"/>
        </w:rPr>
      </w:pPr>
    </w:p>
    <w:p w14:paraId="6E5229CD" w14:textId="77777777" w:rsidR="009B30AA" w:rsidRPr="005454D7" w:rsidRDefault="009B30AA" w:rsidP="00D95AE9">
      <w:pPr>
        <w:rPr>
          <w:lang w:val="en-GB"/>
        </w:rPr>
      </w:pPr>
    </w:p>
    <w:p w14:paraId="14C229D4" w14:textId="7AF8B1C8" w:rsidR="0061311D" w:rsidRPr="005454D7" w:rsidRDefault="00542C2A" w:rsidP="00D95AE9">
      <w:pPr>
        <w:jc w:val="center"/>
        <w:rPr>
          <w:b/>
          <w:bCs/>
          <w:sz w:val="28"/>
          <w:szCs w:val="28"/>
        </w:rPr>
      </w:pPr>
      <w:r>
        <w:rPr>
          <w:b/>
          <w:sz w:val="28"/>
        </w:rPr>
        <w:t>MNENJE</w:t>
      </w:r>
    </w:p>
    <w:p w14:paraId="38473EEC" w14:textId="77777777" w:rsidR="0061311D" w:rsidRPr="005454D7" w:rsidRDefault="0061311D" w:rsidP="00D95AE9">
      <w:pPr>
        <w:jc w:val="center"/>
        <w:rPr>
          <w:lang w:val="en-GB"/>
        </w:rPr>
      </w:pPr>
    </w:p>
    <w:p w14:paraId="7C7E984F" w14:textId="124881E6" w:rsidR="0061311D" w:rsidRPr="005454D7" w:rsidRDefault="4CF6D56A" w:rsidP="00D95AE9">
      <w:pPr>
        <w:jc w:val="center"/>
      </w:pPr>
      <w:bookmarkStart w:id="0" w:name="_Hlk207895250"/>
      <w:r>
        <w:t>Strokovna skupina za kmetijstvo, razvoj podeželja in okolje</w:t>
      </w:r>
      <w:bookmarkEnd w:id="0"/>
    </w:p>
    <w:p w14:paraId="74BA78CD" w14:textId="77777777" w:rsidR="0061311D" w:rsidRPr="005454D7" w:rsidRDefault="0061311D" w:rsidP="00D95AE9">
      <w:pPr>
        <w:jc w:val="center"/>
        <w:rPr>
          <w:lang w:val="en-GB"/>
        </w:rPr>
      </w:pPr>
    </w:p>
    <w:p w14:paraId="38802287" w14:textId="399A7B04" w:rsidR="00052B8E" w:rsidRPr="005454D7" w:rsidRDefault="004706BC" w:rsidP="00D95AE9">
      <w:pPr>
        <w:jc w:val="center"/>
        <w:rPr>
          <w:b/>
          <w:bCs/>
          <w:i/>
          <w:iCs/>
        </w:rPr>
      </w:pPr>
      <w:r>
        <w:rPr>
          <w:b/>
        </w:rPr>
        <w:t>Predlog uredbe Evropskega parlamenta in Sveta o spremembi Uredbe (EU) 2021/1119</w:t>
      </w:r>
      <w:r>
        <w:rPr>
          <w:b/>
        </w:rPr>
        <w:br/>
        <w:t>o vzpostavitvi okvira za doseganje podnebne nevtralnosti</w:t>
      </w:r>
    </w:p>
    <w:p w14:paraId="6E5229CE" w14:textId="766E273C" w:rsidR="00646AC2" w:rsidRPr="005454D7" w:rsidRDefault="002A62C7" w:rsidP="00D95AE9">
      <w:pPr>
        <w:jc w:val="center"/>
      </w:pPr>
      <w:r>
        <w:t>(COM(2025) 524 final)</w:t>
      </w:r>
    </w:p>
    <w:p w14:paraId="6E5229CF" w14:textId="77777777" w:rsidR="009B30AA" w:rsidRPr="005454D7" w:rsidRDefault="009B30AA" w:rsidP="00D95AE9">
      <w:pPr>
        <w:jc w:val="center"/>
        <w:rPr>
          <w:lang w:val="en-GB"/>
        </w:rPr>
      </w:pPr>
    </w:p>
    <w:tbl>
      <w:tblPr>
        <w:tblpPr w:leftFromText="181" w:rightFromText="181" w:tblpYSpec="bottom"/>
        <w:tblOverlap w:val="never"/>
        <w:tblW w:w="9289" w:type="dxa"/>
        <w:tblLayout w:type="fixed"/>
        <w:tblLook w:val="04A0" w:firstRow="1" w:lastRow="0" w:firstColumn="1" w:lastColumn="0" w:noHBand="0" w:noVBand="1"/>
      </w:tblPr>
      <w:tblGrid>
        <w:gridCol w:w="3119"/>
        <w:gridCol w:w="6170"/>
      </w:tblGrid>
      <w:tr w:rsidR="007F5E0D" w:rsidRPr="00920854" w14:paraId="6E5229D9" w14:textId="77777777" w:rsidTr="00385B6A">
        <w:tc>
          <w:tcPr>
            <w:tcW w:w="3119" w:type="dxa"/>
          </w:tcPr>
          <w:p w14:paraId="6E5229D7" w14:textId="77777777" w:rsidR="007F5E0D" w:rsidRPr="005454D7" w:rsidRDefault="4CF6D56A" w:rsidP="00D95AE9">
            <w:r>
              <w:t>Kontakt</w:t>
            </w:r>
          </w:p>
        </w:tc>
        <w:tc>
          <w:tcPr>
            <w:tcW w:w="6170" w:type="dxa"/>
          </w:tcPr>
          <w:p w14:paraId="6E5229D8" w14:textId="0AEAEC59" w:rsidR="007F5E0D" w:rsidRPr="005454D7" w:rsidRDefault="00C84BAC" w:rsidP="00D95AE9">
            <w:pPr>
              <w:jc w:val="left"/>
            </w:pPr>
            <w:hyperlink r:id="rId11" w:history="1">
              <w:r w:rsidR="00E9785E">
                <w:rPr>
                  <w:rStyle w:val="Hyperlink"/>
                </w:rPr>
                <w:t>nat@eesc.europa.eu</w:t>
              </w:r>
            </w:hyperlink>
          </w:p>
        </w:tc>
      </w:tr>
      <w:tr w:rsidR="007F5E0D" w:rsidRPr="00920854" w14:paraId="6E5229DC" w14:textId="77777777" w:rsidTr="00385B6A">
        <w:tc>
          <w:tcPr>
            <w:tcW w:w="3119" w:type="dxa"/>
          </w:tcPr>
          <w:p w14:paraId="6E5229DA" w14:textId="48E11DC5" w:rsidR="007F5E0D" w:rsidRPr="005454D7" w:rsidRDefault="4CF6D56A" w:rsidP="00D95AE9">
            <w:r>
              <w:t>Administratorja</w:t>
            </w:r>
          </w:p>
        </w:tc>
        <w:tc>
          <w:tcPr>
            <w:tcW w:w="6170" w:type="dxa"/>
          </w:tcPr>
          <w:p w14:paraId="6E5229DB" w14:textId="18A2A63B" w:rsidR="007F5E0D" w:rsidRPr="005454D7" w:rsidRDefault="002D37CF" w:rsidP="00D95AE9">
            <w:pPr>
              <w:jc w:val="left"/>
            </w:pPr>
            <w:r>
              <w:t>Caroline VERHELST, Gaizka MALO</w:t>
            </w:r>
          </w:p>
        </w:tc>
      </w:tr>
      <w:tr w:rsidR="007F5E0D" w:rsidRPr="00920854" w14:paraId="6E5229DF" w14:textId="77777777" w:rsidTr="00385B6A">
        <w:tc>
          <w:tcPr>
            <w:tcW w:w="3119" w:type="dxa"/>
          </w:tcPr>
          <w:p w14:paraId="6E5229DD" w14:textId="77777777" w:rsidR="007F5E0D" w:rsidRPr="005454D7" w:rsidRDefault="4CF6D56A" w:rsidP="00D95AE9">
            <w:r>
              <w:t>Datum dokumenta</w:t>
            </w:r>
          </w:p>
        </w:tc>
        <w:tc>
          <w:tcPr>
            <w:tcW w:w="6170" w:type="dxa"/>
          </w:tcPr>
          <w:p w14:paraId="6E5229DE" w14:textId="7DF71E4B" w:rsidR="007F5E0D" w:rsidRPr="005454D7" w:rsidRDefault="00920854" w:rsidP="00D95AE9">
            <w:pPr>
              <w:jc w:val="left"/>
            </w:pPr>
            <w:r>
              <w:t>9. 9. 2025</w:t>
            </w:r>
          </w:p>
        </w:tc>
      </w:tr>
    </w:tbl>
    <w:p w14:paraId="5E0D054F" w14:textId="5D622FD5" w:rsidR="00E67C47" w:rsidRPr="005454D7" w:rsidRDefault="4CF6D56A" w:rsidP="00D95AE9">
      <w:pPr>
        <w:jc w:val="center"/>
        <w:rPr>
          <w:b/>
          <w:bCs/>
        </w:rPr>
      </w:pPr>
      <w:r>
        <w:t xml:space="preserve">Poročevalec: </w:t>
      </w:r>
      <w:r>
        <w:rPr>
          <w:b/>
        </w:rPr>
        <w:t>Teppo SÄKKINEN</w:t>
      </w:r>
    </w:p>
    <w:p w14:paraId="1AD1E87B" w14:textId="01D071F5" w:rsidR="0068703A" w:rsidRPr="005454D7" w:rsidRDefault="0068703A" w:rsidP="00D95AE9">
      <w:pPr>
        <w:jc w:val="center"/>
        <w:rPr>
          <w:b/>
          <w:bCs/>
          <w:lang w:val="en-GB"/>
        </w:rPr>
      </w:pPr>
    </w:p>
    <w:p w14:paraId="34B06B1E" w14:textId="77777777" w:rsidR="0068703A" w:rsidRPr="005454D7" w:rsidRDefault="0068703A" w:rsidP="00D95AE9">
      <w:pPr>
        <w:jc w:val="center"/>
        <w:rPr>
          <w:bCs/>
          <w:lang w:val="en-GB"/>
        </w:rPr>
      </w:pPr>
    </w:p>
    <w:p w14:paraId="6E5229E3" w14:textId="51F8483F" w:rsidR="00646AC2" w:rsidRPr="005454D7" w:rsidRDefault="00646AC2" w:rsidP="00D95AE9">
      <w:pPr>
        <w:jc w:val="center"/>
        <w:rPr>
          <w:lang w:val="en-GB"/>
        </w:rPr>
        <w:sectPr w:rsidR="00646AC2" w:rsidRPr="005454D7" w:rsidSect="002766B8">
          <w:footerReference w:type="default" r:id="rId12"/>
          <w:pgSz w:w="11907" w:h="16839" w:code="9"/>
          <w:pgMar w:top="1417" w:right="1417" w:bottom="1417" w:left="1417" w:header="709" w:footer="709" w:gutter="0"/>
          <w:pgNumType w:start="1"/>
          <w:cols w:space="720"/>
          <w:docGrid w:linePitch="299"/>
        </w:sectPr>
      </w:pPr>
    </w:p>
    <w:tbl>
      <w:tblPr>
        <w:tblW w:w="0" w:type="auto"/>
        <w:tblLook w:val="04A0" w:firstRow="1" w:lastRow="0" w:firstColumn="1" w:lastColumn="0" w:noHBand="0" w:noVBand="1"/>
      </w:tblPr>
      <w:tblGrid>
        <w:gridCol w:w="3055"/>
        <w:gridCol w:w="6018"/>
      </w:tblGrid>
      <w:tr w:rsidR="005A7B8E" w:rsidRPr="00920854" w14:paraId="23455585" w14:textId="77777777" w:rsidTr="005A7B8E">
        <w:tc>
          <w:tcPr>
            <w:tcW w:w="3055" w:type="dxa"/>
          </w:tcPr>
          <w:p w14:paraId="06970C77" w14:textId="0F84CA13" w:rsidR="005A7B8E" w:rsidRPr="005454D7" w:rsidRDefault="00507EE9" w:rsidP="00D95AE9">
            <w:pPr>
              <w:jc w:val="left"/>
            </w:pPr>
            <w:r>
              <w:lastRenderedPageBreak/>
              <w:t>Zakonodajni postopek</w:t>
            </w:r>
          </w:p>
        </w:tc>
        <w:tc>
          <w:tcPr>
            <w:tcW w:w="6018" w:type="dxa"/>
          </w:tcPr>
          <w:p w14:paraId="6BC5EDEC" w14:textId="4C64E127" w:rsidR="00140323" w:rsidRPr="005454D7" w:rsidRDefault="00C84BAC" w:rsidP="00D95AE9">
            <w:pPr>
              <w:jc w:val="left"/>
              <w:rPr>
                <w:rStyle w:val="Hyperlink"/>
                <w:u w:val="none"/>
              </w:rPr>
            </w:pPr>
            <w:hyperlink r:id="rId13" w:history="1">
              <w:r w:rsidR="00E9785E">
                <w:rPr>
                  <w:rStyle w:val="Hyperlink"/>
                </w:rPr>
                <w:t>EU Law Tracker</w:t>
              </w:r>
            </w:hyperlink>
          </w:p>
        </w:tc>
      </w:tr>
      <w:tr w:rsidR="0011656A" w:rsidRPr="00920854" w14:paraId="6E522A03" w14:textId="77777777" w:rsidTr="005A7B8E">
        <w:tc>
          <w:tcPr>
            <w:tcW w:w="3055" w:type="dxa"/>
          </w:tcPr>
          <w:p w14:paraId="6E522A01" w14:textId="5C011C6A" w:rsidR="0011656A" w:rsidRPr="005454D7" w:rsidRDefault="4CF6D56A" w:rsidP="00D95AE9">
            <w:pPr>
              <w:jc w:val="left"/>
            </w:pPr>
            <w:r>
              <w:t>Zaprosilo</w:t>
            </w:r>
          </w:p>
        </w:tc>
        <w:tc>
          <w:tcPr>
            <w:tcW w:w="6018" w:type="dxa"/>
          </w:tcPr>
          <w:p w14:paraId="5A9CBFB5" w14:textId="16EB8EF1" w:rsidR="0011656A" w:rsidRPr="005454D7" w:rsidRDefault="002B33C7" w:rsidP="00D95AE9">
            <w:pPr>
              <w:jc w:val="left"/>
            </w:pPr>
            <w:r>
              <w:t>Evropski parlament, 7. 7. 2025</w:t>
            </w:r>
          </w:p>
          <w:p w14:paraId="6E522A02" w14:textId="034F6E46" w:rsidR="002B33C7" w:rsidRPr="005454D7" w:rsidRDefault="00893F54" w:rsidP="00D95AE9">
            <w:pPr>
              <w:jc w:val="left"/>
            </w:pPr>
            <w:r>
              <w:t>Svet, 16. 7. 2025</w:t>
            </w:r>
          </w:p>
        </w:tc>
      </w:tr>
      <w:tr w:rsidR="0016503F" w:rsidRPr="00920854" w14:paraId="6E522A06" w14:textId="77777777" w:rsidTr="005A7B8E">
        <w:trPr>
          <w:trHeight w:val="251"/>
        </w:trPr>
        <w:tc>
          <w:tcPr>
            <w:tcW w:w="3055" w:type="dxa"/>
          </w:tcPr>
          <w:p w14:paraId="6E522A04" w14:textId="77777777" w:rsidR="0016503F" w:rsidRPr="005454D7" w:rsidRDefault="4CF6D56A" w:rsidP="00D95AE9">
            <w:pPr>
              <w:jc w:val="left"/>
            </w:pPr>
            <w:r>
              <w:t>Pravna podlaga</w:t>
            </w:r>
          </w:p>
        </w:tc>
        <w:tc>
          <w:tcPr>
            <w:tcW w:w="6018" w:type="dxa"/>
          </w:tcPr>
          <w:p w14:paraId="6E522A05" w14:textId="140E0B6C" w:rsidR="0016503F" w:rsidRPr="005454D7" w:rsidRDefault="4CF6D56A" w:rsidP="00D95AE9">
            <w:pPr>
              <w:jc w:val="left"/>
            </w:pPr>
            <w:r>
              <w:t>člen 192(1) in člen 304 Pogodbe o delovanju Evropske unije</w:t>
            </w:r>
          </w:p>
        </w:tc>
      </w:tr>
      <w:tr w:rsidR="005A7B8E" w:rsidRPr="00920854" w14:paraId="17A00E72" w14:textId="77777777" w:rsidTr="001637CC">
        <w:tc>
          <w:tcPr>
            <w:tcW w:w="3055" w:type="dxa"/>
          </w:tcPr>
          <w:p w14:paraId="5E86321D" w14:textId="1F90411C" w:rsidR="009533AB" w:rsidRPr="005454D7" w:rsidRDefault="005A7B8E" w:rsidP="00D95AE9">
            <w:pPr>
              <w:jc w:val="left"/>
            </w:pPr>
            <w:r>
              <w:t>Dokument Evropske komisije</w:t>
            </w:r>
          </w:p>
        </w:tc>
        <w:tc>
          <w:tcPr>
            <w:tcW w:w="6018" w:type="dxa"/>
            <w:vAlign w:val="center"/>
          </w:tcPr>
          <w:p w14:paraId="5D3D66DD" w14:textId="5A312BED" w:rsidR="00963702" w:rsidRPr="005454D7" w:rsidRDefault="00C84BAC" w:rsidP="00D95AE9">
            <w:pPr>
              <w:jc w:val="left"/>
              <w:rPr>
                <w:color w:val="0000FF"/>
                <w:u w:val="single"/>
              </w:rPr>
            </w:pPr>
            <w:hyperlink r:id="rId14" w:history="1">
              <w:r w:rsidR="00E9785E">
                <w:rPr>
                  <w:rStyle w:val="Hyperlink"/>
                </w:rPr>
                <w:t>COM(2025) 524 final</w:t>
              </w:r>
            </w:hyperlink>
          </w:p>
        </w:tc>
      </w:tr>
      <w:tr w:rsidR="005A7B8E" w:rsidRPr="00920854" w14:paraId="7C77CC0B" w14:textId="77777777" w:rsidTr="004C6EC9">
        <w:tc>
          <w:tcPr>
            <w:tcW w:w="3055" w:type="dxa"/>
          </w:tcPr>
          <w:p w14:paraId="23CEDCFD" w14:textId="7818928E" w:rsidR="005A7B8E" w:rsidRPr="005454D7" w:rsidRDefault="005A7B8E" w:rsidP="00D95AE9">
            <w:pPr>
              <w:jc w:val="left"/>
            </w:pPr>
            <w:r>
              <w:t>Ustrezni cilji trajnostnega razvoja</w:t>
            </w:r>
          </w:p>
        </w:tc>
        <w:tc>
          <w:tcPr>
            <w:tcW w:w="6018" w:type="dxa"/>
            <w:vAlign w:val="bottom"/>
          </w:tcPr>
          <w:p w14:paraId="52009C44" w14:textId="77521BF6" w:rsidR="00431A0D" w:rsidRPr="005454D7" w:rsidRDefault="00C84BAC" w:rsidP="00D95AE9">
            <w:pPr>
              <w:jc w:val="left"/>
              <w:rPr>
                <w:rStyle w:val="Hyperlink"/>
                <w:highlight w:val="yellow"/>
              </w:rPr>
            </w:pPr>
            <w:hyperlink r:id="rId15" w:history="1">
              <w:r w:rsidR="00E9785E">
                <w:rPr>
                  <w:rStyle w:val="Hyperlink"/>
                </w:rPr>
                <w:t>cilj trajnostnega razvoja 13 – podnebni ukrepi</w:t>
              </w:r>
            </w:hyperlink>
          </w:p>
        </w:tc>
      </w:tr>
      <w:tr w:rsidR="005A7B8E" w:rsidRPr="00920854" w14:paraId="600139B0" w14:textId="77777777" w:rsidTr="005A7B8E">
        <w:tc>
          <w:tcPr>
            <w:tcW w:w="3055" w:type="dxa"/>
          </w:tcPr>
          <w:p w14:paraId="687027A1" w14:textId="77777777" w:rsidR="005A7B8E" w:rsidRPr="005454D7" w:rsidRDefault="005A7B8E" w:rsidP="00D95AE9">
            <w:pPr>
              <w:jc w:val="left"/>
              <w:rPr>
                <w:lang w:val="en-GB"/>
              </w:rPr>
            </w:pPr>
          </w:p>
        </w:tc>
        <w:tc>
          <w:tcPr>
            <w:tcW w:w="6018" w:type="dxa"/>
          </w:tcPr>
          <w:p w14:paraId="31AD4A1E" w14:textId="77777777" w:rsidR="005A7B8E" w:rsidRPr="005454D7" w:rsidRDefault="005A7B8E" w:rsidP="00D95AE9">
            <w:pPr>
              <w:jc w:val="left"/>
              <w:rPr>
                <w:lang w:val="en-GB"/>
              </w:rPr>
            </w:pPr>
          </w:p>
        </w:tc>
      </w:tr>
      <w:tr w:rsidR="00DF5B64" w:rsidRPr="00920854" w14:paraId="6E522A21" w14:textId="77777777" w:rsidTr="005A7B8E">
        <w:tc>
          <w:tcPr>
            <w:tcW w:w="3055" w:type="dxa"/>
          </w:tcPr>
          <w:p w14:paraId="6E522A1F" w14:textId="77777777" w:rsidR="00DF5B64" w:rsidRPr="005454D7" w:rsidRDefault="4CF6D56A" w:rsidP="00D95AE9">
            <w:pPr>
              <w:jc w:val="left"/>
            </w:pPr>
            <w:r>
              <w:t>Pristojnost</w:t>
            </w:r>
          </w:p>
        </w:tc>
        <w:tc>
          <w:tcPr>
            <w:tcW w:w="6018" w:type="dxa"/>
          </w:tcPr>
          <w:p w14:paraId="6E522A20" w14:textId="3D14D320" w:rsidR="00DF5B64" w:rsidRPr="005454D7" w:rsidRDefault="0092120D" w:rsidP="00D95AE9">
            <w:pPr>
              <w:jc w:val="left"/>
            </w:pPr>
            <w:r>
              <w:t>strokovna skupina za kmetijstvo, razvoj podeželja in okolje</w:t>
            </w:r>
          </w:p>
        </w:tc>
      </w:tr>
      <w:tr w:rsidR="00A156E6" w:rsidRPr="00920854" w14:paraId="6E522A24" w14:textId="77777777" w:rsidTr="002B05F5">
        <w:tc>
          <w:tcPr>
            <w:tcW w:w="3055" w:type="dxa"/>
          </w:tcPr>
          <w:p w14:paraId="6E522A22" w14:textId="69160F6F" w:rsidR="00A156E6" w:rsidRPr="005454D7" w:rsidRDefault="4CF6D56A" w:rsidP="00D95AE9">
            <w:pPr>
              <w:jc w:val="left"/>
            </w:pPr>
            <w:r>
              <w:t>Datum sprejetja na seji strokovne skupine</w:t>
            </w:r>
          </w:p>
        </w:tc>
        <w:tc>
          <w:tcPr>
            <w:tcW w:w="6018" w:type="dxa"/>
            <w:vAlign w:val="bottom"/>
          </w:tcPr>
          <w:p w14:paraId="6E522A23" w14:textId="10D338AA" w:rsidR="00A156E6" w:rsidRPr="005454D7" w:rsidRDefault="00AD5198" w:rsidP="00D95AE9">
            <w:pPr>
              <w:jc w:val="left"/>
            </w:pPr>
            <w:r>
              <w:t>8. 9. 2025</w:t>
            </w:r>
          </w:p>
        </w:tc>
      </w:tr>
      <w:tr w:rsidR="00A93381" w:rsidRPr="00920854" w14:paraId="30435AD6" w14:textId="77777777" w:rsidTr="002B05F5">
        <w:tc>
          <w:tcPr>
            <w:tcW w:w="3055" w:type="dxa"/>
          </w:tcPr>
          <w:p w14:paraId="4A574C94" w14:textId="04818650" w:rsidR="00A93381" w:rsidRPr="005454D7" w:rsidRDefault="4CF6D56A" w:rsidP="00D95AE9">
            <w:pPr>
              <w:jc w:val="left"/>
            </w:pPr>
            <w:r>
              <w:t>Rezultat glasovanja</w:t>
            </w:r>
            <w:r>
              <w:br/>
              <w:t>(za/proti/vzdržani)</w:t>
            </w:r>
          </w:p>
        </w:tc>
        <w:tc>
          <w:tcPr>
            <w:tcW w:w="6018" w:type="dxa"/>
            <w:vAlign w:val="bottom"/>
          </w:tcPr>
          <w:p w14:paraId="1221A854" w14:textId="456702E6" w:rsidR="00A93381" w:rsidRPr="005454D7" w:rsidRDefault="0069218C" w:rsidP="00D95AE9">
            <w:pPr>
              <w:jc w:val="left"/>
            </w:pPr>
            <w:r>
              <w:t>51/5/3</w:t>
            </w:r>
          </w:p>
        </w:tc>
      </w:tr>
      <w:tr w:rsidR="00A156E6" w:rsidRPr="00920854" w14:paraId="6E522A27" w14:textId="77777777" w:rsidTr="002B05F5">
        <w:tc>
          <w:tcPr>
            <w:tcW w:w="3055" w:type="dxa"/>
          </w:tcPr>
          <w:p w14:paraId="6E522A25" w14:textId="1BBBBA02" w:rsidR="00A156E6" w:rsidRPr="005454D7" w:rsidRDefault="4CF6D56A" w:rsidP="00D95AE9">
            <w:pPr>
              <w:jc w:val="left"/>
            </w:pPr>
            <w:r>
              <w:t>Datum sprejetja na plenarnem zasedanju</w:t>
            </w:r>
          </w:p>
        </w:tc>
        <w:tc>
          <w:tcPr>
            <w:tcW w:w="6018" w:type="dxa"/>
            <w:vAlign w:val="bottom"/>
          </w:tcPr>
          <w:p w14:paraId="6E522A26" w14:textId="3E777582" w:rsidR="00A156E6" w:rsidRPr="005454D7" w:rsidRDefault="4CF6D56A" w:rsidP="00D95AE9">
            <w:pPr>
              <w:jc w:val="left"/>
            </w:pPr>
            <w:r>
              <w:t>…</w:t>
            </w:r>
          </w:p>
        </w:tc>
      </w:tr>
      <w:tr w:rsidR="00BA1290" w:rsidRPr="00920854" w14:paraId="6E522A2A" w14:textId="77777777" w:rsidTr="005A7B8E">
        <w:tc>
          <w:tcPr>
            <w:tcW w:w="3055" w:type="dxa"/>
          </w:tcPr>
          <w:p w14:paraId="6E522A28" w14:textId="77777777" w:rsidR="00BA1290" w:rsidRPr="005454D7" w:rsidRDefault="4CF6D56A" w:rsidP="00D95AE9">
            <w:pPr>
              <w:jc w:val="left"/>
            </w:pPr>
            <w:r>
              <w:t>Plenarno zasedanje št.</w:t>
            </w:r>
          </w:p>
        </w:tc>
        <w:tc>
          <w:tcPr>
            <w:tcW w:w="6018" w:type="dxa"/>
          </w:tcPr>
          <w:p w14:paraId="6E522A29" w14:textId="77777777" w:rsidR="00BA1290" w:rsidRPr="005454D7" w:rsidRDefault="4CF6D56A" w:rsidP="00D95AE9">
            <w:pPr>
              <w:jc w:val="left"/>
            </w:pPr>
            <w:r>
              <w:t>…</w:t>
            </w:r>
          </w:p>
        </w:tc>
      </w:tr>
      <w:tr w:rsidR="00A156E6" w:rsidRPr="00920854" w14:paraId="6E522A2D" w14:textId="77777777" w:rsidTr="005A7B8E">
        <w:tc>
          <w:tcPr>
            <w:tcW w:w="3055" w:type="dxa"/>
          </w:tcPr>
          <w:p w14:paraId="6E522A2B" w14:textId="104372DD" w:rsidR="00D423D4" w:rsidRPr="005454D7" w:rsidRDefault="4CF6D56A" w:rsidP="00D95AE9">
            <w:pPr>
              <w:jc w:val="left"/>
            </w:pPr>
            <w:r>
              <w:t>Rezultat glasovanja</w:t>
            </w:r>
            <w:r>
              <w:br/>
              <w:t>(za/proti/vzdržani)</w:t>
            </w:r>
          </w:p>
        </w:tc>
        <w:tc>
          <w:tcPr>
            <w:tcW w:w="6018" w:type="dxa"/>
            <w:vAlign w:val="bottom"/>
          </w:tcPr>
          <w:p w14:paraId="6E522A2C" w14:textId="3C7C9870" w:rsidR="00A156E6" w:rsidRPr="005454D7" w:rsidRDefault="00C215D9" w:rsidP="00D95AE9">
            <w:pPr>
              <w:jc w:val="left"/>
            </w:pPr>
            <w:r>
              <w:t>…/…/…</w:t>
            </w:r>
          </w:p>
        </w:tc>
      </w:tr>
    </w:tbl>
    <w:p w14:paraId="6E522A2E" w14:textId="77777777" w:rsidR="0090053A" w:rsidRPr="005454D7" w:rsidRDefault="0090053A" w:rsidP="00D95AE9">
      <w:pPr>
        <w:rPr>
          <w:lang w:val="en-GB"/>
        </w:rPr>
      </w:pPr>
    </w:p>
    <w:p w14:paraId="6E522A2F" w14:textId="77777777" w:rsidR="00646AC2" w:rsidRPr="005454D7" w:rsidRDefault="00646AC2" w:rsidP="00D95AE9">
      <w:r>
        <w:br w:type="page"/>
      </w:r>
    </w:p>
    <w:p w14:paraId="6E522A30" w14:textId="085E1C00" w:rsidR="00194B36" w:rsidRPr="005454D7" w:rsidRDefault="00E67B8E" w:rsidP="002B05F5">
      <w:pPr>
        <w:pStyle w:val="Heading1"/>
        <w:spacing w:line="240" w:lineRule="auto"/>
      </w:pPr>
      <w:r>
        <w:rPr>
          <w:b/>
        </w:rPr>
        <w:lastRenderedPageBreak/>
        <w:t>PRIPOROČILA</w:t>
      </w:r>
    </w:p>
    <w:p w14:paraId="2B23B099" w14:textId="4F6621E0" w:rsidR="00212838" w:rsidRPr="005454D7" w:rsidRDefault="00212838" w:rsidP="002B05F5">
      <w:pPr>
        <w:spacing w:line="240" w:lineRule="auto"/>
        <w:jc w:val="left"/>
        <w:rPr>
          <w:lang w:val="en-GB"/>
        </w:rPr>
      </w:pPr>
    </w:p>
    <w:p w14:paraId="7269155F" w14:textId="27FE111D" w:rsidR="003E159B" w:rsidRPr="005454D7" w:rsidRDefault="008F436C" w:rsidP="00D95AE9">
      <w:pPr>
        <w:pStyle w:val="Heading2"/>
      </w:pPr>
      <w:r>
        <w:t>Evropski ekonomsko-socialni odbor (EESO) pozdravlja pričakovano spremembo evropskih podnebnih pravil, v kateri je predlagan zavezujoč podnebni cilj, da se do leta 2040 zmanjšajo neto emisije toplogrednih plinov za 90 % v primerjavi z letom 1990. EESO ponovno izraža podporo podnebnemu cilju 90-odstotnega zmanjšanja neto emisij do leta 2040, saj je to skladno z znanstvenim mnenjem glede pravičnega deleža Evrope v prizadevanju za doseganje cilja 1,5 °C.</w:t>
      </w:r>
      <w:r w:rsidR="001E4C67" w:rsidRPr="005454D7">
        <w:rPr>
          <w:rStyle w:val="FootnoteReference"/>
          <w:lang w:val="en-GB"/>
        </w:rPr>
        <w:footnoteReference w:id="2"/>
      </w:r>
      <w:r>
        <w:t xml:space="preserve"> Ker je Evropa celina, ki se najhitreje segreva, je odločno globalno podnebno ukrepanje v njenem interesu.</w:t>
      </w:r>
    </w:p>
    <w:p w14:paraId="1156BA0F" w14:textId="77777777" w:rsidR="003E159B" w:rsidRPr="005454D7" w:rsidRDefault="003E159B" w:rsidP="002B05F5">
      <w:pPr>
        <w:spacing w:line="240" w:lineRule="auto"/>
        <w:rPr>
          <w:lang w:val="en-GB"/>
        </w:rPr>
      </w:pPr>
    </w:p>
    <w:p w14:paraId="6C0F3BC9" w14:textId="5CBC7625" w:rsidR="0010196C" w:rsidRPr="005454D7" w:rsidRDefault="00D010FB" w:rsidP="00D95AE9">
      <w:pPr>
        <w:pStyle w:val="Heading2"/>
      </w:pPr>
      <w:r>
        <w:t>EESO podpira pristop Komisije, ki je sklenila vključiti smernice o omogočitvenih politikah v člen 1 evropskih podnebnih pravil, kar je v skladu z njegovim preteklim pozivom k omogočitvenim politikam, ki bodo evropski industriji zagotovile konkurenčnost in pravičen prehod s stroškovno učinkovito uporabo vseh brezogljičnih in nizkoogljičnih tehnologij, saj je to edini način za doseganje zahtevnega 90-odstotnega cilja.</w:t>
      </w:r>
    </w:p>
    <w:p w14:paraId="729354E8" w14:textId="77777777" w:rsidR="008F436C" w:rsidRPr="005454D7" w:rsidRDefault="008F436C" w:rsidP="002B05F5">
      <w:pPr>
        <w:spacing w:line="240" w:lineRule="auto"/>
        <w:rPr>
          <w:lang w:val="en-GB"/>
        </w:rPr>
      </w:pPr>
    </w:p>
    <w:p w14:paraId="441E20A6" w14:textId="11812E49" w:rsidR="003E159B" w:rsidRPr="005454D7" w:rsidRDefault="008F436C" w:rsidP="00D95AE9">
      <w:pPr>
        <w:pStyle w:val="Heading2"/>
      </w:pPr>
      <w:r>
        <w:t>Da bi kar najbolje izkoristili diplomatske vzvode Evrope pred konferenco COP30 in preprečili nadaljnje spodkopavanje verodostojnosti, EESO poziva Svet in Parlament, naj najpozneje do septembra oziroma začetka oktobra dosežeta soglasje o podnebnem cilju za leto 2040 in spremljajočem nacionalno določenem prispevku. Ta časovnica bi EU omogočila, da bi smiselno sodelovala z mednarodnimi partnerji in drugimi večjimi onesnaževalci ter pri oblikovanju globalnih ambicij zavzela vodilni položaj.</w:t>
      </w:r>
    </w:p>
    <w:p w14:paraId="28376B4F" w14:textId="77777777" w:rsidR="003E159B" w:rsidRPr="005454D7" w:rsidRDefault="003E159B" w:rsidP="002B05F5">
      <w:pPr>
        <w:spacing w:line="240" w:lineRule="auto"/>
        <w:rPr>
          <w:lang w:val="en-GB"/>
        </w:rPr>
      </w:pPr>
    </w:p>
    <w:p w14:paraId="2BB38593" w14:textId="78D636EF" w:rsidR="0061079C" w:rsidRPr="005454D7" w:rsidRDefault="00EE7CBC" w:rsidP="00D95AE9">
      <w:pPr>
        <w:pStyle w:val="Heading2"/>
      </w:pPr>
      <w:r>
        <w:t>EESO meni, da bi moralo biti zmanjšanje emisij v EU glavni cilj podnebnih ukrepov in odražati najvišjo možno raven ambicij. EESO priznava, da bi lahko mednarodni dobropisi zagotovili potrebno prožnost za doseganje cilja za leto 2040. Njihova uporaba bi morala biti strogo pogojena z visoko integriteto dobropisov ter bi morala temeljiti na pravu EU in mehanizmu dobropisov iz Pariškega sporazuma. S tem bi upoštevali utemeljene pomisleke glede integritete ter preprečili, da bi dobropisi nadomestili domače podnebne ukrepe ali povzročili socialno ali okoljsko škodo. Dobropisi bi morali biti usklajeni tudi z drugimi zunanjimi in notranjimi politikami EU. EESO priporoča ustanovitev vseevropskega organa za naročanje, spremljanje in zagotavljanje kakovosti dobropisov. Mednarodnih dobropisov ne bi smeli uporabljati za zagotavljanje skladnosti s sistemom trgovanja z emisijami.</w:t>
      </w:r>
    </w:p>
    <w:p w14:paraId="21182714" w14:textId="77777777" w:rsidR="0061079C" w:rsidRPr="005454D7" w:rsidRDefault="0061079C" w:rsidP="002B05F5">
      <w:pPr>
        <w:spacing w:line="240" w:lineRule="auto"/>
        <w:ind w:left="567" w:hanging="567"/>
        <w:rPr>
          <w:highlight w:val="yellow"/>
          <w:lang w:val="en-GB"/>
        </w:rPr>
      </w:pPr>
    </w:p>
    <w:p w14:paraId="369FF977" w14:textId="2895F5EF" w:rsidR="0061079C" w:rsidRPr="005454D7" w:rsidRDefault="00C03F79" w:rsidP="00D95AE9">
      <w:pPr>
        <w:pStyle w:val="Heading2"/>
        <w:rPr>
          <w:i/>
          <w:iCs/>
        </w:rPr>
      </w:pPr>
      <w:r>
        <w:t>EESO ugotavlja, da bo do prihodnje širitve EU najverjetneje prišlo v časovnem okviru cilja za leto 2040. Komisijo poziva, naj pojasni vpliv širitve na podnebni cilj za leto 2040, in sicer tudi to, kako naj se v primeru večje EU izračunata izhodiščno leto 1990 in 90-odstotni cilj. Prav tako poziva Komisijo, naj okrepi podporo državam kandidatkam, da se že vnaprej prilagodijo podnebnim in energetskim politikam EU.</w:t>
      </w:r>
    </w:p>
    <w:p w14:paraId="323223D9" w14:textId="77777777" w:rsidR="0061079C" w:rsidRPr="005454D7" w:rsidRDefault="0061079C" w:rsidP="002B05F5">
      <w:pPr>
        <w:spacing w:line="240" w:lineRule="auto"/>
        <w:ind w:left="567" w:hanging="567"/>
        <w:rPr>
          <w:lang w:val="en-GB"/>
        </w:rPr>
      </w:pPr>
    </w:p>
    <w:p w14:paraId="719EA1A5" w14:textId="11304725" w:rsidR="003E159B" w:rsidRPr="005454D7" w:rsidRDefault="008F6841" w:rsidP="00D95AE9">
      <w:pPr>
        <w:pStyle w:val="Heading2"/>
      </w:pPr>
      <w:r>
        <w:t>EESO predlaga, da se prednostno obravnavajo mednarodni dobropisi, ustvarjeni v državah kandidatkah. Ker bodo te države verjetno prihodnje države članice, bodo njihovi projekti najverjetneje neposredno prispevali k podnebnim ciljem EU. Da bi upoštevali ta potencial in časovnico širitve, EESO predlaga, da se mednarodni dobropisi držav kandidatk od leta 2031 naprej upoštevajo pri doseganju cilja za leto 2040.</w:t>
      </w:r>
    </w:p>
    <w:p w14:paraId="71FD7FBA" w14:textId="77777777" w:rsidR="003E159B" w:rsidRPr="005454D7" w:rsidRDefault="003E159B" w:rsidP="00D95AE9">
      <w:pPr>
        <w:rPr>
          <w:lang w:val="en-GB"/>
        </w:rPr>
      </w:pPr>
    </w:p>
    <w:p w14:paraId="465F4E17" w14:textId="4165D8E8" w:rsidR="003E159B" w:rsidRPr="005454D7" w:rsidRDefault="003448C8" w:rsidP="00D95AE9">
      <w:pPr>
        <w:pStyle w:val="Heading2"/>
      </w:pPr>
      <w:r>
        <w:t>EESO poziva Komisijo, naj pripravi zbirno oceno učinka, osredotočeno na 90-odstotni cilj, vključno z učinkom uporabe mednarodnih dobropisov, s čimer bi podprla oblikovanje okvira politike za leto 2040.</w:t>
      </w:r>
    </w:p>
    <w:p w14:paraId="5CA801D9" w14:textId="77777777" w:rsidR="003E159B" w:rsidRPr="005454D7" w:rsidRDefault="003E159B" w:rsidP="00D95AE9">
      <w:pPr>
        <w:rPr>
          <w:lang w:val="en-GB"/>
        </w:rPr>
      </w:pPr>
    </w:p>
    <w:p w14:paraId="45C53B37" w14:textId="0B83BF23" w:rsidR="003E159B" w:rsidRPr="005454D7" w:rsidRDefault="003448C8" w:rsidP="00D95AE9">
      <w:pPr>
        <w:pStyle w:val="Heading2"/>
      </w:pPr>
      <w:r>
        <w:t>EESO priporoča, da se za utiranje poti do uresničitve podnebnih ciljev, ki krepi evropsko konkurenčnost in zagotavlja visokokakovostna delovna mesta, pri spremembi podnebnih pravil upošteva izvoz čistih tehnologij in vzpostavi pregled kazalnikov o čisti industriji, ki bi beležili zaposlovanje, inovacije in rast izvoza v neto ničelnih sektorjih, da bi usmerjali preverjanje konkurenčnosti EU in prednostno obravnavali procese razogljičenja, usmerjene v izvoz.</w:t>
      </w:r>
    </w:p>
    <w:p w14:paraId="64F716C8" w14:textId="77777777" w:rsidR="006F5E28" w:rsidRPr="005454D7" w:rsidRDefault="006F5E28" w:rsidP="00D95AE9">
      <w:pPr>
        <w:rPr>
          <w:lang w:val="en-GB"/>
        </w:rPr>
      </w:pPr>
    </w:p>
    <w:p w14:paraId="367D7435" w14:textId="460CFB59" w:rsidR="00807A37" w:rsidRPr="005454D7" w:rsidRDefault="00807A37" w:rsidP="00D95AE9">
      <w:pPr>
        <w:pStyle w:val="Heading2"/>
      </w:pPr>
      <w:r>
        <w:t>Ker imajo podnebne spremembe še posebej velike posledice za evropski agroživilski sektor, ki se hkrati sooča s svetovnimi konkurenti z nižjimi okoljskimi standardi, EESO predlaga, da se v okviru spremembe podnebnih pravil med vidike, ki jih je treba upoštevati v prihodnjih zakonodajnih predlogih, vključi prehranska varnost. EESO poudarja, da imajo kmetje in lastniki gozdov edinstveno vlogo kot skrbniki kopenskih ponorov ogljika. Trajnostne prakse v kmetijstvu prispevajo k zmanjšanju emisij in krepitvi odpornosti, hkrati pa spodbujajo ohranjanje naravnih virov, biotske raznovrstnosti in zdravih ekosistemov ter pozitivno vplivajo na proizvodnjo in kakovost življenja v podeželskih skupnostih.</w:t>
      </w:r>
    </w:p>
    <w:p w14:paraId="7571A2C3" w14:textId="449B947F" w:rsidR="00807A37" w:rsidRPr="005454D7" w:rsidRDefault="00807A37" w:rsidP="00D95AE9">
      <w:pPr>
        <w:rPr>
          <w:lang w:val="en-GB"/>
        </w:rPr>
      </w:pPr>
    </w:p>
    <w:p w14:paraId="710558A5" w14:textId="3FC71ADE" w:rsidR="00E54183" w:rsidRPr="005454D7" w:rsidRDefault="00A83E7D" w:rsidP="00D95AE9">
      <w:pPr>
        <w:pStyle w:val="Heading2"/>
        <w:numPr>
          <w:ilvl w:val="1"/>
          <w:numId w:val="31"/>
        </w:numPr>
      </w:pPr>
      <w:r>
        <w:t>EESO priznava nujnost krepitve evropske obrambe in varnosti, zato poziva Komisijo, naj opredeli in spodbuja tehnološke rešitve z dvojno rabo, ki služijo obrambnim in podnebnim ciljem, vključno s čisto energijo za kritično infrastrukturo, decentralizirano čisto energijo za vojaško logistiko ter nizkoogljičnimi materiali za opremo in gradbeništvo. Te sinergije bi morale biti vključene v podnebne in industrijske strategije.</w:t>
      </w:r>
    </w:p>
    <w:p w14:paraId="4258530A" w14:textId="77777777" w:rsidR="00FC1751" w:rsidRPr="005454D7" w:rsidRDefault="00FC1751" w:rsidP="00D95AE9">
      <w:pPr>
        <w:pStyle w:val="Heading2"/>
        <w:numPr>
          <w:ilvl w:val="0"/>
          <w:numId w:val="0"/>
        </w:numPr>
        <w:rPr>
          <w:lang w:val="en-GB"/>
        </w:rPr>
      </w:pPr>
    </w:p>
    <w:p w14:paraId="51768BC9" w14:textId="1B92CB8A" w:rsidR="00FC1751" w:rsidRPr="005454D7" w:rsidRDefault="00FC1751" w:rsidP="00D95AE9">
      <w:pPr>
        <w:pStyle w:val="Heading1"/>
        <w:keepNext/>
        <w:keepLines/>
        <w:rPr>
          <w:b/>
          <w:bCs/>
        </w:rPr>
      </w:pPr>
      <w:r>
        <w:rPr>
          <w:b/>
        </w:rPr>
        <w:t>POJASNILA</w:t>
      </w:r>
    </w:p>
    <w:p w14:paraId="0BA47414" w14:textId="77777777" w:rsidR="00212838" w:rsidRPr="005454D7" w:rsidRDefault="00212838" w:rsidP="00D95AE9">
      <w:pPr>
        <w:keepNext/>
        <w:jc w:val="left"/>
        <w:rPr>
          <w:lang w:val="en-GB"/>
        </w:rPr>
      </w:pPr>
    </w:p>
    <w:p w14:paraId="1C82E881" w14:textId="370DFDBF" w:rsidR="00E54183" w:rsidRPr="005454D7" w:rsidRDefault="00475B73" w:rsidP="00D95AE9">
      <w:pPr>
        <w:pStyle w:val="Heading2"/>
      </w:pPr>
      <w:r>
        <w:t>EESO je bil prvi evropski organ, ki je stališče o podnebnem cilju za leto 2040 zavzel že leta 2024. Ponovno potrjuje stališča iz mnenja NAT/931</w:t>
      </w:r>
      <w:r w:rsidR="00C40A89" w:rsidRPr="005454D7">
        <w:rPr>
          <w:rStyle w:val="FootnoteReference"/>
          <w:lang w:val="en-GB"/>
        </w:rPr>
        <w:footnoteReference w:id="3"/>
      </w:r>
      <w:r>
        <w:t>, tudi podporo cilju 90-odstotnega zmanjšanja emisij do leta 2040. V skladu z nasvetom Evropskega znanstvenega svetovalnega odbora za podnebne spremembe (ESABCC) bo EU stopila na izvedljivo in verodostojno pot k podnebni nevtralnosti, če bo zasledovala cilj zmanjšanja neto domačih emisij za 90–95 % do leta 2040.</w:t>
      </w:r>
      <w:r w:rsidR="008E6F8F" w:rsidRPr="005454D7">
        <w:rPr>
          <w:sz w:val="24"/>
          <w:szCs w:val="24"/>
          <w:vertAlign w:val="superscript"/>
          <w:lang w:val="en-GB"/>
        </w:rPr>
        <w:footnoteReference w:id="4"/>
      </w:r>
    </w:p>
    <w:p w14:paraId="119D7945" w14:textId="77777777" w:rsidR="00E54183" w:rsidRPr="005454D7" w:rsidRDefault="00E54183" w:rsidP="00D95AE9">
      <w:pPr>
        <w:rPr>
          <w:lang w:val="en-GB"/>
        </w:rPr>
      </w:pPr>
    </w:p>
    <w:p w14:paraId="0AC0E423" w14:textId="7ECC0635" w:rsidR="00B500D5" w:rsidRPr="005454D7" w:rsidRDefault="00C41C83" w:rsidP="00D95AE9">
      <w:pPr>
        <w:pStyle w:val="Heading2"/>
      </w:pPr>
      <w:r>
        <w:t>EESO tako kot v mnenju NAT/931 opozarja, da je ta cilj zahteven in ga bo mogoče doseči le s stimulativnimi politikami, ki bodo evropski industriji zagotovile konkurenčnost in pravičen prehod, ter s stroškovno učinkovito uporabo vseh brezogljičnih in nizkoogljičnih tehnologij. Poleg tega se je zaradi geopolitičnih pretresov v preteklem letu povečala potreba po okrepitvi evropske obrambe in varnosti. Postopno odpravljanje odvisnosti od uvoza fosilnih goriv je za Evropo tudi vprašanje varnosti.</w:t>
      </w:r>
    </w:p>
    <w:p w14:paraId="421A0AAC" w14:textId="77777777" w:rsidR="00DD6D04" w:rsidRPr="005454D7" w:rsidRDefault="00DD6D04" w:rsidP="00D95AE9">
      <w:pPr>
        <w:rPr>
          <w:lang w:val="en-GB"/>
        </w:rPr>
      </w:pPr>
    </w:p>
    <w:p w14:paraId="40612BB3" w14:textId="4334DB08" w:rsidR="006479F6" w:rsidRPr="005454D7" w:rsidRDefault="006479F6" w:rsidP="00D95AE9">
      <w:pPr>
        <w:pStyle w:val="Heading2"/>
      </w:pPr>
      <w:r>
        <w:lastRenderedPageBreak/>
        <w:t>Ambiciozen cilj za leto 2040 temelji na zmanjšanju neto emisij za vsaj 55 % do leta 2030. EESO pozdravlja nedavno oceno Evropske komisije</w:t>
      </w:r>
      <w:r w:rsidR="007E28EB" w:rsidRPr="005454D7">
        <w:rPr>
          <w:rStyle w:val="FootnoteReference"/>
          <w:lang w:val="en-GB"/>
        </w:rPr>
        <w:footnoteReference w:id="5"/>
      </w:r>
      <w:r>
        <w:t>, da so države članice skoraj zapolnile vrzel pri uresničevanju energetskih in podnebnih ciljev do leta 2030 v nacionalnih energetskih in podnebnih načrtih (NEPN). Poziva, da se je treba še naprej osredotočati na izvajanje zakonodajnega svežnja „Pripravljeni na 55“ ter podpiranje evropskih podjetij in gospodinjstev pri prilagajanju na novo zakonodajno okolje.</w:t>
      </w:r>
    </w:p>
    <w:p w14:paraId="6C814E7A" w14:textId="77777777" w:rsidR="0055520C" w:rsidRPr="005454D7" w:rsidRDefault="0055520C" w:rsidP="00D95AE9">
      <w:pPr>
        <w:rPr>
          <w:lang w:val="en-GB"/>
        </w:rPr>
      </w:pPr>
    </w:p>
    <w:p w14:paraId="70287C04" w14:textId="49D4D009" w:rsidR="0055520C" w:rsidRPr="005454D7" w:rsidRDefault="00A35F53" w:rsidP="00D95AE9">
      <w:pPr>
        <w:pStyle w:val="Heading2"/>
        <w:ind w:hanging="602"/>
      </w:pPr>
      <w:r>
        <w:t>Komisija je v sporočilu leta 2024 predložila ocene učinka za podnebni cilj za leto 2040. Predlagani 90-odstotni cilj se v oceni umešča med dva izbirna razpona, in sicer 85–90 % in 90–95 %. EESO poziva Komisijo, naj pripravi zbirno oceno, osredotočeno na 90-odstotni cilj, vključno z učinkom uporabe mednarodnih dobropisov, s čimer bi podprla oblikovanje okvira politike za leto 2040.</w:t>
      </w:r>
    </w:p>
    <w:p w14:paraId="15EE4142" w14:textId="77777777" w:rsidR="00076D34" w:rsidRPr="005454D7" w:rsidRDefault="00076D34" w:rsidP="00D95AE9">
      <w:pPr>
        <w:pStyle w:val="Heading2"/>
        <w:numPr>
          <w:ilvl w:val="0"/>
          <w:numId w:val="0"/>
        </w:numPr>
        <w:rPr>
          <w:lang w:val="en-GB"/>
        </w:rPr>
      </w:pPr>
    </w:p>
    <w:p w14:paraId="246E4768" w14:textId="30EC1CAF" w:rsidR="0021657D" w:rsidRPr="005454D7" w:rsidRDefault="00773849" w:rsidP="00D95AE9">
      <w:pPr>
        <w:pStyle w:val="Heading2"/>
      </w:pPr>
      <w:r>
        <w:t>EESO je v mnenju NAT/931 predstavil širše politične pomisleke in predloge v zvezi s podnebnim ciljem za leto 2040. To mnenje bo na podlagi tega osredotočeno na predlagano spremembo evropskih podnebnih pravil in dodatne premisleke, ki so se pojavili od sprejetja prejšnjega mnenja.</w:t>
      </w:r>
    </w:p>
    <w:p w14:paraId="54FCFFF6" w14:textId="77777777" w:rsidR="00D875D2" w:rsidRPr="005454D7" w:rsidRDefault="00D875D2" w:rsidP="00D95AE9">
      <w:pPr>
        <w:pStyle w:val="Heading2"/>
        <w:numPr>
          <w:ilvl w:val="0"/>
          <w:numId w:val="0"/>
        </w:numPr>
        <w:rPr>
          <w:lang w:val="en-GB"/>
        </w:rPr>
      </w:pPr>
    </w:p>
    <w:p w14:paraId="7A2E660A" w14:textId="63A21132" w:rsidR="00D875D2" w:rsidRPr="005454D7" w:rsidRDefault="00D875D2" w:rsidP="00D95AE9">
      <w:pPr>
        <w:keepNext/>
        <w:rPr>
          <w:b/>
          <w:bCs/>
        </w:rPr>
      </w:pPr>
      <w:r>
        <w:rPr>
          <w:b/>
        </w:rPr>
        <w:t>Cilj za leto 2040 in svetovna podnebna politika</w:t>
      </w:r>
    </w:p>
    <w:p w14:paraId="610D969A" w14:textId="77777777" w:rsidR="00D875D2" w:rsidRPr="005454D7" w:rsidRDefault="00D875D2" w:rsidP="00D95AE9">
      <w:pPr>
        <w:keepNext/>
        <w:rPr>
          <w:lang w:val="en-GB"/>
        </w:rPr>
      </w:pPr>
    </w:p>
    <w:p w14:paraId="3A204D02" w14:textId="78CFC943" w:rsidR="00524AFC" w:rsidRPr="005454D7" w:rsidRDefault="00524AFC" w:rsidP="00D95AE9">
      <w:pPr>
        <w:pStyle w:val="Heading2"/>
      </w:pPr>
      <w:r>
        <w:t>EESO je na plenarnem zasedanju julija 2025 poudaril povezavo med podnebjem, mirom in varnostjo ter pozval EU, naj se v svetovni podnebni diplomaciji uveljavi kot verodostojna in vztrajna voditeljica (REX/599). Ker EU ustvari le 6 % svetovnih emisij, bo morala za omejitev globalnega segrevanja na 1,5 °C poleg uvajanja odločnih domačih podnebnih ukrepov sodelovati tudi z drugimi večjimi onesnaževalci.</w:t>
      </w:r>
    </w:p>
    <w:p w14:paraId="3019A86C" w14:textId="77777777" w:rsidR="00524AFC" w:rsidRPr="005454D7" w:rsidRDefault="00524AFC" w:rsidP="00D95AE9">
      <w:pPr>
        <w:pStyle w:val="Heading2"/>
        <w:numPr>
          <w:ilvl w:val="0"/>
          <w:numId w:val="0"/>
        </w:numPr>
        <w:rPr>
          <w:lang w:val="en-GB"/>
        </w:rPr>
      </w:pPr>
    </w:p>
    <w:p w14:paraId="634331CF" w14:textId="355C46EC" w:rsidR="00E45098" w:rsidRPr="005454D7" w:rsidRDefault="00D875D2" w:rsidP="00D95AE9">
      <w:pPr>
        <w:pStyle w:val="Heading2"/>
      </w:pPr>
      <w:r>
        <w:t>Cilj za leto 2040 je podlaga za novi nacionalno določeni prispevek, ki bi ga EU morala predložiti najpozneje septembra, da bo pripravljen še pred konferenco COP30 v Braziliji. EESO poziva Svet in Parlament, naj hitro sprejmeta cilj za leto 2040 in z njim povezan nacionalno določeni prispevek, vključno z okvirnim ciljem za leto 2035. Ker nacionalno določeni prispevek še ni bil predložen, je to že škodilo položaju Evrope v svetovnih pogajanjih o podnebju in zmanjšalo njeno zmožnost, da od drugih velikih gospodarstev zahteva sprejetje ambicioznega nacionalno določenega prispevka.</w:t>
      </w:r>
    </w:p>
    <w:p w14:paraId="5BC4C471" w14:textId="77777777" w:rsidR="00E45098" w:rsidRPr="005454D7" w:rsidRDefault="00E45098" w:rsidP="00D95AE9">
      <w:pPr>
        <w:rPr>
          <w:lang w:val="en-GB"/>
        </w:rPr>
      </w:pPr>
    </w:p>
    <w:p w14:paraId="4BA10403" w14:textId="781B1059" w:rsidR="00E45098" w:rsidRPr="005454D7" w:rsidRDefault="00CF69D5" w:rsidP="00D95AE9">
      <w:pPr>
        <w:pStyle w:val="Heading2"/>
      </w:pPr>
      <w:r>
        <w:t>Razmere v svetovni podnebni diplomaciji so vse zahtevnejše, zlasti odkar so Združene države Amerike drugič odstopile od Pariškega sporazuma. Vendar je prišlo tudi do pozitivnega razvoja. EESO izpostavlja predvsem prelomni sporazum Mednarodne pomorske organizacije (IMO) o predpisih o neto ničelnih emisijah za svetovni ladijski promet, s čimer je bila dejansko ustvarjena prva cena ogljika na svetovni ravni.</w:t>
      </w:r>
      <w:r w:rsidRPr="005454D7">
        <w:rPr>
          <w:rStyle w:val="FootnoteReference"/>
          <w:szCs w:val="24"/>
          <w:lang w:val="en-GB"/>
        </w:rPr>
        <w:footnoteReference w:id="6"/>
      </w:r>
    </w:p>
    <w:p w14:paraId="32DF1BF3" w14:textId="77777777" w:rsidR="00524AFC" w:rsidRPr="005454D7" w:rsidRDefault="00524AFC" w:rsidP="00D95AE9">
      <w:pPr>
        <w:rPr>
          <w:lang w:val="en-GB"/>
        </w:rPr>
      </w:pPr>
    </w:p>
    <w:p w14:paraId="718C31C2" w14:textId="7FE2303F" w:rsidR="00524AFC" w:rsidRPr="005454D7" w:rsidRDefault="00417F77" w:rsidP="00D95AE9">
      <w:pPr>
        <w:pStyle w:val="Heading2"/>
      </w:pPr>
      <w:r>
        <w:lastRenderedPageBreak/>
        <w:t>Kitajska je največja povzročiteljica emisij na svetu, njene skupne pretekle emisije pa so leta 2023 presegle emisije EU.</w:t>
      </w:r>
      <w:r w:rsidRPr="005454D7">
        <w:rPr>
          <w:rStyle w:val="FootnoteReference"/>
          <w:lang w:val="en-GB"/>
        </w:rPr>
        <w:footnoteReference w:id="7"/>
      </w:r>
      <w:r>
        <w:t xml:space="preserve"> Vendar so kitajske emisije leta 2025 morda dosegle vrhunec, saj država obsežno uvaja čisto energijo.</w:t>
      </w:r>
      <w:r w:rsidR="00AE1774" w:rsidRPr="005454D7">
        <w:rPr>
          <w:rStyle w:val="FootnoteReference"/>
          <w:lang w:val="en-GB"/>
        </w:rPr>
        <w:footnoteReference w:id="8"/>
      </w:r>
      <w:r>
        <w:t xml:space="preserve"> To bi lahko pomenilo, da bodo tudi svetovne emisije dosegle vrhunec v drugem desetletju 21. stoletja, kakor je leta 2023</w:t>
      </w:r>
      <w:r w:rsidR="00051585" w:rsidRPr="005454D7">
        <w:rPr>
          <w:rStyle w:val="FootnoteReference"/>
          <w:lang w:val="en-GB"/>
        </w:rPr>
        <w:footnoteReference w:id="9"/>
      </w:r>
      <w:r>
        <w:t xml:space="preserve"> predvidela Mednarodna agencija za energijo. Vendar bi lahko ta razvoj ovirali tudi novi dejavniki porabe, kot so podatkovni centri in umetna inteligenca, če bodo temeljili na energiji iz fosilnih goriv. Kitajska namerava predložiti nacionalno določeni prispevek za celotno gospodarstvo, ki bo vključeval vse toplogredne pline.</w:t>
      </w:r>
    </w:p>
    <w:p w14:paraId="40C05235" w14:textId="77777777" w:rsidR="003E159B" w:rsidRPr="005454D7" w:rsidRDefault="003E159B" w:rsidP="00D95AE9">
      <w:pPr>
        <w:rPr>
          <w:lang w:val="en-GB"/>
        </w:rPr>
      </w:pPr>
    </w:p>
    <w:p w14:paraId="3A70FBEA" w14:textId="7B620009" w:rsidR="00057E19" w:rsidRPr="005454D7" w:rsidRDefault="001B486B" w:rsidP="00D95AE9">
      <w:pPr>
        <w:pStyle w:val="Heading2"/>
      </w:pPr>
      <w:r>
        <w:t>Kitajska je sicer gospodarska konkurentka in sistemska tekmica EU, vendar je pri blažitvi podnebnih sprememb neizogibna partnerica. EU in Kitajska bi lahko delovali kot nekakšno dvojno gonilo</w:t>
      </w:r>
      <w:r w:rsidR="004963BB" w:rsidRPr="005454D7">
        <w:rPr>
          <w:rStyle w:val="FootnoteReference"/>
          <w:szCs w:val="24"/>
          <w:lang w:val="en-GB"/>
        </w:rPr>
        <w:footnoteReference w:id="10"/>
      </w:r>
      <w:r>
        <w:t xml:space="preserve"> mednarodnega podnebnega upravljanja in razogljičenja ter tako nadomestili sodelovanje med ZDA in Kitajsko na področju podnebja, ki je bilo ključno za oblikovanje Pariškega sporazuma. Hkrati ostaja zmanjšanje tveganja zaradi pretirane odvisnosti od tehnologij, sestavnih delov in kritičnih surovin iz Kitajske strateška prednostna naloga Evrope. EU bi morala določitev močnega podnebnega cilja za leto 2040 uporabiti kot vzvod za spodbujanje podobno ambicioznega cilja Kitajske.</w:t>
      </w:r>
    </w:p>
    <w:p w14:paraId="06B87CE5" w14:textId="77777777" w:rsidR="003E159B" w:rsidRPr="005454D7" w:rsidRDefault="003E159B" w:rsidP="00D95AE9">
      <w:pPr>
        <w:pStyle w:val="Heading2"/>
        <w:numPr>
          <w:ilvl w:val="0"/>
          <w:numId w:val="0"/>
        </w:numPr>
        <w:rPr>
          <w:lang w:val="en-GB"/>
        </w:rPr>
      </w:pPr>
    </w:p>
    <w:p w14:paraId="4E94DF02" w14:textId="44F1AE4C" w:rsidR="0091439B" w:rsidRPr="005454D7" w:rsidRDefault="00345669" w:rsidP="00D95AE9">
      <w:pPr>
        <w:pStyle w:val="Heading2"/>
      </w:pPr>
      <w:r>
        <w:t>Možna uporaba člena 6 Pariškega sporazuma kot omejenega dela podnebnega cilja EU za leto 2040 bi lahko bila poleg podnebnega financiranja osnova za sodelovanje med severom in jugom na področju podnebja. Ne sme se zgoditi, da bi zaradi odstopa ZDA od večstranskega in dvostranskega sodelovanja na področju podnebja in energije Kitajska postala edina partnerica držav v razvoju pri prehodu na čisto energijo.</w:t>
      </w:r>
    </w:p>
    <w:p w14:paraId="50E749C8" w14:textId="77777777" w:rsidR="0015337E" w:rsidRPr="005454D7" w:rsidRDefault="0015337E" w:rsidP="00D95AE9">
      <w:pPr>
        <w:rPr>
          <w:lang w:val="en-GB"/>
        </w:rPr>
      </w:pPr>
    </w:p>
    <w:p w14:paraId="7619FF3C" w14:textId="41D8B8A4" w:rsidR="005B3F8B" w:rsidRPr="005454D7" w:rsidRDefault="00097548" w:rsidP="00D95AE9">
      <w:pPr>
        <w:keepNext/>
        <w:rPr>
          <w:b/>
          <w:bCs/>
        </w:rPr>
      </w:pPr>
      <w:r>
        <w:rPr>
          <w:b/>
        </w:rPr>
        <w:t>Širitev EU in podnebni cilj za leto 2040</w:t>
      </w:r>
    </w:p>
    <w:p w14:paraId="0E5C32F4" w14:textId="77777777" w:rsidR="005B3F8B" w:rsidRPr="005454D7" w:rsidRDefault="005B3F8B" w:rsidP="00D95AE9">
      <w:pPr>
        <w:keepNext/>
        <w:rPr>
          <w:lang w:val="en-GB"/>
        </w:rPr>
      </w:pPr>
    </w:p>
    <w:p w14:paraId="0B21C04F" w14:textId="0D912F65" w:rsidR="008170D7" w:rsidRPr="005454D7" w:rsidRDefault="00627675" w:rsidP="00D95AE9">
      <w:pPr>
        <w:pStyle w:val="Heading2"/>
      </w:pPr>
      <w:r>
        <w:t>EESO ugotavlja, da bo do prihodnje širitve EU najverjetneje prišlo v časovnem okviru cilja za leto 2040. S pristopom novih držav članic se bodo povečale skupne emisije EU, hkrati pa bo mogoče spodbuditi preoblikovanje njihovega energetskega in industrijskega sektorja, ker bodo vključene v strukturo podnebne politike EU. Širitev EU je torej lahko močno orodje za spodbujanje podnebnih ukrepov. Nove države članice lahko prispevajo tudi k razogljičenju celotne EU, saj prispevajo k dostopu do naravnih virov, industrijskih zmogljivosti in strokovnega znanja na področju energije. Po drugi strani pa imajo lahko države kandidatke težave pri usklajevanju s podnebno in energetsko politiko EU, kot je sistem trgovanja z emisijami.</w:t>
      </w:r>
    </w:p>
    <w:p w14:paraId="3A7B1513" w14:textId="77777777" w:rsidR="008170D7" w:rsidRPr="005454D7" w:rsidRDefault="008170D7" w:rsidP="00D95AE9">
      <w:pPr>
        <w:rPr>
          <w:lang w:val="en-GB"/>
        </w:rPr>
      </w:pPr>
    </w:p>
    <w:p w14:paraId="78F0256A" w14:textId="11679738" w:rsidR="00D63D82" w:rsidRPr="005454D7" w:rsidRDefault="002A5735" w:rsidP="002B05F5">
      <w:pPr>
        <w:pStyle w:val="Heading2"/>
        <w:keepNext/>
        <w:keepLines/>
      </w:pPr>
      <w:r>
        <w:lastRenderedPageBreak/>
        <w:t>Države kandidatke, s katerimi trenutno potekajo pridružitveni pogovori, torej države Zahodnega Balkana, Ukrajina in Moldavija, skupaj ustvarijo 10–15 % skupnih emisij EU. Ker količina emisij v številnih državah kandidatkah ostaja nespremenjena, bi lahko ta delež narasel, saj se emisije v EU še naprej zmanjšujejo. Na Ukrajino močno vpliva sedanja brutalna ruska agresija. EESO poudarja, da bo neuspešno zmanjševanje emisij v prihodnjih državah članicah vplivalo tudi na zmožnost EU za doseganje svojih podnebnih ciljev, zlasti za leti 2040 in 2050, in svojih nacionalno določenih prispevkov. Zato je podpiranje razogljičenja držav kandidatk v interesu EU.</w:t>
      </w:r>
    </w:p>
    <w:p w14:paraId="62FDACDD" w14:textId="77777777" w:rsidR="003E159B" w:rsidRPr="005454D7" w:rsidRDefault="003E159B" w:rsidP="00D95AE9">
      <w:pPr>
        <w:rPr>
          <w:lang w:val="en-GB"/>
        </w:rPr>
      </w:pPr>
    </w:p>
    <w:p w14:paraId="032A4EBA" w14:textId="414F0CAF" w:rsidR="006B6158" w:rsidRPr="005454D7" w:rsidRDefault="009E5CA9" w:rsidP="00D95AE9">
      <w:pPr>
        <w:pStyle w:val="Heading2"/>
      </w:pPr>
      <w:r>
        <w:t>EESO poziva Komisijo, naj pojasni vpliv širitve na podnebni cilj za leto 2040, in sicer tudi to, kako naj se v primeru večje EU izračunata izhodiščno leto 1990 in 90-odstotni cilj. Prav tako poziva Komisijo, naj okrepi podporo državam kandidatkam, da se že vnaprej prilagodijo podnebnim in energetskim politikam EU. Morebitna uporaba mednarodnih dobropisov v okviru cilja za leto 2040 bi lahko bila učinkovit način za podpiranje držav kandidatk, hkrati pa bi neposredno prispevala k nacionalno določenim prispevkom in podnebnim ciljem EU.</w:t>
      </w:r>
    </w:p>
    <w:p w14:paraId="1DD03DAA" w14:textId="2CF868B6" w:rsidR="001272B1" w:rsidRPr="005454D7" w:rsidRDefault="001272B1" w:rsidP="00D95AE9">
      <w:pPr>
        <w:rPr>
          <w:lang w:val="en-GB"/>
        </w:rPr>
      </w:pPr>
    </w:p>
    <w:p w14:paraId="0D4E1EAE" w14:textId="5FCC98E1" w:rsidR="00475B73" w:rsidRPr="005454D7" w:rsidRDefault="00475B73" w:rsidP="00D95AE9">
      <w:pPr>
        <w:keepNext/>
        <w:rPr>
          <w:b/>
          <w:bCs/>
        </w:rPr>
      </w:pPr>
      <w:r>
        <w:rPr>
          <w:b/>
        </w:rPr>
        <w:t>Mednarodni dobropisi kot del cilja za leto 2040 in podnebne politike EU</w:t>
      </w:r>
    </w:p>
    <w:p w14:paraId="7FE7085C" w14:textId="77777777" w:rsidR="00947E93" w:rsidRPr="005454D7" w:rsidRDefault="00947E93" w:rsidP="00D95AE9">
      <w:pPr>
        <w:keepNext/>
        <w:rPr>
          <w:lang w:val="en-GB"/>
        </w:rPr>
      </w:pPr>
    </w:p>
    <w:p w14:paraId="568A00BB" w14:textId="5A6B5F25" w:rsidR="009926C2" w:rsidRPr="005454D7" w:rsidRDefault="004B5769" w:rsidP="00D95AE9">
      <w:pPr>
        <w:pStyle w:val="Heading2"/>
      </w:pPr>
      <w:r>
        <w:t>Komisija v spremembi evropskih podnebnih pravil predlaga, da bi se lahko od leta 2036 pri cilju za leto 2040 upošteval morebitni omejen prispevek visokokakovostnih mednarodnih ogljičnih dobropisov v skladu s členom 6 Pariškega sporazuma v višini do 3 % neto emisij EU iz leta 1990. Člen 6 pogodbenicam omogoča, da sodelujejo in trgujejo z zmanjševanjem in odvzemi emisij. Odprte določbe in smernice za člen 6 so bile dokončno sprejete na konferenci COP29 leta 2024 v Bakuju.</w:t>
      </w:r>
    </w:p>
    <w:p w14:paraId="7A22FA41" w14:textId="77777777" w:rsidR="009926C2" w:rsidRPr="005454D7" w:rsidRDefault="009926C2" w:rsidP="00D95AE9">
      <w:pPr>
        <w:rPr>
          <w:lang w:val="en-GB"/>
        </w:rPr>
      </w:pPr>
    </w:p>
    <w:p w14:paraId="122F4D2C" w14:textId="510F5A00" w:rsidR="00306610" w:rsidRPr="005454D7" w:rsidRDefault="00306610" w:rsidP="00D95AE9">
      <w:pPr>
        <w:pStyle w:val="Heading2"/>
      </w:pPr>
      <w:r>
        <w:t xml:space="preserve">Do leta 2020 je sicer bilo mogoče uporabljati mednarodne dobropise v okviru evropskega sistema za trgovanje z emisijami (ETS), sedanji okvir podnebne politike EU pa ne dovoli uporabe mednarodnih dobropisov za doseganje podnebnega cilja EU. Vendar nekatere države članice EU nameravajo uporabiti člen 6 za doseganje svojih domačih podnebnih ciljev, ki presegajo obveznosti EU. </w:t>
      </w:r>
    </w:p>
    <w:p w14:paraId="786C17D6" w14:textId="77777777" w:rsidR="003E159B" w:rsidRPr="005454D7" w:rsidRDefault="003E159B" w:rsidP="00D95AE9">
      <w:pPr>
        <w:pStyle w:val="Heading2"/>
        <w:numPr>
          <w:ilvl w:val="0"/>
          <w:numId w:val="0"/>
        </w:numPr>
        <w:rPr>
          <w:lang w:val="en-GB"/>
        </w:rPr>
      </w:pPr>
    </w:p>
    <w:p w14:paraId="259849AC" w14:textId="2E9A81A3" w:rsidR="0044552B" w:rsidRPr="005454D7" w:rsidRDefault="002B71B1" w:rsidP="00D95AE9">
      <w:pPr>
        <w:pStyle w:val="Heading2"/>
      </w:pPr>
      <w:r>
        <w:t>Mednarodno sodelovanje in člen 6 lahko odpreta pot za razširitev podnebnih ukrepov in ambicij, saj pogodbenicam omogočata, da podprejo tiste projekte za blaženje podnebnih sprememb, s katerimi je mogoče doseči največji učinek z najnižjimi stroški. Člen 6 je lahko tudi podlaga za okrepljeno sodelovanje med severom in jugom na področju podnebja ter lahko podpre cilje trajnostnega razvoja. Po podatkih okoljskega programa OZN je 60 držav že podpisalo dvostranske sporazume z namenom, da uporabijo člen 6 kot pogodbenice financerke ali pogodbenice gostiteljice rezultatov programa za blažitev podnebnih sprememb.</w:t>
      </w:r>
      <w:r w:rsidR="00FA47F5" w:rsidRPr="005454D7">
        <w:rPr>
          <w:rStyle w:val="FootnoteReference"/>
          <w:lang w:val="en-GB"/>
        </w:rPr>
        <w:footnoteReference w:id="11"/>
      </w:r>
    </w:p>
    <w:p w14:paraId="2EF7C5C4" w14:textId="77777777" w:rsidR="003E159B" w:rsidRPr="005454D7" w:rsidRDefault="003E159B" w:rsidP="00D95AE9">
      <w:pPr>
        <w:rPr>
          <w:lang w:val="en-GB"/>
        </w:rPr>
      </w:pPr>
    </w:p>
    <w:p w14:paraId="3AB0B6F3" w14:textId="79BCBC9F" w:rsidR="00475B73" w:rsidRPr="005454D7" w:rsidRDefault="009702AA" w:rsidP="00BC09CD">
      <w:pPr>
        <w:pStyle w:val="Heading2"/>
        <w:keepLines/>
      </w:pPr>
      <w:r>
        <w:lastRenderedPageBreak/>
        <w:t>EESO priznava, da bi lahko omejena uporaba mednarodnih dobropisov zagotovila potrebno prožnost za doseganje zahtevnega 90-odstotnega cilja. Vendar obstajajo resni pomisleki glede integritete dobropisov, izdanih v skladu s členom 6. Projekti, financirani z ogljičnimi dobropisi, so bili deležni kritik v zvezi s slabo preglednostjo, dodatnostjo in vključenostjo lokalnega prebivalstva. EESO ugotavlja, da je Evropski znanstveni svetovalni odbor za podnebne spremembe (ESABCC) odsvetoval</w:t>
      </w:r>
      <w:r w:rsidR="00002439" w:rsidRPr="005454D7">
        <w:rPr>
          <w:rStyle w:val="FootnoteReference"/>
          <w:lang w:val="en-GB"/>
        </w:rPr>
        <w:footnoteReference w:id="12"/>
      </w:r>
      <w:r>
        <w:t xml:space="preserve"> uporabo mednarodnih dobropisov za doseganje cilja za leto 2040, saj bi se lahko tako sredstva preusmerila od domačih naložb in ogrozila okoljska celovitost.</w:t>
      </w:r>
    </w:p>
    <w:p w14:paraId="1B163F00" w14:textId="77777777" w:rsidR="006D46E6" w:rsidRPr="005454D7" w:rsidRDefault="006D46E6" w:rsidP="00D95AE9">
      <w:pPr>
        <w:rPr>
          <w:lang w:val="en-GB"/>
        </w:rPr>
      </w:pPr>
    </w:p>
    <w:p w14:paraId="546EE9A6" w14:textId="1F503383" w:rsidR="00682C24" w:rsidRPr="005454D7" w:rsidRDefault="006D46E6" w:rsidP="00D95AE9">
      <w:pPr>
        <w:pStyle w:val="Heading2"/>
      </w:pPr>
      <w:r>
        <w:t>EESO zato meni, da mora Komisija v pravu EU urediti merila porekla in kakovosti ter druge pogoje v zvezi z nakupom in uporabo mednarodnih ogljičnih dobropisov. Mednarodne ogljične dobropise je nujno treba pozorno spremljati, da se poskrbi za izpolnjevanje določenih pravnih pogojev. Uporaba dobropisov bi morala izhajati iz temeljite ocene učinka.</w:t>
      </w:r>
    </w:p>
    <w:p w14:paraId="575A0734" w14:textId="77777777" w:rsidR="00682C24" w:rsidRPr="005454D7" w:rsidRDefault="00682C24" w:rsidP="00D95AE9">
      <w:pPr>
        <w:pStyle w:val="Heading2"/>
        <w:numPr>
          <w:ilvl w:val="0"/>
          <w:numId w:val="0"/>
        </w:numPr>
        <w:rPr>
          <w:lang w:val="en-GB"/>
        </w:rPr>
      </w:pPr>
    </w:p>
    <w:p w14:paraId="3E1DDEA1" w14:textId="471D2DED" w:rsidR="006E4849" w:rsidRPr="005454D7" w:rsidRDefault="00682C24" w:rsidP="00D95AE9">
      <w:pPr>
        <w:pStyle w:val="Heading2"/>
      </w:pPr>
      <w:r>
        <w:t>EESO priporoča, naj bo uporaba mednarodnih dobropisov v podnebni strukturi EU strogo pogojena z visoko integriteto dobropisov. Pogoje bi bilo treba oblikovati v sodelovanju z odborom ESABCC in nadzornim organom iz člena 6.4, temeljiti pa morajo na mehanizmu dobropisov iz Pariškega sporazuma. Da bi izboljšali preglednost in preprečili spodkopavanje domačih ambicij, ti dobropisi ne smejo nadomestiti domačih prizadevanj v sektorjih s stroškovno učinkovitimi možnostmi razogljičenja in bi jih bilo treba sprejeti le pri projektih z dokazano dodatnostjo ter socialnimi in okoljskimi varovalkami.</w:t>
      </w:r>
    </w:p>
    <w:p w14:paraId="0C71C715" w14:textId="77777777" w:rsidR="004D51BE" w:rsidRPr="005454D7" w:rsidRDefault="004D51BE" w:rsidP="00D95AE9">
      <w:pPr>
        <w:rPr>
          <w:lang w:val="en-GB"/>
        </w:rPr>
      </w:pPr>
    </w:p>
    <w:p w14:paraId="55B414CC" w14:textId="3E7E46AE" w:rsidR="004D51BE" w:rsidRPr="005454D7" w:rsidRDefault="00F063D2" w:rsidP="00D95AE9">
      <w:pPr>
        <w:pStyle w:val="Heading2"/>
      </w:pPr>
      <w:r>
        <w:t xml:space="preserve">Pri uporabi mednarodnih dobropisov bi bilo treba poleg pogojev, ki se nanašajo na integriteto, upoštevati tudi druge cilje zunanje in notranje politike EU, med drugim v zvezi z vrsto in vsebino projektov ter državami, v katerih se ti projekti izvajajo. Treba se je izogibati projektom, ki bi neposredno financirali strateške konkurente evropskih industrijskih panog. Poleg tega bi morali biti projekti namenjeni ustvarjanju dodatnih koristi na področju trajnostnega razvoja, kot je izkoreninjenje energetske revščine, ter spodbujanju uporabe in izvoza evropskih čistih tehnologij in podnebnih rešitev. </w:t>
      </w:r>
    </w:p>
    <w:p w14:paraId="56089629" w14:textId="77777777" w:rsidR="007F246C" w:rsidRPr="005454D7" w:rsidRDefault="007F246C" w:rsidP="00D95AE9">
      <w:pPr>
        <w:rPr>
          <w:lang w:val="en-GB"/>
        </w:rPr>
      </w:pPr>
    </w:p>
    <w:p w14:paraId="3BB3EADF" w14:textId="1BF9DF1E" w:rsidR="00FC19FB" w:rsidRPr="005454D7" w:rsidRDefault="008D1BBF" w:rsidP="00D95AE9">
      <w:pPr>
        <w:pStyle w:val="Heading2"/>
      </w:pPr>
      <w:r>
        <w:t>Izbira držav, ki bodo gostile projekte iz člena 6, lahko pripomore k poglobitvi zunanjih partnerstev EU. Da bi dosegli sinergije politik in povečali učinek, bi lahko dajali prednost projektom v državah gostiteljicah, ki so povezane s pobudami, kot so partnerstva za čisto trgovino in naložbe, partnerstva za pravičen energetski prehod in sosedska politika EU, ter podpori najmanj razvitim državam. Kot ugotavlja Komisija, bi morala biti uporaba mednarodnih dobropisov povezana s povečanjem ambicij nacionalno določenih prispevkov držav gostiteljic.</w:t>
      </w:r>
    </w:p>
    <w:p w14:paraId="3A588ECB" w14:textId="77777777" w:rsidR="007F246C" w:rsidRPr="005454D7" w:rsidRDefault="007F246C" w:rsidP="00D95AE9">
      <w:pPr>
        <w:rPr>
          <w:lang w:val="en-GB"/>
        </w:rPr>
      </w:pPr>
    </w:p>
    <w:p w14:paraId="10059D9E" w14:textId="5003D0C3" w:rsidR="004421AB" w:rsidRPr="005454D7" w:rsidRDefault="004421AB" w:rsidP="00BC09CD">
      <w:pPr>
        <w:pStyle w:val="Heading2"/>
        <w:keepLines/>
      </w:pPr>
      <w:r>
        <w:lastRenderedPageBreak/>
        <w:t>EESO zlasti spodbuja preučitev sodelovanja z državami kandidatkami za članstvo v EU v okviru člena 6, saj bi to podprlo njihovo pot do članstva v EU in bi verjetno neposredno prispevalo k nacionalno določenim prispevkom in podnebnim ciljem EU. Zato je manj verjetno, da bi mednarodni dobropisi, ustvarjeni v državah kandidatkah, nadomestili domače podnebne ukrepe EU. Da bi upoštevali ta potencial in časovnico širitve, EESO predlaga, da se mednarodni dobropisi, ki se ustvarijo v državah kandidatkah, od leta 2031 naprej upoštevajo pri doseganju cilja za leto 2040. Ti dobropisi bi morali dosegati enako visoke standarde kakovosti kot drugi dovoljeni dobropisi. Da bi olajšali sistemsko preobrazbo in uskladitev s podnebno in energetsko politiko EU, bi bilo treba razmisliti o možnosti vštetja političnih ukrepov.</w:t>
      </w:r>
      <w:r w:rsidR="00FC19FB" w:rsidRPr="005454D7">
        <w:rPr>
          <w:rStyle w:val="FootnoteReference"/>
          <w:lang w:val="en-GB"/>
        </w:rPr>
        <w:footnoteReference w:id="13"/>
      </w:r>
    </w:p>
    <w:p w14:paraId="3D4633A7" w14:textId="77777777" w:rsidR="000A339E" w:rsidRPr="005454D7" w:rsidRDefault="000A339E" w:rsidP="00D95AE9">
      <w:pPr>
        <w:rPr>
          <w:lang w:val="en-GB"/>
        </w:rPr>
      </w:pPr>
    </w:p>
    <w:p w14:paraId="12A5C663" w14:textId="044D0C6D" w:rsidR="000A339E" w:rsidRPr="005454D7" w:rsidRDefault="002549DC" w:rsidP="00D95AE9">
      <w:pPr>
        <w:pStyle w:val="Heading2"/>
      </w:pPr>
      <w:r>
        <w:t>Vseevropski organ ali platforma bi lahko združila povpraševanje, povečala vpliv projektov na podnebje in njihove dodatne koristi ter spremljala in zagotavljala kakovost projektov v primerjavi s projekti, ki jih naročijo posamezne države članice. EESO priporoča primerjalno analizo mednarodnih primerov, kot sta japonski skupni mehanizem dobropisov in švicarska fundacija Klik, in razmislek o ustanovitvi podobnega organa na ravni EU.</w:t>
      </w:r>
    </w:p>
    <w:p w14:paraId="2867606F" w14:textId="77777777" w:rsidR="00475B73" w:rsidRPr="005454D7" w:rsidRDefault="00475B73" w:rsidP="00D95AE9">
      <w:pPr>
        <w:rPr>
          <w:lang w:val="en-GB"/>
        </w:rPr>
      </w:pPr>
    </w:p>
    <w:p w14:paraId="23E52FF4" w14:textId="69327D06" w:rsidR="00BA2B7A" w:rsidRPr="005454D7" w:rsidRDefault="002332AA" w:rsidP="00D95AE9">
      <w:pPr>
        <w:pStyle w:val="Heading2"/>
      </w:pPr>
      <w:r>
        <w:t>Mednarodno sodelovanje je mogoče vključiti v okvir podnebne politike EU na več načinov, na primer po sektorjih (ETS, uredba o porazdelitvi prizadevanj, sektor rabe zemljišč, spremembe rabe zemljišč in gozdarstva) in po akterjih (Komisija, država članica ali podjetja). EESO se strinja s predlogom Komisije, da se takšni mednarodni dobropisi ne bi smeli uporabljati za zagotavljanje skladnosti s sistemom trgovanja z emisijami. Mednarodne dobropise bi torej morale uporabljati predvsem države članice ob podpori Komisije.</w:t>
      </w:r>
    </w:p>
    <w:p w14:paraId="2DEF5CDD" w14:textId="77777777" w:rsidR="007F246C" w:rsidRPr="005454D7" w:rsidRDefault="007F246C" w:rsidP="00D95AE9">
      <w:pPr>
        <w:pStyle w:val="Heading2"/>
        <w:numPr>
          <w:ilvl w:val="0"/>
          <w:numId w:val="0"/>
        </w:numPr>
        <w:rPr>
          <w:lang w:val="en-GB"/>
        </w:rPr>
      </w:pPr>
    </w:p>
    <w:p w14:paraId="0EAFC555" w14:textId="318BF7AC" w:rsidR="000847B2" w:rsidRPr="005454D7" w:rsidRDefault="000847B2" w:rsidP="00D95AE9">
      <w:pPr>
        <w:pStyle w:val="Heading2"/>
      </w:pPr>
      <w:r>
        <w:t>Sistem trgovanja z emisijami je najpomembnejše orodje EU za spodbujanje zmanjšanja emisij ter doseganje podnebnih ciljev za leti 2030 in 2040. Predvidljiva cena ogljika je ključna za gospodarsko upravičenost naložb v razogljičenje. Zato EESO poudarja, da je treba ohraniti integriteto tega sistema, in svari pred ponovno uvedbo mednarodnih dobropisov v ETS, saj bi lahko povzročili motnje na trgu. Boljši način za izboljšanje ETS bi bila povezava doslednih odvzemov ogljika s sistemom trgovanja z emisijami.</w:t>
      </w:r>
    </w:p>
    <w:p w14:paraId="2FA0427C" w14:textId="58C062E8" w:rsidR="00CE148E" w:rsidRPr="005454D7" w:rsidRDefault="00CE148E" w:rsidP="00D95AE9">
      <w:pPr>
        <w:rPr>
          <w:lang w:val="en-GB"/>
        </w:rPr>
      </w:pPr>
    </w:p>
    <w:p w14:paraId="0F551045" w14:textId="0D10C183" w:rsidR="000847B2" w:rsidRPr="005454D7" w:rsidRDefault="001B22D0" w:rsidP="00D95AE9">
      <w:pPr>
        <w:keepNext/>
        <w:rPr>
          <w:b/>
          <w:bCs/>
        </w:rPr>
      </w:pPr>
      <w:r>
        <w:rPr>
          <w:b/>
        </w:rPr>
        <w:t>Vloga odvzemov in prožnosti</w:t>
      </w:r>
    </w:p>
    <w:p w14:paraId="26433DD7" w14:textId="77777777" w:rsidR="001B22D0" w:rsidRPr="005454D7" w:rsidRDefault="001B22D0" w:rsidP="00D95AE9">
      <w:pPr>
        <w:keepNext/>
        <w:rPr>
          <w:b/>
          <w:bCs/>
          <w:lang w:val="en-GB"/>
        </w:rPr>
      </w:pPr>
    </w:p>
    <w:p w14:paraId="4639F2DF" w14:textId="46A660C1" w:rsidR="00CB79E8" w:rsidRPr="005454D7" w:rsidRDefault="00654D65" w:rsidP="00D95AE9">
      <w:pPr>
        <w:pStyle w:val="Heading2"/>
      </w:pPr>
      <w:r>
        <w:t>EESO poudarja, da se s postopno odpravo fosilnih goriv dejansko zmanjšajo emisije. Odvzemi ogljika so v okviru izvajanja razogljičenja sicer vse pomembnejši za doseganje podnebnih ciljev EU, vendar je pretirano zanašanje na kopenske in industrijske ponore povezano z nejasnostmi in tveganjem, da bomo za vedno vezani na uporabo fosilnih goriv ali pa da bomo ponore izgubili zaradi gozdnih požarov, škodljivcev ali drugih nevarnosti. Odvzemi imajo pomembno dopolnilno vlogo. Prožnost med sektorji sicer lahko pripomore k utiranju stroškovno učinkovite poti do podnebnih ciljev, vendar je treba pri tem dajati prednost zmanjšanju emisij.</w:t>
      </w:r>
    </w:p>
    <w:p w14:paraId="784A257E" w14:textId="77777777" w:rsidR="00CB79E8" w:rsidRPr="005454D7" w:rsidRDefault="00CB79E8" w:rsidP="00D95AE9">
      <w:pPr>
        <w:pStyle w:val="Heading2"/>
        <w:numPr>
          <w:ilvl w:val="0"/>
          <w:numId w:val="0"/>
        </w:numPr>
        <w:rPr>
          <w:lang w:val="en-GB"/>
        </w:rPr>
      </w:pPr>
    </w:p>
    <w:p w14:paraId="368FC73F" w14:textId="0C73C21B" w:rsidR="00104456" w:rsidRPr="005454D7" w:rsidRDefault="00D8731D" w:rsidP="002B05F5">
      <w:pPr>
        <w:pStyle w:val="Heading2"/>
        <w:keepNext/>
        <w:keepLines/>
      </w:pPr>
      <w:r>
        <w:lastRenderedPageBreak/>
        <w:t>EESO je v mnenju NAT/931 pozval Komisijo, naj z znanstvenega in ekonomskega vidika oceni ravnovesje med zmanjšanjem in odvzemi ogljika. Nedavno modeliranje odbora ESABCC in Skupnega raziskovalnega središča</w:t>
      </w:r>
      <w:r w:rsidR="009173C5" w:rsidRPr="005454D7">
        <w:rPr>
          <w:rStyle w:val="FootnoteReference"/>
          <w:lang w:val="en-GB"/>
        </w:rPr>
        <w:footnoteReference w:id="14"/>
      </w:r>
      <w:r>
        <w:t xml:space="preserve"> kaže na precejšnjo negotovost glede predvidene zmogljivosti kopenskih ponorov po letu 2030 zaradi vse večje podnebne ranljivosti. EESO zato predlaga previdnostno merilo za delež kopenskih ponorov ogljika v cilju za leto 2040, ki naj denimo ne preseže 5 % skupnega cilja. Tako bi poskrbeli, da se bo prednostno obravnavalo neposredno zmanjšanje emisij, hkrati pa se bo še vedno opozarjalo, da je treba ohranjati in upravljati ponore ogljika.</w:t>
      </w:r>
    </w:p>
    <w:p w14:paraId="0EA9699C" w14:textId="77777777" w:rsidR="007F246C" w:rsidRPr="005454D7" w:rsidRDefault="007F246C" w:rsidP="00D95AE9">
      <w:pPr>
        <w:rPr>
          <w:lang w:val="en-GB"/>
        </w:rPr>
      </w:pPr>
    </w:p>
    <w:p w14:paraId="4AC52639" w14:textId="4F02CDA8" w:rsidR="00CC4AD7" w:rsidRPr="005454D7" w:rsidRDefault="00EF4CFA" w:rsidP="00D95AE9">
      <w:pPr>
        <w:pStyle w:val="Heading2"/>
      </w:pPr>
      <w:r>
        <w:t>EESO poudarja, da imajo kmeti in lastniki gozdov edinstveno vlogo kot skrbniki kopenskih ponorov ogljika, saj lahko povečajo zajem ogljika iz ozračja in ustvarijo biomaso za nadomeščanje fosilnih materialov. Da se ta praksa spodbudi, je nujno izvajati okvir za odvzeme ogljika in sekvestracijo ogljika v kmetijske površine (CRCF). Tudi sonaravne rešitve od kmetijskega gozdarstva do mokrišč in ozelenitve mest lahko imajo dodatne koristi tako na področju prilagajanja kot biotske raznovrstnosti.</w:t>
      </w:r>
    </w:p>
    <w:p w14:paraId="5808917D" w14:textId="77777777" w:rsidR="00146D38" w:rsidRPr="005454D7" w:rsidRDefault="00146D38" w:rsidP="00D95AE9">
      <w:pPr>
        <w:rPr>
          <w:lang w:val="en-GB"/>
        </w:rPr>
      </w:pPr>
    </w:p>
    <w:p w14:paraId="1A60F301" w14:textId="549DDE63" w:rsidR="00146D38" w:rsidRPr="005454D7" w:rsidRDefault="00146D38" w:rsidP="00D95AE9">
      <w:pPr>
        <w:pStyle w:val="Heading2"/>
      </w:pPr>
      <w:r>
        <w:t>EESO poudarja, da mora prehranska varnost ostati v središču podnebne in kmetijske politike, zlasti ker posledice podnebnih sprememb ogrožajo proizvodnjo hrane po vsem svetu. Ponavlja svoj poziv iz mnenja NAT/931, da je treba v tesnem dialogu s kmeti in drugimi deležniki določiti okvirni cilj za zmanjšanje emisij v agroživilskem sektorju.</w:t>
      </w:r>
    </w:p>
    <w:p w14:paraId="1619CE70" w14:textId="77777777" w:rsidR="00261F4B" w:rsidRPr="005454D7" w:rsidRDefault="00261F4B" w:rsidP="00D95AE9">
      <w:pPr>
        <w:rPr>
          <w:lang w:val="en-GB"/>
        </w:rPr>
      </w:pPr>
    </w:p>
    <w:p w14:paraId="1F104790" w14:textId="7A85369D" w:rsidR="00A75827" w:rsidRPr="005454D7" w:rsidRDefault="00261F4B" w:rsidP="00D95AE9">
      <w:pPr>
        <w:pStyle w:val="Heading2"/>
      </w:pPr>
      <w:r>
        <w:t>EESO podpira predlog Komisije, da se v ETS vključijo trdni ukrepi za industrijske odvzeme ogljika. Ugotavlja, da po podatkih ocene učinka tudi v najbolj ambicioznih scenarijih v sektorju ETS obstajajo preostale emisije. Zato lahko vključitev trajnih odvzemov, še posebej z zajemanjem in shranjevanjem ogljika iz bioenergije (BECCS) ter neposrednim zajemanjem in shranjevanjem ogljika iz zraka (DACCS), pripomore k upravljanju likvidnosti na upadajočem trgu, uravnoteženju emisij, ki jih je težko znižati, in spodbudam za razširitev zajemanja ogljika.</w:t>
      </w:r>
    </w:p>
    <w:p w14:paraId="3D093F1D" w14:textId="77777777" w:rsidR="001B22D0" w:rsidRPr="005454D7" w:rsidRDefault="001B22D0" w:rsidP="00D95AE9">
      <w:pPr>
        <w:rPr>
          <w:b/>
          <w:bCs/>
          <w:lang w:val="en-GB"/>
        </w:rPr>
      </w:pPr>
    </w:p>
    <w:p w14:paraId="24AB9DD7" w14:textId="5F38EF5A" w:rsidR="00CE148E" w:rsidRPr="005454D7" w:rsidRDefault="00CE148E" w:rsidP="00D95AE9">
      <w:pPr>
        <w:keepNext/>
        <w:keepLines/>
        <w:rPr>
          <w:b/>
          <w:bCs/>
        </w:rPr>
      </w:pPr>
      <w:r>
        <w:rPr>
          <w:b/>
        </w:rPr>
        <w:t>Omogočitvene politike za podnebni cilj za leto 2040</w:t>
      </w:r>
    </w:p>
    <w:p w14:paraId="398D4418" w14:textId="77777777" w:rsidR="00F90F55" w:rsidRPr="005454D7" w:rsidRDefault="00F90F55" w:rsidP="00D95AE9">
      <w:pPr>
        <w:keepNext/>
        <w:keepLines/>
        <w:rPr>
          <w:lang w:val="en-GB"/>
        </w:rPr>
      </w:pPr>
    </w:p>
    <w:p w14:paraId="7B33E97D" w14:textId="63F95BA9" w:rsidR="00104456" w:rsidRPr="005454D7" w:rsidRDefault="00A24ED7" w:rsidP="00D95AE9">
      <w:pPr>
        <w:pStyle w:val="Heading2"/>
      </w:pPr>
      <w:r>
        <w:t>Zahteven podnebni cilj morajo dopolnjevati omogočitvene politike za zagotovitev evropske konkurenčnosti, pravičnega prehoda in stroškovno učinkovite uporabe vseh brezogljičnih in nizkoogljičnih tehnologij. EESO zato pozdravlja, da Komisija v spremembo podnebnih pravil vključuje smernice za prihodnje zakonodajne predloge. Pri tem so na splošno upoštevani gospodarski, socialni in okoljski vidiki, kar je potrebno za uresničitev podnebnih ciljev EU. Na podlagi teh smernic je treba oblikovati strukturo podnebne politike po letu 2030, vključno s temeljitimi ocenami učinka, in se osredotočiti na izvajanje.</w:t>
      </w:r>
    </w:p>
    <w:p w14:paraId="52FC1DCB" w14:textId="77777777" w:rsidR="00104456" w:rsidRPr="005454D7" w:rsidRDefault="00104456" w:rsidP="00D95AE9">
      <w:pPr>
        <w:rPr>
          <w:lang w:val="en-GB"/>
        </w:rPr>
      </w:pPr>
    </w:p>
    <w:p w14:paraId="5BF26DA5" w14:textId="2A5949F9" w:rsidR="00866B35" w:rsidRPr="005454D7" w:rsidRDefault="00866B35" w:rsidP="002B05F5">
      <w:pPr>
        <w:pStyle w:val="Heading2"/>
        <w:keepNext/>
        <w:keepLines/>
      </w:pPr>
      <w:r>
        <w:lastRenderedPageBreak/>
        <w:t xml:space="preserve">EESO pozdravlja ponovno osredotočenost na konkurenčnost Evrope v dogovoru o čisti industriji. V mnenju NAT/931 je pozval Komisijo, naj preverjanje konkurenčnosti razširi na druga večja gospodarstva, vključno z njihovo podnebno, energetsko in industrijsko politiko ter gospodarskimi kazalniki. Glede na nedavni razvoj dogodkov v ZDA, med drugim odpravo subvencij za čisto energijo in industrijo iz akta za znižanje inflacije (IRA), bi EU lahko postala glavni cilj naložb v proizvodnjo čistih tehnologij in materialov. Kot je navedeno v sporočilu </w:t>
      </w:r>
      <w:r>
        <w:rPr>
          <w:i/>
        </w:rPr>
        <w:t>Uresničevanje dogovora o čisti industriji</w:t>
      </w:r>
      <w:r w:rsidR="00697C74" w:rsidRPr="005454D7">
        <w:rPr>
          <w:rStyle w:val="FootnoteReference"/>
          <w:lang w:val="en-GB"/>
        </w:rPr>
        <w:footnoteReference w:id="15"/>
      </w:r>
      <w:r>
        <w:t>, bi si morala Evropa prizadevati tudi za sistematično povečanje izvoza svojega sektorja čistih tehnologij, ki se je povečal hitreje kot izvoz ZDA, vendar zaostaja za kitajskim izvozom. Za spremljanje zaposlovanja, inovacij in rasti izvoza v neto ničelnih sektorjih bi lahko vzpostavili pregled kazalnikov o čisti industriji.</w:t>
      </w:r>
    </w:p>
    <w:p w14:paraId="7C25CE31" w14:textId="77777777" w:rsidR="00C76563" w:rsidRPr="005454D7" w:rsidRDefault="00C76563" w:rsidP="00D95AE9">
      <w:pPr>
        <w:rPr>
          <w:lang w:val="en-GB"/>
        </w:rPr>
      </w:pPr>
    </w:p>
    <w:p w14:paraId="7E65352B" w14:textId="3E4D2B37" w:rsidR="00866B35" w:rsidRPr="005454D7" w:rsidRDefault="00674A31" w:rsidP="00D95AE9">
      <w:pPr>
        <w:pStyle w:val="Heading2"/>
      </w:pPr>
      <w:r>
        <w:t>Z ohranjanjem dinamične evropske industrijske baze, ki je temelj za proizvodnjo čistih tehnologij in materialov, se ključno prispeva k odprti strateški avtonomiji. Glede na analizo podatkov Eurostata</w:t>
      </w:r>
      <w:r w:rsidR="00697C74" w:rsidRPr="005454D7">
        <w:rPr>
          <w:rStyle w:val="FootnoteReference"/>
          <w:lang w:val="en-GB"/>
        </w:rPr>
        <w:footnoteReference w:id="16"/>
      </w:r>
      <w:r>
        <w:t xml:space="preserve"> so države EU med letoma 2019 in 2023 izgubile več kot 850 000 delovnih mest v industriji. EESO poudarja, da je potrebna zaščita pred selitvijo virov CO</w:t>
      </w:r>
      <w:r>
        <w:rPr>
          <w:vertAlign w:val="subscript"/>
        </w:rPr>
        <w:t>2</w:t>
      </w:r>
      <w:r>
        <w:t>, z večstranskimi sporazumi, trgovinskimi pogajanji in politikami EU pa moramo spodbujati enake konkurenčne pogoje.</w:t>
      </w:r>
    </w:p>
    <w:p w14:paraId="3B3FE4FE" w14:textId="77777777" w:rsidR="00863A73" w:rsidRPr="005454D7" w:rsidRDefault="00863A73" w:rsidP="00D95AE9">
      <w:pPr>
        <w:rPr>
          <w:lang w:val="en-GB"/>
        </w:rPr>
      </w:pPr>
    </w:p>
    <w:p w14:paraId="795B847E" w14:textId="4D667E2D" w:rsidR="00863A73" w:rsidRPr="005454D7" w:rsidRDefault="00866B35" w:rsidP="00D95AE9">
      <w:pPr>
        <w:pStyle w:val="Heading2"/>
      </w:pPr>
      <w:r>
        <w:t>EESO priznava, da je nujno okrepiti evropsko obrambo, varnost in pripravljenost, hkrati pa si prizadevati za doseganje naših podnebnih ciljev. Po navedbah inštituta Bruegel</w:t>
      </w:r>
      <w:r w:rsidRPr="005454D7">
        <w:rPr>
          <w:rStyle w:val="FootnoteReference"/>
          <w:lang w:val="en-GB"/>
        </w:rPr>
        <w:footnoteReference w:id="17"/>
      </w:r>
      <w:r>
        <w:t xml:space="preserve"> je mogoče najti več sinergij med podnebjem in obrambo, na primer na področjih čiste energije, inovacij, pravičnega prehoda in pripravljenosti. EESO poziva Komisijo, naj si aktivno prizadeva opredeliti in spodbujati možne načine, na katere lahko osredotočenost na obrambo in obrambno industrijo, ki je nujna, prispeva tudi k podnebnim ciljem. Poleg tega so odločni ukrepi za blažitev podnebnih sprememb in prilagajanje nanje bistven del evropske varnosti in pripravljenosti. Glede na oceno učinka bi lahko prizadevanja za 90-odstotno znižanje emisij zmanjšala odvisnost EU od uvoza energije z več kot 55 % na 25 %, kar bi prispevalo k trenutnim prizadevanjem za postopno odpravo uvoza ruske energije.</w:t>
      </w:r>
    </w:p>
    <w:p w14:paraId="11E62323" w14:textId="2160EDFF" w:rsidR="00CB7FE8" w:rsidRPr="005454D7" w:rsidRDefault="00CB7FE8" w:rsidP="00D95AE9">
      <w:pPr>
        <w:rPr>
          <w:lang w:val="en-GB"/>
        </w:rPr>
      </w:pPr>
    </w:p>
    <w:p w14:paraId="1996A9CB" w14:textId="765AE8EB" w:rsidR="00EF236E" w:rsidRPr="005454D7" w:rsidRDefault="00EF236E" w:rsidP="002B05F5">
      <w:pPr>
        <w:pStyle w:val="Heading1"/>
        <w:keepNext/>
        <w:keepLines/>
        <w:rPr>
          <w:b/>
          <w:bCs/>
        </w:rPr>
      </w:pPr>
      <w:r>
        <w:rPr>
          <w:b/>
        </w:rPr>
        <w:lastRenderedPageBreak/>
        <w:t>PREDLOGI SPREMEMB ZAKONODAJNEGA PREDLOGA EVROPSKE KOMISIJE</w:t>
      </w:r>
    </w:p>
    <w:p w14:paraId="6F7428E7" w14:textId="77777777" w:rsidR="00CD6174" w:rsidRPr="005454D7" w:rsidRDefault="00CD6174" w:rsidP="002B05F5">
      <w:pPr>
        <w:keepNext/>
        <w:keepLines/>
        <w:rPr>
          <w:lang w:val="en-GB"/>
        </w:rPr>
      </w:pPr>
    </w:p>
    <w:p w14:paraId="79B2DE74" w14:textId="31B83394" w:rsidR="00FF12D9" w:rsidRPr="005454D7" w:rsidRDefault="00DF3C65" w:rsidP="002B05F5">
      <w:pPr>
        <w:pStyle w:val="Heading2"/>
        <w:keepNext/>
        <w:keepLines/>
        <w:numPr>
          <w:ilvl w:val="0"/>
          <w:numId w:val="0"/>
        </w:numPr>
        <w:rPr>
          <w:b/>
          <w:bCs/>
        </w:rPr>
      </w:pPr>
      <w:r>
        <w:rPr>
          <w:b/>
        </w:rPr>
        <w:t>Predlog spremembe 1</w:t>
      </w:r>
    </w:p>
    <w:p w14:paraId="7FABB4ED" w14:textId="5BA2EB17" w:rsidR="00EF236E" w:rsidRPr="005454D7" w:rsidRDefault="009F4871" w:rsidP="002B05F5">
      <w:pPr>
        <w:keepNext/>
        <w:keepLines/>
        <w:jc w:val="left"/>
      </w:pPr>
      <w:r>
        <w:t>(povezano s priporočilom 1.4)</w:t>
      </w:r>
    </w:p>
    <w:p w14:paraId="2D6AEDE5" w14:textId="77777777" w:rsidR="00846A62" w:rsidRPr="005454D7" w:rsidRDefault="00846A62" w:rsidP="002B05F5">
      <w:pPr>
        <w:keepNext/>
        <w:keepLines/>
        <w:jc w:val="left"/>
        <w:rPr>
          <w:lang w:val="en-GB"/>
        </w:rPr>
      </w:pPr>
    </w:p>
    <w:tbl>
      <w:tblPr>
        <w:tblW w:w="0" w:type="auto"/>
        <w:tblBorders>
          <w:top w:val="outset" w:sz="6" w:space="0" w:color="auto"/>
          <w:left w:val="outset" w:sz="6" w:space="0" w:color="auto"/>
          <w:bottom w:val="outset" w:sz="6" w:space="0" w:color="auto"/>
          <w:right w:val="outset" w:sz="6" w:space="0" w:color="auto"/>
        </w:tblBorders>
        <w:tblLayout w:type="fixed"/>
        <w:tblCellMar>
          <w:left w:w="57" w:type="dxa"/>
          <w:right w:w="57" w:type="dxa"/>
        </w:tblCellMar>
        <w:tblLook w:val="04A0" w:firstRow="1" w:lastRow="0" w:firstColumn="1" w:lastColumn="0" w:noHBand="0" w:noVBand="1"/>
      </w:tblPr>
      <w:tblGrid>
        <w:gridCol w:w="4529"/>
        <w:gridCol w:w="4528"/>
      </w:tblGrid>
      <w:tr w:rsidR="009223A1" w:rsidRPr="00920854" w14:paraId="5C51CFA3" w14:textId="77777777" w:rsidTr="00CE7241">
        <w:trPr>
          <w:trHeight w:val="300"/>
        </w:trPr>
        <w:tc>
          <w:tcPr>
            <w:tcW w:w="4529" w:type="dxa"/>
            <w:tcBorders>
              <w:top w:val="single" w:sz="2" w:space="0" w:color="auto"/>
              <w:left w:val="single" w:sz="2" w:space="0" w:color="auto"/>
              <w:bottom w:val="single" w:sz="2" w:space="0" w:color="auto"/>
              <w:right w:val="single" w:sz="2" w:space="0" w:color="auto"/>
            </w:tcBorders>
            <w:hideMark/>
          </w:tcPr>
          <w:p w14:paraId="159B4662" w14:textId="77777777" w:rsidR="009223A1" w:rsidRPr="005454D7" w:rsidRDefault="009223A1" w:rsidP="002B05F5">
            <w:pPr>
              <w:keepNext/>
              <w:keepLines/>
              <w:jc w:val="center"/>
              <w:rPr>
                <w:strike/>
              </w:rPr>
            </w:pPr>
            <w:r>
              <w:rPr>
                <w:b/>
              </w:rPr>
              <w:t>Predlog Komisije</w:t>
            </w:r>
          </w:p>
        </w:tc>
        <w:tc>
          <w:tcPr>
            <w:tcW w:w="4528" w:type="dxa"/>
            <w:tcBorders>
              <w:top w:val="single" w:sz="2" w:space="0" w:color="auto"/>
              <w:left w:val="single" w:sz="2" w:space="0" w:color="auto"/>
              <w:bottom w:val="single" w:sz="2" w:space="0" w:color="auto"/>
              <w:right w:val="single" w:sz="2" w:space="0" w:color="auto"/>
            </w:tcBorders>
            <w:hideMark/>
          </w:tcPr>
          <w:p w14:paraId="00E7EBE8" w14:textId="015941A3" w:rsidR="009223A1" w:rsidRPr="005454D7" w:rsidRDefault="00A06639" w:rsidP="002B05F5">
            <w:pPr>
              <w:keepNext/>
              <w:keepLines/>
              <w:jc w:val="center"/>
            </w:pPr>
            <w:r>
              <w:rPr>
                <w:b/>
              </w:rPr>
              <w:t>Predlog spremembe EESO</w:t>
            </w:r>
          </w:p>
        </w:tc>
      </w:tr>
      <w:tr w:rsidR="009223A1" w:rsidRPr="00920854" w14:paraId="75DA0656" w14:textId="77777777" w:rsidTr="00CE7241">
        <w:trPr>
          <w:trHeight w:val="300"/>
        </w:trPr>
        <w:tc>
          <w:tcPr>
            <w:tcW w:w="4529" w:type="dxa"/>
            <w:tcBorders>
              <w:top w:val="single" w:sz="2" w:space="0" w:color="auto"/>
              <w:left w:val="single" w:sz="6" w:space="0" w:color="auto"/>
              <w:bottom w:val="single" w:sz="6" w:space="0" w:color="auto"/>
              <w:right w:val="single" w:sz="6" w:space="0" w:color="auto"/>
            </w:tcBorders>
            <w:hideMark/>
          </w:tcPr>
          <w:p w14:paraId="49978E6F" w14:textId="03B00090" w:rsidR="009223A1" w:rsidRPr="005454D7" w:rsidRDefault="00C23AC3" w:rsidP="002B05F5">
            <w:pPr>
              <w:keepNext/>
              <w:keepLines/>
            </w:pPr>
            <w:r>
              <w:t>od leta 2036 se v zvezi z morebitnim omejenim prispevkom k cilju za leto 2040 z uporabo visokokakovostnih mednarodnih dobropisov v skladu s členom 6 Pariškega sporazuma v višini 3 % neto emisij EU iz leta 1990, s čimer se podpirajo EU in tretje države pri doseganju krivulj neto zmanjševanja emisij toplogrednih plinov, združljivih s ciljem Pariškega sporazuma, da se zadrži zvišanje povprečne svetovne temperature precej pod 2 °C in da se nadaljujejo prizadevanja za omejitev dviga temperature na 1,5 °C glede na predindustrijske ravni, šteje, da se izvor, merila kakovosti in drugi pogoji glede pridobitve in uporabe takih dobropisov urejajo s pravom Unije;</w:t>
            </w:r>
          </w:p>
        </w:tc>
        <w:tc>
          <w:tcPr>
            <w:tcW w:w="4528" w:type="dxa"/>
            <w:tcBorders>
              <w:top w:val="single" w:sz="2" w:space="0" w:color="auto"/>
              <w:left w:val="single" w:sz="6" w:space="0" w:color="auto"/>
              <w:bottom w:val="single" w:sz="6" w:space="0" w:color="auto"/>
              <w:right w:val="single" w:sz="6" w:space="0" w:color="auto"/>
            </w:tcBorders>
            <w:hideMark/>
          </w:tcPr>
          <w:p w14:paraId="5640250B" w14:textId="4D066AFB" w:rsidR="009223A1" w:rsidRPr="005454D7" w:rsidRDefault="005C3059" w:rsidP="002B05F5">
            <w:pPr>
              <w:keepNext/>
              <w:keepLines/>
            </w:pPr>
            <w:r>
              <w:t>od leta 2036</w:t>
            </w:r>
            <w:r>
              <w:rPr>
                <w:b/>
                <w:i/>
              </w:rPr>
              <w:t>, oziroma od leta 2031 za dobropise iz držav kandidatk EU v aktivnih pridružitvenih pogajanjih,</w:t>
            </w:r>
            <w:r>
              <w:t xml:space="preserve"> se v zvezi z morebitnim omejenim prispevkom, ki ga ni mogoče uporabiti za izpolnjevanje zahtev EU ETS, k cilju za leto 2040 z uporabo visokokakovostnih mednarodnih dobropisov v skladu s členom 6 Pariškega sporazuma v višini 3 % neto emisij EU iz leta 1990, s čimer se podpirajo EU in tretje države pri doseganju krivulj neto zmanjševanja emisij toplogrednih plinov, združljivih s ciljem Pariškega sporazuma, da se zadrži zvišanje povprečne svetovne temperature precej pod 2 °C in da se nadaljujejo prizadevanja za omejitev dviga temperature na 1,5 °C glede na predindustrijske ravni, šteje, da se izvor, merila kakovosti in drugi pogoji glede pridobitve in uporabe takih dobropisov urejajo s pravom Unije;</w:t>
            </w:r>
          </w:p>
        </w:tc>
      </w:tr>
    </w:tbl>
    <w:p w14:paraId="23FF9F56" w14:textId="77777777" w:rsidR="009223A1" w:rsidRPr="005454D7" w:rsidRDefault="009223A1" w:rsidP="00D95AE9">
      <w:pPr>
        <w:jc w:val="center"/>
        <w:rPr>
          <w:lang w:val="en-GB"/>
        </w:rPr>
      </w:pPr>
    </w:p>
    <w:tbl>
      <w:tblPr>
        <w:tblW w:w="0" w:type="auto"/>
        <w:tblBorders>
          <w:top w:val="outset" w:sz="6" w:space="0" w:color="auto"/>
          <w:left w:val="outset" w:sz="6" w:space="0" w:color="auto"/>
          <w:bottom w:val="outset" w:sz="6" w:space="0" w:color="auto"/>
          <w:right w:val="outset" w:sz="6" w:space="0" w:color="auto"/>
        </w:tblBorders>
        <w:tblLayout w:type="fixed"/>
        <w:tblCellMar>
          <w:left w:w="57" w:type="dxa"/>
          <w:right w:w="57" w:type="dxa"/>
        </w:tblCellMar>
        <w:tblLook w:val="04A0" w:firstRow="1" w:lastRow="0" w:firstColumn="1" w:lastColumn="0" w:noHBand="0" w:noVBand="1"/>
      </w:tblPr>
      <w:tblGrid>
        <w:gridCol w:w="9057"/>
      </w:tblGrid>
      <w:tr w:rsidR="00511018" w:rsidRPr="00920854" w14:paraId="7A088ADC" w14:textId="77777777" w:rsidTr="00CE7241">
        <w:trPr>
          <w:trHeight w:val="300"/>
        </w:trPr>
        <w:tc>
          <w:tcPr>
            <w:tcW w:w="9057" w:type="dxa"/>
            <w:tcBorders>
              <w:top w:val="single" w:sz="2" w:space="0" w:color="auto"/>
              <w:left w:val="single" w:sz="2" w:space="0" w:color="auto"/>
              <w:bottom w:val="single" w:sz="2" w:space="0" w:color="auto"/>
              <w:right w:val="single" w:sz="2" w:space="0" w:color="auto"/>
            </w:tcBorders>
            <w:hideMark/>
          </w:tcPr>
          <w:p w14:paraId="0F7797D5" w14:textId="77777777" w:rsidR="00511018" w:rsidRPr="005454D7" w:rsidRDefault="00511018" w:rsidP="00D95AE9">
            <w:pPr>
              <w:keepNext/>
              <w:keepLines/>
              <w:jc w:val="center"/>
            </w:pPr>
            <w:r>
              <w:rPr>
                <w:b/>
              </w:rPr>
              <w:t>Obrazložitev</w:t>
            </w:r>
          </w:p>
        </w:tc>
      </w:tr>
      <w:tr w:rsidR="00511018" w:rsidRPr="00920854" w14:paraId="6247CE14" w14:textId="77777777" w:rsidTr="00CE7241">
        <w:trPr>
          <w:trHeight w:val="300"/>
        </w:trPr>
        <w:tc>
          <w:tcPr>
            <w:tcW w:w="9057" w:type="dxa"/>
            <w:tcBorders>
              <w:top w:val="single" w:sz="2" w:space="0" w:color="auto"/>
              <w:left w:val="single" w:sz="6" w:space="0" w:color="auto"/>
              <w:bottom w:val="single" w:sz="6" w:space="0" w:color="auto"/>
              <w:right w:val="single" w:sz="6" w:space="0" w:color="auto"/>
            </w:tcBorders>
            <w:hideMark/>
          </w:tcPr>
          <w:p w14:paraId="34C41AE0" w14:textId="4E064A0D" w:rsidR="00511018" w:rsidRPr="005454D7" w:rsidRDefault="003C6B68" w:rsidP="00D95AE9">
            <w:r>
              <w:t>Podana v poglavjih Širitev EU in podnebni cilj za leto 2040 ter Mednarodni dobropisi kot del cilja za leto 2040 in podnebne politike EU.</w:t>
            </w:r>
          </w:p>
        </w:tc>
      </w:tr>
    </w:tbl>
    <w:p w14:paraId="215A3363" w14:textId="4D3CE59A" w:rsidR="00EF236E" w:rsidRPr="005454D7" w:rsidRDefault="00EF236E" w:rsidP="00D95AE9">
      <w:pPr>
        <w:jc w:val="left"/>
        <w:rPr>
          <w:lang w:val="en-GB"/>
        </w:rPr>
      </w:pPr>
    </w:p>
    <w:p w14:paraId="1F817EC3" w14:textId="0D6AE7A9" w:rsidR="009C06B8" w:rsidRPr="005454D7" w:rsidRDefault="009C06B8" w:rsidP="00D95AE9">
      <w:pPr>
        <w:pStyle w:val="Heading2"/>
        <w:keepNext/>
        <w:keepLines/>
        <w:numPr>
          <w:ilvl w:val="0"/>
          <w:numId w:val="0"/>
        </w:numPr>
        <w:rPr>
          <w:b/>
          <w:bCs/>
        </w:rPr>
      </w:pPr>
      <w:r>
        <w:rPr>
          <w:b/>
        </w:rPr>
        <w:t>Predlog spremembe 2</w:t>
      </w:r>
    </w:p>
    <w:p w14:paraId="45E8D23C" w14:textId="77777777" w:rsidR="009C06B8" w:rsidRPr="005454D7" w:rsidRDefault="009C06B8" w:rsidP="00D95AE9">
      <w:pPr>
        <w:keepNext/>
        <w:keepLines/>
        <w:jc w:val="left"/>
      </w:pPr>
      <w:r>
        <w:t>(povezano s priporočilom 1.4)</w:t>
      </w:r>
    </w:p>
    <w:p w14:paraId="110B03F5" w14:textId="77777777" w:rsidR="009C06B8" w:rsidRPr="005454D7" w:rsidRDefault="009C06B8" w:rsidP="00D95AE9">
      <w:pPr>
        <w:keepNext/>
        <w:keepLines/>
        <w:jc w:val="left"/>
        <w:rPr>
          <w:lang w:val="en-GB"/>
        </w:rPr>
      </w:pPr>
    </w:p>
    <w:tbl>
      <w:tblPr>
        <w:tblW w:w="0" w:type="auto"/>
        <w:tblBorders>
          <w:top w:val="outset" w:sz="6" w:space="0" w:color="auto"/>
          <w:left w:val="outset" w:sz="6" w:space="0" w:color="auto"/>
          <w:bottom w:val="outset" w:sz="6" w:space="0" w:color="auto"/>
          <w:right w:val="outset" w:sz="6" w:space="0" w:color="auto"/>
        </w:tblBorders>
        <w:tblLayout w:type="fixed"/>
        <w:tblCellMar>
          <w:left w:w="57" w:type="dxa"/>
          <w:right w:w="57" w:type="dxa"/>
        </w:tblCellMar>
        <w:tblLook w:val="04A0" w:firstRow="1" w:lastRow="0" w:firstColumn="1" w:lastColumn="0" w:noHBand="0" w:noVBand="1"/>
      </w:tblPr>
      <w:tblGrid>
        <w:gridCol w:w="4529"/>
        <w:gridCol w:w="4528"/>
      </w:tblGrid>
      <w:tr w:rsidR="009C06B8" w:rsidRPr="00920854" w14:paraId="159AC0D4" w14:textId="77777777" w:rsidTr="003F699A">
        <w:trPr>
          <w:trHeight w:val="300"/>
        </w:trPr>
        <w:tc>
          <w:tcPr>
            <w:tcW w:w="4529" w:type="dxa"/>
            <w:tcBorders>
              <w:top w:val="single" w:sz="2" w:space="0" w:color="auto"/>
              <w:left w:val="single" w:sz="2" w:space="0" w:color="auto"/>
              <w:bottom w:val="single" w:sz="2" w:space="0" w:color="auto"/>
              <w:right w:val="single" w:sz="2" w:space="0" w:color="auto"/>
            </w:tcBorders>
            <w:hideMark/>
          </w:tcPr>
          <w:p w14:paraId="6EA38E4A" w14:textId="77777777" w:rsidR="009C06B8" w:rsidRPr="005454D7" w:rsidRDefault="009C06B8" w:rsidP="00D95AE9">
            <w:pPr>
              <w:jc w:val="center"/>
              <w:rPr>
                <w:strike/>
              </w:rPr>
            </w:pPr>
            <w:r>
              <w:rPr>
                <w:b/>
              </w:rPr>
              <w:t>Predlog Komisije</w:t>
            </w:r>
          </w:p>
        </w:tc>
        <w:tc>
          <w:tcPr>
            <w:tcW w:w="4528" w:type="dxa"/>
            <w:tcBorders>
              <w:top w:val="single" w:sz="2" w:space="0" w:color="auto"/>
              <w:left w:val="single" w:sz="2" w:space="0" w:color="auto"/>
              <w:bottom w:val="single" w:sz="2" w:space="0" w:color="auto"/>
              <w:right w:val="single" w:sz="2" w:space="0" w:color="auto"/>
            </w:tcBorders>
            <w:hideMark/>
          </w:tcPr>
          <w:p w14:paraId="1396A73E" w14:textId="77777777" w:rsidR="009C06B8" w:rsidRPr="005454D7" w:rsidRDefault="009C06B8" w:rsidP="00D95AE9">
            <w:pPr>
              <w:jc w:val="center"/>
            </w:pPr>
            <w:r>
              <w:rPr>
                <w:b/>
              </w:rPr>
              <w:t>Predlog spremembe EESO</w:t>
            </w:r>
          </w:p>
        </w:tc>
      </w:tr>
      <w:tr w:rsidR="009C06B8" w:rsidRPr="00920854" w14:paraId="7A062927" w14:textId="77777777" w:rsidTr="003F699A">
        <w:trPr>
          <w:trHeight w:val="300"/>
        </w:trPr>
        <w:tc>
          <w:tcPr>
            <w:tcW w:w="4529" w:type="dxa"/>
            <w:tcBorders>
              <w:top w:val="single" w:sz="2" w:space="0" w:color="auto"/>
              <w:left w:val="single" w:sz="6" w:space="0" w:color="auto"/>
              <w:bottom w:val="single" w:sz="6" w:space="0" w:color="auto"/>
              <w:right w:val="single" w:sz="6" w:space="0" w:color="auto"/>
            </w:tcBorders>
            <w:hideMark/>
          </w:tcPr>
          <w:p w14:paraId="6CE44D8B" w14:textId="0A42F847" w:rsidR="009C06B8" w:rsidRPr="005454D7" w:rsidRDefault="009C06B8" w:rsidP="00D95AE9">
            <w:r>
              <w:t xml:space="preserve">od leta 2036 se v zvezi z morebitnim omejenim prispevkom k cilju za leto 2040 z uporabo visokokakovostnih mednarodnih dobropisov v skladu s členom 6 Pariškega sporazuma v višini 3 % neto emisij EU iz leta 1990, s čimer se podpirajo EU in tretje države pri doseganju krivulj neto zmanjševanja emisij toplogrednih plinov, združljivih s ciljem Pariškega sporazuma, da se zadrži zvišanje povprečne svetovne temperature precej pod 2 °C in da se nadaljujejo prizadevanja za omejitev dviga temperature na 1,5 °C glede na predindustrijske ravni, šteje, da se izvor, merila </w:t>
            </w:r>
            <w:r>
              <w:lastRenderedPageBreak/>
              <w:t>kakovosti in drugi pogoji glede pridobitve in uporabe takih dobropisov urejajo s pravom Unije;</w:t>
            </w:r>
          </w:p>
        </w:tc>
        <w:tc>
          <w:tcPr>
            <w:tcW w:w="4528" w:type="dxa"/>
            <w:tcBorders>
              <w:top w:val="single" w:sz="2" w:space="0" w:color="auto"/>
              <w:left w:val="single" w:sz="6" w:space="0" w:color="auto"/>
              <w:bottom w:val="single" w:sz="6" w:space="0" w:color="auto"/>
              <w:right w:val="single" w:sz="6" w:space="0" w:color="auto"/>
            </w:tcBorders>
            <w:hideMark/>
          </w:tcPr>
          <w:p w14:paraId="0D7FC71C" w14:textId="463B6E25" w:rsidR="009C06B8" w:rsidRPr="005454D7" w:rsidRDefault="009C06B8" w:rsidP="00D95AE9">
            <w:r>
              <w:lastRenderedPageBreak/>
              <w:t>od leta 2036 se v zvezi z morebitnim omejenim prispevkom</w:t>
            </w:r>
            <w:r>
              <w:rPr>
                <w:b/>
                <w:i/>
              </w:rPr>
              <w:t>, ki ga ni mogoče uporabiti za izpolnjevanje zahtev EU ETS,</w:t>
            </w:r>
            <w:r>
              <w:t xml:space="preserve"> k cilju za leto 2040 z uporabo visokokakovostnih mednarodnih dobropisov v skladu s členom 6 Pariškega sporazuma v višini 3 % neto emisij EU iz leta 1990, s čimer se podpirajo EU in tretje države pri doseganju krivulj neto zmanjševanja emisij toplogrednih plinov, združljivih s ciljem Pariškega sporazuma, da se zadrži zvišanje povprečne svetovne temperature precej pod 2 °C in da se nadaljujejo prizadevanja za omejitev dviga </w:t>
            </w:r>
            <w:r>
              <w:lastRenderedPageBreak/>
              <w:t>temperature na 1,5 °C glede na predindustrijske ravni, šteje, da se izvor, merila kakovosti,</w:t>
            </w:r>
            <w:r>
              <w:rPr>
                <w:b/>
                <w:i/>
              </w:rPr>
              <w:t xml:space="preserve"> spremljanje, poročanje, preglednost in odgovornost</w:t>
            </w:r>
            <w:r>
              <w:t xml:space="preserve"> in drugi pogoji glede pridobitve in uporabe takih dobropisov urejajo s pravom Unije;</w:t>
            </w:r>
          </w:p>
        </w:tc>
      </w:tr>
    </w:tbl>
    <w:p w14:paraId="5965AEE8" w14:textId="77777777" w:rsidR="009C06B8" w:rsidRPr="005454D7" w:rsidRDefault="009C06B8" w:rsidP="00D95AE9">
      <w:pPr>
        <w:jc w:val="center"/>
        <w:rPr>
          <w:lang w:val="en-GB"/>
        </w:rPr>
      </w:pPr>
    </w:p>
    <w:tbl>
      <w:tblPr>
        <w:tblW w:w="0" w:type="auto"/>
        <w:tblBorders>
          <w:top w:val="outset" w:sz="6" w:space="0" w:color="auto"/>
          <w:left w:val="outset" w:sz="6" w:space="0" w:color="auto"/>
          <w:bottom w:val="outset" w:sz="6" w:space="0" w:color="auto"/>
          <w:right w:val="outset" w:sz="6" w:space="0" w:color="auto"/>
        </w:tblBorders>
        <w:tblLayout w:type="fixed"/>
        <w:tblCellMar>
          <w:left w:w="57" w:type="dxa"/>
          <w:right w:w="57" w:type="dxa"/>
        </w:tblCellMar>
        <w:tblLook w:val="04A0" w:firstRow="1" w:lastRow="0" w:firstColumn="1" w:lastColumn="0" w:noHBand="0" w:noVBand="1"/>
      </w:tblPr>
      <w:tblGrid>
        <w:gridCol w:w="9057"/>
      </w:tblGrid>
      <w:tr w:rsidR="009C06B8" w:rsidRPr="00920854" w14:paraId="25564A4F" w14:textId="77777777" w:rsidTr="003F699A">
        <w:trPr>
          <w:trHeight w:val="300"/>
        </w:trPr>
        <w:tc>
          <w:tcPr>
            <w:tcW w:w="9057" w:type="dxa"/>
            <w:tcBorders>
              <w:top w:val="single" w:sz="2" w:space="0" w:color="auto"/>
              <w:left w:val="single" w:sz="2" w:space="0" w:color="auto"/>
              <w:bottom w:val="single" w:sz="2" w:space="0" w:color="auto"/>
              <w:right w:val="single" w:sz="2" w:space="0" w:color="auto"/>
            </w:tcBorders>
            <w:hideMark/>
          </w:tcPr>
          <w:p w14:paraId="2CF3F04B" w14:textId="77777777" w:rsidR="009C06B8" w:rsidRPr="005454D7" w:rsidRDefault="009C06B8" w:rsidP="00D95AE9">
            <w:pPr>
              <w:keepNext/>
              <w:keepLines/>
              <w:jc w:val="center"/>
            </w:pPr>
            <w:r>
              <w:rPr>
                <w:b/>
              </w:rPr>
              <w:t>Obrazložitev</w:t>
            </w:r>
          </w:p>
        </w:tc>
      </w:tr>
      <w:tr w:rsidR="009C06B8" w:rsidRPr="00920854" w14:paraId="564B6472" w14:textId="77777777" w:rsidTr="003F699A">
        <w:trPr>
          <w:trHeight w:val="300"/>
        </w:trPr>
        <w:tc>
          <w:tcPr>
            <w:tcW w:w="9057" w:type="dxa"/>
            <w:tcBorders>
              <w:top w:val="single" w:sz="2" w:space="0" w:color="auto"/>
              <w:left w:val="single" w:sz="6" w:space="0" w:color="auto"/>
              <w:bottom w:val="single" w:sz="6" w:space="0" w:color="auto"/>
              <w:right w:val="single" w:sz="6" w:space="0" w:color="auto"/>
            </w:tcBorders>
            <w:hideMark/>
          </w:tcPr>
          <w:p w14:paraId="7A6D831A" w14:textId="77777777" w:rsidR="009C06B8" w:rsidRPr="005454D7" w:rsidRDefault="009C06B8" w:rsidP="00D95AE9">
            <w:r>
              <w:t>Podana v poglavjih Širitev EU in podnebni cilj za leto 2040 ter Mednarodni dobropisi kot del cilja za leto 2040 in podnebne politike EU.</w:t>
            </w:r>
          </w:p>
        </w:tc>
      </w:tr>
    </w:tbl>
    <w:p w14:paraId="73084665" w14:textId="77777777" w:rsidR="009C06B8" w:rsidRPr="005454D7" w:rsidRDefault="009C06B8" w:rsidP="00D95AE9">
      <w:pPr>
        <w:jc w:val="left"/>
        <w:rPr>
          <w:lang w:val="en-GB"/>
        </w:rPr>
      </w:pPr>
    </w:p>
    <w:p w14:paraId="55741051" w14:textId="70FD5DAD" w:rsidR="00FF12D9" w:rsidRPr="005454D7" w:rsidRDefault="00DF3C65" w:rsidP="00D95AE9">
      <w:pPr>
        <w:pStyle w:val="Heading2"/>
        <w:numPr>
          <w:ilvl w:val="0"/>
          <w:numId w:val="0"/>
        </w:numPr>
        <w:rPr>
          <w:b/>
          <w:bCs/>
        </w:rPr>
      </w:pPr>
      <w:r>
        <w:rPr>
          <w:b/>
        </w:rPr>
        <w:t>Predlog spremembe 3</w:t>
      </w:r>
    </w:p>
    <w:p w14:paraId="6085BE5B" w14:textId="1421C9EB" w:rsidR="00EF236E" w:rsidRPr="005454D7" w:rsidRDefault="009F4871" w:rsidP="00D95AE9">
      <w:pPr>
        <w:keepNext/>
        <w:keepLines/>
        <w:jc w:val="left"/>
      </w:pPr>
      <w:r>
        <w:t>(povezano s priporočilom 1.8)</w:t>
      </w:r>
    </w:p>
    <w:p w14:paraId="2654556D" w14:textId="77777777" w:rsidR="00846A62" w:rsidRPr="005454D7" w:rsidRDefault="00846A62" w:rsidP="00D95AE9">
      <w:pPr>
        <w:keepNext/>
        <w:keepLines/>
        <w:jc w:val="left"/>
        <w:rPr>
          <w:lang w:val="en-GB"/>
        </w:rPr>
      </w:pPr>
    </w:p>
    <w:tbl>
      <w:tblPr>
        <w:tblW w:w="0" w:type="auto"/>
        <w:tblBorders>
          <w:top w:val="outset" w:sz="6" w:space="0" w:color="auto"/>
          <w:left w:val="outset" w:sz="6" w:space="0" w:color="auto"/>
          <w:bottom w:val="outset" w:sz="6" w:space="0" w:color="auto"/>
          <w:right w:val="outset" w:sz="6" w:space="0" w:color="auto"/>
        </w:tblBorders>
        <w:tblLayout w:type="fixed"/>
        <w:tblCellMar>
          <w:left w:w="57" w:type="dxa"/>
          <w:right w:w="57" w:type="dxa"/>
        </w:tblCellMar>
        <w:tblLook w:val="04A0" w:firstRow="1" w:lastRow="0" w:firstColumn="1" w:lastColumn="0" w:noHBand="0" w:noVBand="1"/>
      </w:tblPr>
      <w:tblGrid>
        <w:gridCol w:w="4529"/>
        <w:gridCol w:w="4528"/>
      </w:tblGrid>
      <w:tr w:rsidR="00EF236E" w:rsidRPr="00920854" w14:paraId="7D8F4654" w14:textId="77777777" w:rsidTr="00CE7241">
        <w:trPr>
          <w:trHeight w:val="300"/>
        </w:trPr>
        <w:tc>
          <w:tcPr>
            <w:tcW w:w="4529" w:type="dxa"/>
            <w:tcBorders>
              <w:top w:val="single" w:sz="2" w:space="0" w:color="auto"/>
              <w:left w:val="single" w:sz="2" w:space="0" w:color="auto"/>
              <w:bottom w:val="single" w:sz="2" w:space="0" w:color="auto"/>
              <w:right w:val="single" w:sz="2" w:space="0" w:color="auto"/>
            </w:tcBorders>
            <w:hideMark/>
          </w:tcPr>
          <w:p w14:paraId="2EB7529A" w14:textId="4C10AAE8" w:rsidR="003D329F" w:rsidRPr="005454D7" w:rsidRDefault="00EF236E" w:rsidP="00D95AE9">
            <w:pPr>
              <w:jc w:val="center"/>
              <w:rPr>
                <w:strike/>
              </w:rPr>
            </w:pPr>
            <w:r>
              <w:rPr>
                <w:b/>
              </w:rPr>
              <w:t>Predlog Komisije</w:t>
            </w:r>
          </w:p>
        </w:tc>
        <w:tc>
          <w:tcPr>
            <w:tcW w:w="4528" w:type="dxa"/>
            <w:tcBorders>
              <w:top w:val="single" w:sz="2" w:space="0" w:color="auto"/>
              <w:left w:val="single" w:sz="2" w:space="0" w:color="auto"/>
              <w:bottom w:val="single" w:sz="2" w:space="0" w:color="auto"/>
              <w:right w:val="single" w:sz="2" w:space="0" w:color="auto"/>
            </w:tcBorders>
            <w:hideMark/>
          </w:tcPr>
          <w:p w14:paraId="49E8A859" w14:textId="3C7461DD" w:rsidR="00EF236E" w:rsidRPr="005454D7" w:rsidRDefault="003D329F" w:rsidP="00D95AE9">
            <w:pPr>
              <w:jc w:val="center"/>
            </w:pPr>
            <w:r>
              <w:rPr>
                <w:b/>
              </w:rPr>
              <w:t>Predlog spremembe EESO</w:t>
            </w:r>
          </w:p>
        </w:tc>
      </w:tr>
      <w:tr w:rsidR="00EF236E" w:rsidRPr="00920854" w14:paraId="7979CABA" w14:textId="77777777" w:rsidTr="00CE7241">
        <w:trPr>
          <w:trHeight w:val="300"/>
        </w:trPr>
        <w:tc>
          <w:tcPr>
            <w:tcW w:w="4529" w:type="dxa"/>
            <w:tcBorders>
              <w:top w:val="single" w:sz="2" w:space="0" w:color="auto"/>
              <w:left w:val="single" w:sz="6" w:space="0" w:color="auto"/>
              <w:bottom w:val="single" w:sz="6" w:space="0" w:color="auto"/>
              <w:right w:val="single" w:sz="6" w:space="0" w:color="auto"/>
            </w:tcBorders>
            <w:hideMark/>
          </w:tcPr>
          <w:p w14:paraId="7C8A0936" w14:textId="7692CD93" w:rsidR="00EF236E" w:rsidRPr="005454D7" w:rsidRDefault="00BA4BEF" w:rsidP="00D95AE9">
            <w:r>
              <w:t xml:space="preserve">(j) podnebni ukrepi kot gibalo naložb </w:t>
            </w:r>
            <w:r>
              <w:rPr>
                <w:b/>
                <w:i/>
              </w:rPr>
              <w:t>in</w:t>
            </w:r>
            <w:r>
              <w:t xml:space="preserve"> inovacij;</w:t>
            </w:r>
          </w:p>
        </w:tc>
        <w:tc>
          <w:tcPr>
            <w:tcW w:w="4528" w:type="dxa"/>
            <w:tcBorders>
              <w:top w:val="single" w:sz="2" w:space="0" w:color="auto"/>
              <w:left w:val="single" w:sz="6" w:space="0" w:color="auto"/>
              <w:bottom w:val="single" w:sz="6" w:space="0" w:color="auto"/>
              <w:right w:val="single" w:sz="6" w:space="0" w:color="auto"/>
            </w:tcBorders>
            <w:hideMark/>
          </w:tcPr>
          <w:p w14:paraId="569050D4" w14:textId="26CA4A3B" w:rsidR="00EF236E" w:rsidRPr="005454D7" w:rsidRDefault="005F0A54" w:rsidP="00D95AE9">
            <w:r>
              <w:t>(j) podnebni ukrepi kot gibalo naložb</w:t>
            </w:r>
            <w:r>
              <w:rPr>
                <w:b/>
              </w:rPr>
              <w:t>,</w:t>
            </w:r>
            <w:r>
              <w:t xml:space="preserve"> inovacij</w:t>
            </w:r>
            <w:r>
              <w:rPr>
                <w:b/>
                <w:i/>
              </w:rPr>
              <w:t xml:space="preserve"> ter izvoza čistih tehnologij in rešitev</w:t>
            </w:r>
            <w:r>
              <w:t>;</w:t>
            </w:r>
          </w:p>
        </w:tc>
      </w:tr>
    </w:tbl>
    <w:p w14:paraId="5063291F" w14:textId="29F3762B" w:rsidR="00EF236E" w:rsidRPr="005454D7" w:rsidRDefault="00EF236E" w:rsidP="00D95AE9">
      <w:pPr>
        <w:jc w:val="center"/>
        <w:rPr>
          <w:lang w:val="en-GB"/>
        </w:rPr>
      </w:pPr>
    </w:p>
    <w:tbl>
      <w:tblPr>
        <w:tblW w:w="0" w:type="auto"/>
        <w:tblBorders>
          <w:top w:val="outset" w:sz="6" w:space="0" w:color="auto"/>
          <w:left w:val="outset" w:sz="6" w:space="0" w:color="auto"/>
          <w:bottom w:val="outset" w:sz="6" w:space="0" w:color="auto"/>
          <w:right w:val="outset" w:sz="6" w:space="0" w:color="auto"/>
        </w:tblBorders>
        <w:tblLayout w:type="fixed"/>
        <w:tblCellMar>
          <w:left w:w="57" w:type="dxa"/>
          <w:right w:w="57" w:type="dxa"/>
        </w:tblCellMar>
        <w:tblLook w:val="04A0" w:firstRow="1" w:lastRow="0" w:firstColumn="1" w:lastColumn="0" w:noHBand="0" w:noVBand="1"/>
      </w:tblPr>
      <w:tblGrid>
        <w:gridCol w:w="9057"/>
      </w:tblGrid>
      <w:tr w:rsidR="00EF236E" w:rsidRPr="00920854" w14:paraId="7394090C" w14:textId="77777777" w:rsidTr="00CE7241">
        <w:trPr>
          <w:trHeight w:val="300"/>
        </w:trPr>
        <w:tc>
          <w:tcPr>
            <w:tcW w:w="9057" w:type="dxa"/>
            <w:tcBorders>
              <w:top w:val="single" w:sz="2" w:space="0" w:color="auto"/>
              <w:left w:val="single" w:sz="2" w:space="0" w:color="auto"/>
              <w:bottom w:val="single" w:sz="2" w:space="0" w:color="auto"/>
              <w:right w:val="single" w:sz="2" w:space="0" w:color="auto"/>
            </w:tcBorders>
            <w:hideMark/>
          </w:tcPr>
          <w:p w14:paraId="072D654E" w14:textId="496DB0B6" w:rsidR="00EF236E" w:rsidRPr="005454D7" w:rsidRDefault="00EF236E" w:rsidP="00D95AE9">
            <w:pPr>
              <w:keepNext/>
              <w:keepLines/>
              <w:jc w:val="center"/>
              <w:divId w:val="1334838238"/>
            </w:pPr>
            <w:r>
              <w:rPr>
                <w:b/>
              </w:rPr>
              <w:t>Obrazložitev</w:t>
            </w:r>
          </w:p>
        </w:tc>
      </w:tr>
      <w:tr w:rsidR="00EF236E" w:rsidRPr="00920854" w14:paraId="5E77836D" w14:textId="77777777" w:rsidTr="00CE7241">
        <w:trPr>
          <w:trHeight w:val="300"/>
        </w:trPr>
        <w:tc>
          <w:tcPr>
            <w:tcW w:w="9057" w:type="dxa"/>
            <w:tcBorders>
              <w:top w:val="single" w:sz="2" w:space="0" w:color="auto"/>
              <w:left w:val="single" w:sz="6" w:space="0" w:color="auto"/>
              <w:bottom w:val="single" w:sz="6" w:space="0" w:color="auto"/>
              <w:right w:val="single" w:sz="6" w:space="0" w:color="auto"/>
            </w:tcBorders>
            <w:hideMark/>
          </w:tcPr>
          <w:p w14:paraId="112BF58B" w14:textId="4A9CE03A" w:rsidR="00EF236E" w:rsidRPr="005454D7" w:rsidRDefault="003C6B68" w:rsidP="00D95AE9">
            <w:pPr>
              <w:keepNext/>
            </w:pPr>
            <w:r>
              <w:t>Podana v poglavju Omogočitvene politike za podnebni cilj za leto 2040.</w:t>
            </w:r>
          </w:p>
        </w:tc>
      </w:tr>
    </w:tbl>
    <w:p w14:paraId="29F9D3B3" w14:textId="6148C79E" w:rsidR="00EF236E" w:rsidRPr="005454D7" w:rsidRDefault="00EF236E" w:rsidP="00D95AE9">
      <w:pPr>
        <w:jc w:val="left"/>
        <w:rPr>
          <w:lang w:val="en-GB"/>
        </w:rPr>
      </w:pPr>
    </w:p>
    <w:p w14:paraId="0A70F070" w14:textId="42FFA6B1" w:rsidR="00FF12D9" w:rsidRPr="005454D7" w:rsidRDefault="004359DD" w:rsidP="00D95AE9">
      <w:pPr>
        <w:pStyle w:val="Heading2"/>
        <w:keepNext/>
        <w:keepLines/>
        <w:numPr>
          <w:ilvl w:val="0"/>
          <w:numId w:val="0"/>
        </w:numPr>
        <w:rPr>
          <w:b/>
          <w:bCs/>
        </w:rPr>
      </w:pPr>
      <w:r>
        <w:rPr>
          <w:b/>
        </w:rPr>
        <w:t>Predlog spremembe 4</w:t>
      </w:r>
    </w:p>
    <w:p w14:paraId="2EB14176" w14:textId="7F52FF36" w:rsidR="00EF236E" w:rsidRPr="005454D7" w:rsidRDefault="009F4871" w:rsidP="00D95AE9">
      <w:pPr>
        <w:keepNext/>
        <w:keepLines/>
        <w:jc w:val="left"/>
      </w:pPr>
      <w:r>
        <w:t>(povezano s priporočilom 1.9)</w:t>
      </w:r>
    </w:p>
    <w:p w14:paraId="2B74CCEE" w14:textId="77777777" w:rsidR="00846A62" w:rsidRPr="005454D7" w:rsidRDefault="00846A62" w:rsidP="00D95AE9">
      <w:pPr>
        <w:keepNext/>
        <w:keepLines/>
        <w:jc w:val="left"/>
        <w:rPr>
          <w:lang w:val="en-GB"/>
        </w:rPr>
      </w:pPr>
    </w:p>
    <w:tbl>
      <w:tblPr>
        <w:tblW w:w="0" w:type="auto"/>
        <w:tblBorders>
          <w:top w:val="outset" w:sz="6" w:space="0" w:color="auto"/>
          <w:left w:val="outset" w:sz="6" w:space="0" w:color="auto"/>
          <w:bottom w:val="outset" w:sz="6" w:space="0" w:color="auto"/>
          <w:right w:val="outset" w:sz="6" w:space="0" w:color="auto"/>
        </w:tblBorders>
        <w:tblLayout w:type="fixed"/>
        <w:tblCellMar>
          <w:left w:w="57" w:type="dxa"/>
          <w:right w:w="57" w:type="dxa"/>
        </w:tblCellMar>
        <w:tblLook w:val="04A0" w:firstRow="1" w:lastRow="0" w:firstColumn="1" w:lastColumn="0" w:noHBand="0" w:noVBand="1"/>
      </w:tblPr>
      <w:tblGrid>
        <w:gridCol w:w="4529"/>
        <w:gridCol w:w="4528"/>
      </w:tblGrid>
      <w:tr w:rsidR="00EF236E" w:rsidRPr="00920854" w14:paraId="2E93E501" w14:textId="77777777" w:rsidTr="00CE7241">
        <w:trPr>
          <w:trHeight w:val="300"/>
        </w:trPr>
        <w:tc>
          <w:tcPr>
            <w:tcW w:w="4529" w:type="dxa"/>
            <w:tcBorders>
              <w:top w:val="single" w:sz="2" w:space="0" w:color="auto"/>
              <w:left w:val="single" w:sz="2" w:space="0" w:color="auto"/>
              <w:bottom w:val="single" w:sz="2" w:space="0" w:color="auto"/>
              <w:right w:val="single" w:sz="2" w:space="0" w:color="auto"/>
            </w:tcBorders>
            <w:hideMark/>
          </w:tcPr>
          <w:p w14:paraId="7F51082F" w14:textId="36795CE6" w:rsidR="003D329F" w:rsidRPr="005454D7" w:rsidRDefault="00EF236E" w:rsidP="00D95AE9">
            <w:pPr>
              <w:jc w:val="center"/>
              <w:rPr>
                <w:strike/>
              </w:rPr>
            </w:pPr>
            <w:r>
              <w:rPr>
                <w:b/>
              </w:rPr>
              <w:t>Predlog Komisije</w:t>
            </w:r>
          </w:p>
        </w:tc>
        <w:tc>
          <w:tcPr>
            <w:tcW w:w="4528" w:type="dxa"/>
            <w:tcBorders>
              <w:top w:val="single" w:sz="2" w:space="0" w:color="auto"/>
              <w:left w:val="single" w:sz="2" w:space="0" w:color="auto"/>
              <w:bottom w:val="single" w:sz="2" w:space="0" w:color="auto"/>
              <w:right w:val="single" w:sz="2" w:space="0" w:color="auto"/>
            </w:tcBorders>
            <w:hideMark/>
          </w:tcPr>
          <w:p w14:paraId="62B400E9" w14:textId="2D34E0B1" w:rsidR="00EF236E" w:rsidRPr="005454D7" w:rsidRDefault="003D329F" w:rsidP="00D95AE9">
            <w:pPr>
              <w:jc w:val="center"/>
            </w:pPr>
            <w:r>
              <w:rPr>
                <w:b/>
              </w:rPr>
              <w:t>Predlog spremembe EESO</w:t>
            </w:r>
          </w:p>
        </w:tc>
      </w:tr>
      <w:tr w:rsidR="00EF236E" w:rsidRPr="00920854" w14:paraId="0A24EA1A" w14:textId="77777777" w:rsidTr="00CE7241">
        <w:trPr>
          <w:trHeight w:val="300"/>
        </w:trPr>
        <w:tc>
          <w:tcPr>
            <w:tcW w:w="4529" w:type="dxa"/>
            <w:tcBorders>
              <w:top w:val="single" w:sz="2" w:space="0" w:color="auto"/>
              <w:left w:val="single" w:sz="6" w:space="0" w:color="auto"/>
              <w:bottom w:val="single" w:sz="6" w:space="0" w:color="auto"/>
              <w:right w:val="single" w:sz="6" w:space="0" w:color="auto"/>
            </w:tcBorders>
            <w:hideMark/>
          </w:tcPr>
          <w:p w14:paraId="7AC52297" w14:textId="19253EED" w:rsidR="00EF236E" w:rsidRPr="005454D7" w:rsidRDefault="0050155D" w:rsidP="00D95AE9">
            <w:r>
              <w:rPr>
                <w:i/>
              </w:rPr>
              <w:t>V členu 1(5) se doda nova točka (x).</w:t>
            </w:r>
          </w:p>
        </w:tc>
        <w:tc>
          <w:tcPr>
            <w:tcW w:w="4528" w:type="dxa"/>
            <w:tcBorders>
              <w:top w:val="single" w:sz="2" w:space="0" w:color="auto"/>
              <w:left w:val="single" w:sz="6" w:space="0" w:color="auto"/>
              <w:bottom w:val="single" w:sz="6" w:space="0" w:color="auto"/>
              <w:right w:val="single" w:sz="6" w:space="0" w:color="auto"/>
            </w:tcBorders>
            <w:hideMark/>
          </w:tcPr>
          <w:p w14:paraId="77CCE2C7" w14:textId="041C2FCD" w:rsidR="00EF236E" w:rsidRPr="005454D7" w:rsidRDefault="008A1639" w:rsidP="00D95AE9">
            <w:pPr>
              <w:rPr>
                <w:b/>
                <w:bCs/>
                <w:i/>
                <w:iCs/>
              </w:rPr>
            </w:pPr>
            <w:r>
              <w:rPr>
                <w:b/>
                <w:i/>
              </w:rPr>
              <w:t>(x) zagotavljanje prehranske varnosti</w:t>
            </w:r>
          </w:p>
        </w:tc>
      </w:tr>
    </w:tbl>
    <w:p w14:paraId="45359A06" w14:textId="0E830092" w:rsidR="00EF236E" w:rsidRPr="005454D7" w:rsidRDefault="00EF236E" w:rsidP="00D95AE9">
      <w:pPr>
        <w:jc w:val="center"/>
        <w:rPr>
          <w:lang w:val="en-GB"/>
        </w:rPr>
      </w:pPr>
    </w:p>
    <w:tbl>
      <w:tblPr>
        <w:tblW w:w="0" w:type="auto"/>
        <w:tblBorders>
          <w:top w:val="outset" w:sz="6" w:space="0" w:color="auto"/>
          <w:left w:val="outset" w:sz="6" w:space="0" w:color="auto"/>
          <w:bottom w:val="outset" w:sz="6" w:space="0" w:color="auto"/>
          <w:right w:val="outset" w:sz="6" w:space="0" w:color="auto"/>
        </w:tblBorders>
        <w:tblLayout w:type="fixed"/>
        <w:tblCellMar>
          <w:left w:w="57" w:type="dxa"/>
          <w:right w:w="57" w:type="dxa"/>
        </w:tblCellMar>
        <w:tblLook w:val="04A0" w:firstRow="1" w:lastRow="0" w:firstColumn="1" w:lastColumn="0" w:noHBand="0" w:noVBand="1"/>
      </w:tblPr>
      <w:tblGrid>
        <w:gridCol w:w="9057"/>
      </w:tblGrid>
      <w:tr w:rsidR="00EF236E" w:rsidRPr="00920854" w14:paraId="4712757C" w14:textId="77777777" w:rsidTr="00CE7241">
        <w:trPr>
          <w:trHeight w:val="300"/>
        </w:trPr>
        <w:tc>
          <w:tcPr>
            <w:tcW w:w="9057" w:type="dxa"/>
            <w:tcBorders>
              <w:top w:val="single" w:sz="2" w:space="0" w:color="auto"/>
              <w:left w:val="single" w:sz="2" w:space="0" w:color="auto"/>
              <w:bottom w:val="single" w:sz="2" w:space="0" w:color="auto"/>
              <w:right w:val="single" w:sz="2" w:space="0" w:color="auto"/>
            </w:tcBorders>
            <w:hideMark/>
          </w:tcPr>
          <w:p w14:paraId="3462A2F6" w14:textId="2D027E63" w:rsidR="00EF236E" w:rsidRPr="005454D7" w:rsidRDefault="00EF236E" w:rsidP="00D95AE9">
            <w:pPr>
              <w:keepNext/>
              <w:keepLines/>
              <w:jc w:val="center"/>
              <w:divId w:val="1152411509"/>
            </w:pPr>
            <w:r>
              <w:rPr>
                <w:b/>
              </w:rPr>
              <w:t>Obrazložitev</w:t>
            </w:r>
          </w:p>
        </w:tc>
      </w:tr>
      <w:tr w:rsidR="00EF236E" w:rsidRPr="00920854" w14:paraId="5662A4F1" w14:textId="77777777" w:rsidTr="00CE7241">
        <w:trPr>
          <w:trHeight w:val="300"/>
        </w:trPr>
        <w:tc>
          <w:tcPr>
            <w:tcW w:w="9057" w:type="dxa"/>
            <w:tcBorders>
              <w:top w:val="single" w:sz="2" w:space="0" w:color="auto"/>
              <w:left w:val="single" w:sz="6" w:space="0" w:color="auto"/>
              <w:bottom w:val="single" w:sz="6" w:space="0" w:color="auto"/>
              <w:right w:val="single" w:sz="6" w:space="0" w:color="auto"/>
            </w:tcBorders>
            <w:hideMark/>
          </w:tcPr>
          <w:p w14:paraId="2A31DFC7" w14:textId="2228A0F9" w:rsidR="00EF236E" w:rsidRPr="005454D7" w:rsidRDefault="003C6B68" w:rsidP="00D95AE9">
            <w:r>
              <w:t>Podana v poglavju Vloga odvzemov in prožnosti.</w:t>
            </w:r>
          </w:p>
        </w:tc>
      </w:tr>
    </w:tbl>
    <w:p w14:paraId="385C048F" w14:textId="177EB32D" w:rsidR="00EF236E" w:rsidRPr="005454D7" w:rsidRDefault="00EF236E" w:rsidP="00D95AE9">
      <w:pPr>
        <w:pStyle w:val="Header"/>
        <w:rPr>
          <w:lang w:val="en-GB"/>
        </w:rPr>
      </w:pPr>
    </w:p>
    <w:p w14:paraId="2837F524" w14:textId="0B6C7DC2" w:rsidR="00AD5198" w:rsidRPr="005454D7" w:rsidRDefault="00AD5198" w:rsidP="00D95AE9">
      <w:pPr>
        <w:pStyle w:val="Header"/>
      </w:pPr>
      <w:r>
        <w:t>V Bruslju, 8. septembra 2025</w:t>
      </w:r>
    </w:p>
    <w:p w14:paraId="05C43A14" w14:textId="77777777" w:rsidR="00AD5198" w:rsidRPr="005454D7" w:rsidRDefault="00AD5198" w:rsidP="00D95AE9">
      <w:pPr>
        <w:pStyle w:val="Header"/>
        <w:rPr>
          <w:lang w:val="en-GB"/>
        </w:rPr>
      </w:pPr>
    </w:p>
    <w:p w14:paraId="53F4B621" w14:textId="77777777" w:rsidR="00AD5198" w:rsidRPr="005454D7" w:rsidRDefault="00AD5198" w:rsidP="00D95AE9">
      <w:pPr>
        <w:pStyle w:val="Header"/>
        <w:rPr>
          <w:lang w:val="en-GB"/>
        </w:rPr>
      </w:pPr>
    </w:p>
    <w:p w14:paraId="6DFBF7E9" w14:textId="77777777" w:rsidR="00AD5198" w:rsidRPr="005454D7" w:rsidRDefault="00AD5198" w:rsidP="00D95AE9">
      <w:pPr>
        <w:rPr>
          <w:i/>
          <w:iCs/>
        </w:rPr>
      </w:pPr>
      <w:r>
        <w:rPr>
          <w:i/>
        </w:rPr>
        <w:t>Predsednik strokovne skupine za kmetijstvo, razvoj podeželja in okolje</w:t>
      </w:r>
    </w:p>
    <w:p w14:paraId="72AC7AEB" w14:textId="207C14DE" w:rsidR="00AD5198" w:rsidRPr="005454D7" w:rsidRDefault="00AD5198" w:rsidP="00D95AE9">
      <w:pPr>
        <w:pStyle w:val="Header"/>
      </w:pPr>
      <w:r>
        <w:t>Peter SCHMIDT</w:t>
      </w:r>
    </w:p>
    <w:p w14:paraId="0893C6A2" w14:textId="77777777" w:rsidR="00AD5198" w:rsidRPr="005454D7" w:rsidRDefault="00AD5198" w:rsidP="00D95AE9">
      <w:pPr>
        <w:pStyle w:val="Header"/>
        <w:rPr>
          <w:lang w:val="en-GB"/>
        </w:rPr>
      </w:pPr>
    </w:p>
    <w:p w14:paraId="6E522A42" w14:textId="5C1B34DC" w:rsidR="00646AC2" w:rsidRPr="002B05F5" w:rsidRDefault="002B05F5" w:rsidP="002B05F5">
      <w:pPr>
        <w:overflowPunct w:val="0"/>
        <w:autoSpaceDE w:val="0"/>
        <w:autoSpaceDN w:val="0"/>
        <w:adjustRightInd w:val="0"/>
        <w:jc w:val="center"/>
        <w:textAlignment w:val="baseline"/>
        <w:rPr>
          <w:lang w:val="nl-BE"/>
        </w:rPr>
      </w:pPr>
      <w:r>
        <w:rPr>
          <w:lang w:val="nl-BE"/>
        </w:rPr>
        <w:t>_____________</w:t>
      </w:r>
    </w:p>
    <w:sectPr w:rsidR="00646AC2" w:rsidRPr="002B05F5" w:rsidSect="002766B8">
      <w:headerReference w:type="even" r:id="rId16"/>
      <w:headerReference w:type="default" r:id="rId17"/>
      <w:footerReference w:type="even" r:id="rId18"/>
      <w:footerReference w:type="default" r:id="rId19"/>
      <w:headerReference w:type="first" r:id="rId20"/>
      <w:footerReference w:type="first" r:id="rId21"/>
      <w:pgSz w:w="11907" w:h="16839" w:code="9"/>
      <w:pgMar w:top="1417" w:right="1417" w:bottom="1417" w:left="1417"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9E177" w14:textId="77777777" w:rsidR="00E31108" w:rsidRDefault="00E31108">
      <w:r>
        <w:separator/>
      </w:r>
    </w:p>
  </w:endnote>
  <w:endnote w:type="continuationSeparator" w:id="0">
    <w:p w14:paraId="78843864" w14:textId="77777777" w:rsidR="00E31108" w:rsidRDefault="00E31108">
      <w:r>
        <w:continuationSeparator/>
      </w:r>
    </w:p>
  </w:endnote>
  <w:endnote w:type="continuationNotice" w:id="1">
    <w:p w14:paraId="214EB1FB" w14:textId="77777777" w:rsidR="00E31108" w:rsidRDefault="00E3110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22A4E" w14:textId="20D334E3" w:rsidR="00CB5F3C" w:rsidRPr="002766B8" w:rsidRDefault="002766B8" w:rsidP="002766B8">
    <w:pPr>
      <w:pStyle w:val="Footer"/>
    </w:pPr>
    <w:r>
      <w:t xml:space="preserve">NAT/952 – EESC-2025-02119-00-00-AS-TRA (EN) </w:t>
    </w:r>
    <w:r>
      <w:fldChar w:fldCharType="begin"/>
    </w:r>
    <w:r>
      <w:instrText xml:space="preserve"> PAGE  \* Arabic  \* MERGEFORMAT </w:instrText>
    </w:r>
    <w:r>
      <w:fldChar w:fldCharType="separate"/>
    </w:r>
    <w:r w:rsidR="005859C0">
      <w:t>1</w:t>
    </w:r>
    <w:r>
      <w:fldChar w:fldCharType="end"/>
    </w:r>
    <w:r>
      <w:t>/</w:t>
    </w:r>
    <w:fldSimple w:instr=" NUMPAGES ">
      <w:r w:rsidR="005859C0">
        <w:t>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22A53" w14:textId="77777777" w:rsidR="00B43AAA" w:rsidRPr="002766B8" w:rsidRDefault="00B43AAA" w:rsidP="002766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22A54" w14:textId="32580471" w:rsidR="00646AC2" w:rsidRPr="002766B8" w:rsidRDefault="002766B8" w:rsidP="002766B8">
    <w:pPr>
      <w:pStyle w:val="Footer"/>
    </w:pPr>
    <w:r>
      <w:t xml:space="preserve">NAT/952 – EESC-2025-02119-00-00-AS-TRA (EN) </w:t>
    </w:r>
    <w:r>
      <w:fldChar w:fldCharType="begin"/>
    </w:r>
    <w:r>
      <w:instrText xml:space="preserve"> PAGE  \* Arabic  \* MERGEFORMAT </w:instrText>
    </w:r>
    <w:r>
      <w:fldChar w:fldCharType="separate"/>
    </w:r>
    <w:r>
      <w:t>2</w:t>
    </w:r>
    <w:r>
      <w:fldChar w:fldCharType="end"/>
    </w:r>
    <w:r>
      <w:t>/</w:t>
    </w:r>
    <w:fldSimple w:instr=" NUMPAGES ">
      <w:r>
        <w:t>13</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22A56" w14:textId="77777777" w:rsidR="00B43AAA" w:rsidRPr="002766B8" w:rsidRDefault="00B43AAA" w:rsidP="002766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66A237" w14:textId="77777777" w:rsidR="00E31108" w:rsidRDefault="00E31108">
      <w:r>
        <w:separator/>
      </w:r>
    </w:p>
  </w:footnote>
  <w:footnote w:type="continuationSeparator" w:id="0">
    <w:p w14:paraId="4C8C1832" w14:textId="77777777" w:rsidR="00E31108" w:rsidRDefault="00E31108">
      <w:r>
        <w:continuationSeparator/>
      </w:r>
    </w:p>
  </w:footnote>
  <w:footnote w:type="continuationNotice" w:id="1">
    <w:p w14:paraId="69A48097" w14:textId="77777777" w:rsidR="00E31108" w:rsidRDefault="00E31108">
      <w:pPr>
        <w:spacing w:line="240" w:lineRule="auto"/>
      </w:pPr>
    </w:p>
  </w:footnote>
  <w:footnote w:id="2">
    <w:p w14:paraId="7E9CF474" w14:textId="2C0F3F75" w:rsidR="001E4C67" w:rsidRPr="002766B8" w:rsidRDefault="001E4C67" w:rsidP="001E4C67">
      <w:pPr>
        <w:pStyle w:val="FootnoteText"/>
      </w:pPr>
      <w:r>
        <w:rPr>
          <w:rStyle w:val="FootnoteReference"/>
          <w:lang w:val="en-GB"/>
        </w:rPr>
        <w:footnoteRef/>
      </w:r>
      <w:r>
        <w:tab/>
      </w:r>
      <w:r>
        <w:rPr>
          <w:color w:val="333333"/>
          <w:shd w:val="clear" w:color="auto" w:fill="FFFFFF"/>
        </w:rPr>
        <w:t>UL C, C/2024/4667, 9.8.2024, ELI:</w:t>
      </w:r>
      <w:r>
        <w:rPr>
          <w:i/>
          <w:color w:val="333333"/>
          <w:shd w:val="clear" w:color="auto" w:fill="FFFFFF"/>
        </w:rPr>
        <w:t xml:space="preserve"> </w:t>
      </w:r>
      <w:hyperlink r:id="rId1" w:tgtFrame="_blank" w:tooltip="Dokument je na voljo prek enotnega identifikatorja vira ELI." w:history="1">
        <w:r>
          <w:rPr>
            <w:rStyle w:val="Hyperlink"/>
          </w:rPr>
          <w:t>http://data.europa.eu/eli/C/2024/4667/oj</w:t>
        </w:r>
      </w:hyperlink>
      <w:r>
        <w:t>.</w:t>
      </w:r>
    </w:p>
  </w:footnote>
  <w:footnote w:id="3">
    <w:p w14:paraId="0B5C1B98" w14:textId="60024411" w:rsidR="00C40A89" w:rsidRPr="002766B8" w:rsidRDefault="00C40A89" w:rsidP="00C27DF8">
      <w:pPr>
        <w:pStyle w:val="FootnoteText"/>
      </w:pPr>
      <w:r>
        <w:rPr>
          <w:rStyle w:val="FootnoteReference"/>
          <w:lang w:val="en-GB"/>
        </w:rPr>
        <w:footnoteRef/>
      </w:r>
      <w:r>
        <w:tab/>
      </w:r>
      <w:r>
        <w:rPr>
          <w:color w:val="333333"/>
          <w:shd w:val="clear" w:color="auto" w:fill="FFFFFF"/>
        </w:rPr>
        <w:t>UL C, C/2024/4667, 9.8.2024, ELI:</w:t>
      </w:r>
      <w:r>
        <w:rPr>
          <w:i/>
          <w:color w:val="333333"/>
          <w:shd w:val="clear" w:color="auto" w:fill="FFFFFF"/>
        </w:rPr>
        <w:t xml:space="preserve"> </w:t>
      </w:r>
      <w:hyperlink r:id="rId2" w:tgtFrame="_blank" w:tooltip="Dokument je na voljo prek enotnega identifikatorja vira ELI." w:history="1">
        <w:r>
          <w:rPr>
            <w:rStyle w:val="Hyperlink"/>
          </w:rPr>
          <w:t>http://data.europa.eu/eli/C/2024/4667/oj</w:t>
        </w:r>
      </w:hyperlink>
      <w:r>
        <w:t>.</w:t>
      </w:r>
    </w:p>
  </w:footnote>
  <w:footnote w:id="4">
    <w:p w14:paraId="10ECF181" w14:textId="688DFDAD" w:rsidR="008E6F8F" w:rsidRPr="005454D7" w:rsidRDefault="008E6F8F" w:rsidP="00A7034A">
      <w:pPr>
        <w:pStyle w:val="FootnoteText"/>
      </w:pPr>
      <w:r>
        <w:rPr>
          <w:rStyle w:val="FootnoteReference"/>
          <w:lang w:val="en-GB"/>
        </w:rPr>
        <w:footnoteRef/>
      </w:r>
      <w:r>
        <w:tab/>
      </w:r>
      <w:r>
        <w:t xml:space="preserve">ESABCC 2025, </w:t>
      </w:r>
      <w:r>
        <w:rPr>
          <w:i/>
        </w:rPr>
        <w:t>Staying the course on climate action essential to EU security and competitiveness</w:t>
      </w:r>
      <w:r>
        <w:t xml:space="preserve"> (Sledenje ciljem podnebnih ukrepov je bistveno za varnost in konkurenčnost EU), </w:t>
      </w:r>
      <w:hyperlink r:id="rId3" w:history="1">
        <w:r>
          <w:rPr>
            <w:rStyle w:val="Hyperlink"/>
          </w:rPr>
          <w:t>https://climate-advisory-board.europa.eu/news/staying-the-course-on-climate-action-essential-to-eu-security-and-competitiveness</w:t>
        </w:r>
      </w:hyperlink>
      <w:r>
        <w:t>.</w:t>
      </w:r>
    </w:p>
  </w:footnote>
  <w:footnote w:id="5">
    <w:p w14:paraId="395EFB8A" w14:textId="0013B092" w:rsidR="007E28EB" w:rsidRPr="005454D7" w:rsidRDefault="007E28EB" w:rsidP="00C27DF8">
      <w:pPr>
        <w:pStyle w:val="FootnoteText"/>
      </w:pPr>
      <w:r>
        <w:rPr>
          <w:rStyle w:val="FootnoteReference"/>
          <w:lang w:val="en-GB"/>
        </w:rPr>
        <w:footnoteRef/>
      </w:r>
      <w:r>
        <w:tab/>
      </w:r>
      <w:hyperlink r:id="rId4" w:history="1">
        <w:r>
          <w:rPr>
            <w:rStyle w:val="Hyperlink"/>
          </w:rPr>
          <w:t>https://ec.europa.eu/commission/presscorner/detail/sl/ip_25_1337</w:t>
        </w:r>
      </w:hyperlink>
      <w:r>
        <w:t>.</w:t>
      </w:r>
    </w:p>
  </w:footnote>
  <w:footnote w:id="6">
    <w:p w14:paraId="310BD610" w14:textId="7CB1A8C0" w:rsidR="00CF69D5" w:rsidRPr="005454D7" w:rsidRDefault="00CF69D5" w:rsidP="0068703A">
      <w:pPr>
        <w:pStyle w:val="FootnoteText"/>
      </w:pPr>
      <w:r>
        <w:rPr>
          <w:rStyle w:val="FootnoteReference"/>
          <w:lang w:val="en-GB"/>
        </w:rPr>
        <w:footnoteRef/>
      </w:r>
      <w:r>
        <w:tab/>
      </w:r>
      <w:hyperlink r:id="rId5" w:history="1">
        <w:r>
          <w:rPr>
            <w:rStyle w:val="Hyperlink"/>
          </w:rPr>
          <w:t>https://www.imo.org/en/MediaCentre/PressBriefings/pages/IMO-approves-netzero-regulations.aspx</w:t>
        </w:r>
      </w:hyperlink>
      <w:r>
        <w:t>.</w:t>
      </w:r>
    </w:p>
  </w:footnote>
  <w:footnote w:id="7">
    <w:p w14:paraId="78D62DB1" w14:textId="5CD3BA9B" w:rsidR="00417F77" w:rsidRPr="005454D7" w:rsidRDefault="00417F77" w:rsidP="00A7034A">
      <w:pPr>
        <w:pStyle w:val="FootnoteText"/>
      </w:pPr>
      <w:r>
        <w:rPr>
          <w:rStyle w:val="FootnoteReference"/>
          <w:lang w:val="en-GB"/>
        </w:rPr>
        <w:footnoteRef/>
      </w:r>
      <w:r>
        <w:tab/>
      </w:r>
      <w:r>
        <w:t xml:space="preserve">Carbon Brief 2024, </w:t>
      </w:r>
      <w:r>
        <w:rPr>
          <w:i/>
        </w:rPr>
        <w:t>Analysis:</w:t>
      </w:r>
      <w:r>
        <w:t xml:space="preserve"> </w:t>
      </w:r>
      <w:r>
        <w:rPr>
          <w:i/>
        </w:rPr>
        <w:t>China’s emissions have now caused more global warming than EU</w:t>
      </w:r>
      <w:r>
        <w:t xml:space="preserve"> (Analiza: Kitajske emisije so že prispevale več h globalnemu segrevanju kot emisije EU), </w:t>
      </w:r>
      <w:hyperlink r:id="rId6" w:history="1">
        <w:r>
          <w:rPr>
            <w:rStyle w:val="Hyperlink"/>
          </w:rPr>
          <w:t>https://www.carbonbrief.org/analysis-chinas-emissions-have-now-caused-more-global-warming-than-eu/</w:t>
        </w:r>
      </w:hyperlink>
      <w:r>
        <w:t>.</w:t>
      </w:r>
    </w:p>
  </w:footnote>
  <w:footnote w:id="8">
    <w:p w14:paraId="6B6FF00D" w14:textId="5656B3B3" w:rsidR="00AE1774" w:rsidRPr="005454D7" w:rsidRDefault="00AE1774" w:rsidP="00A7034A">
      <w:pPr>
        <w:pStyle w:val="FootnoteText"/>
      </w:pPr>
      <w:r>
        <w:rPr>
          <w:rStyle w:val="FootnoteReference"/>
          <w:lang w:val="en-GB"/>
        </w:rPr>
        <w:footnoteRef/>
      </w:r>
      <w:r>
        <w:tab/>
      </w:r>
      <w:r>
        <w:t xml:space="preserve">Carbon Brief 2025, </w:t>
      </w:r>
      <w:hyperlink r:id="rId7" w:history="1">
        <w:r>
          <w:rPr>
            <w:rStyle w:val="Hyperlink"/>
          </w:rPr>
          <w:t>https://www.carbonbrief.org/analysis-clean-energy-just-put-chinas-co2-emissions-into-reverse-for-first-time/</w:t>
        </w:r>
      </w:hyperlink>
      <w:r>
        <w:t>.</w:t>
      </w:r>
    </w:p>
  </w:footnote>
  <w:footnote w:id="9">
    <w:p w14:paraId="03159BAE" w14:textId="4FC4AD7F" w:rsidR="00051585" w:rsidRPr="005454D7" w:rsidRDefault="00051585" w:rsidP="00A7034A">
      <w:pPr>
        <w:pStyle w:val="FootnoteText"/>
      </w:pPr>
      <w:r>
        <w:rPr>
          <w:rStyle w:val="FootnoteReference"/>
          <w:lang w:val="en-GB"/>
        </w:rPr>
        <w:footnoteRef/>
      </w:r>
      <w:r>
        <w:tab/>
      </w:r>
      <w:r>
        <w:t xml:space="preserve">Mednarodna agencija za energijo 2023, World Energy Outlook 2023 (Svetovna energetska napoved 2023), </w:t>
      </w:r>
      <w:hyperlink r:id="rId8" w:history="1">
        <w:r>
          <w:rPr>
            <w:rStyle w:val="Hyperlink"/>
          </w:rPr>
          <w:t>https://www.iea.org/reports/world-energy-outlook-2023</w:t>
        </w:r>
      </w:hyperlink>
      <w:r>
        <w:t>.</w:t>
      </w:r>
    </w:p>
  </w:footnote>
  <w:footnote w:id="10">
    <w:p w14:paraId="47B17C12" w14:textId="0C653EF0" w:rsidR="004963BB" w:rsidRPr="005454D7" w:rsidRDefault="004963BB" w:rsidP="00A7034A">
      <w:pPr>
        <w:pStyle w:val="FootnoteText"/>
      </w:pPr>
      <w:r>
        <w:rPr>
          <w:rStyle w:val="FootnoteReference"/>
          <w:lang w:val="en-GB"/>
        </w:rPr>
        <w:footnoteRef/>
      </w:r>
      <w:r>
        <w:tab/>
      </w:r>
      <w:r>
        <w:t xml:space="preserve">IEEP, CGTN Europe 2025, </w:t>
      </w:r>
      <w:r>
        <w:rPr>
          <w:i/>
        </w:rPr>
        <w:t>Powering the Twin Engines: Navigating China-EU Climate Cooperation</w:t>
      </w:r>
      <w:r>
        <w:t xml:space="preserve"> (Energija za dvojno gonilo: obvladovanje sodelovanja med Kitajsko in EU na področju podnebja), </w:t>
      </w:r>
      <w:hyperlink r:id="rId9" w:history="1">
        <w:r>
          <w:rPr>
            <w:rStyle w:val="Hyperlink"/>
          </w:rPr>
          <w:t>https://ieep.eu/wp-content/uploads/2025/06/Powering-the-Twin-Engines-Navigating-China-EU-Climate-Cooperation-2025.pdf</w:t>
        </w:r>
      </w:hyperlink>
      <w:r>
        <w:t>.</w:t>
      </w:r>
    </w:p>
  </w:footnote>
  <w:footnote w:id="11">
    <w:p w14:paraId="6B71C10E" w14:textId="46A3D871" w:rsidR="00FA47F5" w:rsidRPr="005454D7" w:rsidRDefault="00FA47F5" w:rsidP="006507AA">
      <w:pPr>
        <w:pStyle w:val="FootnoteText"/>
      </w:pPr>
      <w:r>
        <w:rPr>
          <w:rStyle w:val="FootnoteReference"/>
          <w:lang w:val="en-GB"/>
        </w:rPr>
        <w:footnoteRef/>
      </w:r>
      <w:r>
        <w:tab/>
      </w:r>
      <w:hyperlink r:id="rId10" w:history="1">
        <w:r>
          <w:rPr>
            <w:rStyle w:val="Hyperlink"/>
          </w:rPr>
          <w:t>https://unepccc.org/article-6-pipeline/</w:t>
        </w:r>
      </w:hyperlink>
      <w:r>
        <w:t>.</w:t>
      </w:r>
    </w:p>
  </w:footnote>
  <w:footnote w:id="12">
    <w:p w14:paraId="2C1D42F9" w14:textId="21AF23CD" w:rsidR="00002439" w:rsidRPr="005454D7" w:rsidRDefault="00002439" w:rsidP="006507AA">
      <w:pPr>
        <w:pStyle w:val="FootnoteText"/>
      </w:pPr>
      <w:r>
        <w:rPr>
          <w:rStyle w:val="FootnoteReference"/>
          <w:lang w:val="en-GB"/>
        </w:rPr>
        <w:footnoteRef/>
      </w:r>
      <w:r>
        <w:tab/>
      </w:r>
      <w:hyperlink r:id="rId11" w:history="1">
        <w:r>
          <w:rPr>
            <w:rStyle w:val="Hyperlink"/>
          </w:rPr>
          <w:t>https://climate-advisory-board.europa.eu/news/staying-the-course-on-climate-action-essential-to-eu-security-and-competitiveness</w:t>
        </w:r>
      </w:hyperlink>
      <w:r>
        <w:t>.</w:t>
      </w:r>
    </w:p>
  </w:footnote>
  <w:footnote w:id="13">
    <w:p w14:paraId="370A50B2" w14:textId="2A49BBD4" w:rsidR="00FC19FB" w:rsidRPr="005454D7" w:rsidRDefault="00FC19FB" w:rsidP="00A7034A">
      <w:pPr>
        <w:pStyle w:val="FootnoteText"/>
      </w:pPr>
      <w:r>
        <w:rPr>
          <w:rStyle w:val="FootnoteReference"/>
          <w:lang w:val="en-GB"/>
        </w:rPr>
        <w:footnoteRef/>
      </w:r>
      <w:r>
        <w:tab/>
      </w:r>
      <w:r>
        <w:t xml:space="preserve">Perspectives Climate Group 2025, </w:t>
      </w:r>
      <w:r>
        <w:rPr>
          <w:i/>
        </w:rPr>
        <w:t>Methodologies for policy crediting under the Paris Agreement Crediting Mechanism</w:t>
      </w:r>
      <w:r>
        <w:t xml:space="preserve"> (Metodologija za vštetje političnih ukrepov v okviru mehanizma dobropisov iz Pariškega sporazuma), </w:t>
      </w:r>
      <w:hyperlink r:id="rId12" w:history="1">
        <w:r>
          <w:rPr>
            <w:rStyle w:val="Hyperlink"/>
          </w:rPr>
          <w:t>https://perspectives.cc/publication/methodologies-for-policy-crediting-under-the-paris-agreement-crediting-mechanism/</w:t>
        </w:r>
      </w:hyperlink>
      <w:r>
        <w:t>.</w:t>
      </w:r>
    </w:p>
  </w:footnote>
  <w:footnote w:id="14">
    <w:p w14:paraId="1B848A7C" w14:textId="1C8DAE90" w:rsidR="009173C5" w:rsidRPr="002766B8" w:rsidRDefault="009173C5">
      <w:pPr>
        <w:pStyle w:val="FootnoteText"/>
      </w:pPr>
      <w:r>
        <w:rPr>
          <w:rStyle w:val="FootnoteReference"/>
          <w:lang w:val="en-GB"/>
        </w:rPr>
        <w:footnoteRef/>
      </w:r>
      <w:r>
        <w:tab/>
      </w:r>
      <w:r>
        <w:t xml:space="preserve">ESABCC 2025, </w:t>
      </w:r>
      <w:hyperlink r:id="rId13" w:history="1">
        <w:r>
          <w:rPr>
            <w:rStyle w:val="Hyperlink"/>
          </w:rPr>
          <w:t>https://climate-advisory-board.europa.eu/reports-and-publications/2025-02-21-scaling-up-carbon-dioxide-removals-recommendations-for-navigating-opportunities-and-risks-in-the-eu.pdf/@@download/file</w:t>
        </w:r>
      </w:hyperlink>
      <w:r>
        <w:t xml:space="preserve">; Skupno raziskovalno središče 2025, </w:t>
      </w:r>
      <w:hyperlink r:id="rId14" w:history="1">
        <w:r>
          <w:rPr>
            <w:rStyle w:val="Hyperlink"/>
          </w:rPr>
          <w:t>https://joint-research-centre.ec.europa.eu/jrc-news-and-updates/european-forest-carbon-sink-declining-can-we-reverse-trend-2025-07-30_en</w:t>
        </w:r>
      </w:hyperlink>
      <w:r>
        <w:t>.</w:t>
      </w:r>
    </w:p>
  </w:footnote>
  <w:footnote w:id="15">
    <w:p w14:paraId="6E076F01" w14:textId="65B9AA96" w:rsidR="00697C74" w:rsidRPr="002766B8" w:rsidRDefault="00697C74" w:rsidP="00342002">
      <w:pPr>
        <w:pStyle w:val="FootnoteText"/>
        <w:jc w:val="left"/>
      </w:pPr>
      <w:r>
        <w:rPr>
          <w:rStyle w:val="FootnoteReference"/>
          <w:lang w:val="en-GB"/>
        </w:rPr>
        <w:footnoteRef/>
      </w:r>
      <w:r>
        <w:tab/>
      </w:r>
      <w:r>
        <w:t xml:space="preserve">Evropska komisija 2025, COM(2025) 378 final; </w:t>
      </w:r>
      <w:hyperlink r:id="rId15" w:history="1">
        <w:r>
          <w:rPr>
            <w:rStyle w:val="Hyperlink"/>
          </w:rPr>
          <w:t>https://commission.europa.eu/document/download/ae2ea9ea-d037-4920-bbf6-a4183b747e34_en?filename=COM_2025_378_1_EN_ACT_part1_v5.pdf</w:t>
        </w:r>
      </w:hyperlink>
      <w:r>
        <w:t>.</w:t>
      </w:r>
    </w:p>
  </w:footnote>
  <w:footnote w:id="16">
    <w:p w14:paraId="3597DE85" w14:textId="1ED21C55" w:rsidR="00697C74" w:rsidRPr="005454D7" w:rsidRDefault="00697C74">
      <w:pPr>
        <w:pStyle w:val="FootnoteText"/>
        <w:jc w:val="left"/>
      </w:pPr>
      <w:r>
        <w:rPr>
          <w:rStyle w:val="FootnoteReference"/>
          <w:lang w:val="en-GB"/>
        </w:rPr>
        <w:footnoteRef/>
      </w:r>
      <w:r>
        <w:tab/>
      </w:r>
      <w:r>
        <w:t xml:space="preserve">Evropska konfederacija sindikatov 2024: EU je v samo štirih letih izgubila milijon delovnih mest v proizvodnji; </w:t>
      </w:r>
      <w:hyperlink r:id="rId16" w:history="1">
        <w:r>
          <w:rPr>
            <w:rStyle w:val="Hyperlink"/>
          </w:rPr>
          <w:t>https://www.etuc.org/en/pressrelease/eu-loses-almost-million-manufacturing-jobs-just-4-years</w:t>
        </w:r>
      </w:hyperlink>
      <w:r>
        <w:t>.</w:t>
      </w:r>
    </w:p>
  </w:footnote>
  <w:footnote w:id="17">
    <w:p w14:paraId="555AB1CF" w14:textId="396475FC" w:rsidR="00866B35" w:rsidRPr="005454D7" w:rsidRDefault="00866B35" w:rsidP="00866B35">
      <w:pPr>
        <w:pStyle w:val="FootnoteText"/>
      </w:pPr>
      <w:r>
        <w:rPr>
          <w:rStyle w:val="FootnoteReference"/>
          <w:lang w:val="en-GB"/>
        </w:rPr>
        <w:footnoteRef/>
      </w:r>
      <w:r>
        <w:tab/>
      </w:r>
      <w:r>
        <w:t xml:space="preserve">Bruegel 2025, </w:t>
      </w:r>
      <w:hyperlink r:id="rId17" w:history="1">
        <w:r>
          <w:rPr>
            <w:rStyle w:val="Hyperlink"/>
          </w:rPr>
          <w:t>https://www.bruegel.org/analysis/defence-and-climate-seven-points-common-agenda</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22A51" w14:textId="77777777" w:rsidR="00B43AAA" w:rsidRPr="002766B8" w:rsidRDefault="00B43AAA" w:rsidP="002766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22A52" w14:textId="55FC7796" w:rsidR="00646AC2" w:rsidRPr="002766B8" w:rsidRDefault="00646AC2" w:rsidP="002766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22A55" w14:textId="77777777" w:rsidR="00B43AAA" w:rsidRPr="002766B8" w:rsidRDefault="00B43AAA" w:rsidP="002766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DBE22826"/>
    <w:lvl w:ilvl="0">
      <w:start w:val="1"/>
      <w:numFmt w:val="decimal"/>
      <w:pStyle w:val="Heading1"/>
      <w:lvlText w:val="%1."/>
      <w:legacy w:legacy="1" w:legacySpace="0" w:legacyIndent="0"/>
      <w:lvlJc w:val="left"/>
      <w:rPr>
        <w:b w:val="0"/>
        <w:bCs w:val="0"/>
      </w:rPr>
    </w:lvl>
    <w:lvl w:ilvl="1">
      <w:start w:val="1"/>
      <w:numFmt w:val="decimal"/>
      <w:pStyle w:val="Heading2"/>
      <w:lvlText w:val="%1.%2"/>
      <w:legacy w:legacy="1" w:legacySpace="144" w:legacyIndent="0"/>
      <w:lvlJc w:val="left"/>
      <w:rPr>
        <w:i w:val="0"/>
        <w:iCs w:val="0"/>
      </w:rPr>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272B563D"/>
    <w:multiLevelType w:val="hybridMultilevel"/>
    <w:tmpl w:val="6ACCA8E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EC2C05"/>
    <w:multiLevelType w:val="hybridMultilevel"/>
    <w:tmpl w:val="D52C7A1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447DCE"/>
    <w:multiLevelType w:val="hybridMultilevel"/>
    <w:tmpl w:val="00729754"/>
    <w:lvl w:ilvl="0" w:tplc="F64660EC">
      <w:start w:val="1"/>
      <w:numFmt w:val="upperRoman"/>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0"/>
  </w:num>
  <w:num w:numId="3">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lvlOverride w:ilvl="0">
      <w:startOverride w:val="1"/>
    </w:lvlOverride>
    <w:lvlOverride w:ilvl="1">
      <w:startOverride w:val="10"/>
    </w:lvlOverride>
  </w:num>
  <w:num w:numId="32">
    <w:abstractNumId w:val="0"/>
  </w:num>
  <w:num w:numId="3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embedSystemFonts/>
  <w:hideGrammaticalErrors/>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doNotHyphenateCaps/>
  <w:drawingGridHorizontalSpacing w:val="110"/>
  <w:drawingGridVerticalSpacing w:val="299"/>
  <w:displayHorizontalDrawingGridEvery w:val="2"/>
  <w:displayVerticalDrawingGridEvery w:val="0"/>
  <w:noPunctuationKerning/>
  <w:characterSpacingControl w:val="doNotCompress"/>
  <w:doNotValidateAgainstSchema/>
  <w:doNotDemarcateInvalidXml/>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F8F"/>
    <w:rsid w:val="000017A9"/>
    <w:rsid w:val="00002439"/>
    <w:rsid w:val="00002B9F"/>
    <w:rsid w:val="00005AB9"/>
    <w:rsid w:val="00005EB9"/>
    <w:rsid w:val="00006912"/>
    <w:rsid w:val="00006E24"/>
    <w:rsid w:val="00007A40"/>
    <w:rsid w:val="00012324"/>
    <w:rsid w:val="000128CD"/>
    <w:rsid w:val="0001378B"/>
    <w:rsid w:val="00017B45"/>
    <w:rsid w:val="00020E6E"/>
    <w:rsid w:val="000229C4"/>
    <w:rsid w:val="00022A0D"/>
    <w:rsid w:val="00026A08"/>
    <w:rsid w:val="00031A4B"/>
    <w:rsid w:val="00033913"/>
    <w:rsid w:val="00033AFC"/>
    <w:rsid w:val="00033DB4"/>
    <w:rsid w:val="00033E5B"/>
    <w:rsid w:val="000357A8"/>
    <w:rsid w:val="000371EC"/>
    <w:rsid w:val="000430A6"/>
    <w:rsid w:val="00043EE1"/>
    <w:rsid w:val="00044923"/>
    <w:rsid w:val="0004641E"/>
    <w:rsid w:val="00046BEA"/>
    <w:rsid w:val="000508B9"/>
    <w:rsid w:val="00051585"/>
    <w:rsid w:val="00051E98"/>
    <w:rsid w:val="0005249C"/>
    <w:rsid w:val="00052B8E"/>
    <w:rsid w:val="000534A5"/>
    <w:rsid w:val="0005542D"/>
    <w:rsid w:val="00055666"/>
    <w:rsid w:val="000565FF"/>
    <w:rsid w:val="0005680D"/>
    <w:rsid w:val="00057C73"/>
    <w:rsid w:val="00057E19"/>
    <w:rsid w:val="00062AD8"/>
    <w:rsid w:val="00063389"/>
    <w:rsid w:val="00063F5D"/>
    <w:rsid w:val="00063FB4"/>
    <w:rsid w:val="0006793E"/>
    <w:rsid w:val="00072E0F"/>
    <w:rsid w:val="000735E5"/>
    <w:rsid w:val="0007392F"/>
    <w:rsid w:val="00076D34"/>
    <w:rsid w:val="000847B2"/>
    <w:rsid w:val="000875B4"/>
    <w:rsid w:val="00087B39"/>
    <w:rsid w:val="00093DE0"/>
    <w:rsid w:val="000949BE"/>
    <w:rsid w:val="00095701"/>
    <w:rsid w:val="00096502"/>
    <w:rsid w:val="00096C93"/>
    <w:rsid w:val="00097439"/>
    <w:rsid w:val="00097548"/>
    <w:rsid w:val="00097E3F"/>
    <w:rsid w:val="000A2267"/>
    <w:rsid w:val="000A3061"/>
    <w:rsid w:val="000A339E"/>
    <w:rsid w:val="000A4385"/>
    <w:rsid w:val="000A49BB"/>
    <w:rsid w:val="000A5670"/>
    <w:rsid w:val="000B0872"/>
    <w:rsid w:val="000B138E"/>
    <w:rsid w:val="000B16AF"/>
    <w:rsid w:val="000B568F"/>
    <w:rsid w:val="000B68FA"/>
    <w:rsid w:val="000B77CC"/>
    <w:rsid w:val="000C004A"/>
    <w:rsid w:val="000C10A4"/>
    <w:rsid w:val="000C16D1"/>
    <w:rsid w:val="000C2704"/>
    <w:rsid w:val="000C3441"/>
    <w:rsid w:val="000C3B8D"/>
    <w:rsid w:val="000C6B0C"/>
    <w:rsid w:val="000C6FED"/>
    <w:rsid w:val="000C7582"/>
    <w:rsid w:val="000C7F53"/>
    <w:rsid w:val="000D2215"/>
    <w:rsid w:val="000D2F8E"/>
    <w:rsid w:val="000D7666"/>
    <w:rsid w:val="000E22C3"/>
    <w:rsid w:val="000E718E"/>
    <w:rsid w:val="000E7397"/>
    <w:rsid w:val="000F0CF3"/>
    <w:rsid w:val="000F1228"/>
    <w:rsid w:val="000F196B"/>
    <w:rsid w:val="000F211C"/>
    <w:rsid w:val="000F2C51"/>
    <w:rsid w:val="000F36E7"/>
    <w:rsid w:val="000F4681"/>
    <w:rsid w:val="000F5435"/>
    <w:rsid w:val="000F72D2"/>
    <w:rsid w:val="0010196C"/>
    <w:rsid w:val="00104456"/>
    <w:rsid w:val="00105361"/>
    <w:rsid w:val="001101F8"/>
    <w:rsid w:val="00111995"/>
    <w:rsid w:val="0011206F"/>
    <w:rsid w:val="00112367"/>
    <w:rsid w:val="00115815"/>
    <w:rsid w:val="0011656A"/>
    <w:rsid w:val="00116831"/>
    <w:rsid w:val="0011701F"/>
    <w:rsid w:val="0011720F"/>
    <w:rsid w:val="001172BD"/>
    <w:rsid w:val="00117B32"/>
    <w:rsid w:val="00120E2F"/>
    <w:rsid w:val="0012220C"/>
    <w:rsid w:val="0012324C"/>
    <w:rsid w:val="00124A59"/>
    <w:rsid w:val="001253DF"/>
    <w:rsid w:val="001272B1"/>
    <w:rsid w:val="0013023B"/>
    <w:rsid w:val="00131F37"/>
    <w:rsid w:val="001325B4"/>
    <w:rsid w:val="00132D99"/>
    <w:rsid w:val="00134E8C"/>
    <w:rsid w:val="00135718"/>
    <w:rsid w:val="00136EA3"/>
    <w:rsid w:val="00137575"/>
    <w:rsid w:val="00137CE2"/>
    <w:rsid w:val="001402FD"/>
    <w:rsid w:val="00140323"/>
    <w:rsid w:val="00140BCB"/>
    <w:rsid w:val="00141D61"/>
    <w:rsid w:val="00144231"/>
    <w:rsid w:val="00144E75"/>
    <w:rsid w:val="00145470"/>
    <w:rsid w:val="00146D38"/>
    <w:rsid w:val="00146D8B"/>
    <w:rsid w:val="0014781D"/>
    <w:rsid w:val="00150434"/>
    <w:rsid w:val="0015337E"/>
    <w:rsid w:val="0015344E"/>
    <w:rsid w:val="001537E5"/>
    <w:rsid w:val="001554E5"/>
    <w:rsid w:val="00155721"/>
    <w:rsid w:val="001579E5"/>
    <w:rsid w:val="00157D65"/>
    <w:rsid w:val="001614BC"/>
    <w:rsid w:val="001637CC"/>
    <w:rsid w:val="00163896"/>
    <w:rsid w:val="0016503F"/>
    <w:rsid w:val="00165FA0"/>
    <w:rsid w:val="001664B1"/>
    <w:rsid w:val="0016674F"/>
    <w:rsid w:val="00167CA0"/>
    <w:rsid w:val="0017120D"/>
    <w:rsid w:val="001714F6"/>
    <w:rsid w:val="00176168"/>
    <w:rsid w:val="00177158"/>
    <w:rsid w:val="00180782"/>
    <w:rsid w:val="00184049"/>
    <w:rsid w:val="00184FD4"/>
    <w:rsid w:val="00186B04"/>
    <w:rsid w:val="00186C40"/>
    <w:rsid w:val="00186CB6"/>
    <w:rsid w:val="00186F1E"/>
    <w:rsid w:val="00187B81"/>
    <w:rsid w:val="001902FB"/>
    <w:rsid w:val="00190836"/>
    <w:rsid w:val="00190B4F"/>
    <w:rsid w:val="0019130F"/>
    <w:rsid w:val="00192247"/>
    <w:rsid w:val="00193930"/>
    <w:rsid w:val="00194B36"/>
    <w:rsid w:val="00194F97"/>
    <w:rsid w:val="001963A5"/>
    <w:rsid w:val="00196F1E"/>
    <w:rsid w:val="00197FCA"/>
    <w:rsid w:val="001A27DB"/>
    <w:rsid w:val="001A449B"/>
    <w:rsid w:val="001A4DA7"/>
    <w:rsid w:val="001A5F0A"/>
    <w:rsid w:val="001A6852"/>
    <w:rsid w:val="001B02A8"/>
    <w:rsid w:val="001B22D0"/>
    <w:rsid w:val="001B286A"/>
    <w:rsid w:val="001B2D02"/>
    <w:rsid w:val="001B3647"/>
    <w:rsid w:val="001B486B"/>
    <w:rsid w:val="001B4CA2"/>
    <w:rsid w:val="001B4E7D"/>
    <w:rsid w:val="001B7714"/>
    <w:rsid w:val="001B77FA"/>
    <w:rsid w:val="001C0ABE"/>
    <w:rsid w:val="001C41BD"/>
    <w:rsid w:val="001C5852"/>
    <w:rsid w:val="001C7B6D"/>
    <w:rsid w:val="001D06B5"/>
    <w:rsid w:val="001D2603"/>
    <w:rsid w:val="001D45F0"/>
    <w:rsid w:val="001D5219"/>
    <w:rsid w:val="001D5F10"/>
    <w:rsid w:val="001D6183"/>
    <w:rsid w:val="001D61F8"/>
    <w:rsid w:val="001D6F62"/>
    <w:rsid w:val="001E1335"/>
    <w:rsid w:val="001E37D5"/>
    <w:rsid w:val="001E4A33"/>
    <w:rsid w:val="001E4C67"/>
    <w:rsid w:val="001E5C27"/>
    <w:rsid w:val="001E6999"/>
    <w:rsid w:val="001E6CAF"/>
    <w:rsid w:val="001E6D74"/>
    <w:rsid w:val="001E6F3A"/>
    <w:rsid w:val="001E761F"/>
    <w:rsid w:val="001F0EEB"/>
    <w:rsid w:val="001F110E"/>
    <w:rsid w:val="001F2A2F"/>
    <w:rsid w:val="001F2BEB"/>
    <w:rsid w:val="001F2FAF"/>
    <w:rsid w:val="001F3A8F"/>
    <w:rsid w:val="001F602B"/>
    <w:rsid w:val="001F6AC8"/>
    <w:rsid w:val="001F7577"/>
    <w:rsid w:val="002037D5"/>
    <w:rsid w:val="00206317"/>
    <w:rsid w:val="00206F90"/>
    <w:rsid w:val="00207500"/>
    <w:rsid w:val="002110FD"/>
    <w:rsid w:val="00211427"/>
    <w:rsid w:val="00211831"/>
    <w:rsid w:val="002119D3"/>
    <w:rsid w:val="00212761"/>
    <w:rsid w:val="00212838"/>
    <w:rsid w:val="00212B03"/>
    <w:rsid w:val="00214410"/>
    <w:rsid w:val="00214D79"/>
    <w:rsid w:val="00215C10"/>
    <w:rsid w:val="00215C2D"/>
    <w:rsid w:val="0021657D"/>
    <w:rsid w:val="00217C14"/>
    <w:rsid w:val="00217E5C"/>
    <w:rsid w:val="00220876"/>
    <w:rsid w:val="00220B58"/>
    <w:rsid w:val="0022175E"/>
    <w:rsid w:val="00223483"/>
    <w:rsid w:val="00224AF6"/>
    <w:rsid w:val="002252C4"/>
    <w:rsid w:val="0022541A"/>
    <w:rsid w:val="002268E6"/>
    <w:rsid w:val="0022744A"/>
    <w:rsid w:val="0023140A"/>
    <w:rsid w:val="0023183E"/>
    <w:rsid w:val="00231F76"/>
    <w:rsid w:val="00232B04"/>
    <w:rsid w:val="00233227"/>
    <w:rsid w:val="002332AA"/>
    <w:rsid w:val="00234A28"/>
    <w:rsid w:val="00235138"/>
    <w:rsid w:val="00240E8B"/>
    <w:rsid w:val="00242B6F"/>
    <w:rsid w:val="002434ED"/>
    <w:rsid w:val="00243E36"/>
    <w:rsid w:val="00244393"/>
    <w:rsid w:val="0024540B"/>
    <w:rsid w:val="00245EF4"/>
    <w:rsid w:val="00247C74"/>
    <w:rsid w:val="00247FC3"/>
    <w:rsid w:val="00250E11"/>
    <w:rsid w:val="00251383"/>
    <w:rsid w:val="00251A06"/>
    <w:rsid w:val="002522C9"/>
    <w:rsid w:val="00252A21"/>
    <w:rsid w:val="00253E4F"/>
    <w:rsid w:val="002542E4"/>
    <w:rsid w:val="002549DC"/>
    <w:rsid w:val="00255F7D"/>
    <w:rsid w:val="00256181"/>
    <w:rsid w:val="00257E7F"/>
    <w:rsid w:val="00260C21"/>
    <w:rsid w:val="00261053"/>
    <w:rsid w:val="00261F4B"/>
    <w:rsid w:val="0026220E"/>
    <w:rsid w:val="00262DE4"/>
    <w:rsid w:val="00262FDE"/>
    <w:rsid w:val="00263629"/>
    <w:rsid w:val="002641D0"/>
    <w:rsid w:val="00264EBD"/>
    <w:rsid w:val="0026594D"/>
    <w:rsid w:val="002731BD"/>
    <w:rsid w:val="002756C2"/>
    <w:rsid w:val="002766B8"/>
    <w:rsid w:val="002769BD"/>
    <w:rsid w:val="0027783E"/>
    <w:rsid w:val="002809EA"/>
    <w:rsid w:val="00280BE8"/>
    <w:rsid w:val="00284962"/>
    <w:rsid w:val="002860B7"/>
    <w:rsid w:val="00287B0E"/>
    <w:rsid w:val="002909E6"/>
    <w:rsid w:val="00291053"/>
    <w:rsid w:val="00292C59"/>
    <w:rsid w:val="00293A43"/>
    <w:rsid w:val="002941C8"/>
    <w:rsid w:val="0029549C"/>
    <w:rsid w:val="002954B9"/>
    <w:rsid w:val="00297298"/>
    <w:rsid w:val="002977EC"/>
    <w:rsid w:val="002A0B53"/>
    <w:rsid w:val="002A0EEF"/>
    <w:rsid w:val="002A33CD"/>
    <w:rsid w:val="002A33F3"/>
    <w:rsid w:val="002A5735"/>
    <w:rsid w:val="002A62C7"/>
    <w:rsid w:val="002A706C"/>
    <w:rsid w:val="002B05F5"/>
    <w:rsid w:val="002B093C"/>
    <w:rsid w:val="002B2316"/>
    <w:rsid w:val="002B2DF7"/>
    <w:rsid w:val="002B33C7"/>
    <w:rsid w:val="002B501A"/>
    <w:rsid w:val="002B71B1"/>
    <w:rsid w:val="002C01B5"/>
    <w:rsid w:val="002C0E0E"/>
    <w:rsid w:val="002C1D46"/>
    <w:rsid w:val="002C2686"/>
    <w:rsid w:val="002C2A0D"/>
    <w:rsid w:val="002C3BF4"/>
    <w:rsid w:val="002C4CC2"/>
    <w:rsid w:val="002C749F"/>
    <w:rsid w:val="002D30AE"/>
    <w:rsid w:val="002D37CF"/>
    <w:rsid w:val="002E1BC5"/>
    <w:rsid w:val="002E4960"/>
    <w:rsid w:val="002E4DF4"/>
    <w:rsid w:val="002E5AE1"/>
    <w:rsid w:val="002E6B9B"/>
    <w:rsid w:val="002E736D"/>
    <w:rsid w:val="002F059B"/>
    <w:rsid w:val="002F12D7"/>
    <w:rsid w:val="002F1419"/>
    <w:rsid w:val="002F18A1"/>
    <w:rsid w:val="002F18B3"/>
    <w:rsid w:val="002F24B2"/>
    <w:rsid w:val="002F2ED5"/>
    <w:rsid w:val="002F5194"/>
    <w:rsid w:val="002F5494"/>
    <w:rsid w:val="002F5B0B"/>
    <w:rsid w:val="003005DF"/>
    <w:rsid w:val="00300924"/>
    <w:rsid w:val="00305777"/>
    <w:rsid w:val="0030596E"/>
    <w:rsid w:val="003061EA"/>
    <w:rsid w:val="00306610"/>
    <w:rsid w:val="003073C3"/>
    <w:rsid w:val="003106D7"/>
    <w:rsid w:val="00315295"/>
    <w:rsid w:val="00323407"/>
    <w:rsid w:val="00323637"/>
    <w:rsid w:val="00324838"/>
    <w:rsid w:val="00324E8A"/>
    <w:rsid w:val="0033115B"/>
    <w:rsid w:val="00331D87"/>
    <w:rsid w:val="00332850"/>
    <w:rsid w:val="00332DD3"/>
    <w:rsid w:val="003332BD"/>
    <w:rsid w:val="00334478"/>
    <w:rsid w:val="003344E3"/>
    <w:rsid w:val="003346B4"/>
    <w:rsid w:val="00334AE6"/>
    <w:rsid w:val="003365D0"/>
    <w:rsid w:val="00336CCE"/>
    <w:rsid w:val="00340188"/>
    <w:rsid w:val="003402FB"/>
    <w:rsid w:val="00340FB5"/>
    <w:rsid w:val="00342002"/>
    <w:rsid w:val="00343534"/>
    <w:rsid w:val="003439AB"/>
    <w:rsid w:val="003448C8"/>
    <w:rsid w:val="0034525B"/>
    <w:rsid w:val="003453BB"/>
    <w:rsid w:val="003453E4"/>
    <w:rsid w:val="00345669"/>
    <w:rsid w:val="00354695"/>
    <w:rsid w:val="0035549B"/>
    <w:rsid w:val="00355563"/>
    <w:rsid w:val="00355E4E"/>
    <w:rsid w:val="00355FD9"/>
    <w:rsid w:val="00357AF7"/>
    <w:rsid w:val="003621D5"/>
    <w:rsid w:val="00363422"/>
    <w:rsid w:val="00364DEC"/>
    <w:rsid w:val="00371B7F"/>
    <w:rsid w:val="00374598"/>
    <w:rsid w:val="003755C8"/>
    <w:rsid w:val="00375687"/>
    <w:rsid w:val="00375C20"/>
    <w:rsid w:val="0037634B"/>
    <w:rsid w:val="003774CD"/>
    <w:rsid w:val="003776E0"/>
    <w:rsid w:val="00380AE0"/>
    <w:rsid w:val="00383324"/>
    <w:rsid w:val="00383895"/>
    <w:rsid w:val="00384DEF"/>
    <w:rsid w:val="00384FD5"/>
    <w:rsid w:val="00385B6A"/>
    <w:rsid w:val="00387357"/>
    <w:rsid w:val="00387A75"/>
    <w:rsid w:val="00387CC5"/>
    <w:rsid w:val="003904FD"/>
    <w:rsid w:val="0039128B"/>
    <w:rsid w:val="0039246C"/>
    <w:rsid w:val="00392EA6"/>
    <w:rsid w:val="00394254"/>
    <w:rsid w:val="0039465F"/>
    <w:rsid w:val="003A326E"/>
    <w:rsid w:val="003A5E15"/>
    <w:rsid w:val="003B0D1D"/>
    <w:rsid w:val="003B0DFA"/>
    <w:rsid w:val="003B195C"/>
    <w:rsid w:val="003B4E4B"/>
    <w:rsid w:val="003B7AF7"/>
    <w:rsid w:val="003C0666"/>
    <w:rsid w:val="003C1D88"/>
    <w:rsid w:val="003C2B39"/>
    <w:rsid w:val="003C2BFB"/>
    <w:rsid w:val="003C3440"/>
    <w:rsid w:val="003C3E2D"/>
    <w:rsid w:val="003C436B"/>
    <w:rsid w:val="003C4FC1"/>
    <w:rsid w:val="003C5337"/>
    <w:rsid w:val="003C5F92"/>
    <w:rsid w:val="003C6B68"/>
    <w:rsid w:val="003C7FD8"/>
    <w:rsid w:val="003D0977"/>
    <w:rsid w:val="003D0F03"/>
    <w:rsid w:val="003D329F"/>
    <w:rsid w:val="003D473E"/>
    <w:rsid w:val="003D4C7B"/>
    <w:rsid w:val="003D56EB"/>
    <w:rsid w:val="003D7A8C"/>
    <w:rsid w:val="003D7C00"/>
    <w:rsid w:val="003E0EB4"/>
    <w:rsid w:val="003E159B"/>
    <w:rsid w:val="003E1BF9"/>
    <w:rsid w:val="003E253E"/>
    <w:rsid w:val="003E423D"/>
    <w:rsid w:val="003E5399"/>
    <w:rsid w:val="003E56E5"/>
    <w:rsid w:val="003E5D91"/>
    <w:rsid w:val="003E7051"/>
    <w:rsid w:val="003E7237"/>
    <w:rsid w:val="003E7E60"/>
    <w:rsid w:val="003E7EE5"/>
    <w:rsid w:val="003F00D4"/>
    <w:rsid w:val="003F0592"/>
    <w:rsid w:val="003F0BCD"/>
    <w:rsid w:val="003F2209"/>
    <w:rsid w:val="003F3D39"/>
    <w:rsid w:val="003F6055"/>
    <w:rsid w:val="003F646A"/>
    <w:rsid w:val="003F6761"/>
    <w:rsid w:val="003F6956"/>
    <w:rsid w:val="003F6A0A"/>
    <w:rsid w:val="00401816"/>
    <w:rsid w:val="004024F5"/>
    <w:rsid w:val="00402DE1"/>
    <w:rsid w:val="00403D8B"/>
    <w:rsid w:val="004058F1"/>
    <w:rsid w:val="00407E7D"/>
    <w:rsid w:val="0041076A"/>
    <w:rsid w:val="00410B33"/>
    <w:rsid w:val="0041283D"/>
    <w:rsid w:val="00413AB4"/>
    <w:rsid w:val="00414DC0"/>
    <w:rsid w:val="00414F5E"/>
    <w:rsid w:val="00415EBC"/>
    <w:rsid w:val="00417F77"/>
    <w:rsid w:val="0042037B"/>
    <w:rsid w:val="0042039C"/>
    <w:rsid w:val="00421373"/>
    <w:rsid w:val="00421FB7"/>
    <w:rsid w:val="004234A4"/>
    <w:rsid w:val="00423A6C"/>
    <w:rsid w:val="004254D6"/>
    <w:rsid w:val="0042763B"/>
    <w:rsid w:val="00427D1C"/>
    <w:rsid w:val="0043024C"/>
    <w:rsid w:val="00431A0D"/>
    <w:rsid w:val="004321C9"/>
    <w:rsid w:val="00433FEC"/>
    <w:rsid w:val="004359DD"/>
    <w:rsid w:val="00436706"/>
    <w:rsid w:val="004367EC"/>
    <w:rsid w:val="00436B29"/>
    <w:rsid w:val="004421AB"/>
    <w:rsid w:val="00442FBF"/>
    <w:rsid w:val="00443D38"/>
    <w:rsid w:val="004446B3"/>
    <w:rsid w:val="0044552B"/>
    <w:rsid w:val="00445A84"/>
    <w:rsid w:val="00446CEC"/>
    <w:rsid w:val="00447A60"/>
    <w:rsid w:val="00447D5F"/>
    <w:rsid w:val="00450E7A"/>
    <w:rsid w:val="00454C1D"/>
    <w:rsid w:val="00456AF8"/>
    <w:rsid w:val="00457255"/>
    <w:rsid w:val="0046116D"/>
    <w:rsid w:val="00464D98"/>
    <w:rsid w:val="00464DD2"/>
    <w:rsid w:val="004652AE"/>
    <w:rsid w:val="00467D48"/>
    <w:rsid w:val="004706BC"/>
    <w:rsid w:val="00470B15"/>
    <w:rsid w:val="0047225A"/>
    <w:rsid w:val="00472BCC"/>
    <w:rsid w:val="004750AF"/>
    <w:rsid w:val="00475869"/>
    <w:rsid w:val="00475A77"/>
    <w:rsid w:val="00475B73"/>
    <w:rsid w:val="00475D4C"/>
    <w:rsid w:val="004765AC"/>
    <w:rsid w:val="0047737D"/>
    <w:rsid w:val="004776A8"/>
    <w:rsid w:val="00477EF1"/>
    <w:rsid w:val="004801EB"/>
    <w:rsid w:val="00480CBB"/>
    <w:rsid w:val="0048216A"/>
    <w:rsid w:val="00482DDC"/>
    <w:rsid w:val="00483E6C"/>
    <w:rsid w:val="00484290"/>
    <w:rsid w:val="00484421"/>
    <w:rsid w:val="00484E84"/>
    <w:rsid w:val="00485129"/>
    <w:rsid w:val="004865C3"/>
    <w:rsid w:val="004866A9"/>
    <w:rsid w:val="0048687E"/>
    <w:rsid w:val="00486C40"/>
    <w:rsid w:val="00486E1F"/>
    <w:rsid w:val="00487D0A"/>
    <w:rsid w:val="00490FB8"/>
    <w:rsid w:val="004912EA"/>
    <w:rsid w:val="00491CAD"/>
    <w:rsid w:val="004923D3"/>
    <w:rsid w:val="00492774"/>
    <w:rsid w:val="004963BB"/>
    <w:rsid w:val="004968F6"/>
    <w:rsid w:val="00496D7A"/>
    <w:rsid w:val="004A2B67"/>
    <w:rsid w:val="004A31BC"/>
    <w:rsid w:val="004A3F1A"/>
    <w:rsid w:val="004A3F45"/>
    <w:rsid w:val="004A6731"/>
    <w:rsid w:val="004B1AFA"/>
    <w:rsid w:val="004B1BA4"/>
    <w:rsid w:val="004B1D3B"/>
    <w:rsid w:val="004B1D73"/>
    <w:rsid w:val="004B5769"/>
    <w:rsid w:val="004B6047"/>
    <w:rsid w:val="004B7088"/>
    <w:rsid w:val="004C066B"/>
    <w:rsid w:val="004C5B76"/>
    <w:rsid w:val="004C6EC9"/>
    <w:rsid w:val="004D02CD"/>
    <w:rsid w:val="004D0B24"/>
    <w:rsid w:val="004D4B90"/>
    <w:rsid w:val="004D51BE"/>
    <w:rsid w:val="004D56A4"/>
    <w:rsid w:val="004D6663"/>
    <w:rsid w:val="004D67A5"/>
    <w:rsid w:val="004D6B95"/>
    <w:rsid w:val="004D703B"/>
    <w:rsid w:val="004D7F41"/>
    <w:rsid w:val="004E03A2"/>
    <w:rsid w:val="004E205F"/>
    <w:rsid w:val="004E2765"/>
    <w:rsid w:val="004E317E"/>
    <w:rsid w:val="004E3954"/>
    <w:rsid w:val="004E5856"/>
    <w:rsid w:val="004F2330"/>
    <w:rsid w:val="004F3468"/>
    <w:rsid w:val="004F4967"/>
    <w:rsid w:val="004F53C6"/>
    <w:rsid w:val="004F619E"/>
    <w:rsid w:val="004F69DB"/>
    <w:rsid w:val="004F6B87"/>
    <w:rsid w:val="004F6EBB"/>
    <w:rsid w:val="005006DE"/>
    <w:rsid w:val="0050155D"/>
    <w:rsid w:val="00501C2D"/>
    <w:rsid w:val="00502143"/>
    <w:rsid w:val="00502637"/>
    <w:rsid w:val="00503FB6"/>
    <w:rsid w:val="0050453E"/>
    <w:rsid w:val="00505460"/>
    <w:rsid w:val="005078DF"/>
    <w:rsid w:val="00507EE9"/>
    <w:rsid w:val="00511018"/>
    <w:rsid w:val="00511140"/>
    <w:rsid w:val="00511F86"/>
    <w:rsid w:val="00513CFE"/>
    <w:rsid w:val="00514E6D"/>
    <w:rsid w:val="005151E8"/>
    <w:rsid w:val="0051532B"/>
    <w:rsid w:val="0051561B"/>
    <w:rsid w:val="00516EDB"/>
    <w:rsid w:val="00521143"/>
    <w:rsid w:val="005218FC"/>
    <w:rsid w:val="00521B07"/>
    <w:rsid w:val="0052260A"/>
    <w:rsid w:val="0052384A"/>
    <w:rsid w:val="00523B6A"/>
    <w:rsid w:val="00524AFC"/>
    <w:rsid w:val="00525F6C"/>
    <w:rsid w:val="00526054"/>
    <w:rsid w:val="005264D9"/>
    <w:rsid w:val="005276BA"/>
    <w:rsid w:val="005276EA"/>
    <w:rsid w:val="0053064F"/>
    <w:rsid w:val="005319D8"/>
    <w:rsid w:val="0053609F"/>
    <w:rsid w:val="00540D03"/>
    <w:rsid w:val="00541AB2"/>
    <w:rsid w:val="005426E9"/>
    <w:rsid w:val="00542BBF"/>
    <w:rsid w:val="00542C2A"/>
    <w:rsid w:val="00543B31"/>
    <w:rsid w:val="00545126"/>
    <w:rsid w:val="00545321"/>
    <w:rsid w:val="005454D7"/>
    <w:rsid w:val="00546AB4"/>
    <w:rsid w:val="00546DA6"/>
    <w:rsid w:val="00547F49"/>
    <w:rsid w:val="005514E5"/>
    <w:rsid w:val="005524F0"/>
    <w:rsid w:val="005529A6"/>
    <w:rsid w:val="00553500"/>
    <w:rsid w:val="0055520C"/>
    <w:rsid w:val="00556A31"/>
    <w:rsid w:val="00562612"/>
    <w:rsid w:val="00563C84"/>
    <w:rsid w:val="0056568A"/>
    <w:rsid w:val="005673D6"/>
    <w:rsid w:val="00567AF3"/>
    <w:rsid w:val="005719FC"/>
    <w:rsid w:val="005741E4"/>
    <w:rsid w:val="005762F6"/>
    <w:rsid w:val="00576D2A"/>
    <w:rsid w:val="005773B5"/>
    <w:rsid w:val="00583163"/>
    <w:rsid w:val="00584ABD"/>
    <w:rsid w:val="00584FBE"/>
    <w:rsid w:val="005850DF"/>
    <w:rsid w:val="00585483"/>
    <w:rsid w:val="005859C0"/>
    <w:rsid w:val="00587378"/>
    <w:rsid w:val="00587C05"/>
    <w:rsid w:val="00590AAB"/>
    <w:rsid w:val="0059116F"/>
    <w:rsid w:val="0059239B"/>
    <w:rsid w:val="00592E5A"/>
    <w:rsid w:val="005938C3"/>
    <w:rsid w:val="0059453E"/>
    <w:rsid w:val="0059468C"/>
    <w:rsid w:val="00595125"/>
    <w:rsid w:val="0059556E"/>
    <w:rsid w:val="0059578F"/>
    <w:rsid w:val="005957EA"/>
    <w:rsid w:val="00596F21"/>
    <w:rsid w:val="005A05A9"/>
    <w:rsid w:val="005A2024"/>
    <w:rsid w:val="005A7B8E"/>
    <w:rsid w:val="005B1CDD"/>
    <w:rsid w:val="005B1E19"/>
    <w:rsid w:val="005B28C9"/>
    <w:rsid w:val="005B3F8B"/>
    <w:rsid w:val="005B55FC"/>
    <w:rsid w:val="005B6456"/>
    <w:rsid w:val="005B7E1F"/>
    <w:rsid w:val="005C2D5E"/>
    <w:rsid w:val="005C3059"/>
    <w:rsid w:val="005C3B81"/>
    <w:rsid w:val="005C45D9"/>
    <w:rsid w:val="005C650C"/>
    <w:rsid w:val="005D086C"/>
    <w:rsid w:val="005D11D3"/>
    <w:rsid w:val="005D23EA"/>
    <w:rsid w:val="005D243C"/>
    <w:rsid w:val="005D2DA9"/>
    <w:rsid w:val="005D4E1F"/>
    <w:rsid w:val="005D4FB3"/>
    <w:rsid w:val="005E0B58"/>
    <w:rsid w:val="005E2F07"/>
    <w:rsid w:val="005E2FEA"/>
    <w:rsid w:val="005E536E"/>
    <w:rsid w:val="005F030B"/>
    <w:rsid w:val="005F0A54"/>
    <w:rsid w:val="005F2A60"/>
    <w:rsid w:val="005F314B"/>
    <w:rsid w:val="005F3836"/>
    <w:rsid w:val="005F4072"/>
    <w:rsid w:val="005F722D"/>
    <w:rsid w:val="006005D9"/>
    <w:rsid w:val="00601548"/>
    <w:rsid w:val="006026B8"/>
    <w:rsid w:val="00603B49"/>
    <w:rsid w:val="00604A9A"/>
    <w:rsid w:val="00605BC7"/>
    <w:rsid w:val="00606C74"/>
    <w:rsid w:val="006078B9"/>
    <w:rsid w:val="00607D37"/>
    <w:rsid w:val="0061079C"/>
    <w:rsid w:val="00611AF2"/>
    <w:rsid w:val="006120F6"/>
    <w:rsid w:val="0061212B"/>
    <w:rsid w:val="006127AF"/>
    <w:rsid w:val="00612F08"/>
    <w:rsid w:val="0061311D"/>
    <w:rsid w:val="00615322"/>
    <w:rsid w:val="00615D12"/>
    <w:rsid w:val="00615FB2"/>
    <w:rsid w:val="00616D16"/>
    <w:rsid w:val="00617887"/>
    <w:rsid w:val="00617BD1"/>
    <w:rsid w:val="00617CE8"/>
    <w:rsid w:val="00617E6E"/>
    <w:rsid w:val="006202A3"/>
    <w:rsid w:val="0062076A"/>
    <w:rsid w:val="006216F1"/>
    <w:rsid w:val="006218FD"/>
    <w:rsid w:val="00622E04"/>
    <w:rsid w:val="00627252"/>
    <w:rsid w:val="00627675"/>
    <w:rsid w:val="006278A0"/>
    <w:rsid w:val="0063063A"/>
    <w:rsid w:val="0063095F"/>
    <w:rsid w:val="00630C82"/>
    <w:rsid w:val="006338B0"/>
    <w:rsid w:val="00633E76"/>
    <w:rsid w:val="006346DF"/>
    <w:rsid w:val="00636A61"/>
    <w:rsid w:val="00636B44"/>
    <w:rsid w:val="006373FB"/>
    <w:rsid w:val="00640298"/>
    <w:rsid w:val="00642D36"/>
    <w:rsid w:val="00644E36"/>
    <w:rsid w:val="00646AC2"/>
    <w:rsid w:val="006479F6"/>
    <w:rsid w:val="00650390"/>
    <w:rsid w:val="006507AA"/>
    <w:rsid w:val="00651080"/>
    <w:rsid w:val="0065275A"/>
    <w:rsid w:val="00654D65"/>
    <w:rsid w:val="00654DAB"/>
    <w:rsid w:val="00656114"/>
    <w:rsid w:val="00657741"/>
    <w:rsid w:val="00660F8C"/>
    <w:rsid w:val="0066204A"/>
    <w:rsid w:val="00663B68"/>
    <w:rsid w:val="00667AD1"/>
    <w:rsid w:val="00670E3C"/>
    <w:rsid w:val="00670EE7"/>
    <w:rsid w:val="0067484F"/>
    <w:rsid w:val="00674A31"/>
    <w:rsid w:val="006755BF"/>
    <w:rsid w:val="00675967"/>
    <w:rsid w:val="00675ED3"/>
    <w:rsid w:val="00676204"/>
    <w:rsid w:val="00677092"/>
    <w:rsid w:val="006770E6"/>
    <w:rsid w:val="00677F57"/>
    <w:rsid w:val="00680FC5"/>
    <w:rsid w:val="00681088"/>
    <w:rsid w:val="00681CE6"/>
    <w:rsid w:val="00682C24"/>
    <w:rsid w:val="00682DDD"/>
    <w:rsid w:val="00683C06"/>
    <w:rsid w:val="006844E2"/>
    <w:rsid w:val="00685D31"/>
    <w:rsid w:val="0068703A"/>
    <w:rsid w:val="00691264"/>
    <w:rsid w:val="0069218C"/>
    <w:rsid w:val="0069246A"/>
    <w:rsid w:val="0069277D"/>
    <w:rsid w:val="0069291E"/>
    <w:rsid w:val="00692E7B"/>
    <w:rsid w:val="0069577E"/>
    <w:rsid w:val="0069634B"/>
    <w:rsid w:val="00696623"/>
    <w:rsid w:val="00697C74"/>
    <w:rsid w:val="006A04E9"/>
    <w:rsid w:val="006A0919"/>
    <w:rsid w:val="006A09E9"/>
    <w:rsid w:val="006A217C"/>
    <w:rsid w:val="006A268F"/>
    <w:rsid w:val="006A4A03"/>
    <w:rsid w:val="006A531E"/>
    <w:rsid w:val="006A55DB"/>
    <w:rsid w:val="006A585F"/>
    <w:rsid w:val="006A72FA"/>
    <w:rsid w:val="006A7543"/>
    <w:rsid w:val="006A79BD"/>
    <w:rsid w:val="006B0B3E"/>
    <w:rsid w:val="006B1CB3"/>
    <w:rsid w:val="006B2D2C"/>
    <w:rsid w:val="006B34D0"/>
    <w:rsid w:val="006B51AC"/>
    <w:rsid w:val="006B6158"/>
    <w:rsid w:val="006B6EDE"/>
    <w:rsid w:val="006B725C"/>
    <w:rsid w:val="006C15BB"/>
    <w:rsid w:val="006C273D"/>
    <w:rsid w:val="006C3837"/>
    <w:rsid w:val="006C4120"/>
    <w:rsid w:val="006C5C4F"/>
    <w:rsid w:val="006C6282"/>
    <w:rsid w:val="006C6556"/>
    <w:rsid w:val="006C762A"/>
    <w:rsid w:val="006D0801"/>
    <w:rsid w:val="006D0F27"/>
    <w:rsid w:val="006D10CD"/>
    <w:rsid w:val="006D1DCB"/>
    <w:rsid w:val="006D2E97"/>
    <w:rsid w:val="006D4257"/>
    <w:rsid w:val="006D42F5"/>
    <w:rsid w:val="006D46E6"/>
    <w:rsid w:val="006D5FF9"/>
    <w:rsid w:val="006D6AE7"/>
    <w:rsid w:val="006D7BAB"/>
    <w:rsid w:val="006E0772"/>
    <w:rsid w:val="006E0F86"/>
    <w:rsid w:val="006E0FD7"/>
    <w:rsid w:val="006E171C"/>
    <w:rsid w:val="006E23F0"/>
    <w:rsid w:val="006E4849"/>
    <w:rsid w:val="006E5385"/>
    <w:rsid w:val="006E780B"/>
    <w:rsid w:val="006E7E66"/>
    <w:rsid w:val="006F0502"/>
    <w:rsid w:val="006F0B15"/>
    <w:rsid w:val="006F0DCC"/>
    <w:rsid w:val="006F25F3"/>
    <w:rsid w:val="006F4AB1"/>
    <w:rsid w:val="006F50C0"/>
    <w:rsid w:val="006F5E28"/>
    <w:rsid w:val="006F5F20"/>
    <w:rsid w:val="006F72A7"/>
    <w:rsid w:val="006F767A"/>
    <w:rsid w:val="00700FF6"/>
    <w:rsid w:val="0070219B"/>
    <w:rsid w:val="00703DF9"/>
    <w:rsid w:val="007048EB"/>
    <w:rsid w:val="00704FBB"/>
    <w:rsid w:val="007052BE"/>
    <w:rsid w:val="00705BC5"/>
    <w:rsid w:val="0070726A"/>
    <w:rsid w:val="0070729B"/>
    <w:rsid w:val="00707CAA"/>
    <w:rsid w:val="00711094"/>
    <w:rsid w:val="007112A1"/>
    <w:rsid w:val="007121BC"/>
    <w:rsid w:val="0071226B"/>
    <w:rsid w:val="00717040"/>
    <w:rsid w:val="00717184"/>
    <w:rsid w:val="0071767E"/>
    <w:rsid w:val="0072040F"/>
    <w:rsid w:val="0072135C"/>
    <w:rsid w:val="00723E90"/>
    <w:rsid w:val="007304EE"/>
    <w:rsid w:val="007310E8"/>
    <w:rsid w:val="007339B7"/>
    <w:rsid w:val="00734D8B"/>
    <w:rsid w:val="00735B3E"/>
    <w:rsid w:val="007361F2"/>
    <w:rsid w:val="00737BCB"/>
    <w:rsid w:val="00743F1C"/>
    <w:rsid w:val="007443DD"/>
    <w:rsid w:val="00747547"/>
    <w:rsid w:val="0074754E"/>
    <w:rsid w:val="00747639"/>
    <w:rsid w:val="00751057"/>
    <w:rsid w:val="00752E60"/>
    <w:rsid w:val="00754650"/>
    <w:rsid w:val="00754B78"/>
    <w:rsid w:val="00762A41"/>
    <w:rsid w:val="00766970"/>
    <w:rsid w:val="00766CC0"/>
    <w:rsid w:val="00766E7B"/>
    <w:rsid w:val="00772720"/>
    <w:rsid w:val="00773849"/>
    <w:rsid w:val="00773F5E"/>
    <w:rsid w:val="007750A2"/>
    <w:rsid w:val="00775CDC"/>
    <w:rsid w:val="00781197"/>
    <w:rsid w:val="0078142B"/>
    <w:rsid w:val="007817D6"/>
    <w:rsid w:val="00781E17"/>
    <w:rsid w:val="00782044"/>
    <w:rsid w:val="007832D4"/>
    <w:rsid w:val="00787912"/>
    <w:rsid w:val="00790C96"/>
    <w:rsid w:val="00790DCF"/>
    <w:rsid w:val="0079177A"/>
    <w:rsid w:val="00791CFA"/>
    <w:rsid w:val="00793731"/>
    <w:rsid w:val="00794836"/>
    <w:rsid w:val="007948D5"/>
    <w:rsid w:val="0079518C"/>
    <w:rsid w:val="007955DB"/>
    <w:rsid w:val="007A0D7C"/>
    <w:rsid w:val="007A157B"/>
    <w:rsid w:val="007A15C9"/>
    <w:rsid w:val="007A21C5"/>
    <w:rsid w:val="007A4F56"/>
    <w:rsid w:val="007A6676"/>
    <w:rsid w:val="007B153C"/>
    <w:rsid w:val="007B4AC9"/>
    <w:rsid w:val="007B6010"/>
    <w:rsid w:val="007B7FF5"/>
    <w:rsid w:val="007B7FFE"/>
    <w:rsid w:val="007C1148"/>
    <w:rsid w:val="007C1AB5"/>
    <w:rsid w:val="007C3FC6"/>
    <w:rsid w:val="007C5AAD"/>
    <w:rsid w:val="007D008A"/>
    <w:rsid w:val="007D2A1A"/>
    <w:rsid w:val="007D2CE9"/>
    <w:rsid w:val="007D3771"/>
    <w:rsid w:val="007D4218"/>
    <w:rsid w:val="007D4951"/>
    <w:rsid w:val="007D4FED"/>
    <w:rsid w:val="007D50B2"/>
    <w:rsid w:val="007D5717"/>
    <w:rsid w:val="007D69DA"/>
    <w:rsid w:val="007D70B1"/>
    <w:rsid w:val="007D7140"/>
    <w:rsid w:val="007E1553"/>
    <w:rsid w:val="007E1C73"/>
    <w:rsid w:val="007E1CDB"/>
    <w:rsid w:val="007E28EB"/>
    <w:rsid w:val="007E3302"/>
    <w:rsid w:val="007E408C"/>
    <w:rsid w:val="007E42E7"/>
    <w:rsid w:val="007E43E8"/>
    <w:rsid w:val="007E7E21"/>
    <w:rsid w:val="007F0460"/>
    <w:rsid w:val="007F0DA2"/>
    <w:rsid w:val="007F2320"/>
    <w:rsid w:val="007F246C"/>
    <w:rsid w:val="007F24B4"/>
    <w:rsid w:val="007F37ED"/>
    <w:rsid w:val="007F39CE"/>
    <w:rsid w:val="007F5E0D"/>
    <w:rsid w:val="007F6F3F"/>
    <w:rsid w:val="00800ECB"/>
    <w:rsid w:val="00801085"/>
    <w:rsid w:val="00801559"/>
    <w:rsid w:val="00801A89"/>
    <w:rsid w:val="00802A21"/>
    <w:rsid w:val="00805038"/>
    <w:rsid w:val="0080688B"/>
    <w:rsid w:val="00807869"/>
    <w:rsid w:val="00807A37"/>
    <w:rsid w:val="0081193B"/>
    <w:rsid w:val="00812138"/>
    <w:rsid w:val="00812C54"/>
    <w:rsid w:val="008151F2"/>
    <w:rsid w:val="008157D9"/>
    <w:rsid w:val="008170D7"/>
    <w:rsid w:val="0081777A"/>
    <w:rsid w:val="008210E0"/>
    <w:rsid w:val="008227EB"/>
    <w:rsid w:val="00824079"/>
    <w:rsid w:val="008307AE"/>
    <w:rsid w:val="00830AFB"/>
    <w:rsid w:val="00831F0A"/>
    <w:rsid w:val="008332CF"/>
    <w:rsid w:val="00833A78"/>
    <w:rsid w:val="0083503C"/>
    <w:rsid w:val="008356E6"/>
    <w:rsid w:val="0084585F"/>
    <w:rsid w:val="008462B4"/>
    <w:rsid w:val="0084671D"/>
    <w:rsid w:val="00846A62"/>
    <w:rsid w:val="0085047C"/>
    <w:rsid w:val="008514A9"/>
    <w:rsid w:val="008530C5"/>
    <w:rsid w:val="00853E53"/>
    <w:rsid w:val="008573CB"/>
    <w:rsid w:val="0086033A"/>
    <w:rsid w:val="008615FF"/>
    <w:rsid w:val="00863A73"/>
    <w:rsid w:val="00863EB6"/>
    <w:rsid w:val="00864D76"/>
    <w:rsid w:val="00865159"/>
    <w:rsid w:val="008656C9"/>
    <w:rsid w:val="00866B35"/>
    <w:rsid w:val="0086711C"/>
    <w:rsid w:val="00867535"/>
    <w:rsid w:val="008754FA"/>
    <w:rsid w:val="00875BD4"/>
    <w:rsid w:val="00875C5B"/>
    <w:rsid w:val="00882417"/>
    <w:rsid w:val="00883B5B"/>
    <w:rsid w:val="00883C5F"/>
    <w:rsid w:val="00884854"/>
    <w:rsid w:val="008905E3"/>
    <w:rsid w:val="00891C7D"/>
    <w:rsid w:val="008921BF"/>
    <w:rsid w:val="00892FA7"/>
    <w:rsid w:val="00893F54"/>
    <w:rsid w:val="008956BA"/>
    <w:rsid w:val="00895E2D"/>
    <w:rsid w:val="00896798"/>
    <w:rsid w:val="008968E1"/>
    <w:rsid w:val="00896B4D"/>
    <w:rsid w:val="00896F44"/>
    <w:rsid w:val="008A1639"/>
    <w:rsid w:val="008A2221"/>
    <w:rsid w:val="008A3301"/>
    <w:rsid w:val="008A3F1E"/>
    <w:rsid w:val="008A40F1"/>
    <w:rsid w:val="008A44B0"/>
    <w:rsid w:val="008A4DF1"/>
    <w:rsid w:val="008A5636"/>
    <w:rsid w:val="008A7FF9"/>
    <w:rsid w:val="008B0BA0"/>
    <w:rsid w:val="008B125E"/>
    <w:rsid w:val="008B142F"/>
    <w:rsid w:val="008B1935"/>
    <w:rsid w:val="008B20FC"/>
    <w:rsid w:val="008B241C"/>
    <w:rsid w:val="008B408B"/>
    <w:rsid w:val="008B4F11"/>
    <w:rsid w:val="008B7619"/>
    <w:rsid w:val="008C2362"/>
    <w:rsid w:val="008C2EE0"/>
    <w:rsid w:val="008C3049"/>
    <w:rsid w:val="008C6F2C"/>
    <w:rsid w:val="008C7780"/>
    <w:rsid w:val="008C7D42"/>
    <w:rsid w:val="008D1661"/>
    <w:rsid w:val="008D1BBF"/>
    <w:rsid w:val="008D232D"/>
    <w:rsid w:val="008D2418"/>
    <w:rsid w:val="008D4AE9"/>
    <w:rsid w:val="008D5C6B"/>
    <w:rsid w:val="008D5CF3"/>
    <w:rsid w:val="008D5E21"/>
    <w:rsid w:val="008D62AF"/>
    <w:rsid w:val="008D7070"/>
    <w:rsid w:val="008D7272"/>
    <w:rsid w:val="008D74D7"/>
    <w:rsid w:val="008D7D39"/>
    <w:rsid w:val="008E0FC9"/>
    <w:rsid w:val="008E1325"/>
    <w:rsid w:val="008E3AA1"/>
    <w:rsid w:val="008E4574"/>
    <w:rsid w:val="008E4629"/>
    <w:rsid w:val="008E6F8F"/>
    <w:rsid w:val="008F4016"/>
    <w:rsid w:val="008F42FE"/>
    <w:rsid w:val="008F436C"/>
    <w:rsid w:val="008F4A00"/>
    <w:rsid w:val="008F5402"/>
    <w:rsid w:val="008F6841"/>
    <w:rsid w:val="0090053A"/>
    <w:rsid w:val="00900EB3"/>
    <w:rsid w:val="00901C2A"/>
    <w:rsid w:val="00902F72"/>
    <w:rsid w:val="00904D49"/>
    <w:rsid w:val="009076F9"/>
    <w:rsid w:val="009118C7"/>
    <w:rsid w:val="00911D51"/>
    <w:rsid w:val="00913BCB"/>
    <w:rsid w:val="0091439B"/>
    <w:rsid w:val="0091661D"/>
    <w:rsid w:val="0091705E"/>
    <w:rsid w:val="009173C5"/>
    <w:rsid w:val="009201A0"/>
    <w:rsid w:val="00920854"/>
    <w:rsid w:val="0092120D"/>
    <w:rsid w:val="009223A1"/>
    <w:rsid w:val="009225B6"/>
    <w:rsid w:val="00923A85"/>
    <w:rsid w:val="009243A0"/>
    <w:rsid w:val="00925397"/>
    <w:rsid w:val="009263DC"/>
    <w:rsid w:val="00927C25"/>
    <w:rsid w:val="00930A7A"/>
    <w:rsid w:val="009331DB"/>
    <w:rsid w:val="00933A21"/>
    <w:rsid w:val="00934255"/>
    <w:rsid w:val="00934C10"/>
    <w:rsid w:val="00935A0E"/>
    <w:rsid w:val="0093662A"/>
    <w:rsid w:val="009375C3"/>
    <w:rsid w:val="00940345"/>
    <w:rsid w:val="0094060C"/>
    <w:rsid w:val="009408CF"/>
    <w:rsid w:val="00942893"/>
    <w:rsid w:val="009429B4"/>
    <w:rsid w:val="009435F9"/>
    <w:rsid w:val="00944075"/>
    <w:rsid w:val="009442CE"/>
    <w:rsid w:val="00946DB7"/>
    <w:rsid w:val="00947E32"/>
    <w:rsid w:val="00947E93"/>
    <w:rsid w:val="009508AA"/>
    <w:rsid w:val="00951857"/>
    <w:rsid w:val="0095273C"/>
    <w:rsid w:val="009533AB"/>
    <w:rsid w:val="00955A4A"/>
    <w:rsid w:val="00955A7E"/>
    <w:rsid w:val="009606A5"/>
    <w:rsid w:val="00962F1F"/>
    <w:rsid w:val="00963702"/>
    <w:rsid w:val="00964F80"/>
    <w:rsid w:val="00965304"/>
    <w:rsid w:val="009702AA"/>
    <w:rsid w:val="009708E8"/>
    <w:rsid w:val="00971293"/>
    <w:rsid w:val="00973A3B"/>
    <w:rsid w:val="00973C8C"/>
    <w:rsid w:val="00974AFF"/>
    <w:rsid w:val="009750BA"/>
    <w:rsid w:val="009808AB"/>
    <w:rsid w:val="00981D4E"/>
    <w:rsid w:val="00982532"/>
    <w:rsid w:val="00982B0B"/>
    <w:rsid w:val="00983EAE"/>
    <w:rsid w:val="00984816"/>
    <w:rsid w:val="0098760B"/>
    <w:rsid w:val="00987737"/>
    <w:rsid w:val="009901D7"/>
    <w:rsid w:val="0099067B"/>
    <w:rsid w:val="00991EF7"/>
    <w:rsid w:val="00991F25"/>
    <w:rsid w:val="00992011"/>
    <w:rsid w:val="009926C2"/>
    <w:rsid w:val="0099406B"/>
    <w:rsid w:val="00994329"/>
    <w:rsid w:val="00994F39"/>
    <w:rsid w:val="009A11DD"/>
    <w:rsid w:val="009A165A"/>
    <w:rsid w:val="009A41E3"/>
    <w:rsid w:val="009A65AA"/>
    <w:rsid w:val="009B0C3E"/>
    <w:rsid w:val="009B30AA"/>
    <w:rsid w:val="009B49FD"/>
    <w:rsid w:val="009B4FD3"/>
    <w:rsid w:val="009B5217"/>
    <w:rsid w:val="009B6074"/>
    <w:rsid w:val="009B7BF2"/>
    <w:rsid w:val="009C06B8"/>
    <w:rsid w:val="009C4798"/>
    <w:rsid w:val="009C48DE"/>
    <w:rsid w:val="009C677B"/>
    <w:rsid w:val="009C765E"/>
    <w:rsid w:val="009C7861"/>
    <w:rsid w:val="009C78E1"/>
    <w:rsid w:val="009D7B14"/>
    <w:rsid w:val="009E002C"/>
    <w:rsid w:val="009E0492"/>
    <w:rsid w:val="009E1E1E"/>
    <w:rsid w:val="009E20D2"/>
    <w:rsid w:val="009E2262"/>
    <w:rsid w:val="009E33E3"/>
    <w:rsid w:val="009E3A97"/>
    <w:rsid w:val="009E53A4"/>
    <w:rsid w:val="009E5590"/>
    <w:rsid w:val="009E5CA9"/>
    <w:rsid w:val="009E6208"/>
    <w:rsid w:val="009E7F16"/>
    <w:rsid w:val="009F2481"/>
    <w:rsid w:val="009F25B7"/>
    <w:rsid w:val="009F2957"/>
    <w:rsid w:val="009F4871"/>
    <w:rsid w:val="009F5052"/>
    <w:rsid w:val="00A00842"/>
    <w:rsid w:val="00A02A1C"/>
    <w:rsid w:val="00A04C85"/>
    <w:rsid w:val="00A06639"/>
    <w:rsid w:val="00A071DF"/>
    <w:rsid w:val="00A100F0"/>
    <w:rsid w:val="00A11B91"/>
    <w:rsid w:val="00A13C4C"/>
    <w:rsid w:val="00A156E6"/>
    <w:rsid w:val="00A207E4"/>
    <w:rsid w:val="00A220E8"/>
    <w:rsid w:val="00A24ED7"/>
    <w:rsid w:val="00A257C5"/>
    <w:rsid w:val="00A25C3D"/>
    <w:rsid w:val="00A26E1B"/>
    <w:rsid w:val="00A27D86"/>
    <w:rsid w:val="00A301A4"/>
    <w:rsid w:val="00A316C0"/>
    <w:rsid w:val="00A31B0B"/>
    <w:rsid w:val="00A33151"/>
    <w:rsid w:val="00A35DB6"/>
    <w:rsid w:val="00A35F53"/>
    <w:rsid w:val="00A36970"/>
    <w:rsid w:val="00A36F09"/>
    <w:rsid w:val="00A37A57"/>
    <w:rsid w:val="00A41EB4"/>
    <w:rsid w:val="00A4250D"/>
    <w:rsid w:val="00A4338E"/>
    <w:rsid w:val="00A44903"/>
    <w:rsid w:val="00A44BFF"/>
    <w:rsid w:val="00A468F9"/>
    <w:rsid w:val="00A47B55"/>
    <w:rsid w:val="00A501E3"/>
    <w:rsid w:val="00A50F0C"/>
    <w:rsid w:val="00A519EB"/>
    <w:rsid w:val="00A52C29"/>
    <w:rsid w:val="00A53A5D"/>
    <w:rsid w:val="00A55314"/>
    <w:rsid w:val="00A5572A"/>
    <w:rsid w:val="00A56441"/>
    <w:rsid w:val="00A56A58"/>
    <w:rsid w:val="00A574C7"/>
    <w:rsid w:val="00A627D9"/>
    <w:rsid w:val="00A651B7"/>
    <w:rsid w:val="00A651F8"/>
    <w:rsid w:val="00A7034A"/>
    <w:rsid w:val="00A71580"/>
    <w:rsid w:val="00A72CAE"/>
    <w:rsid w:val="00A736DD"/>
    <w:rsid w:val="00A73A82"/>
    <w:rsid w:val="00A73D96"/>
    <w:rsid w:val="00A75827"/>
    <w:rsid w:val="00A75E27"/>
    <w:rsid w:val="00A76E78"/>
    <w:rsid w:val="00A774EA"/>
    <w:rsid w:val="00A8008A"/>
    <w:rsid w:val="00A809FF"/>
    <w:rsid w:val="00A8239A"/>
    <w:rsid w:val="00A82869"/>
    <w:rsid w:val="00A82D98"/>
    <w:rsid w:val="00A83E7D"/>
    <w:rsid w:val="00A8758C"/>
    <w:rsid w:val="00A87CF0"/>
    <w:rsid w:val="00A9007A"/>
    <w:rsid w:val="00A91006"/>
    <w:rsid w:val="00A918E5"/>
    <w:rsid w:val="00A91B34"/>
    <w:rsid w:val="00A92BAF"/>
    <w:rsid w:val="00A93381"/>
    <w:rsid w:val="00A94E4C"/>
    <w:rsid w:val="00A96BF0"/>
    <w:rsid w:val="00A970A6"/>
    <w:rsid w:val="00AA03DA"/>
    <w:rsid w:val="00AA127E"/>
    <w:rsid w:val="00AA19AE"/>
    <w:rsid w:val="00AA423D"/>
    <w:rsid w:val="00AA4893"/>
    <w:rsid w:val="00AA6A95"/>
    <w:rsid w:val="00AA757D"/>
    <w:rsid w:val="00AA7AE1"/>
    <w:rsid w:val="00AB083A"/>
    <w:rsid w:val="00AB10DE"/>
    <w:rsid w:val="00AB3460"/>
    <w:rsid w:val="00AB3668"/>
    <w:rsid w:val="00AB4642"/>
    <w:rsid w:val="00AB4940"/>
    <w:rsid w:val="00AB5ED7"/>
    <w:rsid w:val="00AC0799"/>
    <w:rsid w:val="00AC0B4C"/>
    <w:rsid w:val="00AC2C28"/>
    <w:rsid w:val="00AC7253"/>
    <w:rsid w:val="00AC7588"/>
    <w:rsid w:val="00AD0AEE"/>
    <w:rsid w:val="00AD49E3"/>
    <w:rsid w:val="00AD4B4F"/>
    <w:rsid w:val="00AD5198"/>
    <w:rsid w:val="00AE1774"/>
    <w:rsid w:val="00AE462F"/>
    <w:rsid w:val="00AE48F5"/>
    <w:rsid w:val="00AF0616"/>
    <w:rsid w:val="00AF0E28"/>
    <w:rsid w:val="00AF5F8E"/>
    <w:rsid w:val="00AF6AB3"/>
    <w:rsid w:val="00AF6F9B"/>
    <w:rsid w:val="00B00C14"/>
    <w:rsid w:val="00B01409"/>
    <w:rsid w:val="00B015D9"/>
    <w:rsid w:val="00B0399A"/>
    <w:rsid w:val="00B068BF"/>
    <w:rsid w:val="00B10158"/>
    <w:rsid w:val="00B10DBD"/>
    <w:rsid w:val="00B15629"/>
    <w:rsid w:val="00B161F4"/>
    <w:rsid w:val="00B16B38"/>
    <w:rsid w:val="00B16FD6"/>
    <w:rsid w:val="00B173B4"/>
    <w:rsid w:val="00B17C17"/>
    <w:rsid w:val="00B22ED8"/>
    <w:rsid w:val="00B2372C"/>
    <w:rsid w:val="00B24E30"/>
    <w:rsid w:val="00B2602E"/>
    <w:rsid w:val="00B26C56"/>
    <w:rsid w:val="00B301E5"/>
    <w:rsid w:val="00B32411"/>
    <w:rsid w:val="00B32F70"/>
    <w:rsid w:val="00B3365D"/>
    <w:rsid w:val="00B341DE"/>
    <w:rsid w:val="00B34978"/>
    <w:rsid w:val="00B35174"/>
    <w:rsid w:val="00B35D0B"/>
    <w:rsid w:val="00B35D93"/>
    <w:rsid w:val="00B373D0"/>
    <w:rsid w:val="00B37F84"/>
    <w:rsid w:val="00B42427"/>
    <w:rsid w:val="00B43AAA"/>
    <w:rsid w:val="00B4472C"/>
    <w:rsid w:val="00B44A10"/>
    <w:rsid w:val="00B45A73"/>
    <w:rsid w:val="00B500D5"/>
    <w:rsid w:val="00B5107F"/>
    <w:rsid w:val="00B53139"/>
    <w:rsid w:val="00B54337"/>
    <w:rsid w:val="00B547D7"/>
    <w:rsid w:val="00B562CE"/>
    <w:rsid w:val="00B60B84"/>
    <w:rsid w:val="00B62C2C"/>
    <w:rsid w:val="00B62DE2"/>
    <w:rsid w:val="00B63983"/>
    <w:rsid w:val="00B650AB"/>
    <w:rsid w:val="00B678DB"/>
    <w:rsid w:val="00B70412"/>
    <w:rsid w:val="00B70A26"/>
    <w:rsid w:val="00B71B44"/>
    <w:rsid w:val="00B74417"/>
    <w:rsid w:val="00B74D36"/>
    <w:rsid w:val="00B757F4"/>
    <w:rsid w:val="00B76705"/>
    <w:rsid w:val="00B76E55"/>
    <w:rsid w:val="00B77246"/>
    <w:rsid w:val="00B774BA"/>
    <w:rsid w:val="00B778CC"/>
    <w:rsid w:val="00B77ADB"/>
    <w:rsid w:val="00B82982"/>
    <w:rsid w:val="00B82A90"/>
    <w:rsid w:val="00B83A12"/>
    <w:rsid w:val="00B857CC"/>
    <w:rsid w:val="00B86350"/>
    <w:rsid w:val="00B866CD"/>
    <w:rsid w:val="00B928F4"/>
    <w:rsid w:val="00B93034"/>
    <w:rsid w:val="00B931AA"/>
    <w:rsid w:val="00B9402E"/>
    <w:rsid w:val="00B955CA"/>
    <w:rsid w:val="00B968E6"/>
    <w:rsid w:val="00B96F3F"/>
    <w:rsid w:val="00B97C5D"/>
    <w:rsid w:val="00BA1290"/>
    <w:rsid w:val="00BA2B3D"/>
    <w:rsid w:val="00BA2B7A"/>
    <w:rsid w:val="00BA3101"/>
    <w:rsid w:val="00BA3B56"/>
    <w:rsid w:val="00BA4BEF"/>
    <w:rsid w:val="00BA657B"/>
    <w:rsid w:val="00BB0FBC"/>
    <w:rsid w:val="00BB2792"/>
    <w:rsid w:val="00BB5A67"/>
    <w:rsid w:val="00BB6500"/>
    <w:rsid w:val="00BB76BF"/>
    <w:rsid w:val="00BC0016"/>
    <w:rsid w:val="00BC09CD"/>
    <w:rsid w:val="00BC1AD1"/>
    <w:rsid w:val="00BC4167"/>
    <w:rsid w:val="00BC4593"/>
    <w:rsid w:val="00BC4A58"/>
    <w:rsid w:val="00BC5540"/>
    <w:rsid w:val="00BC5878"/>
    <w:rsid w:val="00BC5AB9"/>
    <w:rsid w:val="00BC5BF2"/>
    <w:rsid w:val="00BC613B"/>
    <w:rsid w:val="00BC65C6"/>
    <w:rsid w:val="00BC6C7B"/>
    <w:rsid w:val="00BD0343"/>
    <w:rsid w:val="00BD26EF"/>
    <w:rsid w:val="00BD51D9"/>
    <w:rsid w:val="00BD5C76"/>
    <w:rsid w:val="00BD64E2"/>
    <w:rsid w:val="00BE1818"/>
    <w:rsid w:val="00BE3320"/>
    <w:rsid w:val="00BE4995"/>
    <w:rsid w:val="00BE6380"/>
    <w:rsid w:val="00BF429A"/>
    <w:rsid w:val="00BF62BE"/>
    <w:rsid w:val="00BF6E19"/>
    <w:rsid w:val="00C03F79"/>
    <w:rsid w:val="00C07126"/>
    <w:rsid w:val="00C07712"/>
    <w:rsid w:val="00C10B56"/>
    <w:rsid w:val="00C10CF7"/>
    <w:rsid w:val="00C155BD"/>
    <w:rsid w:val="00C16853"/>
    <w:rsid w:val="00C215D9"/>
    <w:rsid w:val="00C21827"/>
    <w:rsid w:val="00C21F14"/>
    <w:rsid w:val="00C2249F"/>
    <w:rsid w:val="00C23554"/>
    <w:rsid w:val="00C23AC3"/>
    <w:rsid w:val="00C263F0"/>
    <w:rsid w:val="00C27DF8"/>
    <w:rsid w:val="00C3225D"/>
    <w:rsid w:val="00C33D41"/>
    <w:rsid w:val="00C33D70"/>
    <w:rsid w:val="00C375F7"/>
    <w:rsid w:val="00C40106"/>
    <w:rsid w:val="00C40A89"/>
    <w:rsid w:val="00C40AFD"/>
    <w:rsid w:val="00C41C83"/>
    <w:rsid w:val="00C41E20"/>
    <w:rsid w:val="00C42E3E"/>
    <w:rsid w:val="00C456F7"/>
    <w:rsid w:val="00C47121"/>
    <w:rsid w:val="00C51C13"/>
    <w:rsid w:val="00C51ECB"/>
    <w:rsid w:val="00C525A5"/>
    <w:rsid w:val="00C5300F"/>
    <w:rsid w:val="00C5513D"/>
    <w:rsid w:val="00C565A0"/>
    <w:rsid w:val="00C57A3C"/>
    <w:rsid w:val="00C57BF3"/>
    <w:rsid w:val="00C6035D"/>
    <w:rsid w:val="00C61739"/>
    <w:rsid w:val="00C63775"/>
    <w:rsid w:val="00C65C6D"/>
    <w:rsid w:val="00C66A7A"/>
    <w:rsid w:val="00C66CE0"/>
    <w:rsid w:val="00C70486"/>
    <w:rsid w:val="00C717C5"/>
    <w:rsid w:val="00C71BED"/>
    <w:rsid w:val="00C72D1C"/>
    <w:rsid w:val="00C747C0"/>
    <w:rsid w:val="00C75576"/>
    <w:rsid w:val="00C76563"/>
    <w:rsid w:val="00C76B75"/>
    <w:rsid w:val="00C770D1"/>
    <w:rsid w:val="00C804ED"/>
    <w:rsid w:val="00C81B53"/>
    <w:rsid w:val="00C81D0C"/>
    <w:rsid w:val="00C82AD2"/>
    <w:rsid w:val="00C83E04"/>
    <w:rsid w:val="00C85090"/>
    <w:rsid w:val="00C87FE7"/>
    <w:rsid w:val="00C90738"/>
    <w:rsid w:val="00C90AF8"/>
    <w:rsid w:val="00C90FB6"/>
    <w:rsid w:val="00C9220E"/>
    <w:rsid w:val="00C932BD"/>
    <w:rsid w:val="00C93429"/>
    <w:rsid w:val="00CA16C5"/>
    <w:rsid w:val="00CA183A"/>
    <w:rsid w:val="00CA27A0"/>
    <w:rsid w:val="00CA285B"/>
    <w:rsid w:val="00CA415A"/>
    <w:rsid w:val="00CA42CA"/>
    <w:rsid w:val="00CA47BD"/>
    <w:rsid w:val="00CA513F"/>
    <w:rsid w:val="00CA5F85"/>
    <w:rsid w:val="00CA7A35"/>
    <w:rsid w:val="00CB13D6"/>
    <w:rsid w:val="00CB1536"/>
    <w:rsid w:val="00CB18D3"/>
    <w:rsid w:val="00CB1DE1"/>
    <w:rsid w:val="00CB5F3C"/>
    <w:rsid w:val="00CB6B56"/>
    <w:rsid w:val="00CB79E8"/>
    <w:rsid w:val="00CB7FB8"/>
    <w:rsid w:val="00CB7FE8"/>
    <w:rsid w:val="00CC128D"/>
    <w:rsid w:val="00CC1F71"/>
    <w:rsid w:val="00CC27C4"/>
    <w:rsid w:val="00CC4AD7"/>
    <w:rsid w:val="00CC5944"/>
    <w:rsid w:val="00CC5EB3"/>
    <w:rsid w:val="00CC636B"/>
    <w:rsid w:val="00CC7638"/>
    <w:rsid w:val="00CD0E7B"/>
    <w:rsid w:val="00CD2ABD"/>
    <w:rsid w:val="00CD3086"/>
    <w:rsid w:val="00CD4024"/>
    <w:rsid w:val="00CD4617"/>
    <w:rsid w:val="00CD4855"/>
    <w:rsid w:val="00CD4C3C"/>
    <w:rsid w:val="00CD4EB8"/>
    <w:rsid w:val="00CD6174"/>
    <w:rsid w:val="00CE0E13"/>
    <w:rsid w:val="00CE148E"/>
    <w:rsid w:val="00CE6D43"/>
    <w:rsid w:val="00CE718B"/>
    <w:rsid w:val="00CE7241"/>
    <w:rsid w:val="00CE7644"/>
    <w:rsid w:val="00CE7888"/>
    <w:rsid w:val="00CE797B"/>
    <w:rsid w:val="00CF5B23"/>
    <w:rsid w:val="00CF69D5"/>
    <w:rsid w:val="00CF6D1C"/>
    <w:rsid w:val="00D010FB"/>
    <w:rsid w:val="00D01F9D"/>
    <w:rsid w:val="00D02C3B"/>
    <w:rsid w:val="00D030D5"/>
    <w:rsid w:val="00D039F9"/>
    <w:rsid w:val="00D06B82"/>
    <w:rsid w:val="00D10E1C"/>
    <w:rsid w:val="00D134F3"/>
    <w:rsid w:val="00D14774"/>
    <w:rsid w:val="00D1542D"/>
    <w:rsid w:val="00D15771"/>
    <w:rsid w:val="00D161A3"/>
    <w:rsid w:val="00D16A4E"/>
    <w:rsid w:val="00D16BA8"/>
    <w:rsid w:val="00D16F70"/>
    <w:rsid w:val="00D17325"/>
    <w:rsid w:val="00D22E49"/>
    <w:rsid w:val="00D23716"/>
    <w:rsid w:val="00D240AC"/>
    <w:rsid w:val="00D25ED8"/>
    <w:rsid w:val="00D25FEF"/>
    <w:rsid w:val="00D27F8F"/>
    <w:rsid w:val="00D316B8"/>
    <w:rsid w:val="00D31CFC"/>
    <w:rsid w:val="00D3255D"/>
    <w:rsid w:val="00D340C3"/>
    <w:rsid w:val="00D34727"/>
    <w:rsid w:val="00D409CD"/>
    <w:rsid w:val="00D4195A"/>
    <w:rsid w:val="00D41D3B"/>
    <w:rsid w:val="00D423D4"/>
    <w:rsid w:val="00D42CAF"/>
    <w:rsid w:val="00D45E0F"/>
    <w:rsid w:val="00D4763B"/>
    <w:rsid w:val="00D50D1C"/>
    <w:rsid w:val="00D53136"/>
    <w:rsid w:val="00D54E13"/>
    <w:rsid w:val="00D55111"/>
    <w:rsid w:val="00D568F1"/>
    <w:rsid w:val="00D56F02"/>
    <w:rsid w:val="00D57311"/>
    <w:rsid w:val="00D601EF"/>
    <w:rsid w:val="00D6101E"/>
    <w:rsid w:val="00D61533"/>
    <w:rsid w:val="00D6277E"/>
    <w:rsid w:val="00D639B2"/>
    <w:rsid w:val="00D63B2F"/>
    <w:rsid w:val="00D63D82"/>
    <w:rsid w:val="00D64132"/>
    <w:rsid w:val="00D64497"/>
    <w:rsid w:val="00D660FC"/>
    <w:rsid w:val="00D66A2B"/>
    <w:rsid w:val="00D70747"/>
    <w:rsid w:val="00D70BF4"/>
    <w:rsid w:val="00D70EBA"/>
    <w:rsid w:val="00D71E1A"/>
    <w:rsid w:val="00D7261D"/>
    <w:rsid w:val="00D72BBB"/>
    <w:rsid w:val="00D74BB0"/>
    <w:rsid w:val="00D74CF8"/>
    <w:rsid w:val="00D754A9"/>
    <w:rsid w:val="00D755FC"/>
    <w:rsid w:val="00D76B6D"/>
    <w:rsid w:val="00D77863"/>
    <w:rsid w:val="00D77898"/>
    <w:rsid w:val="00D813C7"/>
    <w:rsid w:val="00D84191"/>
    <w:rsid w:val="00D84D07"/>
    <w:rsid w:val="00D8526A"/>
    <w:rsid w:val="00D8731D"/>
    <w:rsid w:val="00D875BC"/>
    <w:rsid w:val="00D875D2"/>
    <w:rsid w:val="00D876C6"/>
    <w:rsid w:val="00D90E17"/>
    <w:rsid w:val="00D90E91"/>
    <w:rsid w:val="00D9361B"/>
    <w:rsid w:val="00D95AE9"/>
    <w:rsid w:val="00D97581"/>
    <w:rsid w:val="00DA2BA7"/>
    <w:rsid w:val="00DA4C38"/>
    <w:rsid w:val="00DA6744"/>
    <w:rsid w:val="00DA6B21"/>
    <w:rsid w:val="00DA7D7A"/>
    <w:rsid w:val="00DB117E"/>
    <w:rsid w:val="00DB3C80"/>
    <w:rsid w:val="00DB53C1"/>
    <w:rsid w:val="00DB669F"/>
    <w:rsid w:val="00DB7AF7"/>
    <w:rsid w:val="00DB7EB3"/>
    <w:rsid w:val="00DC0AFB"/>
    <w:rsid w:val="00DC1347"/>
    <w:rsid w:val="00DC205E"/>
    <w:rsid w:val="00DC228B"/>
    <w:rsid w:val="00DC39F1"/>
    <w:rsid w:val="00DD1A41"/>
    <w:rsid w:val="00DD2868"/>
    <w:rsid w:val="00DD31A7"/>
    <w:rsid w:val="00DD5A17"/>
    <w:rsid w:val="00DD6926"/>
    <w:rsid w:val="00DD6D04"/>
    <w:rsid w:val="00DE20F2"/>
    <w:rsid w:val="00DE227D"/>
    <w:rsid w:val="00DE3799"/>
    <w:rsid w:val="00DE4B35"/>
    <w:rsid w:val="00DE6BE6"/>
    <w:rsid w:val="00DE6DAE"/>
    <w:rsid w:val="00DF19C1"/>
    <w:rsid w:val="00DF3C65"/>
    <w:rsid w:val="00DF54CA"/>
    <w:rsid w:val="00DF59A1"/>
    <w:rsid w:val="00DF5B64"/>
    <w:rsid w:val="00DF6CD5"/>
    <w:rsid w:val="00E007C0"/>
    <w:rsid w:val="00E0267D"/>
    <w:rsid w:val="00E02794"/>
    <w:rsid w:val="00E02D07"/>
    <w:rsid w:val="00E03410"/>
    <w:rsid w:val="00E043E3"/>
    <w:rsid w:val="00E04975"/>
    <w:rsid w:val="00E0505B"/>
    <w:rsid w:val="00E06DEA"/>
    <w:rsid w:val="00E06E3B"/>
    <w:rsid w:val="00E072C3"/>
    <w:rsid w:val="00E1049E"/>
    <w:rsid w:val="00E10FA4"/>
    <w:rsid w:val="00E11280"/>
    <w:rsid w:val="00E121A5"/>
    <w:rsid w:val="00E12359"/>
    <w:rsid w:val="00E12A2C"/>
    <w:rsid w:val="00E15009"/>
    <w:rsid w:val="00E152FF"/>
    <w:rsid w:val="00E15B42"/>
    <w:rsid w:val="00E21838"/>
    <w:rsid w:val="00E22A1D"/>
    <w:rsid w:val="00E234F6"/>
    <w:rsid w:val="00E2461B"/>
    <w:rsid w:val="00E24886"/>
    <w:rsid w:val="00E276FB"/>
    <w:rsid w:val="00E31108"/>
    <w:rsid w:val="00E31EC6"/>
    <w:rsid w:val="00E32595"/>
    <w:rsid w:val="00E33A74"/>
    <w:rsid w:val="00E33D8D"/>
    <w:rsid w:val="00E33F30"/>
    <w:rsid w:val="00E4030B"/>
    <w:rsid w:val="00E41D56"/>
    <w:rsid w:val="00E45098"/>
    <w:rsid w:val="00E457DF"/>
    <w:rsid w:val="00E4608A"/>
    <w:rsid w:val="00E4653D"/>
    <w:rsid w:val="00E46642"/>
    <w:rsid w:val="00E47FE5"/>
    <w:rsid w:val="00E5139A"/>
    <w:rsid w:val="00E518E0"/>
    <w:rsid w:val="00E53276"/>
    <w:rsid w:val="00E5413D"/>
    <w:rsid w:val="00E54183"/>
    <w:rsid w:val="00E57491"/>
    <w:rsid w:val="00E57977"/>
    <w:rsid w:val="00E57AAD"/>
    <w:rsid w:val="00E61294"/>
    <w:rsid w:val="00E61E79"/>
    <w:rsid w:val="00E620D2"/>
    <w:rsid w:val="00E635D7"/>
    <w:rsid w:val="00E64D83"/>
    <w:rsid w:val="00E6610E"/>
    <w:rsid w:val="00E67B64"/>
    <w:rsid w:val="00E67B8E"/>
    <w:rsid w:val="00E67C47"/>
    <w:rsid w:val="00E70576"/>
    <w:rsid w:val="00E72527"/>
    <w:rsid w:val="00E72A1A"/>
    <w:rsid w:val="00E73494"/>
    <w:rsid w:val="00E74820"/>
    <w:rsid w:val="00E751D1"/>
    <w:rsid w:val="00E75427"/>
    <w:rsid w:val="00E75D4C"/>
    <w:rsid w:val="00E76A7C"/>
    <w:rsid w:val="00E772EC"/>
    <w:rsid w:val="00E776DF"/>
    <w:rsid w:val="00E77A93"/>
    <w:rsid w:val="00E81FE3"/>
    <w:rsid w:val="00E8241F"/>
    <w:rsid w:val="00E836BA"/>
    <w:rsid w:val="00E83954"/>
    <w:rsid w:val="00E87235"/>
    <w:rsid w:val="00E87770"/>
    <w:rsid w:val="00E91730"/>
    <w:rsid w:val="00E924C6"/>
    <w:rsid w:val="00E93E11"/>
    <w:rsid w:val="00E94B1B"/>
    <w:rsid w:val="00E953AF"/>
    <w:rsid w:val="00E96F04"/>
    <w:rsid w:val="00E9785E"/>
    <w:rsid w:val="00E97AEC"/>
    <w:rsid w:val="00EA0578"/>
    <w:rsid w:val="00EA19C8"/>
    <w:rsid w:val="00EA20FE"/>
    <w:rsid w:val="00EA2C28"/>
    <w:rsid w:val="00EA5042"/>
    <w:rsid w:val="00EA6D67"/>
    <w:rsid w:val="00EA7CA4"/>
    <w:rsid w:val="00EB20FC"/>
    <w:rsid w:val="00EB37CD"/>
    <w:rsid w:val="00EB491E"/>
    <w:rsid w:val="00EB49CD"/>
    <w:rsid w:val="00EB5031"/>
    <w:rsid w:val="00EB5402"/>
    <w:rsid w:val="00EB681B"/>
    <w:rsid w:val="00EC011B"/>
    <w:rsid w:val="00EC2C54"/>
    <w:rsid w:val="00EC356C"/>
    <w:rsid w:val="00EC4321"/>
    <w:rsid w:val="00EC4FAD"/>
    <w:rsid w:val="00EC6839"/>
    <w:rsid w:val="00EC7522"/>
    <w:rsid w:val="00ED017F"/>
    <w:rsid w:val="00ED03FA"/>
    <w:rsid w:val="00ED05ED"/>
    <w:rsid w:val="00ED0893"/>
    <w:rsid w:val="00ED71D2"/>
    <w:rsid w:val="00ED7AB0"/>
    <w:rsid w:val="00EE08AA"/>
    <w:rsid w:val="00EE1071"/>
    <w:rsid w:val="00EE182A"/>
    <w:rsid w:val="00EE2B5A"/>
    <w:rsid w:val="00EE3CFA"/>
    <w:rsid w:val="00EE5CF9"/>
    <w:rsid w:val="00EE69E4"/>
    <w:rsid w:val="00EE7CBC"/>
    <w:rsid w:val="00EF1115"/>
    <w:rsid w:val="00EF236E"/>
    <w:rsid w:val="00EF2A7F"/>
    <w:rsid w:val="00EF2CFF"/>
    <w:rsid w:val="00EF4CFA"/>
    <w:rsid w:val="00EF68E9"/>
    <w:rsid w:val="00EF7E90"/>
    <w:rsid w:val="00F002B6"/>
    <w:rsid w:val="00F017B0"/>
    <w:rsid w:val="00F02B52"/>
    <w:rsid w:val="00F05080"/>
    <w:rsid w:val="00F063D2"/>
    <w:rsid w:val="00F06980"/>
    <w:rsid w:val="00F07D08"/>
    <w:rsid w:val="00F105CC"/>
    <w:rsid w:val="00F10AFE"/>
    <w:rsid w:val="00F10D30"/>
    <w:rsid w:val="00F15C6C"/>
    <w:rsid w:val="00F17173"/>
    <w:rsid w:val="00F21715"/>
    <w:rsid w:val="00F224DC"/>
    <w:rsid w:val="00F23826"/>
    <w:rsid w:val="00F24C2E"/>
    <w:rsid w:val="00F25263"/>
    <w:rsid w:val="00F2687F"/>
    <w:rsid w:val="00F271B7"/>
    <w:rsid w:val="00F27F29"/>
    <w:rsid w:val="00F32D54"/>
    <w:rsid w:val="00F36C54"/>
    <w:rsid w:val="00F37633"/>
    <w:rsid w:val="00F376B3"/>
    <w:rsid w:val="00F37EDF"/>
    <w:rsid w:val="00F418EA"/>
    <w:rsid w:val="00F41A29"/>
    <w:rsid w:val="00F42FB6"/>
    <w:rsid w:val="00F44C1C"/>
    <w:rsid w:val="00F45214"/>
    <w:rsid w:val="00F45ECB"/>
    <w:rsid w:val="00F4645F"/>
    <w:rsid w:val="00F4748F"/>
    <w:rsid w:val="00F477C5"/>
    <w:rsid w:val="00F50BEA"/>
    <w:rsid w:val="00F518DF"/>
    <w:rsid w:val="00F54212"/>
    <w:rsid w:val="00F544DB"/>
    <w:rsid w:val="00F545A5"/>
    <w:rsid w:val="00F61871"/>
    <w:rsid w:val="00F62232"/>
    <w:rsid w:val="00F639C7"/>
    <w:rsid w:val="00F6502E"/>
    <w:rsid w:val="00F65663"/>
    <w:rsid w:val="00F71C14"/>
    <w:rsid w:val="00F7506E"/>
    <w:rsid w:val="00F756C0"/>
    <w:rsid w:val="00F75A40"/>
    <w:rsid w:val="00F77637"/>
    <w:rsid w:val="00F8052A"/>
    <w:rsid w:val="00F8088B"/>
    <w:rsid w:val="00F80CE1"/>
    <w:rsid w:val="00F80E3F"/>
    <w:rsid w:val="00F83247"/>
    <w:rsid w:val="00F83C4C"/>
    <w:rsid w:val="00F8435D"/>
    <w:rsid w:val="00F87DD0"/>
    <w:rsid w:val="00F9074B"/>
    <w:rsid w:val="00F90F55"/>
    <w:rsid w:val="00F91CA8"/>
    <w:rsid w:val="00F91F73"/>
    <w:rsid w:val="00F93360"/>
    <w:rsid w:val="00F93FE4"/>
    <w:rsid w:val="00F94B2D"/>
    <w:rsid w:val="00F968F9"/>
    <w:rsid w:val="00F969AD"/>
    <w:rsid w:val="00F96C78"/>
    <w:rsid w:val="00F97E4E"/>
    <w:rsid w:val="00F97FEE"/>
    <w:rsid w:val="00FA0BE0"/>
    <w:rsid w:val="00FA1624"/>
    <w:rsid w:val="00FA18AF"/>
    <w:rsid w:val="00FA217B"/>
    <w:rsid w:val="00FA41E3"/>
    <w:rsid w:val="00FA47CE"/>
    <w:rsid w:val="00FA47F5"/>
    <w:rsid w:val="00FA4935"/>
    <w:rsid w:val="00FA6184"/>
    <w:rsid w:val="00FB0930"/>
    <w:rsid w:val="00FB0BC5"/>
    <w:rsid w:val="00FB0BCC"/>
    <w:rsid w:val="00FB20EC"/>
    <w:rsid w:val="00FB21AA"/>
    <w:rsid w:val="00FB677B"/>
    <w:rsid w:val="00FC0FE5"/>
    <w:rsid w:val="00FC118E"/>
    <w:rsid w:val="00FC1751"/>
    <w:rsid w:val="00FC19FB"/>
    <w:rsid w:val="00FC3AA1"/>
    <w:rsid w:val="00FC466C"/>
    <w:rsid w:val="00FC4D3A"/>
    <w:rsid w:val="00FD1629"/>
    <w:rsid w:val="00FD1ABC"/>
    <w:rsid w:val="00FD1D9A"/>
    <w:rsid w:val="00FD4DFE"/>
    <w:rsid w:val="00FD591F"/>
    <w:rsid w:val="00FD626F"/>
    <w:rsid w:val="00FD7DDF"/>
    <w:rsid w:val="00FE1587"/>
    <w:rsid w:val="00FE411D"/>
    <w:rsid w:val="00FE4C92"/>
    <w:rsid w:val="00FF0FAA"/>
    <w:rsid w:val="00FF12D9"/>
    <w:rsid w:val="00FF1B73"/>
    <w:rsid w:val="00FF1FDA"/>
    <w:rsid w:val="00FF36BD"/>
    <w:rsid w:val="00FF4396"/>
    <w:rsid w:val="00FF7F4E"/>
    <w:rsid w:val="4CF6D56A"/>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E522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l-SI" w:eastAsia="en-GB" w:bidi="en-GB"/>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qFormat="1"/>
    <w:lsdException w:name="annotation text" w:semiHidden="1" w:uiPriority="0" w:unhideWhenUsed="1"/>
    <w:lsdException w:name="header" w:locked="1" w:semiHidden="1" w:uiPriority="0" w:unhideWhenUsed="1" w:qFormat="1"/>
    <w:lsdException w:name="footer" w:locked="1" w:semiHidden="1" w:uiPriority="0" w:unhideWhenUsed="1"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4337"/>
    <w:pPr>
      <w:spacing w:line="288" w:lineRule="auto"/>
      <w:jc w:val="both"/>
    </w:pPr>
    <w:rPr>
      <w:lang w:eastAsia="en-US" w:bidi="ar-SA"/>
    </w:rPr>
  </w:style>
  <w:style w:type="paragraph" w:styleId="Heading1">
    <w:name w:val="heading 1"/>
    <w:basedOn w:val="Normal"/>
    <w:next w:val="Normal"/>
    <w:link w:val="Heading1Char"/>
    <w:qFormat/>
    <w:rsid w:val="00B54337"/>
    <w:pPr>
      <w:numPr>
        <w:numId w:val="2"/>
      </w:numPr>
      <w:ind w:left="567" w:hanging="567"/>
      <w:outlineLvl w:val="0"/>
    </w:pPr>
    <w:rPr>
      <w:kern w:val="28"/>
    </w:rPr>
  </w:style>
  <w:style w:type="paragraph" w:styleId="Heading2">
    <w:name w:val="heading 2"/>
    <w:basedOn w:val="Normal"/>
    <w:next w:val="Normal"/>
    <w:link w:val="Heading2Char"/>
    <w:qFormat/>
    <w:rsid w:val="00B54337"/>
    <w:pPr>
      <w:numPr>
        <w:ilvl w:val="1"/>
        <w:numId w:val="2"/>
      </w:numPr>
      <w:ind w:left="567" w:hanging="567"/>
      <w:outlineLvl w:val="1"/>
    </w:pPr>
  </w:style>
  <w:style w:type="paragraph" w:styleId="Heading3">
    <w:name w:val="heading 3"/>
    <w:basedOn w:val="Normal"/>
    <w:next w:val="Normal"/>
    <w:link w:val="Heading3Char"/>
    <w:qFormat/>
    <w:rsid w:val="00B54337"/>
    <w:pPr>
      <w:numPr>
        <w:ilvl w:val="2"/>
        <w:numId w:val="2"/>
      </w:numPr>
      <w:ind w:left="567" w:hanging="567"/>
      <w:outlineLvl w:val="2"/>
    </w:pPr>
  </w:style>
  <w:style w:type="paragraph" w:styleId="Heading4">
    <w:name w:val="heading 4"/>
    <w:basedOn w:val="Normal"/>
    <w:next w:val="Normal"/>
    <w:link w:val="Heading4Char"/>
    <w:qFormat/>
    <w:rsid w:val="00B54337"/>
    <w:pPr>
      <w:numPr>
        <w:ilvl w:val="3"/>
        <w:numId w:val="2"/>
      </w:numPr>
      <w:ind w:left="567" w:hanging="567"/>
      <w:outlineLvl w:val="3"/>
    </w:pPr>
  </w:style>
  <w:style w:type="paragraph" w:styleId="Heading5">
    <w:name w:val="heading 5"/>
    <w:basedOn w:val="Normal"/>
    <w:next w:val="Normal"/>
    <w:link w:val="Heading5Char"/>
    <w:qFormat/>
    <w:rsid w:val="00B54337"/>
    <w:pPr>
      <w:numPr>
        <w:ilvl w:val="4"/>
        <w:numId w:val="2"/>
      </w:numPr>
      <w:ind w:left="567" w:hanging="567"/>
      <w:outlineLvl w:val="4"/>
    </w:pPr>
  </w:style>
  <w:style w:type="paragraph" w:styleId="Heading6">
    <w:name w:val="heading 6"/>
    <w:basedOn w:val="Normal"/>
    <w:next w:val="Normal"/>
    <w:link w:val="Heading6Char"/>
    <w:qFormat/>
    <w:rsid w:val="00B54337"/>
    <w:pPr>
      <w:numPr>
        <w:ilvl w:val="5"/>
        <w:numId w:val="2"/>
      </w:numPr>
      <w:ind w:left="567" w:hanging="567"/>
      <w:outlineLvl w:val="5"/>
    </w:pPr>
  </w:style>
  <w:style w:type="paragraph" w:styleId="Heading7">
    <w:name w:val="heading 7"/>
    <w:basedOn w:val="Normal"/>
    <w:next w:val="Normal"/>
    <w:link w:val="Heading7Char"/>
    <w:qFormat/>
    <w:rsid w:val="00B54337"/>
    <w:pPr>
      <w:numPr>
        <w:ilvl w:val="6"/>
        <w:numId w:val="2"/>
      </w:numPr>
      <w:ind w:left="567" w:hanging="567"/>
      <w:outlineLvl w:val="6"/>
    </w:pPr>
  </w:style>
  <w:style w:type="paragraph" w:styleId="Heading8">
    <w:name w:val="heading 8"/>
    <w:basedOn w:val="Normal"/>
    <w:next w:val="Normal"/>
    <w:link w:val="Heading8Char"/>
    <w:qFormat/>
    <w:rsid w:val="00B54337"/>
    <w:pPr>
      <w:numPr>
        <w:ilvl w:val="7"/>
        <w:numId w:val="2"/>
      </w:numPr>
      <w:ind w:left="567" w:hanging="567"/>
      <w:outlineLvl w:val="7"/>
    </w:pPr>
  </w:style>
  <w:style w:type="paragraph" w:styleId="Heading9">
    <w:name w:val="heading 9"/>
    <w:basedOn w:val="Normal"/>
    <w:next w:val="Normal"/>
    <w:link w:val="Heading9Char"/>
    <w:qFormat/>
    <w:rsid w:val="00B54337"/>
    <w:pPr>
      <w:numPr>
        <w:ilvl w:val="8"/>
        <w:numId w:val="2"/>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CB1536"/>
    <w:rPr>
      <w:kern w:val="28"/>
      <w:lang w:val="sl-SI" w:eastAsia="en-US" w:bidi="ar-SA"/>
    </w:rPr>
  </w:style>
  <w:style w:type="character" w:customStyle="1" w:styleId="Heading2Char">
    <w:name w:val="Heading 2 Char"/>
    <w:basedOn w:val="DefaultParagraphFont"/>
    <w:link w:val="Heading2"/>
    <w:locked/>
    <w:rsid w:val="00CB1536"/>
    <w:rPr>
      <w:lang w:val="sl-SI" w:eastAsia="en-US" w:bidi="ar-SA"/>
    </w:rPr>
  </w:style>
  <w:style w:type="character" w:customStyle="1" w:styleId="Heading3Char">
    <w:name w:val="Heading 3 Char"/>
    <w:basedOn w:val="DefaultParagraphFont"/>
    <w:link w:val="Heading3"/>
    <w:locked/>
    <w:rsid w:val="00CB1536"/>
    <w:rPr>
      <w:lang w:val="sl-SI" w:eastAsia="en-US" w:bidi="ar-SA"/>
    </w:rPr>
  </w:style>
  <w:style w:type="character" w:customStyle="1" w:styleId="Heading4Char">
    <w:name w:val="Heading 4 Char"/>
    <w:basedOn w:val="DefaultParagraphFont"/>
    <w:link w:val="Heading4"/>
    <w:locked/>
    <w:rsid w:val="00CB1536"/>
    <w:rPr>
      <w:lang w:val="sl-SI" w:eastAsia="en-US" w:bidi="ar-SA"/>
    </w:rPr>
  </w:style>
  <w:style w:type="character" w:customStyle="1" w:styleId="Heading5Char">
    <w:name w:val="Heading 5 Char"/>
    <w:basedOn w:val="DefaultParagraphFont"/>
    <w:link w:val="Heading5"/>
    <w:locked/>
    <w:rsid w:val="00CB1536"/>
    <w:rPr>
      <w:lang w:val="sl-SI" w:eastAsia="en-US" w:bidi="ar-SA"/>
    </w:rPr>
  </w:style>
  <w:style w:type="character" w:customStyle="1" w:styleId="Heading6Char">
    <w:name w:val="Heading 6 Char"/>
    <w:basedOn w:val="DefaultParagraphFont"/>
    <w:link w:val="Heading6"/>
    <w:locked/>
    <w:rsid w:val="00CB1536"/>
    <w:rPr>
      <w:lang w:val="sl-SI" w:eastAsia="en-US" w:bidi="ar-SA"/>
    </w:rPr>
  </w:style>
  <w:style w:type="character" w:customStyle="1" w:styleId="Heading7Char">
    <w:name w:val="Heading 7 Char"/>
    <w:basedOn w:val="DefaultParagraphFont"/>
    <w:link w:val="Heading7"/>
    <w:locked/>
    <w:rsid w:val="00CB1536"/>
    <w:rPr>
      <w:lang w:val="sl-SI" w:eastAsia="en-US" w:bidi="ar-SA"/>
    </w:rPr>
  </w:style>
  <w:style w:type="character" w:customStyle="1" w:styleId="Heading8Char">
    <w:name w:val="Heading 8 Char"/>
    <w:basedOn w:val="DefaultParagraphFont"/>
    <w:link w:val="Heading8"/>
    <w:locked/>
    <w:rsid w:val="00CB1536"/>
    <w:rPr>
      <w:lang w:val="sl-SI" w:eastAsia="en-US" w:bidi="ar-SA"/>
    </w:rPr>
  </w:style>
  <w:style w:type="character" w:customStyle="1" w:styleId="Heading9Char">
    <w:name w:val="Heading 9 Char"/>
    <w:basedOn w:val="DefaultParagraphFont"/>
    <w:link w:val="Heading9"/>
    <w:locked/>
    <w:rsid w:val="00CB1536"/>
    <w:rPr>
      <w:lang w:val="sl-SI" w:eastAsia="en-US" w:bidi="ar-SA"/>
    </w:rPr>
  </w:style>
  <w:style w:type="paragraph" w:styleId="Footer">
    <w:name w:val="footer"/>
    <w:basedOn w:val="Normal"/>
    <w:link w:val="FooterChar"/>
    <w:qFormat/>
    <w:rsid w:val="00B54337"/>
  </w:style>
  <w:style w:type="character" w:customStyle="1" w:styleId="FooterChar">
    <w:name w:val="Footer Char"/>
    <w:basedOn w:val="DefaultParagraphFont"/>
    <w:link w:val="Footer"/>
    <w:locked/>
    <w:rsid w:val="00CB1536"/>
    <w:rPr>
      <w:lang w:val="sl-SI" w:eastAsia="en-US" w:bidi="ar-SA"/>
    </w:rPr>
  </w:style>
  <w:style w:type="paragraph" w:styleId="FootnoteText">
    <w:name w:val="footnote text"/>
    <w:basedOn w:val="Normal"/>
    <w:link w:val="FootnoteTextChar"/>
    <w:qFormat/>
    <w:rsid w:val="00B54337"/>
    <w:pPr>
      <w:keepLines/>
      <w:spacing w:after="60" w:line="240" w:lineRule="auto"/>
      <w:ind w:left="567" w:hanging="567"/>
    </w:pPr>
    <w:rPr>
      <w:sz w:val="16"/>
    </w:rPr>
  </w:style>
  <w:style w:type="character" w:customStyle="1" w:styleId="FootnoteTextChar">
    <w:name w:val="Footnote Text Char"/>
    <w:basedOn w:val="DefaultParagraphFont"/>
    <w:link w:val="FootnoteText"/>
    <w:locked/>
    <w:rsid w:val="00CB1536"/>
    <w:rPr>
      <w:sz w:val="16"/>
      <w:lang w:val="sl-SI" w:eastAsia="en-US" w:bidi="ar-SA"/>
    </w:rPr>
  </w:style>
  <w:style w:type="paragraph" w:styleId="Header">
    <w:name w:val="header"/>
    <w:basedOn w:val="Normal"/>
    <w:link w:val="HeaderChar"/>
    <w:qFormat/>
    <w:rsid w:val="00B54337"/>
  </w:style>
  <w:style w:type="character" w:customStyle="1" w:styleId="HeaderChar">
    <w:name w:val="Header Char"/>
    <w:basedOn w:val="DefaultParagraphFont"/>
    <w:link w:val="Header"/>
    <w:locked/>
    <w:rsid w:val="00CB1536"/>
    <w:rPr>
      <w:lang w:val="sl-SI" w:eastAsia="en-US" w:bidi="ar-SA"/>
    </w:rPr>
  </w:style>
  <w:style w:type="character" w:styleId="Hyperlink">
    <w:name w:val="Hyperlink"/>
    <w:basedOn w:val="DefaultParagraphFont"/>
    <w:uiPriority w:val="99"/>
    <w:rsid w:val="00934C10"/>
    <w:rPr>
      <w:color w:val="0000FF"/>
      <w:u w:val="single"/>
    </w:rPr>
  </w:style>
  <w:style w:type="character" w:styleId="FootnoteReference">
    <w:name w:val="footnote reference"/>
    <w:aliases w:val="Footnote symbol"/>
    <w:basedOn w:val="DefaultParagraphFont"/>
    <w:unhideWhenUsed/>
    <w:qFormat/>
    <w:rsid w:val="00B54337"/>
    <w:rPr>
      <w:sz w:val="24"/>
      <w:vertAlign w:val="superscript"/>
    </w:rPr>
  </w:style>
  <w:style w:type="character" w:styleId="FollowedHyperlink">
    <w:name w:val="FollowedHyperlink"/>
    <w:basedOn w:val="DefaultParagraphFont"/>
    <w:uiPriority w:val="99"/>
    <w:rsid w:val="00934C10"/>
    <w:rPr>
      <w:color w:val="800080"/>
      <w:u w:val="single"/>
    </w:rPr>
  </w:style>
  <w:style w:type="paragraph" w:customStyle="1" w:styleId="LOGO">
    <w:name w:val="LOGO"/>
    <w:basedOn w:val="Normal"/>
    <w:uiPriority w:val="99"/>
    <w:rsid w:val="00934C10"/>
    <w:pPr>
      <w:jc w:val="center"/>
    </w:pPr>
    <w:rPr>
      <w:rFonts w:ascii="Arial" w:hAnsi="Arial" w:cs="Arial"/>
      <w:b/>
      <w:bCs/>
      <w:i/>
      <w:iCs/>
      <w:sz w:val="20"/>
    </w:rPr>
  </w:style>
  <w:style w:type="paragraph" w:styleId="Revision">
    <w:name w:val="Revision"/>
    <w:hidden/>
    <w:uiPriority w:val="99"/>
    <w:semiHidden/>
    <w:rsid w:val="00B2372C"/>
  </w:style>
  <w:style w:type="paragraph" w:customStyle="1" w:styleId="quotes">
    <w:name w:val="quotes"/>
    <w:basedOn w:val="Normal"/>
    <w:next w:val="Normal"/>
    <w:rsid w:val="00B54337"/>
    <w:pPr>
      <w:ind w:left="720"/>
    </w:pPr>
    <w:rPr>
      <w:i/>
    </w:rPr>
  </w:style>
  <w:style w:type="table" w:styleId="TableGrid">
    <w:name w:val="Table Grid"/>
    <w:basedOn w:val="TableNormal"/>
    <w:locked/>
    <w:rsid w:val="007669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4768">
      <w:bodyDiv w:val="1"/>
      <w:marLeft w:val="0"/>
      <w:marRight w:val="0"/>
      <w:marTop w:val="0"/>
      <w:marBottom w:val="0"/>
      <w:divBdr>
        <w:top w:val="none" w:sz="0" w:space="0" w:color="auto"/>
        <w:left w:val="none" w:sz="0" w:space="0" w:color="auto"/>
        <w:bottom w:val="none" w:sz="0" w:space="0" w:color="auto"/>
        <w:right w:val="none" w:sz="0" w:space="0" w:color="auto"/>
      </w:divBdr>
    </w:div>
    <w:div w:id="44645273">
      <w:bodyDiv w:val="1"/>
      <w:marLeft w:val="0"/>
      <w:marRight w:val="0"/>
      <w:marTop w:val="0"/>
      <w:marBottom w:val="0"/>
      <w:divBdr>
        <w:top w:val="none" w:sz="0" w:space="0" w:color="auto"/>
        <w:left w:val="none" w:sz="0" w:space="0" w:color="auto"/>
        <w:bottom w:val="none" w:sz="0" w:space="0" w:color="auto"/>
        <w:right w:val="none" w:sz="0" w:space="0" w:color="auto"/>
      </w:divBdr>
    </w:div>
    <w:div w:id="138304500">
      <w:bodyDiv w:val="1"/>
      <w:marLeft w:val="0"/>
      <w:marRight w:val="0"/>
      <w:marTop w:val="0"/>
      <w:marBottom w:val="0"/>
      <w:divBdr>
        <w:top w:val="none" w:sz="0" w:space="0" w:color="auto"/>
        <w:left w:val="none" w:sz="0" w:space="0" w:color="auto"/>
        <w:bottom w:val="none" w:sz="0" w:space="0" w:color="auto"/>
        <w:right w:val="none" w:sz="0" w:space="0" w:color="auto"/>
      </w:divBdr>
      <w:divsChild>
        <w:div w:id="1241595141">
          <w:marLeft w:val="0"/>
          <w:marRight w:val="0"/>
          <w:marTop w:val="0"/>
          <w:marBottom w:val="0"/>
          <w:divBdr>
            <w:top w:val="none" w:sz="0" w:space="0" w:color="auto"/>
            <w:left w:val="none" w:sz="0" w:space="0" w:color="auto"/>
            <w:bottom w:val="none" w:sz="0" w:space="0" w:color="auto"/>
            <w:right w:val="none" w:sz="0" w:space="0" w:color="auto"/>
          </w:divBdr>
          <w:divsChild>
            <w:div w:id="1277365832">
              <w:marLeft w:val="0"/>
              <w:marRight w:val="0"/>
              <w:marTop w:val="0"/>
              <w:marBottom w:val="0"/>
              <w:divBdr>
                <w:top w:val="none" w:sz="0" w:space="0" w:color="auto"/>
                <w:left w:val="none" w:sz="0" w:space="0" w:color="auto"/>
                <w:bottom w:val="none" w:sz="0" w:space="0" w:color="auto"/>
                <w:right w:val="none" w:sz="0" w:space="0" w:color="auto"/>
              </w:divBdr>
            </w:div>
            <w:div w:id="2046952548">
              <w:marLeft w:val="0"/>
              <w:marRight w:val="0"/>
              <w:marTop w:val="0"/>
              <w:marBottom w:val="0"/>
              <w:divBdr>
                <w:top w:val="none" w:sz="0" w:space="0" w:color="auto"/>
                <w:left w:val="none" w:sz="0" w:space="0" w:color="auto"/>
                <w:bottom w:val="none" w:sz="0" w:space="0" w:color="auto"/>
                <w:right w:val="none" w:sz="0" w:space="0" w:color="auto"/>
              </w:divBdr>
            </w:div>
            <w:div w:id="117846161">
              <w:marLeft w:val="0"/>
              <w:marRight w:val="0"/>
              <w:marTop w:val="0"/>
              <w:marBottom w:val="0"/>
              <w:divBdr>
                <w:top w:val="none" w:sz="0" w:space="0" w:color="auto"/>
                <w:left w:val="none" w:sz="0" w:space="0" w:color="auto"/>
                <w:bottom w:val="none" w:sz="0" w:space="0" w:color="auto"/>
                <w:right w:val="none" w:sz="0" w:space="0" w:color="auto"/>
              </w:divBdr>
            </w:div>
            <w:div w:id="1145925578">
              <w:marLeft w:val="0"/>
              <w:marRight w:val="0"/>
              <w:marTop w:val="0"/>
              <w:marBottom w:val="0"/>
              <w:divBdr>
                <w:top w:val="none" w:sz="0" w:space="0" w:color="auto"/>
                <w:left w:val="none" w:sz="0" w:space="0" w:color="auto"/>
                <w:bottom w:val="none" w:sz="0" w:space="0" w:color="auto"/>
                <w:right w:val="none" w:sz="0" w:space="0" w:color="auto"/>
              </w:divBdr>
            </w:div>
            <w:div w:id="1395005617">
              <w:marLeft w:val="0"/>
              <w:marRight w:val="0"/>
              <w:marTop w:val="0"/>
              <w:marBottom w:val="0"/>
              <w:divBdr>
                <w:top w:val="none" w:sz="0" w:space="0" w:color="auto"/>
                <w:left w:val="none" w:sz="0" w:space="0" w:color="auto"/>
                <w:bottom w:val="none" w:sz="0" w:space="0" w:color="auto"/>
                <w:right w:val="none" w:sz="0" w:space="0" w:color="auto"/>
              </w:divBdr>
            </w:div>
          </w:divsChild>
        </w:div>
        <w:div w:id="1088770290">
          <w:marLeft w:val="0"/>
          <w:marRight w:val="0"/>
          <w:marTop w:val="0"/>
          <w:marBottom w:val="0"/>
          <w:divBdr>
            <w:top w:val="none" w:sz="0" w:space="0" w:color="auto"/>
            <w:left w:val="none" w:sz="0" w:space="0" w:color="auto"/>
            <w:bottom w:val="none" w:sz="0" w:space="0" w:color="auto"/>
            <w:right w:val="none" w:sz="0" w:space="0" w:color="auto"/>
          </w:divBdr>
          <w:divsChild>
            <w:div w:id="903494865">
              <w:marLeft w:val="-75"/>
              <w:marRight w:val="0"/>
              <w:marTop w:val="30"/>
              <w:marBottom w:val="30"/>
              <w:divBdr>
                <w:top w:val="none" w:sz="0" w:space="0" w:color="auto"/>
                <w:left w:val="none" w:sz="0" w:space="0" w:color="auto"/>
                <w:bottom w:val="none" w:sz="0" w:space="0" w:color="auto"/>
                <w:right w:val="none" w:sz="0" w:space="0" w:color="auto"/>
              </w:divBdr>
              <w:divsChild>
                <w:div w:id="384841762">
                  <w:marLeft w:val="0"/>
                  <w:marRight w:val="0"/>
                  <w:marTop w:val="0"/>
                  <w:marBottom w:val="0"/>
                  <w:divBdr>
                    <w:top w:val="none" w:sz="0" w:space="0" w:color="auto"/>
                    <w:left w:val="none" w:sz="0" w:space="0" w:color="auto"/>
                    <w:bottom w:val="none" w:sz="0" w:space="0" w:color="auto"/>
                    <w:right w:val="none" w:sz="0" w:space="0" w:color="auto"/>
                  </w:divBdr>
                  <w:divsChild>
                    <w:div w:id="78647945">
                      <w:marLeft w:val="0"/>
                      <w:marRight w:val="0"/>
                      <w:marTop w:val="0"/>
                      <w:marBottom w:val="0"/>
                      <w:divBdr>
                        <w:top w:val="none" w:sz="0" w:space="0" w:color="auto"/>
                        <w:left w:val="none" w:sz="0" w:space="0" w:color="auto"/>
                        <w:bottom w:val="none" w:sz="0" w:space="0" w:color="auto"/>
                        <w:right w:val="none" w:sz="0" w:space="0" w:color="auto"/>
                      </w:divBdr>
                    </w:div>
                  </w:divsChild>
                </w:div>
                <w:div w:id="2019237185">
                  <w:marLeft w:val="0"/>
                  <w:marRight w:val="0"/>
                  <w:marTop w:val="0"/>
                  <w:marBottom w:val="0"/>
                  <w:divBdr>
                    <w:top w:val="none" w:sz="0" w:space="0" w:color="auto"/>
                    <w:left w:val="none" w:sz="0" w:space="0" w:color="auto"/>
                    <w:bottom w:val="none" w:sz="0" w:space="0" w:color="auto"/>
                    <w:right w:val="none" w:sz="0" w:space="0" w:color="auto"/>
                  </w:divBdr>
                  <w:divsChild>
                    <w:div w:id="1996838574">
                      <w:marLeft w:val="0"/>
                      <w:marRight w:val="0"/>
                      <w:marTop w:val="0"/>
                      <w:marBottom w:val="0"/>
                      <w:divBdr>
                        <w:top w:val="none" w:sz="0" w:space="0" w:color="auto"/>
                        <w:left w:val="none" w:sz="0" w:space="0" w:color="auto"/>
                        <w:bottom w:val="none" w:sz="0" w:space="0" w:color="auto"/>
                        <w:right w:val="none" w:sz="0" w:space="0" w:color="auto"/>
                      </w:divBdr>
                    </w:div>
                  </w:divsChild>
                </w:div>
                <w:div w:id="1534490734">
                  <w:marLeft w:val="0"/>
                  <w:marRight w:val="0"/>
                  <w:marTop w:val="0"/>
                  <w:marBottom w:val="0"/>
                  <w:divBdr>
                    <w:top w:val="none" w:sz="0" w:space="0" w:color="auto"/>
                    <w:left w:val="none" w:sz="0" w:space="0" w:color="auto"/>
                    <w:bottom w:val="none" w:sz="0" w:space="0" w:color="auto"/>
                    <w:right w:val="none" w:sz="0" w:space="0" w:color="auto"/>
                  </w:divBdr>
                  <w:divsChild>
                    <w:div w:id="1465078362">
                      <w:marLeft w:val="0"/>
                      <w:marRight w:val="0"/>
                      <w:marTop w:val="0"/>
                      <w:marBottom w:val="0"/>
                      <w:divBdr>
                        <w:top w:val="none" w:sz="0" w:space="0" w:color="auto"/>
                        <w:left w:val="none" w:sz="0" w:space="0" w:color="auto"/>
                        <w:bottom w:val="none" w:sz="0" w:space="0" w:color="auto"/>
                        <w:right w:val="none" w:sz="0" w:space="0" w:color="auto"/>
                      </w:divBdr>
                    </w:div>
                  </w:divsChild>
                </w:div>
                <w:div w:id="1881934417">
                  <w:marLeft w:val="0"/>
                  <w:marRight w:val="0"/>
                  <w:marTop w:val="0"/>
                  <w:marBottom w:val="0"/>
                  <w:divBdr>
                    <w:top w:val="none" w:sz="0" w:space="0" w:color="auto"/>
                    <w:left w:val="none" w:sz="0" w:space="0" w:color="auto"/>
                    <w:bottom w:val="none" w:sz="0" w:space="0" w:color="auto"/>
                    <w:right w:val="none" w:sz="0" w:space="0" w:color="auto"/>
                  </w:divBdr>
                  <w:divsChild>
                    <w:div w:id="1156530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839279">
          <w:marLeft w:val="0"/>
          <w:marRight w:val="0"/>
          <w:marTop w:val="0"/>
          <w:marBottom w:val="0"/>
          <w:divBdr>
            <w:top w:val="none" w:sz="0" w:space="0" w:color="auto"/>
            <w:left w:val="none" w:sz="0" w:space="0" w:color="auto"/>
            <w:bottom w:val="none" w:sz="0" w:space="0" w:color="auto"/>
            <w:right w:val="none" w:sz="0" w:space="0" w:color="auto"/>
          </w:divBdr>
        </w:div>
        <w:div w:id="1253198023">
          <w:marLeft w:val="0"/>
          <w:marRight w:val="0"/>
          <w:marTop w:val="0"/>
          <w:marBottom w:val="0"/>
          <w:divBdr>
            <w:top w:val="none" w:sz="0" w:space="0" w:color="auto"/>
            <w:left w:val="none" w:sz="0" w:space="0" w:color="auto"/>
            <w:bottom w:val="none" w:sz="0" w:space="0" w:color="auto"/>
            <w:right w:val="none" w:sz="0" w:space="0" w:color="auto"/>
          </w:divBdr>
          <w:divsChild>
            <w:div w:id="1032265375">
              <w:marLeft w:val="-75"/>
              <w:marRight w:val="0"/>
              <w:marTop w:val="30"/>
              <w:marBottom w:val="30"/>
              <w:divBdr>
                <w:top w:val="none" w:sz="0" w:space="0" w:color="auto"/>
                <w:left w:val="none" w:sz="0" w:space="0" w:color="auto"/>
                <w:bottom w:val="none" w:sz="0" w:space="0" w:color="auto"/>
                <w:right w:val="none" w:sz="0" w:space="0" w:color="auto"/>
              </w:divBdr>
              <w:divsChild>
                <w:div w:id="869882954">
                  <w:marLeft w:val="0"/>
                  <w:marRight w:val="0"/>
                  <w:marTop w:val="0"/>
                  <w:marBottom w:val="0"/>
                  <w:divBdr>
                    <w:top w:val="none" w:sz="0" w:space="0" w:color="auto"/>
                    <w:left w:val="none" w:sz="0" w:space="0" w:color="auto"/>
                    <w:bottom w:val="none" w:sz="0" w:space="0" w:color="auto"/>
                    <w:right w:val="none" w:sz="0" w:space="0" w:color="auto"/>
                  </w:divBdr>
                  <w:divsChild>
                    <w:div w:id="1032001996">
                      <w:marLeft w:val="0"/>
                      <w:marRight w:val="0"/>
                      <w:marTop w:val="0"/>
                      <w:marBottom w:val="0"/>
                      <w:divBdr>
                        <w:top w:val="none" w:sz="0" w:space="0" w:color="auto"/>
                        <w:left w:val="none" w:sz="0" w:space="0" w:color="auto"/>
                        <w:bottom w:val="none" w:sz="0" w:space="0" w:color="auto"/>
                        <w:right w:val="none" w:sz="0" w:space="0" w:color="auto"/>
                      </w:divBdr>
                    </w:div>
                  </w:divsChild>
                </w:div>
                <w:div w:id="1750351379">
                  <w:marLeft w:val="0"/>
                  <w:marRight w:val="0"/>
                  <w:marTop w:val="0"/>
                  <w:marBottom w:val="0"/>
                  <w:divBdr>
                    <w:top w:val="none" w:sz="0" w:space="0" w:color="auto"/>
                    <w:left w:val="none" w:sz="0" w:space="0" w:color="auto"/>
                    <w:bottom w:val="none" w:sz="0" w:space="0" w:color="auto"/>
                    <w:right w:val="none" w:sz="0" w:space="0" w:color="auto"/>
                  </w:divBdr>
                  <w:divsChild>
                    <w:div w:id="50660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202416">
          <w:marLeft w:val="0"/>
          <w:marRight w:val="0"/>
          <w:marTop w:val="0"/>
          <w:marBottom w:val="0"/>
          <w:divBdr>
            <w:top w:val="none" w:sz="0" w:space="0" w:color="auto"/>
            <w:left w:val="none" w:sz="0" w:space="0" w:color="auto"/>
            <w:bottom w:val="none" w:sz="0" w:space="0" w:color="auto"/>
            <w:right w:val="none" w:sz="0" w:space="0" w:color="auto"/>
          </w:divBdr>
        </w:div>
        <w:div w:id="926841864">
          <w:marLeft w:val="0"/>
          <w:marRight w:val="0"/>
          <w:marTop w:val="0"/>
          <w:marBottom w:val="0"/>
          <w:divBdr>
            <w:top w:val="none" w:sz="0" w:space="0" w:color="auto"/>
            <w:left w:val="none" w:sz="0" w:space="0" w:color="auto"/>
            <w:bottom w:val="none" w:sz="0" w:space="0" w:color="auto"/>
            <w:right w:val="none" w:sz="0" w:space="0" w:color="auto"/>
          </w:divBdr>
        </w:div>
        <w:div w:id="2029601939">
          <w:marLeft w:val="0"/>
          <w:marRight w:val="0"/>
          <w:marTop w:val="0"/>
          <w:marBottom w:val="0"/>
          <w:divBdr>
            <w:top w:val="none" w:sz="0" w:space="0" w:color="auto"/>
            <w:left w:val="none" w:sz="0" w:space="0" w:color="auto"/>
            <w:bottom w:val="none" w:sz="0" w:space="0" w:color="auto"/>
            <w:right w:val="none" w:sz="0" w:space="0" w:color="auto"/>
          </w:divBdr>
        </w:div>
        <w:div w:id="1713111492">
          <w:marLeft w:val="0"/>
          <w:marRight w:val="0"/>
          <w:marTop w:val="0"/>
          <w:marBottom w:val="0"/>
          <w:divBdr>
            <w:top w:val="none" w:sz="0" w:space="0" w:color="auto"/>
            <w:left w:val="none" w:sz="0" w:space="0" w:color="auto"/>
            <w:bottom w:val="none" w:sz="0" w:space="0" w:color="auto"/>
            <w:right w:val="none" w:sz="0" w:space="0" w:color="auto"/>
          </w:divBdr>
        </w:div>
        <w:div w:id="1097097468">
          <w:marLeft w:val="0"/>
          <w:marRight w:val="0"/>
          <w:marTop w:val="0"/>
          <w:marBottom w:val="0"/>
          <w:divBdr>
            <w:top w:val="none" w:sz="0" w:space="0" w:color="auto"/>
            <w:left w:val="none" w:sz="0" w:space="0" w:color="auto"/>
            <w:bottom w:val="none" w:sz="0" w:space="0" w:color="auto"/>
            <w:right w:val="none" w:sz="0" w:space="0" w:color="auto"/>
          </w:divBdr>
          <w:divsChild>
            <w:div w:id="2092576736">
              <w:marLeft w:val="-75"/>
              <w:marRight w:val="0"/>
              <w:marTop w:val="30"/>
              <w:marBottom w:val="30"/>
              <w:divBdr>
                <w:top w:val="none" w:sz="0" w:space="0" w:color="auto"/>
                <w:left w:val="none" w:sz="0" w:space="0" w:color="auto"/>
                <w:bottom w:val="none" w:sz="0" w:space="0" w:color="auto"/>
                <w:right w:val="none" w:sz="0" w:space="0" w:color="auto"/>
              </w:divBdr>
              <w:divsChild>
                <w:div w:id="1437673744">
                  <w:marLeft w:val="0"/>
                  <w:marRight w:val="0"/>
                  <w:marTop w:val="0"/>
                  <w:marBottom w:val="0"/>
                  <w:divBdr>
                    <w:top w:val="none" w:sz="0" w:space="0" w:color="auto"/>
                    <w:left w:val="none" w:sz="0" w:space="0" w:color="auto"/>
                    <w:bottom w:val="none" w:sz="0" w:space="0" w:color="auto"/>
                    <w:right w:val="none" w:sz="0" w:space="0" w:color="auto"/>
                  </w:divBdr>
                  <w:divsChild>
                    <w:div w:id="1199704467">
                      <w:marLeft w:val="0"/>
                      <w:marRight w:val="0"/>
                      <w:marTop w:val="0"/>
                      <w:marBottom w:val="0"/>
                      <w:divBdr>
                        <w:top w:val="none" w:sz="0" w:space="0" w:color="auto"/>
                        <w:left w:val="none" w:sz="0" w:space="0" w:color="auto"/>
                        <w:bottom w:val="none" w:sz="0" w:space="0" w:color="auto"/>
                        <w:right w:val="none" w:sz="0" w:space="0" w:color="auto"/>
                      </w:divBdr>
                    </w:div>
                  </w:divsChild>
                </w:div>
                <w:div w:id="1823236175">
                  <w:marLeft w:val="0"/>
                  <w:marRight w:val="0"/>
                  <w:marTop w:val="0"/>
                  <w:marBottom w:val="0"/>
                  <w:divBdr>
                    <w:top w:val="none" w:sz="0" w:space="0" w:color="auto"/>
                    <w:left w:val="none" w:sz="0" w:space="0" w:color="auto"/>
                    <w:bottom w:val="none" w:sz="0" w:space="0" w:color="auto"/>
                    <w:right w:val="none" w:sz="0" w:space="0" w:color="auto"/>
                  </w:divBdr>
                  <w:divsChild>
                    <w:div w:id="1449548169">
                      <w:marLeft w:val="0"/>
                      <w:marRight w:val="0"/>
                      <w:marTop w:val="0"/>
                      <w:marBottom w:val="0"/>
                      <w:divBdr>
                        <w:top w:val="none" w:sz="0" w:space="0" w:color="auto"/>
                        <w:left w:val="none" w:sz="0" w:space="0" w:color="auto"/>
                        <w:bottom w:val="none" w:sz="0" w:space="0" w:color="auto"/>
                        <w:right w:val="none" w:sz="0" w:space="0" w:color="auto"/>
                      </w:divBdr>
                    </w:div>
                  </w:divsChild>
                </w:div>
                <w:div w:id="2066830890">
                  <w:marLeft w:val="0"/>
                  <w:marRight w:val="0"/>
                  <w:marTop w:val="0"/>
                  <w:marBottom w:val="0"/>
                  <w:divBdr>
                    <w:top w:val="none" w:sz="0" w:space="0" w:color="auto"/>
                    <w:left w:val="none" w:sz="0" w:space="0" w:color="auto"/>
                    <w:bottom w:val="none" w:sz="0" w:space="0" w:color="auto"/>
                    <w:right w:val="none" w:sz="0" w:space="0" w:color="auto"/>
                  </w:divBdr>
                  <w:divsChild>
                    <w:div w:id="1837573810">
                      <w:marLeft w:val="0"/>
                      <w:marRight w:val="0"/>
                      <w:marTop w:val="0"/>
                      <w:marBottom w:val="0"/>
                      <w:divBdr>
                        <w:top w:val="none" w:sz="0" w:space="0" w:color="auto"/>
                        <w:left w:val="none" w:sz="0" w:space="0" w:color="auto"/>
                        <w:bottom w:val="none" w:sz="0" w:space="0" w:color="auto"/>
                        <w:right w:val="none" w:sz="0" w:space="0" w:color="auto"/>
                      </w:divBdr>
                    </w:div>
                  </w:divsChild>
                </w:div>
                <w:div w:id="862598018">
                  <w:marLeft w:val="0"/>
                  <w:marRight w:val="0"/>
                  <w:marTop w:val="0"/>
                  <w:marBottom w:val="0"/>
                  <w:divBdr>
                    <w:top w:val="none" w:sz="0" w:space="0" w:color="auto"/>
                    <w:left w:val="none" w:sz="0" w:space="0" w:color="auto"/>
                    <w:bottom w:val="none" w:sz="0" w:space="0" w:color="auto"/>
                    <w:right w:val="none" w:sz="0" w:space="0" w:color="auto"/>
                  </w:divBdr>
                  <w:divsChild>
                    <w:div w:id="78126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130486">
          <w:marLeft w:val="0"/>
          <w:marRight w:val="0"/>
          <w:marTop w:val="0"/>
          <w:marBottom w:val="0"/>
          <w:divBdr>
            <w:top w:val="none" w:sz="0" w:space="0" w:color="auto"/>
            <w:left w:val="none" w:sz="0" w:space="0" w:color="auto"/>
            <w:bottom w:val="none" w:sz="0" w:space="0" w:color="auto"/>
            <w:right w:val="none" w:sz="0" w:space="0" w:color="auto"/>
          </w:divBdr>
        </w:div>
        <w:div w:id="77101897">
          <w:marLeft w:val="0"/>
          <w:marRight w:val="0"/>
          <w:marTop w:val="0"/>
          <w:marBottom w:val="0"/>
          <w:divBdr>
            <w:top w:val="none" w:sz="0" w:space="0" w:color="auto"/>
            <w:left w:val="none" w:sz="0" w:space="0" w:color="auto"/>
            <w:bottom w:val="none" w:sz="0" w:space="0" w:color="auto"/>
            <w:right w:val="none" w:sz="0" w:space="0" w:color="auto"/>
          </w:divBdr>
          <w:divsChild>
            <w:div w:id="207911718">
              <w:marLeft w:val="-75"/>
              <w:marRight w:val="0"/>
              <w:marTop w:val="30"/>
              <w:marBottom w:val="30"/>
              <w:divBdr>
                <w:top w:val="none" w:sz="0" w:space="0" w:color="auto"/>
                <w:left w:val="none" w:sz="0" w:space="0" w:color="auto"/>
                <w:bottom w:val="none" w:sz="0" w:space="0" w:color="auto"/>
                <w:right w:val="none" w:sz="0" w:space="0" w:color="auto"/>
              </w:divBdr>
              <w:divsChild>
                <w:div w:id="1728456931">
                  <w:marLeft w:val="0"/>
                  <w:marRight w:val="0"/>
                  <w:marTop w:val="0"/>
                  <w:marBottom w:val="0"/>
                  <w:divBdr>
                    <w:top w:val="none" w:sz="0" w:space="0" w:color="auto"/>
                    <w:left w:val="none" w:sz="0" w:space="0" w:color="auto"/>
                    <w:bottom w:val="none" w:sz="0" w:space="0" w:color="auto"/>
                    <w:right w:val="none" w:sz="0" w:space="0" w:color="auto"/>
                  </w:divBdr>
                  <w:divsChild>
                    <w:div w:id="1334838238">
                      <w:marLeft w:val="0"/>
                      <w:marRight w:val="0"/>
                      <w:marTop w:val="0"/>
                      <w:marBottom w:val="0"/>
                      <w:divBdr>
                        <w:top w:val="none" w:sz="0" w:space="0" w:color="auto"/>
                        <w:left w:val="none" w:sz="0" w:space="0" w:color="auto"/>
                        <w:bottom w:val="none" w:sz="0" w:space="0" w:color="auto"/>
                        <w:right w:val="none" w:sz="0" w:space="0" w:color="auto"/>
                      </w:divBdr>
                    </w:div>
                  </w:divsChild>
                </w:div>
                <w:div w:id="1679229970">
                  <w:marLeft w:val="0"/>
                  <w:marRight w:val="0"/>
                  <w:marTop w:val="0"/>
                  <w:marBottom w:val="0"/>
                  <w:divBdr>
                    <w:top w:val="none" w:sz="0" w:space="0" w:color="auto"/>
                    <w:left w:val="none" w:sz="0" w:space="0" w:color="auto"/>
                    <w:bottom w:val="none" w:sz="0" w:space="0" w:color="auto"/>
                    <w:right w:val="none" w:sz="0" w:space="0" w:color="auto"/>
                  </w:divBdr>
                  <w:divsChild>
                    <w:div w:id="375356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994851">
          <w:marLeft w:val="0"/>
          <w:marRight w:val="0"/>
          <w:marTop w:val="0"/>
          <w:marBottom w:val="0"/>
          <w:divBdr>
            <w:top w:val="none" w:sz="0" w:space="0" w:color="auto"/>
            <w:left w:val="none" w:sz="0" w:space="0" w:color="auto"/>
            <w:bottom w:val="none" w:sz="0" w:space="0" w:color="auto"/>
            <w:right w:val="none" w:sz="0" w:space="0" w:color="auto"/>
          </w:divBdr>
        </w:div>
        <w:div w:id="241960356">
          <w:marLeft w:val="0"/>
          <w:marRight w:val="0"/>
          <w:marTop w:val="0"/>
          <w:marBottom w:val="0"/>
          <w:divBdr>
            <w:top w:val="none" w:sz="0" w:space="0" w:color="auto"/>
            <w:left w:val="none" w:sz="0" w:space="0" w:color="auto"/>
            <w:bottom w:val="none" w:sz="0" w:space="0" w:color="auto"/>
            <w:right w:val="none" w:sz="0" w:space="0" w:color="auto"/>
          </w:divBdr>
        </w:div>
        <w:div w:id="1639259846">
          <w:marLeft w:val="0"/>
          <w:marRight w:val="0"/>
          <w:marTop w:val="0"/>
          <w:marBottom w:val="0"/>
          <w:divBdr>
            <w:top w:val="none" w:sz="0" w:space="0" w:color="auto"/>
            <w:left w:val="none" w:sz="0" w:space="0" w:color="auto"/>
            <w:bottom w:val="none" w:sz="0" w:space="0" w:color="auto"/>
            <w:right w:val="none" w:sz="0" w:space="0" w:color="auto"/>
          </w:divBdr>
        </w:div>
        <w:div w:id="341977377">
          <w:marLeft w:val="0"/>
          <w:marRight w:val="0"/>
          <w:marTop w:val="0"/>
          <w:marBottom w:val="0"/>
          <w:divBdr>
            <w:top w:val="none" w:sz="0" w:space="0" w:color="auto"/>
            <w:left w:val="none" w:sz="0" w:space="0" w:color="auto"/>
            <w:bottom w:val="none" w:sz="0" w:space="0" w:color="auto"/>
            <w:right w:val="none" w:sz="0" w:space="0" w:color="auto"/>
          </w:divBdr>
        </w:div>
        <w:div w:id="1600094101">
          <w:marLeft w:val="0"/>
          <w:marRight w:val="0"/>
          <w:marTop w:val="0"/>
          <w:marBottom w:val="0"/>
          <w:divBdr>
            <w:top w:val="none" w:sz="0" w:space="0" w:color="auto"/>
            <w:left w:val="none" w:sz="0" w:space="0" w:color="auto"/>
            <w:bottom w:val="none" w:sz="0" w:space="0" w:color="auto"/>
            <w:right w:val="none" w:sz="0" w:space="0" w:color="auto"/>
          </w:divBdr>
          <w:divsChild>
            <w:div w:id="1400900001">
              <w:marLeft w:val="-75"/>
              <w:marRight w:val="0"/>
              <w:marTop w:val="30"/>
              <w:marBottom w:val="30"/>
              <w:divBdr>
                <w:top w:val="none" w:sz="0" w:space="0" w:color="auto"/>
                <w:left w:val="none" w:sz="0" w:space="0" w:color="auto"/>
                <w:bottom w:val="none" w:sz="0" w:space="0" w:color="auto"/>
                <w:right w:val="none" w:sz="0" w:space="0" w:color="auto"/>
              </w:divBdr>
              <w:divsChild>
                <w:div w:id="1091121428">
                  <w:marLeft w:val="0"/>
                  <w:marRight w:val="0"/>
                  <w:marTop w:val="0"/>
                  <w:marBottom w:val="0"/>
                  <w:divBdr>
                    <w:top w:val="none" w:sz="0" w:space="0" w:color="auto"/>
                    <w:left w:val="none" w:sz="0" w:space="0" w:color="auto"/>
                    <w:bottom w:val="none" w:sz="0" w:space="0" w:color="auto"/>
                    <w:right w:val="none" w:sz="0" w:space="0" w:color="auto"/>
                  </w:divBdr>
                  <w:divsChild>
                    <w:div w:id="2002737313">
                      <w:marLeft w:val="0"/>
                      <w:marRight w:val="0"/>
                      <w:marTop w:val="0"/>
                      <w:marBottom w:val="0"/>
                      <w:divBdr>
                        <w:top w:val="none" w:sz="0" w:space="0" w:color="auto"/>
                        <w:left w:val="none" w:sz="0" w:space="0" w:color="auto"/>
                        <w:bottom w:val="none" w:sz="0" w:space="0" w:color="auto"/>
                        <w:right w:val="none" w:sz="0" w:space="0" w:color="auto"/>
                      </w:divBdr>
                    </w:div>
                  </w:divsChild>
                </w:div>
                <w:div w:id="866672889">
                  <w:marLeft w:val="0"/>
                  <w:marRight w:val="0"/>
                  <w:marTop w:val="0"/>
                  <w:marBottom w:val="0"/>
                  <w:divBdr>
                    <w:top w:val="none" w:sz="0" w:space="0" w:color="auto"/>
                    <w:left w:val="none" w:sz="0" w:space="0" w:color="auto"/>
                    <w:bottom w:val="none" w:sz="0" w:space="0" w:color="auto"/>
                    <w:right w:val="none" w:sz="0" w:space="0" w:color="auto"/>
                  </w:divBdr>
                  <w:divsChild>
                    <w:div w:id="1971519756">
                      <w:marLeft w:val="0"/>
                      <w:marRight w:val="0"/>
                      <w:marTop w:val="0"/>
                      <w:marBottom w:val="0"/>
                      <w:divBdr>
                        <w:top w:val="none" w:sz="0" w:space="0" w:color="auto"/>
                        <w:left w:val="none" w:sz="0" w:space="0" w:color="auto"/>
                        <w:bottom w:val="none" w:sz="0" w:space="0" w:color="auto"/>
                        <w:right w:val="none" w:sz="0" w:space="0" w:color="auto"/>
                      </w:divBdr>
                    </w:div>
                  </w:divsChild>
                </w:div>
                <w:div w:id="599720890">
                  <w:marLeft w:val="0"/>
                  <w:marRight w:val="0"/>
                  <w:marTop w:val="0"/>
                  <w:marBottom w:val="0"/>
                  <w:divBdr>
                    <w:top w:val="none" w:sz="0" w:space="0" w:color="auto"/>
                    <w:left w:val="none" w:sz="0" w:space="0" w:color="auto"/>
                    <w:bottom w:val="none" w:sz="0" w:space="0" w:color="auto"/>
                    <w:right w:val="none" w:sz="0" w:space="0" w:color="auto"/>
                  </w:divBdr>
                  <w:divsChild>
                    <w:div w:id="1654063972">
                      <w:marLeft w:val="0"/>
                      <w:marRight w:val="0"/>
                      <w:marTop w:val="0"/>
                      <w:marBottom w:val="0"/>
                      <w:divBdr>
                        <w:top w:val="none" w:sz="0" w:space="0" w:color="auto"/>
                        <w:left w:val="none" w:sz="0" w:space="0" w:color="auto"/>
                        <w:bottom w:val="none" w:sz="0" w:space="0" w:color="auto"/>
                        <w:right w:val="none" w:sz="0" w:space="0" w:color="auto"/>
                      </w:divBdr>
                    </w:div>
                  </w:divsChild>
                </w:div>
                <w:div w:id="1160584331">
                  <w:marLeft w:val="0"/>
                  <w:marRight w:val="0"/>
                  <w:marTop w:val="0"/>
                  <w:marBottom w:val="0"/>
                  <w:divBdr>
                    <w:top w:val="none" w:sz="0" w:space="0" w:color="auto"/>
                    <w:left w:val="none" w:sz="0" w:space="0" w:color="auto"/>
                    <w:bottom w:val="none" w:sz="0" w:space="0" w:color="auto"/>
                    <w:right w:val="none" w:sz="0" w:space="0" w:color="auto"/>
                  </w:divBdr>
                  <w:divsChild>
                    <w:div w:id="26299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698623">
          <w:marLeft w:val="0"/>
          <w:marRight w:val="0"/>
          <w:marTop w:val="0"/>
          <w:marBottom w:val="0"/>
          <w:divBdr>
            <w:top w:val="none" w:sz="0" w:space="0" w:color="auto"/>
            <w:left w:val="none" w:sz="0" w:space="0" w:color="auto"/>
            <w:bottom w:val="none" w:sz="0" w:space="0" w:color="auto"/>
            <w:right w:val="none" w:sz="0" w:space="0" w:color="auto"/>
          </w:divBdr>
        </w:div>
        <w:div w:id="1300958237">
          <w:marLeft w:val="0"/>
          <w:marRight w:val="0"/>
          <w:marTop w:val="0"/>
          <w:marBottom w:val="0"/>
          <w:divBdr>
            <w:top w:val="none" w:sz="0" w:space="0" w:color="auto"/>
            <w:left w:val="none" w:sz="0" w:space="0" w:color="auto"/>
            <w:bottom w:val="none" w:sz="0" w:space="0" w:color="auto"/>
            <w:right w:val="none" w:sz="0" w:space="0" w:color="auto"/>
          </w:divBdr>
          <w:divsChild>
            <w:div w:id="1083798021">
              <w:marLeft w:val="-75"/>
              <w:marRight w:val="0"/>
              <w:marTop w:val="30"/>
              <w:marBottom w:val="30"/>
              <w:divBdr>
                <w:top w:val="none" w:sz="0" w:space="0" w:color="auto"/>
                <w:left w:val="none" w:sz="0" w:space="0" w:color="auto"/>
                <w:bottom w:val="none" w:sz="0" w:space="0" w:color="auto"/>
                <w:right w:val="none" w:sz="0" w:space="0" w:color="auto"/>
              </w:divBdr>
              <w:divsChild>
                <w:div w:id="261913413">
                  <w:marLeft w:val="0"/>
                  <w:marRight w:val="0"/>
                  <w:marTop w:val="0"/>
                  <w:marBottom w:val="0"/>
                  <w:divBdr>
                    <w:top w:val="none" w:sz="0" w:space="0" w:color="auto"/>
                    <w:left w:val="none" w:sz="0" w:space="0" w:color="auto"/>
                    <w:bottom w:val="none" w:sz="0" w:space="0" w:color="auto"/>
                    <w:right w:val="none" w:sz="0" w:space="0" w:color="auto"/>
                  </w:divBdr>
                  <w:divsChild>
                    <w:div w:id="1152411509">
                      <w:marLeft w:val="0"/>
                      <w:marRight w:val="0"/>
                      <w:marTop w:val="0"/>
                      <w:marBottom w:val="0"/>
                      <w:divBdr>
                        <w:top w:val="none" w:sz="0" w:space="0" w:color="auto"/>
                        <w:left w:val="none" w:sz="0" w:space="0" w:color="auto"/>
                        <w:bottom w:val="none" w:sz="0" w:space="0" w:color="auto"/>
                        <w:right w:val="none" w:sz="0" w:space="0" w:color="auto"/>
                      </w:divBdr>
                    </w:div>
                  </w:divsChild>
                </w:div>
                <w:div w:id="774710644">
                  <w:marLeft w:val="0"/>
                  <w:marRight w:val="0"/>
                  <w:marTop w:val="0"/>
                  <w:marBottom w:val="0"/>
                  <w:divBdr>
                    <w:top w:val="none" w:sz="0" w:space="0" w:color="auto"/>
                    <w:left w:val="none" w:sz="0" w:space="0" w:color="auto"/>
                    <w:bottom w:val="none" w:sz="0" w:space="0" w:color="auto"/>
                    <w:right w:val="none" w:sz="0" w:space="0" w:color="auto"/>
                  </w:divBdr>
                  <w:divsChild>
                    <w:div w:id="81599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242021">
          <w:marLeft w:val="0"/>
          <w:marRight w:val="0"/>
          <w:marTop w:val="0"/>
          <w:marBottom w:val="0"/>
          <w:divBdr>
            <w:top w:val="none" w:sz="0" w:space="0" w:color="auto"/>
            <w:left w:val="none" w:sz="0" w:space="0" w:color="auto"/>
            <w:bottom w:val="none" w:sz="0" w:space="0" w:color="auto"/>
            <w:right w:val="none" w:sz="0" w:space="0" w:color="auto"/>
          </w:divBdr>
          <w:divsChild>
            <w:div w:id="306782878">
              <w:marLeft w:val="0"/>
              <w:marRight w:val="0"/>
              <w:marTop w:val="0"/>
              <w:marBottom w:val="0"/>
              <w:divBdr>
                <w:top w:val="none" w:sz="0" w:space="0" w:color="auto"/>
                <w:left w:val="none" w:sz="0" w:space="0" w:color="auto"/>
                <w:bottom w:val="none" w:sz="0" w:space="0" w:color="auto"/>
                <w:right w:val="none" w:sz="0" w:space="0" w:color="auto"/>
              </w:divBdr>
            </w:div>
            <w:div w:id="225604204">
              <w:marLeft w:val="0"/>
              <w:marRight w:val="0"/>
              <w:marTop w:val="0"/>
              <w:marBottom w:val="0"/>
              <w:divBdr>
                <w:top w:val="none" w:sz="0" w:space="0" w:color="auto"/>
                <w:left w:val="none" w:sz="0" w:space="0" w:color="auto"/>
                <w:bottom w:val="none" w:sz="0" w:space="0" w:color="auto"/>
                <w:right w:val="none" w:sz="0" w:space="0" w:color="auto"/>
              </w:divBdr>
            </w:div>
            <w:div w:id="836308734">
              <w:marLeft w:val="0"/>
              <w:marRight w:val="0"/>
              <w:marTop w:val="0"/>
              <w:marBottom w:val="0"/>
              <w:divBdr>
                <w:top w:val="none" w:sz="0" w:space="0" w:color="auto"/>
                <w:left w:val="none" w:sz="0" w:space="0" w:color="auto"/>
                <w:bottom w:val="none" w:sz="0" w:space="0" w:color="auto"/>
                <w:right w:val="none" w:sz="0" w:space="0" w:color="auto"/>
              </w:divBdr>
            </w:div>
            <w:div w:id="846529254">
              <w:marLeft w:val="0"/>
              <w:marRight w:val="0"/>
              <w:marTop w:val="0"/>
              <w:marBottom w:val="0"/>
              <w:divBdr>
                <w:top w:val="none" w:sz="0" w:space="0" w:color="auto"/>
                <w:left w:val="none" w:sz="0" w:space="0" w:color="auto"/>
                <w:bottom w:val="none" w:sz="0" w:space="0" w:color="auto"/>
                <w:right w:val="none" w:sz="0" w:space="0" w:color="auto"/>
              </w:divBdr>
            </w:div>
            <w:div w:id="948044886">
              <w:marLeft w:val="0"/>
              <w:marRight w:val="0"/>
              <w:marTop w:val="0"/>
              <w:marBottom w:val="0"/>
              <w:divBdr>
                <w:top w:val="none" w:sz="0" w:space="0" w:color="auto"/>
                <w:left w:val="none" w:sz="0" w:space="0" w:color="auto"/>
                <w:bottom w:val="none" w:sz="0" w:space="0" w:color="auto"/>
                <w:right w:val="none" w:sz="0" w:space="0" w:color="auto"/>
              </w:divBdr>
            </w:div>
            <w:div w:id="1751003382">
              <w:marLeft w:val="0"/>
              <w:marRight w:val="0"/>
              <w:marTop w:val="0"/>
              <w:marBottom w:val="0"/>
              <w:divBdr>
                <w:top w:val="none" w:sz="0" w:space="0" w:color="auto"/>
                <w:left w:val="none" w:sz="0" w:space="0" w:color="auto"/>
                <w:bottom w:val="none" w:sz="0" w:space="0" w:color="auto"/>
                <w:right w:val="none" w:sz="0" w:space="0" w:color="auto"/>
              </w:divBdr>
            </w:div>
            <w:div w:id="1821388102">
              <w:marLeft w:val="0"/>
              <w:marRight w:val="0"/>
              <w:marTop w:val="0"/>
              <w:marBottom w:val="0"/>
              <w:divBdr>
                <w:top w:val="none" w:sz="0" w:space="0" w:color="auto"/>
                <w:left w:val="none" w:sz="0" w:space="0" w:color="auto"/>
                <w:bottom w:val="none" w:sz="0" w:space="0" w:color="auto"/>
                <w:right w:val="none" w:sz="0" w:space="0" w:color="auto"/>
              </w:divBdr>
            </w:div>
            <w:div w:id="1496149060">
              <w:marLeft w:val="0"/>
              <w:marRight w:val="0"/>
              <w:marTop w:val="0"/>
              <w:marBottom w:val="0"/>
              <w:divBdr>
                <w:top w:val="none" w:sz="0" w:space="0" w:color="auto"/>
                <w:left w:val="none" w:sz="0" w:space="0" w:color="auto"/>
                <w:bottom w:val="none" w:sz="0" w:space="0" w:color="auto"/>
                <w:right w:val="none" w:sz="0" w:space="0" w:color="auto"/>
              </w:divBdr>
            </w:div>
            <w:div w:id="67003743">
              <w:marLeft w:val="0"/>
              <w:marRight w:val="0"/>
              <w:marTop w:val="0"/>
              <w:marBottom w:val="0"/>
              <w:divBdr>
                <w:top w:val="none" w:sz="0" w:space="0" w:color="auto"/>
                <w:left w:val="none" w:sz="0" w:space="0" w:color="auto"/>
                <w:bottom w:val="none" w:sz="0" w:space="0" w:color="auto"/>
                <w:right w:val="none" w:sz="0" w:space="0" w:color="auto"/>
              </w:divBdr>
            </w:div>
            <w:div w:id="579826640">
              <w:marLeft w:val="0"/>
              <w:marRight w:val="0"/>
              <w:marTop w:val="0"/>
              <w:marBottom w:val="0"/>
              <w:divBdr>
                <w:top w:val="none" w:sz="0" w:space="0" w:color="auto"/>
                <w:left w:val="none" w:sz="0" w:space="0" w:color="auto"/>
                <w:bottom w:val="none" w:sz="0" w:space="0" w:color="auto"/>
                <w:right w:val="none" w:sz="0" w:space="0" w:color="auto"/>
              </w:divBdr>
            </w:div>
            <w:div w:id="1611626738">
              <w:marLeft w:val="0"/>
              <w:marRight w:val="0"/>
              <w:marTop w:val="0"/>
              <w:marBottom w:val="0"/>
              <w:divBdr>
                <w:top w:val="none" w:sz="0" w:space="0" w:color="auto"/>
                <w:left w:val="none" w:sz="0" w:space="0" w:color="auto"/>
                <w:bottom w:val="none" w:sz="0" w:space="0" w:color="auto"/>
                <w:right w:val="none" w:sz="0" w:space="0" w:color="auto"/>
              </w:divBdr>
            </w:div>
            <w:div w:id="89785285">
              <w:marLeft w:val="0"/>
              <w:marRight w:val="0"/>
              <w:marTop w:val="0"/>
              <w:marBottom w:val="0"/>
              <w:divBdr>
                <w:top w:val="none" w:sz="0" w:space="0" w:color="auto"/>
                <w:left w:val="none" w:sz="0" w:space="0" w:color="auto"/>
                <w:bottom w:val="none" w:sz="0" w:space="0" w:color="auto"/>
                <w:right w:val="none" w:sz="0" w:space="0" w:color="auto"/>
              </w:divBdr>
            </w:div>
            <w:div w:id="728381547">
              <w:marLeft w:val="0"/>
              <w:marRight w:val="0"/>
              <w:marTop w:val="0"/>
              <w:marBottom w:val="0"/>
              <w:divBdr>
                <w:top w:val="none" w:sz="0" w:space="0" w:color="auto"/>
                <w:left w:val="none" w:sz="0" w:space="0" w:color="auto"/>
                <w:bottom w:val="none" w:sz="0" w:space="0" w:color="auto"/>
                <w:right w:val="none" w:sz="0" w:space="0" w:color="auto"/>
              </w:divBdr>
            </w:div>
            <w:div w:id="2075007407">
              <w:marLeft w:val="0"/>
              <w:marRight w:val="0"/>
              <w:marTop w:val="0"/>
              <w:marBottom w:val="0"/>
              <w:divBdr>
                <w:top w:val="none" w:sz="0" w:space="0" w:color="auto"/>
                <w:left w:val="none" w:sz="0" w:space="0" w:color="auto"/>
                <w:bottom w:val="none" w:sz="0" w:space="0" w:color="auto"/>
                <w:right w:val="none" w:sz="0" w:space="0" w:color="auto"/>
              </w:divBdr>
            </w:div>
            <w:div w:id="1309506821">
              <w:marLeft w:val="0"/>
              <w:marRight w:val="0"/>
              <w:marTop w:val="0"/>
              <w:marBottom w:val="0"/>
              <w:divBdr>
                <w:top w:val="none" w:sz="0" w:space="0" w:color="auto"/>
                <w:left w:val="none" w:sz="0" w:space="0" w:color="auto"/>
                <w:bottom w:val="none" w:sz="0" w:space="0" w:color="auto"/>
                <w:right w:val="none" w:sz="0" w:space="0" w:color="auto"/>
              </w:divBdr>
            </w:div>
            <w:div w:id="1317487884">
              <w:marLeft w:val="0"/>
              <w:marRight w:val="0"/>
              <w:marTop w:val="0"/>
              <w:marBottom w:val="0"/>
              <w:divBdr>
                <w:top w:val="none" w:sz="0" w:space="0" w:color="auto"/>
                <w:left w:val="none" w:sz="0" w:space="0" w:color="auto"/>
                <w:bottom w:val="none" w:sz="0" w:space="0" w:color="auto"/>
                <w:right w:val="none" w:sz="0" w:space="0" w:color="auto"/>
              </w:divBdr>
            </w:div>
            <w:div w:id="201965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6619">
      <w:bodyDiv w:val="1"/>
      <w:marLeft w:val="0"/>
      <w:marRight w:val="0"/>
      <w:marTop w:val="0"/>
      <w:marBottom w:val="0"/>
      <w:divBdr>
        <w:top w:val="none" w:sz="0" w:space="0" w:color="auto"/>
        <w:left w:val="none" w:sz="0" w:space="0" w:color="auto"/>
        <w:bottom w:val="none" w:sz="0" w:space="0" w:color="auto"/>
        <w:right w:val="none" w:sz="0" w:space="0" w:color="auto"/>
      </w:divBdr>
    </w:div>
    <w:div w:id="170028758">
      <w:bodyDiv w:val="1"/>
      <w:marLeft w:val="0"/>
      <w:marRight w:val="0"/>
      <w:marTop w:val="0"/>
      <w:marBottom w:val="0"/>
      <w:divBdr>
        <w:top w:val="none" w:sz="0" w:space="0" w:color="auto"/>
        <w:left w:val="none" w:sz="0" w:space="0" w:color="auto"/>
        <w:bottom w:val="none" w:sz="0" w:space="0" w:color="auto"/>
        <w:right w:val="none" w:sz="0" w:space="0" w:color="auto"/>
      </w:divBdr>
    </w:div>
    <w:div w:id="180357162">
      <w:bodyDiv w:val="1"/>
      <w:marLeft w:val="0"/>
      <w:marRight w:val="0"/>
      <w:marTop w:val="0"/>
      <w:marBottom w:val="0"/>
      <w:divBdr>
        <w:top w:val="none" w:sz="0" w:space="0" w:color="auto"/>
        <w:left w:val="none" w:sz="0" w:space="0" w:color="auto"/>
        <w:bottom w:val="none" w:sz="0" w:space="0" w:color="auto"/>
        <w:right w:val="none" w:sz="0" w:space="0" w:color="auto"/>
      </w:divBdr>
    </w:div>
    <w:div w:id="215046218">
      <w:bodyDiv w:val="1"/>
      <w:marLeft w:val="0"/>
      <w:marRight w:val="0"/>
      <w:marTop w:val="0"/>
      <w:marBottom w:val="0"/>
      <w:divBdr>
        <w:top w:val="none" w:sz="0" w:space="0" w:color="auto"/>
        <w:left w:val="none" w:sz="0" w:space="0" w:color="auto"/>
        <w:bottom w:val="none" w:sz="0" w:space="0" w:color="auto"/>
        <w:right w:val="none" w:sz="0" w:space="0" w:color="auto"/>
      </w:divBdr>
    </w:div>
    <w:div w:id="270866084">
      <w:bodyDiv w:val="1"/>
      <w:marLeft w:val="0"/>
      <w:marRight w:val="0"/>
      <w:marTop w:val="0"/>
      <w:marBottom w:val="0"/>
      <w:divBdr>
        <w:top w:val="none" w:sz="0" w:space="0" w:color="auto"/>
        <w:left w:val="none" w:sz="0" w:space="0" w:color="auto"/>
        <w:bottom w:val="none" w:sz="0" w:space="0" w:color="auto"/>
        <w:right w:val="none" w:sz="0" w:space="0" w:color="auto"/>
      </w:divBdr>
    </w:div>
    <w:div w:id="326398603">
      <w:bodyDiv w:val="1"/>
      <w:marLeft w:val="0"/>
      <w:marRight w:val="0"/>
      <w:marTop w:val="0"/>
      <w:marBottom w:val="0"/>
      <w:divBdr>
        <w:top w:val="none" w:sz="0" w:space="0" w:color="auto"/>
        <w:left w:val="none" w:sz="0" w:space="0" w:color="auto"/>
        <w:bottom w:val="none" w:sz="0" w:space="0" w:color="auto"/>
        <w:right w:val="none" w:sz="0" w:space="0" w:color="auto"/>
      </w:divBdr>
    </w:div>
    <w:div w:id="436950852">
      <w:bodyDiv w:val="1"/>
      <w:marLeft w:val="0"/>
      <w:marRight w:val="0"/>
      <w:marTop w:val="0"/>
      <w:marBottom w:val="0"/>
      <w:divBdr>
        <w:top w:val="none" w:sz="0" w:space="0" w:color="auto"/>
        <w:left w:val="none" w:sz="0" w:space="0" w:color="auto"/>
        <w:bottom w:val="none" w:sz="0" w:space="0" w:color="auto"/>
        <w:right w:val="none" w:sz="0" w:space="0" w:color="auto"/>
      </w:divBdr>
      <w:divsChild>
        <w:div w:id="1219440805">
          <w:marLeft w:val="0"/>
          <w:marRight w:val="0"/>
          <w:marTop w:val="0"/>
          <w:marBottom w:val="0"/>
          <w:divBdr>
            <w:top w:val="none" w:sz="0" w:space="0" w:color="auto"/>
            <w:left w:val="none" w:sz="0" w:space="0" w:color="auto"/>
            <w:bottom w:val="none" w:sz="0" w:space="0" w:color="auto"/>
            <w:right w:val="none" w:sz="0" w:space="0" w:color="auto"/>
          </w:divBdr>
        </w:div>
        <w:div w:id="944188944">
          <w:marLeft w:val="0"/>
          <w:marRight w:val="0"/>
          <w:marTop w:val="0"/>
          <w:marBottom w:val="0"/>
          <w:divBdr>
            <w:top w:val="none" w:sz="0" w:space="0" w:color="auto"/>
            <w:left w:val="none" w:sz="0" w:space="0" w:color="auto"/>
            <w:bottom w:val="none" w:sz="0" w:space="0" w:color="auto"/>
            <w:right w:val="none" w:sz="0" w:space="0" w:color="auto"/>
          </w:divBdr>
        </w:div>
        <w:div w:id="796874719">
          <w:marLeft w:val="0"/>
          <w:marRight w:val="0"/>
          <w:marTop w:val="0"/>
          <w:marBottom w:val="0"/>
          <w:divBdr>
            <w:top w:val="none" w:sz="0" w:space="0" w:color="auto"/>
            <w:left w:val="none" w:sz="0" w:space="0" w:color="auto"/>
            <w:bottom w:val="none" w:sz="0" w:space="0" w:color="auto"/>
            <w:right w:val="none" w:sz="0" w:space="0" w:color="auto"/>
          </w:divBdr>
        </w:div>
        <w:div w:id="683095631">
          <w:marLeft w:val="0"/>
          <w:marRight w:val="0"/>
          <w:marTop w:val="0"/>
          <w:marBottom w:val="0"/>
          <w:divBdr>
            <w:top w:val="none" w:sz="0" w:space="0" w:color="auto"/>
            <w:left w:val="none" w:sz="0" w:space="0" w:color="auto"/>
            <w:bottom w:val="none" w:sz="0" w:space="0" w:color="auto"/>
            <w:right w:val="none" w:sz="0" w:space="0" w:color="auto"/>
          </w:divBdr>
        </w:div>
      </w:divsChild>
    </w:div>
    <w:div w:id="466050523">
      <w:bodyDiv w:val="1"/>
      <w:marLeft w:val="0"/>
      <w:marRight w:val="0"/>
      <w:marTop w:val="0"/>
      <w:marBottom w:val="0"/>
      <w:divBdr>
        <w:top w:val="none" w:sz="0" w:space="0" w:color="auto"/>
        <w:left w:val="none" w:sz="0" w:space="0" w:color="auto"/>
        <w:bottom w:val="none" w:sz="0" w:space="0" w:color="auto"/>
        <w:right w:val="none" w:sz="0" w:space="0" w:color="auto"/>
      </w:divBdr>
    </w:div>
    <w:div w:id="472334041">
      <w:bodyDiv w:val="1"/>
      <w:marLeft w:val="0"/>
      <w:marRight w:val="0"/>
      <w:marTop w:val="0"/>
      <w:marBottom w:val="0"/>
      <w:divBdr>
        <w:top w:val="none" w:sz="0" w:space="0" w:color="auto"/>
        <w:left w:val="none" w:sz="0" w:space="0" w:color="auto"/>
        <w:bottom w:val="none" w:sz="0" w:space="0" w:color="auto"/>
        <w:right w:val="none" w:sz="0" w:space="0" w:color="auto"/>
      </w:divBdr>
    </w:div>
    <w:div w:id="672949853">
      <w:bodyDiv w:val="1"/>
      <w:marLeft w:val="0"/>
      <w:marRight w:val="0"/>
      <w:marTop w:val="0"/>
      <w:marBottom w:val="0"/>
      <w:divBdr>
        <w:top w:val="none" w:sz="0" w:space="0" w:color="auto"/>
        <w:left w:val="none" w:sz="0" w:space="0" w:color="auto"/>
        <w:bottom w:val="none" w:sz="0" w:space="0" w:color="auto"/>
        <w:right w:val="none" w:sz="0" w:space="0" w:color="auto"/>
      </w:divBdr>
    </w:div>
    <w:div w:id="711543184">
      <w:bodyDiv w:val="1"/>
      <w:marLeft w:val="0"/>
      <w:marRight w:val="0"/>
      <w:marTop w:val="0"/>
      <w:marBottom w:val="0"/>
      <w:divBdr>
        <w:top w:val="none" w:sz="0" w:space="0" w:color="auto"/>
        <w:left w:val="none" w:sz="0" w:space="0" w:color="auto"/>
        <w:bottom w:val="none" w:sz="0" w:space="0" w:color="auto"/>
        <w:right w:val="none" w:sz="0" w:space="0" w:color="auto"/>
      </w:divBdr>
    </w:div>
    <w:div w:id="734398175">
      <w:bodyDiv w:val="1"/>
      <w:marLeft w:val="0"/>
      <w:marRight w:val="0"/>
      <w:marTop w:val="0"/>
      <w:marBottom w:val="0"/>
      <w:divBdr>
        <w:top w:val="none" w:sz="0" w:space="0" w:color="auto"/>
        <w:left w:val="none" w:sz="0" w:space="0" w:color="auto"/>
        <w:bottom w:val="none" w:sz="0" w:space="0" w:color="auto"/>
        <w:right w:val="none" w:sz="0" w:space="0" w:color="auto"/>
      </w:divBdr>
    </w:div>
    <w:div w:id="808480478">
      <w:bodyDiv w:val="1"/>
      <w:marLeft w:val="0"/>
      <w:marRight w:val="0"/>
      <w:marTop w:val="0"/>
      <w:marBottom w:val="0"/>
      <w:divBdr>
        <w:top w:val="none" w:sz="0" w:space="0" w:color="auto"/>
        <w:left w:val="none" w:sz="0" w:space="0" w:color="auto"/>
        <w:bottom w:val="none" w:sz="0" w:space="0" w:color="auto"/>
        <w:right w:val="none" w:sz="0" w:space="0" w:color="auto"/>
      </w:divBdr>
    </w:div>
    <w:div w:id="897516167">
      <w:bodyDiv w:val="1"/>
      <w:marLeft w:val="0"/>
      <w:marRight w:val="0"/>
      <w:marTop w:val="0"/>
      <w:marBottom w:val="0"/>
      <w:divBdr>
        <w:top w:val="none" w:sz="0" w:space="0" w:color="auto"/>
        <w:left w:val="none" w:sz="0" w:space="0" w:color="auto"/>
        <w:bottom w:val="none" w:sz="0" w:space="0" w:color="auto"/>
        <w:right w:val="none" w:sz="0" w:space="0" w:color="auto"/>
      </w:divBdr>
    </w:div>
    <w:div w:id="959995473">
      <w:bodyDiv w:val="1"/>
      <w:marLeft w:val="0"/>
      <w:marRight w:val="0"/>
      <w:marTop w:val="0"/>
      <w:marBottom w:val="0"/>
      <w:divBdr>
        <w:top w:val="none" w:sz="0" w:space="0" w:color="auto"/>
        <w:left w:val="none" w:sz="0" w:space="0" w:color="auto"/>
        <w:bottom w:val="none" w:sz="0" w:space="0" w:color="auto"/>
        <w:right w:val="none" w:sz="0" w:space="0" w:color="auto"/>
      </w:divBdr>
    </w:div>
    <w:div w:id="1063061942">
      <w:bodyDiv w:val="1"/>
      <w:marLeft w:val="0"/>
      <w:marRight w:val="0"/>
      <w:marTop w:val="0"/>
      <w:marBottom w:val="0"/>
      <w:divBdr>
        <w:top w:val="none" w:sz="0" w:space="0" w:color="auto"/>
        <w:left w:val="none" w:sz="0" w:space="0" w:color="auto"/>
        <w:bottom w:val="none" w:sz="0" w:space="0" w:color="auto"/>
        <w:right w:val="none" w:sz="0" w:space="0" w:color="auto"/>
      </w:divBdr>
    </w:div>
    <w:div w:id="2052537743">
      <w:bodyDiv w:val="1"/>
      <w:marLeft w:val="0"/>
      <w:marRight w:val="0"/>
      <w:marTop w:val="0"/>
      <w:marBottom w:val="0"/>
      <w:divBdr>
        <w:top w:val="none" w:sz="0" w:space="0" w:color="auto"/>
        <w:left w:val="none" w:sz="0" w:space="0" w:color="auto"/>
        <w:bottom w:val="none" w:sz="0" w:space="0" w:color="auto"/>
        <w:right w:val="none" w:sz="0" w:space="0" w:color="auto"/>
      </w:divBdr>
    </w:div>
    <w:div w:id="2091803757">
      <w:bodyDiv w:val="1"/>
      <w:marLeft w:val="0"/>
      <w:marRight w:val="0"/>
      <w:marTop w:val="0"/>
      <w:marBottom w:val="0"/>
      <w:divBdr>
        <w:top w:val="none" w:sz="0" w:space="0" w:color="auto"/>
        <w:left w:val="none" w:sz="0" w:space="0" w:color="auto"/>
        <w:bottom w:val="none" w:sz="0" w:space="0" w:color="auto"/>
        <w:right w:val="none" w:sz="0" w:space="0" w:color="auto"/>
      </w:divBdr>
    </w:div>
    <w:div w:id="2093117143">
      <w:bodyDiv w:val="1"/>
      <w:marLeft w:val="0"/>
      <w:marRight w:val="0"/>
      <w:marTop w:val="0"/>
      <w:marBottom w:val="0"/>
      <w:divBdr>
        <w:top w:val="none" w:sz="0" w:space="0" w:color="auto"/>
        <w:left w:val="none" w:sz="0" w:space="0" w:color="auto"/>
        <w:bottom w:val="none" w:sz="0" w:space="0" w:color="auto"/>
        <w:right w:val="none" w:sz="0" w:space="0" w:color="auto"/>
      </w:divBdr>
    </w:div>
    <w:div w:id="2101020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aw-tracker.europa.eu/procedure/2025_524?lang=en"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at@eesc.europa.eu" TargetMode="External"/><Relationship Id="rId24" Type="http://schemas.openxmlformats.org/officeDocument/2006/relationships/customXml" Target="../customXml/item4.xml"/><Relationship Id="rId5" Type="http://schemas.openxmlformats.org/officeDocument/2006/relationships/styles" Target="styles.xml"/><Relationship Id="rId15" Type="http://schemas.openxmlformats.org/officeDocument/2006/relationships/hyperlink" Target="https://sdgs.un.org/goals" TargetMode="External"/><Relationship Id="rId23" Type="http://schemas.openxmlformats.org/officeDocument/2006/relationships/theme" Target="theme/theme1.xml"/><Relationship Id="rId10" Type="http://schemas.openxmlformats.org/officeDocument/2006/relationships/image" Target="media/image1.jp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ur-lex.europa.eu/legal-content/SL/TXT/PDF/?uri=CELEX:52025PC0524&amp;qid=1753683290451"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iea.org/reports/world-energy-outlook-2023" TargetMode="External"/><Relationship Id="rId13" Type="http://schemas.openxmlformats.org/officeDocument/2006/relationships/hyperlink" Target="https://climate-advisory-board.europa.eu/reports-and-publications/2025-02-21-scaling-up-carbon-dioxide-removals-recommendations-for-navigating-opportunities-and-risks-in-the-eu.pdf/%40%40download/file" TargetMode="External"/><Relationship Id="rId3" Type="http://schemas.openxmlformats.org/officeDocument/2006/relationships/hyperlink" Target="https://climate-advisory-board.europa.eu/news/staying-the-course-on-climate-action-essential-to-eu-security-and-competitiveness" TargetMode="External"/><Relationship Id="rId7" Type="http://schemas.openxmlformats.org/officeDocument/2006/relationships/hyperlink" Target="https://www.carbonbrief.org/analysis-clean-energy-just-put-chinas-co2-emissions-into-reverse-for-first-time/" TargetMode="External"/><Relationship Id="rId12" Type="http://schemas.openxmlformats.org/officeDocument/2006/relationships/hyperlink" Target="https://perspectives.cc/publication/methodologies-for-policy-crediting-under-the-paris-agreement-crediting-mechanism/" TargetMode="External"/><Relationship Id="rId17" Type="http://schemas.openxmlformats.org/officeDocument/2006/relationships/hyperlink" Target="https://www.bruegel.org/analysis/defence-and-climate-seven-points-common-agenda" TargetMode="External"/><Relationship Id="rId2" Type="http://schemas.openxmlformats.org/officeDocument/2006/relationships/hyperlink" Target="http://data.europa.eu/eli/C/2024/4667/oj" TargetMode="External"/><Relationship Id="rId16" Type="http://schemas.openxmlformats.org/officeDocument/2006/relationships/hyperlink" Target="https://www.etuc.org/en/pressrelease/eu-loses-almost-million-manufacturing-jobs-just-4-years" TargetMode="External"/><Relationship Id="rId1" Type="http://schemas.openxmlformats.org/officeDocument/2006/relationships/hyperlink" Target="http://data.europa.eu/eli/C/2024/4667/oj" TargetMode="External"/><Relationship Id="rId6" Type="http://schemas.openxmlformats.org/officeDocument/2006/relationships/hyperlink" Target="https://www.carbonbrief.org/analysis-chinas-emissions-have-now-caused-more-global-warming-than-eu/" TargetMode="External"/><Relationship Id="rId11" Type="http://schemas.openxmlformats.org/officeDocument/2006/relationships/hyperlink" Target="https://climate-advisory-board.europa.eu/news/staying-the-course-on-climate-action-essential-to-eu-security-and-competitiveness" TargetMode="External"/><Relationship Id="rId5" Type="http://schemas.openxmlformats.org/officeDocument/2006/relationships/hyperlink" Target="https://www.imo.org/en/MediaCentre/PressBriefings/pages/IMO-approves-netzero-regulations.aspx" TargetMode="External"/><Relationship Id="rId15" Type="http://schemas.openxmlformats.org/officeDocument/2006/relationships/hyperlink" Target="https://commission.europa.eu/document/download/ae2ea9ea-d037-4920-bbf6-a4183b747e34_en?filename=COM_2025_378_1_EN_ACT_part1_v5.pdf" TargetMode="External"/><Relationship Id="rId10" Type="http://schemas.openxmlformats.org/officeDocument/2006/relationships/hyperlink" Target="https://unepccc.org/article-6-pipeline/" TargetMode="External"/><Relationship Id="rId4" Type="http://schemas.openxmlformats.org/officeDocument/2006/relationships/hyperlink" Target="https://ec.europa.eu/commission/presscorner/detail/sl/ip_25_1337" TargetMode="External"/><Relationship Id="rId9" Type="http://schemas.openxmlformats.org/officeDocument/2006/relationships/hyperlink" Target="https://ieep.eu/wp-content/uploads/2025/06/Powering-the-Twin-Engines-Navigating-China-EU-Climate-Cooperation-2025.pdf" TargetMode="External"/><Relationship Id="rId14" Type="http://schemas.openxmlformats.org/officeDocument/2006/relationships/hyperlink" Target="https://joint-research-centre.ec.europa.eu/jrc-news-and-updates/european-forest-carbon-sink-declining-can-we-reverse-trend-2025-07-30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M Document" ma:contentTypeID="0x010100EA97B91038054C99906057A708A1480A004B94E0CD93B68F4F96D67EEBEC8A7176" ma:contentTypeVersion="4" ma:contentTypeDescription="Defines the documents for Document Manager V2" ma:contentTypeScope="" ma:versionID="56661591a508277d6262203e4557b8ae">
  <xsd:schema xmlns:xsd="http://www.w3.org/2001/XMLSchema" xmlns:xs="http://www.w3.org/2001/XMLSchema" xmlns:p="http://schemas.microsoft.com/office/2006/metadata/properties" xmlns:ns2="1a33af13-4045-4f88-9d7b-618e30f79918" xmlns:ns3="http://schemas.microsoft.com/sharepoint/v3/fields" xmlns:ns4="a3e83899-37aa-47c6-ba54-4ea80e9c17cf" targetNamespace="http://schemas.microsoft.com/office/2006/metadata/properties" ma:root="true" ma:fieldsID="1ddc428e300a307dc1c6e67e6931f8cc" ns2:_="" ns3:_="" ns4:_="">
    <xsd:import namespace="1a33af13-4045-4f88-9d7b-618e30f79918"/>
    <xsd:import namespace="http://schemas.microsoft.com/sharepoint/v3/fields"/>
    <xsd:import namespace="a3e83899-37aa-47c6-ba54-4ea80e9c17cf"/>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33af13-4045-4f88-9d7b-618e30f7991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c795c8aa-ad9d-4177-b7c3-7e58e1f2dfdf}" ma:internalName="TaxCatchAll" ma:showField="CatchAllData" ma:web="1a33af13-4045-4f88-9d7b-618e30f79918">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c795c8aa-ad9d-4177-b7c3-7e58e1f2dfdf}" ma:internalName="TaxCatchAllLabel" ma:readOnly="true" ma:showField="CatchAllDataLabel" ma:web="1a33af13-4045-4f88-9d7b-618e30f79918">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3e83899-37aa-47c6-ba54-4ea80e9c17cf"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1a33af13-4045-4f88-9d7b-618e30f79918">A6WAAD5KZT2Q-235352946-4436</_dlc_DocId>
    <_dlc_DocIdUrl xmlns="1a33af13-4045-4f88-9d7b-618e30f79918">
      <Url>http://dm/eesc/2025/_layouts/15/DocIdRedir.aspx?ID=A6WAAD5KZT2Q-235352946-4436</Url>
      <Description>A6WAAD5KZT2Q-235352946-4436</Description>
    </_dlc_DocIdUrl>
    <Procedure xmlns="1a33af13-4045-4f88-9d7b-618e30f79918">2025/0524(COD)</Procedure>
    <DocumentType_0 xmlns="http://schemas.microsoft.com/sharepoint/v3/fields">
      <Terms xmlns="http://schemas.microsoft.com/office/infopath/2007/PartnerControls">
        <TermInfo xmlns="http://schemas.microsoft.com/office/infopath/2007/PartnerControls">
          <TermName xmlns="http://schemas.microsoft.com/office/infopath/2007/PartnerControls">AS</TermName>
          <TermId xmlns="http://schemas.microsoft.com/office/infopath/2007/PartnerControls">c7a748eb-f6f2-4d9d-8b5a-af0cafebc224</TermId>
        </TermInfo>
      </Terms>
    </DocumentType_0>
    <DocumentSource_0 xmlns="http://schemas.microsoft.com/sharepoint/v3/fields">
      <Terms xmlns="http://schemas.microsoft.com/office/infopath/2007/PartnerControls">
        <TermInfo xmlns="http://schemas.microsoft.com/office/infopath/2007/PartnerControls">
          <TermName xmlns="http://schemas.microsoft.com/office/infopath/2007/PartnerControls">EESC</TermName>
          <TermId xmlns="http://schemas.microsoft.com/office/infopath/2007/PartnerControls">422833ec-8d7e-4e65-8e4e-8bed07ffb729</TermId>
        </TermInfo>
      </Terms>
    </DocumentSource_0>
    <ProductionDate xmlns="1a33af13-4045-4f88-9d7b-618e30f79918">2025-09-09T12:00:00+00:00</ProductionDate>
    <DocumentNumber xmlns="a3e83899-37aa-47c6-ba54-4ea80e9c17cf">2119</DocumentNumber>
    <FicheYear xmlns="1a33af13-4045-4f88-9d7b-618e30f79918"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1a33af13-4045-4f88-9d7b-618e30f79918">2025-09-17T12:00:00+00:00</MeetingDate>
    <TaxCatchAll xmlns="1a33af13-4045-4f88-9d7b-618e30f79918">
      <Value>31</Value>
      <Value>37</Value>
      <Value>67</Value>
      <Value>50</Value>
      <Value>47</Value>
      <Value>46</Value>
      <Value>43</Value>
      <Value>42</Value>
      <Value>41</Value>
      <Value>40</Value>
      <Value>39</Value>
      <Value>126</Value>
      <Value>36</Value>
      <Value>35</Value>
      <Value>34</Value>
      <Value>33</Value>
      <Value>32</Value>
      <Value>120</Value>
      <Value>30</Value>
      <Value>29</Value>
      <Value>28</Value>
      <Value>27</Value>
      <Value>24</Value>
      <Value>23</Value>
      <Value>16</Value>
      <Value>15</Value>
      <Value>13</Value>
      <Value>12</Value>
      <Value>8</Value>
      <Value>5</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SL</TermName>
          <TermId xmlns="http://schemas.microsoft.com/office/infopath/2007/PartnerControls">98a412ae-eb01-49e9-ae3d-585a81724cfc</TermId>
        </TermInfo>
      </Terms>
    </DocumentLanguage_0>
    <Rapporteur xmlns="1a33af13-4045-4f88-9d7b-618e30f79918">SÄKKINEN</Rapporteur>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DocumentYear xmlns="1a33af13-4045-4f88-9d7b-618e30f79918">2025</DocumentYear>
    <FicheNumber xmlns="1a33af13-4045-4f88-9d7b-618e30f79918">291892</FicheNumber>
    <OriginalSender xmlns="1a33af13-4045-4f88-9d7b-618e30f79918">
      <UserInfo>
        <DisplayName>Logar Tina</DisplayName>
        <AccountId>1558</AccountId>
        <AccountType/>
      </UserInfo>
    </OriginalSender>
    <DocumentPart xmlns="1a33af13-4045-4f88-9d7b-618e30f79918">0</DocumentPart>
    <AdoptionDate xmlns="1a33af13-4045-4f88-9d7b-618e30f79918" xsi:nil="true"/>
    <RequestingService xmlns="1a33af13-4045-4f88-9d7b-618e30f79918">Pacte vert, Relance Durable, l'Agenda 2030</RequestingService>
    <MeetingName_0 xmlns="http://schemas.microsoft.com/sharepoint/v3/fields">
      <Terms xmlns="http://schemas.microsoft.com/office/infopath/2007/PartnerControls">
        <TermInfo xmlns="http://schemas.microsoft.com/office/infopath/2007/PartnerControls">
          <TermName xmlns="http://schemas.microsoft.com/office/infopath/2007/PartnerControls">SPL-CES</TermName>
          <TermId xmlns="http://schemas.microsoft.com/office/infopath/2007/PartnerControls">32d8cb1f-c9ec-4365-95c7-8385a18618ac</TermId>
        </TermInfo>
      </Term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GA</TermName>
          <TermId xmlns="http://schemas.microsoft.com/office/infopath/2007/PartnerControls">762d2456-c427-4ecb-b312-af3dad8e258c</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a3e83899-37aa-47c6-ba54-4ea80e9c17cf">599</MeetingNumber>
    <DossierName_0 xmlns="http://schemas.microsoft.com/sharepoint/v3/fields">
      <Terms xmlns="http://schemas.microsoft.com/office/infopath/2007/PartnerControls">
        <TermInfo xmlns="http://schemas.microsoft.com/office/infopath/2007/PartnerControls">
          <TermName xmlns="http://schemas.microsoft.com/office/infopath/2007/PartnerControls">NAT</TermName>
          <TermId xmlns="http://schemas.microsoft.com/office/infopath/2007/PartnerControls">b263ab5d-0564-42a8-87bf-1cc57d938922</TermId>
        </TermInfo>
      </Terms>
    </DossierName_0>
    <DocumentVersion xmlns="1a33af13-4045-4f88-9d7b-618e30f79918">0</DocumentVersion>
    <DossierNumber xmlns="1a33af13-4045-4f88-9d7b-618e30f79918">952</DossierNumb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C8BF850-89C4-4670-A102-BC48253B5F13}"/>
</file>

<file path=customXml/itemProps2.xml><?xml version="1.0" encoding="utf-8"?>
<ds:datastoreItem xmlns:ds="http://schemas.openxmlformats.org/officeDocument/2006/customXml" ds:itemID="{E4E0114D-4EDE-4C85-A10A-5517871FFD87}">
  <ds:schemaRefs>
    <ds:schemaRef ds:uri="http://schemas.microsoft.com/office/2006/metadata/properties"/>
    <ds:schemaRef ds:uri="http://schemas.microsoft.com/office/infopath/2007/PartnerControls"/>
    <ds:schemaRef ds:uri="faa3019d-1caa-44e1-9ef8-f62c9787953d"/>
    <ds:schemaRef ds:uri="79c32e30-91f5-42f8-9d68-38e1a3525689"/>
  </ds:schemaRefs>
</ds:datastoreItem>
</file>

<file path=customXml/itemProps3.xml><?xml version="1.0" encoding="utf-8"?>
<ds:datastoreItem xmlns:ds="http://schemas.openxmlformats.org/officeDocument/2006/customXml" ds:itemID="{55EA56AF-AD53-4BA4-9664-354A6CD9152D}">
  <ds:schemaRefs>
    <ds:schemaRef ds:uri="http://schemas.microsoft.com/sharepoint/v3/contenttype/forms"/>
  </ds:schemaRefs>
</ds:datastoreItem>
</file>

<file path=customXml/itemProps4.xml><?xml version="1.0" encoding="utf-8"?>
<ds:datastoreItem xmlns:ds="http://schemas.openxmlformats.org/officeDocument/2006/customXml" ds:itemID="{0620E2E4-4422-4754-9B01-55965DF25CC8}"/>
</file>

<file path=docProps/app.xml><?xml version="1.0" encoding="utf-8"?>
<Properties xmlns="http://schemas.openxmlformats.org/officeDocument/2006/extended-properties" xmlns:vt="http://schemas.openxmlformats.org/officeDocument/2006/docPropsVTypes">
  <Template>Normal.dotm</Template>
  <TotalTime>0</TotalTime>
  <Pages>13</Pages>
  <Words>4305</Words>
  <Characters>25608</Characters>
  <Application>Microsoft Office Word</Application>
  <DocSecurity>0</DocSecurity>
  <Lines>522</Lines>
  <Paragraphs>146</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European Climate Law Amendment</vt:lpstr>
      <vt:lpstr>European Climate Law amendment</vt:lpstr>
    </vt:vector>
  </TitlesOfParts>
  <Manager/>
  <Company/>
  <LinksUpToDate>false</LinksUpToDate>
  <CharactersWithSpaces>29767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Sprememba evropskih podnebnih pravil</dc:title>
  <dc:subject>Draft opinion</dc:subject>
  <dc:creator/>
  <cp:keywords>EESC-2025-02119-00-00-PA-TRA-EN</cp:keywords>
  <dc:description>Rapporteur: - SÄKKINEN Original language: - EN Date of document: - 26/08/2025 Date of meeting: - 08/09/2025 External documents: - COM(2025)524- final Administrator responsible: -  VERHELST CAROLINE</dc:description>
  <cp:lastModifiedBy/>
  <cp:revision>7</cp:revision>
  <cp:lastPrinted>2016-01-26T08:31:00Z</cp:lastPrinted>
  <dcterms:created xsi:type="dcterms:W3CDTF">2025-09-09T09:02:00Z</dcterms:created>
  <dcterms:modified xsi:type="dcterms:W3CDTF">2025-09-09T09:11:00Z</dcterms:modified>
  <cp:category>NAT/952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08/09/2025, 26/08/2025, 30/07/2025, 25/07/2025, 03-07-2025, 01/07/2025, 12/04/2024, 03/04/2024, 11/03/2024, 04/03/2024, 04/03/2024, 04/03/2024, 20/12/2023, 17/05/2022, 04/11/2015, 27/10/2015, 19/10/2015, 09/10/2015, 05/10/2015, 05/10/2015, 26/08/2015, 26/</vt:lpwstr>
  </property>
  <property fmtid="{D5CDD505-2E9C-101B-9397-08002B2CF9AE}" pid="4" name="Pref_Time">
    <vt:lpwstr>16:02:33, 11:15:37, 15:42:19, 15:23:16, 16:28:03, 13:36:11, 11:59:36, 08:10:26, 12:03:24, 12:56:55, 12:41:08, 11:08:50, 07:02:01, 13:02:32, 12/10/07, 14:44:02, 16/04/16, 14:09:30, 16:24:55, 16:04:02, 08:56:14, 07:27:56, 17:31:53</vt:lpwstr>
  </property>
  <property fmtid="{D5CDD505-2E9C-101B-9397-08002B2CF9AE}" pid="5" name="Pref_User">
    <vt:lpwstr>jhvi, amett, amett, jhvi, pacup, pacup, enied, enied, enied, enied, enied, enied, enied, enied, ssex, enied, amett, tvoc, mreg, mreg, amett, enied, ssex</vt:lpwstr>
  </property>
  <property fmtid="{D5CDD505-2E9C-101B-9397-08002B2CF9AE}" pid="6" name="Pref_FileName">
    <vt:lpwstr>EESC-2025-02119-00-00-AS-TRA-EN-CRR.docx, EESC-2025-02119-00-00-PA-TRA-EN-CRR.docx, EESC-2025-02119-00-01-APA-ORI.docx, EESC-2025-02119-00-00-APA-ORI.docx, EESC-2025-02119-00-01-DT-TRA-EN-CRR.docx, EESC-2025-02119-00-00-DT-ORI.docx, COR-EESC-2024-01326-01</vt:lpwstr>
  </property>
  <property fmtid="{D5CDD505-2E9C-101B-9397-08002B2CF9AE}" pid="7" name="ContentTypeId">
    <vt:lpwstr>0x010100EA97B91038054C99906057A708A1480A004B94E0CD93B68F4F96D67EEBEC8A7176</vt:lpwstr>
  </property>
  <property fmtid="{D5CDD505-2E9C-101B-9397-08002B2CF9AE}" pid="8" name="_dlc_DocIdItemGuid">
    <vt:lpwstr>eb295438-0941-49ed-a55a-0dcd6378ab9e</vt:lpwstr>
  </property>
  <property fmtid="{D5CDD505-2E9C-101B-9397-08002B2CF9AE}" pid="9" name="Procedure">
    <vt:lpwstr>2025/0524(COD)</vt:lpwstr>
  </property>
  <property fmtid="{D5CDD505-2E9C-101B-9397-08002B2CF9AE}" pid="10" name="AvailableTranslations">
    <vt:lpwstr>35;#FI|87606a43-d45f-42d6-b8c9-e1a3457db5b7;#31;#SL|98a412ae-eb01-49e9-ae3d-585a81724cfc;#43;#GA|762d2456-c427-4ecb-b312-af3dad8e258c;#12;#FR|d2afafd3-4c81-4f60-8f52-ee33f2f54ff3;#23;#DE|f6b31e5a-26fa-4935-b661-318e46daf27e;#50;#HR|2f555653-ed1a-4fe6-8362-9082d95989e5;#30;#LT|a7ff5ce7-6123-4f68-865a-a57c31810414;#29;#CS|72f9705b-0217-4fd3-bea2-cbc7ed80e26e;#16;#ES|e7a6b05b-ae16-40c8-add9-68b64b03aeba;#36;#RO|feb747a2-64cd-4299-af12-4833ddc30497;#46;#SK|46d9fce0-ef79-4f71-b89b-cd6aa82426b8;#47;#BG|1a1b3951-7821-4e6a-85f5-5673fc08bd2c;#41;#ET|ff6c3f4c-b02c-4c3c-ab07-2c37995a7a0a;#5;#EN|f2175f21-25d7-44a3-96da-d6a61b075e1b;#24;#PL|1e03da61-4678-4e07-b136-b5024ca9197b;#39;#LV|46f7e311-5d9f-4663-b433-18aeccb7ace7;#32;#MT|7df99101-6854-4a26-b53a-b88c0da02c26;#37;#HU|6b229040-c589-4408-b4c1-4285663d20a8;#42;#EL|6d4f4d51-af9b-4650-94b4-4276bee85c91;#28;#SV|c2ed69e7-a339-43d7-8f22-d93680a92aa0;#40;#DA|5d49c027-8956-412b-aa16-e85a0f96ad0e;#34;#IT|0774613c-01ed-4e5d-a25d-11d2388de825;#27;#NL|55c6556c-b4f4-441d-9acf-c498d4f838bd;#33;#PT|50ccc04a-eadd-42ae-a0cb-acaf45f812ba</vt:lpwstr>
  </property>
  <property fmtid="{D5CDD505-2E9C-101B-9397-08002B2CF9AE}" pid="11" name="DocumentType_0">
    <vt:lpwstr>AS|c7a748eb-f6f2-4d9d-8b5a-af0cafebc224</vt:lpwstr>
  </property>
  <property fmtid="{D5CDD505-2E9C-101B-9397-08002B2CF9AE}" pid="12" name="DossierName_0">
    <vt:lpwstr>NAT|b263ab5d-0564-42a8-87bf-1cc57d938922</vt:lpwstr>
  </property>
  <property fmtid="{D5CDD505-2E9C-101B-9397-08002B2CF9AE}" pid="13" name="DocumentSource_0">
    <vt:lpwstr>EESC|422833ec-8d7e-4e65-8e4e-8bed07ffb729</vt:lpwstr>
  </property>
  <property fmtid="{D5CDD505-2E9C-101B-9397-08002B2CF9AE}" pid="14" name="DocumentNumber">
    <vt:i4>2119</vt:i4>
  </property>
  <property fmtid="{D5CDD505-2E9C-101B-9397-08002B2CF9AE}" pid="15" name="FicheYear">
    <vt:i4>2025</vt:i4>
  </property>
  <property fmtid="{D5CDD505-2E9C-101B-9397-08002B2CF9AE}" pid="16" name="DocumentVersion">
    <vt:i4>0</vt:i4>
  </property>
  <property fmtid="{D5CDD505-2E9C-101B-9397-08002B2CF9AE}" pid="17" name="DossierNumber">
    <vt:i4>952</vt:i4>
  </property>
  <property fmtid="{D5CDD505-2E9C-101B-9397-08002B2CF9AE}" pid="18" name="DocumentStatus">
    <vt:lpwstr>13;#TRA|150d2a88-1431-44e6-a8ca-0bb753ab8672</vt:lpwstr>
  </property>
  <property fmtid="{D5CDD505-2E9C-101B-9397-08002B2CF9AE}" pid="19" name="DossierName">
    <vt:lpwstr>120;#NAT|b263ab5d-0564-42a8-87bf-1cc57d938922</vt:lpwstr>
  </property>
  <property fmtid="{D5CDD505-2E9C-101B-9397-08002B2CF9AE}" pid="20" name="RequestingService">
    <vt:lpwstr>Pacte vert, Relance Durable, l'Agenda 2030</vt:lpwstr>
  </property>
  <property fmtid="{D5CDD505-2E9C-101B-9397-08002B2CF9AE}" pid="21" name="Confidentiality">
    <vt:lpwstr>15;#Unrestricted|826e22d7-d029-4ec0-a450-0c28ff673572</vt:lpwstr>
  </property>
  <property fmtid="{D5CDD505-2E9C-101B-9397-08002B2CF9AE}" pid="22" name="MeetingName_0">
    <vt:lpwstr>SPL-CES|32d8cb1f-c9ec-4365-95c7-8385a18618ac</vt:lpwstr>
  </property>
  <property fmtid="{D5CDD505-2E9C-101B-9397-08002B2CF9AE}" pid="23" name="Confidentiality_0">
    <vt:lpwstr>Unrestricted|826e22d7-d029-4ec0-a450-0c28ff673572</vt:lpwstr>
  </property>
  <property fmtid="{D5CDD505-2E9C-101B-9397-08002B2CF9AE}" pid="24" name="OriginalLanguage">
    <vt:lpwstr>5;#EN|f2175f21-25d7-44a3-96da-d6a61b075e1b</vt:lpwstr>
  </property>
  <property fmtid="{D5CDD505-2E9C-101B-9397-08002B2CF9AE}" pid="25" name="MeetingName">
    <vt:lpwstr>67;#SPL-CES|32d8cb1f-c9ec-4365-95c7-8385a18618ac</vt:lpwstr>
  </property>
  <property fmtid="{D5CDD505-2E9C-101B-9397-08002B2CF9AE}" pid="26" name="MeetingDate">
    <vt:filetime>2025-09-17T12:00:00Z</vt:filetime>
  </property>
  <property fmtid="{D5CDD505-2E9C-101B-9397-08002B2CF9AE}" pid="27" name="AvailableTranslations_0">
    <vt:lpwstr>HR|2f555653-ed1a-4fe6-8362-9082d95989e5;ES|e7a6b05b-ae16-40c8-add9-68b64b03aeba;SK|46d9fce0-ef79-4f71-b89b-cd6aa82426b8;EN|f2175f21-25d7-44a3-96da-d6a61b075e1b;MT|7df99101-6854-4a26-b53a-b88c0da02c26;PT|50ccc04a-eadd-42ae-a0cb-acaf45f812ba</vt:lpwstr>
  </property>
  <property fmtid="{D5CDD505-2E9C-101B-9397-08002B2CF9AE}" pid="28" name="DocumentStatus_0">
    <vt:lpwstr>TRA|150d2a88-1431-44e6-a8ca-0bb753ab8672</vt:lpwstr>
  </property>
  <property fmtid="{D5CDD505-2E9C-101B-9397-08002B2CF9AE}" pid="29" name="OriginalLanguage_0">
    <vt:lpwstr>EN|f2175f21-25d7-44a3-96da-d6a61b075e1b</vt:lpwstr>
  </property>
  <property fmtid="{D5CDD505-2E9C-101B-9397-08002B2CF9AE}" pid="30" name="TaxCatchAll">
    <vt:lpwstr>33;#PT|50ccc04a-eadd-42ae-a0cb-acaf45f812ba;#32;#MT|7df99101-6854-4a26-b53a-b88c0da02c26;#13;#TRA|150d2a88-1431-44e6-a8ca-0bb753ab8672;#67;#SPL-CES|32d8cb1f-c9ec-4365-95c7-8385a18618ac;#15;#Unrestricted|826e22d7-d029-4ec0-a450-0c28ff673572;#16;#ES|e7a6b05b-ae16-40c8-add9-68b64b03aeba;#126;#AS|c7a748eb-f6f2-4d9d-8b5a-af0cafebc224;#50;#HR|2f555653-ed1a-4fe6-8362-9082d95989e5;#46;#SK|46d9fce0-ef79-4f71-b89b-cd6aa82426b8;#120;#NAT|b263ab5d-0564-42a8-87bf-1cc57d938922;#8;#Final|ea5e6674-7b27-4bac-b091-73adbb394efe;#5;#EN|f2175f21-25d7-44a3-96da-d6a61b075e1b;#1;#EESC|422833ec-8d7e-4e65-8e4e-8bed07ffb729</vt:lpwstr>
  </property>
  <property fmtid="{D5CDD505-2E9C-101B-9397-08002B2CF9AE}" pid="31" name="Rapporteur">
    <vt:lpwstr>SÄKKINEN</vt:lpwstr>
  </property>
  <property fmtid="{D5CDD505-2E9C-101B-9397-08002B2CF9AE}" pid="32" name="VersionStatus_0">
    <vt:lpwstr>Final|ea5e6674-7b27-4bac-b091-73adbb394efe</vt:lpwstr>
  </property>
  <property fmtid="{D5CDD505-2E9C-101B-9397-08002B2CF9AE}" pid="33" name="VersionStatus">
    <vt:lpwstr>8;#Final|ea5e6674-7b27-4bac-b091-73adbb394efe</vt:lpwstr>
  </property>
  <property fmtid="{D5CDD505-2E9C-101B-9397-08002B2CF9AE}" pid="34" name="DocumentYear">
    <vt:i4>2025</vt:i4>
  </property>
  <property fmtid="{D5CDD505-2E9C-101B-9397-08002B2CF9AE}" pid="35" name="FicheNumber">
    <vt:i4>291892</vt:i4>
  </property>
  <property fmtid="{D5CDD505-2E9C-101B-9397-08002B2CF9AE}" pid="36" name="DocumentPart">
    <vt:i4>0</vt:i4>
  </property>
  <property fmtid="{D5CDD505-2E9C-101B-9397-08002B2CF9AE}" pid="37" name="DocumentSource">
    <vt:lpwstr>1;#EESC|422833ec-8d7e-4e65-8e4e-8bed07ffb729</vt:lpwstr>
  </property>
  <property fmtid="{D5CDD505-2E9C-101B-9397-08002B2CF9AE}" pid="38" name="DocumentType">
    <vt:lpwstr>126;#AS|c7a748eb-f6f2-4d9d-8b5a-af0cafebc224</vt:lpwstr>
  </property>
  <property fmtid="{D5CDD505-2E9C-101B-9397-08002B2CF9AE}" pid="39" name="DocumentLanguage">
    <vt:lpwstr>31;#SL|98a412ae-eb01-49e9-ae3d-585a81724cfc</vt:lpwstr>
  </property>
  <property fmtid="{D5CDD505-2E9C-101B-9397-08002B2CF9AE}" pid="40" name="_docset_NoMedatataSyncRequired">
    <vt:lpwstr>False</vt:lpwstr>
  </property>
  <property fmtid="{D5CDD505-2E9C-101B-9397-08002B2CF9AE}" pid="41" name="MediaServiceImageTags">
    <vt:lpwstr/>
  </property>
  <property fmtid="{D5CDD505-2E9C-101B-9397-08002B2CF9AE}" pid="42" name="MeetingNumber">
    <vt:i4>599</vt:i4>
  </property>
  <property fmtid="{D5CDD505-2E9C-101B-9397-08002B2CF9AE}" pid="43" name="DocumentLanguage_0">
    <vt:lpwstr>EN|f2175f21-25d7-44a3-96da-d6a61b075e1b</vt:lpwstr>
  </property>
</Properties>
</file>