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46AC2" w:rsidP="002339F8" w:rsidRDefault="005421DB" w14:paraId="6E5229C9" w14:textId="1071F1BD">
      <w:pPr>
        <w:overflowPunct/>
        <w:adjustRightInd/>
        <w:jc w:val="center"/>
        <w:textAlignment w:val="auto"/>
      </w:pPr>
      <w:r>
        <w:rPr>
          <w:noProof/>
        </w:rPr>
        <w:drawing>
          <wp:inline distT="0" distB="0" distL="0" distR="0" wp14:anchorId="2C97BE35" wp14:editId="4D780558">
            <wp:extent cx="1792605" cy="1241425"/>
            <wp:effectExtent l="0" t="0" r="0" b="0"/>
            <wp:docPr id="1" name="Picture 1" title="EESCLogo_SL"/>
            <wp:cNvGraphicFramePr/>
            <a:graphic xmlns:a="http://schemas.openxmlformats.org/drawingml/2006/main">
              <a:graphicData uri="http://schemas.openxmlformats.org/drawingml/2006/picture">
                <pic:pic xmlns:pic="http://schemas.openxmlformats.org/drawingml/2006/picture">
                  <pic:nvPicPr>
                    <pic:cNvPr id="1" name="Picture 1" title="EESCLogo_SL"/>
                    <pic:cNvPicPr/>
                  </pic:nvPicPr>
                  <pic:blipFill>
                    <a:blip r:embed="rId12"/>
                    <a:stretch>
                      <a:fillRect/>
                    </a:stretch>
                  </pic:blipFill>
                  <pic:spPr>
                    <a:xfrm>
                      <a:off x="0" y="0"/>
                      <a:ext cx="1792605" cy="1241425"/>
                    </a:xfrm>
                    <a:prstGeom prst="rect">
                      <a:avLst/>
                    </a:prstGeom>
                  </pic:spPr>
                </pic:pic>
              </a:graphicData>
            </a:graphic>
          </wp:inline>
        </w:drawing>
      </w:r>
      <w:r w:rsidR="001F3C2D">
        <w:rPr>
          <w:noProof/>
          <w:sz w:val="20"/>
        </w:rPr>
        <mc:AlternateContent>
          <mc:Choice Requires="wps">
            <w:drawing>
              <wp:anchor distT="0" distB="0" distL="114300" distR="114300" simplePos="0" relativeHeight="251659264" behindDoc="1" locked="0" layoutInCell="0" allowOverlap="1" wp14:editId="7E53A14B" wp14:anchorId="572791BF">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60E65" w:rsidR="00DB53C1" w:rsidRDefault="00DB53C1" w14:paraId="3F07E995" w14:textId="77777777">
                            <w:pPr>
                              <w:jc w:val="center"/>
                              <w:rPr>
                                <w:rFonts w:ascii="Arial" w:hAnsi="Arial" w:cs="Arial"/>
                                <w:b/>
                                <w:bCs/>
                                <w:sz w:val="48"/>
                              </w:rPr>
                            </w:pPr>
                            <w:r>
                              <w:rPr>
                                <w:rFonts w:ascii="Arial" w:hAnsi="Arial"/>
                                <w:b/>
                                <w:sz w:val="48"/>
                              </w:rPr>
                              <w:t>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72791BF">
                <v:stroke joinstyle="miter"/>
                <v:path gradientshapeok="t" o:connecttype="rect"/>
              </v:shapetype>
              <v:shape id="Text Box 17"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v:textbox>
                  <w:txbxContent>
                    <w:p w:rsidRPr="00260E65" w:rsidR="00DB53C1" w:rsidRDefault="00DB53C1" w14:paraId="3F07E995" w14:textId="77777777">
                      <w:pPr>
                        <w:jc w:val="center"/>
                        <w:rPr>
                          <w:rFonts w:ascii="Arial" w:hAnsi="Arial" w:cs="Arial"/>
                          <w:b/>
                          <w:bCs/>
                          <w:sz w:val="48"/>
                        </w:rPr>
                      </w:pPr>
                      <w:r>
                        <w:rPr>
                          <w:rFonts w:ascii="Arial" w:hAnsi="Arial"/>
                          <w:b/>
                          <w:sz w:val="48"/>
                        </w:rPr>
                        <w:t>SL</w:t>
                      </w:r>
                    </w:p>
                  </w:txbxContent>
                </v:textbox>
                <w10:wrap anchorx="page" anchory="page"/>
              </v:shape>
            </w:pict>
          </mc:Fallback>
        </mc:AlternateContent>
      </w:r>
    </w:p>
    <w:p w:rsidRPr="003E0EB4" w:rsidR="003E0EB4" w:rsidP="002339F8" w:rsidRDefault="003E0EB4" w14:paraId="058B9A77" w14:textId="77777777">
      <w:pPr>
        <w:overflowPunct/>
        <w:adjustRightInd/>
        <w:jc w:val="left"/>
        <w:textAlignment w:val="auto"/>
      </w:pPr>
    </w:p>
    <w:p w:rsidRPr="002C1D46" w:rsidR="005B069D" w:rsidP="002339F8" w:rsidRDefault="005B069D" w14:paraId="295CBB69" w14:textId="77777777">
      <w:pPr>
        <w:overflowPunct/>
        <w:adjustRightInd/>
        <w:jc w:val="right"/>
        <w:textAlignment w:val="auto"/>
      </w:pPr>
      <w:r>
        <w:rPr>
          <w:b/>
        </w:rPr>
        <w:t>NAT/945</w:t>
      </w:r>
    </w:p>
    <w:p w:rsidRPr="002C1D46" w:rsidR="00563C84" w:rsidP="002339F8" w:rsidRDefault="005B069D" w14:paraId="6E5229CB" w14:textId="5DE65D65">
      <w:pPr>
        <w:overflowPunct/>
        <w:adjustRightInd/>
        <w:jc w:val="right"/>
        <w:textAlignment w:val="auto"/>
      </w:pPr>
      <w:r>
        <w:rPr>
          <w:b/>
        </w:rPr>
        <w:t>Nova pravila o čezmejnem zatiranju nepoštenih trgovinskih praks</w:t>
      </w:r>
    </w:p>
    <w:p w:rsidRPr="002C1D46" w:rsidR="009B30AA" w:rsidP="002339F8" w:rsidRDefault="009B30AA" w14:paraId="6E5229CC" w14:textId="77777777">
      <w:pPr>
        <w:overflowPunct/>
        <w:adjustRightInd/>
        <w:textAlignment w:val="auto"/>
      </w:pPr>
    </w:p>
    <w:p w:rsidRPr="002C1D46" w:rsidR="009B30AA" w:rsidP="002339F8" w:rsidRDefault="009B30AA" w14:paraId="6E5229CD" w14:textId="77777777">
      <w:pPr>
        <w:overflowPunct/>
        <w:adjustRightInd/>
        <w:textAlignment w:val="auto"/>
      </w:pPr>
    </w:p>
    <w:p w:rsidR="0061311D" w:rsidP="002339F8" w:rsidRDefault="002827FA" w14:paraId="14C229D4" w14:textId="30E74127">
      <w:pPr>
        <w:overflowPunct/>
        <w:adjustRightInd/>
        <w:jc w:val="center"/>
        <w:textAlignment w:val="auto"/>
        <w:rPr>
          <w:b/>
          <w:bCs/>
          <w:sz w:val="28"/>
          <w:szCs w:val="28"/>
        </w:rPr>
      </w:pPr>
      <w:r>
        <w:rPr>
          <w:b/>
          <w:sz w:val="28"/>
        </w:rPr>
        <w:t>MNENJE</w:t>
      </w:r>
    </w:p>
    <w:p w:rsidR="0061311D" w:rsidP="002339F8" w:rsidRDefault="0061311D" w14:paraId="38473EEC" w14:textId="77777777">
      <w:pPr>
        <w:overflowPunct/>
        <w:adjustRightInd/>
        <w:jc w:val="center"/>
        <w:textAlignment w:val="auto"/>
      </w:pPr>
    </w:p>
    <w:p w:rsidR="00566526" w:rsidP="002339F8" w:rsidRDefault="00566526" w14:paraId="5928BF07" w14:textId="4E803E72">
      <w:pPr>
        <w:overflowPunct/>
        <w:adjustRightInd/>
        <w:jc w:val="center"/>
        <w:textAlignment w:val="auto"/>
      </w:pPr>
      <w:r>
        <w:t>Strokovna skupina za kmetijstvo, razvoj podeželja in okolje</w:t>
      </w:r>
    </w:p>
    <w:p w:rsidR="00566526" w:rsidP="002339F8" w:rsidRDefault="00566526" w14:paraId="0B3554B3" w14:textId="77777777">
      <w:pPr>
        <w:overflowPunct/>
        <w:adjustRightInd/>
        <w:jc w:val="center"/>
        <w:textAlignment w:val="auto"/>
      </w:pPr>
    </w:p>
    <w:p w:rsidR="00566526" w:rsidP="002339F8" w:rsidRDefault="00566526" w14:paraId="17FF12BF" w14:textId="77777777">
      <w:pPr>
        <w:overflowPunct/>
        <w:adjustRightInd/>
        <w:jc w:val="center"/>
        <w:textAlignment w:val="auto"/>
        <w:rPr>
          <w:b/>
          <w:bCs/>
        </w:rPr>
      </w:pPr>
      <w:r>
        <w:rPr>
          <w:b/>
        </w:rPr>
        <w:t>Nova pravila o čezmejnem zatiranju nepoštenih trgovinskih praks</w:t>
      </w:r>
    </w:p>
    <w:p w:rsidRPr="009533AB" w:rsidR="00566526" w:rsidP="002339F8" w:rsidRDefault="00085874" w14:paraId="2F7EFA50" w14:textId="1D98B756">
      <w:pPr>
        <w:overflowPunct/>
        <w:adjustRightInd/>
        <w:jc w:val="center"/>
        <w:textAlignment w:val="auto"/>
      </w:pPr>
      <w:r>
        <w:t>(</w:t>
      </w:r>
      <w:r w:rsidR="00566526">
        <w:t>COM(2024) 576 final — 2024/0318 (COD)</w:t>
      </w:r>
      <w:r>
        <w:t>)</w:t>
      </w:r>
    </w:p>
    <w:p w:rsidRPr="002C1D46" w:rsidR="00566526" w:rsidP="002339F8" w:rsidRDefault="00566526" w14:paraId="35558922" w14:textId="77777777">
      <w:pPr>
        <w:overflowPunct/>
        <w:adjustRightInd/>
        <w:jc w:val="center"/>
        <w:textAlignment w:val="auto"/>
      </w:pPr>
    </w:p>
    <w:tbl>
      <w:tblPr>
        <w:tblpPr w:leftFromText="181" w:rightFromText="181" w:tblpYSpec="bottom"/>
        <w:tblOverlap w:val="never"/>
        <w:tblW w:w="9289" w:type="dxa"/>
        <w:tblLayout w:type="fixed"/>
        <w:tblLook w:val="04A0" w:firstRow="1" w:lastRow="0" w:firstColumn="1" w:lastColumn="0" w:noHBand="0" w:noVBand="1"/>
      </w:tblPr>
      <w:tblGrid>
        <w:gridCol w:w="3119"/>
        <w:gridCol w:w="6170"/>
      </w:tblGrid>
      <w:tr w:rsidRPr="002C1D46" w:rsidR="00566526" w:rsidTr="00985C12" w14:paraId="09356BFB" w14:textId="77777777">
        <w:tc>
          <w:tcPr>
            <w:tcW w:w="3119" w:type="dxa"/>
          </w:tcPr>
          <w:p w:rsidRPr="00385B6A" w:rsidR="00566526" w:rsidP="002339F8" w:rsidRDefault="00566526" w14:paraId="16DF4B6D" w14:textId="77777777">
            <w:pPr>
              <w:overflowPunct/>
              <w:adjustRightInd/>
              <w:textAlignment w:val="auto"/>
              <w:rPr>
                <w:szCs w:val="22"/>
              </w:rPr>
            </w:pPr>
            <w:r>
              <w:t>Kontakt</w:t>
            </w:r>
          </w:p>
        </w:tc>
        <w:tc>
          <w:tcPr>
            <w:tcW w:w="6170" w:type="dxa"/>
          </w:tcPr>
          <w:p w:rsidRPr="00385B6A" w:rsidR="00566526" w:rsidP="002339F8" w:rsidRDefault="00AC6708" w14:paraId="0F5D4BE6" w14:textId="7B126A36">
            <w:pPr>
              <w:overflowPunct/>
              <w:adjustRightInd/>
              <w:jc w:val="left"/>
              <w:textAlignment w:val="auto"/>
              <w:rPr>
                <w:szCs w:val="22"/>
              </w:rPr>
            </w:pPr>
            <w:hyperlink w:history="1" r:id="rId13">
              <w:r w:rsidR="00060369">
                <w:rPr>
                  <w:rStyle w:val="Hyperlink"/>
                </w:rPr>
                <w:t>nat@eesc.europa.eu</w:t>
              </w:r>
            </w:hyperlink>
          </w:p>
        </w:tc>
      </w:tr>
      <w:tr w:rsidRPr="002C1D46" w:rsidR="00566526" w:rsidTr="00985C12" w14:paraId="5966B307" w14:textId="77777777">
        <w:tc>
          <w:tcPr>
            <w:tcW w:w="3119" w:type="dxa"/>
          </w:tcPr>
          <w:p w:rsidRPr="002C1D46" w:rsidR="00566526" w:rsidP="002339F8" w:rsidRDefault="00566526" w14:paraId="617C4337" w14:textId="7B58B548">
            <w:pPr>
              <w:overflowPunct/>
              <w:adjustRightInd/>
              <w:textAlignment w:val="auto"/>
              <w:rPr>
                <w:szCs w:val="22"/>
              </w:rPr>
            </w:pPr>
            <w:r>
              <w:t>Administratorka</w:t>
            </w:r>
          </w:p>
        </w:tc>
        <w:tc>
          <w:tcPr>
            <w:tcW w:w="6170" w:type="dxa"/>
          </w:tcPr>
          <w:p w:rsidRPr="002C1D46" w:rsidR="00566526" w:rsidP="002339F8" w:rsidRDefault="00566526" w14:paraId="772B764F" w14:textId="32BB38FB">
            <w:pPr>
              <w:overflowPunct/>
              <w:adjustRightInd/>
              <w:jc w:val="left"/>
              <w:textAlignment w:val="auto"/>
              <w:rPr>
                <w:szCs w:val="22"/>
              </w:rPr>
            </w:pPr>
            <w:r>
              <w:t>Myrto KOLYVA</w:t>
            </w:r>
          </w:p>
        </w:tc>
      </w:tr>
      <w:tr w:rsidRPr="002C1D46" w:rsidR="00566526" w:rsidTr="00985C12" w14:paraId="4B013AD3" w14:textId="77777777">
        <w:tc>
          <w:tcPr>
            <w:tcW w:w="3119" w:type="dxa"/>
          </w:tcPr>
          <w:p w:rsidRPr="002C1D46" w:rsidR="00566526" w:rsidP="002339F8" w:rsidRDefault="00566526" w14:paraId="53EEF6F9" w14:textId="77777777">
            <w:pPr>
              <w:overflowPunct/>
              <w:adjustRightInd/>
              <w:textAlignment w:val="auto"/>
              <w:rPr>
                <w:szCs w:val="22"/>
              </w:rPr>
            </w:pPr>
            <w:r>
              <w:t>Datum dokumenta</w:t>
            </w:r>
          </w:p>
        </w:tc>
        <w:tc>
          <w:tcPr>
            <w:tcW w:w="6170" w:type="dxa"/>
          </w:tcPr>
          <w:p w:rsidRPr="002C1D46" w:rsidR="00566526" w:rsidP="002339F8" w:rsidRDefault="00A70391" w14:paraId="118589B9" w14:textId="4BDA7397">
            <w:pPr>
              <w:overflowPunct/>
              <w:adjustRightInd/>
              <w:jc w:val="left"/>
              <w:textAlignment w:val="auto"/>
              <w:rPr>
                <w:szCs w:val="22"/>
              </w:rPr>
            </w:pPr>
            <w:r>
              <w:t>14. 3. 2025</w:t>
            </w:r>
          </w:p>
        </w:tc>
      </w:tr>
    </w:tbl>
    <w:p w:rsidR="009F4871" w:rsidP="002339F8" w:rsidRDefault="00566526" w14:paraId="3FE5ED98" w14:textId="32D492B4">
      <w:pPr>
        <w:overflowPunct/>
        <w:adjustRightInd/>
        <w:jc w:val="center"/>
        <w:textAlignment w:val="auto"/>
        <w:rPr>
          <w:b/>
          <w:bCs/>
        </w:rPr>
      </w:pPr>
      <w:r>
        <w:t xml:space="preserve">Poročevalka: </w:t>
      </w:r>
      <w:r>
        <w:rPr>
          <w:b/>
        </w:rPr>
        <w:t>Émilie PROUZET</w:t>
      </w:r>
    </w:p>
    <w:p w:rsidRPr="0061311D" w:rsidR="009F4871" w:rsidP="002339F8" w:rsidRDefault="009F4871" w14:paraId="4B75EF2A" w14:textId="77777777">
      <w:pPr>
        <w:overflowPunct/>
        <w:adjustRightInd/>
        <w:jc w:val="center"/>
        <w:textAlignment w:val="auto"/>
        <w:rPr>
          <w:bCs/>
        </w:rPr>
      </w:pPr>
    </w:p>
    <w:p w:rsidRPr="002C1D46" w:rsidR="00646AC2" w:rsidP="002339F8" w:rsidRDefault="00646AC2" w14:paraId="6E5229E3" w14:textId="51F8483F">
      <w:pPr>
        <w:overflowPunct/>
        <w:adjustRightInd/>
        <w:jc w:val="center"/>
        <w:textAlignment w:val="auto"/>
        <w:sectPr w:rsidRPr="002C1D46" w:rsidR="00646AC2" w:rsidSect="00F107E5">
          <w:headerReference w:type="even" r:id="rId14"/>
          <w:headerReference w:type="default" r:id="rId15"/>
          <w:footerReference w:type="even" r:id="rId16"/>
          <w:footerReference w:type="default" r:id="rId17"/>
          <w:headerReference w:type="first" r:id="rId18"/>
          <w:footerReference w:type="first" r:id="rId19"/>
          <w:pgSz w:w="11907" w:h="16839" w:code="9"/>
          <w:pgMar w:top="1417" w:right="1417" w:bottom="1417" w:left="1417" w:header="709" w:footer="709" w:gutter="0"/>
          <w:pgNumType w:start="1"/>
          <w:cols w:space="720"/>
          <w:docGrid w:linePitch="299"/>
        </w:sectPr>
      </w:pPr>
    </w:p>
    <w:tbl>
      <w:tblPr>
        <w:tblW w:w="0" w:type="auto"/>
        <w:tblLook w:val="04A0" w:firstRow="1" w:lastRow="0" w:firstColumn="1" w:lastColumn="0" w:noHBand="0" w:noVBand="1"/>
      </w:tblPr>
      <w:tblGrid>
        <w:gridCol w:w="3119"/>
        <w:gridCol w:w="5954"/>
      </w:tblGrid>
      <w:tr w:rsidRPr="0082636E" w:rsidR="00292FAB" w:rsidTr="00B12D33" w14:paraId="55D0D377" w14:textId="77777777">
        <w:tc>
          <w:tcPr>
            <w:tcW w:w="3119" w:type="dxa"/>
          </w:tcPr>
          <w:p w:rsidRPr="00292FAB" w:rsidR="00292FAB" w:rsidP="002339F8" w:rsidRDefault="00292FAB" w14:paraId="42FADE19" w14:textId="6EA0EF59">
            <w:pPr>
              <w:overflowPunct/>
              <w:adjustRightInd/>
              <w:jc w:val="left"/>
              <w:textAlignment w:val="auto"/>
            </w:pPr>
            <w:r>
              <w:lastRenderedPageBreak/>
              <w:t>Zakonodajni postopek</w:t>
            </w:r>
          </w:p>
        </w:tc>
        <w:tc>
          <w:tcPr>
            <w:tcW w:w="5954" w:type="dxa"/>
          </w:tcPr>
          <w:p w:rsidRPr="00292FAB" w:rsidR="00292FAB" w:rsidP="002339F8" w:rsidRDefault="00AC6708" w14:paraId="2D27400C" w14:textId="2F0B208B">
            <w:pPr>
              <w:overflowPunct/>
              <w:adjustRightInd/>
              <w:jc w:val="left"/>
              <w:textAlignment w:val="auto"/>
            </w:pPr>
            <w:hyperlink w:history="1" r:id="rId20">
              <w:r w:rsidR="00060369">
                <w:rPr>
                  <w:rStyle w:val="Hyperlink"/>
                </w:rPr>
                <w:t>EU Law Tracker</w:t>
              </w:r>
            </w:hyperlink>
          </w:p>
        </w:tc>
      </w:tr>
      <w:tr w:rsidRPr="0082636E" w:rsidR="00A70391" w:rsidTr="00B12D33" w14:paraId="339CBF4D" w14:textId="77777777">
        <w:tc>
          <w:tcPr>
            <w:tcW w:w="3119" w:type="dxa"/>
          </w:tcPr>
          <w:p w:rsidRPr="00985C12" w:rsidR="00A70391" w:rsidP="002339F8" w:rsidRDefault="00A70391" w14:paraId="07583A4C" w14:textId="2154EAB7">
            <w:pPr>
              <w:overflowPunct/>
              <w:adjustRightInd/>
              <w:jc w:val="left"/>
              <w:textAlignment w:val="auto"/>
            </w:pPr>
            <w:r>
              <w:t>Zaprosilo</w:t>
            </w:r>
          </w:p>
        </w:tc>
        <w:tc>
          <w:tcPr>
            <w:tcW w:w="5954" w:type="dxa"/>
          </w:tcPr>
          <w:p w:rsidR="00A70391" w:rsidP="002339F8" w:rsidRDefault="00A70391" w14:paraId="6804909C" w14:textId="5C9246D8">
            <w:pPr>
              <w:overflowPunct/>
              <w:adjustRightInd/>
              <w:jc w:val="left"/>
              <w:textAlignment w:val="auto"/>
            </w:pPr>
            <w:r>
              <w:t>Evropski parlament, 20. 1. 2025</w:t>
            </w:r>
          </w:p>
          <w:p w:rsidR="00A70391" w:rsidP="002339F8" w:rsidRDefault="00A70391" w14:paraId="5EC12B08" w14:textId="122C971A">
            <w:pPr>
              <w:overflowPunct/>
              <w:adjustRightInd/>
              <w:jc w:val="left"/>
              <w:textAlignment w:val="auto"/>
            </w:pPr>
            <w:r>
              <w:t>Svet, 14. 2. 2025</w:t>
            </w:r>
          </w:p>
        </w:tc>
      </w:tr>
      <w:tr w:rsidRPr="0082636E" w:rsidR="00292FAB" w:rsidTr="00B12D33" w14:paraId="0B86A64C" w14:textId="77777777">
        <w:tc>
          <w:tcPr>
            <w:tcW w:w="3119" w:type="dxa"/>
          </w:tcPr>
          <w:p w:rsidR="00292FAB" w:rsidP="002339F8" w:rsidRDefault="00292FAB" w14:paraId="465E2E31" w14:textId="72B4BB5C">
            <w:pPr>
              <w:overflowPunct/>
              <w:adjustRightInd/>
              <w:jc w:val="left"/>
              <w:textAlignment w:val="auto"/>
            </w:pPr>
          </w:p>
        </w:tc>
        <w:tc>
          <w:tcPr>
            <w:tcW w:w="5954" w:type="dxa"/>
          </w:tcPr>
          <w:p w:rsidR="00292FAB" w:rsidP="002339F8" w:rsidRDefault="00292FAB" w14:paraId="261EED69" w14:textId="1A84B208">
            <w:pPr>
              <w:overflowPunct/>
              <w:adjustRightInd/>
              <w:jc w:val="left"/>
              <w:textAlignment w:val="auto"/>
            </w:pPr>
          </w:p>
        </w:tc>
      </w:tr>
      <w:tr w:rsidRPr="0082636E" w:rsidR="00292FAB" w:rsidTr="00B12D33" w14:paraId="53A32F00" w14:textId="77777777">
        <w:tc>
          <w:tcPr>
            <w:tcW w:w="3119" w:type="dxa"/>
          </w:tcPr>
          <w:p w:rsidR="00292FAB" w:rsidP="002339F8" w:rsidRDefault="00292FAB" w14:paraId="47A65A38" w14:textId="77777777">
            <w:pPr>
              <w:overflowPunct/>
              <w:adjustRightInd/>
              <w:jc w:val="left"/>
              <w:textAlignment w:val="auto"/>
            </w:pPr>
            <w:r>
              <w:t>Pravna podlaga</w:t>
            </w:r>
          </w:p>
        </w:tc>
        <w:tc>
          <w:tcPr>
            <w:tcW w:w="5954" w:type="dxa"/>
          </w:tcPr>
          <w:p w:rsidR="00292FAB" w:rsidP="002339F8" w:rsidRDefault="00716352" w14:paraId="53E0016A" w14:textId="6FAEAF40">
            <w:pPr>
              <w:overflowPunct/>
              <w:adjustRightInd/>
              <w:jc w:val="left"/>
              <w:textAlignment w:val="auto"/>
            </w:pPr>
            <w:r>
              <w:t>Člen 43(2) in člen 304 Pogodbe o delovanju Evropske unije</w:t>
            </w:r>
          </w:p>
        </w:tc>
      </w:tr>
      <w:tr w:rsidRPr="0082636E" w:rsidR="00292FAB" w:rsidTr="00B12D33" w14:paraId="6FAB9CDC" w14:textId="77777777">
        <w:tc>
          <w:tcPr>
            <w:tcW w:w="3119" w:type="dxa"/>
          </w:tcPr>
          <w:p w:rsidR="00292FAB" w:rsidP="002339F8" w:rsidRDefault="00292FAB" w14:paraId="2B87A26C" w14:textId="0F28908D">
            <w:pPr>
              <w:overflowPunct/>
              <w:adjustRightInd/>
              <w:jc w:val="left"/>
              <w:textAlignment w:val="auto"/>
            </w:pPr>
            <w:r>
              <w:t>Dokumenti Evropske komisije</w:t>
            </w:r>
          </w:p>
        </w:tc>
        <w:tc>
          <w:tcPr>
            <w:tcW w:w="5954" w:type="dxa"/>
            <w:vAlign w:val="bottom"/>
          </w:tcPr>
          <w:p w:rsidRPr="003A6EFF" w:rsidR="00292FAB" w:rsidP="002339F8" w:rsidRDefault="00AC6708" w14:paraId="223E1B2F" w14:textId="77777777">
            <w:pPr>
              <w:overflowPunct/>
              <w:adjustRightInd/>
              <w:jc w:val="left"/>
              <w:textAlignment w:val="auto"/>
            </w:pPr>
            <w:hyperlink w:history="1" r:id="rId21">
              <w:r w:rsidR="00060369">
                <w:rPr>
                  <w:rStyle w:val="Hyperlink"/>
                </w:rPr>
                <w:t>COM(2024) 577 final</w:t>
              </w:r>
            </w:hyperlink>
          </w:p>
          <w:p w:rsidR="00292FAB" w:rsidP="002339F8" w:rsidRDefault="00AC6708" w14:paraId="0D6ED344" w14:textId="43A5A920">
            <w:pPr>
              <w:overflowPunct/>
              <w:adjustRightInd/>
              <w:jc w:val="left"/>
              <w:textAlignment w:val="auto"/>
            </w:pPr>
            <w:hyperlink w:history="1" r:id="rId22">
              <w:r w:rsidR="00060369">
                <w:rPr>
                  <w:rStyle w:val="Hyperlink"/>
                </w:rPr>
                <w:t>povzetek</w:t>
              </w:r>
            </w:hyperlink>
            <w:r w:rsidR="00060369">
              <w:t xml:space="preserve"> dokumenta COM(2024) 577 final</w:t>
            </w:r>
          </w:p>
        </w:tc>
      </w:tr>
      <w:tr w:rsidRPr="0082636E" w:rsidR="00292FAB" w:rsidTr="00B12D33" w14:paraId="4583E4FE" w14:textId="77777777">
        <w:tc>
          <w:tcPr>
            <w:tcW w:w="3119" w:type="dxa"/>
          </w:tcPr>
          <w:p w:rsidR="00292FAB" w:rsidP="002339F8" w:rsidRDefault="00292FAB" w14:paraId="728C9317" w14:textId="4555FC4D">
            <w:pPr>
              <w:overflowPunct/>
              <w:adjustRightInd/>
              <w:jc w:val="left"/>
              <w:textAlignment w:val="auto"/>
            </w:pPr>
            <w:r>
              <w:t>Ustrezni cilji trajnostnega razvoja</w:t>
            </w:r>
          </w:p>
        </w:tc>
        <w:tc>
          <w:tcPr>
            <w:tcW w:w="5954" w:type="dxa"/>
            <w:vAlign w:val="bottom"/>
          </w:tcPr>
          <w:p w:rsidR="00292FAB" w:rsidP="002339F8" w:rsidRDefault="00AC6708" w14:paraId="0EBD0159" w14:textId="5EC4517C">
            <w:pPr>
              <w:overflowPunct/>
              <w:adjustRightInd/>
              <w:jc w:val="left"/>
              <w:textAlignment w:val="auto"/>
            </w:pPr>
            <w:hyperlink w:history="1" r:id="rId23">
              <w:r w:rsidR="00836F61">
                <w:rPr>
                  <w:rStyle w:val="Hyperlink"/>
                </w:rPr>
                <w:t>cilj 2 – odprava lakote</w:t>
              </w:r>
            </w:hyperlink>
          </w:p>
          <w:p w:rsidR="00292FAB" w:rsidP="002339F8" w:rsidRDefault="00AC6708" w14:paraId="03E971FA" w14:textId="77777777">
            <w:pPr>
              <w:overflowPunct/>
              <w:adjustRightInd/>
              <w:jc w:val="left"/>
              <w:textAlignment w:val="auto"/>
              <w:rPr>
                <w:rStyle w:val="Hyperlink"/>
              </w:rPr>
            </w:pPr>
            <w:hyperlink w:history="1" r:id="rId24">
              <w:r w:rsidR="00060369">
                <w:rPr>
                  <w:rStyle w:val="Hyperlink"/>
                </w:rPr>
                <w:t>cilj 8 – dostojno delo in gospodarska rast</w:t>
              </w:r>
            </w:hyperlink>
          </w:p>
          <w:p w:rsidR="00292FAB" w:rsidP="002339F8" w:rsidRDefault="00AC6708" w14:paraId="2DC6319A" w14:textId="77777777">
            <w:pPr>
              <w:overflowPunct/>
              <w:adjustRightInd/>
              <w:jc w:val="left"/>
              <w:textAlignment w:val="auto"/>
              <w:rPr>
                <w:rStyle w:val="Hyperlink"/>
              </w:rPr>
            </w:pPr>
            <w:hyperlink w:history="1" r:id="rId25">
              <w:r w:rsidR="00060369">
                <w:rPr>
                  <w:rStyle w:val="Hyperlink"/>
                </w:rPr>
                <w:t>cilj 10 – zmanjšanje neenakosti</w:t>
              </w:r>
            </w:hyperlink>
          </w:p>
          <w:p w:rsidR="00292FAB" w:rsidP="002339F8" w:rsidRDefault="00292FAB" w14:paraId="15F3D01F" w14:textId="4719A6CE">
            <w:pPr>
              <w:overflowPunct/>
              <w:adjustRightInd/>
              <w:jc w:val="left"/>
              <w:textAlignment w:val="auto"/>
            </w:pPr>
            <w:r>
              <w:rPr>
                <w:rStyle w:val="Hyperlink"/>
              </w:rPr>
              <w:t>cilj 12 –</w:t>
            </w:r>
            <w:r>
              <w:t xml:space="preserve"> </w:t>
            </w:r>
            <w:hyperlink w:history="1" r:id="rId26">
              <w:r>
                <w:rPr>
                  <w:rStyle w:val="Hyperlink"/>
                </w:rPr>
                <w:t>odgovorna poraba in proizvodnja</w:t>
              </w:r>
            </w:hyperlink>
          </w:p>
        </w:tc>
      </w:tr>
      <w:tr w:rsidRPr="0082636E" w:rsidR="00292FAB" w:rsidTr="00B12D33" w14:paraId="2DABCCF0" w14:textId="77777777">
        <w:tc>
          <w:tcPr>
            <w:tcW w:w="3119" w:type="dxa"/>
          </w:tcPr>
          <w:p w:rsidRPr="0082636E" w:rsidR="00292FAB" w:rsidP="002339F8" w:rsidRDefault="00292FAB" w14:paraId="364EF7A1" w14:textId="3E210195">
            <w:pPr>
              <w:overflowPunct/>
              <w:adjustRightInd/>
              <w:jc w:val="left"/>
              <w:textAlignment w:val="auto"/>
              <w:rPr>
                <w:szCs w:val="22"/>
              </w:rPr>
            </w:pPr>
          </w:p>
        </w:tc>
        <w:tc>
          <w:tcPr>
            <w:tcW w:w="5954" w:type="dxa"/>
          </w:tcPr>
          <w:p w:rsidRPr="0082636E" w:rsidR="00292FAB" w:rsidP="002339F8" w:rsidRDefault="00292FAB" w14:paraId="0E7EB328" w14:textId="110F6325">
            <w:pPr>
              <w:overflowPunct/>
              <w:adjustRightInd/>
              <w:jc w:val="left"/>
              <w:textAlignment w:val="auto"/>
            </w:pPr>
          </w:p>
        </w:tc>
      </w:tr>
      <w:tr w:rsidRPr="0082636E" w:rsidR="00292FAB" w:rsidTr="00B12D33" w14:paraId="6502BE93" w14:textId="77777777">
        <w:trPr>
          <w:trHeight w:val="251"/>
        </w:trPr>
        <w:tc>
          <w:tcPr>
            <w:tcW w:w="3119" w:type="dxa"/>
          </w:tcPr>
          <w:p w:rsidRPr="0082636E" w:rsidR="00292FAB" w:rsidP="002339F8" w:rsidRDefault="00292FAB" w14:paraId="32E1F100" w14:textId="165B3732">
            <w:pPr>
              <w:overflowPunct/>
              <w:adjustRightInd/>
              <w:jc w:val="left"/>
              <w:textAlignment w:val="auto"/>
              <w:rPr>
                <w:szCs w:val="22"/>
              </w:rPr>
            </w:pPr>
          </w:p>
        </w:tc>
        <w:tc>
          <w:tcPr>
            <w:tcW w:w="5954" w:type="dxa"/>
          </w:tcPr>
          <w:p w:rsidRPr="0082636E" w:rsidR="00292FAB" w:rsidP="002339F8" w:rsidRDefault="00292FAB" w14:paraId="20E7505D" w14:textId="166805B6">
            <w:pPr>
              <w:overflowPunct/>
              <w:adjustRightInd/>
              <w:jc w:val="left"/>
              <w:textAlignment w:val="auto"/>
              <w:rPr>
                <w:szCs w:val="22"/>
              </w:rPr>
            </w:pPr>
          </w:p>
        </w:tc>
      </w:tr>
      <w:tr w:rsidRPr="0082636E" w:rsidR="00292FAB" w:rsidTr="00B12D33" w14:paraId="41836287" w14:textId="77777777">
        <w:tc>
          <w:tcPr>
            <w:tcW w:w="3119" w:type="dxa"/>
          </w:tcPr>
          <w:p w:rsidRPr="0082636E" w:rsidR="00292FAB" w:rsidP="002339F8" w:rsidRDefault="00292FAB" w14:paraId="3555EF7C" w14:textId="77777777">
            <w:pPr>
              <w:overflowPunct/>
              <w:adjustRightInd/>
              <w:jc w:val="left"/>
              <w:textAlignment w:val="auto"/>
              <w:rPr>
                <w:szCs w:val="22"/>
              </w:rPr>
            </w:pPr>
            <w:r>
              <w:t>Pristojnost</w:t>
            </w:r>
          </w:p>
        </w:tc>
        <w:tc>
          <w:tcPr>
            <w:tcW w:w="5954" w:type="dxa"/>
          </w:tcPr>
          <w:p w:rsidRPr="0082636E" w:rsidR="00292FAB" w:rsidP="002339F8" w:rsidRDefault="00716352" w14:paraId="3CD138F8" w14:textId="2FAFDEC0">
            <w:pPr>
              <w:overflowPunct/>
              <w:adjustRightInd/>
              <w:jc w:val="left"/>
              <w:textAlignment w:val="auto"/>
              <w:rPr>
                <w:szCs w:val="22"/>
              </w:rPr>
            </w:pPr>
            <w:r>
              <w:t>strokovna skupina za kmetijstvo, razvoj podeželja in okolje</w:t>
            </w:r>
          </w:p>
        </w:tc>
      </w:tr>
      <w:tr w:rsidRPr="0082636E" w:rsidR="00292FAB" w:rsidTr="00B12D33" w14:paraId="59C9511C" w14:textId="77777777">
        <w:tc>
          <w:tcPr>
            <w:tcW w:w="3119" w:type="dxa"/>
          </w:tcPr>
          <w:p w:rsidRPr="0082636E" w:rsidR="00292FAB" w:rsidP="002339F8" w:rsidRDefault="00292FAB" w14:paraId="6867A61D" w14:textId="77777777">
            <w:pPr>
              <w:overflowPunct/>
              <w:adjustRightInd/>
              <w:jc w:val="left"/>
              <w:textAlignment w:val="auto"/>
              <w:rPr>
                <w:szCs w:val="22"/>
              </w:rPr>
            </w:pPr>
            <w:r>
              <w:t>Datum sprejetja na seji strokovne skupine</w:t>
            </w:r>
          </w:p>
        </w:tc>
        <w:tc>
          <w:tcPr>
            <w:tcW w:w="5954" w:type="dxa"/>
            <w:vAlign w:val="bottom"/>
          </w:tcPr>
          <w:p w:rsidRPr="0082636E" w:rsidR="00292FAB" w:rsidP="002339F8" w:rsidRDefault="00A70391" w14:paraId="6B5C94E7" w14:textId="2D5B371D">
            <w:pPr>
              <w:overflowPunct/>
              <w:adjustRightInd/>
              <w:jc w:val="left"/>
              <w:textAlignment w:val="auto"/>
              <w:rPr>
                <w:szCs w:val="22"/>
              </w:rPr>
            </w:pPr>
            <w:r>
              <w:t>12. 3. 2025</w:t>
            </w:r>
          </w:p>
        </w:tc>
      </w:tr>
      <w:tr w:rsidRPr="0082636E" w:rsidR="00292FAB" w:rsidTr="00B12D33" w14:paraId="52A6402D" w14:textId="77777777">
        <w:tc>
          <w:tcPr>
            <w:tcW w:w="3119" w:type="dxa"/>
          </w:tcPr>
          <w:p w:rsidR="00292FAB" w:rsidP="002339F8" w:rsidRDefault="00292FAB" w14:paraId="1B398E4B" w14:textId="77777777">
            <w:pPr>
              <w:overflowPunct/>
              <w:adjustRightInd/>
              <w:jc w:val="left"/>
              <w:textAlignment w:val="auto"/>
            </w:pPr>
            <w:r>
              <w:t>Rezultat glasovanja</w:t>
            </w:r>
            <w:r>
              <w:br/>
              <w:t>(za/proti/vzdržani)</w:t>
            </w:r>
          </w:p>
        </w:tc>
        <w:tc>
          <w:tcPr>
            <w:tcW w:w="5954" w:type="dxa"/>
            <w:vAlign w:val="bottom"/>
          </w:tcPr>
          <w:p w:rsidRPr="0082636E" w:rsidR="00292FAB" w:rsidP="002339F8" w:rsidRDefault="00A70391" w14:paraId="0A149509" w14:textId="1F5E2B0E">
            <w:pPr>
              <w:overflowPunct/>
              <w:adjustRightInd/>
              <w:jc w:val="left"/>
              <w:textAlignment w:val="auto"/>
            </w:pPr>
            <w:r>
              <w:t>43/0/0</w:t>
            </w:r>
          </w:p>
        </w:tc>
      </w:tr>
      <w:tr w:rsidRPr="0082636E" w:rsidR="00292FAB" w:rsidTr="00B12D33" w14:paraId="1AEB6A37" w14:textId="77777777">
        <w:tc>
          <w:tcPr>
            <w:tcW w:w="3119" w:type="dxa"/>
          </w:tcPr>
          <w:p w:rsidRPr="0082636E" w:rsidR="00292FAB" w:rsidP="002339F8" w:rsidRDefault="00292FAB" w14:paraId="4EF8EA3E" w14:textId="77777777">
            <w:pPr>
              <w:overflowPunct/>
              <w:adjustRightInd/>
              <w:jc w:val="left"/>
              <w:textAlignment w:val="auto"/>
              <w:rPr>
                <w:szCs w:val="22"/>
              </w:rPr>
            </w:pPr>
            <w:r>
              <w:t>Datum sprejetja na plenarnem zasedanju</w:t>
            </w:r>
          </w:p>
        </w:tc>
        <w:tc>
          <w:tcPr>
            <w:tcW w:w="5954" w:type="dxa"/>
            <w:vAlign w:val="bottom"/>
          </w:tcPr>
          <w:p w:rsidRPr="0082636E" w:rsidR="00292FAB" w:rsidP="002339F8" w:rsidRDefault="00292FAB" w14:paraId="3E3F3BF1" w14:textId="5E3F6D11">
            <w:pPr>
              <w:overflowPunct/>
              <w:adjustRightInd/>
              <w:jc w:val="left"/>
              <w:textAlignment w:val="auto"/>
              <w:rPr>
                <w:szCs w:val="22"/>
              </w:rPr>
            </w:pPr>
            <w:r>
              <w:t>…</w:t>
            </w:r>
          </w:p>
        </w:tc>
      </w:tr>
      <w:tr w:rsidRPr="0082636E" w:rsidR="00292FAB" w:rsidTr="00B12D33" w14:paraId="016455E6" w14:textId="77777777">
        <w:tc>
          <w:tcPr>
            <w:tcW w:w="3119" w:type="dxa"/>
          </w:tcPr>
          <w:p w:rsidRPr="0082636E" w:rsidR="00292FAB" w:rsidP="002339F8" w:rsidRDefault="00292FAB" w14:paraId="54567567" w14:textId="77777777">
            <w:pPr>
              <w:overflowPunct/>
              <w:adjustRightInd/>
              <w:jc w:val="left"/>
              <w:textAlignment w:val="auto"/>
              <w:rPr>
                <w:szCs w:val="22"/>
              </w:rPr>
            </w:pPr>
            <w:r>
              <w:t>Plenarno zasedanje št.</w:t>
            </w:r>
          </w:p>
        </w:tc>
        <w:tc>
          <w:tcPr>
            <w:tcW w:w="5954" w:type="dxa"/>
            <w:vAlign w:val="bottom"/>
          </w:tcPr>
          <w:p w:rsidRPr="0082636E" w:rsidR="00292FAB" w:rsidP="002339F8" w:rsidRDefault="00292FAB" w14:paraId="13E2DDD1" w14:textId="77777777">
            <w:pPr>
              <w:overflowPunct/>
              <w:adjustRightInd/>
              <w:jc w:val="left"/>
              <w:textAlignment w:val="auto"/>
              <w:rPr>
                <w:szCs w:val="22"/>
              </w:rPr>
            </w:pPr>
            <w:r>
              <w:t>…</w:t>
            </w:r>
          </w:p>
        </w:tc>
      </w:tr>
      <w:tr w:rsidRPr="0082636E" w:rsidR="00292FAB" w:rsidTr="00B12D33" w14:paraId="77179B62" w14:textId="77777777">
        <w:tc>
          <w:tcPr>
            <w:tcW w:w="3119" w:type="dxa"/>
          </w:tcPr>
          <w:p w:rsidRPr="0082636E" w:rsidR="00292FAB" w:rsidP="002339F8" w:rsidRDefault="00292FAB" w14:paraId="01400A29" w14:textId="77777777">
            <w:pPr>
              <w:overflowPunct/>
              <w:adjustRightInd/>
              <w:jc w:val="left"/>
            </w:pPr>
            <w:r>
              <w:t>Rezultat glasovanja</w:t>
            </w:r>
            <w:r>
              <w:br/>
              <w:t>(za/proti/vzdržani)</w:t>
            </w:r>
          </w:p>
        </w:tc>
        <w:tc>
          <w:tcPr>
            <w:tcW w:w="5954" w:type="dxa"/>
            <w:vAlign w:val="bottom"/>
          </w:tcPr>
          <w:p w:rsidRPr="0082636E" w:rsidR="00292FAB" w:rsidP="002339F8" w:rsidRDefault="00292FAB" w14:paraId="10D283D1" w14:textId="77777777">
            <w:pPr>
              <w:overflowPunct/>
              <w:adjustRightInd/>
              <w:jc w:val="left"/>
              <w:textAlignment w:val="auto"/>
              <w:rPr>
                <w:szCs w:val="22"/>
              </w:rPr>
            </w:pPr>
            <w:r>
              <w:t>…/…/…</w:t>
            </w:r>
          </w:p>
        </w:tc>
      </w:tr>
    </w:tbl>
    <w:p w:rsidRPr="002C1D46" w:rsidR="00292FAB" w:rsidP="002339F8" w:rsidRDefault="00292FAB" w14:paraId="58B3F8D0" w14:textId="77777777">
      <w:pPr>
        <w:overflowPunct/>
        <w:adjustRightInd/>
        <w:textAlignment w:val="auto"/>
        <w:rPr>
          <w:lang w:val="en-US"/>
        </w:rPr>
      </w:pPr>
    </w:p>
    <w:p w:rsidRPr="002C1D46" w:rsidR="0090053A" w:rsidP="002339F8" w:rsidRDefault="0090053A" w14:paraId="6E522A2E" w14:textId="77777777">
      <w:pPr>
        <w:overflowPunct/>
        <w:adjustRightInd/>
        <w:textAlignment w:val="auto"/>
      </w:pPr>
    </w:p>
    <w:p w:rsidRPr="002C1D46" w:rsidR="00646AC2" w:rsidP="002339F8" w:rsidRDefault="00646AC2" w14:paraId="6E522A2F" w14:textId="77777777">
      <w:pPr>
        <w:overflowPunct/>
        <w:adjustRightInd/>
        <w:textAlignment w:val="auto"/>
      </w:pPr>
      <w:r>
        <w:br w:type="page"/>
      </w:r>
    </w:p>
    <w:p w:rsidRPr="002C1D46" w:rsidR="00566526" w:rsidP="002339F8" w:rsidRDefault="00566526" w14:paraId="4A0650D2" w14:textId="77777777">
      <w:pPr>
        <w:pStyle w:val="Heading1"/>
        <w:keepNext/>
        <w:ind w:left="567" w:hanging="567"/>
      </w:pPr>
      <w:r>
        <w:rPr>
          <w:b/>
        </w:rPr>
        <w:lastRenderedPageBreak/>
        <w:t>PRIPOROČILA</w:t>
      </w:r>
    </w:p>
    <w:p w:rsidR="00566526" w:rsidP="002339F8" w:rsidRDefault="00566526" w14:paraId="6F5753AA" w14:textId="77777777">
      <w:pPr>
        <w:keepNext/>
        <w:overflowPunct/>
        <w:adjustRightInd/>
        <w:jc w:val="left"/>
        <w:textAlignment w:val="auto"/>
      </w:pPr>
    </w:p>
    <w:p w:rsidRPr="00A774EA" w:rsidR="00566526" w:rsidP="002339F8" w:rsidRDefault="00566526" w14:paraId="043196A0" w14:textId="77777777">
      <w:pPr>
        <w:keepNext/>
        <w:overflowPunct/>
        <w:adjustRightInd/>
        <w:jc w:val="left"/>
        <w:textAlignment w:val="auto"/>
        <w:rPr>
          <w:i/>
          <w:iCs/>
        </w:rPr>
      </w:pPr>
      <w:r>
        <w:t>Evropski ekonomsko-socialni odbor (EESO)</w:t>
      </w:r>
    </w:p>
    <w:p w:rsidRPr="002C1D46" w:rsidR="00566526" w:rsidP="002339F8" w:rsidRDefault="00566526" w14:paraId="7D6C20F5" w14:textId="77777777">
      <w:pPr>
        <w:keepNext/>
        <w:overflowPunct/>
        <w:adjustRightInd/>
        <w:ind w:left="142" w:hanging="142"/>
        <w:jc w:val="left"/>
        <w:textAlignment w:val="auto"/>
      </w:pPr>
    </w:p>
    <w:p w:rsidR="00F45EC6" w:rsidP="002339F8" w:rsidRDefault="00CB796B" w14:paraId="535B8388" w14:textId="473FC8E5">
      <w:pPr>
        <w:pStyle w:val="Heading2"/>
        <w:keepNext/>
        <w:ind w:left="567" w:hanging="567"/>
      </w:pPr>
      <w:r>
        <w:t>podpira krepitev sodelovanja nacionalnih organov na notranjem trgu;</w:t>
      </w:r>
    </w:p>
    <w:p w:rsidRPr="00F45EC6" w:rsidR="00F45EC6" w:rsidP="002339F8" w:rsidRDefault="00F45EC6" w14:paraId="0C12DF5C" w14:textId="77777777"/>
    <w:p w:rsidR="00F45EC6" w:rsidP="002339F8" w:rsidRDefault="00F45EC6" w14:paraId="2BDB92E7" w14:textId="6F818522">
      <w:pPr>
        <w:pStyle w:val="Heading2"/>
        <w:ind w:left="567" w:hanging="567"/>
      </w:pPr>
      <w:r>
        <w:t>ugotavlja, da si je na vseh področjih bistveno prizadevati za boljšo komunikacijo, usklajevanje in sodelovanje med nacionalnimi organi, da bi se izboljšala zlasti podpora pritožnikom. Pri tem EESO ponovno poudarja ključno vlogo tolmačev in prevajalcev. Jeziki so še vedno velika ovira, ki omejuje dostop do postopkov;</w:t>
      </w:r>
    </w:p>
    <w:p w:rsidRPr="00CB796B" w:rsidR="00AE7351" w:rsidP="002339F8" w:rsidRDefault="00AE7351" w14:paraId="15445AE9" w14:textId="77777777"/>
    <w:p w:rsidR="00F45EC6" w:rsidP="002339F8" w:rsidRDefault="00F45EC6" w14:paraId="595BBCD8" w14:textId="2932DBA5">
      <w:pPr>
        <w:pStyle w:val="Heading2"/>
        <w:ind w:left="567" w:hanging="567"/>
      </w:pPr>
      <w:r>
        <w:t>pozdravlja odločitev Komisije, da hitro začne vključevati priporočila iz poročila o strateškem dialogu o prihodnosti evropskega kmetijstva v zakonodajni postopek;</w:t>
      </w:r>
    </w:p>
    <w:p w:rsidRPr="00CB796B" w:rsidR="00AE7351" w:rsidP="002339F8" w:rsidRDefault="00AE7351" w14:paraId="0A2446FA" w14:textId="77777777"/>
    <w:p w:rsidRPr="00F45EC6" w:rsidR="00B62FF9" w:rsidP="002339F8" w:rsidRDefault="00566526" w14:paraId="688EA12F" w14:textId="7AA6718D">
      <w:pPr>
        <w:pStyle w:val="Heading2"/>
        <w:ind w:left="567" w:hanging="567"/>
      </w:pPr>
      <w:r>
        <w:t>podpira duh odprtega dialoga med različnimi akterji v verigi preskrbe s hrano, ki je v zadnjih mesecih prevladoval zlasti v okviru strateškega dialoga in upa, da se bo ta duh nadaljeval v okviru nedavno ustanovljenega Evropskega odbora za agroživilski sektor (EBAF);</w:t>
      </w:r>
    </w:p>
    <w:p w:rsidRPr="00F45EC6" w:rsidR="00566526" w:rsidP="002339F8" w:rsidRDefault="00566526" w14:paraId="0E376708" w14:textId="77777777"/>
    <w:p w:rsidR="001735D8" w:rsidP="002339F8" w:rsidRDefault="00F45EC6" w14:paraId="3D556B20" w14:textId="7584165B">
      <w:pPr>
        <w:pStyle w:val="Heading2"/>
        <w:ind w:left="567" w:hanging="567"/>
      </w:pPr>
      <w:r>
        <w:t>razume, da ni ocene učinka, glede na to, da je predlog uredbe namenjen zgolj pojasnitvi načinov sodelovanja med nacionalnimi organi, ki so že določeni v direktivi o nepoštenih poslovnih praksah;</w:t>
      </w:r>
    </w:p>
    <w:p w:rsidRPr="00CB796B" w:rsidR="00AE7351" w:rsidP="002339F8" w:rsidRDefault="00AE7351" w14:paraId="12AFCFA4" w14:textId="77777777"/>
    <w:p w:rsidR="00AE7351" w:rsidP="002339F8" w:rsidRDefault="00B7275F" w14:paraId="6C029A19" w14:textId="1703E5E4">
      <w:pPr>
        <w:pStyle w:val="Heading2"/>
        <w:ind w:left="567" w:hanging="567"/>
      </w:pPr>
      <w:r>
        <w:t>poziva sozakonodajalca, naj zagotovita, da bo predlagana uredba ostala zakonodajni akt, katerega cilj je izključno opredeliti upravne in postopkovne ukrepe;</w:t>
      </w:r>
    </w:p>
    <w:p w:rsidRPr="00CB796B" w:rsidR="00AE7351" w:rsidP="002339F8" w:rsidRDefault="00AE7351" w14:paraId="07AF4409" w14:textId="77777777"/>
    <w:p w:rsidR="00F45EC6" w:rsidP="002339F8" w:rsidRDefault="00F45EC6" w14:paraId="5076E7A6" w14:textId="5E5F3AA3">
      <w:pPr>
        <w:pStyle w:val="Heading2"/>
        <w:ind w:left="567" w:hanging="567"/>
      </w:pPr>
      <w:r>
        <w:t>poziva sozakonodajalca, naj bodo podjetja, ki delujejo na notranjem trgu, deležna pravne varnosti, da bodo lahko za svoje pogodbe svobodno izbirala pravo in pristojnost, ob spoštovanju konkurenčnega prava.</w:t>
      </w:r>
    </w:p>
    <w:p w:rsidRPr="00F45EC6" w:rsidR="00F45EC6" w:rsidP="002339F8" w:rsidRDefault="00F45EC6" w14:paraId="0FE4F7F8" w14:textId="77777777"/>
    <w:p w:rsidRPr="00566526" w:rsidR="00566526" w:rsidP="002339F8" w:rsidRDefault="00CB796B" w14:paraId="6F9B641B" w14:textId="0E0FFE5C">
      <w:pPr>
        <w:pStyle w:val="Heading2"/>
        <w:ind w:left="567" w:hanging="567"/>
      </w:pPr>
      <w:r>
        <w:t>poziva, naj se zaradi neusklajenosti med državami članicami ukrepi iz uredbe uporabljajo le za sodelovanje med izvršilnimi organi, ki nadzorujejo izvajanje zakonodaje o nepoštenih trgovinskih praksah in pragov, ki so usklajeni na ravni EU v členih 3 in 4 direktive o nepoštenih trgovinskih praksah;</w:t>
      </w:r>
    </w:p>
    <w:p w:rsidRPr="00566526" w:rsidR="00566526" w:rsidP="002339F8" w:rsidRDefault="00566526" w14:paraId="6924DB27" w14:textId="77777777"/>
    <w:p w:rsidR="001735D8" w:rsidP="002339F8" w:rsidRDefault="00CB796B" w14:paraId="52BEC8EB" w14:textId="05838BA9">
      <w:pPr>
        <w:pStyle w:val="Heading2"/>
        <w:ind w:left="567" w:hanging="567"/>
      </w:pPr>
      <w:r>
        <w:t>poziva sozakonodajalca, naj imajo izvršilni organi absolutno pravico do zavrnitve prošenj za informacije o nacionalnih pravilih, ki niso usklajena z direktivo o nepoštenih trgovinskih praksah, zlasti ker so lahko nekatera od teh pravil nezdružljiva z notranjim trgom;</w:t>
      </w:r>
    </w:p>
    <w:p w:rsidRPr="00CB796B" w:rsidR="00AE7351" w:rsidP="002339F8" w:rsidRDefault="00AE7351" w14:paraId="5DC37556" w14:textId="77777777"/>
    <w:p w:rsidR="00F45EC6" w:rsidP="002339F8" w:rsidRDefault="00F45EC6" w14:paraId="39AF1CFB" w14:textId="22919575">
      <w:pPr>
        <w:pStyle w:val="Heading2"/>
        <w:numPr>
          <w:ilvl w:val="1"/>
          <w:numId w:val="31"/>
        </w:numPr>
        <w:ind w:left="567" w:hanging="567"/>
      </w:pPr>
      <w:r>
        <w:t>poziva evropska sozakonodajalca, naj ohranita notranji trg in ne predlagata ukrepov, ki bi privedli do ponovne nacionalizacije preskrbe v Evropi in s tem legitimirali omejitve lokalne preskrbe, kar ima lahko hude posledice za potrošnike in trajnostnost proizvodov.</w:t>
      </w:r>
    </w:p>
    <w:p w:rsidRPr="009D7526" w:rsidR="009D7526" w:rsidP="002339F8" w:rsidRDefault="009D7526" w14:paraId="2C321751" w14:textId="77777777"/>
    <w:p w:rsidR="00566526" w:rsidP="002339F8" w:rsidRDefault="00566526" w14:paraId="3802071B" w14:textId="77777777">
      <w:pPr>
        <w:pStyle w:val="Heading1"/>
        <w:keepNext/>
        <w:keepLines/>
        <w:ind w:left="567" w:hanging="567"/>
        <w:rPr>
          <w:b/>
          <w:bCs/>
        </w:rPr>
      </w:pPr>
      <w:r>
        <w:rPr>
          <w:b/>
        </w:rPr>
        <w:lastRenderedPageBreak/>
        <w:t>POJASNILA</w:t>
      </w:r>
    </w:p>
    <w:p w:rsidR="00AE7351" w:rsidP="002339F8" w:rsidRDefault="00AE7351" w14:paraId="56DF7FD3" w14:textId="77777777">
      <w:pPr>
        <w:keepNext/>
        <w:keepLines/>
        <w:overflowPunct/>
        <w:adjustRightInd/>
        <w:textAlignment w:val="auto"/>
      </w:pPr>
    </w:p>
    <w:p w:rsidRPr="00D55EA8" w:rsidR="00566526" w:rsidP="002339F8" w:rsidRDefault="00566526" w14:paraId="205D6C45" w14:textId="06596858">
      <w:pPr>
        <w:keepNext/>
        <w:keepLines/>
        <w:overflowPunct/>
        <w:adjustRightInd/>
        <w:textAlignment w:val="auto"/>
        <w:rPr>
          <w:b/>
          <w:bCs/>
          <w:i/>
          <w:iCs/>
        </w:rPr>
      </w:pPr>
      <w:r>
        <w:rPr>
          <w:b/>
          <w:i/>
        </w:rPr>
        <w:t>Utemeljitev priporočil 1.1 in 1.2</w:t>
      </w:r>
    </w:p>
    <w:p w:rsidRPr="002C1D46" w:rsidR="00566526" w:rsidP="002339F8" w:rsidRDefault="00566526" w14:paraId="3B0F4AF7" w14:textId="77777777">
      <w:pPr>
        <w:keepNext/>
        <w:keepLines/>
      </w:pPr>
    </w:p>
    <w:p w:rsidR="00F45EC6" w:rsidP="002339F8" w:rsidRDefault="00F45EC6" w14:paraId="72371812" w14:textId="518A4999">
      <w:pPr>
        <w:pStyle w:val="Heading2"/>
        <w:keepNext/>
        <w:ind w:left="567" w:hanging="567"/>
      </w:pPr>
      <w:r>
        <w:t>EESO je večkrat poudaril pomen izboljšanja usklajevanja, sodelovanja in komunikacije med nacionalnimi organi. Obstajajo številni vzvodi za izboljšave v tej smeri</w:t>
      </w:r>
      <w:r>
        <w:rPr>
          <w:rStyle w:val="FootnoteReference"/>
        </w:rPr>
        <w:footnoteReference w:id="2"/>
      </w:r>
      <w:r>
        <w:t>. Skladno in učinkovito izvajanje in izvrševanje pravil je odločilno za pravilno delovanje notranjega trga in boljši dostop pritožnikov do pravnega varstva.</w:t>
      </w:r>
    </w:p>
    <w:p w:rsidRPr="001A0627" w:rsidR="00F45EC6" w:rsidP="002339F8" w:rsidRDefault="00F45EC6" w14:paraId="46A36413" w14:textId="77777777"/>
    <w:p w:rsidR="00F45EC6" w:rsidP="002339F8" w:rsidRDefault="0045022B" w14:paraId="0542F85C" w14:textId="52082C6B">
      <w:pPr>
        <w:pStyle w:val="Heading2"/>
        <w:ind w:left="567" w:hanging="567"/>
      </w:pPr>
      <w:r>
        <w:t>EESO poziva sozakonodajalca, naj zagotovita, da bo uredba ostala zakonodajni akt o upravnih in postopkovnih ukrepih, ki se bo uporabljal le za sodelovanje med izvršilnimi organi na področju nepoštenih trgovinskih praks.</w:t>
      </w:r>
    </w:p>
    <w:p w:rsidRPr="0045022B" w:rsidR="0045022B" w:rsidP="002339F8" w:rsidRDefault="0045022B" w14:paraId="38C31317" w14:textId="77777777"/>
    <w:p w:rsidRPr="0091319F" w:rsidR="001735D8" w:rsidP="002339F8" w:rsidRDefault="00F45EC6" w14:paraId="3CA5031E" w14:textId="0596E115">
      <w:pPr>
        <w:pStyle w:val="Heading2"/>
        <w:ind w:left="567" w:hanging="567"/>
        <w:rPr>
          <w:rFonts w:eastAsiaTheme="minorHAnsi"/>
        </w:rPr>
      </w:pPr>
      <w:r>
        <w:t>EESO prav tako poziva sozakonodajalca, naj ne spreminjata direktive o nepoštenih trgovinskih praksah in v predlagano uredbo ne vključita novih pravil, dokler ne bodo znani rezultati ocene direktive o nepoštenih poslovnih praksah.</w:t>
      </w:r>
    </w:p>
    <w:p w:rsidRPr="00F354E5" w:rsidR="00AE7351" w:rsidP="002339F8" w:rsidRDefault="00AE7351" w14:paraId="320A3106" w14:textId="77777777"/>
    <w:p w:rsidRPr="00D55EA8" w:rsidR="00566526" w:rsidP="002339F8" w:rsidRDefault="00566526" w14:paraId="271C05C1" w14:textId="5FDF5D6C">
      <w:pPr>
        <w:keepNext/>
        <w:keepLines/>
        <w:rPr>
          <w:b/>
          <w:bCs/>
          <w:i/>
          <w:iCs/>
        </w:rPr>
      </w:pPr>
      <w:r>
        <w:rPr>
          <w:b/>
          <w:i/>
        </w:rPr>
        <w:t>Utemeljitev priporočil 1.3 in 1.4</w:t>
      </w:r>
    </w:p>
    <w:p w:rsidRPr="006A09BA" w:rsidR="00F45EC6" w:rsidP="002339F8" w:rsidRDefault="00F45EC6" w14:paraId="1A2ADD28" w14:textId="77777777">
      <w:pPr>
        <w:pStyle w:val="Heading2"/>
        <w:keepNext/>
        <w:numPr>
          <w:ilvl w:val="0"/>
          <w:numId w:val="0"/>
        </w:numPr>
        <w:ind w:left="567"/>
      </w:pPr>
    </w:p>
    <w:p w:rsidR="00F45EC6" w:rsidP="002339F8" w:rsidRDefault="00F45EC6" w14:paraId="7972FD1A" w14:textId="2BBC070D">
      <w:pPr>
        <w:pStyle w:val="Heading2"/>
        <w:keepNext/>
        <w:ind w:left="567" w:hanging="567"/>
        <w:rPr>
          <w:rFonts w:eastAsiaTheme="minorHAnsi"/>
        </w:rPr>
      </w:pPr>
      <w:r>
        <w:t>Iz obrazložitvenega memoranduma je razvidno, da ta predlog temelji na priporočilih iz poročila o strateškem dialogu o prihodnosti kmetijstva EU, ki je bilo predsednici Evropske komisije predstavljeno septembra 2024. Poročilo je rezultat večmesečnih razprav med 29 organizacijami iz agroživilskega sektorja. EESO čestita različnim deležnikom za opravljeno delo in spodbuja Komisijo, naj duh dobrega sodelovanja ohrani tudi v Evropskem svetu za kmetijstvo in hrano.</w:t>
      </w:r>
    </w:p>
    <w:p w:rsidRPr="007C5560" w:rsidR="00F45EC6" w:rsidP="002339F8" w:rsidRDefault="00F45EC6" w14:paraId="4B64C9C7" w14:textId="77777777">
      <w:pPr>
        <w:rPr>
          <w:rFonts w:eastAsiaTheme="minorHAnsi"/>
        </w:rPr>
      </w:pPr>
    </w:p>
    <w:p w:rsidRPr="0091319F" w:rsidR="00566526" w:rsidP="002339F8" w:rsidRDefault="00F45EC6" w14:paraId="760DB255" w14:textId="2D406070">
      <w:pPr>
        <w:pStyle w:val="Heading2"/>
        <w:ind w:left="567" w:hanging="567"/>
      </w:pPr>
      <w:r>
        <w:t>EESO podpira tudi priporočila iz tega poročila kot rezultat sodelovanja vseh akterjev v verigi, ki si skupaj prizadevajo za podpiranje prehoda agroživilske verige na trajnostnost.</w:t>
      </w:r>
    </w:p>
    <w:p w:rsidR="00AE7351" w:rsidP="002339F8" w:rsidRDefault="00AE7351" w14:paraId="4AA61757" w14:textId="3CBBF4F4"/>
    <w:p w:rsidRPr="00D2797D" w:rsidR="00566526" w:rsidP="002339F8" w:rsidRDefault="00566526" w14:paraId="252C8694" w14:textId="48FFB662">
      <w:pPr>
        <w:keepNext/>
        <w:rPr>
          <w:b/>
          <w:bCs/>
          <w:i/>
          <w:iCs/>
        </w:rPr>
      </w:pPr>
      <w:r>
        <w:rPr>
          <w:b/>
          <w:i/>
        </w:rPr>
        <w:t>Utemeljitev priporočil 1.5 do 1.8</w:t>
      </w:r>
    </w:p>
    <w:p w:rsidRPr="00CB7FE8" w:rsidR="00566526" w:rsidP="002339F8" w:rsidRDefault="00566526" w14:paraId="3833B2E8" w14:textId="77777777">
      <w:pPr>
        <w:keepNext/>
      </w:pPr>
    </w:p>
    <w:p w:rsidR="00566526" w:rsidP="002339F8" w:rsidRDefault="00566526" w14:paraId="273FAE83" w14:textId="3DDF03D4">
      <w:pPr>
        <w:pStyle w:val="Heading2"/>
        <w:keepNext/>
        <w:ind w:left="567" w:hanging="567"/>
      </w:pPr>
      <w:r>
        <w:t>EESO poudarja pomen doslednosti, sorazmernosti in učinka tega predloga za pravno varnost podjetij, na katere se ta predlog nanaša (glej poročilo Maria Draghija</w:t>
      </w:r>
      <w:r w:rsidRPr="00966CC0">
        <w:rPr>
          <w:vertAlign w:val="superscript"/>
        </w:rPr>
        <w:footnoteReference w:id="3"/>
      </w:r>
      <w:r>
        <w:t>, poročilo Enrica Lette</w:t>
      </w:r>
      <w:r w:rsidRPr="00966CC0">
        <w:rPr>
          <w:vertAlign w:val="superscript"/>
        </w:rPr>
        <w:footnoteReference w:id="4"/>
      </w:r>
      <w:r>
        <w:t xml:space="preserve"> in zavezo Ursule von der Leyen glede preverjanja vpliva na konkurenčnost</w:t>
      </w:r>
      <w:r w:rsidRPr="00966CC0">
        <w:rPr>
          <w:vertAlign w:val="superscript"/>
        </w:rPr>
        <w:footnoteReference w:id="5"/>
      </w:r>
      <w:r>
        <w:t>).</w:t>
      </w:r>
    </w:p>
    <w:p w:rsidRPr="00A06719" w:rsidR="00A06719" w:rsidP="002339F8" w:rsidRDefault="00A06719" w14:paraId="2FA2BB67" w14:textId="77777777"/>
    <w:p w:rsidR="00566526" w:rsidP="002339F8" w:rsidRDefault="00566526" w14:paraId="51169854" w14:textId="28D45FAA">
      <w:pPr>
        <w:pStyle w:val="Heading2"/>
        <w:ind w:left="567" w:hanging="567"/>
      </w:pPr>
      <w:r>
        <w:t>EESO pričakuje, da bo Komisija zagotovila učinkovita jamstva za podjetja, zlasti v zvezi s spoštovanjem izbire pogodbenih strank glede prava in pristojnosti, ob spoštovanju konkurenčnega prava.</w:t>
      </w:r>
    </w:p>
    <w:p w:rsidRPr="00FE592B" w:rsidR="00FE592B" w:rsidP="002339F8" w:rsidRDefault="00FE592B" w14:paraId="191D1C68" w14:textId="77777777"/>
    <w:p w:rsidR="00F45EC6" w:rsidP="00B12D33" w:rsidRDefault="00F45EC6" w14:paraId="17661EDB" w14:textId="06F9F58F">
      <w:pPr>
        <w:pStyle w:val="Heading2"/>
        <w:keepNext/>
        <w:keepLines/>
        <w:ind w:left="567" w:hanging="567"/>
      </w:pPr>
      <w:r>
        <w:lastRenderedPageBreak/>
        <w:t>Predlagana uredba pravzaprav sploh ne bi bila problematična, če bi po vsej Evropski uniji veljala enaka pravila. Ker pa Direktiva (EU) 2019/633 o nepoštenih trgovinskih praksah iz leta 2019 določa le minimalno harmonizacijo, so države članice na tem področju sprejele zelo različna pravila.</w:t>
      </w:r>
    </w:p>
    <w:p w:rsidRPr="00F45EC6" w:rsidR="00F45EC6" w:rsidP="002339F8" w:rsidRDefault="00F45EC6" w14:paraId="57A3EBD1" w14:textId="77777777"/>
    <w:p w:rsidRPr="00D55EA8" w:rsidR="00566526" w:rsidP="002339F8" w:rsidRDefault="00F45EC6" w14:paraId="7D8A56B4" w14:textId="67C8C8E8">
      <w:pPr>
        <w:pStyle w:val="Heading2"/>
        <w:ind w:left="567" w:hanging="567"/>
      </w:pPr>
      <w:r>
        <w:t>Vendar drugi odstavek člena 2(1) določa, da se „prošnje za informacije“ iz uredbe lahko uporabijo tudi v zvezi z nacionalnimi pravili (sprejetimi v skladu z direktivo o nepoštenih trgovinskih praksah). Člen 5, ki se nanaša na „prošnje za informacije“, v točki 4 povzema možnost iz člena 2, da lahko ta pravica velja tudi za nacionalne ukrepe. Ta točka vsebuje tudi določbo, da lahko zaprošeni organ zavrne predložitev takih informacij.</w:t>
      </w:r>
    </w:p>
    <w:p w:rsidRPr="00D55EA8" w:rsidR="00566526" w:rsidP="002339F8" w:rsidRDefault="00566526" w14:paraId="421152B1" w14:textId="2F5CCE16">
      <w:pPr>
        <w:pStyle w:val="Heading2"/>
        <w:numPr>
          <w:ilvl w:val="0"/>
          <w:numId w:val="0"/>
        </w:numPr>
      </w:pPr>
    </w:p>
    <w:p w:rsidR="00566526" w:rsidP="002339F8" w:rsidRDefault="00F45EC6" w14:paraId="2D9E22E0" w14:textId="36A8FF31">
      <w:pPr>
        <w:pStyle w:val="Heading2"/>
        <w:ind w:left="567" w:hanging="567"/>
      </w:pPr>
      <w:r>
        <w:t>V praksi je deset nepoštenih trgovinskih praks nezakonitih v vseh državah članicah. Doslej je to edina uskladitev. Nekatere države članice dovoljujejo šest „sivih“ praks iz direktive o nepoštenih trgovinskih praksah, če so bile vnaprej dogovorjene, medtem ko jih druge enostavno prepovedujejo.</w:t>
      </w:r>
    </w:p>
    <w:p w:rsidRPr="00CB796B" w:rsidR="00AE7351" w:rsidP="002339F8" w:rsidRDefault="00AE7351" w14:paraId="646FB60E" w14:textId="77777777"/>
    <w:p w:rsidRPr="00F45EC6" w:rsidR="00F45EC6" w:rsidP="002339F8" w:rsidRDefault="00F602E6" w14:paraId="1706AA80" w14:textId="18031E53">
      <w:pPr>
        <w:pStyle w:val="Heading2"/>
        <w:ind w:left="567" w:hanging="567"/>
      </w:pPr>
      <w:r>
        <w:t>Nacionalni ukrepi, ki odstopajo od ukrepov iz direktive ali dopolnjujejo njene prakse, so lahko prilagoditev nacionalnega odziva na lastne razmere, zato ne spadajo na področje uporabe tega predloga uredbe.</w:t>
      </w:r>
    </w:p>
    <w:p w:rsidRPr="00C10F07" w:rsidR="00C10F07" w:rsidP="002339F8" w:rsidRDefault="00C10F07" w14:paraId="3D23A591" w14:textId="77777777">
      <w:pPr>
        <w:ind w:left="567" w:hanging="567"/>
      </w:pPr>
    </w:p>
    <w:p w:rsidRPr="00B12D33" w:rsidR="00B12D33" w:rsidP="00B12D33" w:rsidRDefault="00566526" w14:paraId="047088C7" w14:textId="61D2E890">
      <w:pPr>
        <w:pStyle w:val="Heading2"/>
        <w:numPr>
          <w:ilvl w:val="1"/>
          <w:numId w:val="32"/>
        </w:numPr>
        <w:ind w:left="567" w:hanging="567"/>
      </w:pPr>
      <w:r>
        <w:t>Poleg tega je večina držav članic spremenila ali odpravila pragove glede prometa, določene v direktivi o nepoštenih trgovinskih praksah. Več držav članic je na seznama „sivih“ in „črnih“ praks dodalo nove prakse.</w:t>
      </w:r>
    </w:p>
    <w:p w:rsidRPr="00F45EC6" w:rsidR="00101DBF" w:rsidP="002339F8" w:rsidRDefault="00566526" w14:paraId="06AB204D" w14:textId="4AE8FB86">
      <w:pPr>
        <w:pStyle w:val="ListParagraph"/>
        <w:numPr>
          <w:ilvl w:val="0"/>
          <w:numId w:val="7"/>
        </w:numPr>
        <w:ind w:left="993" w:hanging="426"/>
      </w:pPr>
      <w:r>
        <w:t>Vendar se lahko izkaže, da so nekateri nacionalni predpisi, ki so strožji od direktive o nepoštenih trgovinskih praksah, v nasprotju z zakonodajo EU, saj Komisija aprila 2024 še ni zaključila „preverjanja skladnosti“, ki zajema oceno združljivosti nacionalnih izvedbenih ukrepov z določbami direktive o nepoštenih trgovinskih praksah</w:t>
      </w:r>
      <w:r w:rsidRPr="00860E86">
        <w:rPr>
          <w:vertAlign w:val="superscript"/>
          <w:lang w:val="en-US"/>
        </w:rPr>
        <w:footnoteReference w:id="6"/>
      </w:r>
      <w:r>
        <w:t>.</w:t>
      </w:r>
    </w:p>
    <w:p w:rsidRPr="005E0554" w:rsidR="00566526" w:rsidP="002339F8" w:rsidRDefault="00566526" w14:paraId="76F1CAA2" w14:textId="6ED87DCF">
      <w:pPr>
        <w:pStyle w:val="ListParagraph"/>
        <w:numPr>
          <w:ilvl w:val="0"/>
          <w:numId w:val="7"/>
        </w:numPr>
        <w:ind w:left="993" w:hanging="426"/>
      </w:pPr>
      <w:r>
        <w:t>Strožji nacionalni predpisi niso bili predmet prošnje za informacije ali bolj poglobljene študije, da bi se ocenila njihova združljivost s pravili o delovanju notranjega trga v skladu s členom 9 direktive o nepoštenih trgovinskih praksah</w:t>
      </w:r>
      <w:r w:rsidRPr="00860E86">
        <w:rPr>
          <w:vertAlign w:val="superscript"/>
          <w:lang w:val="en-US"/>
        </w:rPr>
        <w:footnoteReference w:id="7"/>
      </w:r>
      <w:r>
        <w:t>.</w:t>
      </w:r>
    </w:p>
    <w:p w:rsidRPr="005E0554" w:rsidR="00566526" w:rsidP="002339F8" w:rsidRDefault="00566526" w14:paraId="34F7974C" w14:textId="476FB90C">
      <w:pPr>
        <w:pStyle w:val="ListParagraph"/>
        <w:numPr>
          <w:ilvl w:val="0"/>
          <w:numId w:val="7"/>
        </w:numPr>
        <w:ind w:left="993" w:hanging="426"/>
      </w:pPr>
      <w:r>
        <w:t>Komisija doslej še ni obravnavala pritožb glede združljivosti nacionalnih pravil s pravili o delovanju notranjega trga.</w:t>
      </w:r>
    </w:p>
    <w:p w:rsidRPr="002C0BF6" w:rsidR="00566526" w:rsidP="002339F8" w:rsidRDefault="00566526" w14:paraId="145F5686" w14:textId="77777777">
      <w:pPr>
        <w:pStyle w:val="Heading2"/>
        <w:numPr>
          <w:ilvl w:val="0"/>
          <w:numId w:val="0"/>
        </w:numPr>
      </w:pPr>
    </w:p>
    <w:p w:rsidR="00566526" w:rsidP="002339F8" w:rsidRDefault="00566526" w14:paraId="28870C9A" w14:textId="55C230E4">
      <w:pPr>
        <w:pStyle w:val="Heading2"/>
        <w:ind w:left="567" w:hanging="567"/>
      </w:pPr>
      <w:r>
        <w:t>EESO je zaradi teh ugotovitev zaskrbljen, da je ogrožena pravna varnost podjetij. Poziva k zaščitnim ukrepom s ciljem, da pravila ne bi omogočala uporabe določb o izbiri drugega prava in pristojnosti, ki niso dogovorjeni v pogodbi, pri čemer je treba spoštovati konkurenčno pravo.</w:t>
      </w:r>
    </w:p>
    <w:p w:rsidRPr="00622AAE" w:rsidR="00566526" w:rsidP="002339F8" w:rsidRDefault="00566526" w14:paraId="5FFB3314" w14:textId="77777777"/>
    <w:p w:rsidR="00566526" w:rsidP="002339F8" w:rsidRDefault="00566526" w14:paraId="42E37CE1" w14:textId="08C8F834">
      <w:pPr>
        <w:pStyle w:val="Heading2"/>
        <w:ind w:left="567" w:hanging="567"/>
      </w:pPr>
      <w:r>
        <w:t>Da bi zagotovili pravno varnost področja uporabe, EESO poziva, naj se v členu 2 predlagane uredbe določi, naj se ta uporablja v strogo določenem okviru, in sicer:</w:t>
      </w:r>
    </w:p>
    <w:p w:rsidR="00566526" w:rsidP="002339F8" w:rsidRDefault="00566526" w14:paraId="2C3A8BD2" w14:textId="46BA63A9">
      <w:pPr>
        <w:pStyle w:val="Heading2"/>
        <w:numPr>
          <w:ilvl w:val="0"/>
          <w:numId w:val="28"/>
        </w:numPr>
      </w:pPr>
      <w:r>
        <w:t>za nepoštene trgovinske prakse iz člena 3(1) in (2) direktive o nepoštenih trgovinskih praksah;</w:t>
      </w:r>
    </w:p>
    <w:p w:rsidR="00F45EC6" w:rsidP="002339F8" w:rsidRDefault="0099164C" w14:paraId="6764BB8E" w14:textId="7E354C15">
      <w:pPr>
        <w:pStyle w:val="Heading2"/>
        <w:numPr>
          <w:ilvl w:val="0"/>
          <w:numId w:val="28"/>
        </w:numPr>
      </w:pPr>
      <w:r>
        <w:lastRenderedPageBreak/>
        <w:t>na podlagi pragov prometa, določenih v členu 1 direktive o nepoštenih trgovinskih praksah.</w:t>
      </w:r>
    </w:p>
    <w:p w:rsidRPr="00F45EC6" w:rsidR="00F45EC6" w:rsidP="002339F8" w:rsidRDefault="00F45EC6" w14:paraId="71E94B20" w14:textId="77777777"/>
    <w:p w:rsidRPr="005E0554" w:rsidR="00566526" w:rsidP="002339F8" w:rsidRDefault="00331599" w14:paraId="5A50176B" w14:textId="229C5D29">
      <w:pPr>
        <w:pStyle w:val="Heading2"/>
        <w:ind w:left="567" w:hanging="567"/>
        <w:rPr>
          <w:iCs/>
        </w:rPr>
      </w:pPr>
      <w:r>
        <w:t>EESO poziva tudi k pojasnitvi pravice gospodarskih subjektov do obrambe, zlasti v postopkih proti podjetju in v zvezi z razlogi za tak postopek. Zadevna podjetja bi bilo treba o takšnih postopkih obvestiti. Takšna obvestila bi morala omogočati zlasti oceno združljivosti z notranjim trgom brez ustvarjanja dodatnih upravnih bremen. Vendar je bistveno, da za obveznost obveščanja kupca veljajo nacionalna pravila o razkritju informacij, zato da to ne ogroža preiskave ali zavarovanja dokazov.</w:t>
      </w:r>
    </w:p>
    <w:p w:rsidRPr="00F45EC6" w:rsidR="00292FAB" w:rsidP="002339F8" w:rsidRDefault="00292FAB" w14:paraId="170AC67E" w14:textId="77777777">
      <w:pPr>
        <w:rPr>
          <w:lang w:eastAsia="fr-FR"/>
        </w:rPr>
      </w:pPr>
    </w:p>
    <w:p w:rsidRPr="00D2797D" w:rsidR="00566526" w:rsidP="002339F8" w:rsidRDefault="00566526" w14:paraId="1818FBCD" w14:textId="281705B6">
      <w:pPr>
        <w:keepNext/>
        <w:keepLines/>
        <w:rPr>
          <w:b/>
          <w:bCs/>
          <w:i/>
          <w:iCs/>
        </w:rPr>
      </w:pPr>
      <w:r>
        <w:rPr>
          <w:b/>
          <w:i/>
        </w:rPr>
        <w:t>Utemeljitev priporočila 1.9</w:t>
      </w:r>
    </w:p>
    <w:p w:rsidRPr="00D2797D" w:rsidR="00566526" w:rsidP="002339F8" w:rsidRDefault="00566526" w14:paraId="1180A60A" w14:textId="77777777">
      <w:pPr>
        <w:keepNext/>
        <w:keepLines/>
        <w:rPr>
          <w:lang w:eastAsia="fr-FR"/>
        </w:rPr>
      </w:pPr>
    </w:p>
    <w:p w:rsidR="006A624E" w:rsidP="002339F8" w:rsidRDefault="00566526" w14:paraId="32F420DF" w14:textId="37CE40AA">
      <w:pPr>
        <w:pStyle w:val="Heading2"/>
        <w:ind w:left="567" w:hanging="567"/>
      </w:pPr>
      <w:r>
        <w:t>Poleg tega bi to negotovost lahko okrepile nekatere države članice, ki bi želele uporabiti svoja nacionalna pravila za pogodbe, zakonito sklenjene v drugi državi EU, ob spoštovanju konkurenčnega prava.</w:t>
      </w:r>
    </w:p>
    <w:p w:rsidRPr="00D2797D" w:rsidR="00566526" w:rsidP="002339F8" w:rsidRDefault="00566526" w14:paraId="1D8716B3" w14:textId="3D8325CA">
      <w:pPr>
        <w:pStyle w:val="Heading2"/>
        <w:numPr>
          <w:ilvl w:val="0"/>
          <w:numId w:val="0"/>
        </w:numPr>
      </w:pPr>
    </w:p>
    <w:p w:rsidR="00566526" w:rsidP="002339F8" w:rsidRDefault="00566526" w14:paraId="627E8A1F" w14:textId="750AFDA3">
      <w:pPr>
        <w:pStyle w:val="Heading2"/>
        <w:ind w:left="567" w:hanging="567"/>
      </w:pPr>
      <w:r>
        <w:t>Vendar je v predlagani uredbi pojasnjeno, da ne posega v pravila Unije in nacionalna pravila o mednarodnem zasebnem pravu</w:t>
      </w:r>
      <w:r>
        <w:rPr>
          <w:rStyle w:val="FootnoteReference"/>
        </w:rPr>
        <w:footnoteReference w:id="8"/>
      </w:r>
      <w:r>
        <w:t>. Zgolj navedba, kam uredba ne posega, ne zadostuje.</w:t>
      </w:r>
    </w:p>
    <w:p w:rsidR="00566526" w:rsidP="002339F8" w:rsidRDefault="00566526" w14:paraId="2B85B0D6" w14:textId="77777777">
      <w:pPr>
        <w:pStyle w:val="Heading2"/>
        <w:numPr>
          <w:ilvl w:val="0"/>
          <w:numId w:val="0"/>
        </w:numPr>
      </w:pPr>
    </w:p>
    <w:p w:rsidR="00566526" w:rsidP="002339F8" w:rsidRDefault="00566526" w14:paraId="42DDD8F5" w14:textId="21740A20">
      <w:pPr>
        <w:pStyle w:val="Heading2"/>
        <w:ind w:left="567" w:hanging="567"/>
      </w:pPr>
      <w:r>
        <w:t>EESO poudarja, da krepitev čezmejnega izvrševanja in usklajevanja v nobenem primeru ne sme okrepiti prizadevanj neke države za uveljavljanje ekstrateritorialne uporabe nacionalne zakonodaje.</w:t>
      </w:r>
    </w:p>
    <w:p w:rsidRPr="00E33101" w:rsidR="00566526" w:rsidP="002339F8" w:rsidRDefault="00566526" w14:paraId="53D91954" w14:textId="77777777"/>
    <w:p w:rsidRPr="00E33101" w:rsidR="00566526" w:rsidP="002339F8" w:rsidRDefault="00566526" w14:paraId="4AAD7BB0" w14:textId="722AACEE">
      <w:pPr>
        <w:pStyle w:val="Heading2"/>
        <w:ind w:left="567" w:hanging="567"/>
      </w:pPr>
      <w:r>
        <w:t>EESO se zato zavzema za to, da zaprošeni izvršilni organi ohranijo absolutno pravico, da zavrnejo odgovor na prošnjo, kadar se ta nanaša na neusklajene nacionalne ukrepe.</w:t>
      </w:r>
    </w:p>
    <w:p w:rsidRPr="00292FAB" w:rsidR="00292FAB" w:rsidP="002339F8" w:rsidRDefault="00292FAB" w14:paraId="1E4A1825" w14:textId="77777777"/>
    <w:p w:rsidRPr="00966CC0" w:rsidR="00566526" w:rsidP="002339F8" w:rsidRDefault="00566526" w14:paraId="604C8438" w14:textId="252101B4">
      <w:pPr>
        <w:keepNext/>
        <w:keepLines/>
        <w:rPr>
          <w:b/>
          <w:bCs/>
          <w:i/>
          <w:iCs/>
        </w:rPr>
      </w:pPr>
      <w:r>
        <w:rPr>
          <w:b/>
          <w:i/>
        </w:rPr>
        <w:t>Utemeljitev priporočila 1.10</w:t>
      </w:r>
    </w:p>
    <w:p w:rsidR="00566526" w:rsidP="002339F8" w:rsidRDefault="00566526" w14:paraId="72794463" w14:textId="77777777">
      <w:pPr>
        <w:keepNext/>
        <w:keepLines/>
      </w:pPr>
    </w:p>
    <w:p w:rsidR="00566526" w:rsidP="002339F8" w:rsidRDefault="00566526" w14:paraId="31418752" w14:textId="666DFD7D">
      <w:pPr>
        <w:pStyle w:val="Heading2"/>
        <w:ind w:left="567" w:hanging="567"/>
      </w:pPr>
      <w:r>
        <w:t>Notranji trg EU trgovcem na drobno in na debelo omogoča večjo izbiro izdelkov pod boljšimi pogoji. Prihranki zaradi optimalne ponudbe na notranjem trgu se prenesejo na potrošnike, saj lahko trgovci na drobno in na debelo zaradi močne konkurence svojim strankam ponudijo večjo izbiro izdelkov po nižjih cenah</w:t>
      </w:r>
      <w:r>
        <w:rPr>
          <w:rStyle w:val="FootnoteReference"/>
        </w:rPr>
        <w:footnoteReference w:id="9"/>
      </w:r>
      <w:r>
        <w:t>. Kljub stabilizaciji inflacije potrošnike v EU še vedno zelo skrbi dostopnost hrane.</w:t>
      </w:r>
    </w:p>
    <w:p w:rsidRPr="00F354E5" w:rsidR="0089589D" w:rsidP="002339F8" w:rsidRDefault="0089589D" w14:paraId="17DCF798" w14:textId="77777777"/>
    <w:p w:rsidR="00566526" w:rsidP="002339F8" w:rsidRDefault="00566526" w14:paraId="73EFEFA8" w14:textId="6B4D97DD">
      <w:pPr>
        <w:pStyle w:val="Heading2"/>
        <w:ind w:left="567" w:hanging="567"/>
      </w:pPr>
      <w:r>
        <w:t>Enrico Letta je v svojem poročilu o enotnem trgu potrdil, da ponovna nacionalizacija notranjega trga na področju preskrbe zmanjšuje blaginjo potrošnikov</w:t>
      </w:r>
      <w:r>
        <w:rPr>
          <w:rStyle w:val="FootnoteReference"/>
        </w:rPr>
        <w:footnoteReference w:id="10"/>
      </w:r>
      <w:r>
        <w:t>.</w:t>
      </w:r>
    </w:p>
    <w:p w:rsidRPr="000B7258" w:rsidR="00566526" w:rsidP="002339F8" w:rsidRDefault="00566526" w14:paraId="56CA08A0" w14:textId="77777777"/>
    <w:p w:rsidRPr="00985C12" w:rsidR="00312E45" w:rsidP="002339F8" w:rsidRDefault="00566526" w14:paraId="25A2828C" w14:textId="4297B084">
      <w:pPr>
        <w:pStyle w:val="Heading2"/>
        <w:ind w:left="567" w:hanging="567"/>
      </w:pPr>
      <w:r>
        <w:t>Bolj kot je preskrba na enotnem trgu za kupce zapletena ali negotova, večja je verjetnost, da se bodo vrnili k domači preskrbi.</w:t>
      </w:r>
    </w:p>
    <w:p w:rsidRPr="00985C12" w:rsidR="00312E45" w:rsidP="002339F8" w:rsidRDefault="00312E45" w14:paraId="78456836" w14:textId="77777777">
      <w:pPr>
        <w:pStyle w:val="Heading2"/>
        <w:numPr>
          <w:ilvl w:val="0"/>
          <w:numId w:val="0"/>
        </w:numPr>
        <w:ind w:left="567"/>
        <w:rPr>
          <w:lang w:val="en-US"/>
        </w:rPr>
      </w:pPr>
    </w:p>
    <w:p w:rsidRPr="00985C12" w:rsidR="008D2D52" w:rsidP="002339F8" w:rsidRDefault="00566526" w14:paraId="590C9D34" w14:textId="296DE70B">
      <w:pPr>
        <w:pStyle w:val="Heading2"/>
        <w:ind w:left="567" w:hanging="567"/>
      </w:pPr>
      <w:r>
        <w:lastRenderedPageBreak/>
        <w:t>Evropska komisija je že ugotovila, da teritorialne omejitve dobave, ki jih velika multinacionalna podjetja nalagajo trgovcem na drobno, evropske potrošnike stanejo 14 milijard EUR letno</w:t>
      </w:r>
      <w:r>
        <w:rPr>
          <w:rStyle w:val="FootnoteReference"/>
        </w:rPr>
        <w:footnoteReference w:id="11"/>
      </w:r>
      <w:r>
        <w:t>. Odtlej so že mnoge države članice pozvale Evropsko komisijo, naj nemudoma ukrepa</w:t>
      </w:r>
      <w:r>
        <w:rPr>
          <w:rStyle w:val="FootnoteReference"/>
        </w:rPr>
        <w:footnoteReference w:id="12"/>
      </w:r>
      <w:r>
        <w:t>.</w:t>
      </w:r>
    </w:p>
    <w:p w:rsidR="00B4628C" w:rsidP="002339F8" w:rsidRDefault="00B4628C" w14:paraId="26B05972" w14:textId="1AC7DF31">
      <w:pPr>
        <w:overflowPunct/>
        <w:autoSpaceDE/>
        <w:autoSpaceDN/>
        <w:adjustRightInd/>
        <w:jc w:val="left"/>
        <w:textAlignment w:val="auto"/>
        <w:rPr>
          <w:lang w:val="en-US"/>
        </w:rPr>
      </w:pPr>
    </w:p>
    <w:p w:rsidRPr="00F8088B" w:rsidR="00566526" w:rsidP="002339F8" w:rsidRDefault="00566526" w14:paraId="56642262" w14:textId="77777777">
      <w:pPr>
        <w:pStyle w:val="Heading1"/>
        <w:keepNext/>
        <w:keepLines/>
        <w:ind w:left="567" w:hanging="567"/>
        <w:rPr>
          <w:b/>
          <w:bCs/>
        </w:rPr>
      </w:pPr>
      <w:r>
        <w:rPr>
          <w:b/>
        </w:rPr>
        <w:t>PREDLOGI SPREMEMB ZAKONODAJNEGA PREDLOGA EVROPSKE KOMISIJE</w:t>
      </w:r>
    </w:p>
    <w:p w:rsidRPr="009B06AD" w:rsidR="00566526" w:rsidP="002339F8" w:rsidRDefault="00566526" w14:paraId="5A87FDBD" w14:textId="77777777">
      <w:pPr>
        <w:keepNext/>
        <w:keepLines/>
        <w:overflowPunct/>
        <w:autoSpaceDE/>
        <w:autoSpaceDN/>
        <w:adjustRightInd/>
        <w:rPr>
          <w:szCs w:val="22"/>
        </w:rPr>
      </w:pPr>
    </w:p>
    <w:p w:rsidRPr="009533AB" w:rsidR="00566526" w:rsidP="002339F8" w:rsidRDefault="00566526" w14:paraId="2E1E2A55" w14:textId="00CA0F7B">
      <w:pPr>
        <w:pStyle w:val="Heading2"/>
        <w:numPr>
          <w:ilvl w:val="0"/>
          <w:numId w:val="0"/>
        </w:numPr>
        <w:rPr>
          <w:b/>
          <w:bCs/>
        </w:rPr>
      </w:pPr>
      <w:r>
        <w:rPr>
          <w:b/>
        </w:rPr>
        <w:t>Predlog spremembe 1</w:t>
      </w:r>
    </w:p>
    <w:p w:rsidRPr="00EF236E" w:rsidR="00566526" w:rsidP="002339F8" w:rsidRDefault="00566526" w14:paraId="564ABD38" w14:textId="62C08965">
      <w:pPr>
        <w:keepNext/>
        <w:keepLines/>
        <w:overflowPunct/>
        <w:autoSpaceDE/>
        <w:autoSpaceDN/>
        <w:adjustRightInd/>
        <w:jc w:val="left"/>
        <w:rPr>
          <w:szCs w:val="22"/>
        </w:rPr>
      </w:pPr>
      <w:r>
        <w:t>(povezano s priporočilom 1.8)</w:t>
      </w:r>
    </w:p>
    <w:p w:rsidRPr="009B06AD" w:rsidR="00566526" w:rsidP="002339F8" w:rsidRDefault="00566526" w14:paraId="0AEEBF79" w14:textId="77777777">
      <w:pPr>
        <w:keepNext/>
        <w:keepLines/>
        <w:overflowPunct/>
        <w:autoSpaceDE/>
        <w:autoSpaceDN/>
        <w:adjustRightInd/>
        <w:jc w:val="left"/>
        <w:rPr>
          <w:szCs w:val="22"/>
        </w:rPr>
      </w:pPr>
    </w:p>
    <w:tbl>
      <w:tblPr>
        <w:tblW w:w="0" w:type="auto"/>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4529"/>
        <w:gridCol w:w="4528"/>
      </w:tblGrid>
      <w:tr w:rsidRPr="00EF236E" w:rsidR="00566526" w:rsidTr="00515C81" w14:paraId="2E103988" w14:textId="77777777">
        <w:trPr>
          <w:trHeight w:val="300"/>
        </w:trPr>
        <w:tc>
          <w:tcPr>
            <w:tcW w:w="4529" w:type="dxa"/>
            <w:tcBorders>
              <w:top w:val="single" w:color="auto" w:sz="2" w:space="0"/>
              <w:left w:val="single" w:color="auto" w:sz="2" w:space="0"/>
              <w:bottom w:val="single" w:color="auto" w:sz="2" w:space="0"/>
              <w:right w:val="single" w:color="auto" w:sz="2" w:space="0"/>
            </w:tcBorders>
            <w:shd w:val="clear" w:color="auto" w:fill="auto"/>
            <w:hideMark/>
          </w:tcPr>
          <w:p w:rsidRPr="00385B6A" w:rsidR="00566526" w:rsidP="002339F8" w:rsidRDefault="00566526" w14:paraId="630C847E" w14:textId="640BD0CF">
            <w:pPr>
              <w:overflowPunct/>
              <w:autoSpaceDE/>
              <w:autoSpaceDN/>
              <w:adjustRightInd/>
              <w:jc w:val="center"/>
              <w:rPr>
                <w:strike/>
                <w:szCs w:val="22"/>
              </w:rPr>
            </w:pPr>
            <w:r>
              <w:rPr>
                <w:b/>
              </w:rPr>
              <w:t>Predlog Komisije</w:t>
            </w:r>
          </w:p>
        </w:tc>
        <w:tc>
          <w:tcPr>
            <w:tcW w:w="4528" w:type="dxa"/>
            <w:tcBorders>
              <w:top w:val="single" w:color="auto" w:sz="2" w:space="0"/>
              <w:left w:val="single" w:color="auto" w:sz="2" w:space="0"/>
              <w:bottom w:val="single" w:color="auto" w:sz="2" w:space="0"/>
              <w:right w:val="single" w:color="auto" w:sz="2" w:space="0"/>
            </w:tcBorders>
            <w:shd w:val="clear" w:color="auto" w:fill="auto"/>
            <w:hideMark/>
          </w:tcPr>
          <w:p w:rsidRPr="00EF236E" w:rsidR="00566526" w:rsidP="002339F8" w:rsidRDefault="00566526" w14:paraId="7243CCAF" w14:textId="77777777">
            <w:pPr>
              <w:overflowPunct/>
              <w:autoSpaceDE/>
              <w:autoSpaceDN/>
              <w:adjustRightInd/>
              <w:jc w:val="center"/>
              <w:rPr>
                <w:szCs w:val="22"/>
              </w:rPr>
            </w:pPr>
            <w:r>
              <w:rPr>
                <w:b/>
              </w:rPr>
              <w:t>Predlog spremembe EESO</w:t>
            </w:r>
          </w:p>
        </w:tc>
      </w:tr>
      <w:tr w:rsidRPr="00EF236E" w:rsidR="00566526" w:rsidTr="00515C81" w14:paraId="5648DD75" w14:textId="77777777">
        <w:trPr>
          <w:trHeight w:val="300"/>
        </w:trPr>
        <w:tc>
          <w:tcPr>
            <w:tcW w:w="4529" w:type="dxa"/>
            <w:tcBorders>
              <w:top w:val="single" w:color="auto" w:sz="2" w:space="0"/>
              <w:left w:val="single" w:color="auto" w:sz="6" w:space="0"/>
              <w:bottom w:val="single" w:color="auto" w:sz="6" w:space="0"/>
              <w:right w:val="single" w:color="auto" w:sz="6" w:space="0"/>
            </w:tcBorders>
            <w:shd w:val="clear" w:color="auto" w:fill="auto"/>
            <w:hideMark/>
          </w:tcPr>
          <w:p w:rsidR="009D7526" w:rsidP="002339F8" w:rsidRDefault="00A77BCE" w14:paraId="4537ACEE" w14:textId="77777777">
            <w:pPr>
              <w:overflowPunct/>
              <w:autoSpaceDE/>
              <w:autoSpaceDN/>
              <w:adjustRightInd/>
              <w:jc w:val="left"/>
              <w:rPr>
                <w:bCs/>
              </w:rPr>
            </w:pPr>
            <w:r>
              <w:t>Člen 2</w:t>
            </w:r>
          </w:p>
          <w:p w:rsidR="009D7526" w:rsidP="002339F8" w:rsidRDefault="009D7526" w14:paraId="4DC0EEC8" w14:textId="77777777">
            <w:pPr>
              <w:overflowPunct/>
              <w:autoSpaceDE/>
              <w:autoSpaceDN/>
              <w:adjustRightInd/>
              <w:jc w:val="left"/>
              <w:rPr>
                <w:bCs/>
              </w:rPr>
            </w:pPr>
          </w:p>
          <w:p w:rsidR="009D7526" w:rsidP="002339F8" w:rsidRDefault="00A77BCE" w14:paraId="1A717B20" w14:textId="34567495">
            <w:pPr>
              <w:overflowPunct/>
              <w:autoSpaceDE/>
              <w:autoSpaceDN/>
              <w:adjustRightInd/>
              <w:jc w:val="left"/>
              <w:rPr>
                <w:bCs/>
              </w:rPr>
            </w:pPr>
            <w:r>
              <w:t>Področje uporabe</w:t>
            </w:r>
          </w:p>
          <w:p w:rsidR="00A77BCE" w:rsidP="002339F8" w:rsidRDefault="00A77BCE" w14:paraId="6F0530AB" w14:textId="73C35ABB">
            <w:pPr>
              <w:overflowPunct/>
              <w:autoSpaceDE/>
              <w:autoSpaceDN/>
              <w:adjustRightInd/>
              <w:jc w:val="left"/>
              <w:rPr>
                <w:noProof/>
                <w:color w:val="000000" w:themeColor="text1"/>
              </w:rPr>
            </w:pPr>
          </w:p>
          <w:p w:rsidRPr="005E0554" w:rsidR="00566526" w:rsidP="002339F8" w:rsidRDefault="00EA4087" w14:paraId="0CC8A016" w14:textId="53EA65E0">
            <w:pPr>
              <w:overflowPunct/>
              <w:autoSpaceDE/>
              <w:autoSpaceDN/>
              <w:adjustRightInd/>
              <w:rPr>
                <w:szCs w:val="22"/>
              </w:rPr>
            </w:pPr>
            <w:r>
              <w:rPr>
                <w:color w:val="000000" w:themeColor="text1"/>
              </w:rPr>
              <w:t>1. Ta uredba se uporablja za izvrševanje prepovedi nepoštenih trgovinskih praks med podjetji v verigi preskrbe s kmetijskimi in živilskimi proizvodi iz člena 3(1) in (2) Direktive (EU) 2019/633 s čezmejno razsežnostjo.</w:t>
            </w:r>
          </w:p>
        </w:tc>
        <w:tc>
          <w:tcPr>
            <w:tcW w:w="4528" w:type="dxa"/>
            <w:tcBorders>
              <w:top w:val="single" w:color="auto" w:sz="2" w:space="0"/>
              <w:left w:val="single" w:color="auto" w:sz="6" w:space="0"/>
              <w:bottom w:val="single" w:color="auto" w:sz="6" w:space="0"/>
              <w:right w:val="single" w:color="auto" w:sz="6" w:space="0"/>
            </w:tcBorders>
            <w:shd w:val="clear" w:color="auto" w:fill="auto"/>
            <w:hideMark/>
          </w:tcPr>
          <w:p w:rsidR="009D7526" w:rsidP="002339F8" w:rsidRDefault="00A77BCE" w14:paraId="6966DA43" w14:textId="77777777">
            <w:pPr>
              <w:overflowPunct/>
              <w:autoSpaceDE/>
              <w:autoSpaceDN/>
              <w:adjustRightInd/>
              <w:ind w:left="30" w:right="30"/>
              <w:jc w:val="left"/>
              <w:rPr>
                <w:bCs/>
              </w:rPr>
            </w:pPr>
            <w:r>
              <w:t>Člen 2</w:t>
            </w:r>
          </w:p>
          <w:p w:rsidR="009D7526" w:rsidP="002339F8" w:rsidRDefault="009D7526" w14:paraId="46C0BA70" w14:textId="77777777">
            <w:pPr>
              <w:overflowPunct/>
              <w:autoSpaceDE/>
              <w:autoSpaceDN/>
              <w:adjustRightInd/>
              <w:ind w:left="30" w:right="30"/>
              <w:jc w:val="left"/>
              <w:rPr>
                <w:bCs/>
              </w:rPr>
            </w:pPr>
          </w:p>
          <w:p w:rsidR="009D7526" w:rsidP="002339F8" w:rsidRDefault="00A77BCE" w14:paraId="563D70AA" w14:textId="62531D09">
            <w:pPr>
              <w:overflowPunct/>
              <w:autoSpaceDE/>
              <w:autoSpaceDN/>
              <w:adjustRightInd/>
              <w:ind w:left="30" w:right="30"/>
              <w:jc w:val="left"/>
              <w:rPr>
                <w:bCs/>
              </w:rPr>
            </w:pPr>
            <w:r>
              <w:t>Področje uporabe</w:t>
            </w:r>
          </w:p>
          <w:p w:rsidR="00A77BCE" w:rsidP="002339F8" w:rsidRDefault="00A77BCE" w14:paraId="2D7CCC2B" w14:textId="298DDA3B">
            <w:pPr>
              <w:overflowPunct/>
              <w:autoSpaceDE/>
              <w:autoSpaceDN/>
              <w:adjustRightInd/>
              <w:ind w:left="30" w:right="30"/>
              <w:jc w:val="left"/>
              <w:rPr>
                <w:iCs/>
                <w:szCs w:val="22"/>
              </w:rPr>
            </w:pPr>
          </w:p>
          <w:p w:rsidRPr="005E0554" w:rsidR="00566526" w:rsidP="002339F8" w:rsidRDefault="00EA4087" w14:paraId="07B217D4" w14:textId="32828CC3">
            <w:pPr>
              <w:overflowPunct/>
              <w:autoSpaceDE/>
              <w:autoSpaceDN/>
              <w:adjustRightInd/>
              <w:ind w:left="30" w:right="30"/>
              <w:rPr>
                <w:szCs w:val="22"/>
              </w:rPr>
            </w:pPr>
            <w:r>
              <w:t xml:space="preserve">1. Ta uredba se uporablja za izvrševanje prepovedi nepoštenih trgovinskih praks med podjetji v verigi preskrbe s kmetijskimi in živilskimi proizvodi iz člena 3(1) in (2) Direktive (EU) 2019/633 s čezmejno razsežnostjo </w:t>
            </w:r>
            <w:r>
              <w:rPr>
                <w:b/>
                <w:i/>
              </w:rPr>
              <w:t>in na podlagi področja uporabe, opredeljenega v členu 1 Direktive (EU) 2019/633</w:t>
            </w:r>
            <w:r>
              <w:t>.</w:t>
            </w:r>
          </w:p>
        </w:tc>
      </w:tr>
    </w:tbl>
    <w:p w:rsidRPr="005E0554" w:rsidR="00566526" w:rsidP="002339F8" w:rsidRDefault="00566526" w14:paraId="4464A93F" w14:textId="77777777">
      <w:pPr>
        <w:overflowPunct/>
        <w:autoSpaceDE/>
        <w:autoSpaceDN/>
        <w:adjustRightInd/>
        <w:rPr>
          <w:szCs w:val="22"/>
        </w:rPr>
      </w:pPr>
    </w:p>
    <w:tbl>
      <w:tblPr>
        <w:tblW w:w="0" w:type="auto"/>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9057"/>
      </w:tblGrid>
      <w:tr w:rsidRPr="00EF236E" w:rsidR="00566526" w:rsidTr="00515C81" w14:paraId="5A537807" w14:textId="77777777">
        <w:trPr>
          <w:trHeight w:val="300"/>
        </w:trPr>
        <w:tc>
          <w:tcPr>
            <w:tcW w:w="9057" w:type="dxa"/>
            <w:tcBorders>
              <w:top w:val="single" w:color="auto" w:sz="2" w:space="0"/>
              <w:left w:val="single" w:color="auto" w:sz="2" w:space="0"/>
              <w:bottom w:val="single" w:color="auto" w:sz="2" w:space="0"/>
              <w:right w:val="single" w:color="auto" w:sz="2" w:space="0"/>
            </w:tcBorders>
            <w:shd w:val="clear" w:color="auto" w:fill="auto"/>
            <w:hideMark/>
          </w:tcPr>
          <w:p w:rsidRPr="00EF236E" w:rsidR="00566526" w:rsidP="002339F8" w:rsidRDefault="00566526" w14:paraId="64BDA443" w14:textId="77777777">
            <w:pPr>
              <w:keepNext/>
              <w:keepLines/>
              <w:overflowPunct/>
              <w:autoSpaceDE/>
              <w:autoSpaceDN/>
              <w:adjustRightInd/>
              <w:jc w:val="center"/>
              <w:rPr>
                <w:szCs w:val="22"/>
              </w:rPr>
            </w:pPr>
            <w:r>
              <w:rPr>
                <w:b/>
              </w:rPr>
              <w:t>Obrazložitev</w:t>
            </w:r>
          </w:p>
        </w:tc>
      </w:tr>
      <w:tr w:rsidRPr="00EF236E" w:rsidR="00566526" w:rsidTr="00515C81" w14:paraId="7F03E417" w14:textId="77777777">
        <w:trPr>
          <w:trHeight w:val="300"/>
        </w:trPr>
        <w:tc>
          <w:tcPr>
            <w:tcW w:w="9057" w:type="dxa"/>
            <w:tcBorders>
              <w:top w:val="single" w:color="auto" w:sz="2" w:space="0"/>
              <w:left w:val="single" w:color="auto" w:sz="6" w:space="0"/>
              <w:bottom w:val="single" w:color="auto" w:sz="6" w:space="0"/>
              <w:right w:val="single" w:color="auto" w:sz="6" w:space="0"/>
            </w:tcBorders>
            <w:shd w:val="clear" w:color="auto" w:fill="auto"/>
            <w:hideMark/>
          </w:tcPr>
          <w:p w:rsidRPr="00EF236E" w:rsidR="00566526" w:rsidP="002339F8" w:rsidRDefault="00566526" w14:paraId="14DD0B36" w14:textId="505B8594">
            <w:pPr>
              <w:overflowPunct/>
              <w:autoSpaceDE/>
              <w:autoSpaceDN/>
              <w:adjustRightInd/>
              <w:rPr>
                <w:szCs w:val="22"/>
              </w:rPr>
            </w:pPr>
            <w:r>
              <w:t>Člen 2(1) pojasnjuje, da se ta uredba uporablja samo za nepoštene trgovinske prakse iz člena 3(1) in (2) direktive o nepoštenih trgovinskih praksah. Dodano pojasnilo je bistveno za omejitev tveganja ekstrateritorialnosti.</w:t>
            </w:r>
          </w:p>
        </w:tc>
      </w:tr>
    </w:tbl>
    <w:p w:rsidRPr="005E0554" w:rsidR="00566526" w:rsidP="002339F8" w:rsidRDefault="00566526" w14:paraId="155B79DB" w14:textId="77777777">
      <w:pPr>
        <w:overflowPunct/>
        <w:autoSpaceDE/>
        <w:autoSpaceDN/>
        <w:adjustRightInd/>
        <w:jc w:val="left"/>
        <w:rPr>
          <w:szCs w:val="22"/>
        </w:rPr>
      </w:pPr>
    </w:p>
    <w:p w:rsidRPr="009533AB" w:rsidR="00566526" w:rsidP="002339F8" w:rsidRDefault="00566526" w14:paraId="715E844C" w14:textId="0F63CBE0">
      <w:pPr>
        <w:pStyle w:val="Heading2"/>
        <w:numPr>
          <w:ilvl w:val="0"/>
          <w:numId w:val="0"/>
        </w:numPr>
        <w:rPr>
          <w:b/>
          <w:bCs/>
        </w:rPr>
      </w:pPr>
      <w:r>
        <w:rPr>
          <w:b/>
        </w:rPr>
        <w:t>Predlog spremembe 2</w:t>
      </w:r>
    </w:p>
    <w:p w:rsidRPr="00EF236E" w:rsidR="00566526" w:rsidP="002339F8" w:rsidRDefault="00566526" w14:paraId="52064B39" w14:textId="62205F7F">
      <w:pPr>
        <w:keepNext/>
        <w:keepLines/>
        <w:overflowPunct/>
        <w:autoSpaceDE/>
        <w:autoSpaceDN/>
        <w:adjustRightInd/>
        <w:jc w:val="left"/>
        <w:rPr>
          <w:szCs w:val="22"/>
        </w:rPr>
      </w:pPr>
      <w:r>
        <w:t>(povezano s priporočilom 1.9)</w:t>
      </w:r>
    </w:p>
    <w:p w:rsidRPr="005E0554" w:rsidR="00566526" w:rsidP="002339F8" w:rsidRDefault="00566526" w14:paraId="21A1716E" w14:textId="77777777">
      <w:pPr>
        <w:keepNext/>
        <w:keepLines/>
        <w:overflowPunct/>
        <w:autoSpaceDE/>
        <w:autoSpaceDN/>
        <w:adjustRightInd/>
        <w:jc w:val="left"/>
        <w:rPr>
          <w:szCs w:val="22"/>
        </w:rPr>
      </w:pPr>
    </w:p>
    <w:tbl>
      <w:tblPr>
        <w:tblW w:w="0" w:type="auto"/>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4529"/>
        <w:gridCol w:w="4528"/>
      </w:tblGrid>
      <w:tr w:rsidRPr="00EF236E" w:rsidR="00566526" w:rsidTr="00515C81" w14:paraId="37A2C484" w14:textId="77777777">
        <w:trPr>
          <w:trHeight w:val="300"/>
        </w:trPr>
        <w:tc>
          <w:tcPr>
            <w:tcW w:w="4529" w:type="dxa"/>
            <w:tcBorders>
              <w:top w:val="single" w:color="auto" w:sz="2" w:space="0"/>
              <w:left w:val="single" w:color="auto" w:sz="2" w:space="0"/>
              <w:bottom w:val="single" w:color="auto" w:sz="2" w:space="0"/>
              <w:right w:val="single" w:color="auto" w:sz="2" w:space="0"/>
            </w:tcBorders>
            <w:shd w:val="clear" w:color="auto" w:fill="auto"/>
            <w:hideMark/>
          </w:tcPr>
          <w:p w:rsidRPr="00385B6A" w:rsidR="00566526" w:rsidP="002339F8" w:rsidRDefault="00566526" w14:paraId="3095A9B9" w14:textId="30E7C892">
            <w:pPr>
              <w:overflowPunct/>
              <w:autoSpaceDE/>
              <w:autoSpaceDN/>
              <w:adjustRightInd/>
              <w:jc w:val="center"/>
              <w:rPr>
                <w:strike/>
                <w:szCs w:val="22"/>
              </w:rPr>
            </w:pPr>
            <w:r>
              <w:rPr>
                <w:b/>
              </w:rPr>
              <w:t>Predlog Komisije</w:t>
            </w:r>
          </w:p>
        </w:tc>
        <w:tc>
          <w:tcPr>
            <w:tcW w:w="4528" w:type="dxa"/>
            <w:tcBorders>
              <w:top w:val="single" w:color="auto" w:sz="2" w:space="0"/>
              <w:left w:val="single" w:color="auto" w:sz="2" w:space="0"/>
              <w:bottom w:val="single" w:color="auto" w:sz="2" w:space="0"/>
              <w:right w:val="single" w:color="auto" w:sz="2" w:space="0"/>
            </w:tcBorders>
            <w:shd w:val="clear" w:color="auto" w:fill="auto"/>
            <w:hideMark/>
          </w:tcPr>
          <w:p w:rsidRPr="00EF236E" w:rsidR="00566526" w:rsidP="002339F8" w:rsidRDefault="00566526" w14:paraId="789CEFA7" w14:textId="77777777">
            <w:pPr>
              <w:overflowPunct/>
              <w:autoSpaceDE/>
              <w:autoSpaceDN/>
              <w:adjustRightInd/>
              <w:jc w:val="center"/>
              <w:rPr>
                <w:szCs w:val="22"/>
              </w:rPr>
            </w:pPr>
            <w:r>
              <w:rPr>
                <w:b/>
              </w:rPr>
              <w:t>Predlog spremembe EESO</w:t>
            </w:r>
          </w:p>
        </w:tc>
      </w:tr>
      <w:tr w:rsidRPr="00EF236E" w:rsidR="00566526" w:rsidTr="00515C81" w14:paraId="7BA772A2" w14:textId="77777777">
        <w:trPr>
          <w:trHeight w:val="300"/>
        </w:trPr>
        <w:tc>
          <w:tcPr>
            <w:tcW w:w="4529" w:type="dxa"/>
            <w:tcBorders>
              <w:top w:val="single" w:color="auto" w:sz="2" w:space="0"/>
              <w:left w:val="single" w:color="auto" w:sz="6" w:space="0"/>
              <w:bottom w:val="single" w:color="auto" w:sz="6" w:space="0"/>
              <w:right w:val="single" w:color="auto" w:sz="6" w:space="0"/>
            </w:tcBorders>
            <w:shd w:val="clear" w:color="auto" w:fill="auto"/>
            <w:hideMark/>
          </w:tcPr>
          <w:p w:rsidR="009D7526" w:rsidP="002339F8" w:rsidRDefault="00A77BCE" w14:paraId="7CA8FA83" w14:textId="77777777">
            <w:pPr>
              <w:overflowPunct/>
              <w:autoSpaceDE/>
              <w:autoSpaceDN/>
              <w:adjustRightInd/>
              <w:ind w:left="30" w:right="30"/>
              <w:jc w:val="left"/>
              <w:rPr>
                <w:szCs w:val="22"/>
              </w:rPr>
            </w:pPr>
            <w:r>
              <w:t>Člen 5</w:t>
            </w:r>
          </w:p>
          <w:p w:rsidR="009D7526" w:rsidP="002339F8" w:rsidRDefault="00A77BCE" w14:paraId="7E4B7B73" w14:textId="4706558A">
            <w:pPr>
              <w:overflowPunct/>
              <w:autoSpaceDE/>
              <w:autoSpaceDN/>
              <w:adjustRightInd/>
              <w:ind w:left="30" w:right="30"/>
              <w:jc w:val="left"/>
              <w:rPr>
                <w:szCs w:val="22"/>
              </w:rPr>
            </w:pPr>
            <w:r>
              <w:t>Prošnje za informacije</w:t>
            </w:r>
          </w:p>
          <w:p w:rsidR="009D7526" w:rsidP="002339F8" w:rsidRDefault="009D7526" w14:paraId="7FD16AD3" w14:textId="77777777">
            <w:pPr>
              <w:overflowPunct/>
              <w:autoSpaceDE/>
              <w:autoSpaceDN/>
              <w:adjustRightInd/>
              <w:ind w:left="30" w:right="30"/>
              <w:jc w:val="left"/>
              <w:rPr>
                <w:szCs w:val="22"/>
              </w:rPr>
            </w:pPr>
          </w:p>
          <w:p w:rsidR="00A77BCE" w:rsidP="002339F8" w:rsidRDefault="00A77BCE" w14:paraId="3279165A" w14:textId="590C7A6E">
            <w:pPr>
              <w:overflowPunct/>
              <w:autoSpaceDE/>
              <w:autoSpaceDN/>
              <w:adjustRightInd/>
              <w:ind w:left="30" w:right="30"/>
              <w:jc w:val="left"/>
              <w:rPr>
                <w:szCs w:val="22"/>
              </w:rPr>
            </w:pPr>
            <w:r>
              <w:t>[...]</w:t>
            </w:r>
          </w:p>
          <w:p w:rsidRPr="00EA4087" w:rsidR="00EA4087" w:rsidP="002339F8" w:rsidRDefault="00566526" w14:paraId="368264D9" w14:textId="76F02DE6">
            <w:pPr>
              <w:overflowPunct/>
              <w:autoSpaceDE/>
              <w:autoSpaceDN/>
              <w:adjustRightInd/>
              <w:ind w:left="30" w:right="30"/>
              <w:rPr>
                <w:szCs w:val="22"/>
              </w:rPr>
            </w:pPr>
            <w:r>
              <w:t>4. Države članice se lahko odločijo, da lahko izvršilni organi uporabijo možnosti iz tega člena v zvezi z nacionalnimi pravili v smislu člena 9 Direktive (EU) 2019/633.</w:t>
            </w:r>
          </w:p>
          <w:p w:rsidRPr="005E0554" w:rsidR="00566526" w:rsidP="002339F8" w:rsidRDefault="00EA4087" w14:paraId="638E1CDD" w14:textId="771DCFB4">
            <w:pPr>
              <w:overflowPunct/>
              <w:autoSpaceDE/>
              <w:autoSpaceDN/>
              <w:adjustRightInd/>
              <w:ind w:left="30" w:right="30"/>
              <w:rPr>
                <w:szCs w:val="22"/>
              </w:rPr>
            </w:pPr>
            <w:r>
              <w:t xml:space="preserve">Kadar izvršilni organ prosilec uporabi možnost iz pododstavka 1, lahko zaprošeni izvršilni organ </w:t>
            </w:r>
            <w:r>
              <w:lastRenderedPageBreak/>
              <w:t>zavrne predložitev informacij</w:t>
            </w:r>
            <w:r>
              <w:rPr>
                <w:b/>
                <w:i/>
              </w:rPr>
              <w:t>, pri čemer navede razloge za zavrnitev</w:t>
            </w:r>
            <w:r>
              <w:t>.</w:t>
            </w:r>
          </w:p>
        </w:tc>
        <w:tc>
          <w:tcPr>
            <w:tcW w:w="4528" w:type="dxa"/>
            <w:tcBorders>
              <w:top w:val="single" w:color="auto" w:sz="2" w:space="0"/>
              <w:left w:val="single" w:color="auto" w:sz="6" w:space="0"/>
              <w:bottom w:val="single" w:color="auto" w:sz="6" w:space="0"/>
              <w:right w:val="single" w:color="auto" w:sz="6" w:space="0"/>
            </w:tcBorders>
            <w:shd w:val="clear" w:color="auto" w:fill="auto"/>
            <w:hideMark/>
          </w:tcPr>
          <w:p w:rsidR="009D7526" w:rsidP="002339F8" w:rsidRDefault="00A77BCE" w14:paraId="195809A6" w14:textId="77777777">
            <w:pPr>
              <w:overflowPunct/>
              <w:autoSpaceDE/>
              <w:autoSpaceDN/>
              <w:adjustRightInd/>
              <w:ind w:left="30" w:right="30"/>
              <w:jc w:val="left"/>
              <w:rPr>
                <w:szCs w:val="22"/>
              </w:rPr>
            </w:pPr>
            <w:r>
              <w:lastRenderedPageBreak/>
              <w:t>Člen 5</w:t>
            </w:r>
          </w:p>
          <w:p w:rsidR="009D7526" w:rsidP="002339F8" w:rsidRDefault="00A77BCE" w14:paraId="3EA3111C" w14:textId="4DB63609">
            <w:pPr>
              <w:overflowPunct/>
              <w:autoSpaceDE/>
              <w:autoSpaceDN/>
              <w:adjustRightInd/>
              <w:ind w:left="30" w:right="30"/>
              <w:jc w:val="left"/>
              <w:rPr>
                <w:szCs w:val="22"/>
              </w:rPr>
            </w:pPr>
            <w:r>
              <w:t>Prošnje za informacije</w:t>
            </w:r>
          </w:p>
          <w:p w:rsidR="009D7526" w:rsidP="002339F8" w:rsidRDefault="009D7526" w14:paraId="0B7675EF" w14:textId="6243C4AB">
            <w:pPr>
              <w:overflowPunct/>
              <w:autoSpaceDE/>
              <w:autoSpaceDN/>
              <w:adjustRightInd/>
              <w:ind w:left="30" w:right="30"/>
              <w:jc w:val="left"/>
              <w:rPr>
                <w:szCs w:val="22"/>
              </w:rPr>
            </w:pPr>
          </w:p>
          <w:p w:rsidR="00A77BCE" w:rsidP="002339F8" w:rsidRDefault="00A77BCE" w14:paraId="729521B8" w14:textId="5CDCC64F">
            <w:pPr>
              <w:overflowPunct/>
              <w:autoSpaceDE/>
              <w:autoSpaceDN/>
              <w:adjustRightInd/>
              <w:ind w:left="30" w:right="30"/>
              <w:jc w:val="left"/>
              <w:rPr>
                <w:szCs w:val="22"/>
              </w:rPr>
            </w:pPr>
            <w:r>
              <w:t>[...]</w:t>
            </w:r>
          </w:p>
          <w:p w:rsidRPr="003D0F52" w:rsidR="00566526" w:rsidP="002339F8" w:rsidRDefault="00566526" w14:paraId="5DF63F19" w14:textId="029109B3">
            <w:pPr>
              <w:overflowPunct/>
              <w:autoSpaceDE/>
              <w:autoSpaceDN/>
              <w:adjustRightInd/>
              <w:ind w:left="30" w:right="30"/>
              <w:rPr>
                <w:szCs w:val="22"/>
              </w:rPr>
            </w:pPr>
            <w:r>
              <w:t>4. Države članice se lahko odločijo, da lahko izvršilni organi uporabijo možnosti iz tega člena v zvezi z nacionalnimi pravili v smislu člena 9 Direktive (EU) 2019/633.</w:t>
            </w:r>
          </w:p>
          <w:p w:rsidRPr="005E0554" w:rsidR="00566526" w:rsidP="002339F8" w:rsidRDefault="00566526" w14:paraId="4ADF82BD" w14:textId="5204B4CD">
            <w:pPr>
              <w:overflowPunct/>
              <w:autoSpaceDE/>
              <w:autoSpaceDN/>
              <w:adjustRightInd/>
              <w:ind w:left="30" w:right="30"/>
              <w:rPr>
                <w:szCs w:val="22"/>
              </w:rPr>
            </w:pPr>
            <w:r>
              <w:t xml:space="preserve">Kadar izvršilni organ prosilec uporabi možnost iz pododstavka 1, lahko zaprošeni izvršilni organ </w:t>
            </w:r>
            <w:r>
              <w:lastRenderedPageBreak/>
              <w:t>zavrne predložitev informacij,</w:t>
            </w:r>
            <w:r>
              <w:rPr>
                <w:b/>
                <w:i/>
              </w:rPr>
              <w:t xml:space="preserve"> ne glede na določbe člena 10</w:t>
            </w:r>
            <w:r>
              <w:t>.</w:t>
            </w:r>
          </w:p>
        </w:tc>
      </w:tr>
    </w:tbl>
    <w:p w:rsidRPr="005E0554" w:rsidR="00566526" w:rsidP="002339F8" w:rsidRDefault="00566526" w14:paraId="61E5B938" w14:textId="77777777">
      <w:pPr>
        <w:overflowPunct/>
        <w:autoSpaceDE/>
        <w:autoSpaceDN/>
        <w:adjustRightInd/>
        <w:rPr>
          <w:szCs w:val="22"/>
        </w:rPr>
      </w:pPr>
    </w:p>
    <w:tbl>
      <w:tblPr>
        <w:tblW w:w="0" w:type="auto"/>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9057"/>
      </w:tblGrid>
      <w:tr w:rsidRPr="00EF236E" w:rsidR="00566526" w:rsidTr="00515C81" w14:paraId="1A50FCF3" w14:textId="77777777">
        <w:trPr>
          <w:trHeight w:val="300"/>
        </w:trPr>
        <w:tc>
          <w:tcPr>
            <w:tcW w:w="9057" w:type="dxa"/>
            <w:tcBorders>
              <w:top w:val="single" w:color="auto" w:sz="2" w:space="0"/>
              <w:left w:val="single" w:color="auto" w:sz="2" w:space="0"/>
              <w:bottom w:val="single" w:color="auto" w:sz="2" w:space="0"/>
              <w:right w:val="single" w:color="auto" w:sz="2" w:space="0"/>
            </w:tcBorders>
            <w:shd w:val="clear" w:color="auto" w:fill="auto"/>
            <w:hideMark/>
          </w:tcPr>
          <w:p w:rsidRPr="00EF236E" w:rsidR="00566526" w:rsidP="002339F8" w:rsidRDefault="00566526" w14:paraId="44FF89A9" w14:textId="77777777">
            <w:pPr>
              <w:keepNext/>
              <w:keepLines/>
              <w:overflowPunct/>
              <w:autoSpaceDE/>
              <w:autoSpaceDN/>
              <w:adjustRightInd/>
              <w:jc w:val="center"/>
              <w:rPr>
                <w:szCs w:val="22"/>
              </w:rPr>
            </w:pPr>
            <w:r>
              <w:rPr>
                <w:b/>
              </w:rPr>
              <w:t>Obrazložitev</w:t>
            </w:r>
          </w:p>
        </w:tc>
      </w:tr>
      <w:tr w:rsidRPr="00EF236E" w:rsidR="00566526" w:rsidTr="00515C81" w14:paraId="42523059" w14:textId="77777777">
        <w:trPr>
          <w:trHeight w:val="300"/>
        </w:trPr>
        <w:tc>
          <w:tcPr>
            <w:tcW w:w="9057" w:type="dxa"/>
            <w:tcBorders>
              <w:top w:val="single" w:color="auto" w:sz="2" w:space="0"/>
              <w:left w:val="single" w:color="auto" w:sz="6" w:space="0"/>
              <w:bottom w:val="single" w:color="auto" w:sz="6" w:space="0"/>
              <w:right w:val="single" w:color="auto" w:sz="6" w:space="0"/>
            </w:tcBorders>
            <w:shd w:val="clear" w:color="auto" w:fill="auto"/>
            <w:hideMark/>
          </w:tcPr>
          <w:p w:rsidRPr="005E0554" w:rsidR="00566526" w:rsidP="002339F8" w:rsidRDefault="00566526" w14:paraId="3004C6FA" w14:textId="7DCAA831">
            <w:pPr>
              <w:keepNext/>
              <w:keepLines/>
              <w:overflowPunct/>
              <w:autoSpaceDE/>
              <w:autoSpaceDN/>
              <w:adjustRightInd/>
              <w:ind w:left="30" w:right="30"/>
              <w:rPr>
                <w:szCs w:val="22"/>
              </w:rPr>
            </w:pPr>
            <w:r>
              <w:t>Člen 5 določa, da lahko izvršilni organi uporabijo možnosti iz tega člena v zvezi z nacionalnimi pravili, ki so strožja od pravil iz direktive o nepoštenih trgovinskih praksah, vendar lahko zaprošeni izvršilni organ predložitev takih informacij zavrne. Kot že rečeno, je v duhu besedila ta pravica do zavrnitve absolutna in neodvisna od člena 10. To je treba jasno navesti.</w:t>
            </w:r>
          </w:p>
        </w:tc>
      </w:tr>
    </w:tbl>
    <w:p w:rsidRPr="005E0554" w:rsidR="00566526" w:rsidP="002339F8" w:rsidRDefault="00566526" w14:paraId="6615A3C4" w14:textId="77777777">
      <w:pPr>
        <w:overflowPunct/>
        <w:autoSpaceDE/>
        <w:autoSpaceDN/>
        <w:adjustRightInd/>
        <w:jc w:val="left"/>
        <w:rPr>
          <w:szCs w:val="22"/>
        </w:rPr>
      </w:pPr>
    </w:p>
    <w:p w:rsidRPr="009533AB" w:rsidR="00566526" w:rsidP="002339F8" w:rsidRDefault="00566526" w14:paraId="67388372" w14:textId="112DC9C8">
      <w:pPr>
        <w:pStyle w:val="Heading2"/>
        <w:numPr>
          <w:ilvl w:val="0"/>
          <w:numId w:val="0"/>
        </w:numPr>
        <w:rPr>
          <w:b/>
          <w:bCs/>
        </w:rPr>
      </w:pPr>
      <w:r>
        <w:rPr>
          <w:b/>
        </w:rPr>
        <w:t>Predlog spremembe 3</w:t>
      </w:r>
    </w:p>
    <w:p w:rsidRPr="00EF236E" w:rsidR="00566526" w:rsidP="002339F8" w:rsidRDefault="00566526" w14:paraId="7E17A62B" w14:textId="62A3597C">
      <w:pPr>
        <w:keepNext/>
        <w:keepLines/>
        <w:overflowPunct/>
        <w:autoSpaceDE/>
        <w:autoSpaceDN/>
        <w:adjustRightInd/>
        <w:jc w:val="left"/>
        <w:rPr>
          <w:szCs w:val="22"/>
        </w:rPr>
      </w:pPr>
      <w:r>
        <w:t>(povezano s priporočilom 1.9)</w:t>
      </w:r>
    </w:p>
    <w:p w:rsidRPr="00EF236E" w:rsidR="00566526" w:rsidP="002339F8" w:rsidRDefault="00566526" w14:paraId="25162855" w14:textId="77777777">
      <w:pPr>
        <w:keepNext/>
        <w:keepLines/>
        <w:overflowPunct/>
        <w:autoSpaceDE/>
        <w:autoSpaceDN/>
        <w:adjustRightInd/>
        <w:jc w:val="left"/>
        <w:rPr>
          <w:szCs w:val="22"/>
          <w:lang w:val="en-US"/>
        </w:rPr>
      </w:pPr>
    </w:p>
    <w:tbl>
      <w:tblPr>
        <w:tblW w:w="0" w:type="auto"/>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4529"/>
        <w:gridCol w:w="4528"/>
      </w:tblGrid>
      <w:tr w:rsidRPr="00EF236E" w:rsidR="00566526" w:rsidTr="00515C81" w14:paraId="095ABB38" w14:textId="77777777">
        <w:trPr>
          <w:trHeight w:val="300"/>
        </w:trPr>
        <w:tc>
          <w:tcPr>
            <w:tcW w:w="4529" w:type="dxa"/>
            <w:tcBorders>
              <w:top w:val="single" w:color="auto" w:sz="2" w:space="0"/>
              <w:left w:val="single" w:color="auto" w:sz="2" w:space="0"/>
              <w:bottom w:val="single" w:color="auto" w:sz="2" w:space="0"/>
              <w:right w:val="single" w:color="auto" w:sz="2" w:space="0"/>
            </w:tcBorders>
            <w:shd w:val="clear" w:color="auto" w:fill="auto"/>
            <w:hideMark/>
          </w:tcPr>
          <w:p w:rsidRPr="00385B6A" w:rsidR="00566526" w:rsidP="002339F8" w:rsidRDefault="00566526" w14:paraId="5E161952" w14:textId="77777777">
            <w:pPr>
              <w:overflowPunct/>
              <w:autoSpaceDE/>
              <w:autoSpaceDN/>
              <w:adjustRightInd/>
              <w:jc w:val="center"/>
              <w:rPr>
                <w:strike/>
                <w:szCs w:val="22"/>
              </w:rPr>
            </w:pPr>
            <w:r>
              <w:rPr>
                <w:b/>
              </w:rPr>
              <w:t>Predlog Komisije</w:t>
            </w:r>
          </w:p>
        </w:tc>
        <w:tc>
          <w:tcPr>
            <w:tcW w:w="4528" w:type="dxa"/>
            <w:tcBorders>
              <w:top w:val="single" w:color="auto" w:sz="2" w:space="0"/>
              <w:left w:val="single" w:color="auto" w:sz="2" w:space="0"/>
              <w:bottom w:val="single" w:color="auto" w:sz="2" w:space="0"/>
              <w:right w:val="single" w:color="auto" w:sz="2" w:space="0"/>
            </w:tcBorders>
            <w:shd w:val="clear" w:color="auto" w:fill="auto"/>
            <w:hideMark/>
          </w:tcPr>
          <w:p w:rsidRPr="00EF236E" w:rsidR="00566526" w:rsidP="002339F8" w:rsidRDefault="00566526" w14:paraId="10D653D5" w14:textId="77777777">
            <w:pPr>
              <w:overflowPunct/>
              <w:autoSpaceDE/>
              <w:autoSpaceDN/>
              <w:adjustRightInd/>
              <w:jc w:val="center"/>
              <w:rPr>
                <w:szCs w:val="22"/>
              </w:rPr>
            </w:pPr>
            <w:r>
              <w:rPr>
                <w:b/>
              </w:rPr>
              <w:t>Predlog spremembe EESO</w:t>
            </w:r>
          </w:p>
        </w:tc>
      </w:tr>
      <w:tr w:rsidRPr="00EF236E" w:rsidR="00566526" w:rsidTr="00515C81" w14:paraId="72B2B428" w14:textId="77777777">
        <w:trPr>
          <w:trHeight w:val="300"/>
        </w:trPr>
        <w:tc>
          <w:tcPr>
            <w:tcW w:w="4529" w:type="dxa"/>
            <w:tcBorders>
              <w:top w:val="single" w:color="auto" w:sz="2" w:space="0"/>
              <w:left w:val="single" w:color="auto" w:sz="6" w:space="0"/>
              <w:bottom w:val="single" w:color="auto" w:sz="6" w:space="0"/>
              <w:right w:val="single" w:color="auto" w:sz="6" w:space="0"/>
            </w:tcBorders>
            <w:shd w:val="clear" w:color="auto" w:fill="auto"/>
            <w:hideMark/>
          </w:tcPr>
          <w:p w:rsidR="00A77BCE" w:rsidP="002339F8" w:rsidRDefault="00A77BCE" w14:paraId="3537A877" w14:textId="77777777">
            <w:pPr>
              <w:overflowPunct/>
              <w:autoSpaceDE/>
              <w:autoSpaceDN/>
              <w:adjustRightInd/>
              <w:ind w:left="30" w:right="30"/>
              <w:rPr>
                <w:noProof/>
                <w:color w:val="000000" w:themeColor="text1"/>
              </w:rPr>
            </w:pPr>
            <w:r>
              <w:rPr>
                <w:color w:val="000000" w:themeColor="text1"/>
              </w:rPr>
              <w:t>Člen 10</w:t>
            </w:r>
          </w:p>
          <w:p w:rsidR="00A77BCE" w:rsidP="002339F8" w:rsidRDefault="00A77BCE" w14:paraId="0BD10583" w14:textId="77777777">
            <w:pPr>
              <w:overflowPunct/>
              <w:autoSpaceDE/>
              <w:autoSpaceDN/>
              <w:adjustRightInd/>
              <w:ind w:left="30" w:right="30"/>
              <w:rPr>
                <w:noProof/>
                <w:color w:val="000000" w:themeColor="text1"/>
              </w:rPr>
            </w:pPr>
          </w:p>
          <w:p w:rsidR="00A77BCE" w:rsidP="002339F8" w:rsidRDefault="00A77BCE" w14:paraId="78E43169" w14:textId="29FDE1ED">
            <w:pPr>
              <w:overflowPunct/>
              <w:autoSpaceDE/>
              <w:autoSpaceDN/>
              <w:adjustRightInd/>
              <w:ind w:left="30" w:right="30"/>
              <w:rPr>
                <w:noProof/>
                <w:color w:val="000000" w:themeColor="text1"/>
              </w:rPr>
            </w:pPr>
            <w:r>
              <w:rPr>
                <w:color w:val="000000" w:themeColor="text1"/>
              </w:rPr>
              <w:t>Zavrnitev prošnje za medsebojno pomoč</w:t>
            </w:r>
          </w:p>
          <w:p w:rsidR="00A77BCE" w:rsidP="002339F8" w:rsidRDefault="00A77BCE" w14:paraId="6E951186" w14:textId="77777777">
            <w:pPr>
              <w:overflowPunct/>
              <w:autoSpaceDE/>
              <w:autoSpaceDN/>
              <w:adjustRightInd/>
              <w:ind w:left="30" w:right="30"/>
              <w:rPr>
                <w:noProof/>
                <w:color w:val="000000" w:themeColor="text1"/>
              </w:rPr>
            </w:pPr>
          </w:p>
          <w:p w:rsidRPr="005E0554" w:rsidR="00566526" w:rsidP="002339F8" w:rsidRDefault="008773CE" w14:paraId="78CD0697" w14:textId="18C92D86">
            <w:pPr>
              <w:overflowPunct/>
              <w:autoSpaceDE/>
              <w:autoSpaceDN/>
              <w:adjustRightInd/>
              <w:ind w:left="30" w:right="30"/>
              <w:rPr>
                <w:szCs w:val="22"/>
              </w:rPr>
            </w:pPr>
            <w:r>
              <w:rPr>
                <w:color w:val="000000" w:themeColor="text1"/>
              </w:rPr>
              <w:t>1. Zaprošeni izvršilni organ lahko zavrne prošnjo za informacije v skladu s členom 5 samo, če velja eno ali oboje od naslednjega:</w:t>
            </w:r>
          </w:p>
        </w:tc>
        <w:tc>
          <w:tcPr>
            <w:tcW w:w="4528" w:type="dxa"/>
            <w:tcBorders>
              <w:top w:val="single" w:color="auto" w:sz="2" w:space="0"/>
              <w:left w:val="single" w:color="auto" w:sz="6" w:space="0"/>
              <w:bottom w:val="single" w:color="auto" w:sz="6" w:space="0"/>
              <w:right w:val="single" w:color="auto" w:sz="6" w:space="0"/>
            </w:tcBorders>
            <w:shd w:val="clear" w:color="auto" w:fill="auto"/>
            <w:hideMark/>
          </w:tcPr>
          <w:p w:rsidR="00A77BCE" w:rsidP="002339F8" w:rsidRDefault="00A77BCE" w14:paraId="28FE33CE" w14:textId="77777777">
            <w:pPr>
              <w:overflowPunct/>
              <w:autoSpaceDE/>
              <w:autoSpaceDN/>
              <w:adjustRightInd/>
              <w:ind w:left="30" w:right="30"/>
              <w:rPr>
                <w:noProof/>
                <w:color w:val="000000" w:themeColor="text1"/>
              </w:rPr>
            </w:pPr>
            <w:r>
              <w:rPr>
                <w:color w:val="000000" w:themeColor="text1"/>
              </w:rPr>
              <w:t>Člen 10</w:t>
            </w:r>
          </w:p>
          <w:p w:rsidR="00A77BCE" w:rsidP="002339F8" w:rsidRDefault="00A77BCE" w14:paraId="3B163556" w14:textId="77777777">
            <w:pPr>
              <w:overflowPunct/>
              <w:autoSpaceDE/>
              <w:autoSpaceDN/>
              <w:adjustRightInd/>
              <w:ind w:left="30" w:right="30"/>
              <w:rPr>
                <w:noProof/>
                <w:color w:val="000000" w:themeColor="text1"/>
              </w:rPr>
            </w:pPr>
          </w:p>
          <w:p w:rsidR="00A77BCE" w:rsidP="002339F8" w:rsidRDefault="00A77BCE" w14:paraId="5E08F35D" w14:textId="25070EC4">
            <w:pPr>
              <w:overflowPunct/>
              <w:autoSpaceDE/>
              <w:autoSpaceDN/>
              <w:adjustRightInd/>
              <w:ind w:left="30" w:right="30"/>
              <w:rPr>
                <w:noProof/>
                <w:color w:val="000000" w:themeColor="text1"/>
              </w:rPr>
            </w:pPr>
            <w:r>
              <w:rPr>
                <w:color w:val="000000" w:themeColor="text1"/>
              </w:rPr>
              <w:t>Zavrnitev prošnje za medsebojno pomoč</w:t>
            </w:r>
          </w:p>
          <w:p w:rsidR="00A77BCE" w:rsidP="002339F8" w:rsidRDefault="00A77BCE" w14:paraId="1ACE4E25" w14:textId="77777777">
            <w:pPr>
              <w:overflowPunct/>
              <w:autoSpaceDE/>
              <w:autoSpaceDN/>
              <w:adjustRightInd/>
              <w:ind w:left="30" w:right="30"/>
              <w:rPr>
                <w:noProof/>
                <w:color w:val="000000" w:themeColor="text1"/>
              </w:rPr>
            </w:pPr>
          </w:p>
          <w:p w:rsidRPr="005E0554" w:rsidR="00566526" w:rsidP="002339F8" w:rsidRDefault="00566526" w14:paraId="6C82D859" w14:textId="78B35D89">
            <w:pPr>
              <w:overflowPunct/>
              <w:autoSpaceDE/>
              <w:autoSpaceDN/>
              <w:adjustRightInd/>
              <w:ind w:left="30" w:right="30"/>
              <w:rPr>
                <w:szCs w:val="22"/>
              </w:rPr>
            </w:pPr>
            <w:r>
              <w:t xml:space="preserve">1. Zaprošeni izvršilni organ lahko zavrne prošnjo za informacije v skladu s členom 5 </w:t>
            </w:r>
            <w:r>
              <w:rPr>
                <w:b/>
                <w:i/>
              </w:rPr>
              <w:t>(1)</w:t>
            </w:r>
            <w:r>
              <w:t xml:space="preserve"> samo, če velja eno ali oboje od naslednjega:</w:t>
            </w:r>
          </w:p>
        </w:tc>
      </w:tr>
    </w:tbl>
    <w:p w:rsidRPr="00EF236E" w:rsidR="002A3C08" w:rsidP="002339F8" w:rsidRDefault="002A3C08" w14:paraId="1F93EB07" w14:textId="77777777">
      <w:pPr>
        <w:pStyle w:val="Header"/>
        <w:overflowPunct/>
        <w:autoSpaceDE/>
        <w:autoSpaceDN/>
        <w:adjustRightInd/>
        <w:textAlignment w:val="auto"/>
        <w:rPr>
          <w:szCs w:val="22"/>
        </w:rPr>
      </w:pPr>
    </w:p>
    <w:p w:rsidRPr="009533AB" w:rsidR="00566526" w:rsidP="002339F8" w:rsidRDefault="00566526" w14:paraId="33C4A3C6" w14:textId="24A2C884">
      <w:pPr>
        <w:pStyle w:val="Heading2"/>
        <w:keepNext/>
        <w:numPr>
          <w:ilvl w:val="0"/>
          <w:numId w:val="0"/>
        </w:numPr>
        <w:rPr>
          <w:b/>
          <w:bCs/>
        </w:rPr>
      </w:pPr>
      <w:r>
        <w:rPr>
          <w:b/>
        </w:rPr>
        <w:t>Predlog spremembe 4</w:t>
      </w:r>
    </w:p>
    <w:p w:rsidR="00566526" w:rsidP="002339F8" w:rsidRDefault="00566526" w14:paraId="19CBB4D4" w14:textId="586C1FBD">
      <w:pPr>
        <w:keepNext/>
        <w:keepLines/>
        <w:overflowPunct/>
        <w:autoSpaceDE/>
        <w:autoSpaceDN/>
        <w:adjustRightInd/>
        <w:jc w:val="left"/>
      </w:pPr>
      <w:r>
        <w:t>(povezano s priporočiloma 1.9 in 1.10)</w:t>
      </w:r>
    </w:p>
    <w:p w:rsidRPr="00985C12" w:rsidR="00F354E5" w:rsidP="002339F8" w:rsidRDefault="00F354E5" w14:paraId="242730F0" w14:textId="4AEB75B5">
      <w:r>
        <w:t>Doda se nova uvodna izjava:</w:t>
      </w:r>
    </w:p>
    <w:p w:rsidRPr="00985C12" w:rsidR="00F354E5" w:rsidP="002339F8" w:rsidRDefault="00F354E5" w14:paraId="758FBB20" w14:textId="77777777">
      <w:pPr>
        <w:keepNext/>
        <w:keepLines/>
        <w:overflowPunct/>
        <w:autoSpaceDE/>
        <w:autoSpaceDN/>
        <w:adjustRightInd/>
        <w:jc w:val="left"/>
      </w:pPr>
    </w:p>
    <w:tbl>
      <w:tblPr>
        <w:tblW w:w="0" w:type="auto"/>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4529"/>
        <w:gridCol w:w="4528"/>
      </w:tblGrid>
      <w:tr w:rsidRPr="00EF236E" w:rsidR="00F354E5" w:rsidTr="00E745B0" w14:paraId="3BDEBA7B" w14:textId="77777777">
        <w:trPr>
          <w:trHeight w:val="300"/>
        </w:trPr>
        <w:tc>
          <w:tcPr>
            <w:tcW w:w="4529" w:type="dxa"/>
            <w:tcBorders>
              <w:top w:val="single" w:color="auto" w:sz="2" w:space="0"/>
              <w:left w:val="single" w:color="auto" w:sz="2" w:space="0"/>
              <w:bottom w:val="single" w:color="auto" w:sz="2" w:space="0"/>
              <w:right w:val="single" w:color="auto" w:sz="2" w:space="0"/>
            </w:tcBorders>
            <w:shd w:val="clear" w:color="auto" w:fill="auto"/>
            <w:hideMark/>
          </w:tcPr>
          <w:p w:rsidRPr="00385B6A" w:rsidR="00F354E5" w:rsidP="002339F8" w:rsidRDefault="00F354E5" w14:paraId="5EEE3E36" w14:textId="77777777">
            <w:pPr>
              <w:overflowPunct/>
              <w:autoSpaceDE/>
              <w:autoSpaceDN/>
              <w:adjustRightInd/>
              <w:jc w:val="center"/>
              <w:rPr>
                <w:strike/>
                <w:szCs w:val="22"/>
              </w:rPr>
            </w:pPr>
            <w:r>
              <w:rPr>
                <w:b/>
              </w:rPr>
              <w:t>Predlog Komisije</w:t>
            </w:r>
          </w:p>
        </w:tc>
        <w:tc>
          <w:tcPr>
            <w:tcW w:w="4528" w:type="dxa"/>
            <w:tcBorders>
              <w:top w:val="single" w:color="auto" w:sz="2" w:space="0"/>
              <w:left w:val="single" w:color="auto" w:sz="2" w:space="0"/>
              <w:bottom w:val="single" w:color="auto" w:sz="2" w:space="0"/>
              <w:right w:val="single" w:color="auto" w:sz="2" w:space="0"/>
            </w:tcBorders>
            <w:shd w:val="clear" w:color="auto" w:fill="auto"/>
            <w:hideMark/>
          </w:tcPr>
          <w:p w:rsidRPr="00EF236E" w:rsidR="00F354E5" w:rsidP="002339F8" w:rsidRDefault="00F354E5" w14:paraId="74D57462" w14:textId="77777777">
            <w:pPr>
              <w:overflowPunct/>
              <w:autoSpaceDE/>
              <w:autoSpaceDN/>
              <w:adjustRightInd/>
              <w:jc w:val="center"/>
              <w:rPr>
                <w:szCs w:val="22"/>
              </w:rPr>
            </w:pPr>
            <w:r>
              <w:rPr>
                <w:b/>
              </w:rPr>
              <w:t>Predlog spremembe EESO</w:t>
            </w:r>
          </w:p>
        </w:tc>
      </w:tr>
      <w:tr w:rsidRPr="00EF236E" w:rsidR="00F354E5" w:rsidTr="00985C12" w14:paraId="271055E5" w14:textId="77777777">
        <w:trPr>
          <w:trHeight w:val="300"/>
        </w:trPr>
        <w:tc>
          <w:tcPr>
            <w:tcW w:w="4529" w:type="dxa"/>
            <w:tcBorders>
              <w:top w:val="single" w:color="auto" w:sz="2" w:space="0"/>
              <w:left w:val="single" w:color="auto" w:sz="6" w:space="0"/>
              <w:bottom w:val="single" w:color="auto" w:sz="6" w:space="0"/>
              <w:right w:val="single" w:color="auto" w:sz="6" w:space="0"/>
            </w:tcBorders>
            <w:shd w:val="clear" w:color="auto" w:fill="auto"/>
            <w:hideMark/>
          </w:tcPr>
          <w:p w:rsidRPr="005E0554" w:rsidR="00F354E5" w:rsidP="002339F8" w:rsidRDefault="00F354E5" w14:paraId="21D1D3B6" w14:textId="460F7035">
            <w:pPr>
              <w:overflowPunct/>
              <w:autoSpaceDE/>
              <w:autoSpaceDN/>
              <w:adjustRightInd/>
              <w:ind w:left="30" w:right="30"/>
              <w:rPr>
                <w:szCs w:val="22"/>
              </w:rPr>
            </w:pPr>
            <w:r>
              <w:rPr>
                <w:color w:val="000000" w:themeColor="text1"/>
              </w:rPr>
              <w:t>:</w:t>
            </w:r>
          </w:p>
        </w:tc>
        <w:tc>
          <w:tcPr>
            <w:tcW w:w="4528" w:type="dxa"/>
            <w:tcBorders>
              <w:top w:val="single" w:color="auto" w:sz="2" w:space="0"/>
              <w:left w:val="single" w:color="auto" w:sz="6" w:space="0"/>
              <w:bottom w:val="single" w:color="auto" w:sz="6" w:space="0"/>
              <w:right w:val="single" w:color="auto" w:sz="6" w:space="0"/>
            </w:tcBorders>
            <w:shd w:val="clear" w:color="auto" w:fill="auto"/>
            <w:hideMark/>
          </w:tcPr>
          <w:p w:rsidR="00F354E5" w:rsidP="002339F8" w:rsidRDefault="000C08F0" w14:paraId="22C63DCA" w14:textId="6E00A6D2">
            <w:pPr>
              <w:overflowPunct/>
              <w:autoSpaceDE/>
              <w:autoSpaceDN/>
              <w:adjustRightInd/>
              <w:ind w:left="30" w:right="30"/>
              <w:rPr>
                <w:noProof/>
                <w:color w:val="000000" w:themeColor="text1"/>
              </w:rPr>
            </w:pPr>
            <w:r>
              <w:rPr>
                <w:color w:val="000000" w:themeColor="text1"/>
              </w:rPr>
              <w:t>Uvodna izjava X</w:t>
            </w:r>
          </w:p>
          <w:p w:rsidRPr="005E0554" w:rsidR="00F354E5" w:rsidP="002339F8" w:rsidRDefault="00F354E5" w14:paraId="5474FCBA" w14:textId="5F3766F1">
            <w:pPr>
              <w:overflowPunct/>
              <w:autoSpaceDE/>
              <w:autoSpaceDN/>
              <w:adjustRightInd/>
              <w:ind w:left="30" w:right="30"/>
              <w:rPr>
                <w:szCs w:val="22"/>
              </w:rPr>
            </w:pPr>
            <w:r>
              <w:t>Za obveznost obveščanja kupca veljajo nacionalna pravila, ki lahko omejijo razkritje informacij, kadar bi to lahko škodovalo preiskavi za zavarovanje dokazov.</w:t>
            </w:r>
          </w:p>
        </w:tc>
      </w:tr>
    </w:tbl>
    <w:p w:rsidRPr="00EF236E" w:rsidR="00F354E5" w:rsidP="002339F8" w:rsidRDefault="00F354E5" w14:paraId="4CCBBC6C" w14:textId="77777777">
      <w:pPr>
        <w:keepNext/>
        <w:keepLines/>
        <w:overflowPunct/>
        <w:autoSpaceDE/>
        <w:autoSpaceDN/>
        <w:adjustRightInd/>
        <w:jc w:val="left"/>
        <w:rPr>
          <w:szCs w:val="22"/>
        </w:rPr>
      </w:pPr>
    </w:p>
    <w:p w:rsidRPr="009533AB" w:rsidR="00E23808" w:rsidP="002339F8" w:rsidRDefault="00E23808" w14:paraId="65BA4696" w14:textId="13F325AE">
      <w:pPr>
        <w:pStyle w:val="Heading2"/>
        <w:keepNext/>
        <w:numPr>
          <w:ilvl w:val="0"/>
          <w:numId w:val="0"/>
        </w:numPr>
        <w:rPr>
          <w:b/>
          <w:bCs/>
        </w:rPr>
      </w:pPr>
      <w:r>
        <w:rPr>
          <w:b/>
        </w:rPr>
        <w:t>Predlog spremembe 5</w:t>
      </w:r>
    </w:p>
    <w:p w:rsidR="00E23808" w:rsidP="002339F8" w:rsidRDefault="00E23808" w14:paraId="2895092E" w14:textId="6B751E1D">
      <w:pPr>
        <w:keepNext/>
        <w:keepLines/>
        <w:overflowPunct/>
        <w:autoSpaceDE/>
        <w:autoSpaceDN/>
        <w:adjustRightInd/>
        <w:jc w:val="left"/>
      </w:pPr>
      <w:r>
        <w:t>(povezano s priporočiloma 1.9 in 1.10)</w:t>
      </w:r>
    </w:p>
    <w:p w:rsidRPr="0091319F" w:rsidR="00566526" w:rsidP="002339F8" w:rsidRDefault="00A77BCE" w14:paraId="36E4F0F3" w14:textId="07113454">
      <w:pPr>
        <w:keepNext/>
        <w:keepLines/>
        <w:overflowPunct/>
        <w:autoSpaceDE/>
        <w:autoSpaceDN/>
        <w:adjustRightInd/>
        <w:jc w:val="left"/>
      </w:pPr>
      <w:r>
        <w:t>Vstavi se novo poglavje V z novim členom 21</w:t>
      </w:r>
    </w:p>
    <w:p w:rsidRPr="0091319F" w:rsidR="00566526" w:rsidP="002339F8" w:rsidRDefault="00566526" w14:paraId="07FC5C25" w14:textId="77777777">
      <w:pPr>
        <w:keepNext/>
        <w:keepLines/>
        <w:overflowPunct/>
        <w:autoSpaceDE/>
        <w:autoSpaceDN/>
        <w:adjustRightInd/>
        <w:jc w:val="left"/>
      </w:pPr>
    </w:p>
    <w:tbl>
      <w:tblPr>
        <w:tblW w:w="0" w:type="auto"/>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4529"/>
        <w:gridCol w:w="4528"/>
      </w:tblGrid>
      <w:tr w:rsidRPr="00EF236E" w:rsidR="00566526" w:rsidTr="00515C81" w14:paraId="51DCD6FB" w14:textId="77777777">
        <w:trPr>
          <w:trHeight w:val="300"/>
        </w:trPr>
        <w:tc>
          <w:tcPr>
            <w:tcW w:w="4529" w:type="dxa"/>
            <w:tcBorders>
              <w:top w:val="single" w:color="auto" w:sz="2" w:space="0"/>
              <w:left w:val="single" w:color="auto" w:sz="2" w:space="0"/>
              <w:bottom w:val="single" w:color="auto" w:sz="2" w:space="0"/>
              <w:right w:val="single" w:color="auto" w:sz="2" w:space="0"/>
            </w:tcBorders>
            <w:shd w:val="clear" w:color="auto" w:fill="auto"/>
            <w:hideMark/>
          </w:tcPr>
          <w:p w:rsidRPr="00385B6A" w:rsidR="00566526" w:rsidP="002339F8" w:rsidRDefault="00566526" w14:paraId="77679DF4" w14:textId="77777777">
            <w:pPr>
              <w:overflowPunct/>
              <w:autoSpaceDE/>
              <w:autoSpaceDN/>
              <w:adjustRightInd/>
              <w:jc w:val="center"/>
              <w:rPr>
                <w:strike/>
                <w:szCs w:val="22"/>
              </w:rPr>
            </w:pPr>
            <w:r>
              <w:rPr>
                <w:b/>
              </w:rPr>
              <w:t>Predlog Komisije</w:t>
            </w:r>
          </w:p>
        </w:tc>
        <w:tc>
          <w:tcPr>
            <w:tcW w:w="4528" w:type="dxa"/>
            <w:tcBorders>
              <w:top w:val="single" w:color="auto" w:sz="2" w:space="0"/>
              <w:left w:val="single" w:color="auto" w:sz="2" w:space="0"/>
              <w:bottom w:val="single" w:color="auto" w:sz="2" w:space="0"/>
              <w:right w:val="single" w:color="auto" w:sz="2" w:space="0"/>
            </w:tcBorders>
            <w:shd w:val="clear" w:color="auto" w:fill="auto"/>
            <w:hideMark/>
          </w:tcPr>
          <w:p w:rsidRPr="00EF236E" w:rsidR="00566526" w:rsidP="002339F8" w:rsidRDefault="00566526" w14:paraId="3628AF60" w14:textId="6CE83FA1">
            <w:pPr>
              <w:overflowPunct/>
              <w:autoSpaceDE/>
              <w:autoSpaceDN/>
              <w:adjustRightInd/>
              <w:jc w:val="center"/>
              <w:rPr>
                <w:szCs w:val="22"/>
              </w:rPr>
            </w:pPr>
            <w:r>
              <w:rPr>
                <w:b/>
              </w:rPr>
              <w:t>Predlog spremembe EESO</w:t>
            </w:r>
          </w:p>
        </w:tc>
      </w:tr>
      <w:tr w:rsidRPr="00EF236E" w:rsidR="00566526" w:rsidTr="00966CC0" w14:paraId="2DAE0ADE" w14:textId="77777777">
        <w:trPr>
          <w:trHeight w:val="279"/>
        </w:trPr>
        <w:tc>
          <w:tcPr>
            <w:tcW w:w="4529" w:type="dxa"/>
            <w:tcBorders>
              <w:top w:val="single" w:color="auto" w:sz="2" w:space="0"/>
              <w:left w:val="single" w:color="auto" w:sz="6" w:space="0"/>
              <w:bottom w:val="single" w:color="auto" w:sz="6" w:space="0"/>
              <w:right w:val="single" w:color="auto" w:sz="6" w:space="0"/>
            </w:tcBorders>
            <w:shd w:val="clear" w:color="auto" w:fill="auto"/>
            <w:hideMark/>
          </w:tcPr>
          <w:p w:rsidRPr="00E745B0" w:rsidR="00566526" w:rsidP="002339F8" w:rsidRDefault="00566526" w14:paraId="2030449C" w14:textId="77777777">
            <w:pPr>
              <w:overflowPunct/>
              <w:autoSpaceDE/>
              <w:autoSpaceDN/>
              <w:adjustRightInd/>
              <w:ind w:left="30" w:right="30"/>
              <w:rPr>
                <w:szCs w:val="22"/>
              </w:rPr>
            </w:pPr>
            <w:r>
              <w:t xml:space="preserve"> </w:t>
            </w:r>
          </w:p>
        </w:tc>
        <w:tc>
          <w:tcPr>
            <w:tcW w:w="4528" w:type="dxa"/>
            <w:tcBorders>
              <w:top w:val="single" w:color="auto" w:sz="2" w:space="0"/>
              <w:left w:val="single" w:color="auto" w:sz="6" w:space="0"/>
              <w:bottom w:val="single" w:color="auto" w:sz="6" w:space="0"/>
              <w:right w:val="single" w:color="auto" w:sz="6" w:space="0"/>
            </w:tcBorders>
            <w:shd w:val="clear" w:color="auto" w:fill="auto"/>
            <w:hideMark/>
          </w:tcPr>
          <w:p w:rsidR="009D7526" w:rsidP="002339F8" w:rsidRDefault="00BB6429" w14:paraId="3B0F0F47" w14:textId="24DDF6A8">
            <w:pPr>
              <w:overflowPunct/>
              <w:autoSpaceDE/>
              <w:autoSpaceDN/>
              <w:adjustRightInd/>
              <w:ind w:left="30" w:right="30"/>
              <w:rPr>
                <w:b/>
                <w:bCs/>
                <w:i/>
                <w:iCs/>
              </w:rPr>
            </w:pPr>
            <w:r>
              <w:rPr>
                <w:b/>
                <w:i/>
              </w:rPr>
              <w:t>Člen 21</w:t>
            </w:r>
          </w:p>
          <w:p w:rsidR="00F75F6A" w:rsidP="002339F8" w:rsidRDefault="00F75F6A" w14:paraId="0A2407F7" w14:textId="75AB7745">
            <w:pPr>
              <w:overflowPunct/>
              <w:autoSpaceDE/>
              <w:autoSpaceDN/>
              <w:adjustRightInd/>
              <w:ind w:left="30" w:right="30"/>
              <w:rPr>
                <w:b/>
                <w:bCs/>
                <w:iCs/>
              </w:rPr>
            </w:pPr>
          </w:p>
          <w:p w:rsidRPr="004D6A81" w:rsidR="00566526" w:rsidP="002339F8" w:rsidRDefault="00566526" w14:paraId="7983A5D7" w14:textId="3A111C4F">
            <w:pPr>
              <w:overflowPunct/>
              <w:autoSpaceDE/>
              <w:autoSpaceDN/>
              <w:adjustRightInd/>
              <w:ind w:left="30" w:right="30"/>
              <w:rPr>
                <w:b/>
                <w:bCs/>
                <w:i/>
              </w:rPr>
            </w:pPr>
            <w:r>
              <w:rPr>
                <w:b/>
                <w:i/>
              </w:rPr>
              <w:t>Izvršilni organ prosilec kupcu, ki je predmet preiskave zaradi nepoštene trgovinske prakse s čezmejno razsežnostjo ali nepoštene trgovinske prakse velikega obsega s čezmejno razsežnostjo, v skladu z nacionalnim pravom zagotovi:</w:t>
            </w:r>
          </w:p>
          <w:p w:rsidRPr="004D6A81" w:rsidR="00566526" w:rsidP="002339F8" w:rsidRDefault="00566526" w14:paraId="4A7E1EF8" w14:textId="77777777">
            <w:pPr>
              <w:rPr>
                <w:b/>
                <w:bCs/>
                <w:i/>
              </w:rPr>
            </w:pPr>
          </w:p>
          <w:p w:rsidRPr="004D6A81" w:rsidR="00566526" w:rsidP="002339F8" w:rsidRDefault="00566526" w14:paraId="6376DF4B" w14:textId="71F940C0">
            <w:pPr>
              <w:pStyle w:val="ListParagraph"/>
              <w:numPr>
                <w:ilvl w:val="0"/>
                <w:numId w:val="6"/>
              </w:numPr>
              <w:tabs>
                <w:tab w:val="left" w:pos="3657"/>
              </w:tabs>
              <w:overflowPunct/>
              <w:autoSpaceDE/>
              <w:autoSpaceDN/>
              <w:adjustRightInd/>
              <w:textAlignment w:val="auto"/>
              <w:rPr>
                <w:b/>
                <w:bCs/>
                <w:i/>
              </w:rPr>
            </w:pPr>
            <w:r>
              <w:rPr>
                <w:b/>
                <w:i/>
              </w:rPr>
              <w:lastRenderedPageBreak/>
              <w:t>dostop do dokumentov, na podlagi katerih je izvršilni organ prosilec ali koordinator, imenovan v skladu s členom 13(2), ugotovil, da je potrebna prošnja za medsebojno pomoč;</w:t>
            </w:r>
          </w:p>
          <w:p w:rsidRPr="004D6A81" w:rsidR="00566526" w:rsidP="002339F8" w:rsidRDefault="00566526" w14:paraId="626119DC" w14:textId="00C8CB9B">
            <w:pPr>
              <w:pStyle w:val="ListParagraph"/>
              <w:numPr>
                <w:ilvl w:val="0"/>
                <w:numId w:val="6"/>
              </w:numPr>
              <w:tabs>
                <w:tab w:val="left" w:pos="3657"/>
              </w:tabs>
              <w:overflowPunct/>
              <w:autoSpaceDE/>
              <w:autoSpaceDN/>
              <w:adjustRightInd/>
              <w:textAlignment w:val="auto"/>
              <w:rPr>
                <w:b/>
                <w:bCs/>
                <w:i/>
              </w:rPr>
            </w:pPr>
            <w:r>
              <w:rPr>
                <w:b/>
                <w:i/>
              </w:rPr>
              <w:t>informacije o korakih in ukrepih, ki jih je sprejel zaprošeni izvršilni organ v skladu s členom 6(3);</w:t>
            </w:r>
          </w:p>
          <w:p w:rsidRPr="004D6A81" w:rsidR="00566526" w:rsidP="002339F8" w:rsidRDefault="00566526" w14:paraId="4229F00D" w14:textId="1822C27B">
            <w:pPr>
              <w:pStyle w:val="ListParagraph"/>
              <w:numPr>
                <w:ilvl w:val="0"/>
                <w:numId w:val="6"/>
              </w:numPr>
              <w:tabs>
                <w:tab w:val="left" w:pos="3657"/>
              </w:tabs>
              <w:overflowPunct/>
              <w:autoSpaceDE/>
              <w:autoSpaceDN/>
              <w:adjustRightInd/>
              <w:textAlignment w:val="auto"/>
              <w:rPr>
                <w:b/>
                <w:bCs/>
                <w:i/>
              </w:rPr>
            </w:pPr>
            <w:r>
              <w:rPr>
                <w:b/>
                <w:i/>
              </w:rPr>
              <w:t>dostop do dokumentov, na podlagi katerih je izvršilni organ prosilec v skladu s členom 7(2) ugotovil, da kupec nima zadostnih sredstev;</w:t>
            </w:r>
          </w:p>
          <w:p w:rsidRPr="00B12D33" w:rsidR="00566526" w:rsidP="002339F8" w:rsidRDefault="00F354E5" w14:paraId="1CB0FD6D" w14:textId="1AEC3E8B">
            <w:pPr>
              <w:pStyle w:val="ListParagraph"/>
              <w:numPr>
                <w:ilvl w:val="0"/>
                <w:numId w:val="6"/>
              </w:numPr>
              <w:tabs>
                <w:tab w:val="left" w:pos="3657"/>
              </w:tabs>
              <w:overflowPunct/>
              <w:autoSpaceDE/>
              <w:autoSpaceDN/>
              <w:adjustRightInd/>
              <w:textAlignment w:val="auto"/>
              <w:rPr>
                <w:b/>
                <w:bCs/>
                <w:i/>
              </w:rPr>
            </w:pPr>
            <w:r>
              <w:rPr>
                <w:b/>
                <w:i/>
              </w:rPr>
              <w:t>uradno obvestilo zaprošenega organa o zavrnitvi ali sprejetju zaprosila in pojasnilo o pravici do pridobitve dodatnih podrobnosti</w:t>
            </w:r>
            <w:r w:rsidRPr="00B12D33" w:rsidR="00566526">
              <w:rPr>
                <w:b/>
                <w:i/>
              </w:rPr>
              <w:t>;</w:t>
            </w:r>
          </w:p>
          <w:p w:rsidRPr="004D6A81" w:rsidR="00566526" w:rsidP="002339F8" w:rsidRDefault="000C08F0" w14:paraId="4CF6EE8D" w14:textId="0235FCF7">
            <w:pPr>
              <w:pStyle w:val="ListParagraph"/>
              <w:numPr>
                <w:ilvl w:val="0"/>
                <w:numId w:val="6"/>
              </w:numPr>
              <w:tabs>
                <w:tab w:val="left" w:pos="3657"/>
              </w:tabs>
              <w:overflowPunct/>
              <w:autoSpaceDE/>
              <w:autoSpaceDN/>
              <w:adjustRightInd/>
              <w:textAlignment w:val="auto"/>
              <w:rPr>
                <w:b/>
                <w:bCs/>
                <w:i/>
              </w:rPr>
            </w:pPr>
            <w:r>
              <w:rPr>
                <w:b/>
                <w:i/>
              </w:rPr>
              <w:t>izdaja opozorila v skladu s členom 19 v XX dneh;</w:t>
            </w:r>
          </w:p>
          <w:p w:rsidRPr="004D6A81" w:rsidR="00566526" w:rsidP="002339F8" w:rsidRDefault="00566526" w14:paraId="382A7AA7" w14:textId="17B13EE7">
            <w:pPr>
              <w:pStyle w:val="ListParagraph"/>
              <w:numPr>
                <w:ilvl w:val="0"/>
                <w:numId w:val="6"/>
              </w:numPr>
              <w:tabs>
                <w:tab w:val="left" w:pos="3657"/>
              </w:tabs>
              <w:overflowPunct/>
              <w:autoSpaceDE/>
              <w:autoSpaceDN/>
              <w:adjustRightInd/>
              <w:textAlignment w:val="auto"/>
              <w:rPr>
                <w:b/>
                <w:bCs/>
                <w:i/>
              </w:rPr>
            </w:pPr>
            <w:r>
              <w:rPr>
                <w:b/>
                <w:i/>
              </w:rPr>
              <w:t>možnost, da izrazi svoja stališča, preden se sprejme odločitev, ki bi negativno vplivala nanj, zlasti s pojasnitvijo vprašanj v zvezi z morebitno kršitvijo Direktive (EU) 2019/633;</w:t>
            </w:r>
          </w:p>
          <w:p w:rsidRPr="00E745B0" w:rsidR="00566526" w:rsidP="002339F8" w:rsidRDefault="00566526" w14:paraId="12C51472" w14:textId="00F86F49">
            <w:pPr>
              <w:pStyle w:val="ListParagraph"/>
              <w:numPr>
                <w:ilvl w:val="0"/>
                <w:numId w:val="6"/>
              </w:numPr>
              <w:tabs>
                <w:tab w:val="left" w:pos="3657"/>
              </w:tabs>
              <w:overflowPunct/>
              <w:autoSpaceDE/>
              <w:autoSpaceDN/>
              <w:adjustRightInd/>
              <w:textAlignment w:val="auto"/>
              <w:rPr>
                <w:szCs w:val="22"/>
              </w:rPr>
            </w:pPr>
            <w:r>
              <w:rPr>
                <w:b/>
                <w:i/>
              </w:rPr>
              <w:t>možnost, da posreduje svoje ugotovitve, kadar obstajajo utemeljeni razlogi za domnevo, da nacionalna pravila iz člena 9 Direktive (EU) 2019/633 niso združljiva s pravili o delovanju notranjega trga.</w:t>
            </w:r>
          </w:p>
        </w:tc>
      </w:tr>
    </w:tbl>
    <w:p w:rsidRPr="00E745B0" w:rsidR="00566526" w:rsidP="002339F8" w:rsidRDefault="00566526" w14:paraId="08E3BBFF" w14:textId="77777777">
      <w:pPr>
        <w:overflowPunct/>
        <w:autoSpaceDE/>
        <w:autoSpaceDN/>
        <w:adjustRightInd/>
        <w:rPr>
          <w:szCs w:val="22"/>
        </w:rPr>
      </w:pPr>
    </w:p>
    <w:tbl>
      <w:tblPr>
        <w:tblW w:w="0" w:type="auto"/>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9057"/>
      </w:tblGrid>
      <w:tr w:rsidRPr="00EF236E" w:rsidR="00566526" w:rsidTr="00515C81" w14:paraId="2B852695" w14:textId="77777777">
        <w:trPr>
          <w:trHeight w:val="300"/>
        </w:trPr>
        <w:tc>
          <w:tcPr>
            <w:tcW w:w="9057" w:type="dxa"/>
            <w:tcBorders>
              <w:top w:val="single" w:color="auto" w:sz="2" w:space="0"/>
              <w:left w:val="single" w:color="auto" w:sz="2" w:space="0"/>
              <w:bottom w:val="single" w:color="auto" w:sz="2" w:space="0"/>
              <w:right w:val="single" w:color="auto" w:sz="2" w:space="0"/>
            </w:tcBorders>
            <w:shd w:val="clear" w:color="auto" w:fill="auto"/>
            <w:hideMark/>
          </w:tcPr>
          <w:p w:rsidRPr="00EF236E" w:rsidR="00566526" w:rsidP="002339F8" w:rsidRDefault="00566526" w14:paraId="23AFD4D8" w14:textId="77777777">
            <w:pPr>
              <w:keepNext/>
              <w:keepLines/>
              <w:overflowPunct/>
              <w:autoSpaceDE/>
              <w:autoSpaceDN/>
              <w:adjustRightInd/>
              <w:jc w:val="center"/>
              <w:rPr>
                <w:szCs w:val="22"/>
              </w:rPr>
            </w:pPr>
            <w:r>
              <w:rPr>
                <w:b/>
              </w:rPr>
              <w:t>Obrazložitev</w:t>
            </w:r>
          </w:p>
        </w:tc>
      </w:tr>
      <w:tr w:rsidRPr="00EF236E" w:rsidR="00566526" w:rsidTr="00515C81" w14:paraId="7D24459B" w14:textId="77777777">
        <w:trPr>
          <w:trHeight w:val="300"/>
        </w:trPr>
        <w:tc>
          <w:tcPr>
            <w:tcW w:w="9057" w:type="dxa"/>
            <w:tcBorders>
              <w:top w:val="single" w:color="auto" w:sz="2" w:space="0"/>
              <w:left w:val="single" w:color="auto" w:sz="6" w:space="0"/>
              <w:bottom w:val="single" w:color="auto" w:sz="6" w:space="0"/>
              <w:right w:val="single" w:color="auto" w:sz="6" w:space="0"/>
            </w:tcBorders>
            <w:shd w:val="clear" w:color="auto" w:fill="auto"/>
            <w:hideMark/>
          </w:tcPr>
          <w:p w:rsidRPr="005E0554" w:rsidR="00566526" w:rsidP="002339F8" w:rsidRDefault="00A978E5" w14:paraId="2E25D9E1" w14:textId="2A0CB20A">
            <w:pPr>
              <w:keepNext/>
              <w:keepLines/>
              <w:overflowPunct/>
              <w:autoSpaceDE/>
              <w:autoSpaceDN/>
              <w:adjustRightInd/>
              <w:ind w:left="30" w:right="30"/>
              <w:rPr>
                <w:szCs w:val="22"/>
              </w:rPr>
            </w:pPr>
            <w:r>
              <w:t>Cilj je vzpostaviti ravnovesje med pravico do obrambe in pravili za razkritje informacij med preiskavo. Zato se je treba sklicevati na nacionalno zakonodajo.</w:t>
            </w:r>
          </w:p>
        </w:tc>
      </w:tr>
    </w:tbl>
    <w:p w:rsidR="00566526" w:rsidP="002339F8" w:rsidRDefault="00566526" w14:paraId="08DEC318" w14:textId="77777777"/>
    <w:p w:rsidR="00716352" w:rsidP="002339F8" w:rsidRDefault="00716352" w14:paraId="4F0AE5A1" w14:textId="6C3642E7">
      <w:pPr>
        <w:pStyle w:val="Header"/>
        <w:overflowPunct/>
        <w:autoSpaceDE/>
        <w:autoSpaceDN/>
        <w:adjustRightInd/>
        <w:textAlignment w:val="auto"/>
        <w:rPr>
          <w:szCs w:val="22"/>
        </w:rPr>
      </w:pPr>
      <w:r>
        <w:t>V Bruslju, 12. marca 2025</w:t>
      </w:r>
    </w:p>
    <w:p w:rsidR="00716352" w:rsidP="002339F8" w:rsidRDefault="00716352" w14:paraId="70182F4C" w14:textId="77777777">
      <w:pPr>
        <w:pStyle w:val="Header"/>
        <w:overflowPunct/>
        <w:autoSpaceDE/>
        <w:autoSpaceDN/>
        <w:adjustRightInd/>
        <w:textAlignment w:val="auto"/>
        <w:rPr>
          <w:szCs w:val="22"/>
        </w:rPr>
      </w:pPr>
    </w:p>
    <w:p w:rsidR="00716352" w:rsidP="002339F8" w:rsidRDefault="00716352" w14:paraId="6ADB6055" w14:textId="77777777">
      <w:pPr>
        <w:pStyle w:val="Header"/>
        <w:overflowPunct/>
        <w:autoSpaceDE/>
        <w:autoSpaceDN/>
        <w:adjustRightInd/>
        <w:textAlignment w:val="auto"/>
        <w:rPr>
          <w:szCs w:val="22"/>
        </w:rPr>
      </w:pPr>
    </w:p>
    <w:p w:rsidRPr="00161237" w:rsidR="00716352" w:rsidP="002339F8" w:rsidRDefault="00716352" w14:paraId="7D0B821B" w14:textId="1B1391BC">
      <w:pPr>
        <w:rPr>
          <w:i/>
          <w:iCs/>
        </w:rPr>
      </w:pPr>
      <w:r>
        <w:rPr>
          <w:i/>
        </w:rPr>
        <w:t>Predsednik strokovne skupine za kmetijstvo, razvoj podeželja in okolje</w:t>
      </w:r>
    </w:p>
    <w:p w:rsidR="00CE4274" w:rsidP="002339F8" w:rsidRDefault="00CE4274" w14:paraId="1E85F6C0" w14:textId="7ECB56EC">
      <w:pPr>
        <w:tabs>
          <w:tab w:val="left" w:pos="927"/>
          <w:tab w:val="center" w:pos="4536"/>
        </w:tabs>
        <w:jc w:val="left"/>
      </w:pPr>
      <w:r>
        <w:t>Peter SCHMIDT</w:t>
      </w:r>
    </w:p>
    <w:p w:rsidR="00B12D33" w:rsidP="002339F8" w:rsidRDefault="00B12D33" w14:paraId="59D28EE6" w14:textId="77777777">
      <w:pPr>
        <w:tabs>
          <w:tab w:val="left" w:pos="927"/>
          <w:tab w:val="center" w:pos="4536"/>
        </w:tabs>
        <w:jc w:val="left"/>
      </w:pPr>
    </w:p>
    <w:p w:rsidRPr="00B12D33" w:rsidR="00646AC2" w:rsidP="00B12D33" w:rsidRDefault="00B12D33" w14:paraId="6E522A42" w14:textId="1855ADE6">
      <w:pPr>
        <w:jc w:val="center"/>
        <w:rPr>
          <w:lang w:val="nl-BE"/>
        </w:rPr>
      </w:pPr>
      <w:r>
        <w:rPr>
          <w:lang w:val="nl-BE"/>
        </w:rPr>
        <w:t>_____________</w:t>
      </w:r>
    </w:p>
    <w:sectPr w:rsidRPr="00B12D33" w:rsidR="00646AC2" w:rsidSect="00F107E5">
      <w:headerReference w:type="even" r:id="rId27"/>
      <w:headerReference w:type="default" r:id="rId28"/>
      <w:footerReference w:type="even" r:id="rId29"/>
      <w:footerReference w:type="default" r:id="rId30"/>
      <w:headerReference w:type="first" r:id="rId31"/>
      <w:footerReference w:type="first" r:id="rId32"/>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E76A3" w14:textId="77777777" w:rsidR="00E52683" w:rsidRDefault="00E52683">
      <w:r>
        <w:separator/>
      </w:r>
    </w:p>
  </w:endnote>
  <w:endnote w:type="continuationSeparator" w:id="0">
    <w:p w14:paraId="704360DF" w14:textId="77777777" w:rsidR="00E52683" w:rsidRDefault="00E52683">
      <w:r>
        <w:continuationSeparator/>
      </w:r>
    </w:p>
  </w:endnote>
  <w:endnote w:type="continuationNotice" w:id="1">
    <w:p w14:paraId="6091DAA0" w14:textId="77777777" w:rsidR="00E52683" w:rsidRDefault="00E526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6E72" w14:textId="77777777" w:rsidR="00F107E5" w:rsidRPr="00F107E5" w:rsidRDefault="00F107E5" w:rsidP="00F10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22A4E" w14:textId="3535B90C" w:rsidR="00CB5F3C" w:rsidRPr="00F107E5" w:rsidRDefault="00F107E5" w:rsidP="00F107E5">
    <w:pPr>
      <w:pStyle w:val="Footer"/>
    </w:pPr>
    <w:r>
      <w:t xml:space="preserve">NAT/945 – EESC-2024-04652-00-00-AS-TRA (FR) </w:t>
    </w:r>
    <w:r>
      <w:fldChar w:fldCharType="begin"/>
    </w:r>
    <w:r>
      <w:instrText xml:space="preserve"> PAGE  \* Arabic  \* MERGEFORMAT </w:instrText>
    </w:r>
    <w:r>
      <w:fldChar w:fldCharType="separate"/>
    </w:r>
    <w:r>
      <w:t>1</w:t>
    </w:r>
    <w:r>
      <w:fldChar w:fldCharType="end"/>
    </w:r>
    <w:r>
      <w:t>/</w:t>
    </w:r>
    <w:r w:rsidR="00AC6708">
      <w:fldChar w:fldCharType="begin"/>
    </w:r>
    <w:r w:rsidR="00AC6708">
      <w:instrText xml:space="preserve"> NUMPAGES </w:instrText>
    </w:r>
    <w:r w:rsidR="00AC6708">
      <w:fldChar w:fldCharType="separate"/>
    </w:r>
    <w:r>
      <w:rPr>
        <w:noProof/>
      </w:rPr>
      <w:t>12</w:t>
    </w:r>
    <w:r w:rsidR="00AC6708">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F54C2" w14:textId="77777777" w:rsidR="00F107E5" w:rsidRPr="00F107E5" w:rsidRDefault="00F107E5" w:rsidP="00F107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5282" w14:textId="77777777" w:rsidR="00C11E95" w:rsidRPr="00F107E5" w:rsidRDefault="00C11E95" w:rsidP="00F107E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22A54" w14:textId="6C463AD5" w:rsidR="00646AC2" w:rsidRPr="00F107E5" w:rsidRDefault="00F107E5" w:rsidP="00F107E5">
    <w:pPr>
      <w:pStyle w:val="Footer"/>
    </w:pPr>
    <w:r>
      <w:t xml:space="preserve">NAT/945 – EESC-2024-04652-00-00-AS-TRA (FR) </w:t>
    </w:r>
    <w:r>
      <w:fldChar w:fldCharType="begin"/>
    </w:r>
    <w:r>
      <w:instrText xml:space="preserve"> PAGE  \* Arabic  \* MERGEFORMAT </w:instrText>
    </w:r>
    <w:r>
      <w:fldChar w:fldCharType="separate"/>
    </w:r>
    <w:r>
      <w:t>2</w:t>
    </w:r>
    <w:r>
      <w:fldChar w:fldCharType="end"/>
    </w:r>
    <w:r>
      <w:t>/</w:t>
    </w:r>
    <w:r w:rsidR="00AC6708">
      <w:fldChar w:fldCharType="begin"/>
    </w:r>
    <w:r w:rsidR="00AC6708">
      <w:instrText xml:space="preserve"> NUMPAGES </w:instrText>
    </w:r>
    <w:r w:rsidR="00AC6708">
      <w:fldChar w:fldCharType="separate"/>
    </w:r>
    <w:r>
      <w:rPr>
        <w:noProof/>
      </w:rPr>
      <w:t>12</w:t>
    </w:r>
    <w:r w:rsidR="00AC6708">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56C4" w14:textId="77777777" w:rsidR="00C11E95" w:rsidRPr="00F107E5" w:rsidRDefault="00C11E95" w:rsidP="00F10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4F2E3" w14:textId="77777777" w:rsidR="00E52683" w:rsidRDefault="00E52683">
      <w:r>
        <w:separator/>
      </w:r>
    </w:p>
  </w:footnote>
  <w:footnote w:type="continuationSeparator" w:id="0">
    <w:p w14:paraId="39C0EBC3" w14:textId="77777777" w:rsidR="00E52683" w:rsidRDefault="00E52683">
      <w:r>
        <w:continuationSeparator/>
      </w:r>
    </w:p>
  </w:footnote>
  <w:footnote w:type="continuationNotice" w:id="1">
    <w:p w14:paraId="53385033" w14:textId="77777777" w:rsidR="00E52683" w:rsidRDefault="00E52683">
      <w:pPr>
        <w:spacing w:line="240" w:lineRule="auto"/>
      </w:pPr>
    </w:p>
  </w:footnote>
  <w:footnote w:id="2">
    <w:p w14:paraId="7C61B30B" w14:textId="2EB10B11" w:rsidR="00F45EC6" w:rsidRDefault="00F45EC6" w:rsidP="00F45EC6">
      <w:pPr>
        <w:pStyle w:val="FootnoteText"/>
        <w:ind w:left="567" w:hanging="567"/>
      </w:pPr>
      <w:r>
        <w:rPr>
          <w:rStyle w:val="FootnoteReference"/>
        </w:rPr>
        <w:footnoteRef/>
      </w:r>
      <w:r>
        <w:tab/>
        <w:t xml:space="preserve">Mnenje EESO (dosje INT/932) Digitalizacija pravosodja v Evropski uniji – Zbirka orodij za izkoriščanje priložnosti, </w:t>
      </w:r>
      <w:hyperlink r:id="rId1" w:history="1">
        <w:r>
          <w:rPr>
            <w:rStyle w:val="Hyperlink"/>
          </w:rPr>
          <w:t>UL C 286, 16.7.2021, str. 88</w:t>
        </w:r>
      </w:hyperlink>
      <w:r>
        <w:t>.</w:t>
      </w:r>
    </w:p>
  </w:footnote>
  <w:footnote w:id="3">
    <w:p w14:paraId="319CF921" w14:textId="6C72023B" w:rsidR="00566526" w:rsidRDefault="00566526" w:rsidP="009D7526">
      <w:pPr>
        <w:pStyle w:val="FootnoteText"/>
        <w:ind w:left="567" w:hanging="567"/>
      </w:pPr>
      <w:r>
        <w:rPr>
          <w:rStyle w:val="FootnoteReference"/>
        </w:rPr>
        <w:footnoteRef/>
      </w:r>
      <w:r>
        <w:tab/>
      </w:r>
      <w:hyperlink r:id="rId2" w:history="1">
        <w:r>
          <w:rPr>
            <w:rStyle w:val="Hyperlink"/>
          </w:rPr>
          <w:t>Poročilo Maria Draghija</w:t>
        </w:r>
      </w:hyperlink>
      <w:r>
        <w:t>.</w:t>
      </w:r>
    </w:p>
  </w:footnote>
  <w:footnote w:id="4">
    <w:p w14:paraId="6E0E294C" w14:textId="15B24FFE" w:rsidR="00566526" w:rsidRDefault="00566526" w:rsidP="009D7526">
      <w:pPr>
        <w:pStyle w:val="FootnoteText"/>
        <w:ind w:left="567" w:hanging="567"/>
      </w:pPr>
      <w:r>
        <w:rPr>
          <w:rStyle w:val="FootnoteReference"/>
        </w:rPr>
        <w:footnoteRef/>
      </w:r>
      <w:r>
        <w:tab/>
      </w:r>
      <w:hyperlink r:id="rId3" w:history="1">
        <w:r>
          <w:rPr>
            <w:rStyle w:val="Hyperlink"/>
          </w:rPr>
          <w:t>Poročilo Enrica Lette</w:t>
        </w:r>
      </w:hyperlink>
      <w:r>
        <w:t>.</w:t>
      </w:r>
    </w:p>
  </w:footnote>
  <w:footnote w:id="5">
    <w:p w14:paraId="30533F4C" w14:textId="09BAE22F" w:rsidR="00566526" w:rsidRDefault="00566526" w:rsidP="009D7526">
      <w:pPr>
        <w:pStyle w:val="FootnoteText"/>
        <w:ind w:left="567" w:hanging="567"/>
      </w:pPr>
      <w:r>
        <w:rPr>
          <w:rStyle w:val="FootnoteReference"/>
        </w:rPr>
        <w:footnoteRef/>
      </w:r>
      <w:r>
        <w:tab/>
      </w:r>
      <w:hyperlink r:id="rId4" w:history="1">
        <w:r>
          <w:rPr>
            <w:rStyle w:val="Hyperlink"/>
          </w:rPr>
          <w:t>https://commission.europa.eu/topics/eu-competitiveness_sl</w:t>
        </w:r>
      </w:hyperlink>
      <w:r>
        <w:t>.</w:t>
      </w:r>
    </w:p>
  </w:footnote>
  <w:footnote w:id="6">
    <w:p w14:paraId="04B015AA" w14:textId="34784A06" w:rsidR="00566526" w:rsidRPr="00966CC0" w:rsidRDefault="00566526" w:rsidP="009D7526">
      <w:pPr>
        <w:pStyle w:val="FootnoteText"/>
        <w:ind w:left="567" w:hanging="567"/>
        <w:rPr>
          <w:szCs w:val="16"/>
        </w:rPr>
      </w:pPr>
      <w:r>
        <w:rPr>
          <w:rStyle w:val="FootnoteReference"/>
          <w:szCs w:val="24"/>
        </w:rPr>
        <w:footnoteRef/>
      </w:r>
      <w:r w:rsidR="00DE0A18">
        <w:tab/>
      </w:r>
      <w:hyperlink r:id="rId5" w:history="1">
        <w:r>
          <w:rPr>
            <w:rStyle w:val="Hyperlink"/>
          </w:rPr>
          <w:t>COM(2024) 176 final</w:t>
        </w:r>
      </w:hyperlink>
      <w:r>
        <w:t>.</w:t>
      </w:r>
    </w:p>
  </w:footnote>
  <w:footnote w:id="7">
    <w:p w14:paraId="723BC012" w14:textId="05BC907D" w:rsidR="00566526" w:rsidRPr="00966CC0" w:rsidRDefault="00566526" w:rsidP="009D7526">
      <w:pPr>
        <w:pStyle w:val="FootnoteText"/>
        <w:ind w:left="567" w:hanging="567"/>
        <w:rPr>
          <w:szCs w:val="16"/>
        </w:rPr>
      </w:pPr>
      <w:r>
        <w:rPr>
          <w:rStyle w:val="FootnoteReference"/>
          <w:szCs w:val="24"/>
        </w:rPr>
        <w:footnoteRef/>
      </w:r>
      <w:r w:rsidR="00DE0A18">
        <w:tab/>
      </w:r>
      <w:hyperlink r:id="rId6" w:history="1">
        <w:r>
          <w:rPr>
            <w:rStyle w:val="Hyperlink"/>
          </w:rPr>
          <w:t>COM(2024) 176 final</w:t>
        </w:r>
      </w:hyperlink>
      <w:r>
        <w:t>.</w:t>
      </w:r>
    </w:p>
  </w:footnote>
  <w:footnote w:id="8">
    <w:p w14:paraId="4ED398B9" w14:textId="590268AF" w:rsidR="00566526" w:rsidRDefault="00566526" w:rsidP="009D7526">
      <w:pPr>
        <w:pStyle w:val="FootnoteText"/>
        <w:ind w:left="567" w:hanging="567"/>
      </w:pPr>
      <w:r>
        <w:rPr>
          <w:rStyle w:val="FootnoteReference"/>
        </w:rPr>
        <w:footnoteRef/>
      </w:r>
      <w:r>
        <w:tab/>
        <w:t>Uvodna izjava (4) predloga uredbe.</w:t>
      </w:r>
    </w:p>
  </w:footnote>
  <w:footnote w:id="9">
    <w:p w14:paraId="2696CC66" w14:textId="060BAE9E" w:rsidR="00566526" w:rsidRDefault="00566526" w:rsidP="009D7526">
      <w:pPr>
        <w:pStyle w:val="FootnoteText"/>
        <w:ind w:left="567" w:hanging="567"/>
      </w:pPr>
      <w:r>
        <w:rPr>
          <w:rStyle w:val="FootnoteReference"/>
        </w:rPr>
        <w:footnoteRef/>
      </w:r>
      <w:r>
        <w:tab/>
      </w:r>
      <w:hyperlink r:id="rId7" w:history="1">
        <w:r>
          <w:rPr>
            <w:rStyle w:val="Hyperlink"/>
          </w:rPr>
          <w:t>Poročilo Skupnega raziskovalnega središča iz leta 2020 o teritorialnih omejitvah oskrbe</w:t>
        </w:r>
      </w:hyperlink>
      <w:r>
        <w:t>.</w:t>
      </w:r>
    </w:p>
  </w:footnote>
  <w:footnote w:id="10">
    <w:p w14:paraId="022C1AB5" w14:textId="092EED35" w:rsidR="00566526" w:rsidRDefault="00566526" w:rsidP="009D7526">
      <w:pPr>
        <w:pStyle w:val="FootnoteText"/>
        <w:ind w:left="567" w:hanging="567"/>
      </w:pPr>
      <w:r>
        <w:rPr>
          <w:rStyle w:val="FootnoteReference"/>
        </w:rPr>
        <w:footnoteRef/>
      </w:r>
      <w:r>
        <w:tab/>
        <w:t>„The renationalisation of sourcing and trading is bounded to affect ultimately the benefits that consumers derive from the Single Market.“</w:t>
      </w:r>
    </w:p>
  </w:footnote>
  <w:footnote w:id="11">
    <w:p w14:paraId="71094753" w14:textId="6B822AEC" w:rsidR="00566526" w:rsidRDefault="00566526" w:rsidP="009D7526">
      <w:pPr>
        <w:pStyle w:val="FootnoteText"/>
        <w:ind w:left="567" w:hanging="567"/>
      </w:pPr>
      <w:r>
        <w:rPr>
          <w:rStyle w:val="FootnoteReference"/>
        </w:rPr>
        <w:footnoteRef/>
      </w:r>
      <w:r>
        <w:tab/>
      </w:r>
      <w:hyperlink r:id="rId8" w:history="1">
        <w:r>
          <w:rPr>
            <w:rStyle w:val="Hyperlink"/>
          </w:rPr>
          <w:t>Poročilo Skupnega raziskovalnega središča iz leta 2020 o teritorialnih omejitvah oskrbe</w:t>
        </w:r>
      </w:hyperlink>
      <w:r>
        <w:t>.</w:t>
      </w:r>
    </w:p>
  </w:footnote>
  <w:footnote w:id="12">
    <w:p w14:paraId="0C02367D" w14:textId="7BB58EC6" w:rsidR="00566526" w:rsidRDefault="00566526" w:rsidP="009D7526">
      <w:pPr>
        <w:pStyle w:val="FootnoteText"/>
        <w:ind w:left="567" w:hanging="567"/>
      </w:pPr>
      <w:r>
        <w:rPr>
          <w:rStyle w:val="FootnoteReference"/>
        </w:rPr>
        <w:footnoteRef/>
      </w:r>
      <w:r>
        <w:tab/>
        <w:t>Na začetku leta so številni akterji (</w:t>
      </w:r>
      <w:hyperlink r:id="rId9" w:tgtFrame="_self" w:history="1">
        <w:r>
          <w:rPr>
            <w:color w:val="0000FF"/>
            <w:u w:val="single"/>
            <w:shd w:val="clear" w:color="auto" w:fill="FFFFFF"/>
          </w:rPr>
          <w:t>BEUC – Evropska potrošniška organizacija</w:t>
        </w:r>
      </w:hyperlink>
      <w:r>
        <w:t xml:space="preserve">, </w:t>
      </w:r>
      <w:hyperlink r:id="rId10" w:tgtFrame="_self" w:history="1">
        <w:r>
          <w:rPr>
            <w:color w:val="0000FF"/>
            <w:u w:val="single"/>
            <w:shd w:val="clear" w:color="auto" w:fill="FFFFFF"/>
          </w:rPr>
          <w:t>Evropska komisija</w:t>
        </w:r>
      </w:hyperlink>
      <w:r>
        <w:t xml:space="preserve">, </w:t>
      </w:r>
      <w:hyperlink r:id="rId11" w:tgtFrame="_self" w:history="1">
        <w:r>
          <w:rPr>
            <w:color w:val="0000FF"/>
            <w:u w:val="single"/>
            <w:shd w:val="clear" w:color="auto" w:fill="FFFFFF"/>
          </w:rPr>
          <w:t>Mouvement des Entreprises de France</w:t>
        </w:r>
      </w:hyperlink>
      <w:r>
        <w:t>) jasno povedali, da je to nujno.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DE356" w14:textId="77777777" w:rsidR="00F107E5" w:rsidRPr="00F107E5" w:rsidRDefault="00F107E5" w:rsidP="00F10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895D1" w14:textId="6F46993F" w:rsidR="00F107E5" w:rsidRPr="00F107E5" w:rsidRDefault="00F107E5" w:rsidP="00F107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04A0" w14:textId="77777777" w:rsidR="00F107E5" w:rsidRPr="00F107E5" w:rsidRDefault="00F107E5" w:rsidP="00F107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B653A" w14:textId="77777777" w:rsidR="00C11E95" w:rsidRPr="00F107E5" w:rsidRDefault="00C11E95" w:rsidP="00F107E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36649" w14:textId="6B9FAF41" w:rsidR="00C11E95" w:rsidRPr="00F107E5" w:rsidRDefault="00C11E95" w:rsidP="00F107E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364AC" w14:textId="77777777" w:rsidR="00C11E95" w:rsidRPr="00F107E5" w:rsidRDefault="00C11E95" w:rsidP="00F10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E60F77E"/>
    <w:lvl w:ilvl="0">
      <w:start w:val="1"/>
      <w:numFmt w:val="decimal"/>
      <w:pStyle w:val="Heading1"/>
      <w:lvlText w:val="%1."/>
      <w:lvlJc w:val="left"/>
      <w:pPr>
        <w:ind w:left="0" w:firstLine="0"/>
      </w:pPr>
      <w:rPr>
        <w:rFonts w:hint="default"/>
        <w:b w:val="0"/>
        <w:bCs w:val="0"/>
        <w:i w:val="0"/>
        <w:iCs w:val="0"/>
      </w:rPr>
    </w:lvl>
    <w:lvl w:ilvl="1">
      <w:start w:val="1"/>
      <w:numFmt w:val="decimal"/>
      <w:pStyle w:val="Heading2"/>
      <w:lvlText w:val="%1.%2"/>
      <w:lvlJc w:val="left"/>
      <w:pPr>
        <w:ind w:left="0" w:firstLine="0"/>
      </w:pPr>
      <w:rPr>
        <w:rFonts w:hint="default"/>
        <w:b w:val="0"/>
        <w:bCs w:val="0"/>
        <w:i w:val="0"/>
        <w:iCs w:val="0"/>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 w15:restartNumberingAfterBreak="0">
    <w:nsid w:val="14512240"/>
    <w:multiLevelType w:val="hybridMultilevel"/>
    <w:tmpl w:val="78CA496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272B563D"/>
    <w:multiLevelType w:val="hybridMultilevel"/>
    <w:tmpl w:val="6ACCA8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9E0A23"/>
    <w:multiLevelType w:val="hybridMultilevel"/>
    <w:tmpl w:val="6F80DBE4"/>
    <w:lvl w:ilvl="0" w:tplc="7032C28E">
      <w:start w:val="1"/>
      <w:numFmt w:val="lowerLetter"/>
      <w:lvlText w:val="%1)"/>
      <w:lvlJc w:val="left"/>
      <w:pPr>
        <w:ind w:left="720" w:hanging="360"/>
      </w:pPr>
      <w:rPr>
        <w:b/>
        <w:bCs/>
        <w:i/>
        <w:i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 w15:restartNumberingAfterBreak="0">
    <w:nsid w:val="3EEC2C05"/>
    <w:multiLevelType w:val="hybridMultilevel"/>
    <w:tmpl w:val="D52C7A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447DCE"/>
    <w:multiLevelType w:val="hybridMultilevel"/>
    <w:tmpl w:val="00729754"/>
    <w:lvl w:ilvl="0" w:tplc="F64660EC">
      <w:start w:val="1"/>
      <w:numFmt w:val="upperRoman"/>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921040"/>
    <w:multiLevelType w:val="hybridMultilevel"/>
    <w:tmpl w:val="6EC26442"/>
    <w:lvl w:ilvl="0" w:tplc="8D0CAE66">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0CF0F02"/>
    <w:multiLevelType w:val="hybridMultilevel"/>
    <w:tmpl w:val="856ABBA2"/>
    <w:lvl w:ilvl="0" w:tplc="FFFFFFFF">
      <w:start w:val="1"/>
      <w:numFmt w:val="bullet"/>
      <w:lvlText w:val=""/>
      <w:lvlJc w:val="left"/>
      <w:pPr>
        <w:ind w:left="644" w:hanging="360"/>
      </w:pPr>
      <w:rPr>
        <w:rFonts w:ascii="Symbol" w:hAnsi="Symbol" w:hint="default"/>
        <w:b/>
        <w:i w:val="0"/>
        <w:color w:val="C0504D" w:themeColor="accent2"/>
        <w:sz w:val="18"/>
      </w:rPr>
    </w:lvl>
    <w:lvl w:ilvl="1" w:tplc="20000003">
      <w:start w:val="1"/>
      <w:numFmt w:val="bullet"/>
      <w:lvlText w:val="o"/>
      <w:lvlJc w:val="left"/>
      <w:pPr>
        <w:ind w:left="1364" w:hanging="360"/>
      </w:pPr>
      <w:rPr>
        <w:rFonts w:ascii="Courier New" w:hAnsi="Courier New" w:cs="Courier New" w:hint="default"/>
      </w:rPr>
    </w:lvl>
    <w:lvl w:ilvl="2" w:tplc="20000005">
      <w:start w:val="1"/>
      <w:numFmt w:val="bullet"/>
      <w:lvlText w:val=""/>
      <w:lvlJc w:val="left"/>
      <w:pPr>
        <w:ind w:left="2084" w:hanging="360"/>
      </w:pPr>
      <w:rPr>
        <w:rFonts w:ascii="Wingdings" w:hAnsi="Wingdings" w:hint="default"/>
      </w:rPr>
    </w:lvl>
    <w:lvl w:ilvl="3" w:tplc="20000001">
      <w:start w:val="1"/>
      <w:numFmt w:val="bullet"/>
      <w:lvlText w:val=""/>
      <w:lvlJc w:val="left"/>
      <w:pPr>
        <w:ind w:left="2804" w:hanging="360"/>
      </w:pPr>
      <w:rPr>
        <w:rFonts w:ascii="Symbol" w:hAnsi="Symbol" w:hint="default"/>
      </w:rPr>
    </w:lvl>
    <w:lvl w:ilvl="4" w:tplc="20000003">
      <w:start w:val="1"/>
      <w:numFmt w:val="bullet"/>
      <w:lvlText w:val="o"/>
      <w:lvlJc w:val="left"/>
      <w:pPr>
        <w:ind w:left="3524" w:hanging="360"/>
      </w:pPr>
      <w:rPr>
        <w:rFonts w:ascii="Courier New" w:hAnsi="Courier New" w:cs="Courier New" w:hint="default"/>
      </w:rPr>
    </w:lvl>
    <w:lvl w:ilvl="5" w:tplc="20000005">
      <w:start w:val="1"/>
      <w:numFmt w:val="bullet"/>
      <w:lvlText w:val=""/>
      <w:lvlJc w:val="left"/>
      <w:pPr>
        <w:ind w:left="4244" w:hanging="360"/>
      </w:pPr>
      <w:rPr>
        <w:rFonts w:ascii="Wingdings" w:hAnsi="Wingdings" w:hint="default"/>
      </w:rPr>
    </w:lvl>
    <w:lvl w:ilvl="6" w:tplc="20000001">
      <w:start w:val="1"/>
      <w:numFmt w:val="bullet"/>
      <w:lvlText w:val=""/>
      <w:lvlJc w:val="left"/>
      <w:pPr>
        <w:ind w:left="4964" w:hanging="360"/>
      </w:pPr>
      <w:rPr>
        <w:rFonts w:ascii="Symbol" w:hAnsi="Symbol" w:hint="default"/>
      </w:rPr>
    </w:lvl>
    <w:lvl w:ilvl="7" w:tplc="20000003">
      <w:start w:val="1"/>
      <w:numFmt w:val="bullet"/>
      <w:lvlText w:val="o"/>
      <w:lvlJc w:val="left"/>
      <w:pPr>
        <w:ind w:left="5684" w:hanging="360"/>
      </w:pPr>
      <w:rPr>
        <w:rFonts w:ascii="Courier New" w:hAnsi="Courier New" w:cs="Courier New" w:hint="default"/>
      </w:rPr>
    </w:lvl>
    <w:lvl w:ilvl="8" w:tplc="20000005">
      <w:start w:val="1"/>
      <w:numFmt w:val="bullet"/>
      <w:lvlText w:val=""/>
      <w:lvlJc w:val="left"/>
      <w:pPr>
        <w:ind w:left="6404" w:hanging="360"/>
      </w:pPr>
      <w:rPr>
        <w:rFonts w:ascii="Wingdings" w:hAnsi="Wingdings" w:hint="default"/>
      </w:rPr>
    </w:lvl>
  </w:abstractNum>
  <w:num w:numId="1">
    <w:abstractNumId w:val="5"/>
  </w:num>
  <w:num w:numId="2">
    <w:abstractNumId w:val="0"/>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3"/>
  </w:num>
  <w:num w:numId="7">
    <w:abstractNumId w:val="6"/>
  </w:num>
  <w:num w:numId="8">
    <w:abstractNumId w:val="0"/>
    <w:lvlOverride w:ilvl="0">
      <w:startOverride w:val="2"/>
    </w:lvlOverride>
    <w:lvlOverride w:ilvl="1">
      <w:startOverride w:val="8"/>
    </w:lvlOverride>
  </w:num>
  <w:num w:numId="9">
    <w:abstractNumId w:val="0"/>
    <w:lvlOverride w:ilvl="0">
      <w:startOverride w:val="1"/>
    </w:lvlOverride>
    <w:lvlOverride w:ilvl="1">
      <w:startOverride w:val="6"/>
    </w:lvlOverride>
  </w:num>
  <w:num w:numId="10">
    <w:abstractNumId w:val="0"/>
    <w:lvlOverride w:ilvl="0">
      <w:startOverride w:val="1"/>
    </w:lvlOverride>
    <w:lvlOverride w:ilvl="1">
      <w:startOverride w:val="10"/>
    </w:lvlOverride>
  </w:num>
  <w:num w:numId="11">
    <w:abstractNumId w:val="7"/>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3"/>
  </w:num>
  <w:num w:numId="28">
    <w:abstractNumId w:val="1"/>
  </w:num>
  <w:num w:numId="29">
    <w:abstractNumId w:val="0"/>
    <w:lvlOverride w:ilvl="0">
      <w:startOverride w:val="1"/>
    </w:lvlOverride>
    <w:lvlOverride w:ilvl="1">
      <w:startOverride w:val="5"/>
    </w:lvlOverride>
  </w:num>
  <w:num w:numId="30">
    <w:abstractNumId w:val="0"/>
    <w:lvlOverride w:ilvl="0">
      <w:startOverride w:val="1"/>
    </w:lvlOverride>
    <w:lvlOverride w:ilvl="1">
      <w:startOverride w:val="7"/>
    </w:lvlOverride>
  </w:num>
  <w:num w:numId="31">
    <w:abstractNumId w:val="0"/>
    <w:lvlOverride w:ilvl="0">
      <w:startOverride w:val="1"/>
    </w:lvlOverride>
    <w:lvlOverride w:ilvl="1">
      <w:startOverride w:val="10"/>
    </w:lvlOverride>
  </w:num>
  <w:num w:numId="32">
    <w:abstractNumId w:val="0"/>
    <w:lvlOverride w:ilvl="0">
      <w:startOverride w:val="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2"/>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drawingGridHorizontalSpacing w:val="110"/>
  <w:drawingGridVerticalSpacing w:val="299"/>
  <w:displayHorizontalDrawingGridEvery w:val="2"/>
  <w:displayVerticalDrawingGridEvery w:val="0"/>
  <w:noPunctuationKerning/>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F8F"/>
    <w:rsid w:val="00002B9F"/>
    <w:rsid w:val="00005AB9"/>
    <w:rsid w:val="00005EB9"/>
    <w:rsid w:val="00006912"/>
    <w:rsid w:val="00006E24"/>
    <w:rsid w:val="00007A40"/>
    <w:rsid w:val="000128CD"/>
    <w:rsid w:val="00017B45"/>
    <w:rsid w:val="00020E6E"/>
    <w:rsid w:val="000229C4"/>
    <w:rsid w:val="00026A08"/>
    <w:rsid w:val="00031A4B"/>
    <w:rsid w:val="000336DE"/>
    <w:rsid w:val="00033913"/>
    <w:rsid w:val="00033AFC"/>
    <w:rsid w:val="00033DB4"/>
    <w:rsid w:val="00033E5B"/>
    <w:rsid w:val="000357A8"/>
    <w:rsid w:val="000430A6"/>
    <w:rsid w:val="00044923"/>
    <w:rsid w:val="00046BEA"/>
    <w:rsid w:val="0005249C"/>
    <w:rsid w:val="000534A5"/>
    <w:rsid w:val="0005680D"/>
    <w:rsid w:val="00056F27"/>
    <w:rsid w:val="00060369"/>
    <w:rsid w:val="00062AD8"/>
    <w:rsid w:val="00063FB4"/>
    <w:rsid w:val="00064326"/>
    <w:rsid w:val="0006793E"/>
    <w:rsid w:val="00072E0F"/>
    <w:rsid w:val="000735E5"/>
    <w:rsid w:val="0007392F"/>
    <w:rsid w:val="00075BA7"/>
    <w:rsid w:val="00085874"/>
    <w:rsid w:val="00087B39"/>
    <w:rsid w:val="00093DE0"/>
    <w:rsid w:val="00095701"/>
    <w:rsid w:val="00096502"/>
    <w:rsid w:val="00097E3F"/>
    <w:rsid w:val="000A3061"/>
    <w:rsid w:val="000A4385"/>
    <w:rsid w:val="000A49BB"/>
    <w:rsid w:val="000A5670"/>
    <w:rsid w:val="000A6120"/>
    <w:rsid w:val="000A6503"/>
    <w:rsid w:val="000B68FA"/>
    <w:rsid w:val="000C08F0"/>
    <w:rsid w:val="000C3441"/>
    <w:rsid w:val="000C6B0C"/>
    <w:rsid w:val="000C6FED"/>
    <w:rsid w:val="000C7F53"/>
    <w:rsid w:val="000D2F8E"/>
    <w:rsid w:val="000E17A8"/>
    <w:rsid w:val="000E7397"/>
    <w:rsid w:val="000F196B"/>
    <w:rsid w:val="000F2D9B"/>
    <w:rsid w:val="00101DBF"/>
    <w:rsid w:val="00105361"/>
    <w:rsid w:val="001101F8"/>
    <w:rsid w:val="00111995"/>
    <w:rsid w:val="0011206F"/>
    <w:rsid w:val="0011656A"/>
    <w:rsid w:val="00120E2F"/>
    <w:rsid w:val="0012220C"/>
    <w:rsid w:val="00131F37"/>
    <w:rsid w:val="00134E8C"/>
    <w:rsid w:val="0013553E"/>
    <w:rsid w:val="00136EA3"/>
    <w:rsid w:val="00137575"/>
    <w:rsid w:val="00137CE2"/>
    <w:rsid w:val="00140323"/>
    <w:rsid w:val="001431CB"/>
    <w:rsid w:val="00144231"/>
    <w:rsid w:val="00145470"/>
    <w:rsid w:val="0014781D"/>
    <w:rsid w:val="00150434"/>
    <w:rsid w:val="0015344E"/>
    <w:rsid w:val="001554E5"/>
    <w:rsid w:val="00155721"/>
    <w:rsid w:val="001579E5"/>
    <w:rsid w:val="0016503F"/>
    <w:rsid w:val="0016674F"/>
    <w:rsid w:val="00167CA0"/>
    <w:rsid w:val="0017120D"/>
    <w:rsid w:val="001714F6"/>
    <w:rsid w:val="001721D3"/>
    <w:rsid w:val="001735D8"/>
    <w:rsid w:val="00174766"/>
    <w:rsid w:val="00176168"/>
    <w:rsid w:val="00176563"/>
    <w:rsid w:val="00177158"/>
    <w:rsid w:val="00184FD4"/>
    <w:rsid w:val="00186B04"/>
    <w:rsid w:val="00186F1E"/>
    <w:rsid w:val="001902FB"/>
    <w:rsid w:val="00190836"/>
    <w:rsid w:val="00190B4F"/>
    <w:rsid w:val="00193930"/>
    <w:rsid w:val="00194B36"/>
    <w:rsid w:val="001963A5"/>
    <w:rsid w:val="00196F1E"/>
    <w:rsid w:val="00197FCA"/>
    <w:rsid w:val="001A27DB"/>
    <w:rsid w:val="001A6852"/>
    <w:rsid w:val="001B02A8"/>
    <w:rsid w:val="001B286A"/>
    <w:rsid w:val="001B2D02"/>
    <w:rsid w:val="001B3647"/>
    <w:rsid w:val="001B3EF0"/>
    <w:rsid w:val="001B77FA"/>
    <w:rsid w:val="001C0ABE"/>
    <w:rsid w:val="001C1F44"/>
    <w:rsid w:val="001C5852"/>
    <w:rsid w:val="001C7B6D"/>
    <w:rsid w:val="001D45F0"/>
    <w:rsid w:val="001D5219"/>
    <w:rsid w:val="001E1335"/>
    <w:rsid w:val="001E4A33"/>
    <w:rsid w:val="001E5C27"/>
    <w:rsid w:val="001E6CAF"/>
    <w:rsid w:val="001F0EEB"/>
    <w:rsid w:val="001F110E"/>
    <w:rsid w:val="001F2A2F"/>
    <w:rsid w:val="001F2BEB"/>
    <w:rsid w:val="001F3C2D"/>
    <w:rsid w:val="001F602B"/>
    <w:rsid w:val="001F6AC8"/>
    <w:rsid w:val="002037D5"/>
    <w:rsid w:val="00206F90"/>
    <w:rsid w:val="00207500"/>
    <w:rsid w:val="002110FD"/>
    <w:rsid w:val="00212B03"/>
    <w:rsid w:val="00214410"/>
    <w:rsid w:val="00215C10"/>
    <w:rsid w:val="00215C2D"/>
    <w:rsid w:val="00224AF6"/>
    <w:rsid w:val="002252C4"/>
    <w:rsid w:val="0022541A"/>
    <w:rsid w:val="0023102F"/>
    <w:rsid w:val="0023140A"/>
    <w:rsid w:val="0023183E"/>
    <w:rsid w:val="00232B04"/>
    <w:rsid w:val="00233227"/>
    <w:rsid w:val="002339F8"/>
    <w:rsid w:val="00235138"/>
    <w:rsid w:val="002378FE"/>
    <w:rsid w:val="002434ED"/>
    <w:rsid w:val="00243E36"/>
    <w:rsid w:val="00244393"/>
    <w:rsid w:val="0024540B"/>
    <w:rsid w:val="00245EF4"/>
    <w:rsid w:val="00250E11"/>
    <w:rsid w:val="00251383"/>
    <w:rsid w:val="002522C9"/>
    <w:rsid w:val="00252A21"/>
    <w:rsid w:val="00253E4F"/>
    <w:rsid w:val="002542E4"/>
    <w:rsid w:val="00257E7F"/>
    <w:rsid w:val="00260E9F"/>
    <w:rsid w:val="00260EB0"/>
    <w:rsid w:val="00261053"/>
    <w:rsid w:val="0026220E"/>
    <w:rsid w:val="00262FDE"/>
    <w:rsid w:val="002631C5"/>
    <w:rsid w:val="00263629"/>
    <w:rsid w:val="002641D0"/>
    <w:rsid w:val="00266C62"/>
    <w:rsid w:val="002769BD"/>
    <w:rsid w:val="002809EA"/>
    <w:rsid w:val="00280BE8"/>
    <w:rsid w:val="002827FA"/>
    <w:rsid w:val="00284962"/>
    <w:rsid w:val="00287B0E"/>
    <w:rsid w:val="00292FAB"/>
    <w:rsid w:val="0029549C"/>
    <w:rsid w:val="002954B9"/>
    <w:rsid w:val="002A0B53"/>
    <w:rsid w:val="002A0EEF"/>
    <w:rsid w:val="002A3C08"/>
    <w:rsid w:val="002A62C7"/>
    <w:rsid w:val="002A7521"/>
    <w:rsid w:val="002B2316"/>
    <w:rsid w:val="002B2DF7"/>
    <w:rsid w:val="002C01B5"/>
    <w:rsid w:val="002C0E0E"/>
    <w:rsid w:val="002C1B88"/>
    <w:rsid w:val="002C1D46"/>
    <w:rsid w:val="002C2A0D"/>
    <w:rsid w:val="002C3BF4"/>
    <w:rsid w:val="002C749F"/>
    <w:rsid w:val="002D1586"/>
    <w:rsid w:val="002D190A"/>
    <w:rsid w:val="002E1BC5"/>
    <w:rsid w:val="002E5AE1"/>
    <w:rsid w:val="002F059B"/>
    <w:rsid w:val="002F12D7"/>
    <w:rsid w:val="002F24B2"/>
    <w:rsid w:val="002F2ED5"/>
    <w:rsid w:val="002F3093"/>
    <w:rsid w:val="002F5494"/>
    <w:rsid w:val="002F5B0B"/>
    <w:rsid w:val="00300924"/>
    <w:rsid w:val="0030425C"/>
    <w:rsid w:val="00305777"/>
    <w:rsid w:val="0030596E"/>
    <w:rsid w:val="003073C3"/>
    <w:rsid w:val="003106D7"/>
    <w:rsid w:val="00312E45"/>
    <w:rsid w:val="00323637"/>
    <w:rsid w:val="00324E8A"/>
    <w:rsid w:val="00331599"/>
    <w:rsid w:val="00331D87"/>
    <w:rsid w:val="00332850"/>
    <w:rsid w:val="00334478"/>
    <w:rsid w:val="003346B4"/>
    <w:rsid w:val="00334AE6"/>
    <w:rsid w:val="003365D0"/>
    <w:rsid w:val="00336CCE"/>
    <w:rsid w:val="003439AB"/>
    <w:rsid w:val="0034525B"/>
    <w:rsid w:val="003453E4"/>
    <w:rsid w:val="00354695"/>
    <w:rsid w:val="0035549B"/>
    <w:rsid w:val="00355563"/>
    <w:rsid w:val="003755C8"/>
    <w:rsid w:val="00375687"/>
    <w:rsid w:val="00375C20"/>
    <w:rsid w:val="00380AE0"/>
    <w:rsid w:val="00383324"/>
    <w:rsid w:val="00385B6A"/>
    <w:rsid w:val="00387357"/>
    <w:rsid w:val="00387A75"/>
    <w:rsid w:val="003904FD"/>
    <w:rsid w:val="0039246C"/>
    <w:rsid w:val="00394254"/>
    <w:rsid w:val="0039465F"/>
    <w:rsid w:val="0039488B"/>
    <w:rsid w:val="00394AE3"/>
    <w:rsid w:val="0039552F"/>
    <w:rsid w:val="003A326E"/>
    <w:rsid w:val="003A6EFF"/>
    <w:rsid w:val="003C2BFB"/>
    <w:rsid w:val="003C3440"/>
    <w:rsid w:val="003C3E2D"/>
    <w:rsid w:val="003C436B"/>
    <w:rsid w:val="003C5337"/>
    <w:rsid w:val="003C5F92"/>
    <w:rsid w:val="003C7FD8"/>
    <w:rsid w:val="003D0F03"/>
    <w:rsid w:val="003D329F"/>
    <w:rsid w:val="003D4C7B"/>
    <w:rsid w:val="003D7A8C"/>
    <w:rsid w:val="003D7C00"/>
    <w:rsid w:val="003E0EB4"/>
    <w:rsid w:val="003E423D"/>
    <w:rsid w:val="003E56E5"/>
    <w:rsid w:val="003E7051"/>
    <w:rsid w:val="003E7237"/>
    <w:rsid w:val="003E7E60"/>
    <w:rsid w:val="003F00D4"/>
    <w:rsid w:val="003F0592"/>
    <w:rsid w:val="003F2209"/>
    <w:rsid w:val="003F3D39"/>
    <w:rsid w:val="003F4D7C"/>
    <w:rsid w:val="003F646A"/>
    <w:rsid w:val="003F6761"/>
    <w:rsid w:val="003F6A0A"/>
    <w:rsid w:val="003F6A5A"/>
    <w:rsid w:val="004024F5"/>
    <w:rsid w:val="00402DE1"/>
    <w:rsid w:val="00403D8B"/>
    <w:rsid w:val="004058F1"/>
    <w:rsid w:val="00407243"/>
    <w:rsid w:val="00407E7D"/>
    <w:rsid w:val="0041076A"/>
    <w:rsid w:val="0041283D"/>
    <w:rsid w:val="00413AB4"/>
    <w:rsid w:val="00415EBC"/>
    <w:rsid w:val="0042037B"/>
    <w:rsid w:val="00421373"/>
    <w:rsid w:val="00421FB7"/>
    <w:rsid w:val="00424130"/>
    <w:rsid w:val="0042763B"/>
    <w:rsid w:val="00427D1C"/>
    <w:rsid w:val="0043024C"/>
    <w:rsid w:val="00431A0D"/>
    <w:rsid w:val="004321C9"/>
    <w:rsid w:val="00433FEC"/>
    <w:rsid w:val="00436706"/>
    <w:rsid w:val="00442550"/>
    <w:rsid w:val="00443D38"/>
    <w:rsid w:val="00446CEC"/>
    <w:rsid w:val="00447D5F"/>
    <w:rsid w:val="0045022B"/>
    <w:rsid w:val="00450E7A"/>
    <w:rsid w:val="00456530"/>
    <w:rsid w:val="00456AF8"/>
    <w:rsid w:val="00456DBB"/>
    <w:rsid w:val="00457017"/>
    <w:rsid w:val="00464984"/>
    <w:rsid w:val="00464D98"/>
    <w:rsid w:val="004667B3"/>
    <w:rsid w:val="00470B15"/>
    <w:rsid w:val="00472284"/>
    <w:rsid w:val="00472BCC"/>
    <w:rsid w:val="00475869"/>
    <w:rsid w:val="00475A77"/>
    <w:rsid w:val="004765AC"/>
    <w:rsid w:val="004776A8"/>
    <w:rsid w:val="00477EF1"/>
    <w:rsid w:val="004801EB"/>
    <w:rsid w:val="00482DDC"/>
    <w:rsid w:val="00483E6C"/>
    <w:rsid w:val="00484421"/>
    <w:rsid w:val="00485129"/>
    <w:rsid w:val="00486191"/>
    <w:rsid w:val="004866A9"/>
    <w:rsid w:val="0048687E"/>
    <w:rsid w:val="00490FB8"/>
    <w:rsid w:val="00492774"/>
    <w:rsid w:val="00496D7A"/>
    <w:rsid w:val="004A31BC"/>
    <w:rsid w:val="004A3F1A"/>
    <w:rsid w:val="004A3F45"/>
    <w:rsid w:val="004B1AFA"/>
    <w:rsid w:val="004B1D73"/>
    <w:rsid w:val="004B6047"/>
    <w:rsid w:val="004B7088"/>
    <w:rsid w:val="004C5B76"/>
    <w:rsid w:val="004C6EC9"/>
    <w:rsid w:val="004D02CD"/>
    <w:rsid w:val="004D0B24"/>
    <w:rsid w:val="004D4182"/>
    <w:rsid w:val="004D4B90"/>
    <w:rsid w:val="004D56A4"/>
    <w:rsid w:val="004D6A81"/>
    <w:rsid w:val="004D6B95"/>
    <w:rsid w:val="004D7F41"/>
    <w:rsid w:val="004E03A2"/>
    <w:rsid w:val="004E205F"/>
    <w:rsid w:val="004E2765"/>
    <w:rsid w:val="004E2A0C"/>
    <w:rsid w:val="004E317E"/>
    <w:rsid w:val="004E3954"/>
    <w:rsid w:val="004E5856"/>
    <w:rsid w:val="004F2330"/>
    <w:rsid w:val="004F24A7"/>
    <w:rsid w:val="004F3A73"/>
    <w:rsid w:val="004F53C6"/>
    <w:rsid w:val="004F619E"/>
    <w:rsid w:val="004F69DB"/>
    <w:rsid w:val="004F6B87"/>
    <w:rsid w:val="005006DE"/>
    <w:rsid w:val="00501C2D"/>
    <w:rsid w:val="00502637"/>
    <w:rsid w:val="005078DF"/>
    <w:rsid w:val="00507EE9"/>
    <w:rsid w:val="00511018"/>
    <w:rsid w:val="00511140"/>
    <w:rsid w:val="00511F86"/>
    <w:rsid w:val="00513CFE"/>
    <w:rsid w:val="00514656"/>
    <w:rsid w:val="00516EDB"/>
    <w:rsid w:val="0052260A"/>
    <w:rsid w:val="0052384A"/>
    <w:rsid w:val="00523B6A"/>
    <w:rsid w:val="00525B6E"/>
    <w:rsid w:val="00525F6C"/>
    <w:rsid w:val="005264D9"/>
    <w:rsid w:val="005319D8"/>
    <w:rsid w:val="005421DB"/>
    <w:rsid w:val="00542BBF"/>
    <w:rsid w:val="00546AB4"/>
    <w:rsid w:val="005514E5"/>
    <w:rsid w:val="00552BB8"/>
    <w:rsid w:val="00553500"/>
    <w:rsid w:val="00563A3F"/>
    <w:rsid w:val="00563C84"/>
    <w:rsid w:val="00566526"/>
    <w:rsid w:val="00567AF3"/>
    <w:rsid w:val="005762F6"/>
    <w:rsid w:val="00576646"/>
    <w:rsid w:val="0058188F"/>
    <w:rsid w:val="00584FBE"/>
    <w:rsid w:val="00585483"/>
    <w:rsid w:val="00586063"/>
    <w:rsid w:val="00587378"/>
    <w:rsid w:val="00587C05"/>
    <w:rsid w:val="00590AAB"/>
    <w:rsid w:val="0059116F"/>
    <w:rsid w:val="00592675"/>
    <w:rsid w:val="005938C3"/>
    <w:rsid w:val="0059468C"/>
    <w:rsid w:val="00595125"/>
    <w:rsid w:val="005957EA"/>
    <w:rsid w:val="00596F21"/>
    <w:rsid w:val="005A0C83"/>
    <w:rsid w:val="005A2F15"/>
    <w:rsid w:val="005A7B8E"/>
    <w:rsid w:val="005B069D"/>
    <w:rsid w:val="005B1CDD"/>
    <w:rsid w:val="005B1E19"/>
    <w:rsid w:val="005B55FC"/>
    <w:rsid w:val="005B6456"/>
    <w:rsid w:val="005C0B39"/>
    <w:rsid w:val="005C2D5E"/>
    <w:rsid w:val="005C3B81"/>
    <w:rsid w:val="005C60CF"/>
    <w:rsid w:val="005C650C"/>
    <w:rsid w:val="005D086C"/>
    <w:rsid w:val="005D11D3"/>
    <w:rsid w:val="005D2DA9"/>
    <w:rsid w:val="005D4E1F"/>
    <w:rsid w:val="005D4FB3"/>
    <w:rsid w:val="005D7DC0"/>
    <w:rsid w:val="005E0B58"/>
    <w:rsid w:val="005E2F07"/>
    <w:rsid w:val="005E2FEA"/>
    <w:rsid w:val="005E536E"/>
    <w:rsid w:val="005E6E94"/>
    <w:rsid w:val="005F314B"/>
    <w:rsid w:val="005F722D"/>
    <w:rsid w:val="006019FB"/>
    <w:rsid w:val="00611AF2"/>
    <w:rsid w:val="0061212B"/>
    <w:rsid w:val="006127AF"/>
    <w:rsid w:val="0061311D"/>
    <w:rsid w:val="00615D12"/>
    <w:rsid w:val="00615FB2"/>
    <w:rsid w:val="00617BD1"/>
    <w:rsid w:val="00617CE8"/>
    <w:rsid w:val="00624CEB"/>
    <w:rsid w:val="006278A0"/>
    <w:rsid w:val="0063095F"/>
    <w:rsid w:val="006336E3"/>
    <w:rsid w:val="006338B0"/>
    <w:rsid w:val="006346DF"/>
    <w:rsid w:val="00635747"/>
    <w:rsid w:val="0063676D"/>
    <w:rsid w:val="006375C0"/>
    <w:rsid w:val="00642D36"/>
    <w:rsid w:val="00643E92"/>
    <w:rsid w:val="00644E36"/>
    <w:rsid w:val="00646AC2"/>
    <w:rsid w:val="00650390"/>
    <w:rsid w:val="00651080"/>
    <w:rsid w:val="00652862"/>
    <w:rsid w:val="00654DAB"/>
    <w:rsid w:val="0066204A"/>
    <w:rsid w:val="006644C0"/>
    <w:rsid w:val="006645EF"/>
    <w:rsid w:val="00667557"/>
    <w:rsid w:val="00670E3C"/>
    <w:rsid w:val="00675ED3"/>
    <w:rsid w:val="00677092"/>
    <w:rsid w:val="006770E6"/>
    <w:rsid w:val="00677F57"/>
    <w:rsid w:val="00680FC5"/>
    <w:rsid w:val="00681088"/>
    <w:rsid w:val="00682DDD"/>
    <w:rsid w:val="00691264"/>
    <w:rsid w:val="006926CC"/>
    <w:rsid w:val="00692E7B"/>
    <w:rsid w:val="0069577E"/>
    <w:rsid w:val="0069634B"/>
    <w:rsid w:val="00696623"/>
    <w:rsid w:val="006A04E9"/>
    <w:rsid w:val="006A268F"/>
    <w:rsid w:val="006A4A03"/>
    <w:rsid w:val="006A531E"/>
    <w:rsid w:val="006A55DB"/>
    <w:rsid w:val="006A585F"/>
    <w:rsid w:val="006A624E"/>
    <w:rsid w:val="006A72FA"/>
    <w:rsid w:val="006A7543"/>
    <w:rsid w:val="006B6EDE"/>
    <w:rsid w:val="006B725C"/>
    <w:rsid w:val="006C273D"/>
    <w:rsid w:val="006C5C4F"/>
    <w:rsid w:val="006C6282"/>
    <w:rsid w:val="006C762A"/>
    <w:rsid w:val="006D10CD"/>
    <w:rsid w:val="006D26D4"/>
    <w:rsid w:val="006D42F5"/>
    <w:rsid w:val="006D5FF9"/>
    <w:rsid w:val="006D77F4"/>
    <w:rsid w:val="006E0772"/>
    <w:rsid w:val="006E0F86"/>
    <w:rsid w:val="006E6BA4"/>
    <w:rsid w:val="006F0B15"/>
    <w:rsid w:val="006F0DCC"/>
    <w:rsid w:val="006F25F3"/>
    <w:rsid w:val="006F731D"/>
    <w:rsid w:val="007006E8"/>
    <w:rsid w:val="00703DF9"/>
    <w:rsid w:val="007048EB"/>
    <w:rsid w:val="00704FBB"/>
    <w:rsid w:val="0070726A"/>
    <w:rsid w:val="0070729B"/>
    <w:rsid w:val="00711094"/>
    <w:rsid w:val="007121BC"/>
    <w:rsid w:val="0071226B"/>
    <w:rsid w:val="00713ACD"/>
    <w:rsid w:val="007148B4"/>
    <w:rsid w:val="00716352"/>
    <w:rsid w:val="00717040"/>
    <w:rsid w:val="00717184"/>
    <w:rsid w:val="00722754"/>
    <w:rsid w:val="0072604D"/>
    <w:rsid w:val="007304EE"/>
    <w:rsid w:val="007339B7"/>
    <w:rsid w:val="00744CD7"/>
    <w:rsid w:val="00753236"/>
    <w:rsid w:val="00766CC0"/>
    <w:rsid w:val="00766D30"/>
    <w:rsid w:val="00770262"/>
    <w:rsid w:val="00772720"/>
    <w:rsid w:val="00773F5E"/>
    <w:rsid w:val="007750A2"/>
    <w:rsid w:val="00777F26"/>
    <w:rsid w:val="007817D6"/>
    <w:rsid w:val="00787912"/>
    <w:rsid w:val="0079177A"/>
    <w:rsid w:val="00791CFA"/>
    <w:rsid w:val="00794836"/>
    <w:rsid w:val="007948D5"/>
    <w:rsid w:val="007A15C9"/>
    <w:rsid w:val="007A21C5"/>
    <w:rsid w:val="007A6676"/>
    <w:rsid w:val="007B7FF5"/>
    <w:rsid w:val="007C3FC6"/>
    <w:rsid w:val="007D2CE9"/>
    <w:rsid w:val="007D35C8"/>
    <w:rsid w:val="007D4951"/>
    <w:rsid w:val="007D4FED"/>
    <w:rsid w:val="007D69DA"/>
    <w:rsid w:val="007D70B1"/>
    <w:rsid w:val="007D7140"/>
    <w:rsid w:val="007E1C73"/>
    <w:rsid w:val="007E1CDB"/>
    <w:rsid w:val="007E3302"/>
    <w:rsid w:val="007E408C"/>
    <w:rsid w:val="007E42E7"/>
    <w:rsid w:val="007E7E21"/>
    <w:rsid w:val="007F0460"/>
    <w:rsid w:val="007F0DA2"/>
    <w:rsid w:val="007F39CE"/>
    <w:rsid w:val="007F5E0D"/>
    <w:rsid w:val="007F6F3F"/>
    <w:rsid w:val="007F7A36"/>
    <w:rsid w:val="00801085"/>
    <w:rsid w:val="00801542"/>
    <w:rsid w:val="00801A89"/>
    <w:rsid w:val="00805038"/>
    <w:rsid w:val="00807E44"/>
    <w:rsid w:val="00812138"/>
    <w:rsid w:val="008151F2"/>
    <w:rsid w:val="0081777A"/>
    <w:rsid w:val="008210E0"/>
    <w:rsid w:val="00824079"/>
    <w:rsid w:val="008301A8"/>
    <w:rsid w:val="00831F0A"/>
    <w:rsid w:val="00833A78"/>
    <w:rsid w:val="008356E6"/>
    <w:rsid w:val="00836F61"/>
    <w:rsid w:val="0084585F"/>
    <w:rsid w:val="008462B4"/>
    <w:rsid w:val="00846A62"/>
    <w:rsid w:val="00846A8B"/>
    <w:rsid w:val="0085047C"/>
    <w:rsid w:val="008514A9"/>
    <w:rsid w:val="00853E53"/>
    <w:rsid w:val="0086025B"/>
    <w:rsid w:val="008615FF"/>
    <w:rsid w:val="00864D76"/>
    <w:rsid w:val="00865159"/>
    <w:rsid w:val="008656C9"/>
    <w:rsid w:val="0086711C"/>
    <w:rsid w:val="00867535"/>
    <w:rsid w:val="00875C5B"/>
    <w:rsid w:val="008773CE"/>
    <w:rsid w:val="00883C5F"/>
    <w:rsid w:val="00891C7D"/>
    <w:rsid w:val="00892FA7"/>
    <w:rsid w:val="0089525E"/>
    <w:rsid w:val="0089589D"/>
    <w:rsid w:val="00896B4D"/>
    <w:rsid w:val="00896F44"/>
    <w:rsid w:val="008A3301"/>
    <w:rsid w:val="008A4DF1"/>
    <w:rsid w:val="008A5636"/>
    <w:rsid w:val="008B0BA0"/>
    <w:rsid w:val="008B125E"/>
    <w:rsid w:val="008B241C"/>
    <w:rsid w:val="008B408B"/>
    <w:rsid w:val="008B4F11"/>
    <w:rsid w:val="008B7426"/>
    <w:rsid w:val="008C2362"/>
    <w:rsid w:val="008C3049"/>
    <w:rsid w:val="008C6065"/>
    <w:rsid w:val="008C6F2C"/>
    <w:rsid w:val="008C7780"/>
    <w:rsid w:val="008D232D"/>
    <w:rsid w:val="008D2D52"/>
    <w:rsid w:val="008D4AE9"/>
    <w:rsid w:val="008D5CF3"/>
    <w:rsid w:val="008D5E21"/>
    <w:rsid w:val="008D62AF"/>
    <w:rsid w:val="008D7D39"/>
    <w:rsid w:val="008E3AA1"/>
    <w:rsid w:val="008E4574"/>
    <w:rsid w:val="008F4016"/>
    <w:rsid w:val="008F42FE"/>
    <w:rsid w:val="008F4970"/>
    <w:rsid w:val="008F4A00"/>
    <w:rsid w:val="008F5402"/>
    <w:rsid w:val="0090053A"/>
    <w:rsid w:val="00900EB3"/>
    <w:rsid w:val="00901513"/>
    <w:rsid w:val="00901C2A"/>
    <w:rsid w:val="00902F72"/>
    <w:rsid w:val="00904D49"/>
    <w:rsid w:val="009076F9"/>
    <w:rsid w:val="009118C7"/>
    <w:rsid w:val="0091319F"/>
    <w:rsid w:val="009201A0"/>
    <w:rsid w:val="009223A1"/>
    <w:rsid w:val="009225B6"/>
    <w:rsid w:val="009243A0"/>
    <w:rsid w:val="00925397"/>
    <w:rsid w:val="00933A21"/>
    <w:rsid w:val="00934C10"/>
    <w:rsid w:val="0093662A"/>
    <w:rsid w:val="009375C3"/>
    <w:rsid w:val="00940345"/>
    <w:rsid w:val="0094060C"/>
    <w:rsid w:val="00944075"/>
    <w:rsid w:val="00945908"/>
    <w:rsid w:val="00947E32"/>
    <w:rsid w:val="009533AB"/>
    <w:rsid w:val="00954D1C"/>
    <w:rsid w:val="00955A4A"/>
    <w:rsid w:val="00955A7E"/>
    <w:rsid w:val="00957B3B"/>
    <w:rsid w:val="009606A5"/>
    <w:rsid w:val="00962F1F"/>
    <w:rsid w:val="00963702"/>
    <w:rsid w:val="00965304"/>
    <w:rsid w:val="00966CC0"/>
    <w:rsid w:val="00971293"/>
    <w:rsid w:val="00973A3B"/>
    <w:rsid w:val="00973C8C"/>
    <w:rsid w:val="0097724C"/>
    <w:rsid w:val="00977AAB"/>
    <w:rsid w:val="009808AB"/>
    <w:rsid w:val="00982532"/>
    <w:rsid w:val="00982B0B"/>
    <w:rsid w:val="00983EAE"/>
    <w:rsid w:val="009847CC"/>
    <w:rsid w:val="00984816"/>
    <w:rsid w:val="00985C12"/>
    <w:rsid w:val="0098753B"/>
    <w:rsid w:val="0098760B"/>
    <w:rsid w:val="0099164C"/>
    <w:rsid w:val="009916F4"/>
    <w:rsid w:val="00991EF7"/>
    <w:rsid w:val="0099406B"/>
    <w:rsid w:val="00996B1F"/>
    <w:rsid w:val="009A11DD"/>
    <w:rsid w:val="009A6C7C"/>
    <w:rsid w:val="009B0B74"/>
    <w:rsid w:val="009B30AA"/>
    <w:rsid w:val="009B49FD"/>
    <w:rsid w:val="009B5217"/>
    <w:rsid w:val="009C4798"/>
    <w:rsid w:val="009C48DE"/>
    <w:rsid w:val="009C677B"/>
    <w:rsid w:val="009C7861"/>
    <w:rsid w:val="009D5ABE"/>
    <w:rsid w:val="009D7295"/>
    <w:rsid w:val="009D7526"/>
    <w:rsid w:val="009E1E1E"/>
    <w:rsid w:val="009E20D2"/>
    <w:rsid w:val="009E33E3"/>
    <w:rsid w:val="009E5590"/>
    <w:rsid w:val="009E7F16"/>
    <w:rsid w:val="009F2957"/>
    <w:rsid w:val="009F3E10"/>
    <w:rsid w:val="009F4871"/>
    <w:rsid w:val="009F5052"/>
    <w:rsid w:val="00A00842"/>
    <w:rsid w:val="00A02A1C"/>
    <w:rsid w:val="00A04C85"/>
    <w:rsid w:val="00A06639"/>
    <w:rsid w:val="00A06719"/>
    <w:rsid w:val="00A100F0"/>
    <w:rsid w:val="00A13C4C"/>
    <w:rsid w:val="00A156E6"/>
    <w:rsid w:val="00A220E8"/>
    <w:rsid w:val="00A227A4"/>
    <w:rsid w:val="00A257C5"/>
    <w:rsid w:val="00A27D86"/>
    <w:rsid w:val="00A316C0"/>
    <w:rsid w:val="00A33151"/>
    <w:rsid w:val="00A36970"/>
    <w:rsid w:val="00A36F09"/>
    <w:rsid w:val="00A41EB4"/>
    <w:rsid w:val="00A4250D"/>
    <w:rsid w:val="00A44BFF"/>
    <w:rsid w:val="00A47B55"/>
    <w:rsid w:val="00A501E3"/>
    <w:rsid w:val="00A50F0C"/>
    <w:rsid w:val="00A53A5D"/>
    <w:rsid w:val="00A55F00"/>
    <w:rsid w:val="00A56441"/>
    <w:rsid w:val="00A64B79"/>
    <w:rsid w:val="00A651B7"/>
    <w:rsid w:val="00A66C45"/>
    <w:rsid w:val="00A70391"/>
    <w:rsid w:val="00A72CAE"/>
    <w:rsid w:val="00A736DD"/>
    <w:rsid w:val="00A73A82"/>
    <w:rsid w:val="00A76E78"/>
    <w:rsid w:val="00A774EA"/>
    <w:rsid w:val="00A77BCE"/>
    <w:rsid w:val="00A809FF"/>
    <w:rsid w:val="00A80FC7"/>
    <w:rsid w:val="00A82869"/>
    <w:rsid w:val="00A83153"/>
    <w:rsid w:val="00A8758C"/>
    <w:rsid w:val="00A87CF0"/>
    <w:rsid w:val="00A90912"/>
    <w:rsid w:val="00A91006"/>
    <w:rsid w:val="00A92BAF"/>
    <w:rsid w:val="00A93381"/>
    <w:rsid w:val="00A96BF0"/>
    <w:rsid w:val="00A978E5"/>
    <w:rsid w:val="00AA127E"/>
    <w:rsid w:val="00AA19AE"/>
    <w:rsid w:val="00AA423D"/>
    <w:rsid w:val="00AA6A95"/>
    <w:rsid w:val="00AB10DE"/>
    <w:rsid w:val="00AB3460"/>
    <w:rsid w:val="00AB3668"/>
    <w:rsid w:val="00AB4940"/>
    <w:rsid w:val="00AB5ED7"/>
    <w:rsid w:val="00AC08D1"/>
    <w:rsid w:val="00AC0B4C"/>
    <w:rsid w:val="00AC3B00"/>
    <w:rsid w:val="00AC6708"/>
    <w:rsid w:val="00AD0AEE"/>
    <w:rsid w:val="00AD49E3"/>
    <w:rsid w:val="00AD4B4F"/>
    <w:rsid w:val="00AE40F1"/>
    <w:rsid w:val="00AE48F5"/>
    <w:rsid w:val="00AE6BDD"/>
    <w:rsid w:val="00AE7351"/>
    <w:rsid w:val="00AF0616"/>
    <w:rsid w:val="00AF0E28"/>
    <w:rsid w:val="00AF6AB3"/>
    <w:rsid w:val="00AF6F9B"/>
    <w:rsid w:val="00B01409"/>
    <w:rsid w:val="00B068BF"/>
    <w:rsid w:val="00B10DBD"/>
    <w:rsid w:val="00B12D33"/>
    <w:rsid w:val="00B15629"/>
    <w:rsid w:val="00B17C17"/>
    <w:rsid w:val="00B22ED8"/>
    <w:rsid w:val="00B23348"/>
    <w:rsid w:val="00B2372C"/>
    <w:rsid w:val="00B32F70"/>
    <w:rsid w:val="00B335BF"/>
    <w:rsid w:val="00B3365D"/>
    <w:rsid w:val="00B341DE"/>
    <w:rsid w:val="00B35D0B"/>
    <w:rsid w:val="00B373D0"/>
    <w:rsid w:val="00B37F84"/>
    <w:rsid w:val="00B43AAA"/>
    <w:rsid w:val="00B44A10"/>
    <w:rsid w:val="00B4628C"/>
    <w:rsid w:val="00B53139"/>
    <w:rsid w:val="00B547D7"/>
    <w:rsid w:val="00B55FAD"/>
    <w:rsid w:val="00B562CE"/>
    <w:rsid w:val="00B57A4F"/>
    <w:rsid w:val="00B60B84"/>
    <w:rsid w:val="00B62DE2"/>
    <w:rsid w:val="00B62FF9"/>
    <w:rsid w:val="00B650AB"/>
    <w:rsid w:val="00B70412"/>
    <w:rsid w:val="00B7275F"/>
    <w:rsid w:val="00B74417"/>
    <w:rsid w:val="00B74D36"/>
    <w:rsid w:val="00B757F4"/>
    <w:rsid w:val="00B77246"/>
    <w:rsid w:val="00B82982"/>
    <w:rsid w:val="00B82A90"/>
    <w:rsid w:val="00B857CC"/>
    <w:rsid w:val="00B86350"/>
    <w:rsid w:val="00B866CD"/>
    <w:rsid w:val="00B86E3F"/>
    <w:rsid w:val="00B9275E"/>
    <w:rsid w:val="00B93034"/>
    <w:rsid w:val="00B934C1"/>
    <w:rsid w:val="00B960B3"/>
    <w:rsid w:val="00B963BD"/>
    <w:rsid w:val="00B96F3F"/>
    <w:rsid w:val="00B97C5D"/>
    <w:rsid w:val="00BA1290"/>
    <w:rsid w:val="00BA3101"/>
    <w:rsid w:val="00BA3B2C"/>
    <w:rsid w:val="00BB2792"/>
    <w:rsid w:val="00BB6429"/>
    <w:rsid w:val="00BB76BF"/>
    <w:rsid w:val="00BC1AD1"/>
    <w:rsid w:val="00BC4167"/>
    <w:rsid w:val="00BC4A58"/>
    <w:rsid w:val="00BC4C83"/>
    <w:rsid w:val="00BC5878"/>
    <w:rsid w:val="00BC5AB9"/>
    <w:rsid w:val="00BC613B"/>
    <w:rsid w:val="00BC6C7B"/>
    <w:rsid w:val="00BD0343"/>
    <w:rsid w:val="00BD51D9"/>
    <w:rsid w:val="00BD5C76"/>
    <w:rsid w:val="00BD64E2"/>
    <w:rsid w:val="00BE1818"/>
    <w:rsid w:val="00BE3320"/>
    <w:rsid w:val="00BE4995"/>
    <w:rsid w:val="00BF429A"/>
    <w:rsid w:val="00BF62BE"/>
    <w:rsid w:val="00BF6E19"/>
    <w:rsid w:val="00C07126"/>
    <w:rsid w:val="00C07A90"/>
    <w:rsid w:val="00C10F07"/>
    <w:rsid w:val="00C1195A"/>
    <w:rsid w:val="00C11E95"/>
    <w:rsid w:val="00C155BD"/>
    <w:rsid w:val="00C16853"/>
    <w:rsid w:val="00C21827"/>
    <w:rsid w:val="00C23554"/>
    <w:rsid w:val="00C248B2"/>
    <w:rsid w:val="00C24993"/>
    <w:rsid w:val="00C263F0"/>
    <w:rsid w:val="00C26E0E"/>
    <w:rsid w:val="00C33D41"/>
    <w:rsid w:val="00C40106"/>
    <w:rsid w:val="00C40AFD"/>
    <w:rsid w:val="00C41E20"/>
    <w:rsid w:val="00C42E3E"/>
    <w:rsid w:val="00C51C13"/>
    <w:rsid w:val="00C51ECB"/>
    <w:rsid w:val="00C525A5"/>
    <w:rsid w:val="00C5300F"/>
    <w:rsid w:val="00C54D4E"/>
    <w:rsid w:val="00C57A3C"/>
    <w:rsid w:val="00C57BF3"/>
    <w:rsid w:val="00C6035D"/>
    <w:rsid w:val="00C61225"/>
    <w:rsid w:val="00C61739"/>
    <w:rsid w:val="00C66CE0"/>
    <w:rsid w:val="00C70486"/>
    <w:rsid w:val="00C714F2"/>
    <w:rsid w:val="00C717C5"/>
    <w:rsid w:val="00C71BED"/>
    <w:rsid w:val="00C747C0"/>
    <w:rsid w:val="00C76B75"/>
    <w:rsid w:val="00C804E6"/>
    <w:rsid w:val="00C81B53"/>
    <w:rsid w:val="00C82AD2"/>
    <w:rsid w:val="00C90AF8"/>
    <w:rsid w:val="00C90FB6"/>
    <w:rsid w:val="00C9220E"/>
    <w:rsid w:val="00C932BD"/>
    <w:rsid w:val="00C93429"/>
    <w:rsid w:val="00CA16C5"/>
    <w:rsid w:val="00CA415A"/>
    <w:rsid w:val="00CA4E5E"/>
    <w:rsid w:val="00CA5F85"/>
    <w:rsid w:val="00CA7A35"/>
    <w:rsid w:val="00CB1536"/>
    <w:rsid w:val="00CB18D3"/>
    <w:rsid w:val="00CB468C"/>
    <w:rsid w:val="00CB5F3C"/>
    <w:rsid w:val="00CB796B"/>
    <w:rsid w:val="00CB7FB8"/>
    <w:rsid w:val="00CB7FE8"/>
    <w:rsid w:val="00CC1F71"/>
    <w:rsid w:val="00CC27C4"/>
    <w:rsid w:val="00CC5EB3"/>
    <w:rsid w:val="00CD0E7B"/>
    <w:rsid w:val="00CD1B85"/>
    <w:rsid w:val="00CD2ABD"/>
    <w:rsid w:val="00CD4024"/>
    <w:rsid w:val="00CD4617"/>
    <w:rsid w:val="00CD4855"/>
    <w:rsid w:val="00CD4C3C"/>
    <w:rsid w:val="00CE4274"/>
    <w:rsid w:val="00CE6D43"/>
    <w:rsid w:val="00CE7644"/>
    <w:rsid w:val="00CE7888"/>
    <w:rsid w:val="00D01663"/>
    <w:rsid w:val="00D06B82"/>
    <w:rsid w:val="00D10E1C"/>
    <w:rsid w:val="00D14774"/>
    <w:rsid w:val="00D161A3"/>
    <w:rsid w:val="00D22E49"/>
    <w:rsid w:val="00D23716"/>
    <w:rsid w:val="00D25ED8"/>
    <w:rsid w:val="00D27F8F"/>
    <w:rsid w:val="00D316B8"/>
    <w:rsid w:val="00D31CFC"/>
    <w:rsid w:val="00D3215E"/>
    <w:rsid w:val="00D3255D"/>
    <w:rsid w:val="00D340C3"/>
    <w:rsid w:val="00D409CD"/>
    <w:rsid w:val="00D40F42"/>
    <w:rsid w:val="00D4195A"/>
    <w:rsid w:val="00D423D4"/>
    <w:rsid w:val="00D42CAF"/>
    <w:rsid w:val="00D4763B"/>
    <w:rsid w:val="00D53136"/>
    <w:rsid w:val="00D54E13"/>
    <w:rsid w:val="00D57311"/>
    <w:rsid w:val="00D601EF"/>
    <w:rsid w:val="00D61533"/>
    <w:rsid w:val="00D6277E"/>
    <w:rsid w:val="00D63B2F"/>
    <w:rsid w:val="00D6515D"/>
    <w:rsid w:val="00D70747"/>
    <w:rsid w:val="00D70BF4"/>
    <w:rsid w:val="00D71E1A"/>
    <w:rsid w:val="00D7261D"/>
    <w:rsid w:val="00D733CA"/>
    <w:rsid w:val="00D74CF8"/>
    <w:rsid w:val="00D755FC"/>
    <w:rsid w:val="00D76B6D"/>
    <w:rsid w:val="00D77863"/>
    <w:rsid w:val="00D8378F"/>
    <w:rsid w:val="00D84191"/>
    <w:rsid w:val="00D84D07"/>
    <w:rsid w:val="00D8526A"/>
    <w:rsid w:val="00D875BC"/>
    <w:rsid w:val="00D90B75"/>
    <w:rsid w:val="00D90E17"/>
    <w:rsid w:val="00D90E57"/>
    <w:rsid w:val="00D90E91"/>
    <w:rsid w:val="00D92B7B"/>
    <w:rsid w:val="00D9652A"/>
    <w:rsid w:val="00D966AB"/>
    <w:rsid w:val="00D978AD"/>
    <w:rsid w:val="00DA4C38"/>
    <w:rsid w:val="00DA6B21"/>
    <w:rsid w:val="00DA7D7A"/>
    <w:rsid w:val="00DB3C80"/>
    <w:rsid w:val="00DB53C1"/>
    <w:rsid w:val="00DC1347"/>
    <w:rsid w:val="00DC205E"/>
    <w:rsid w:val="00DC39F1"/>
    <w:rsid w:val="00DD31A7"/>
    <w:rsid w:val="00DE0A18"/>
    <w:rsid w:val="00DE20F2"/>
    <w:rsid w:val="00DE4B35"/>
    <w:rsid w:val="00DE6DAE"/>
    <w:rsid w:val="00DF0442"/>
    <w:rsid w:val="00DF19C1"/>
    <w:rsid w:val="00DF3C65"/>
    <w:rsid w:val="00DF54CA"/>
    <w:rsid w:val="00DF5B64"/>
    <w:rsid w:val="00E0251E"/>
    <w:rsid w:val="00E0267D"/>
    <w:rsid w:val="00E02794"/>
    <w:rsid w:val="00E0337E"/>
    <w:rsid w:val="00E03410"/>
    <w:rsid w:val="00E043E3"/>
    <w:rsid w:val="00E0505B"/>
    <w:rsid w:val="00E11280"/>
    <w:rsid w:val="00E12359"/>
    <w:rsid w:val="00E12A2C"/>
    <w:rsid w:val="00E1346E"/>
    <w:rsid w:val="00E15009"/>
    <w:rsid w:val="00E152FF"/>
    <w:rsid w:val="00E1560E"/>
    <w:rsid w:val="00E23808"/>
    <w:rsid w:val="00E2461B"/>
    <w:rsid w:val="00E24886"/>
    <w:rsid w:val="00E276FB"/>
    <w:rsid w:val="00E32595"/>
    <w:rsid w:val="00E33A74"/>
    <w:rsid w:val="00E33D8D"/>
    <w:rsid w:val="00E33F30"/>
    <w:rsid w:val="00E4030B"/>
    <w:rsid w:val="00E40E8D"/>
    <w:rsid w:val="00E41D56"/>
    <w:rsid w:val="00E457DF"/>
    <w:rsid w:val="00E4653D"/>
    <w:rsid w:val="00E46642"/>
    <w:rsid w:val="00E5139A"/>
    <w:rsid w:val="00E52683"/>
    <w:rsid w:val="00E52EA7"/>
    <w:rsid w:val="00E5413D"/>
    <w:rsid w:val="00E57977"/>
    <w:rsid w:val="00E57AAD"/>
    <w:rsid w:val="00E61E79"/>
    <w:rsid w:val="00E635D7"/>
    <w:rsid w:val="00E67B8E"/>
    <w:rsid w:val="00E70576"/>
    <w:rsid w:val="00E72527"/>
    <w:rsid w:val="00E76523"/>
    <w:rsid w:val="00E83954"/>
    <w:rsid w:val="00E91730"/>
    <w:rsid w:val="00E93357"/>
    <w:rsid w:val="00E96F04"/>
    <w:rsid w:val="00E97AEC"/>
    <w:rsid w:val="00EA20FE"/>
    <w:rsid w:val="00EA4087"/>
    <w:rsid w:val="00EA6D67"/>
    <w:rsid w:val="00EA7CA4"/>
    <w:rsid w:val="00EB491E"/>
    <w:rsid w:val="00EB5031"/>
    <w:rsid w:val="00EB5EDC"/>
    <w:rsid w:val="00EB681B"/>
    <w:rsid w:val="00EB70F8"/>
    <w:rsid w:val="00EC011B"/>
    <w:rsid w:val="00EC1319"/>
    <w:rsid w:val="00EC2C54"/>
    <w:rsid w:val="00EC4FAD"/>
    <w:rsid w:val="00ED05ED"/>
    <w:rsid w:val="00EE0D66"/>
    <w:rsid w:val="00EE3CFA"/>
    <w:rsid w:val="00EE69E4"/>
    <w:rsid w:val="00EF1115"/>
    <w:rsid w:val="00EF236E"/>
    <w:rsid w:val="00EF2A7F"/>
    <w:rsid w:val="00EF7E90"/>
    <w:rsid w:val="00F002B6"/>
    <w:rsid w:val="00F02B52"/>
    <w:rsid w:val="00F055DF"/>
    <w:rsid w:val="00F107E5"/>
    <w:rsid w:val="00F10AFE"/>
    <w:rsid w:val="00F15C6C"/>
    <w:rsid w:val="00F17173"/>
    <w:rsid w:val="00F204CE"/>
    <w:rsid w:val="00F224DC"/>
    <w:rsid w:val="00F23826"/>
    <w:rsid w:val="00F2687F"/>
    <w:rsid w:val="00F27F29"/>
    <w:rsid w:val="00F32D54"/>
    <w:rsid w:val="00F354E5"/>
    <w:rsid w:val="00F36C54"/>
    <w:rsid w:val="00F418EA"/>
    <w:rsid w:val="00F41A29"/>
    <w:rsid w:val="00F42B77"/>
    <w:rsid w:val="00F42DE2"/>
    <w:rsid w:val="00F44C1C"/>
    <w:rsid w:val="00F45214"/>
    <w:rsid w:val="00F45EC6"/>
    <w:rsid w:val="00F50BEA"/>
    <w:rsid w:val="00F518DF"/>
    <w:rsid w:val="00F53D2B"/>
    <w:rsid w:val="00F544DB"/>
    <w:rsid w:val="00F602E6"/>
    <w:rsid w:val="00F6502E"/>
    <w:rsid w:val="00F65663"/>
    <w:rsid w:val="00F7506E"/>
    <w:rsid w:val="00F756C0"/>
    <w:rsid w:val="00F75A40"/>
    <w:rsid w:val="00F75F6A"/>
    <w:rsid w:val="00F77637"/>
    <w:rsid w:val="00F77ADC"/>
    <w:rsid w:val="00F8088B"/>
    <w:rsid w:val="00F80D8E"/>
    <w:rsid w:val="00F80E3F"/>
    <w:rsid w:val="00F8435D"/>
    <w:rsid w:val="00F87DD0"/>
    <w:rsid w:val="00F91CA8"/>
    <w:rsid w:val="00F93360"/>
    <w:rsid w:val="00F93FE4"/>
    <w:rsid w:val="00F94A57"/>
    <w:rsid w:val="00F969AD"/>
    <w:rsid w:val="00F97E4E"/>
    <w:rsid w:val="00F97FEE"/>
    <w:rsid w:val="00FA217B"/>
    <w:rsid w:val="00FB0BC5"/>
    <w:rsid w:val="00FB0BCC"/>
    <w:rsid w:val="00FB16C2"/>
    <w:rsid w:val="00FC0FE5"/>
    <w:rsid w:val="00FC3AA1"/>
    <w:rsid w:val="00FC6E75"/>
    <w:rsid w:val="00FD1ABC"/>
    <w:rsid w:val="00FD7DDF"/>
    <w:rsid w:val="00FE1DC4"/>
    <w:rsid w:val="00FE4C92"/>
    <w:rsid w:val="00FE592B"/>
    <w:rsid w:val="00FE781C"/>
    <w:rsid w:val="00FF0FAA"/>
    <w:rsid w:val="00FF12D9"/>
    <w:rsid w:val="00FF1FDA"/>
    <w:rsid w:val="00FF4396"/>
    <w:rsid w:val="00FF7F4E"/>
    <w:rsid w:val="4CF6D5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E5229C7"/>
  <w15:docId w15:val="{56932097-87C0-42E1-8174-C51810A2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l-SI" w:eastAsia="en-GB" w:bidi="en-GB"/>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qFormat="1"/>
    <w:lsdException w:name="annotation text" w:semiHidden="1" w:uiPriority="0" w:unhideWhenUsed="1"/>
    <w:lsdException w:name="header" w:locked="1" w:semiHidden="1" w:uiPriority="0"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4E5"/>
    <w:pPr>
      <w:overflowPunct w:val="0"/>
      <w:autoSpaceDE w:val="0"/>
      <w:autoSpaceDN w:val="0"/>
      <w:adjustRightInd w:val="0"/>
      <w:spacing w:line="288" w:lineRule="auto"/>
      <w:jc w:val="both"/>
      <w:textAlignment w:val="baseline"/>
    </w:pPr>
    <w:rPr>
      <w:szCs w:val="20"/>
      <w:lang w:eastAsia="en-US" w:bidi="ar-SA"/>
    </w:rPr>
  </w:style>
  <w:style w:type="paragraph" w:styleId="Heading1">
    <w:name w:val="heading 1"/>
    <w:basedOn w:val="Normal"/>
    <w:next w:val="Normal"/>
    <w:link w:val="Heading1Char"/>
    <w:qFormat/>
    <w:rsid w:val="00A316C0"/>
    <w:pPr>
      <w:numPr>
        <w:numId w:val="2"/>
      </w:numPr>
      <w:outlineLvl w:val="0"/>
    </w:pPr>
    <w:rPr>
      <w:kern w:val="28"/>
    </w:rPr>
  </w:style>
  <w:style w:type="paragraph" w:styleId="Heading2">
    <w:name w:val="heading 2"/>
    <w:basedOn w:val="Normal"/>
    <w:next w:val="Normal"/>
    <w:link w:val="Heading2Char"/>
    <w:qFormat/>
    <w:rsid w:val="00977AAB"/>
    <w:pPr>
      <w:numPr>
        <w:ilvl w:val="1"/>
        <w:numId w:val="2"/>
      </w:numPr>
      <w:outlineLvl w:val="1"/>
    </w:pPr>
  </w:style>
  <w:style w:type="paragraph" w:styleId="Heading3">
    <w:name w:val="heading 3"/>
    <w:basedOn w:val="Normal"/>
    <w:next w:val="Normal"/>
    <w:link w:val="Heading3Char"/>
    <w:qFormat/>
    <w:rsid w:val="00A316C0"/>
    <w:pPr>
      <w:numPr>
        <w:ilvl w:val="2"/>
        <w:numId w:val="2"/>
      </w:numPr>
      <w:outlineLvl w:val="2"/>
    </w:pPr>
  </w:style>
  <w:style w:type="paragraph" w:styleId="Heading4">
    <w:name w:val="heading 4"/>
    <w:basedOn w:val="Normal"/>
    <w:next w:val="Normal"/>
    <w:link w:val="Heading4Char"/>
    <w:qFormat/>
    <w:rsid w:val="00A316C0"/>
    <w:pPr>
      <w:numPr>
        <w:ilvl w:val="3"/>
        <w:numId w:val="2"/>
      </w:numPr>
      <w:outlineLvl w:val="3"/>
    </w:pPr>
  </w:style>
  <w:style w:type="paragraph" w:styleId="Heading5">
    <w:name w:val="heading 5"/>
    <w:basedOn w:val="Normal"/>
    <w:next w:val="Normal"/>
    <w:link w:val="Heading5Char"/>
    <w:qFormat/>
    <w:rsid w:val="00A316C0"/>
    <w:pPr>
      <w:numPr>
        <w:ilvl w:val="4"/>
        <w:numId w:val="2"/>
      </w:numPr>
      <w:outlineLvl w:val="4"/>
    </w:pPr>
  </w:style>
  <w:style w:type="paragraph" w:styleId="Heading6">
    <w:name w:val="heading 6"/>
    <w:basedOn w:val="Normal"/>
    <w:next w:val="Normal"/>
    <w:link w:val="Heading6Char"/>
    <w:qFormat/>
    <w:rsid w:val="00A316C0"/>
    <w:pPr>
      <w:numPr>
        <w:ilvl w:val="5"/>
        <w:numId w:val="2"/>
      </w:numPr>
      <w:outlineLvl w:val="5"/>
    </w:pPr>
  </w:style>
  <w:style w:type="paragraph" w:styleId="Heading7">
    <w:name w:val="heading 7"/>
    <w:basedOn w:val="Normal"/>
    <w:next w:val="Normal"/>
    <w:link w:val="Heading7Char"/>
    <w:qFormat/>
    <w:rsid w:val="00A316C0"/>
    <w:pPr>
      <w:numPr>
        <w:ilvl w:val="6"/>
        <w:numId w:val="2"/>
      </w:numPr>
      <w:outlineLvl w:val="6"/>
    </w:pPr>
  </w:style>
  <w:style w:type="paragraph" w:styleId="Heading8">
    <w:name w:val="heading 8"/>
    <w:basedOn w:val="Normal"/>
    <w:next w:val="Normal"/>
    <w:link w:val="Heading8Char"/>
    <w:qFormat/>
    <w:rsid w:val="00A316C0"/>
    <w:pPr>
      <w:numPr>
        <w:ilvl w:val="7"/>
        <w:numId w:val="2"/>
      </w:numPr>
      <w:outlineLvl w:val="7"/>
    </w:pPr>
  </w:style>
  <w:style w:type="paragraph" w:styleId="Heading9">
    <w:name w:val="heading 9"/>
    <w:basedOn w:val="Normal"/>
    <w:next w:val="Normal"/>
    <w:link w:val="Heading9Char"/>
    <w:qFormat/>
    <w:rsid w:val="00A316C0"/>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CB1536"/>
    <w:rPr>
      <w:kern w:val="28"/>
      <w:szCs w:val="20"/>
      <w:lang w:eastAsia="en-US" w:bidi="ar-SA"/>
    </w:rPr>
  </w:style>
  <w:style w:type="character" w:customStyle="1" w:styleId="Heading2Char">
    <w:name w:val="Heading 2 Char"/>
    <w:basedOn w:val="DefaultParagraphFont"/>
    <w:link w:val="Heading2"/>
    <w:locked/>
    <w:rsid w:val="00CB1536"/>
    <w:rPr>
      <w:szCs w:val="20"/>
      <w:lang w:eastAsia="en-US" w:bidi="ar-SA"/>
    </w:rPr>
  </w:style>
  <w:style w:type="character" w:customStyle="1" w:styleId="Heading3Char">
    <w:name w:val="Heading 3 Char"/>
    <w:basedOn w:val="DefaultParagraphFont"/>
    <w:link w:val="Heading3"/>
    <w:locked/>
    <w:rsid w:val="00CB1536"/>
    <w:rPr>
      <w:szCs w:val="20"/>
      <w:lang w:eastAsia="en-US" w:bidi="ar-SA"/>
    </w:rPr>
  </w:style>
  <w:style w:type="character" w:customStyle="1" w:styleId="Heading4Char">
    <w:name w:val="Heading 4 Char"/>
    <w:basedOn w:val="DefaultParagraphFont"/>
    <w:link w:val="Heading4"/>
    <w:locked/>
    <w:rsid w:val="00CB1536"/>
    <w:rPr>
      <w:szCs w:val="20"/>
      <w:lang w:eastAsia="en-US" w:bidi="ar-SA"/>
    </w:rPr>
  </w:style>
  <w:style w:type="character" w:customStyle="1" w:styleId="Heading5Char">
    <w:name w:val="Heading 5 Char"/>
    <w:basedOn w:val="DefaultParagraphFont"/>
    <w:link w:val="Heading5"/>
    <w:locked/>
    <w:rsid w:val="00CB1536"/>
    <w:rPr>
      <w:szCs w:val="20"/>
      <w:lang w:eastAsia="en-US" w:bidi="ar-SA"/>
    </w:rPr>
  </w:style>
  <w:style w:type="character" w:customStyle="1" w:styleId="Heading6Char">
    <w:name w:val="Heading 6 Char"/>
    <w:basedOn w:val="DefaultParagraphFont"/>
    <w:link w:val="Heading6"/>
    <w:locked/>
    <w:rsid w:val="00CB1536"/>
    <w:rPr>
      <w:szCs w:val="20"/>
      <w:lang w:eastAsia="en-US" w:bidi="ar-SA"/>
    </w:rPr>
  </w:style>
  <w:style w:type="character" w:customStyle="1" w:styleId="Heading7Char">
    <w:name w:val="Heading 7 Char"/>
    <w:basedOn w:val="DefaultParagraphFont"/>
    <w:link w:val="Heading7"/>
    <w:locked/>
    <w:rsid w:val="00CB1536"/>
    <w:rPr>
      <w:szCs w:val="20"/>
      <w:lang w:eastAsia="en-US" w:bidi="ar-SA"/>
    </w:rPr>
  </w:style>
  <w:style w:type="character" w:customStyle="1" w:styleId="Heading8Char">
    <w:name w:val="Heading 8 Char"/>
    <w:basedOn w:val="DefaultParagraphFont"/>
    <w:link w:val="Heading8"/>
    <w:locked/>
    <w:rsid w:val="00CB1536"/>
    <w:rPr>
      <w:szCs w:val="20"/>
      <w:lang w:eastAsia="en-US" w:bidi="ar-SA"/>
    </w:rPr>
  </w:style>
  <w:style w:type="character" w:customStyle="1" w:styleId="Heading9Char">
    <w:name w:val="Heading 9 Char"/>
    <w:basedOn w:val="DefaultParagraphFont"/>
    <w:link w:val="Heading9"/>
    <w:locked/>
    <w:rsid w:val="00CB1536"/>
    <w:rPr>
      <w:szCs w:val="20"/>
      <w:lang w:eastAsia="en-US" w:bidi="ar-SA"/>
    </w:rPr>
  </w:style>
  <w:style w:type="paragraph" w:styleId="Footer">
    <w:name w:val="footer"/>
    <w:basedOn w:val="Normal"/>
    <w:link w:val="FooterChar"/>
    <w:rsid w:val="00A316C0"/>
  </w:style>
  <w:style w:type="character" w:customStyle="1" w:styleId="FooterChar">
    <w:name w:val="Footer Char"/>
    <w:basedOn w:val="DefaultParagraphFont"/>
    <w:link w:val="Footer"/>
    <w:locked/>
    <w:rsid w:val="00CB1536"/>
    <w:rPr>
      <w:szCs w:val="20"/>
      <w:lang w:eastAsia="en-US" w:bidi="ar-SA"/>
    </w:rPr>
  </w:style>
  <w:style w:type="paragraph" w:styleId="FootnoteText">
    <w:name w:val="footnote text"/>
    <w:basedOn w:val="Normal"/>
    <w:link w:val="FootnoteTextChar"/>
    <w:qFormat/>
    <w:rsid w:val="00A316C0"/>
    <w:pPr>
      <w:keepLines/>
      <w:spacing w:after="60" w:line="240" w:lineRule="auto"/>
      <w:ind w:left="720" w:hanging="720"/>
    </w:pPr>
    <w:rPr>
      <w:sz w:val="16"/>
    </w:rPr>
  </w:style>
  <w:style w:type="character" w:customStyle="1" w:styleId="FootnoteTextChar">
    <w:name w:val="Footnote Text Char"/>
    <w:basedOn w:val="DefaultParagraphFont"/>
    <w:link w:val="FootnoteText"/>
    <w:locked/>
    <w:rsid w:val="00CB1536"/>
    <w:rPr>
      <w:sz w:val="16"/>
      <w:szCs w:val="20"/>
      <w:lang w:eastAsia="en-US" w:bidi="ar-SA"/>
    </w:rPr>
  </w:style>
  <w:style w:type="paragraph" w:styleId="Header">
    <w:name w:val="header"/>
    <w:basedOn w:val="Normal"/>
    <w:link w:val="HeaderChar"/>
    <w:qFormat/>
    <w:rsid w:val="00A316C0"/>
  </w:style>
  <w:style w:type="character" w:customStyle="1" w:styleId="HeaderChar">
    <w:name w:val="Header Char"/>
    <w:basedOn w:val="DefaultParagraphFont"/>
    <w:link w:val="Header"/>
    <w:locked/>
    <w:rsid w:val="00CB1536"/>
    <w:rPr>
      <w:szCs w:val="20"/>
      <w:lang w:eastAsia="en-US" w:bidi="ar-SA"/>
    </w:rPr>
  </w:style>
  <w:style w:type="character" w:styleId="Hyperlink">
    <w:name w:val="Hyperlink"/>
    <w:basedOn w:val="DefaultParagraphFont"/>
    <w:uiPriority w:val="99"/>
    <w:rsid w:val="00934C10"/>
    <w:rPr>
      <w:color w:val="0000FF"/>
      <w:u w:val="single"/>
    </w:rPr>
  </w:style>
  <w:style w:type="character" w:styleId="FootnoteReference">
    <w:name w:val="footnote reference"/>
    <w:aliases w:val="Footnote symbol"/>
    <w:basedOn w:val="DefaultParagraphFont"/>
    <w:qFormat/>
    <w:rsid w:val="00A316C0"/>
    <w:rPr>
      <w:sz w:val="24"/>
      <w:vertAlign w:val="superscript"/>
    </w:rPr>
  </w:style>
  <w:style w:type="character" w:styleId="FollowedHyperlink">
    <w:name w:val="FollowedHyperlink"/>
    <w:basedOn w:val="DefaultParagraphFont"/>
    <w:uiPriority w:val="99"/>
    <w:rsid w:val="00934C10"/>
    <w:rPr>
      <w:color w:val="800080"/>
      <w:u w:val="single"/>
    </w:rPr>
  </w:style>
  <w:style w:type="paragraph" w:customStyle="1" w:styleId="LOGO">
    <w:name w:val="LOGO"/>
    <w:basedOn w:val="Normal"/>
    <w:uiPriority w:val="99"/>
    <w:rsid w:val="00934C10"/>
    <w:pPr>
      <w:jc w:val="center"/>
    </w:pPr>
    <w:rPr>
      <w:rFonts w:ascii="Arial" w:hAnsi="Arial" w:cs="Arial"/>
      <w:b/>
      <w:bCs/>
      <w:i/>
      <w:iCs/>
      <w:sz w:val="20"/>
    </w:rPr>
  </w:style>
  <w:style w:type="paragraph" w:styleId="Revision">
    <w:name w:val="Revision"/>
    <w:hidden/>
    <w:uiPriority w:val="99"/>
    <w:semiHidden/>
    <w:rsid w:val="00B2372C"/>
  </w:style>
  <w:style w:type="paragraph" w:styleId="ListParagraph">
    <w:name w:val="List Paragraph"/>
    <w:basedOn w:val="Normal"/>
    <w:uiPriority w:val="34"/>
    <w:qFormat/>
    <w:rsid w:val="000B68FA"/>
    <w:pPr>
      <w:ind w:left="720"/>
      <w:contextualSpacing/>
    </w:pPr>
  </w:style>
  <w:style w:type="character" w:styleId="CommentReference">
    <w:name w:val="annotation reference"/>
    <w:basedOn w:val="DefaultParagraphFont"/>
    <w:semiHidden/>
    <w:unhideWhenUsed/>
    <w:rsid w:val="00A227A4"/>
    <w:rPr>
      <w:sz w:val="16"/>
      <w:szCs w:val="16"/>
    </w:rPr>
  </w:style>
  <w:style w:type="paragraph" w:styleId="CommentText">
    <w:name w:val="annotation text"/>
    <w:basedOn w:val="Normal"/>
    <w:link w:val="CommentTextChar"/>
    <w:semiHidden/>
    <w:unhideWhenUsed/>
    <w:rsid w:val="00A227A4"/>
    <w:pPr>
      <w:spacing w:line="240" w:lineRule="auto"/>
    </w:pPr>
    <w:rPr>
      <w:sz w:val="20"/>
    </w:rPr>
  </w:style>
  <w:style w:type="character" w:customStyle="1" w:styleId="CommentTextChar">
    <w:name w:val="Comment Text Char"/>
    <w:basedOn w:val="DefaultParagraphFont"/>
    <w:link w:val="CommentText"/>
    <w:semiHidden/>
    <w:rsid w:val="00A227A4"/>
    <w:rPr>
      <w:sz w:val="20"/>
      <w:szCs w:val="20"/>
      <w:lang w:eastAsia="en-US" w:bidi="ar-SA"/>
    </w:rPr>
  </w:style>
  <w:style w:type="paragraph" w:styleId="CommentSubject">
    <w:name w:val="annotation subject"/>
    <w:basedOn w:val="CommentText"/>
    <w:next w:val="CommentText"/>
    <w:link w:val="CommentSubjectChar"/>
    <w:uiPriority w:val="99"/>
    <w:semiHidden/>
    <w:unhideWhenUsed/>
    <w:rsid w:val="00A227A4"/>
    <w:rPr>
      <w:b/>
      <w:bCs/>
    </w:rPr>
  </w:style>
  <w:style w:type="character" w:customStyle="1" w:styleId="CommentSubjectChar">
    <w:name w:val="Comment Subject Char"/>
    <w:basedOn w:val="CommentTextChar"/>
    <w:link w:val="CommentSubject"/>
    <w:uiPriority w:val="99"/>
    <w:semiHidden/>
    <w:rsid w:val="00A227A4"/>
    <w:rPr>
      <w:b/>
      <w:bCs/>
      <w:sz w:val="20"/>
      <w:szCs w:val="20"/>
      <w:lang w:eastAsia="en-US" w:bidi="ar-SA"/>
    </w:rPr>
  </w:style>
  <w:style w:type="character" w:customStyle="1" w:styleId="UnresolvedMention1">
    <w:name w:val="Unresolved Mention1"/>
    <w:basedOn w:val="DefaultParagraphFont"/>
    <w:uiPriority w:val="99"/>
    <w:semiHidden/>
    <w:unhideWhenUsed/>
    <w:rsid w:val="007006E8"/>
    <w:rPr>
      <w:color w:val="605E5C"/>
      <w:shd w:val="clear" w:color="auto" w:fill="E1DFDD"/>
    </w:rPr>
  </w:style>
  <w:style w:type="table" w:styleId="TableGrid">
    <w:name w:val="Table Grid"/>
    <w:basedOn w:val="TableNormal"/>
    <w:locked/>
    <w:rsid w:val="00DF0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4500">
      <w:bodyDiv w:val="1"/>
      <w:marLeft w:val="0"/>
      <w:marRight w:val="0"/>
      <w:marTop w:val="0"/>
      <w:marBottom w:val="0"/>
      <w:divBdr>
        <w:top w:val="none" w:sz="0" w:space="0" w:color="auto"/>
        <w:left w:val="none" w:sz="0" w:space="0" w:color="auto"/>
        <w:bottom w:val="none" w:sz="0" w:space="0" w:color="auto"/>
        <w:right w:val="none" w:sz="0" w:space="0" w:color="auto"/>
      </w:divBdr>
      <w:divsChild>
        <w:div w:id="1241595141">
          <w:marLeft w:val="0"/>
          <w:marRight w:val="0"/>
          <w:marTop w:val="0"/>
          <w:marBottom w:val="0"/>
          <w:divBdr>
            <w:top w:val="none" w:sz="0" w:space="0" w:color="auto"/>
            <w:left w:val="none" w:sz="0" w:space="0" w:color="auto"/>
            <w:bottom w:val="none" w:sz="0" w:space="0" w:color="auto"/>
            <w:right w:val="none" w:sz="0" w:space="0" w:color="auto"/>
          </w:divBdr>
          <w:divsChild>
            <w:div w:id="1277365832">
              <w:marLeft w:val="0"/>
              <w:marRight w:val="0"/>
              <w:marTop w:val="0"/>
              <w:marBottom w:val="0"/>
              <w:divBdr>
                <w:top w:val="none" w:sz="0" w:space="0" w:color="auto"/>
                <w:left w:val="none" w:sz="0" w:space="0" w:color="auto"/>
                <w:bottom w:val="none" w:sz="0" w:space="0" w:color="auto"/>
                <w:right w:val="none" w:sz="0" w:space="0" w:color="auto"/>
              </w:divBdr>
            </w:div>
            <w:div w:id="2046952548">
              <w:marLeft w:val="0"/>
              <w:marRight w:val="0"/>
              <w:marTop w:val="0"/>
              <w:marBottom w:val="0"/>
              <w:divBdr>
                <w:top w:val="none" w:sz="0" w:space="0" w:color="auto"/>
                <w:left w:val="none" w:sz="0" w:space="0" w:color="auto"/>
                <w:bottom w:val="none" w:sz="0" w:space="0" w:color="auto"/>
                <w:right w:val="none" w:sz="0" w:space="0" w:color="auto"/>
              </w:divBdr>
            </w:div>
            <w:div w:id="117846161">
              <w:marLeft w:val="0"/>
              <w:marRight w:val="0"/>
              <w:marTop w:val="0"/>
              <w:marBottom w:val="0"/>
              <w:divBdr>
                <w:top w:val="none" w:sz="0" w:space="0" w:color="auto"/>
                <w:left w:val="none" w:sz="0" w:space="0" w:color="auto"/>
                <w:bottom w:val="none" w:sz="0" w:space="0" w:color="auto"/>
                <w:right w:val="none" w:sz="0" w:space="0" w:color="auto"/>
              </w:divBdr>
            </w:div>
            <w:div w:id="1145925578">
              <w:marLeft w:val="0"/>
              <w:marRight w:val="0"/>
              <w:marTop w:val="0"/>
              <w:marBottom w:val="0"/>
              <w:divBdr>
                <w:top w:val="none" w:sz="0" w:space="0" w:color="auto"/>
                <w:left w:val="none" w:sz="0" w:space="0" w:color="auto"/>
                <w:bottom w:val="none" w:sz="0" w:space="0" w:color="auto"/>
                <w:right w:val="none" w:sz="0" w:space="0" w:color="auto"/>
              </w:divBdr>
            </w:div>
            <w:div w:id="1395005617">
              <w:marLeft w:val="0"/>
              <w:marRight w:val="0"/>
              <w:marTop w:val="0"/>
              <w:marBottom w:val="0"/>
              <w:divBdr>
                <w:top w:val="none" w:sz="0" w:space="0" w:color="auto"/>
                <w:left w:val="none" w:sz="0" w:space="0" w:color="auto"/>
                <w:bottom w:val="none" w:sz="0" w:space="0" w:color="auto"/>
                <w:right w:val="none" w:sz="0" w:space="0" w:color="auto"/>
              </w:divBdr>
            </w:div>
          </w:divsChild>
        </w:div>
        <w:div w:id="1088770290">
          <w:marLeft w:val="0"/>
          <w:marRight w:val="0"/>
          <w:marTop w:val="0"/>
          <w:marBottom w:val="0"/>
          <w:divBdr>
            <w:top w:val="none" w:sz="0" w:space="0" w:color="auto"/>
            <w:left w:val="none" w:sz="0" w:space="0" w:color="auto"/>
            <w:bottom w:val="none" w:sz="0" w:space="0" w:color="auto"/>
            <w:right w:val="none" w:sz="0" w:space="0" w:color="auto"/>
          </w:divBdr>
          <w:divsChild>
            <w:div w:id="903494865">
              <w:marLeft w:val="-75"/>
              <w:marRight w:val="0"/>
              <w:marTop w:val="30"/>
              <w:marBottom w:val="30"/>
              <w:divBdr>
                <w:top w:val="none" w:sz="0" w:space="0" w:color="auto"/>
                <w:left w:val="none" w:sz="0" w:space="0" w:color="auto"/>
                <w:bottom w:val="none" w:sz="0" w:space="0" w:color="auto"/>
                <w:right w:val="none" w:sz="0" w:space="0" w:color="auto"/>
              </w:divBdr>
              <w:divsChild>
                <w:div w:id="384841762">
                  <w:marLeft w:val="0"/>
                  <w:marRight w:val="0"/>
                  <w:marTop w:val="0"/>
                  <w:marBottom w:val="0"/>
                  <w:divBdr>
                    <w:top w:val="none" w:sz="0" w:space="0" w:color="auto"/>
                    <w:left w:val="none" w:sz="0" w:space="0" w:color="auto"/>
                    <w:bottom w:val="none" w:sz="0" w:space="0" w:color="auto"/>
                    <w:right w:val="none" w:sz="0" w:space="0" w:color="auto"/>
                  </w:divBdr>
                  <w:divsChild>
                    <w:div w:id="78647945">
                      <w:marLeft w:val="0"/>
                      <w:marRight w:val="0"/>
                      <w:marTop w:val="0"/>
                      <w:marBottom w:val="0"/>
                      <w:divBdr>
                        <w:top w:val="none" w:sz="0" w:space="0" w:color="auto"/>
                        <w:left w:val="none" w:sz="0" w:space="0" w:color="auto"/>
                        <w:bottom w:val="none" w:sz="0" w:space="0" w:color="auto"/>
                        <w:right w:val="none" w:sz="0" w:space="0" w:color="auto"/>
                      </w:divBdr>
                    </w:div>
                  </w:divsChild>
                </w:div>
                <w:div w:id="2019237185">
                  <w:marLeft w:val="0"/>
                  <w:marRight w:val="0"/>
                  <w:marTop w:val="0"/>
                  <w:marBottom w:val="0"/>
                  <w:divBdr>
                    <w:top w:val="none" w:sz="0" w:space="0" w:color="auto"/>
                    <w:left w:val="none" w:sz="0" w:space="0" w:color="auto"/>
                    <w:bottom w:val="none" w:sz="0" w:space="0" w:color="auto"/>
                    <w:right w:val="none" w:sz="0" w:space="0" w:color="auto"/>
                  </w:divBdr>
                  <w:divsChild>
                    <w:div w:id="1996838574">
                      <w:marLeft w:val="0"/>
                      <w:marRight w:val="0"/>
                      <w:marTop w:val="0"/>
                      <w:marBottom w:val="0"/>
                      <w:divBdr>
                        <w:top w:val="none" w:sz="0" w:space="0" w:color="auto"/>
                        <w:left w:val="none" w:sz="0" w:space="0" w:color="auto"/>
                        <w:bottom w:val="none" w:sz="0" w:space="0" w:color="auto"/>
                        <w:right w:val="none" w:sz="0" w:space="0" w:color="auto"/>
                      </w:divBdr>
                    </w:div>
                  </w:divsChild>
                </w:div>
                <w:div w:id="1534490734">
                  <w:marLeft w:val="0"/>
                  <w:marRight w:val="0"/>
                  <w:marTop w:val="0"/>
                  <w:marBottom w:val="0"/>
                  <w:divBdr>
                    <w:top w:val="none" w:sz="0" w:space="0" w:color="auto"/>
                    <w:left w:val="none" w:sz="0" w:space="0" w:color="auto"/>
                    <w:bottom w:val="none" w:sz="0" w:space="0" w:color="auto"/>
                    <w:right w:val="none" w:sz="0" w:space="0" w:color="auto"/>
                  </w:divBdr>
                  <w:divsChild>
                    <w:div w:id="1465078362">
                      <w:marLeft w:val="0"/>
                      <w:marRight w:val="0"/>
                      <w:marTop w:val="0"/>
                      <w:marBottom w:val="0"/>
                      <w:divBdr>
                        <w:top w:val="none" w:sz="0" w:space="0" w:color="auto"/>
                        <w:left w:val="none" w:sz="0" w:space="0" w:color="auto"/>
                        <w:bottom w:val="none" w:sz="0" w:space="0" w:color="auto"/>
                        <w:right w:val="none" w:sz="0" w:space="0" w:color="auto"/>
                      </w:divBdr>
                    </w:div>
                  </w:divsChild>
                </w:div>
                <w:div w:id="1881934417">
                  <w:marLeft w:val="0"/>
                  <w:marRight w:val="0"/>
                  <w:marTop w:val="0"/>
                  <w:marBottom w:val="0"/>
                  <w:divBdr>
                    <w:top w:val="none" w:sz="0" w:space="0" w:color="auto"/>
                    <w:left w:val="none" w:sz="0" w:space="0" w:color="auto"/>
                    <w:bottom w:val="none" w:sz="0" w:space="0" w:color="auto"/>
                    <w:right w:val="none" w:sz="0" w:space="0" w:color="auto"/>
                  </w:divBdr>
                  <w:divsChild>
                    <w:div w:id="115653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39279">
          <w:marLeft w:val="0"/>
          <w:marRight w:val="0"/>
          <w:marTop w:val="0"/>
          <w:marBottom w:val="0"/>
          <w:divBdr>
            <w:top w:val="none" w:sz="0" w:space="0" w:color="auto"/>
            <w:left w:val="none" w:sz="0" w:space="0" w:color="auto"/>
            <w:bottom w:val="none" w:sz="0" w:space="0" w:color="auto"/>
            <w:right w:val="none" w:sz="0" w:space="0" w:color="auto"/>
          </w:divBdr>
        </w:div>
        <w:div w:id="1253198023">
          <w:marLeft w:val="0"/>
          <w:marRight w:val="0"/>
          <w:marTop w:val="0"/>
          <w:marBottom w:val="0"/>
          <w:divBdr>
            <w:top w:val="none" w:sz="0" w:space="0" w:color="auto"/>
            <w:left w:val="none" w:sz="0" w:space="0" w:color="auto"/>
            <w:bottom w:val="none" w:sz="0" w:space="0" w:color="auto"/>
            <w:right w:val="none" w:sz="0" w:space="0" w:color="auto"/>
          </w:divBdr>
          <w:divsChild>
            <w:div w:id="1032265375">
              <w:marLeft w:val="-75"/>
              <w:marRight w:val="0"/>
              <w:marTop w:val="30"/>
              <w:marBottom w:val="30"/>
              <w:divBdr>
                <w:top w:val="none" w:sz="0" w:space="0" w:color="auto"/>
                <w:left w:val="none" w:sz="0" w:space="0" w:color="auto"/>
                <w:bottom w:val="none" w:sz="0" w:space="0" w:color="auto"/>
                <w:right w:val="none" w:sz="0" w:space="0" w:color="auto"/>
              </w:divBdr>
              <w:divsChild>
                <w:div w:id="869882954">
                  <w:marLeft w:val="0"/>
                  <w:marRight w:val="0"/>
                  <w:marTop w:val="0"/>
                  <w:marBottom w:val="0"/>
                  <w:divBdr>
                    <w:top w:val="none" w:sz="0" w:space="0" w:color="auto"/>
                    <w:left w:val="none" w:sz="0" w:space="0" w:color="auto"/>
                    <w:bottom w:val="none" w:sz="0" w:space="0" w:color="auto"/>
                    <w:right w:val="none" w:sz="0" w:space="0" w:color="auto"/>
                  </w:divBdr>
                  <w:divsChild>
                    <w:div w:id="1032001996">
                      <w:marLeft w:val="0"/>
                      <w:marRight w:val="0"/>
                      <w:marTop w:val="0"/>
                      <w:marBottom w:val="0"/>
                      <w:divBdr>
                        <w:top w:val="none" w:sz="0" w:space="0" w:color="auto"/>
                        <w:left w:val="none" w:sz="0" w:space="0" w:color="auto"/>
                        <w:bottom w:val="none" w:sz="0" w:space="0" w:color="auto"/>
                        <w:right w:val="none" w:sz="0" w:space="0" w:color="auto"/>
                      </w:divBdr>
                    </w:div>
                  </w:divsChild>
                </w:div>
                <w:div w:id="1750351379">
                  <w:marLeft w:val="0"/>
                  <w:marRight w:val="0"/>
                  <w:marTop w:val="0"/>
                  <w:marBottom w:val="0"/>
                  <w:divBdr>
                    <w:top w:val="none" w:sz="0" w:space="0" w:color="auto"/>
                    <w:left w:val="none" w:sz="0" w:space="0" w:color="auto"/>
                    <w:bottom w:val="none" w:sz="0" w:space="0" w:color="auto"/>
                    <w:right w:val="none" w:sz="0" w:space="0" w:color="auto"/>
                  </w:divBdr>
                  <w:divsChild>
                    <w:div w:id="50660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02416">
          <w:marLeft w:val="0"/>
          <w:marRight w:val="0"/>
          <w:marTop w:val="0"/>
          <w:marBottom w:val="0"/>
          <w:divBdr>
            <w:top w:val="none" w:sz="0" w:space="0" w:color="auto"/>
            <w:left w:val="none" w:sz="0" w:space="0" w:color="auto"/>
            <w:bottom w:val="none" w:sz="0" w:space="0" w:color="auto"/>
            <w:right w:val="none" w:sz="0" w:space="0" w:color="auto"/>
          </w:divBdr>
        </w:div>
        <w:div w:id="926841864">
          <w:marLeft w:val="0"/>
          <w:marRight w:val="0"/>
          <w:marTop w:val="0"/>
          <w:marBottom w:val="0"/>
          <w:divBdr>
            <w:top w:val="none" w:sz="0" w:space="0" w:color="auto"/>
            <w:left w:val="none" w:sz="0" w:space="0" w:color="auto"/>
            <w:bottom w:val="none" w:sz="0" w:space="0" w:color="auto"/>
            <w:right w:val="none" w:sz="0" w:space="0" w:color="auto"/>
          </w:divBdr>
        </w:div>
        <w:div w:id="2029601939">
          <w:marLeft w:val="0"/>
          <w:marRight w:val="0"/>
          <w:marTop w:val="0"/>
          <w:marBottom w:val="0"/>
          <w:divBdr>
            <w:top w:val="none" w:sz="0" w:space="0" w:color="auto"/>
            <w:left w:val="none" w:sz="0" w:space="0" w:color="auto"/>
            <w:bottom w:val="none" w:sz="0" w:space="0" w:color="auto"/>
            <w:right w:val="none" w:sz="0" w:space="0" w:color="auto"/>
          </w:divBdr>
        </w:div>
        <w:div w:id="1713111492">
          <w:marLeft w:val="0"/>
          <w:marRight w:val="0"/>
          <w:marTop w:val="0"/>
          <w:marBottom w:val="0"/>
          <w:divBdr>
            <w:top w:val="none" w:sz="0" w:space="0" w:color="auto"/>
            <w:left w:val="none" w:sz="0" w:space="0" w:color="auto"/>
            <w:bottom w:val="none" w:sz="0" w:space="0" w:color="auto"/>
            <w:right w:val="none" w:sz="0" w:space="0" w:color="auto"/>
          </w:divBdr>
        </w:div>
        <w:div w:id="1097097468">
          <w:marLeft w:val="0"/>
          <w:marRight w:val="0"/>
          <w:marTop w:val="0"/>
          <w:marBottom w:val="0"/>
          <w:divBdr>
            <w:top w:val="none" w:sz="0" w:space="0" w:color="auto"/>
            <w:left w:val="none" w:sz="0" w:space="0" w:color="auto"/>
            <w:bottom w:val="none" w:sz="0" w:space="0" w:color="auto"/>
            <w:right w:val="none" w:sz="0" w:space="0" w:color="auto"/>
          </w:divBdr>
          <w:divsChild>
            <w:div w:id="2092576736">
              <w:marLeft w:val="-75"/>
              <w:marRight w:val="0"/>
              <w:marTop w:val="30"/>
              <w:marBottom w:val="30"/>
              <w:divBdr>
                <w:top w:val="none" w:sz="0" w:space="0" w:color="auto"/>
                <w:left w:val="none" w:sz="0" w:space="0" w:color="auto"/>
                <w:bottom w:val="none" w:sz="0" w:space="0" w:color="auto"/>
                <w:right w:val="none" w:sz="0" w:space="0" w:color="auto"/>
              </w:divBdr>
              <w:divsChild>
                <w:div w:id="1437673744">
                  <w:marLeft w:val="0"/>
                  <w:marRight w:val="0"/>
                  <w:marTop w:val="0"/>
                  <w:marBottom w:val="0"/>
                  <w:divBdr>
                    <w:top w:val="none" w:sz="0" w:space="0" w:color="auto"/>
                    <w:left w:val="none" w:sz="0" w:space="0" w:color="auto"/>
                    <w:bottom w:val="none" w:sz="0" w:space="0" w:color="auto"/>
                    <w:right w:val="none" w:sz="0" w:space="0" w:color="auto"/>
                  </w:divBdr>
                  <w:divsChild>
                    <w:div w:id="1199704467">
                      <w:marLeft w:val="0"/>
                      <w:marRight w:val="0"/>
                      <w:marTop w:val="0"/>
                      <w:marBottom w:val="0"/>
                      <w:divBdr>
                        <w:top w:val="none" w:sz="0" w:space="0" w:color="auto"/>
                        <w:left w:val="none" w:sz="0" w:space="0" w:color="auto"/>
                        <w:bottom w:val="none" w:sz="0" w:space="0" w:color="auto"/>
                        <w:right w:val="none" w:sz="0" w:space="0" w:color="auto"/>
                      </w:divBdr>
                    </w:div>
                  </w:divsChild>
                </w:div>
                <w:div w:id="1823236175">
                  <w:marLeft w:val="0"/>
                  <w:marRight w:val="0"/>
                  <w:marTop w:val="0"/>
                  <w:marBottom w:val="0"/>
                  <w:divBdr>
                    <w:top w:val="none" w:sz="0" w:space="0" w:color="auto"/>
                    <w:left w:val="none" w:sz="0" w:space="0" w:color="auto"/>
                    <w:bottom w:val="none" w:sz="0" w:space="0" w:color="auto"/>
                    <w:right w:val="none" w:sz="0" w:space="0" w:color="auto"/>
                  </w:divBdr>
                  <w:divsChild>
                    <w:div w:id="1449548169">
                      <w:marLeft w:val="0"/>
                      <w:marRight w:val="0"/>
                      <w:marTop w:val="0"/>
                      <w:marBottom w:val="0"/>
                      <w:divBdr>
                        <w:top w:val="none" w:sz="0" w:space="0" w:color="auto"/>
                        <w:left w:val="none" w:sz="0" w:space="0" w:color="auto"/>
                        <w:bottom w:val="none" w:sz="0" w:space="0" w:color="auto"/>
                        <w:right w:val="none" w:sz="0" w:space="0" w:color="auto"/>
                      </w:divBdr>
                    </w:div>
                  </w:divsChild>
                </w:div>
                <w:div w:id="2066830890">
                  <w:marLeft w:val="0"/>
                  <w:marRight w:val="0"/>
                  <w:marTop w:val="0"/>
                  <w:marBottom w:val="0"/>
                  <w:divBdr>
                    <w:top w:val="none" w:sz="0" w:space="0" w:color="auto"/>
                    <w:left w:val="none" w:sz="0" w:space="0" w:color="auto"/>
                    <w:bottom w:val="none" w:sz="0" w:space="0" w:color="auto"/>
                    <w:right w:val="none" w:sz="0" w:space="0" w:color="auto"/>
                  </w:divBdr>
                  <w:divsChild>
                    <w:div w:id="1837573810">
                      <w:marLeft w:val="0"/>
                      <w:marRight w:val="0"/>
                      <w:marTop w:val="0"/>
                      <w:marBottom w:val="0"/>
                      <w:divBdr>
                        <w:top w:val="none" w:sz="0" w:space="0" w:color="auto"/>
                        <w:left w:val="none" w:sz="0" w:space="0" w:color="auto"/>
                        <w:bottom w:val="none" w:sz="0" w:space="0" w:color="auto"/>
                        <w:right w:val="none" w:sz="0" w:space="0" w:color="auto"/>
                      </w:divBdr>
                    </w:div>
                  </w:divsChild>
                </w:div>
                <w:div w:id="862598018">
                  <w:marLeft w:val="0"/>
                  <w:marRight w:val="0"/>
                  <w:marTop w:val="0"/>
                  <w:marBottom w:val="0"/>
                  <w:divBdr>
                    <w:top w:val="none" w:sz="0" w:space="0" w:color="auto"/>
                    <w:left w:val="none" w:sz="0" w:space="0" w:color="auto"/>
                    <w:bottom w:val="none" w:sz="0" w:space="0" w:color="auto"/>
                    <w:right w:val="none" w:sz="0" w:space="0" w:color="auto"/>
                  </w:divBdr>
                  <w:divsChild>
                    <w:div w:id="78126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130486">
          <w:marLeft w:val="0"/>
          <w:marRight w:val="0"/>
          <w:marTop w:val="0"/>
          <w:marBottom w:val="0"/>
          <w:divBdr>
            <w:top w:val="none" w:sz="0" w:space="0" w:color="auto"/>
            <w:left w:val="none" w:sz="0" w:space="0" w:color="auto"/>
            <w:bottom w:val="none" w:sz="0" w:space="0" w:color="auto"/>
            <w:right w:val="none" w:sz="0" w:space="0" w:color="auto"/>
          </w:divBdr>
        </w:div>
        <w:div w:id="77101897">
          <w:marLeft w:val="0"/>
          <w:marRight w:val="0"/>
          <w:marTop w:val="0"/>
          <w:marBottom w:val="0"/>
          <w:divBdr>
            <w:top w:val="none" w:sz="0" w:space="0" w:color="auto"/>
            <w:left w:val="none" w:sz="0" w:space="0" w:color="auto"/>
            <w:bottom w:val="none" w:sz="0" w:space="0" w:color="auto"/>
            <w:right w:val="none" w:sz="0" w:space="0" w:color="auto"/>
          </w:divBdr>
          <w:divsChild>
            <w:div w:id="207911718">
              <w:marLeft w:val="-75"/>
              <w:marRight w:val="0"/>
              <w:marTop w:val="30"/>
              <w:marBottom w:val="30"/>
              <w:divBdr>
                <w:top w:val="none" w:sz="0" w:space="0" w:color="auto"/>
                <w:left w:val="none" w:sz="0" w:space="0" w:color="auto"/>
                <w:bottom w:val="none" w:sz="0" w:space="0" w:color="auto"/>
                <w:right w:val="none" w:sz="0" w:space="0" w:color="auto"/>
              </w:divBdr>
              <w:divsChild>
                <w:div w:id="1728456931">
                  <w:marLeft w:val="0"/>
                  <w:marRight w:val="0"/>
                  <w:marTop w:val="0"/>
                  <w:marBottom w:val="0"/>
                  <w:divBdr>
                    <w:top w:val="none" w:sz="0" w:space="0" w:color="auto"/>
                    <w:left w:val="none" w:sz="0" w:space="0" w:color="auto"/>
                    <w:bottom w:val="none" w:sz="0" w:space="0" w:color="auto"/>
                    <w:right w:val="none" w:sz="0" w:space="0" w:color="auto"/>
                  </w:divBdr>
                  <w:divsChild>
                    <w:div w:id="1334838238">
                      <w:marLeft w:val="0"/>
                      <w:marRight w:val="0"/>
                      <w:marTop w:val="0"/>
                      <w:marBottom w:val="0"/>
                      <w:divBdr>
                        <w:top w:val="none" w:sz="0" w:space="0" w:color="auto"/>
                        <w:left w:val="none" w:sz="0" w:space="0" w:color="auto"/>
                        <w:bottom w:val="none" w:sz="0" w:space="0" w:color="auto"/>
                        <w:right w:val="none" w:sz="0" w:space="0" w:color="auto"/>
                      </w:divBdr>
                    </w:div>
                  </w:divsChild>
                </w:div>
                <w:div w:id="1679229970">
                  <w:marLeft w:val="0"/>
                  <w:marRight w:val="0"/>
                  <w:marTop w:val="0"/>
                  <w:marBottom w:val="0"/>
                  <w:divBdr>
                    <w:top w:val="none" w:sz="0" w:space="0" w:color="auto"/>
                    <w:left w:val="none" w:sz="0" w:space="0" w:color="auto"/>
                    <w:bottom w:val="none" w:sz="0" w:space="0" w:color="auto"/>
                    <w:right w:val="none" w:sz="0" w:space="0" w:color="auto"/>
                  </w:divBdr>
                  <w:divsChild>
                    <w:div w:id="37535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994851">
          <w:marLeft w:val="0"/>
          <w:marRight w:val="0"/>
          <w:marTop w:val="0"/>
          <w:marBottom w:val="0"/>
          <w:divBdr>
            <w:top w:val="none" w:sz="0" w:space="0" w:color="auto"/>
            <w:left w:val="none" w:sz="0" w:space="0" w:color="auto"/>
            <w:bottom w:val="none" w:sz="0" w:space="0" w:color="auto"/>
            <w:right w:val="none" w:sz="0" w:space="0" w:color="auto"/>
          </w:divBdr>
        </w:div>
        <w:div w:id="241960356">
          <w:marLeft w:val="0"/>
          <w:marRight w:val="0"/>
          <w:marTop w:val="0"/>
          <w:marBottom w:val="0"/>
          <w:divBdr>
            <w:top w:val="none" w:sz="0" w:space="0" w:color="auto"/>
            <w:left w:val="none" w:sz="0" w:space="0" w:color="auto"/>
            <w:bottom w:val="none" w:sz="0" w:space="0" w:color="auto"/>
            <w:right w:val="none" w:sz="0" w:space="0" w:color="auto"/>
          </w:divBdr>
        </w:div>
        <w:div w:id="1639259846">
          <w:marLeft w:val="0"/>
          <w:marRight w:val="0"/>
          <w:marTop w:val="0"/>
          <w:marBottom w:val="0"/>
          <w:divBdr>
            <w:top w:val="none" w:sz="0" w:space="0" w:color="auto"/>
            <w:left w:val="none" w:sz="0" w:space="0" w:color="auto"/>
            <w:bottom w:val="none" w:sz="0" w:space="0" w:color="auto"/>
            <w:right w:val="none" w:sz="0" w:space="0" w:color="auto"/>
          </w:divBdr>
        </w:div>
        <w:div w:id="341977377">
          <w:marLeft w:val="0"/>
          <w:marRight w:val="0"/>
          <w:marTop w:val="0"/>
          <w:marBottom w:val="0"/>
          <w:divBdr>
            <w:top w:val="none" w:sz="0" w:space="0" w:color="auto"/>
            <w:left w:val="none" w:sz="0" w:space="0" w:color="auto"/>
            <w:bottom w:val="none" w:sz="0" w:space="0" w:color="auto"/>
            <w:right w:val="none" w:sz="0" w:space="0" w:color="auto"/>
          </w:divBdr>
        </w:div>
        <w:div w:id="1600094101">
          <w:marLeft w:val="0"/>
          <w:marRight w:val="0"/>
          <w:marTop w:val="0"/>
          <w:marBottom w:val="0"/>
          <w:divBdr>
            <w:top w:val="none" w:sz="0" w:space="0" w:color="auto"/>
            <w:left w:val="none" w:sz="0" w:space="0" w:color="auto"/>
            <w:bottom w:val="none" w:sz="0" w:space="0" w:color="auto"/>
            <w:right w:val="none" w:sz="0" w:space="0" w:color="auto"/>
          </w:divBdr>
          <w:divsChild>
            <w:div w:id="1400900001">
              <w:marLeft w:val="-75"/>
              <w:marRight w:val="0"/>
              <w:marTop w:val="30"/>
              <w:marBottom w:val="30"/>
              <w:divBdr>
                <w:top w:val="none" w:sz="0" w:space="0" w:color="auto"/>
                <w:left w:val="none" w:sz="0" w:space="0" w:color="auto"/>
                <w:bottom w:val="none" w:sz="0" w:space="0" w:color="auto"/>
                <w:right w:val="none" w:sz="0" w:space="0" w:color="auto"/>
              </w:divBdr>
              <w:divsChild>
                <w:div w:id="1091121428">
                  <w:marLeft w:val="0"/>
                  <w:marRight w:val="0"/>
                  <w:marTop w:val="0"/>
                  <w:marBottom w:val="0"/>
                  <w:divBdr>
                    <w:top w:val="none" w:sz="0" w:space="0" w:color="auto"/>
                    <w:left w:val="none" w:sz="0" w:space="0" w:color="auto"/>
                    <w:bottom w:val="none" w:sz="0" w:space="0" w:color="auto"/>
                    <w:right w:val="none" w:sz="0" w:space="0" w:color="auto"/>
                  </w:divBdr>
                  <w:divsChild>
                    <w:div w:id="2002737313">
                      <w:marLeft w:val="0"/>
                      <w:marRight w:val="0"/>
                      <w:marTop w:val="0"/>
                      <w:marBottom w:val="0"/>
                      <w:divBdr>
                        <w:top w:val="none" w:sz="0" w:space="0" w:color="auto"/>
                        <w:left w:val="none" w:sz="0" w:space="0" w:color="auto"/>
                        <w:bottom w:val="none" w:sz="0" w:space="0" w:color="auto"/>
                        <w:right w:val="none" w:sz="0" w:space="0" w:color="auto"/>
                      </w:divBdr>
                    </w:div>
                  </w:divsChild>
                </w:div>
                <w:div w:id="866672889">
                  <w:marLeft w:val="0"/>
                  <w:marRight w:val="0"/>
                  <w:marTop w:val="0"/>
                  <w:marBottom w:val="0"/>
                  <w:divBdr>
                    <w:top w:val="none" w:sz="0" w:space="0" w:color="auto"/>
                    <w:left w:val="none" w:sz="0" w:space="0" w:color="auto"/>
                    <w:bottom w:val="none" w:sz="0" w:space="0" w:color="auto"/>
                    <w:right w:val="none" w:sz="0" w:space="0" w:color="auto"/>
                  </w:divBdr>
                  <w:divsChild>
                    <w:div w:id="1971519756">
                      <w:marLeft w:val="0"/>
                      <w:marRight w:val="0"/>
                      <w:marTop w:val="0"/>
                      <w:marBottom w:val="0"/>
                      <w:divBdr>
                        <w:top w:val="none" w:sz="0" w:space="0" w:color="auto"/>
                        <w:left w:val="none" w:sz="0" w:space="0" w:color="auto"/>
                        <w:bottom w:val="none" w:sz="0" w:space="0" w:color="auto"/>
                        <w:right w:val="none" w:sz="0" w:space="0" w:color="auto"/>
                      </w:divBdr>
                    </w:div>
                  </w:divsChild>
                </w:div>
                <w:div w:id="599720890">
                  <w:marLeft w:val="0"/>
                  <w:marRight w:val="0"/>
                  <w:marTop w:val="0"/>
                  <w:marBottom w:val="0"/>
                  <w:divBdr>
                    <w:top w:val="none" w:sz="0" w:space="0" w:color="auto"/>
                    <w:left w:val="none" w:sz="0" w:space="0" w:color="auto"/>
                    <w:bottom w:val="none" w:sz="0" w:space="0" w:color="auto"/>
                    <w:right w:val="none" w:sz="0" w:space="0" w:color="auto"/>
                  </w:divBdr>
                  <w:divsChild>
                    <w:div w:id="1654063972">
                      <w:marLeft w:val="0"/>
                      <w:marRight w:val="0"/>
                      <w:marTop w:val="0"/>
                      <w:marBottom w:val="0"/>
                      <w:divBdr>
                        <w:top w:val="none" w:sz="0" w:space="0" w:color="auto"/>
                        <w:left w:val="none" w:sz="0" w:space="0" w:color="auto"/>
                        <w:bottom w:val="none" w:sz="0" w:space="0" w:color="auto"/>
                        <w:right w:val="none" w:sz="0" w:space="0" w:color="auto"/>
                      </w:divBdr>
                    </w:div>
                  </w:divsChild>
                </w:div>
                <w:div w:id="1160584331">
                  <w:marLeft w:val="0"/>
                  <w:marRight w:val="0"/>
                  <w:marTop w:val="0"/>
                  <w:marBottom w:val="0"/>
                  <w:divBdr>
                    <w:top w:val="none" w:sz="0" w:space="0" w:color="auto"/>
                    <w:left w:val="none" w:sz="0" w:space="0" w:color="auto"/>
                    <w:bottom w:val="none" w:sz="0" w:space="0" w:color="auto"/>
                    <w:right w:val="none" w:sz="0" w:space="0" w:color="auto"/>
                  </w:divBdr>
                  <w:divsChild>
                    <w:div w:id="26299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698623">
          <w:marLeft w:val="0"/>
          <w:marRight w:val="0"/>
          <w:marTop w:val="0"/>
          <w:marBottom w:val="0"/>
          <w:divBdr>
            <w:top w:val="none" w:sz="0" w:space="0" w:color="auto"/>
            <w:left w:val="none" w:sz="0" w:space="0" w:color="auto"/>
            <w:bottom w:val="none" w:sz="0" w:space="0" w:color="auto"/>
            <w:right w:val="none" w:sz="0" w:space="0" w:color="auto"/>
          </w:divBdr>
        </w:div>
        <w:div w:id="1300958237">
          <w:marLeft w:val="0"/>
          <w:marRight w:val="0"/>
          <w:marTop w:val="0"/>
          <w:marBottom w:val="0"/>
          <w:divBdr>
            <w:top w:val="none" w:sz="0" w:space="0" w:color="auto"/>
            <w:left w:val="none" w:sz="0" w:space="0" w:color="auto"/>
            <w:bottom w:val="none" w:sz="0" w:space="0" w:color="auto"/>
            <w:right w:val="none" w:sz="0" w:space="0" w:color="auto"/>
          </w:divBdr>
          <w:divsChild>
            <w:div w:id="1083798021">
              <w:marLeft w:val="-75"/>
              <w:marRight w:val="0"/>
              <w:marTop w:val="30"/>
              <w:marBottom w:val="30"/>
              <w:divBdr>
                <w:top w:val="none" w:sz="0" w:space="0" w:color="auto"/>
                <w:left w:val="none" w:sz="0" w:space="0" w:color="auto"/>
                <w:bottom w:val="none" w:sz="0" w:space="0" w:color="auto"/>
                <w:right w:val="none" w:sz="0" w:space="0" w:color="auto"/>
              </w:divBdr>
              <w:divsChild>
                <w:div w:id="261913413">
                  <w:marLeft w:val="0"/>
                  <w:marRight w:val="0"/>
                  <w:marTop w:val="0"/>
                  <w:marBottom w:val="0"/>
                  <w:divBdr>
                    <w:top w:val="none" w:sz="0" w:space="0" w:color="auto"/>
                    <w:left w:val="none" w:sz="0" w:space="0" w:color="auto"/>
                    <w:bottom w:val="none" w:sz="0" w:space="0" w:color="auto"/>
                    <w:right w:val="none" w:sz="0" w:space="0" w:color="auto"/>
                  </w:divBdr>
                  <w:divsChild>
                    <w:div w:id="1152411509">
                      <w:marLeft w:val="0"/>
                      <w:marRight w:val="0"/>
                      <w:marTop w:val="0"/>
                      <w:marBottom w:val="0"/>
                      <w:divBdr>
                        <w:top w:val="none" w:sz="0" w:space="0" w:color="auto"/>
                        <w:left w:val="none" w:sz="0" w:space="0" w:color="auto"/>
                        <w:bottom w:val="none" w:sz="0" w:space="0" w:color="auto"/>
                        <w:right w:val="none" w:sz="0" w:space="0" w:color="auto"/>
                      </w:divBdr>
                    </w:div>
                  </w:divsChild>
                </w:div>
                <w:div w:id="774710644">
                  <w:marLeft w:val="0"/>
                  <w:marRight w:val="0"/>
                  <w:marTop w:val="0"/>
                  <w:marBottom w:val="0"/>
                  <w:divBdr>
                    <w:top w:val="none" w:sz="0" w:space="0" w:color="auto"/>
                    <w:left w:val="none" w:sz="0" w:space="0" w:color="auto"/>
                    <w:bottom w:val="none" w:sz="0" w:space="0" w:color="auto"/>
                    <w:right w:val="none" w:sz="0" w:space="0" w:color="auto"/>
                  </w:divBdr>
                  <w:divsChild>
                    <w:div w:id="81599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242021">
          <w:marLeft w:val="0"/>
          <w:marRight w:val="0"/>
          <w:marTop w:val="0"/>
          <w:marBottom w:val="0"/>
          <w:divBdr>
            <w:top w:val="none" w:sz="0" w:space="0" w:color="auto"/>
            <w:left w:val="none" w:sz="0" w:space="0" w:color="auto"/>
            <w:bottom w:val="none" w:sz="0" w:space="0" w:color="auto"/>
            <w:right w:val="none" w:sz="0" w:space="0" w:color="auto"/>
          </w:divBdr>
          <w:divsChild>
            <w:div w:id="306782878">
              <w:marLeft w:val="0"/>
              <w:marRight w:val="0"/>
              <w:marTop w:val="0"/>
              <w:marBottom w:val="0"/>
              <w:divBdr>
                <w:top w:val="none" w:sz="0" w:space="0" w:color="auto"/>
                <w:left w:val="none" w:sz="0" w:space="0" w:color="auto"/>
                <w:bottom w:val="none" w:sz="0" w:space="0" w:color="auto"/>
                <w:right w:val="none" w:sz="0" w:space="0" w:color="auto"/>
              </w:divBdr>
            </w:div>
            <w:div w:id="225604204">
              <w:marLeft w:val="0"/>
              <w:marRight w:val="0"/>
              <w:marTop w:val="0"/>
              <w:marBottom w:val="0"/>
              <w:divBdr>
                <w:top w:val="none" w:sz="0" w:space="0" w:color="auto"/>
                <w:left w:val="none" w:sz="0" w:space="0" w:color="auto"/>
                <w:bottom w:val="none" w:sz="0" w:space="0" w:color="auto"/>
                <w:right w:val="none" w:sz="0" w:space="0" w:color="auto"/>
              </w:divBdr>
            </w:div>
            <w:div w:id="836308734">
              <w:marLeft w:val="0"/>
              <w:marRight w:val="0"/>
              <w:marTop w:val="0"/>
              <w:marBottom w:val="0"/>
              <w:divBdr>
                <w:top w:val="none" w:sz="0" w:space="0" w:color="auto"/>
                <w:left w:val="none" w:sz="0" w:space="0" w:color="auto"/>
                <w:bottom w:val="none" w:sz="0" w:space="0" w:color="auto"/>
                <w:right w:val="none" w:sz="0" w:space="0" w:color="auto"/>
              </w:divBdr>
            </w:div>
            <w:div w:id="846529254">
              <w:marLeft w:val="0"/>
              <w:marRight w:val="0"/>
              <w:marTop w:val="0"/>
              <w:marBottom w:val="0"/>
              <w:divBdr>
                <w:top w:val="none" w:sz="0" w:space="0" w:color="auto"/>
                <w:left w:val="none" w:sz="0" w:space="0" w:color="auto"/>
                <w:bottom w:val="none" w:sz="0" w:space="0" w:color="auto"/>
                <w:right w:val="none" w:sz="0" w:space="0" w:color="auto"/>
              </w:divBdr>
            </w:div>
            <w:div w:id="948044886">
              <w:marLeft w:val="0"/>
              <w:marRight w:val="0"/>
              <w:marTop w:val="0"/>
              <w:marBottom w:val="0"/>
              <w:divBdr>
                <w:top w:val="none" w:sz="0" w:space="0" w:color="auto"/>
                <w:left w:val="none" w:sz="0" w:space="0" w:color="auto"/>
                <w:bottom w:val="none" w:sz="0" w:space="0" w:color="auto"/>
                <w:right w:val="none" w:sz="0" w:space="0" w:color="auto"/>
              </w:divBdr>
            </w:div>
            <w:div w:id="1751003382">
              <w:marLeft w:val="0"/>
              <w:marRight w:val="0"/>
              <w:marTop w:val="0"/>
              <w:marBottom w:val="0"/>
              <w:divBdr>
                <w:top w:val="none" w:sz="0" w:space="0" w:color="auto"/>
                <w:left w:val="none" w:sz="0" w:space="0" w:color="auto"/>
                <w:bottom w:val="none" w:sz="0" w:space="0" w:color="auto"/>
                <w:right w:val="none" w:sz="0" w:space="0" w:color="auto"/>
              </w:divBdr>
            </w:div>
            <w:div w:id="1821388102">
              <w:marLeft w:val="0"/>
              <w:marRight w:val="0"/>
              <w:marTop w:val="0"/>
              <w:marBottom w:val="0"/>
              <w:divBdr>
                <w:top w:val="none" w:sz="0" w:space="0" w:color="auto"/>
                <w:left w:val="none" w:sz="0" w:space="0" w:color="auto"/>
                <w:bottom w:val="none" w:sz="0" w:space="0" w:color="auto"/>
                <w:right w:val="none" w:sz="0" w:space="0" w:color="auto"/>
              </w:divBdr>
            </w:div>
            <w:div w:id="1496149060">
              <w:marLeft w:val="0"/>
              <w:marRight w:val="0"/>
              <w:marTop w:val="0"/>
              <w:marBottom w:val="0"/>
              <w:divBdr>
                <w:top w:val="none" w:sz="0" w:space="0" w:color="auto"/>
                <w:left w:val="none" w:sz="0" w:space="0" w:color="auto"/>
                <w:bottom w:val="none" w:sz="0" w:space="0" w:color="auto"/>
                <w:right w:val="none" w:sz="0" w:space="0" w:color="auto"/>
              </w:divBdr>
            </w:div>
            <w:div w:id="67003743">
              <w:marLeft w:val="0"/>
              <w:marRight w:val="0"/>
              <w:marTop w:val="0"/>
              <w:marBottom w:val="0"/>
              <w:divBdr>
                <w:top w:val="none" w:sz="0" w:space="0" w:color="auto"/>
                <w:left w:val="none" w:sz="0" w:space="0" w:color="auto"/>
                <w:bottom w:val="none" w:sz="0" w:space="0" w:color="auto"/>
                <w:right w:val="none" w:sz="0" w:space="0" w:color="auto"/>
              </w:divBdr>
            </w:div>
            <w:div w:id="579826640">
              <w:marLeft w:val="0"/>
              <w:marRight w:val="0"/>
              <w:marTop w:val="0"/>
              <w:marBottom w:val="0"/>
              <w:divBdr>
                <w:top w:val="none" w:sz="0" w:space="0" w:color="auto"/>
                <w:left w:val="none" w:sz="0" w:space="0" w:color="auto"/>
                <w:bottom w:val="none" w:sz="0" w:space="0" w:color="auto"/>
                <w:right w:val="none" w:sz="0" w:space="0" w:color="auto"/>
              </w:divBdr>
            </w:div>
            <w:div w:id="1611626738">
              <w:marLeft w:val="0"/>
              <w:marRight w:val="0"/>
              <w:marTop w:val="0"/>
              <w:marBottom w:val="0"/>
              <w:divBdr>
                <w:top w:val="none" w:sz="0" w:space="0" w:color="auto"/>
                <w:left w:val="none" w:sz="0" w:space="0" w:color="auto"/>
                <w:bottom w:val="none" w:sz="0" w:space="0" w:color="auto"/>
                <w:right w:val="none" w:sz="0" w:space="0" w:color="auto"/>
              </w:divBdr>
            </w:div>
            <w:div w:id="89785285">
              <w:marLeft w:val="0"/>
              <w:marRight w:val="0"/>
              <w:marTop w:val="0"/>
              <w:marBottom w:val="0"/>
              <w:divBdr>
                <w:top w:val="none" w:sz="0" w:space="0" w:color="auto"/>
                <w:left w:val="none" w:sz="0" w:space="0" w:color="auto"/>
                <w:bottom w:val="none" w:sz="0" w:space="0" w:color="auto"/>
                <w:right w:val="none" w:sz="0" w:space="0" w:color="auto"/>
              </w:divBdr>
            </w:div>
            <w:div w:id="728381547">
              <w:marLeft w:val="0"/>
              <w:marRight w:val="0"/>
              <w:marTop w:val="0"/>
              <w:marBottom w:val="0"/>
              <w:divBdr>
                <w:top w:val="none" w:sz="0" w:space="0" w:color="auto"/>
                <w:left w:val="none" w:sz="0" w:space="0" w:color="auto"/>
                <w:bottom w:val="none" w:sz="0" w:space="0" w:color="auto"/>
                <w:right w:val="none" w:sz="0" w:space="0" w:color="auto"/>
              </w:divBdr>
            </w:div>
            <w:div w:id="2075007407">
              <w:marLeft w:val="0"/>
              <w:marRight w:val="0"/>
              <w:marTop w:val="0"/>
              <w:marBottom w:val="0"/>
              <w:divBdr>
                <w:top w:val="none" w:sz="0" w:space="0" w:color="auto"/>
                <w:left w:val="none" w:sz="0" w:space="0" w:color="auto"/>
                <w:bottom w:val="none" w:sz="0" w:space="0" w:color="auto"/>
                <w:right w:val="none" w:sz="0" w:space="0" w:color="auto"/>
              </w:divBdr>
            </w:div>
            <w:div w:id="1309506821">
              <w:marLeft w:val="0"/>
              <w:marRight w:val="0"/>
              <w:marTop w:val="0"/>
              <w:marBottom w:val="0"/>
              <w:divBdr>
                <w:top w:val="none" w:sz="0" w:space="0" w:color="auto"/>
                <w:left w:val="none" w:sz="0" w:space="0" w:color="auto"/>
                <w:bottom w:val="none" w:sz="0" w:space="0" w:color="auto"/>
                <w:right w:val="none" w:sz="0" w:space="0" w:color="auto"/>
              </w:divBdr>
            </w:div>
            <w:div w:id="1317487884">
              <w:marLeft w:val="0"/>
              <w:marRight w:val="0"/>
              <w:marTop w:val="0"/>
              <w:marBottom w:val="0"/>
              <w:divBdr>
                <w:top w:val="none" w:sz="0" w:space="0" w:color="auto"/>
                <w:left w:val="none" w:sz="0" w:space="0" w:color="auto"/>
                <w:bottom w:val="none" w:sz="0" w:space="0" w:color="auto"/>
                <w:right w:val="none" w:sz="0" w:space="0" w:color="auto"/>
              </w:divBdr>
            </w:div>
            <w:div w:id="201965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7162">
      <w:bodyDiv w:val="1"/>
      <w:marLeft w:val="0"/>
      <w:marRight w:val="0"/>
      <w:marTop w:val="0"/>
      <w:marBottom w:val="0"/>
      <w:divBdr>
        <w:top w:val="none" w:sz="0" w:space="0" w:color="auto"/>
        <w:left w:val="none" w:sz="0" w:space="0" w:color="auto"/>
        <w:bottom w:val="none" w:sz="0" w:space="0" w:color="auto"/>
        <w:right w:val="none" w:sz="0" w:space="0" w:color="auto"/>
      </w:divBdr>
    </w:div>
    <w:div w:id="436950852">
      <w:bodyDiv w:val="1"/>
      <w:marLeft w:val="0"/>
      <w:marRight w:val="0"/>
      <w:marTop w:val="0"/>
      <w:marBottom w:val="0"/>
      <w:divBdr>
        <w:top w:val="none" w:sz="0" w:space="0" w:color="auto"/>
        <w:left w:val="none" w:sz="0" w:space="0" w:color="auto"/>
        <w:bottom w:val="none" w:sz="0" w:space="0" w:color="auto"/>
        <w:right w:val="none" w:sz="0" w:space="0" w:color="auto"/>
      </w:divBdr>
      <w:divsChild>
        <w:div w:id="1219440805">
          <w:marLeft w:val="0"/>
          <w:marRight w:val="0"/>
          <w:marTop w:val="0"/>
          <w:marBottom w:val="0"/>
          <w:divBdr>
            <w:top w:val="none" w:sz="0" w:space="0" w:color="auto"/>
            <w:left w:val="none" w:sz="0" w:space="0" w:color="auto"/>
            <w:bottom w:val="none" w:sz="0" w:space="0" w:color="auto"/>
            <w:right w:val="none" w:sz="0" w:space="0" w:color="auto"/>
          </w:divBdr>
        </w:div>
        <w:div w:id="944188944">
          <w:marLeft w:val="0"/>
          <w:marRight w:val="0"/>
          <w:marTop w:val="0"/>
          <w:marBottom w:val="0"/>
          <w:divBdr>
            <w:top w:val="none" w:sz="0" w:space="0" w:color="auto"/>
            <w:left w:val="none" w:sz="0" w:space="0" w:color="auto"/>
            <w:bottom w:val="none" w:sz="0" w:space="0" w:color="auto"/>
            <w:right w:val="none" w:sz="0" w:space="0" w:color="auto"/>
          </w:divBdr>
        </w:div>
        <w:div w:id="796874719">
          <w:marLeft w:val="0"/>
          <w:marRight w:val="0"/>
          <w:marTop w:val="0"/>
          <w:marBottom w:val="0"/>
          <w:divBdr>
            <w:top w:val="none" w:sz="0" w:space="0" w:color="auto"/>
            <w:left w:val="none" w:sz="0" w:space="0" w:color="auto"/>
            <w:bottom w:val="none" w:sz="0" w:space="0" w:color="auto"/>
            <w:right w:val="none" w:sz="0" w:space="0" w:color="auto"/>
          </w:divBdr>
        </w:div>
        <w:div w:id="683095631">
          <w:marLeft w:val="0"/>
          <w:marRight w:val="0"/>
          <w:marTop w:val="0"/>
          <w:marBottom w:val="0"/>
          <w:divBdr>
            <w:top w:val="none" w:sz="0" w:space="0" w:color="auto"/>
            <w:left w:val="none" w:sz="0" w:space="0" w:color="auto"/>
            <w:bottom w:val="none" w:sz="0" w:space="0" w:color="auto"/>
            <w:right w:val="none" w:sz="0" w:space="0" w:color="auto"/>
          </w:divBdr>
        </w:div>
      </w:divsChild>
    </w:div>
    <w:div w:id="472334041">
      <w:bodyDiv w:val="1"/>
      <w:marLeft w:val="0"/>
      <w:marRight w:val="0"/>
      <w:marTop w:val="0"/>
      <w:marBottom w:val="0"/>
      <w:divBdr>
        <w:top w:val="none" w:sz="0" w:space="0" w:color="auto"/>
        <w:left w:val="none" w:sz="0" w:space="0" w:color="auto"/>
        <w:bottom w:val="none" w:sz="0" w:space="0" w:color="auto"/>
        <w:right w:val="none" w:sz="0" w:space="0" w:color="auto"/>
      </w:divBdr>
    </w:div>
    <w:div w:id="672949853">
      <w:bodyDiv w:val="1"/>
      <w:marLeft w:val="0"/>
      <w:marRight w:val="0"/>
      <w:marTop w:val="0"/>
      <w:marBottom w:val="0"/>
      <w:divBdr>
        <w:top w:val="none" w:sz="0" w:space="0" w:color="auto"/>
        <w:left w:val="none" w:sz="0" w:space="0" w:color="auto"/>
        <w:bottom w:val="none" w:sz="0" w:space="0" w:color="auto"/>
        <w:right w:val="none" w:sz="0" w:space="0" w:color="auto"/>
      </w:divBdr>
    </w:div>
    <w:div w:id="1524319028">
      <w:bodyDiv w:val="1"/>
      <w:marLeft w:val="0"/>
      <w:marRight w:val="0"/>
      <w:marTop w:val="0"/>
      <w:marBottom w:val="0"/>
      <w:divBdr>
        <w:top w:val="none" w:sz="0" w:space="0" w:color="auto"/>
        <w:left w:val="none" w:sz="0" w:space="0" w:color="auto"/>
        <w:bottom w:val="none" w:sz="0" w:space="0" w:color="auto"/>
        <w:right w:val="none" w:sz="0" w:space="0" w:color="auto"/>
      </w:divBdr>
    </w:div>
    <w:div w:id="210102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at@eesc.europa.eu" TargetMode="External"/><Relationship Id="rId18" Type="http://schemas.openxmlformats.org/officeDocument/2006/relationships/header" Target="header3.xml"/><Relationship Id="rId26" Type="http://schemas.openxmlformats.org/officeDocument/2006/relationships/hyperlink" Target="https://unric.org/en/sdg-12/" TargetMode="External"/><Relationship Id="rId21" Type="http://schemas.openxmlformats.org/officeDocument/2006/relationships/hyperlink" Target="https://eur-lex.europa.eu/legal-content/SL/TXT/?uri=COM:2024:577:FIN"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hyperlink" Target="https://unric.org/en/sdg-10/" TargetMode="External"/><Relationship Id="rId33" Type="http://schemas.openxmlformats.org/officeDocument/2006/relationships/fontTable" Target="fontTable.xml"/><Relationship Id="rId38" Type="http://schemas.openxmlformats.org/officeDocument/2006/relationships/customXml" Target="../customXml/item4.xml"/><Relationship Id="rId16" Type="http://schemas.openxmlformats.org/officeDocument/2006/relationships/footer" Target="footer1.xml"/><Relationship Id="rId20" Type="http://schemas.openxmlformats.org/officeDocument/2006/relationships/hyperlink" Target="https://law-tracker.europa.eu/joint-legislative-portal/homepage?lang=en" TargetMode="External"/><Relationship Id="rId29" Type="http://schemas.openxmlformats.org/officeDocument/2006/relationships/footer" Target="footer4.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unric.org/en/sdg-8/" TargetMode="External"/><Relationship Id="rId32" Type="http://schemas.openxmlformats.org/officeDocument/2006/relationships/footer" Target="footer6.xml"/><Relationship Id="rId37" Type="http://schemas.openxmlformats.org/officeDocument/2006/relationships/customXml" Target="../customXml/item3.xml"/><Relationship Id="rId15" Type="http://schemas.openxmlformats.org/officeDocument/2006/relationships/header" Target="header2.xml"/><Relationship Id="rId23" Type="http://schemas.openxmlformats.org/officeDocument/2006/relationships/hyperlink" Target="https://unric.org/en/sdg-2/" TargetMode="External"/><Relationship Id="rId28" Type="http://schemas.openxmlformats.org/officeDocument/2006/relationships/header" Target="header5.xml"/><Relationship Id="rId36"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eader" Target="header6.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ec.europa.eu/commission/presscorner/detail/en/ip_24_6321" TargetMode="Externa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customXml" Target="../customXml/item1.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op.europa.eu/en/publication-detail/-/publication/831c7de4-2a1e-11eb-9d7e-01aa75ed71a1" TargetMode="External"/><Relationship Id="rId3" Type="http://schemas.openxmlformats.org/officeDocument/2006/relationships/hyperlink" Target="https://www.consilium.europa.eu/media/ny3j24sm/much-more-than-a-market-report-by-enrico-letta.pdf" TargetMode="External"/><Relationship Id="rId7" Type="http://schemas.openxmlformats.org/officeDocument/2006/relationships/hyperlink" Target="https://op.europa.eu/en/publication-detail/-/publication/831c7de4-2a1e-11eb-9d7e-01aa75ed71a1" TargetMode="External"/><Relationship Id="rId2" Type="http://schemas.openxmlformats.org/officeDocument/2006/relationships/hyperlink" Target="https://commission.europa.eu/topics/eu-competitiveness/draghi-report_en" TargetMode="External"/><Relationship Id="rId1" Type="http://schemas.openxmlformats.org/officeDocument/2006/relationships/hyperlink" Target="https://eur-lex.europa.eu/legal-content/SL/TXT/?uri=CELEX%3A52021AE0048" TargetMode="External"/><Relationship Id="rId6" Type="http://schemas.openxmlformats.org/officeDocument/2006/relationships/hyperlink" Target="https://eur-lex.europa.eu/legal-content/SL/TXT/?uri=COM:2024:176:FIN" TargetMode="External"/><Relationship Id="rId11" Type="http://schemas.openxmlformats.org/officeDocument/2006/relationships/hyperlink" Target="https://www.linkedin.com/company/medef/" TargetMode="External"/><Relationship Id="rId5" Type="http://schemas.openxmlformats.org/officeDocument/2006/relationships/hyperlink" Target="https://eur-lex.europa.eu/legal-content/SL/TXT/?uri=COM:2024:176:FIN" TargetMode="External"/><Relationship Id="rId10" Type="http://schemas.openxmlformats.org/officeDocument/2006/relationships/hyperlink" Target="https://www.linkedin.com/company/european-commission/" TargetMode="External"/><Relationship Id="rId4" Type="http://schemas.openxmlformats.org/officeDocument/2006/relationships/hyperlink" Target="https://commission.europa.eu/topics/eu-competitiveness_sl" TargetMode="External"/><Relationship Id="rId9" Type="http://schemas.openxmlformats.org/officeDocument/2006/relationships/hyperlink" Target="https://www.linkedin.com/company/beuc-the-european-consumer-organ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34DD74551733C243A24AB255EE6A94DB" ma:contentTypeVersion="4" ma:contentTypeDescription="Defines the documents for Document Manager V2" ma:contentTypeScope="" ma:versionID="6dc1781ba7fab92d7d66b168e0cae93f">
  <xsd:schema xmlns:xsd="http://www.w3.org/2001/XMLSchema" xmlns:xs="http://www.w3.org/2001/XMLSchema" xmlns:p="http://schemas.microsoft.com/office/2006/metadata/properties" xmlns:ns2="59ace41b-6786-4ce3-be71-52c27066c6ef" xmlns:ns3="http://schemas.microsoft.com/sharepoint/v3/fields" xmlns:ns4="91e51ac0-4aa1-4d5e-9a67-017d481be00b" targetNamespace="http://schemas.microsoft.com/office/2006/metadata/properties" ma:root="true" ma:fieldsID="f33a43edcf383b76f4f66ff8ebd76d7b" ns2:_="" ns3:_="" ns4:_="">
    <xsd:import namespace="59ace41b-6786-4ce3-be71-52c27066c6ef"/>
    <xsd:import namespace="http://schemas.microsoft.com/sharepoint/v3/fields"/>
    <xsd:import namespace="91e51ac0-4aa1-4d5e-9a67-017d481be00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ce41b-6786-4ce3-be71-52c27066c6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2fb5ba9-5e53-4066-9f9c-cd35b339bd62}" ma:internalName="TaxCatchAll" ma:showField="CatchAllData"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2fb5ba9-5e53-4066-9f9c-cd35b339bd62}" ma:internalName="TaxCatchAllLabel" ma:readOnly="true" ma:showField="CatchAllDataLabel"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e51ac0-4aa1-4d5e-9a67-017d481be00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59ace41b-6786-4ce3-be71-52c27066c6ef">F7M6YNZUATRX-1659962339-5650</_dlc_DocId>
    <_dlc_DocIdUrl xmlns="59ace41b-6786-4ce3-be71-52c27066c6ef">
      <Url>http://dm/eesc/2024/_layouts/15/DocIdRedir.aspx?ID=F7M6YNZUATRX-1659962339-5650</Url>
      <Description>F7M6YNZUATRX-1659962339-5650</Description>
    </_dlc_DocIdUrl>
    <Procedure xmlns="59ace41b-6786-4ce3-be71-52c27066c6ef">2024/0318(COD)</Procedure>
    <DocumentType_0 xmlns="http://schemas.microsoft.com/sharepoint/v3/fields">
      <Terms xmlns="http://schemas.microsoft.com/office/infopath/2007/PartnerControls">
        <TermInfo xmlns="http://schemas.microsoft.com/office/infopath/2007/PartnerControls">
          <TermName xmlns="http://schemas.microsoft.com/office/infopath/2007/PartnerControls">AS</TermName>
          <TermId xmlns="http://schemas.microsoft.com/office/infopath/2007/PartnerControls">c7a748eb-f6f2-4d9d-8b5a-af0cafebc224</TermId>
        </TermInfo>
      </Terms>
    </DocumentType_0>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59ace41b-6786-4ce3-be71-52c27066c6ef">2025-03-17T12:00:00+00:00</ProductionDate>
    <DocumentNumber xmlns="91e51ac0-4aa1-4d5e-9a67-017d481be00b">4652</DocumentNumber>
    <FicheYear xmlns="59ace41b-6786-4ce3-be71-52c27066c6ef" xsi:nil="true"/>
    <DossierNumber xmlns="59ace41b-6786-4ce3-be71-52c27066c6ef">945</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59ace41b-6786-4ce3-be71-52c27066c6ef">2025-03-26T12:00:00+00:00</MeetingDate>
    <TaxCatchAll xmlns="59ace41b-6786-4ce3-be71-52c27066c6ef">
      <Value>43</Value>
      <Value>132</Value>
      <Value>37</Value>
      <Value>36</Value>
      <Value>35</Value>
      <Value>34</Value>
      <Value>33</Value>
      <Value>32</Value>
      <Value>31</Value>
      <Value>30</Value>
      <Value>29</Value>
      <Value>28</Value>
      <Value>27</Value>
      <Value>26</Value>
      <Value>25</Value>
      <Value>24</Value>
      <Value>23</Value>
      <Value>22</Value>
      <Value>21</Value>
      <Value>18</Value>
      <Value>17</Value>
      <Value>16</Value>
      <Value>14</Value>
      <Value>12</Value>
      <Value>8</Value>
      <Value>7</Value>
      <Value>6</Value>
      <Value>5</Value>
      <Value>3</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SL</TermName>
          <TermId xmlns="http://schemas.microsoft.com/office/infopath/2007/PartnerControls">98a412ae-eb01-49e9-ae3d-585a81724cfc</TermId>
        </TermInfo>
      </Terms>
    </DocumentLanguage_0>
    <Rapporteur xmlns="59ace41b-6786-4ce3-be71-52c27066c6ef">PROUZET</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59ace41b-6786-4ce3-be71-52c27066c6ef">2024</DocumentYear>
    <FicheNumber xmlns="59ace41b-6786-4ce3-be71-52c27066c6ef">2641</FicheNumber>
    <OriginalSender xmlns="59ace41b-6786-4ce3-be71-52c27066c6ef">
      <UserInfo>
        <DisplayName>Logar Tina</DisplayName>
        <AccountId>1599</AccountId>
        <AccountType/>
      </UserInfo>
    </OriginalSender>
    <DocumentPart xmlns="59ace41b-6786-4ce3-be71-52c27066c6ef">0</DocumentPart>
    <AdoptionDate xmlns="59ace41b-6786-4ce3-be71-52c27066c6ef" xsi:nil="true"/>
    <RequestingService xmlns="59ace41b-6786-4ce3-be71-52c27066c6ef">Systèmes alimentaires durables, environnement, dév. rural</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d2afafd3-4c81-4f60-8f52-ee33f2f54ff3</TermId>
        </TermInfo>
      </Terms>
    </OriginalLanguage_0>
    <MeetingNumber xmlns="91e51ac0-4aa1-4d5e-9a67-017d481be00b">595</MeetingNumber>
    <DossierName_0 xmlns="http://schemas.microsoft.com/sharepoint/v3/fields">
      <Terms xmlns="http://schemas.microsoft.com/office/infopath/2007/PartnerControls">
        <TermInfo xmlns="http://schemas.microsoft.com/office/infopath/2007/PartnerControls">
          <TermName xmlns="http://schemas.microsoft.com/office/infopath/2007/PartnerControls">NAT</TermName>
          <TermId xmlns="http://schemas.microsoft.com/office/infopath/2007/PartnerControls">b263ab5d-0564-42a8-87bf-1cc57d938922</TermId>
        </TermInfo>
      </Terms>
    </DossierName_0>
    <DocumentVersion xmlns="59ace41b-6786-4ce3-be71-52c27066c6ef">0</DocumentVersion>
  </documentManagement>
</p:properties>
</file>

<file path=customXml/itemProps1.xml><?xml version="1.0" encoding="utf-8"?>
<ds:datastoreItem xmlns:ds="http://schemas.openxmlformats.org/officeDocument/2006/customXml" ds:itemID="{9F1A2E7B-3636-4004-9CC4-C0D099BDC34D}"/>
</file>

<file path=customXml/itemProps2.xml><?xml version="1.0" encoding="utf-8"?>
<ds:datastoreItem xmlns:ds="http://schemas.openxmlformats.org/officeDocument/2006/customXml" ds:itemID="{EB1FADF2-FA2A-4288-9EE1-FDF8B89ED48E}"/>
</file>

<file path=customXml/itemProps3.xml><?xml version="1.0" encoding="utf-8"?>
<ds:datastoreItem xmlns:ds="http://schemas.openxmlformats.org/officeDocument/2006/customXml" ds:itemID="{2B97E103-DFE1-4E21-9D59-9A995281153D}"/>
</file>

<file path=customXml/itemProps4.xml><?xml version="1.0" encoding="utf-8"?>
<ds:datastoreItem xmlns:ds="http://schemas.openxmlformats.org/officeDocument/2006/customXml" ds:itemID="{8CFCE9E4-BA8B-4751-83E7-89A6D3198071}"/>
</file>

<file path=docProps/app.xml><?xml version="1.0" encoding="utf-8"?>
<Properties xmlns="http://schemas.openxmlformats.org/officeDocument/2006/extended-properties" xmlns:vt="http://schemas.openxmlformats.org/officeDocument/2006/docPropsVTypes">
  <Template>Normal.dotm</Template>
  <TotalTime>0</TotalTime>
  <Pages>9</Pages>
  <Words>2187</Words>
  <Characters>13287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Nouvelles règles relatives à la répression transfrontière  des pratiques commerciales déloyales</vt:lpstr>
    </vt:vector>
  </TitlesOfParts>
  <Company>CESE-CdR</Company>
  <LinksUpToDate>false</LinksUpToDate>
  <CharactersWithSpaces>15444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Nova pravila o čezmejnem zatiranju nepoštenih trgovinskih praks</dc:title>
  <dc:subject>AS</dc:subject>
  <dc:creator/>
  <cp:keywords>EESC-2024-04652-00-00-AS-TRA-FR</cp:keywords>
  <dc:description>Rapporteur: PROUZET - Original language: FR - Date of document: 17/03/2025 - Date of meeting: 30/26/2025 14:30 - External documents: COM(2024)576- final - Administrator:  KOLYVA Myrto</dc:description>
  <cp:lastModifiedBy/>
  <cp:revision>9</cp:revision>
  <cp:lastPrinted>2016-01-26T08:31:00Z</cp:lastPrinted>
  <dcterms:created xsi:type="dcterms:W3CDTF">2025-03-17T09:14:00Z</dcterms:created>
  <dcterms:modified xsi:type="dcterms:W3CDTF">2025-03-17T09:21:00Z</dcterms:modified>
  <cp:category>NAT/945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14/03/2025, 14/03/2025, 03/03/2025, 28/02/2025, 21/02/2025, 28/01/2025, 12/04/2024, 03/04/2024, 03/04/2024, 11/03/2024, 04/03/2024, 04/03/2024, 04/03/2024, 20/12/2023, 17/05/2022, 04/11/2015, 27/10/2015, 19/10/2015, 09/10/2015, 05/10/2015, 05/10/2015, 26/</vt:lpwstr>
  </property>
  <property fmtid="{D5CDD505-2E9C-101B-9397-08002B2CF9AE}" pid="4" name="Pref_Time">
    <vt:lpwstr>13:11:46, 08:27:55, 15:01:32, 11:34:31, 17:26:06, 09:22:32, 11:32:55, 08:12:45, 08:10:26, 12:03:24, 12:56:55, 12:41:08, 11:08:50, 07:02:01, 13:02:32, 12/10/07, 14:44:02, 16/04/16, 14:09:30, 16:24:55, 16:04:02, 08:56:14, 07:27:56, 17:31:53</vt:lpwstr>
  </property>
  <property fmtid="{D5CDD505-2E9C-101B-9397-08002B2CF9AE}" pid="5" name="Pref_User">
    <vt:lpwstr>amett, pacup, pacup, pacup, pacup, amett, enied, enied, enied, enied, enied, enied, enied, enied, enied, ssex, enied, amett, tvoc, mreg, mreg, amett, enied, ssex</vt:lpwstr>
  </property>
  <property fmtid="{D5CDD505-2E9C-101B-9397-08002B2CF9AE}" pid="6" name="Pref_FileName">
    <vt:lpwstr>eesc-2024-04652-00-00-as-ori (1).docx, EESC-2024-04652-00-00-AS-TRA-FR-CRR.docx, EESC-2024-04652-00-02-PA-ORI.docx, EESC-2024-04652-00-01-PA-ORI.docx, EESC-2024-04652-00-00-PA-ORI.docx, EESC-2024-04652-00-00-APA-TRA-FR-CRR.docx, COR-EESC-2024-01326-03-00-</vt:lpwstr>
  </property>
  <property fmtid="{D5CDD505-2E9C-101B-9397-08002B2CF9AE}" pid="7" name="ContentTypeId">
    <vt:lpwstr>0x010100EA97B91038054C99906057A708A1480A0034DD74551733C243A24AB255EE6A94DB</vt:lpwstr>
  </property>
  <property fmtid="{D5CDD505-2E9C-101B-9397-08002B2CF9AE}" pid="8" name="_dlc_DocIdItemGuid">
    <vt:lpwstr>72d6824f-7b70-402e-b372-0c8904548a27</vt:lpwstr>
  </property>
  <property fmtid="{D5CDD505-2E9C-101B-9397-08002B2CF9AE}" pid="9" name="Procedure">
    <vt:lpwstr>2024/0318(COD)</vt:lpwstr>
  </property>
  <property fmtid="{D5CDD505-2E9C-101B-9397-08002B2CF9AE}" pid="10" name="AvailableTranslations">
    <vt:lpwstr>27;#SL|98a412ae-eb01-49e9-ae3d-585a81724cfc;#14;#FR|d2afafd3-4c81-4f60-8f52-ee33f2f54ff3;#37;#RO|feb747a2-64cd-4299-af12-4833ddc30497;#22;#BG|1a1b3951-7821-4e6a-85f5-5673fc08bd2c;#32;#HU|6b229040-c589-4408-b4c1-4285663d20a8;#12;#IT|0774613c-01ed-4e5d-a25d-11d2388de825;#16;#DA|5d49c027-8956-412b-aa16-e85a0f96ad0e;#36;#PT|50ccc04a-eadd-42ae-a0cb-acaf45f812ba;#34;#LT|a7ff5ce7-6123-4f68-865a-a57c31810414;#18;#GA|762d2456-c427-4ecb-b312-af3dad8e258c;#33;#ET|ff6c3f4c-b02c-4c3c-ab07-2c37995a7a0a;#31;#NL|55c6556c-b4f4-441d-9acf-c498d4f838bd;#24;#ES|e7a6b05b-ae16-40c8-add9-68b64b03aeba;#35;#FI|87606a43-d45f-42d6-b8c9-e1a3457db5b7;#25;#DE|f6b31e5a-26fa-4935-b661-318e46daf27e;#21;#SV|c2ed69e7-a339-43d7-8f22-d93680a92aa0;#23;#MT|7df99101-6854-4a26-b53a-b88c0da02c26;#5;#EN|f2175f21-25d7-44a3-96da-d6a61b075e1b;#29;#EL|6d4f4d51-af9b-4650-94b4-4276bee85c91;#17;#PL|1e03da61-4678-4e07-b136-b5024ca9197b;#28;#LV|46f7e311-5d9f-4663-b433-18aeccb7ace7;#43;#CS|72f9705b-0217-4fd3-bea2-cbc7ed80e26e;#26;#SK|46d9fce0-ef79-4f71-b89b-cd6aa82426b8;#30;#HR|2f555653-ed1a-4fe6-8362-9082d95989e5</vt:lpwstr>
  </property>
  <property fmtid="{D5CDD505-2E9C-101B-9397-08002B2CF9AE}" pid="11" name="DocumentType_0">
    <vt:lpwstr>AS|c7a748eb-f6f2-4d9d-8b5a-af0cafebc224</vt:lpwstr>
  </property>
  <property fmtid="{D5CDD505-2E9C-101B-9397-08002B2CF9AE}" pid="12" name="MeetingNumber">
    <vt:i4>595</vt:i4>
  </property>
  <property fmtid="{D5CDD505-2E9C-101B-9397-08002B2CF9AE}" pid="13" name="DossierName_0">
    <vt:lpwstr>NAT|b263ab5d-0564-42a8-87bf-1cc57d938922</vt:lpwstr>
  </property>
  <property fmtid="{D5CDD505-2E9C-101B-9397-08002B2CF9AE}" pid="14" name="DocumentSource_0">
    <vt:lpwstr>EESC|422833ec-8d7e-4e65-8e4e-8bed07ffb729</vt:lpwstr>
  </property>
  <property fmtid="{D5CDD505-2E9C-101B-9397-08002B2CF9AE}" pid="15" name="DocumentNumber">
    <vt:i4>4652</vt:i4>
  </property>
  <property fmtid="{D5CDD505-2E9C-101B-9397-08002B2CF9AE}" pid="16" name="DocumentVersion">
    <vt:i4>0</vt:i4>
  </property>
  <property fmtid="{D5CDD505-2E9C-101B-9397-08002B2CF9AE}" pid="17" name="DossierNumber">
    <vt:i4>945</vt:i4>
  </property>
  <property fmtid="{D5CDD505-2E9C-101B-9397-08002B2CF9AE}" pid="18" name="DocumentStatus">
    <vt:lpwstr>3;#TRA|150d2a88-1431-44e6-a8ca-0bb753ab8672</vt:lpwstr>
  </property>
  <property fmtid="{D5CDD505-2E9C-101B-9397-08002B2CF9AE}" pid="19" name="DossierName">
    <vt:lpwstr>2;#NAT|b263ab5d-0564-42a8-87bf-1cc57d938922</vt:lpwstr>
  </property>
  <property fmtid="{D5CDD505-2E9C-101B-9397-08002B2CF9AE}" pid="20" name="RequestingService">
    <vt:lpwstr>Systèmes alimentaires durables, environnement, dév. rural</vt:lpwstr>
  </property>
  <property fmtid="{D5CDD505-2E9C-101B-9397-08002B2CF9AE}" pid="21" name="Confidentiality">
    <vt:lpwstr>6;#Unrestricted|826e22d7-d029-4ec0-a450-0c28ff673572</vt:lpwstr>
  </property>
  <property fmtid="{D5CDD505-2E9C-101B-9397-08002B2CF9AE}" pid="22" name="MeetingName_0">
    <vt:lpwstr>SPL-CES|32d8cb1f-c9ec-4365-95c7-8385a18618ac</vt:lpwstr>
  </property>
  <property fmtid="{D5CDD505-2E9C-101B-9397-08002B2CF9AE}" pid="23" name="Confidentiality_0">
    <vt:lpwstr>Unrestricted|826e22d7-d029-4ec0-a450-0c28ff673572</vt:lpwstr>
  </property>
  <property fmtid="{D5CDD505-2E9C-101B-9397-08002B2CF9AE}" pid="24" name="OriginalLanguage">
    <vt:lpwstr>14;#FR|d2afafd3-4c81-4f60-8f52-ee33f2f54ff3</vt:lpwstr>
  </property>
  <property fmtid="{D5CDD505-2E9C-101B-9397-08002B2CF9AE}" pid="25" name="MeetingName">
    <vt:lpwstr>7;#SPL-CES|32d8cb1f-c9ec-4365-95c7-8385a18618ac</vt:lpwstr>
  </property>
  <property fmtid="{D5CDD505-2E9C-101B-9397-08002B2CF9AE}" pid="26" name="MeetingDate">
    <vt:filetime>2025-03-26T12:00:00Z</vt:filetime>
  </property>
  <property fmtid="{D5CDD505-2E9C-101B-9397-08002B2CF9AE}" pid="27" name="AvailableTranslations_0">
    <vt:lpwstr>FR|d2afafd3-4c81-4f60-8f52-ee33f2f54ff3;HU|6b229040-c589-4408-b4c1-4285663d20a8;IT|0774613c-01ed-4e5d-a25d-11d2388de825;LT|a7ff5ce7-6123-4f68-865a-a57c31810414;NL|55c6556c-b4f4-441d-9acf-c498d4f838bd;ES|e7a6b05b-ae16-40c8-add9-68b64b03aeba;SV|c2ed69e7-a339-43d7-8f22-d93680a92aa0;MT|7df99101-6854-4a26-b53a-b88c0da02c26;EN|f2175f21-25d7-44a3-96da-d6a61b075e1b;PL|1e03da61-4678-4e07-b136-b5024ca9197b;CS|72f9705b-0217-4fd3-bea2-cbc7ed80e26e;SK|46d9fce0-ef79-4f71-b89b-cd6aa82426b8</vt:lpwstr>
  </property>
  <property fmtid="{D5CDD505-2E9C-101B-9397-08002B2CF9AE}" pid="28" name="DocumentStatus_0">
    <vt:lpwstr>TRA|150d2a88-1431-44e6-a8ca-0bb753ab8672</vt:lpwstr>
  </property>
  <property fmtid="{D5CDD505-2E9C-101B-9397-08002B2CF9AE}" pid="29" name="OriginalLanguage_0">
    <vt:lpwstr>FR|d2afafd3-4c81-4f60-8f52-ee33f2f54ff3</vt:lpwstr>
  </property>
  <property fmtid="{D5CDD505-2E9C-101B-9397-08002B2CF9AE}" pid="30" name="TaxCatchAll">
    <vt:lpwstr>34;#LT|a7ff5ce7-6123-4f68-865a-a57c31810414;#32;#HU|6b229040-c589-4408-b4c1-4285663d20a8;#31;#NL|55c6556c-b4f4-441d-9acf-c498d4f838bd;#43;#CS|72f9705b-0217-4fd3-bea2-cbc7ed80e26e;#26;#SK|46d9fce0-ef79-4f71-b89b-cd6aa82426b8;#24;#ES|e7a6b05b-ae16-40c8-add9-68b64b03aeba;#23;#MT|7df99101-6854-4a26-b53a-b88c0da02c26;#132;#AS|c7a748eb-f6f2-4d9d-8b5a-af0cafebc224;#21;#SV|c2ed69e7-a339-43d7-8f22-d93680a92aa0;#17;#PL|1e03da61-4678-4e07-b136-b5024ca9197b;#14;#FR|d2afafd3-4c81-4f60-8f52-ee33f2f54ff3;#12;#IT|0774613c-01ed-4e5d-a25d-11d2388de825;#8;#Final|ea5e6674-7b27-4bac-b091-73adbb394efe;#7;#SPL-CES|32d8cb1f-c9ec-4365-95c7-8385a18618ac;#6;#Unrestricted|826e22d7-d029-4ec0-a450-0c28ff673572;#5;#EN|f2175f21-25d7-44a3-96da-d6a61b075e1b;#3;#TRA|150d2a88-1431-44e6-a8ca-0bb753ab8672;#2;#NAT|b263ab5d-0564-42a8-87bf-1cc57d938922;#1;#EESC|422833ec-8d7e-4e65-8e4e-8bed07ffb729</vt:lpwstr>
  </property>
  <property fmtid="{D5CDD505-2E9C-101B-9397-08002B2CF9AE}" pid="31" name="Rapporteur">
    <vt:lpwstr>PROUZET</vt:lpwstr>
  </property>
  <property fmtid="{D5CDD505-2E9C-101B-9397-08002B2CF9AE}" pid="32" name="VersionStatus_0">
    <vt:lpwstr>Final|ea5e6674-7b27-4bac-b091-73adbb394efe</vt:lpwstr>
  </property>
  <property fmtid="{D5CDD505-2E9C-101B-9397-08002B2CF9AE}" pid="33" name="VersionStatus">
    <vt:lpwstr>8;#Final|ea5e6674-7b27-4bac-b091-73adbb394efe</vt:lpwstr>
  </property>
  <property fmtid="{D5CDD505-2E9C-101B-9397-08002B2CF9AE}" pid="34" name="DocumentYear">
    <vt:i4>2024</vt:i4>
  </property>
  <property fmtid="{D5CDD505-2E9C-101B-9397-08002B2CF9AE}" pid="35" name="FicheNumber">
    <vt:i4>2641</vt:i4>
  </property>
  <property fmtid="{D5CDD505-2E9C-101B-9397-08002B2CF9AE}" pid="36" name="DocumentPart">
    <vt:i4>0</vt:i4>
  </property>
  <property fmtid="{D5CDD505-2E9C-101B-9397-08002B2CF9AE}" pid="37" name="DocumentSource">
    <vt:lpwstr>1;#EESC|422833ec-8d7e-4e65-8e4e-8bed07ffb729</vt:lpwstr>
  </property>
  <property fmtid="{D5CDD505-2E9C-101B-9397-08002B2CF9AE}" pid="39" name="DocumentType">
    <vt:lpwstr>132;#AS|c7a748eb-f6f2-4d9d-8b5a-af0cafebc224</vt:lpwstr>
  </property>
  <property fmtid="{D5CDD505-2E9C-101B-9397-08002B2CF9AE}" pid="40" name="DocumentLanguage">
    <vt:lpwstr>27;#SL|98a412ae-eb01-49e9-ae3d-585a81724cfc</vt:lpwstr>
  </property>
  <property name="OP_sanitized" fmtid="{D5CDD505-2E9C-101B-9397-08002B2CF9AE}" pid="40">
    <vt:lpwstr>True</vt:lpwstr>
  </property>
</Properties>
</file>