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4ACE" w:rsidR="00646AC2" w:rsidP="004A06CE" w:rsidRDefault="00AC40D4" w14:paraId="5B3BE56A" w14:textId="582E6A83">
      <w:pPr>
        <w:jc w:val="center"/>
      </w:pPr>
      <w:r>
        <w:rPr>
          <w:noProof/>
        </w:rPr>
        <w:drawing>
          <wp:inline distT="0" distB="0" distL="0" distR="0" wp14:anchorId="50A10ED4" wp14:editId="7E0D1D6A">
            <wp:extent cx="1792605" cy="1241425"/>
            <wp:effectExtent l="0" t="0" r="0" b="0"/>
            <wp:docPr id="2" name="Picture 2" title="EESCLogo_SL"/>
            <wp:cNvGraphicFramePr/>
            <a:graphic xmlns:a="http://schemas.openxmlformats.org/drawingml/2006/main">
              <a:graphicData uri="http://schemas.openxmlformats.org/drawingml/2006/picture">
                <pic:pic xmlns:pic="http://schemas.openxmlformats.org/drawingml/2006/picture">
                  <pic:nvPicPr>
                    <pic:cNvPr id="2" name="Picture 2" title="EESCLogo_SL"/>
                    <pic:cNvPicPr/>
                  </pic:nvPicPr>
                  <pic:blipFill>
                    <a:blip r:embed="rId11"/>
                    <a:stretch>
                      <a:fillRect/>
                    </a:stretch>
                  </pic:blipFill>
                  <pic:spPr>
                    <a:xfrm>
                      <a:off x="0" y="0"/>
                      <a:ext cx="1792605" cy="1241425"/>
                    </a:xfrm>
                    <a:prstGeom prst="rect">
                      <a:avLst/>
                    </a:prstGeom>
                  </pic:spPr>
                </pic:pic>
              </a:graphicData>
            </a:graphic>
          </wp:inline>
        </w:drawing>
      </w:r>
      <w:r w:rsidR="00CF79AF">
        <w:rPr>
          <w:noProof/>
          <w:sz w:val="20"/>
        </w:rPr>
        <mc:AlternateContent>
          <mc:Choice Requires="wps">
            <w:drawing>
              <wp:anchor distT="0" distB="0" distL="114300" distR="114300" simplePos="0" relativeHeight="251659264" behindDoc="1" locked="0" layoutInCell="0" allowOverlap="1" wp14:editId="07B8F8F0"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1DB1" w:rsidRDefault="002C1DB1" w14:paraId="45060660" w14:textId="77777777">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2C1DB1" w:rsidRDefault="002C1DB1" w14:paraId="45060660" w14:textId="77777777">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A64ACE" w:rsidR="008C74D9" w:rsidP="004A06CE" w:rsidRDefault="008C74D9" w14:paraId="5E7A16AD" w14:textId="77777777"/>
    <w:p w:rsidRPr="00A64ACE" w:rsidR="00646AC2" w:rsidP="004A06CE" w:rsidRDefault="00DB385D" w14:paraId="5B3BE56B" w14:textId="155AA2F8">
      <w:pPr>
        <w:jc w:val="right"/>
      </w:pPr>
      <w:r>
        <w:rPr>
          <w:b/>
        </w:rPr>
        <w:t>NAT/905</w:t>
      </w:r>
    </w:p>
    <w:p w:rsidRPr="00A64ACE" w:rsidR="00563C84" w:rsidP="004A06CE" w:rsidRDefault="004C4E00" w14:paraId="5B3BE56C" w14:textId="031DD0EC">
      <w:pPr>
        <w:jc w:val="right"/>
      </w:pPr>
      <w:r>
        <w:rPr>
          <w:b/>
        </w:rPr>
        <w:t>Semena in drug rastlinski in gozdni razmnoževalni material</w:t>
      </w:r>
    </w:p>
    <w:p w:rsidRPr="00A64ACE" w:rsidR="009B30AA" w:rsidP="004A06CE" w:rsidRDefault="009B30AA" w14:paraId="5B3BE56D" w14:textId="77777777"/>
    <w:p w:rsidRPr="00A64ACE" w:rsidR="009B30AA" w:rsidP="004A06CE" w:rsidRDefault="009B30AA" w14:paraId="5B3BE56E" w14:textId="77777777"/>
    <w:p w:rsidRPr="00A64ACE" w:rsidR="0048754F" w:rsidP="004A06CE" w:rsidRDefault="00BC4130" w14:paraId="3C09B2EE" w14:textId="2D75B140">
      <w:pPr>
        <w:jc w:val="center"/>
        <w:rPr>
          <w:b/>
          <w:bCs/>
          <w:sz w:val="28"/>
          <w:szCs w:val="28"/>
        </w:rPr>
      </w:pPr>
      <w:r>
        <w:rPr>
          <w:b/>
          <w:sz w:val="28"/>
        </w:rPr>
        <w:t>MNENJE</w:t>
      </w:r>
    </w:p>
    <w:p w:rsidRPr="00A64ACE" w:rsidR="0048754F" w:rsidP="004A06CE" w:rsidRDefault="0048754F" w14:paraId="34368F6A" w14:textId="77777777">
      <w:pPr>
        <w:jc w:val="center"/>
      </w:pPr>
    </w:p>
    <w:p w:rsidRPr="00A64ACE" w:rsidR="0048754F" w:rsidP="004A06CE" w:rsidRDefault="03385EDC" w14:paraId="7D40B1DD" w14:textId="67E92888">
      <w:pPr>
        <w:jc w:val="center"/>
      </w:pPr>
      <w:r>
        <w:t>Strokovna skupina za kmetijstvo, razvoj podeželja in okolje</w:t>
      </w:r>
    </w:p>
    <w:p w:rsidRPr="00A64ACE" w:rsidR="0048754F" w:rsidP="004A06CE" w:rsidRDefault="0048754F" w14:paraId="046C48E8" w14:textId="77777777">
      <w:pPr>
        <w:jc w:val="center"/>
      </w:pPr>
    </w:p>
    <w:p w:rsidR="0066096F" w:rsidP="004A06CE" w:rsidRDefault="0066397A" w14:paraId="15B72A3B" w14:textId="3F77C3CD">
      <w:pPr>
        <w:jc w:val="center"/>
      </w:pPr>
      <w:r>
        <w:rPr>
          <w:b/>
        </w:rPr>
        <w:t>Proposal for a Regulation of the European Parliament and of the Council on the production and marketing of plant reproductive material in the Union, amending Regulations (EU) 2016/2031, 2017/625 and 2018/848 of the European Parliament and of the Council, and repealing Council Directives 66/401/EEC, 66/402/EEC, 68/193/EEC, 2002/53/EC, 2002/54/EC, 2002/55/EC, 2002/56/EC, 2002/57/EC, 2008/72/EC and 2008/90/EC (Regulation on plant reproductive material) [dokument še ni na voljo v slovenščini]</w:t>
      </w:r>
    </w:p>
    <w:p w:rsidR="0066096F" w:rsidP="004A06CE" w:rsidRDefault="004D5C0A" w14:paraId="440C8422" w14:textId="2BC67432">
      <w:pPr>
        <w:jc w:val="center"/>
        <w:rPr>
          <w:b/>
        </w:rPr>
      </w:pPr>
      <w:r>
        <w:t>[COM(2023) 414 final 2023/0227 (COD)]</w:t>
      </w:r>
    </w:p>
    <w:p w:rsidR="0066096F" w:rsidP="004A06CE" w:rsidRDefault="0066096F" w14:paraId="41231F1A" w14:textId="77777777">
      <w:pPr>
        <w:jc w:val="center"/>
        <w:rPr>
          <w:b/>
        </w:rPr>
      </w:pPr>
    </w:p>
    <w:p w:rsidRPr="00A64ACE" w:rsidR="0048754F" w:rsidP="004A06CE" w:rsidRDefault="0066397A" w14:paraId="69DFD613" w14:textId="2F35E1C5">
      <w:pPr>
        <w:jc w:val="center"/>
      </w:pPr>
      <w:r>
        <w:rPr>
          <w:b/>
        </w:rPr>
        <w:t>Proposal for a Regulation of the European Parliament and of the Council on the production and marketing of forest reproductive material, amending Regulations (EU) 2016/2031 and 2017/625 of the European Parliament and of the Council and repealing Council Directive 1999/105/EC (Regulation on forest reproductive material) [dokument še ni na voljo v slovenščini]</w:t>
      </w:r>
    </w:p>
    <w:p w:rsidRPr="00A64ACE" w:rsidR="00646AC2" w:rsidP="004A06CE" w:rsidRDefault="03385EDC" w14:paraId="5B3BE56F" w14:textId="77647A34">
      <w:pPr>
        <w:jc w:val="center"/>
      </w:pPr>
      <w:r>
        <w:t>[COM(2023) 415 final 2023/0228 (COD)]</w:t>
      </w:r>
    </w:p>
    <w:p w:rsidRPr="00A64ACE" w:rsidR="009B30AA" w:rsidP="004A06CE" w:rsidRDefault="009B30AA" w14:paraId="5B3BE57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A64ACE" w:rsidR="00FF3759" w:rsidTr="00A87798" w14:paraId="5B3BE57A" w14:textId="77777777">
        <w:tc>
          <w:tcPr>
            <w:tcW w:w="3085" w:type="dxa"/>
          </w:tcPr>
          <w:p w:rsidRPr="00A64ACE" w:rsidR="00FF3759" w:rsidP="004A06CE" w:rsidRDefault="03385EDC" w14:paraId="5B3BE578" w14:textId="77777777">
            <w:pPr>
              <w:jc w:val="left"/>
            </w:pPr>
            <w:r>
              <w:t>Kontakt</w:t>
            </w:r>
          </w:p>
        </w:tc>
        <w:tc>
          <w:tcPr>
            <w:tcW w:w="6204" w:type="dxa"/>
          </w:tcPr>
          <w:p w:rsidRPr="00A64ACE" w:rsidR="00FF3759" w:rsidP="004A06CE" w:rsidRDefault="0068413A" w14:paraId="5B3BE579" w14:textId="1D3277FD">
            <w:pPr>
              <w:jc w:val="left"/>
            </w:pPr>
            <w:hyperlink w:history="1" r:id="rId12">
              <w:r w:rsidR="009274DA">
                <w:rPr>
                  <w:rStyle w:val="Hyperlink"/>
                </w:rPr>
                <w:t>nat@eesc.europa.eu</w:t>
              </w:r>
            </w:hyperlink>
          </w:p>
        </w:tc>
      </w:tr>
      <w:tr w:rsidRPr="00A64ACE" w:rsidR="00FF3759" w:rsidTr="00A87798" w14:paraId="5B3BE57D" w14:textId="77777777">
        <w:tc>
          <w:tcPr>
            <w:tcW w:w="3085" w:type="dxa"/>
          </w:tcPr>
          <w:p w:rsidRPr="00A64ACE" w:rsidR="00FF3759" w:rsidP="004A06CE" w:rsidRDefault="03385EDC" w14:paraId="5B3BE57B" w14:textId="5DD00F91">
            <w:pPr>
              <w:jc w:val="left"/>
            </w:pPr>
            <w:r>
              <w:t>Administrator</w:t>
            </w:r>
          </w:p>
        </w:tc>
        <w:tc>
          <w:tcPr>
            <w:tcW w:w="6204" w:type="dxa"/>
          </w:tcPr>
          <w:p w:rsidRPr="00A64ACE" w:rsidR="00FF3759" w:rsidP="004A06CE" w:rsidRDefault="000C4F25" w14:paraId="5B3BE57C" w14:textId="0D6851F9">
            <w:pPr>
              <w:jc w:val="left"/>
            </w:pPr>
            <w:r>
              <w:t>Nicolas STENGER</w:t>
            </w:r>
          </w:p>
        </w:tc>
      </w:tr>
      <w:tr w:rsidRPr="00A64ACE" w:rsidR="00FF3759" w:rsidTr="00A87798" w14:paraId="5B3BE580" w14:textId="77777777">
        <w:tc>
          <w:tcPr>
            <w:tcW w:w="3085" w:type="dxa"/>
          </w:tcPr>
          <w:p w:rsidRPr="00A64ACE" w:rsidR="00FF3759" w:rsidP="004A06CE" w:rsidRDefault="03385EDC" w14:paraId="5B3BE57E" w14:textId="77777777">
            <w:pPr>
              <w:jc w:val="left"/>
            </w:pPr>
            <w:r>
              <w:t>Datum dokumenta</w:t>
            </w:r>
          </w:p>
        </w:tc>
        <w:tc>
          <w:tcPr>
            <w:tcW w:w="6204" w:type="dxa"/>
          </w:tcPr>
          <w:p w:rsidRPr="00A64ACE" w:rsidR="00FF3759" w:rsidP="004A06CE" w:rsidRDefault="003616EA" w14:paraId="5B3BE57F" w14:textId="3644584C">
            <w:pPr>
              <w:jc w:val="left"/>
            </w:pPr>
            <w:r>
              <w:t>12. 9. 2023</w:t>
            </w:r>
          </w:p>
        </w:tc>
      </w:tr>
    </w:tbl>
    <w:p w:rsidRPr="00A64ACE" w:rsidR="00812061" w:rsidP="004A06CE" w:rsidRDefault="03385EDC" w14:paraId="7B2ACFE7" w14:textId="6A31974D">
      <w:pPr>
        <w:jc w:val="center"/>
        <w:rPr>
          <w:bCs/>
        </w:rPr>
      </w:pPr>
      <w:r>
        <w:t xml:space="preserve">Poročevalec: </w:t>
      </w:r>
      <w:r>
        <w:rPr>
          <w:b/>
        </w:rPr>
        <w:t>Arnaud SCHWARTZ</w:t>
      </w:r>
    </w:p>
    <w:p w:rsidRPr="00A64ACE" w:rsidR="00E32DC6" w:rsidP="004A06CE" w:rsidRDefault="00E32DC6" w14:paraId="5B3BE582" w14:textId="6F8F6800"/>
    <w:p w:rsidRPr="00A64ACE" w:rsidR="00E32DC6" w:rsidP="004A06CE" w:rsidRDefault="00E32DC6" w14:paraId="5B3BE583" w14:textId="77777777"/>
    <w:p w:rsidRPr="00A64ACE" w:rsidR="00E32DC6" w:rsidP="004A06CE" w:rsidRDefault="00E32DC6" w14:paraId="5B3BE584" w14:textId="77777777">
      <w:pPr>
        <w:sectPr w:rsidRPr="00A64ACE" w:rsidR="00E32DC6" w:rsidSect="00C94E53">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8"/>
        <w:gridCol w:w="6015"/>
      </w:tblGrid>
      <w:tr w:rsidRPr="00A64ACE" w:rsidR="0011656A" w:rsidTr="0000130F" w14:paraId="5B3BE5A6" w14:textId="77777777">
        <w:tc>
          <w:tcPr>
            <w:tcW w:w="3058" w:type="dxa"/>
          </w:tcPr>
          <w:p w:rsidRPr="00A64ACE" w:rsidR="0011656A" w:rsidP="004A06CE" w:rsidRDefault="03385EDC" w14:paraId="5B3BE5A4" w14:textId="564DE682">
            <w:pPr>
              <w:jc w:val="left"/>
            </w:pPr>
            <w:r>
              <w:lastRenderedPageBreak/>
              <w:t>Zaprosilo</w:t>
            </w:r>
          </w:p>
        </w:tc>
        <w:tc>
          <w:tcPr>
            <w:tcW w:w="6015" w:type="dxa"/>
          </w:tcPr>
          <w:p w:rsidRPr="00A64ACE" w:rsidR="0000130F" w:rsidP="004A06CE" w:rsidRDefault="0000130F" w14:paraId="5F97DA41" w14:textId="4BB05718">
            <w:pPr>
              <w:jc w:val="left"/>
            </w:pPr>
            <w:r>
              <w:t>Evropska komisija, 6. 7. 2023</w:t>
            </w:r>
          </w:p>
          <w:p w:rsidRPr="00A64ACE" w:rsidR="0011656A" w:rsidP="004A06CE" w:rsidRDefault="0011656A" w14:paraId="5B3BE5A5" w14:textId="470A14AD">
            <w:pPr>
              <w:jc w:val="left"/>
            </w:pPr>
          </w:p>
        </w:tc>
      </w:tr>
      <w:tr w:rsidRPr="00A64ACE" w:rsidR="0016503F" w:rsidTr="0000130F" w14:paraId="5B3BE5A9" w14:textId="77777777">
        <w:trPr>
          <w:trHeight w:val="251"/>
        </w:trPr>
        <w:tc>
          <w:tcPr>
            <w:tcW w:w="3058" w:type="dxa"/>
          </w:tcPr>
          <w:p w:rsidRPr="00A64ACE" w:rsidR="0016503F" w:rsidP="004A06CE" w:rsidRDefault="03385EDC" w14:paraId="5B3BE5A7" w14:textId="77777777">
            <w:pPr>
              <w:jc w:val="left"/>
            </w:pPr>
            <w:r>
              <w:t>Pravna podlaga</w:t>
            </w:r>
          </w:p>
        </w:tc>
        <w:tc>
          <w:tcPr>
            <w:tcW w:w="6015" w:type="dxa"/>
          </w:tcPr>
          <w:p w:rsidRPr="00A64ACE" w:rsidR="0016503F" w:rsidP="004A06CE" w:rsidRDefault="000B06EE" w14:paraId="5B3BE5A8" w14:textId="5C363A9F">
            <w:pPr>
              <w:jc w:val="left"/>
            </w:pPr>
            <w:r>
              <w:t>člen 43(2) in člen 304 Pogodbe o delovanju Evropske unije</w:t>
            </w:r>
          </w:p>
        </w:tc>
      </w:tr>
      <w:tr w:rsidRPr="00A64ACE" w:rsidR="0016503F" w:rsidTr="0000130F" w14:paraId="5B3BE5AC" w14:textId="77777777">
        <w:trPr>
          <w:trHeight w:val="250"/>
        </w:trPr>
        <w:tc>
          <w:tcPr>
            <w:tcW w:w="3058" w:type="dxa"/>
          </w:tcPr>
          <w:p w:rsidRPr="00A64ACE" w:rsidR="0016503F" w:rsidP="004A06CE" w:rsidRDefault="0016503F" w14:paraId="5B3BE5AA" w14:textId="0B499911">
            <w:pPr>
              <w:jc w:val="left"/>
            </w:pPr>
          </w:p>
        </w:tc>
        <w:tc>
          <w:tcPr>
            <w:tcW w:w="6015" w:type="dxa"/>
          </w:tcPr>
          <w:p w:rsidRPr="00A64ACE" w:rsidR="0016503F" w:rsidP="004A06CE" w:rsidRDefault="0016503F" w14:paraId="5B3BE5AB" w14:textId="77777777">
            <w:pPr>
              <w:jc w:val="left"/>
            </w:pPr>
          </w:p>
        </w:tc>
      </w:tr>
      <w:tr w:rsidRPr="00A64ACE" w:rsidR="0000130F" w:rsidTr="00BC5746" w14:paraId="5B3BE5C1" w14:textId="77777777">
        <w:tc>
          <w:tcPr>
            <w:tcW w:w="3058" w:type="dxa"/>
          </w:tcPr>
          <w:p w:rsidRPr="00A64ACE" w:rsidR="0000130F" w:rsidP="004A06CE" w:rsidRDefault="0000130F" w14:paraId="5B3BE5BF" w14:textId="3C626C32">
            <w:pPr>
              <w:jc w:val="left"/>
            </w:pPr>
            <w:r>
              <w:t>Pristojnost</w:t>
            </w:r>
          </w:p>
        </w:tc>
        <w:tc>
          <w:tcPr>
            <w:tcW w:w="6015" w:type="dxa"/>
          </w:tcPr>
          <w:p w:rsidRPr="00A64ACE" w:rsidR="0000130F" w:rsidP="004A06CE" w:rsidRDefault="0000130F" w14:paraId="5B3BE5C0" w14:textId="4D87D276">
            <w:pPr>
              <w:jc w:val="left"/>
            </w:pPr>
            <w:r>
              <w:t>strokovna skupina za kmetijstvo, razvoj podeželja in okolje</w:t>
            </w:r>
          </w:p>
        </w:tc>
      </w:tr>
      <w:tr w:rsidRPr="00A64ACE" w:rsidR="0000130F" w:rsidTr="004A06CE" w14:paraId="5B3BE5C4" w14:textId="77777777">
        <w:tc>
          <w:tcPr>
            <w:tcW w:w="3058" w:type="dxa"/>
          </w:tcPr>
          <w:p w:rsidRPr="00A64ACE" w:rsidR="0000130F" w:rsidP="004A06CE" w:rsidRDefault="0000130F" w14:paraId="5B3BE5C2" w14:textId="4E6F3EB3">
            <w:pPr>
              <w:jc w:val="left"/>
            </w:pPr>
            <w:r>
              <w:t>Datum sprejetja na seji strokovne skupine</w:t>
            </w:r>
          </w:p>
        </w:tc>
        <w:tc>
          <w:tcPr>
            <w:tcW w:w="6015" w:type="dxa"/>
            <w:vAlign w:val="bottom"/>
          </w:tcPr>
          <w:p w:rsidRPr="00A64ACE" w:rsidR="0000130F" w:rsidP="004A06CE" w:rsidRDefault="00A447D7" w14:paraId="5B3BE5C3" w14:textId="1345CD37">
            <w:pPr>
              <w:jc w:val="left"/>
            </w:pPr>
            <w:r>
              <w:t>7. 9. 2023</w:t>
            </w:r>
          </w:p>
        </w:tc>
      </w:tr>
      <w:tr w:rsidRPr="00A64ACE" w:rsidR="0000130F" w:rsidTr="004A06CE" w14:paraId="5B3BE5C7" w14:textId="77777777">
        <w:tc>
          <w:tcPr>
            <w:tcW w:w="3058" w:type="dxa"/>
          </w:tcPr>
          <w:p w:rsidRPr="00A64ACE" w:rsidR="0000130F" w:rsidP="004A06CE" w:rsidRDefault="0000130F" w14:paraId="5B3BE5C5" w14:textId="5BDC72DB">
            <w:pPr>
              <w:jc w:val="left"/>
            </w:pPr>
            <w:r>
              <w:t>Rezultat glasovanja</w:t>
            </w:r>
            <w:r>
              <w:br/>
              <w:t>(za/proti/vzdržani)</w:t>
            </w:r>
          </w:p>
        </w:tc>
        <w:tc>
          <w:tcPr>
            <w:tcW w:w="6015" w:type="dxa"/>
            <w:vAlign w:val="bottom"/>
          </w:tcPr>
          <w:p w:rsidRPr="00A64ACE" w:rsidR="0000130F" w:rsidP="004A06CE" w:rsidRDefault="00A447D7" w14:paraId="5B3BE5C6" w14:textId="020DD581">
            <w:pPr>
              <w:jc w:val="left"/>
            </w:pPr>
            <w:r>
              <w:t>23/0/3</w:t>
            </w:r>
          </w:p>
        </w:tc>
      </w:tr>
      <w:tr w:rsidRPr="00A64ACE" w:rsidR="0000130F" w:rsidTr="004A06CE" w14:paraId="76673220" w14:textId="77777777">
        <w:tc>
          <w:tcPr>
            <w:tcW w:w="3058" w:type="dxa"/>
          </w:tcPr>
          <w:p w:rsidRPr="00A64ACE" w:rsidR="0000130F" w:rsidP="004A06CE" w:rsidRDefault="0000130F" w14:paraId="3C0899C8" w14:textId="7481943B">
            <w:pPr>
              <w:jc w:val="left"/>
            </w:pPr>
            <w:r>
              <w:t>Datum sprejetja na plenarnem zasedanju</w:t>
            </w:r>
          </w:p>
        </w:tc>
        <w:tc>
          <w:tcPr>
            <w:tcW w:w="6015" w:type="dxa"/>
            <w:vAlign w:val="bottom"/>
          </w:tcPr>
          <w:p w:rsidRPr="00A64ACE" w:rsidR="0000130F" w:rsidP="004A06CE" w:rsidRDefault="0077678D" w14:paraId="31005FC7" w14:textId="0E39749A">
            <w:pPr>
              <w:jc w:val="left"/>
            </w:pPr>
            <w:r>
              <w:t>…</w:t>
            </w:r>
          </w:p>
        </w:tc>
      </w:tr>
      <w:tr w:rsidRPr="00A64ACE" w:rsidR="0000130F" w:rsidTr="004A06CE" w14:paraId="5B3BE5CA" w14:textId="77777777">
        <w:tc>
          <w:tcPr>
            <w:tcW w:w="3058" w:type="dxa"/>
          </w:tcPr>
          <w:p w:rsidRPr="00A64ACE" w:rsidR="0000130F" w:rsidP="004A06CE" w:rsidRDefault="0000130F" w14:paraId="5B3BE5C8" w14:textId="2E4B2B4A">
            <w:pPr>
              <w:jc w:val="left"/>
            </w:pPr>
            <w:r>
              <w:t>Plenarno zasedanje št.</w:t>
            </w:r>
          </w:p>
        </w:tc>
        <w:tc>
          <w:tcPr>
            <w:tcW w:w="6015" w:type="dxa"/>
            <w:vAlign w:val="bottom"/>
          </w:tcPr>
          <w:p w:rsidRPr="00A64ACE" w:rsidR="0000130F" w:rsidP="004A06CE" w:rsidRDefault="0000130F" w14:paraId="5B3BE5C9" w14:textId="6A58DF3E">
            <w:pPr>
              <w:jc w:val="left"/>
            </w:pPr>
            <w:r>
              <w:t>…</w:t>
            </w:r>
          </w:p>
        </w:tc>
      </w:tr>
      <w:tr w:rsidRPr="00A64ACE" w:rsidR="0000130F" w:rsidTr="004A06CE" w14:paraId="5B3BE5CD" w14:textId="77777777">
        <w:tc>
          <w:tcPr>
            <w:tcW w:w="3058" w:type="dxa"/>
          </w:tcPr>
          <w:p w:rsidRPr="00A64ACE" w:rsidR="0000130F" w:rsidP="004A06CE" w:rsidRDefault="0000130F" w14:paraId="5B3BE5CB" w14:textId="3CF2BDE6">
            <w:pPr>
              <w:jc w:val="left"/>
            </w:pPr>
            <w:r>
              <w:t>Rezultat glasovanja</w:t>
            </w:r>
            <w:r>
              <w:br/>
              <w:t>(za/proti/vzdržani)</w:t>
            </w:r>
          </w:p>
        </w:tc>
        <w:tc>
          <w:tcPr>
            <w:tcW w:w="6015" w:type="dxa"/>
            <w:vAlign w:val="bottom"/>
          </w:tcPr>
          <w:p w:rsidRPr="00A64ACE" w:rsidR="0000130F" w:rsidP="004A06CE" w:rsidRDefault="004A06CE" w14:paraId="5B3BE5CC" w14:textId="45B88E6B">
            <w:pPr>
              <w:jc w:val="left"/>
            </w:pPr>
            <w:r>
              <w:t>…</w:t>
            </w:r>
            <w:r w:rsidR="0000130F">
              <w:t>/</w:t>
            </w:r>
            <w:r>
              <w:t>…</w:t>
            </w:r>
            <w:r w:rsidR="0000130F">
              <w:t>/</w:t>
            </w:r>
            <w:r>
              <w:t>…</w:t>
            </w:r>
          </w:p>
        </w:tc>
      </w:tr>
      <w:tr w:rsidRPr="00A64ACE" w:rsidR="0000130F" w:rsidTr="00BC5746" w14:paraId="5B3BE5D0" w14:textId="77777777">
        <w:tc>
          <w:tcPr>
            <w:tcW w:w="3058" w:type="dxa"/>
          </w:tcPr>
          <w:p w:rsidRPr="00A64ACE" w:rsidR="0000130F" w:rsidP="004A06CE" w:rsidRDefault="0000130F" w14:paraId="5B3BE5CE" w14:textId="14449EE2">
            <w:pPr>
              <w:jc w:val="left"/>
            </w:pPr>
          </w:p>
        </w:tc>
        <w:tc>
          <w:tcPr>
            <w:tcW w:w="6015" w:type="dxa"/>
            <w:vAlign w:val="bottom"/>
          </w:tcPr>
          <w:p w:rsidRPr="00A64ACE" w:rsidR="0000130F" w:rsidP="004A06CE" w:rsidRDefault="0000130F" w14:paraId="5B3BE5CF" w14:textId="6D348E51">
            <w:pPr>
              <w:jc w:val="left"/>
            </w:pPr>
          </w:p>
        </w:tc>
      </w:tr>
    </w:tbl>
    <w:p w:rsidRPr="00A64ACE" w:rsidR="0090053A" w:rsidP="004A06CE" w:rsidRDefault="0090053A" w14:paraId="5B3BE5D1" w14:textId="77777777"/>
    <w:p w:rsidRPr="00A64ACE" w:rsidR="00646AC2" w:rsidP="004A06CE" w:rsidRDefault="00646AC2" w14:paraId="5B3BE5D2" w14:textId="77777777">
      <w:r>
        <w:br w:type="page"/>
      </w:r>
    </w:p>
    <w:p w:rsidRPr="00A64ACE" w:rsidR="00011D33" w:rsidP="004A06CE" w:rsidRDefault="03385EDC" w14:paraId="5B3BE5D3" w14:textId="77777777">
      <w:pPr>
        <w:pStyle w:val="Heading1"/>
        <w:ind w:left="567" w:hanging="567"/>
        <w:rPr>
          <w:b/>
          <w:bCs/>
        </w:rPr>
      </w:pPr>
      <w:r>
        <w:rPr>
          <w:b/>
        </w:rPr>
        <w:lastRenderedPageBreak/>
        <w:t>Sklepi in priporočila</w:t>
      </w:r>
    </w:p>
    <w:p w:rsidRPr="00A64ACE" w:rsidR="00011D33" w:rsidP="004A06CE" w:rsidRDefault="00011D33" w14:paraId="5B3BE5D4" w14:textId="77777777">
      <w:pPr>
        <w:keepNext/>
        <w:ind w:left="567" w:hanging="567"/>
      </w:pPr>
    </w:p>
    <w:p w:rsidRPr="00A64ACE" w:rsidR="00011D33" w:rsidP="004A06CE" w:rsidRDefault="00B2696F" w14:paraId="5B3BE5D5" w14:textId="28DD2BB9">
      <w:pPr>
        <w:pStyle w:val="Heading2"/>
        <w:ind w:left="567" w:hanging="567"/>
      </w:pPr>
      <w:r>
        <w:t>Evropski ekonomsko-socialni odbor (EESO) pozdravlja zakonodajni predlog Evropske komisije o pridelavi in trženju rastlinskega in gozdnega razmnoževalnega materiala. EESO podpira poenostavitev pravil o registraciji, ki bo omogočila večjo raznolikost razmnoževalnega materiala in vključitev zahtev glede trajnostnosti v skladu s cilji evropskega zelenega dogovora. Želi pa opozoriti na nekaj vprašanj, ki jih je treba dodatno preučiti.</w:t>
      </w:r>
    </w:p>
    <w:p w:rsidRPr="00A64ACE" w:rsidR="00B2696F" w:rsidP="004A06CE" w:rsidRDefault="00B2696F" w14:paraId="41CD1C55" w14:textId="77777777">
      <w:pPr>
        <w:ind w:left="567" w:hanging="567"/>
      </w:pPr>
    </w:p>
    <w:p w:rsidRPr="00A64ACE" w:rsidR="00B2696F" w:rsidP="004A06CE" w:rsidRDefault="00B2696F" w14:paraId="74C4B12F" w14:textId="0E5B8960">
      <w:pPr>
        <w:numPr>
          <w:ilvl w:val="1"/>
          <w:numId w:val="1"/>
        </w:numPr>
        <w:ind w:left="567" w:hanging="567"/>
        <w:outlineLvl w:val="1"/>
      </w:pPr>
      <w:r>
        <w:t>EESO poudarja pomen izvajanja učinkovitega mehanizma spremljanja in ocenjevanja za nadzorovanje zmanjšanja upravnega bremena in birokracije za izvajalce dejavnosti v sektorju rastlinskega in gozdnega razmnoževalnega materiala. Ta mehanizem bi moral biti pregleden in omogočati odkrivanje stalnih ovir in izvajanje potrebnih ukrepov za njihovo odpravo.</w:t>
      </w:r>
    </w:p>
    <w:p w:rsidRPr="00A64ACE" w:rsidR="00B2696F" w:rsidP="004A06CE" w:rsidRDefault="00B2696F" w14:paraId="38CE3CC7" w14:textId="77777777">
      <w:pPr>
        <w:ind w:left="567" w:hanging="567"/>
      </w:pPr>
    </w:p>
    <w:p w:rsidRPr="00A64ACE" w:rsidR="00B2696F" w:rsidP="004A06CE" w:rsidRDefault="00B2696F" w14:paraId="5AFE7CED" w14:textId="77777777">
      <w:pPr>
        <w:numPr>
          <w:ilvl w:val="1"/>
          <w:numId w:val="1"/>
        </w:numPr>
        <w:ind w:left="567" w:hanging="567"/>
        <w:outlineLvl w:val="1"/>
      </w:pPr>
      <w:r>
        <w:t>EESO poziva, naj se izrecno uveljavljajo pravice kmetov in drugih delavcev v podeželskih dejavnostih, kakor so opredeljene v Mednarodni pogodbi o rastlinskih genskih virih za prehrano in kmetijstvo (ITPGRFA) ter deklaraciji Združenih narodov o pravicah kmetov in drugih delavcev v podeželskih dejavnostih (UNDROP). Med temi pravicami so pravica do sodelovanja v postopkih odločanja, do dostopa do rastlinskih genskih virov in njihove uporabe, do zaščite tradicije, do poštene in pravične delitve koristi, do dostopa do zemljišč in naravnih virov ter pravica do izvajanja tradicionalnih kmetijskih tehnik.</w:t>
      </w:r>
    </w:p>
    <w:p w:rsidRPr="00A64ACE" w:rsidR="00B2696F" w:rsidP="004A06CE" w:rsidRDefault="00B2696F" w14:paraId="700B79BE" w14:textId="77777777">
      <w:pPr>
        <w:ind w:left="567" w:hanging="567"/>
        <w:outlineLvl w:val="1"/>
      </w:pPr>
    </w:p>
    <w:p w:rsidRPr="00A64ACE" w:rsidR="009C2196" w:rsidP="004A06CE" w:rsidRDefault="00B2696F" w14:paraId="746D2F35" w14:textId="47E32F59">
      <w:pPr>
        <w:pStyle w:val="Heading2"/>
        <w:ind w:left="567" w:hanging="567"/>
      </w:pPr>
      <w:r>
        <w:t>EESO izraža pomisleke glede načrtovane uporabe številnih delegiranih aktov v tem zakonodajnem predlogu. EESO priznava, da je treba v teh aktih opredeliti praktične podrobnosti, vendar poudarja, da so potrebne jasne omejitve, da se prepreči razširitev področja uporabe osnovne uredbe ali negotovost glede njenih temeljnih določb. Potrebno je ustrezno posvetovanje s Svetom EU, Evropskim parlamentom, EESO in zadevnimi deležniki, da se poveča preglednost in demokratični nadzor, ob upoštevanju prejšnjih kritik iz predloga o rastlinskem razmnoževalnem materialu iz leta 2013.</w:t>
      </w:r>
    </w:p>
    <w:p w:rsidRPr="00A64ACE" w:rsidR="00C60C0A" w:rsidP="004A06CE" w:rsidRDefault="00C60C0A" w14:paraId="1670E3D1" w14:textId="77777777">
      <w:pPr>
        <w:ind w:left="567" w:hanging="567"/>
      </w:pPr>
    </w:p>
    <w:p w:rsidRPr="00A64ACE" w:rsidR="00011D33" w:rsidP="004A06CE" w:rsidRDefault="00B2696F" w14:paraId="5B3BE5DB" w14:textId="1436D03C">
      <w:pPr>
        <w:pStyle w:val="Heading1"/>
        <w:keepNext/>
        <w:ind w:left="567" w:hanging="567"/>
        <w:rPr>
          <w:b/>
          <w:bCs/>
        </w:rPr>
      </w:pPr>
      <w:r>
        <w:rPr>
          <w:b/>
        </w:rPr>
        <w:t>Ozadje mnenja</w:t>
      </w:r>
    </w:p>
    <w:p w:rsidRPr="00A64ACE" w:rsidR="00011D33" w:rsidP="004A06CE" w:rsidRDefault="00011D33" w14:paraId="5B3BE5DC" w14:textId="77777777">
      <w:pPr>
        <w:keepNext/>
        <w:ind w:left="567" w:hanging="567"/>
      </w:pPr>
    </w:p>
    <w:p w:rsidRPr="00A64ACE" w:rsidR="00A95E41" w:rsidP="004A06CE" w:rsidRDefault="00A95E41" w14:paraId="2CB84766" w14:textId="04CBBA15">
      <w:pPr>
        <w:pStyle w:val="Heading2"/>
        <w:ind w:left="567" w:hanging="567"/>
      </w:pPr>
      <w:r>
        <w:t>Evropska komisija je 5. julija objavila dva predloga</w:t>
      </w:r>
      <w:r w:rsidRPr="00A64ACE" w:rsidR="002E7CB3">
        <w:rPr>
          <w:rStyle w:val="FootnoteReference"/>
        </w:rPr>
        <w:footnoteReference w:id="1"/>
      </w:r>
      <w:r>
        <w:t xml:space="preserve"> za posodobitev pravil glede pridelave rastlinskega in gozdnega razmnoževalnega materiala in njunega dajanja v promet.</w:t>
      </w:r>
    </w:p>
    <w:p w:rsidRPr="00A64ACE" w:rsidR="006E6C07" w:rsidP="004A06CE" w:rsidRDefault="006E6C07" w14:paraId="261F7C2E" w14:textId="77777777">
      <w:pPr>
        <w:ind w:left="567" w:hanging="567"/>
      </w:pPr>
    </w:p>
    <w:p w:rsidRPr="00A64ACE" w:rsidR="002E7CB3" w:rsidP="004A06CE" w:rsidRDefault="00733E09" w14:paraId="0345A57B" w14:textId="1C9324F9">
      <w:pPr>
        <w:pStyle w:val="Heading2"/>
        <w:ind w:left="567" w:hanging="567"/>
      </w:pPr>
      <w:r>
        <w:t>Rastlinski razmnoževalni material zajema semena, potaknjence, drevesa, korenine, gomolje in drug material za razmnoževanje rastlin, gozdni razmnoževalni material pa zajema zlasti semena, rastline in dele rastlin drevesnih vrst, ki se uporabljajo v gozdovih ali za druge vrste drevesnih nasadov.</w:t>
      </w:r>
    </w:p>
    <w:p w:rsidRPr="00A64ACE" w:rsidR="00C60C0A" w:rsidP="004A06CE" w:rsidRDefault="00C60C0A" w14:paraId="1CD86BE2" w14:textId="77777777">
      <w:pPr>
        <w:ind w:left="567" w:hanging="567"/>
      </w:pPr>
    </w:p>
    <w:p w:rsidRPr="00A64ACE" w:rsidR="00011D33" w:rsidP="004A06CE" w:rsidRDefault="002E7CB3" w14:paraId="5B3BE5DD" w14:textId="3E387CB3">
      <w:pPr>
        <w:pStyle w:val="Heading2"/>
        <w:ind w:left="567" w:hanging="567"/>
      </w:pPr>
      <w:r>
        <w:t>Po mnenju Komisije bodo nova pravila ob ohranitvi načel registracije in certificiranja povečala raznolikost in kakovost teh materialov ter izboljšala prilagajanje podnebnim spremembam in varnost hrane, hkrati pa bodo zmanjšala birokracijo in izboljšala učinkovitost sistemov registracije in certificiranja.</w:t>
      </w:r>
    </w:p>
    <w:p w:rsidRPr="00A64ACE" w:rsidR="00C60C0A" w:rsidP="004A06CE" w:rsidRDefault="00C60C0A" w14:paraId="32974539" w14:textId="77777777">
      <w:pPr>
        <w:ind w:left="567" w:hanging="567"/>
      </w:pPr>
    </w:p>
    <w:p w:rsidRPr="00A64ACE" w:rsidR="0072257A" w:rsidP="004A06CE" w:rsidRDefault="0072257A" w14:paraId="1F227EAF" w14:textId="77777777">
      <w:pPr>
        <w:pStyle w:val="Heading1"/>
        <w:keepNext/>
        <w:ind w:left="567" w:hanging="567"/>
        <w:rPr>
          <w:b/>
          <w:bCs/>
        </w:rPr>
      </w:pPr>
      <w:r>
        <w:rPr>
          <w:b/>
        </w:rPr>
        <w:t>Splošne ugotovitve</w:t>
      </w:r>
    </w:p>
    <w:p w:rsidRPr="00A64ACE" w:rsidR="0072257A" w:rsidP="004A06CE" w:rsidRDefault="0072257A" w14:paraId="0962BC92" w14:textId="77777777">
      <w:pPr>
        <w:keepNext/>
        <w:ind w:left="567" w:hanging="567"/>
      </w:pPr>
    </w:p>
    <w:p w:rsidRPr="00A64ACE" w:rsidR="00EB13B5" w:rsidP="004A06CE" w:rsidRDefault="0072257A" w14:paraId="66399016" w14:textId="0F4BD359">
      <w:pPr>
        <w:pStyle w:val="Heading2"/>
        <w:ind w:left="567" w:hanging="567"/>
      </w:pPr>
      <w:r>
        <w:t>EESO pozdravlja, da so v tem predlogu o rastlinskem razmnoževalnem materialu še vedno dva osnovna stebra trženja semena (registracija in certificiranje) ter nacionalno registracijo sort. Poleg tega z zadovoljstvom ugotavlja, da Komisija predlaga povečanje kmetijske biotske raznovrstnosti, vključno z ekološkim kmetovanjem in vrtičkarstvom.</w:t>
      </w:r>
    </w:p>
    <w:p w:rsidRPr="00A64ACE" w:rsidR="00EB13B5" w:rsidP="004A06CE" w:rsidRDefault="00EB13B5" w14:paraId="43C9E203" w14:textId="5347624E">
      <w:pPr>
        <w:ind w:left="567" w:hanging="567"/>
      </w:pPr>
    </w:p>
    <w:p w:rsidRPr="00A64ACE" w:rsidR="001E59CD" w:rsidP="004A06CE" w:rsidRDefault="001E59CD" w14:paraId="74931F14" w14:textId="5881EB23">
      <w:pPr>
        <w:pStyle w:val="Heading2"/>
        <w:ind w:left="567" w:hanging="567"/>
      </w:pPr>
      <w:r>
        <w:t>EESO pozdravlja tudi to, da so prejšnja merila glede kakovosti ohranjena in celo okrepljena, da bi bili konkurenčni pogoji za akterje v EU enaki. EESO hkrati pozdravlja predlagana odstopanja za nekatere kategorije razmnoževalnega materiala, kot so ekološke in ohranjevalne sorte, pa tudi za samorasle rastline. Dogovoriti pa se bo treba o ključnih vprašanjih, kot sta, na koga konkretno se nanašajo izjeme in kako preprečiti nastanek vzporednih trgov.</w:t>
      </w:r>
    </w:p>
    <w:p w:rsidRPr="00A64ACE" w:rsidR="001E59CD" w:rsidP="004A06CE" w:rsidRDefault="001E59CD" w14:paraId="58F588FE" w14:textId="6D077CFB">
      <w:pPr>
        <w:ind w:left="567" w:hanging="567"/>
      </w:pPr>
    </w:p>
    <w:p w:rsidRPr="00A64ACE" w:rsidR="001E59CD" w:rsidP="004A06CE" w:rsidRDefault="001E59CD" w14:paraId="19E88719" w14:textId="0297B50A">
      <w:pPr>
        <w:numPr>
          <w:ilvl w:val="1"/>
          <w:numId w:val="1"/>
        </w:numPr>
        <w:ind w:left="567" w:hanging="567"/>
        <w:outlineLvl w:val="1"/>
      </w:pPr>
      <w:r>
        <w:t>EESO se zavzema za to, da se uradno potrjevanje sort in certificiranje semen na splošno preneseta na izvajalca poslovne dejavnosti, pa tudi za možnost, da to izvede pristojni organ, če izvajalec nima zadostnih virov.</w:t>
      </w:r>
    </w:p>
    <w:p w:rsidRPr="00A64ACE" w:rsidR="001E59CD" w:rsidP="004A06CE" w:rsidRDefault="001E59CD" w14:paraId="08939397" w14:textId="77777777">
      <w:pPr>
        <w:ind w:left="567" w:hanging="567"/>
      </w:pPr>
    </w:p>
    <w:p w:rsidRPr="00A64ACE" w:rsidR="001E59CD" w:rsidP="004A06CE" w:rsidRDefault="001E59CD" w14:paraId="2091C29A" w14:textId="77777777">
      <w:pPr>
        <w:numPr>
          <w:ilvl w:val="1"/>
          <w:numId w:val="1"/>
        </w:numPr>
        <w:ind w:left="567" w:hanging="567"/>
        <w:outlineLvl w:val="1"/>
      </w:pPr>
      <w:r>
        <w:t>EESO pozdravlja predlagane ukrepe za upravno poenostavitev in priporoča vzpostavitev mehanizmov spremljanja in ocenjevanja, da bi ocenili učinek novih pravil na učinkovito zmanjšanje upravnega bremena in birokracije za izvajalce dejavnosti v sektorju rastlinskega in gozdnega razmnoževalnega materiala. Ti mehanizmi bodo omogočili prepoznavanje morebitnih trajnih ovir in po potrebi sprejetje korektivnih ukrepov.</w:t>
      </w:r>
    </w:p>
    <w:p w:rsidRPr="00A64ACE" w:rsidR="00E06E54" w:rsidP="004A06CE" w:rsidRDefault="00E06E54" w14:paraId="0E2EB497" w14:textId="5B419471">
      <w:pPr>
        <w:ind w:left="567" w:hanging="567"/>
      </w:pPr>
    </w:p>
    <w:p w:rsidRPr="00A64ACE" w:rsidR="00E06E54" w:rsidP="004A06CE" w:rsidRDefault="00E06E54" w14:paraId="30D2AC58" w14:textId="675192CF">
      <w:pPr>
        <w:pStyle w:val="Heading2"/>
        <w:ind w:left="567" w:hanging="567"/>
      </w:pPr>
      <w:r>
        <w:t>V zvezi z gozdnim razmnoževalnim materialom EESO pozdravlja predlagano okrepitev ocene trajnostnih značilnosti „osnovnega materiala“.</w:t>
      </w:r>
    </w:p>
    <w:p w:rsidRPr="00A64ACE" w:rsidR="00F37EA1" w:rsidP="004A06CE" w:rsidRDefault="00F37EA1" w14:paraId="7854C715" w14:textId="77777777">
      <w:pPr>
        <w:ind w:left="567" w:hanging="567"/>
      </w:pPr>
    </w:p>
    <w:p w:rsidRPr="00A64ACE" w:rsidR="00F37EA1" w:rsidP="004A06CE" w:rsidRDefault="00F37EA1" w14:paraId="676675A0" w14:textId="4CC15A4E">
      <w:pPr>
        <w:pStyle w:val="Heading2"/>
        <w:ind w:left="567" w:hanging="567"/>
      </w:pPr>
      <w:r>
        <w:t>EESO podpira tudi pravila, ki naj bi olajšala ohranjanje ogroženih gozdnih genskih virov.</w:t>
      </w:r>
    </w:p>
    <w:p w:rsidRPr="00A64ACE" w:rsidR="00C521A8" w:rsidP="004A06CE" w:rsidRDefault="00C521A8" w14:paraId="4B8BBBB2" w14:textId="77777777">
      <w:pPr>
        <w:ind w:left="567" w:hanging="567"/>
      </w:pPr>
    </w:p>
    <w:p w:rsidRPr="00A64ACE" w:rsidR="00115A5F" w:rsidP="004A06CE" w:rsidRDefault="004C56F7" w14:paraId="7B706BC2" w14:textId="30B245C4">
      <w:pPr>
        <w:pStyle w:val="Heading2"/>
        <w:ind w:left="567" w:hanging="567"/>
      </w:pPr>
      <w:r>
        <w:t>EESO poziva, naj se v predlagano uredbo o rastlinskem razmnoževalnem materialu vključijo nekatere določbe, ki bodo usklajene z izvajanjem pravic kmetov in drugih delavcev v podeželskih dejavnostih, kakor so opredeljene v Mednarodni pogodbi o rastlinskih genskih virih za prehrano in kmetijstvo</w:t>
      </w:r>
      <w:r w:rsidRPr="00A64ACE" w:rsidR="009010A2">
        <w:rPr>
          <w:sz w:val="24"/>
          <w:vertAlign w:val="superscript"/>
        </w:rPr>
        <w:footnoteReference w:id="2"/>
      </w:r>
      <w:r>
        <w:t xml:space="preserve"> (ITPGRFA) in Deklaraciji Združenih narodov o pravicah kmetov in drugih delavcev v podeželskih dejavnostih</w:t>
      </w:r>
      <w:r w:rsidRPr="00A64ACE" w:rsidR="00C521A8">
        <w:rPr>
          <w:sz w:val="24"/>
          <w:vertAlign w:val="superscript"/>
        </w:rPr>
        <w:footnoteReference w:id="3"/>
      </w:r>
      <w:r>
        <w:t xml:space="preserve"> (UNDROP).</w:t>
      </w:r>
    </w:p>
    <w:p w:rsidRPr="00A64ACE" w:rsidR="00C521A8" w:rsidP="004A06CE" w:rsidRDefault="00C521A8" w14:paraId="7CB2B5BF" w14:textId="77777777">
      <w:pPr>
        <w:ind w:left="567" w:hanging="567"/>
      </w:pPr>
    </w:p>
    <w:p w:rsidR="007E2304" w:rsidP="004A06CE" w:rsidRDefault="007E2304" w14:paraId="1511273D" w14:textId="476A4976">
      <w:pPr>
        <w:numPr>
          <w:ilvl w:val="1"/>
          <w:numId w:val="1"/>
        </w:numPr>
        <w:ind w:left="567" w:hanging="567"/>
        <w:outlineLvl w:val="1"/>
      </w:pPr>
      <w:r>
        <w:t>Hkrati EESO poziva, naj se s to novo zakonodajo izrecno izvajajo pravice kmetov in drugih delavcev v podeželskih dejavnostih, kot so določene v ITPGRFA in UNDROP, zlasti:</w:t>
      </w:r>
    </w:p>
    <w:p w:rsidRPr="00A64ACE" w:rsidR="004A06CE" w:rsidP="004A06CE" w:rsidRDefault="004A06CE" w14:paraId="53911A71" w14:textId="77777777">
      <w:pPr>
        <w:ind w:left="567"/>
        <w:outlineLvl w:val="1"/>
      </w:pPr>
    </w:p>
    <w:p w:rsidRPr="00A64ACE" w:rsidR="007E2304" w:rsidP="004A06CE" w:rsidRDefault="007E2304" w14:paraId="4E1B1AB0" w14:textId="0FC83CC8">
      <w:pPr>
        <w:numPr>
          <w:ilvl w:val="0"/>
          <w:numId w:val="74"/>
        </w:numPr>
        <w:ind w:left="851" w:hanging="284"/>
        <w:contextualSpacing/>
      </w:pPr>
      <w:r>
        <w:t>pravica do sodelovanja v postopkih odločanja v zvezi z rastlinskimi genskimi viri za prehrano in kmetijstvo,</w:t>
      </w:r>
    </w:p>
    <w:p w:rsidRPr="00A64ACE" w:rsidR="007E2304" w:rsidP="004A06CE" w:rsidRDefault="007E2304" w14:paraId="00DBAF61" w14:textId="2F1A80F7">
      <w:pPr>
        <w:numPr>
          <w:ilvl w:val="0"/>
          <w:numId w:val="74"/>
        </w:numPr>
        <w:ind w:left="851" w:hanging="284"/>
        <w:contextualSpacing/>
      </w:pPr>
      <w:r>
        <w:t>pravica do dostopa do rastlinskih genskih virov in njihove uporabe za prehrano in kmetijstvo,</w:t>
      </w:r>
    </w:p>
    <w:p w:rsidRPr="00A64ACE" w:rsidR="007E2304" w:rsidP="004A06CE" w:rsidRDefault="007E2304" w14:paraId="06E3BCC3" w14:textId="5F1200DA">
      <w:pPr>
        <w:numPr>
          <w:ilvl w:val="0"/>
          <w:numId w:val="74"/>
        </w:numPr>
        <w:ind w:left="851" w:hanging="284"/>
        <w:contextualSpacing/>
      </w:pPr>
      <w:r>
        <w:t>pravica do izmenjave rastlinskih genskih virov za prehrano in kmetijstvo,</w:t>
      </w:r>
    </w:p>
    <w:p w:rsidRPr="00A64ACE" w:rsidR="007E2304" w:rsidP="004A06CE" w:rsidRDefault="007E2304" w14:paraId="69CD31DF" w14:textId="2C777642">
      <w:pPr>
        <w:numPr>
          <w:ilvl w:val="0"/>
          <w:numId w:val="74"/>
        </w:numPr>
        <w:ind w:left="851" w:hanging="284"/>
        <w:contextualSpacing/>
      </w:pPr>
      <w:r>
        <w:lastRenderedPageBreak/>
        <w:t>pravica do koriščenja uporabe rastlinskih genskih virov za prehrano in kmetijstvo,</w:t>
      </w:r>
    </w:p>
    <w:p w:rsidRPr="00A64ACE" w:rsidR="007E2304" w:rsidP="004A06CE" w:rsidRDefault="007E2304" w14:paraId="7FFF23B8" w14:textId="2CC35080">
      <w:pPr>
        <w:numPr>
          <w:ilvl w:val="0"/>
          <w:numId w:val="74"/>
        </w:numPr>
        <w:ind w:left="851" w:hanging="284"/>
        <w:contextualSpacing/>
      </w:pPr>
      <w:r>
        <w:t>pravica do varstva tradicionalnega znanja v zvezi z rastlinskimi genskimi viri za prehrano in kmetijstvo,</w:t>
      </w:r>
    </w:p>
    <w:p w:rsidRPr="00A64ACE" w:rsidR="007E2304" w:rsidP="004A06CE" w:rsidRDefault="007E2304" w14:paraId="7A0A3AFB" w14:textId="7BBAEE7A">
      <w:pPr>
        <w:numPr>
          <w:ilvl w:val="0"/>
          <w:numId w:val="74"/>
        </w:numPr>
        <w:ind w:left="851" w:hanging="284"/>
        <w:contextualSpacing/>
      </w:pPr>
      <w:r>
        <w:t>pravica do sodelovanja pri pošteni in pravični delitvi koristi, ki izhajajo iz uporabe rastlinskih genskih virov za prehrano in kmetijstvo,</w:t>
      </w:r>
    </w:p>
    <w:p w:rsidRPr="00A64ACE" w:rsidR="007E2304" w:rsidP="004A06CE" w:rsidRDefault="007E2304" w14:paraId="7585BA2C" w14:textId="4CAB86BB">
      <w:pPr>
        <w:numPr>
          <w:ilvl w:val="0"/>
          <w:numId w:val="74"/>
        </w:numPr>
        <w:ind w:left="851" w:hanging="284"/>
        <w:contextualSpacing/>
      </w:pPr>
      <w:r>
        <w:t>pravica do izvajanja tradicionalnih kmetijskih tehnik in sistemov trajnostne proizvodnje hrane,</w:t>
      </w:r>
    </w:p>
    <w:p w:rsidRPr="00A64ACE" w:rsidR="007E2304" w:rsidP="004A06CE" w:rsidRDefault="007E2304" w14:paraId="26442817" w14:textId="298F08B1">
      <w:pPr>
        <w:numPr>
          <w:ilvl w:val="0"/>
          <w:numId w:val="74"/>
        </w:numPr>
        <w:ind w:left="851" w:hanging="284"/>
        <w:contextualSpacing/>
      </w:pPr>
      <w:r>
        <w:t>pravica do dostopa do semen in nadzora nad njimi, vključno s pravico do shranjevanja, izmenjave in prodaje semen, proizvedenih na kmetijah,</w:t>
      </w:r>
    </w:p>
    <w:p w:rsidRPr="00A64ACE" w:rsidR="007E2304" w:rsidP="004A06CE" w:rsidRDefault="007E2304" w14:paraId="1FC2C8CF" w14:textId="0A02120A">
      <w:pPr>
        <w:numPr>
          <w:ilvl w:val="0"/>
          <w:numId w:val="74"/>
        </w:numPr>
        <w:ind w:left="851" w:hanging="284"/>
        <w:contextualSpacing/>
      </w:pPr>
      <w:r>
        <w:t>pravica do sodelovanja v postopkih odločanja, ki vplivajo na njihovo preživetje in kmetijske prakse,</w:t>
      </w:r>
    </w:p>
    <w:p w:rsidRPr="00A64ACE" w:rsidR="007E2304" w:rsidP="004A06CE" w:rsidRDefault="007E2304" w14:paraId="0E9E677F" w14:textId="1E56C24C">
      <w:pPr>
        <w:numPr>
          <w:ilvl w:val="0"/>
          <w:numId w:val="74"/>
        </w:numPr>
        <w:ind w:left="851" w:hanging="284"/>
        <w:contextualSpacing/>
      </w:pPr>
      <w:r>
        <w:t>pravica do dostopa do informacij in znanja v zvezi s kmetovanjem, zemljo in naravnimi viri,</w:t>
      </w:r>
    </w:p>
    <w:p w:rsidRPr="00A64ACE" w:rsidR="007E2304" w:rsidP="004A06CE" w:rsidRDefault="007E2304" w14:paraId="6DF532C0" w14:textId="741533C0">
      <w:pPr>
        <w:numPr>
          <w:ilvl w:val="0"/>
          <w:numId w:val="74"/>
        </w:numPr>
        <w:ind w:left="851" w:hanging="284"/>
        <w:contextualSpacing/>
      </w:pPr>
      <w:r>
        <w:t>pravica do ohranjanja in razvijanja lastnega tradicionalnega znanja in praks v zvezi s kmetovanjem in biotsko raznovrstnostjo,</w:t>
      </w:r>
    </w:p>
    <w:p w:rsidRPr="00A64ACE" w:rsidR="007E2304" w:rsidP="004A06CE" w:rsidRDefault="007E2304" w14:paraId="72A8D1C1" w14:textId="0CBB662A">
      <w:pPr>
        <w:numPr>
          <w:ilvl w:val="0"/>
          <w:numId w:val="74"/>
        </w:numPr>
        <w:ind w:left="851" w:hanging="284"/>
        <w:contextualSpacing/>
      </w:pPr>
      <w:r>
        <w:t>pravica do sodelovanja pri upravljanju naravnih virov,</w:t>
      </w:r>
    </w:p>
    <w:p w:rsidRPr="00A64ACE" w:rsidR="007E2304" w:rsidP="004A06CE" w:rsidRDefault="007E2304" w14:paraId="5183C96E" w14:textId="77777777">
      <w:pPr>
        <w:numPr>
          <w:ilvl w:val="0"/>
          <w:numId w:val="74"/>
        </w:numPr>
        <w:ind w:left="851" w:hanging="284"/>
        <w:contextualSpacing/>
      </w:pPr>
      <w:r>
        <w:t>pravica do zdravega okolja in varstva biotske raznovrstnosti.</w:t>
      </w:r>
    </w:p>
    <w:p w:rsidRPr="00A64ACE" w:rsidR="007E2304" w:rsidP="004A06CE" w:rsidRDefault="007E2304" w14:paraId="1971B261" w14:textId="3247818A">
      <w:pPr>
        <w:ind w:left="567" w:hanging="567"/>
      </w:pPr>
    </w:p>
    <w:p w:rsidRPr="00A64ACE" w:rsidR="00434578" w:rsidP="004A06CE" w:rsidRDefault="00830B9A" w14:paraId="3FB86C96" w14:textId="3C5288A2">
      <w:pPr>
        <w:pStyle w:val="Heading2"/>
        <w:ind w:left="567" w:hanging="567"/>
      </w:pPr>
      <w:r>
        <w:t>EESO se zaveda potrebe po zadostni oskrbi z gozdnim reprodukcijskim materialom za pogozdovanje vseh ali dela nekaterih območij, ki so jih prizadeli ekstremni vremenski pojavi, požari, izbruhi škodljivcev in druge nesreče, vendar opozarja Komisijo, države članice, druge organe in ustrezne deležnike, da je ena od možnosti, ki jih je treba preučiti za reševanje teh težav, naravna obnova gozdov.</w:t>
      </w:r>
    </w:p>
    <w:p w:rsidRPr="00A64ACE" w:rsidR="00C60C0A" w:rsidP="004A06CE" w:rsidRDefault="00C60C0A" w14:paraId="7CD04812" w14:textId="68922F3A">
      <w:pPr>
        <w:ind w:left="567" w:hanging="567"/>
      </w:pPr>
    </w:p>
    <w:p w:rsidRPr="00A64ACE" w:rsidR="00C521A8" w:rsidP="004A06CE" w:rsidRDefault="00C521A8" w14:paraId="49278245" w14:textId="3F79EFC8">
      <w:pPr>
        <w:pStyle w:val="Heading2"/>
        <w:ind w:left="567" w:hanging="567"/>
      </w:pPr>
      <w:r>
        <w:t>EESO ponovno potrjuje</w:t>
      </w:r>
      <w:r w:rsidRPr="00A64ACE">
        <w:rPr>
          <w:sz w:val="24"/>
          <w:vertAlign w:val="superscript"/>
        </w:rPr>
        <w:footnoteReference w:id="4"/>
      </w:r>
      <w:r>
        <w:t xml:space="preserve"> svojo podporo evropskemu zelenemu dogovoru</w:t>
      </w:r>
      <w:r w:rsidRPr="00A64ACE">
        <w:rPr>
          <w:sz w:val="24"/>
          <w:vertAlign w:val="superscript"/>
        </w:rPr>
        <w:footnoteReference w:id="5"/>
      </w:r>
      <w:r>
        <w:t>, katerega cilj je prehod na bolj zeleno, trajnostno in podnebju prijazno gospodarstvo. V zvezi s tem poudarja, kako pomembno je, da zakonodajni predlog prispeva k zelenemu dogovoru, njegovi strategiji „od vil do vilic“</w:t>
      </w:r>
      <w:r w:rsidRPr="00A64ACE">
        <w:rPr>
          <w:sz w:val="24"/>
          <w:vertAlign w:val="superscript"/>
        </w:rPr>
        <w:footnoteReference w:id="6"/>
      </w:r>
      <w:r>
        <w:t xml:space="preserve"> in strategiji za biotsko raznovrstnost do leta 2030</w:t>
      </w:r>
      <w:r w:rsidRPr="00A64ACE">
        <w:rPr>
          <w:sz w:val="24"/>
          <w:vertAlign w:val="superscript"/>
        </w:rPr>
        <w:footnoteReference w:id="7"/>
      </w:r>
      <w:r>
        <w:t xml:space="preserve"> ter akcijskemu načrtu za ekološko kmetovanje</w:t>
      </w:r>
      <w:r w:rsidRPr="00A64ACE">
        <w:rPr>
          <w:sz w:val="24"/>
          <w:vertAlign w:val="superscript"/>
        </w:rPr>
        <w:footnoteReference w:id="8"/>
      </w:r>
      <w:r>
        <w:t xml:space="preserve"> ter strategiji EU za prilagajanje podnebnim spremembam</w:t>
      </w:r>
      <w:r w:rsidRPr="00A64ACE">
        <w:rPr>
          <w:sz w:val="24"/>
          <w:vertAlign w:val="superscript"/>
        </w:rPr>
        <w:footnoteReference w:id="9"/>
      </w:r>
      <w:r>
        <w:t>, ki so bistveni za trajnostno agroživilsko proizvodnjo, prehransko varnost in odpornost proti podnebnim spremembam.</w:t>
      </w:r>
    </w:p>
    <w:p w:rsidRPr="00A64ACE" w:rsidR="00C521A8" w:rsidP="004A06CE" w:rsidRDefault="00C521A8" w14:paraId="0BBD6DD5" w14:textId="77777777">
      <w:pPr>
        <w:ind w:left="567" w:hanging="567"/>
        <w:outlineLvl w:val="1"/>
      </w:pPr>
    </w:p>
    <w:p w:rsidRPr="00A64ACE" w:rsidR="00C521A8" w:rsidP="004A06CE" w:rsidRDefault="00C521A8" w14:paraId="7D2B32E8" w14:textId="7E007AD8">
      <w:pPr>
        <w:numPr>
          <w:ilvl w:val="1"/>
          <w:numId w:val="1"/>
        </w:numPr>
        <w:ind w:left="567" w:hanging="567"/>
        <w:outlineLvl w:val="1"/>
      </w:pPr>
      <w:r>
        <w:t>Poleg tega EESO močno podpira digitalizacijo v kmetijstvu, ki bi lahko prispevala k večji učinkovitosti in produktivnosti, hkrati pa tudi k trajnostnosti.</w:t>
      </w:r>
    </w:p>
    <w:p w:rsidRPr="00A64ACE" w:rsidR="00C521A8" w:rsidP="004A06CE" w:rsidRDefault="00C521A8" w14:paraId="7D4CE6C3" w14:textId="77777777">
      <w:pPr>
        <w:ind w:left="567" w:hanging="567"/>
      </w:pPr>
    </w:p>
    <w:p w:rsidRPr="00A64ACE" w:rsidR="00C521A8" w:rsidP="004A06CE" w:rsidRDefault="00C521A8" w14:paraId="44E32F8C" w14:textId="0A3DCA0B">
      <w:pPr>
        <w:pStyle w:val="Heading2"/>
        <w:ind w:left="567" w:hanging="567"/>
      </w:pPr>
      <w:r>
        <w:t>EESO poudarja, da vključitev uredb o semenih v področje uporabe Uredbe EU o uradnem nadzoru (Uredba (EU) 2017/625)</w:t>
      </w:r>
      <w:r w:rsidRPr="00A64ACE">
        <w:rPr>
          <w:sz w:val="24"/>
          <w:vertAlign w:val="superscript"/>
        </w:rPr>
        <w:footnoteReference w:id="10"/>
      </w:r>
      <w:r>
        <w:t xml:space="preserve"> pomeni dodatno upravno breme za pristojne organe. Pomeni tudi povečanje birokracije za organe in izvajalce dejavnosti.</w:t>
      </w:r>
    </w:p>
    <w:p w:rsidRPr="00A64ACE" w:rsidR="00C521A8" w:rsidP="004A06CE" w:rsidRDefault="00C521A8" w14:paraId="589EA281" w14:textId="77777777">
      <w:pPr>
        <w:ind w:left="567" w:hanging="567"/>
      </w:pPr>
    </w:p>
    <w:p w:rsidRPr="00A64ACE" w:rsidR="000B739E" w:rsidP="004A06CE" w:rsidRDefault="00E176F3" w14:paraId="044D2E8E" w14:textId="58BBA3B3">
      <w:pPr>
        <w:pStyle w:val="Heading2"/>
        <w:ind w:left="567" w:hanging="567"/>
      </w:pPr>
      <w:r>
        <w:t>V zvezi z rastlinskim in gozdnim razmnoževalnim materialom EESO ugotavlja, da Komisija namerava dopolniti svoj predlog</w:t>
      </w:r>
      <w:r w:rsidRPr="00A64ACE" w:rsidR="00F23865">
        <w:rPr>
          <w:rStyle w:val="FootnoteReference"/>
        </w:rPr>
        <w:footnoteReference w:id="11"/>
      </w:r>
      <w:r>
        <w:t>, prav tako objavljen 5. julija, ki se nanaša zlasti na nove genomske tehnike in gensko spremenjene organizme.</w:t>
      </w:r>
    </w:p>
    <w:p w:rsidRPr="00A64ACE" w:rsidR="00C60C0A" w:rsidP="004A06CE" w:rsidRDefault="00C60C0A" w14:paraId="7D64E4A6" w14:textId="77777777">
      <w:pPr>
        <w:ind w:left="567" w:hanging="567"/>
      </w:pPr>
    </w:p>
    <w:p w:rsidRPr="00A64ACE" w:rsidR="0072257A" w:rsidP="004A06CE" w:rsidRDefault="00C60C0A" w14:paraId="483755A0" w14:textId="4EFB43BE">
      <w:pPr>
        <w:pStyle w:val="Heading2"/>
        <w:ind w:left="567" w:hanging="567"/>
      </w:pPr>
      <w:r>
        <w:t>EESO želi v zvezi s tem spomniti na svoja prejšnja mnenja o gensko spremenjenih organizmih in mnenje NAT/908</w:t>
      </w:r>
      <w:r w:rsidRPr="00A64ACE" w:rsidR="00156489">
        <w:rPr>
          <w:sz w:val="24"/>
          <w:vertAlign w:val="superscript"/>
        </w:rPr>
        <w:footnoteReference w:id="12"/>
      </w:r>
      <w:r>
        <w:t>, v katerem obravnava predlog Komisije o rastlinah, pridobljenih z nekaterimi novimi genomskimi tehnikami.</w:t>
      </w:r>
    </w:p>
    <w:p w:rsidRPr="00A64ACE" w:rsidR="00011D33" w:rsidP="004A06CE" w:rsidRDefault="00011D33" w14:paraId="5B3BE5E4" w14:textId="44D16840">
      <w:pPr>
        <w:ind w:left="567" w:hanging="567"/>
      </w:pPr>
    </w:p>
    <w:p w:rsidRPr="00A64ACE" w:rsidR="00C521A8" w:rsidP="004A06CE" w:rsidRDefault="00C521A8" w14:paraId="3EF087FE" w14:textId="7375AB80">
      <w:pPr>
        <w:pStyle w:val="Heading2"/>
        <w:ind w:left="567" w:hanging="567"/>
      </w:pPr>
      <w:r>
        <w:t>EESO poziva evropske institucije, naj hitro sprejmejo te predloge o semenih in zagotovijo, da bo njihovo izvajanje usklajeno in dosledno po vsej EU. Preprečevanje regulativnih razlik med državami članicami je bistveno za enotno in učinkovito izvajanje zakonodaje.</w:t>
      </w:r>
    </w:p>
    <w:p w:rsidRPr="00A64ACE" w:rsidR="00C521A8" w:rsidP="004A06CE" w:rsidRDefault="00C521A8" w14:paraId="2C9DE2D5" w14:textId="77777777">
      <w:pPr>
        <w:ind w:left="567" w:hanging="567"/>
      </w:pPr>
    </w:p>
    <w:p w:rsidRPr="00A64ACE" w:rsidR="00C521A8" w:rsidP="004A06CE" w:rsidRDefault="00C521A8" w14:paraId="30993B7D" w14:textId="1D4A32B0">
      <w:pPr>
        <w:pStyle w:val="Heading2"/>
        <w:ind w:left="567" w:hanging="567"/>
      </w:pPr>
      <w:r>
        <w:t>EESO ugotavlja, da je veliko delegiranih in izvedbenih aktov načrtovanih zunaj uredbe o rastlinskem razmnoževalnem materialu. EESO se strinja, da je treba s takimi akti opredeliti praktične podrobnosti, vendar izraža pomisleke glede morebitnih pomanjkljivosti. Določiti bi morali predvsem jasne omejitve, da se prepreči, da bi se s temi akti širilo področje uporabe osnovne uredbe ali da bi se ustvarila negotovost glede njenih temeljnih določb. EESO poudarja tudi pomen ustreznega posvetovanja s Svetom EU, Evropskim parlamentom, EESO in zadevnimi deležniki, da se zagotovi preglednost in demokratični nadzor ter upoštevajo prejšnje kritike, ki jih je Evropski parlament izrazil že v predlogu iz leta 2013 o rastlinskem razmnoževalnem materialu.</w:t>
      </w:r>
    </w:p>
    <w:p w:rsidR="00781362" w:rsidP="004A06CE" w:rsidRDefault="00781362" w14:paraId="500A7B7C" w14:textId="3D3030B2">
      <w:pPr>
        <w:ind w:left="567" w:hanging="567"/>
      </w:pPr>
    </w:p>
    <w:p w:rsidR="00781362" w:rsidP="004A06CE" w:rsidRDefault="00781362" w14:paraId="41136DA9" w14:textId="4029D07C">
      <w:pPr>
        <w:ind w:left="567" w:hanging="567"/>
      </w:pPr>
      <w:r>
        <w:t>V Bruslju, 7. septembra 2023</w:t>
      </w:r>
    </w:p>
    <w:p w:rsidR="00781362" w:rsidP="004A06CE" w:rsidRDefault="00781362" w14:paraId="2162CBEE" w14:textId="01E207B4">
      <w:pPr>
        <w:ind w:left="567" w:hanging="567"/>
      </w:pPr>
    </w:p>
    <w:p w:rsidR="003616EA" w:rsidP="004A06CE" w:rsidRDefault="003616EA" w14:paraId="574E44AE" w14:textId="70AD9B35">
      <w:pPr>
        <w:ind w:left="567" w:hanging="567"/>
      </w:pPr>
    </w:p>
    <w:p w:rsidR="003616EA" w:rsidP="004A06CE" w:rsidRDefault="003616EA" w14:paraId="4F28227C" w14:textId="51BFCDFB">
      <w:pPr>
        <w:ind w:left="567" w:hanging="567"/>
      </w:pPr>
    </w:p>
    <w:p w:rsidR="003616EA" w:rsidP="004A06CE" w:rsidRDefault="003616EA" w14:paraId="464DF558" w14:textId="77777777">
      <w:pPr>
        <w:ind w:left="567" w:hanging="567"/>
      </w:pPr>
    </w:p>
    <w:p w:rsidR="00781362" w:rsidP="004A06CE" w:rsidRDefault="00781362" w14:paraId="663633A3" w14:textId="1F2FE8DC">
      <w:pPr>
        <w:ind w:left="567" w:hanging="567"/>
      </w:pPr>
      <w:r>
        <w:t>Peter SCHMIDT</w:t>
      </w:r>
    </w:p>
    <w:p w:rsidR="00781362" w:rsidP="004A06CE" w:rsidRDefault="00781362" w14:paraId="7CC8DEAC" w14:textId="00B05472">
      <w:pPr>
        <w:ind w:left="567" w:hanging="567"/>
      </w:pPr>
      <w:r>
        <w:t>predsednik strokovne skupine za kmetijstvo, razvoj podeželja in okolje</w:t>
      </w:r>
    </w:p>
    <w:p w:rsidR="004A06CE" w:rsidP="004A06CE" w:rsidRDefault="004A06CE" w14:paraId="07A44267" w14:textId="43942A9B">
      <w:pPr>
        <w:ind w:left="567" w:hanging="567"/>
      </w:pPr>
    </w:p>
    <w:p w:rsidR="004A06CE" w:rsidRDefault="004A06CE" w14:paraId="52DA2D48" w14:textId="77777777">
      <w:pPr>
        <w:overflowPunct w:val="0"/>
        <w:autoSpaceDE w:val="0"/>
        <w:autoSpaceDN w:val="0"/>
        <w:adjustRightInd w:val="0"/>
        <w:jc w:val="center"/>
        <w:textAlignment w:val="baseline"/>
        <w:rPr>
          <w:lang w:val="nl-BE"/>
        </w:rPr>
      </w:pPr>
      <w:r>
        <w:rPr>
          <w:lang w:val="nl-BE"/>
        </w:rPr>
        <w:t>_____________</w:t>
      </w:r>
    </w:p>
    <w:sectPr w:rsidR="004A06CE" w:rsidSect="00C94E53">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7DB9" w14:textId="77777777" w:rsidR="00C20D0C" w:rsidRDefault="00C20D0C">
      <w:r>
        <w:separator/>
      </w:r>
    </w:p>
  </w:endnote>
  <w:endnote w:type="continuationSeparator" w:id="0">
    <w:p w14:paraId="6FB97AC9" w14:textId="77777777" w:rsidR="00C20D0C" w:rsidRDefault="00C2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F1D6" w14:textId="77777777" w:rsidR="00132D9E" w:rsidRPr="00C94E53" w:rsidRDefault="00132D9E" w:rsidP="00C94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45C96E6B" w:rsidR="00E32DC6" w:rsidRPr="00C94E53" w:rsidRDefault="00C94E53" w:rsidP="00C94E53">
    <w:pPr>
      <w:pStyle w:val="Footer"/>
    </w:pPr>
    <w:r>
      <w:t xml:space="preserve">NAT/905 – EESC-2023-03344-00-00-AS-TRA (EN) </w:t>
    </w:r>
    <w:r>
      <w:fldChar w:fldCharType="begin"/>
    </w:r>
    <w:r>
      <w:instrText xml:space="preserve"> PAGE  \* Arabic  \* MERGEFORMAT </w:instrText>
    </w:r>
    <w:r>
      <w:fldChar w:fldCharType="separate"/>
    </w:r>
    <w:r w:rsidR="00A87798">
      <w:t>1</w:t>
    </w:r>
    <w:r>
      <w:fldChar w:fldCharType="end"/>
    </w:r>
    <w:r>
      <w:t>/</w:t>
    </w:r>
    <w:fldSimple w:instr=" NUMPAGES ">
      <w:r w:rsidR="00A87798">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911D" w14:textId="77777777" w:rsidR="00132D9E" w:rsidRPr="00C94E53" w:rsidRDefault="00132D9E" w:rsidP="00C94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FA8A" w14:textId="77777777" w:rsidR="0066096F" w:rsidRPr="00C94E53" w:rsidRDefault="0066096F" w:rsidP="00C94E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2EE" w14:textId="70B9B7CD" w:rsidR="0066096F" w:rsidRPr="00C94E53" w:rsidRDefault="00C94E53" w:rsidP="00C94E53">
    <w:pPr>
      <w:pStyle w:val="Footer"/>
    </w:pPr>
    <w:r>
      <w:t xml:space="preserve">NAT/905 – EESC-2023-03344-00-00-AS-TRA (EN) </w:t>
    </w:r>
    <w:r>
      <w:fldChar w:fldCharType="begin"/>
    </w:r>
    <w:r>
      <w:instrText xml:space="preserve"> PAGE  \* Arabic  \* MERGEFORMAT </w:instrText>
    </w:r>
    <w:r>
      <w:fldChar w:fldCharType="separate"/>
    </w:r>
    <w:r>
      <w:t>2</w:t>
    </w:r>
    <w:r>
      <w:fldChar w:fldCharType="end"/>
    </w:r>
    <w:r>
      <w:t>/</w:t>
    </w:r>
    <w:fldSimple w:instr=" NUMPAGES ">
      <w:r>
        <w:t>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C990" w14:textId="77777777" w:rsidR="0066096F" w:rsidRPr="00C94E53" w:rsidRDefault="0066096F" w:rsidP="00C94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65EF" w14:textId="77777777" w:rsidR="00C20D0C" w:rsidRDefault="00C20D0C">
      <w:r>
        <w:separator/>
      </w:r>
    </w:p>
  </w:footnote>
  <w:footnote w:type="continuationSeparator" w:id="0">
    <w:p w14:paraId="7B1A542A" w14:textId="77777777" w:rsidR="00C20D0C" w:rsidRDefault="00C20D0C">
      <w:r>
        <w:continuationSeparator/>
      </w:r>
    </w:p>
  </w:footnote>
  <w:footnote w:id="1">
    <w:p w14:paraId="06F17B74" w14:textId="3730A840" w:rsidR="002E7CB3" w:rsidRPr="00A64ACE" w:rsidRDefault="002E7CB3">
      <w:pPr>
        <w:pStyle w:val="FootnoteText"/>
      </w:pPr>
      <w:r>
        <w:rPr>
          <w:rStyle w:val="FootnoteReference"/>
        </w:rPr>
        <w:footnoteRef/>
      </w:r>
      <w:r>
        <w:tab/>
        <w:t>Prihodnost pravil EU o rastlinskem in gozdnem razmnoževalnem materialu.</w:t>
      </w:r>
    </w:p>
  </w:footnote>
  <w:footnote w:id="2">
    <w:p w14:paraId="3FD5929C" w14:textId="3042249F" w:rsidR="009010A2" w:rsidRPr="00A64ACE" w:rsidRDefault="009010A2" w:rsidP="009010A2">
      <w:pPr>
        <w:pStyle w:val="FootnoteText"/>
      </w:pPr>
      <w:r>
        <w:rPr>
          <w:rStyle w:val="FootnoteReference"/>
        </w:rPr>
        <w:footnoteRef/>
      </w:r>
      <w:r>
        <w:tab/>
      </w:r>
      <w:hyperlink r:id="rId1" w:history="1">
        <w:r>
          <w:rPr>
            <w:rStyle w:val="Hyperlink"/>
          </w:rPr>
          <w:t>International Treaty on Plant Genetic Resources for Food and Agriculture</w:t>
        </w:r>
      </w:hyperlink>
      <w:r>
        <w:t>.</w:t>
      </w:r>
    </w:p>
  </w:footnote>
  <w:footnote w:id="3">
    <w:p w14:paraId="2C200E8A" w14:textId="7483BCF4" w:rsidR="00C521A8" w:rsidRPr="00A64ACE" w:rsidRDefault="00C521A8" w:rsidP="00C521A8">
      <w:pPr>
        <w:pStyle w:val="FootnoteText"/>
      </w:pPr>
      <w:r>
        <w:rPr>
          <w:rStyle w:val="FootnoteReference"/>
        </w:rPr>
        <w:footnoteRef/>
      </w:r>
      <w:r>
        <w:tab/>
      </w:r>
      <w:hyperlink r:id="rId2" w:history="1">
        <w:r>
          <w:rPr>
            <w:rStyle w:val="Hyperlink"/>
          </w:rPr>
          <w:t>Deklaracija Združenih narodov o pravicah kmetov</w:t>
        </w:r>
      </w:hyperlink>
      <w:r>
        <w:t>.</w:t>
      </w:r>
    </w:p>
  </w:footnote>
  <w:footnote w:id="4">
    <w:p w14:paraId="7F7CBD91" w14:textId="5E6DD2A5" w:rsidR="00C521A8" w:rsidRPr="00A64ACE" w:rsidRDefault="00C521A8" w:rsidP="00C521A8">
      <w:pPr>
        <w:pStyle w:val="FootnoteText"/>
      </w:pPr>
      <w:r>
        <w:rPr>
          <w:rStyle w:val="FootnoteReference"/>
        </w:rPr>
        <w:footnoteRef/>
      </w:r>
      <w:r>
        <w:tab/>
        <w:t xml:space="preserve">Mnenje EESO o </w:t>
      </w:r>
      <w:r>
        <w:rPr>
          <w:i/>
        </w:rPr>
        <w:t>akcijskem načrtu za razvoj ekološke pridelave v EU</w:t>
      </w:r>
      <w:r>
        <w:t>, (</w:t>
      </w:r>
      <w:hyperlink r:id="rId3" w:history="1">
        <w:r>
          <w:rPr>
            <w:rStyle w:val="Hyperlink"/>
          </w:rPr>
          <w:t>NAT/818</w:t>
        </w:r>
      </w:hyperlink>
      <w:r>
        <w:t xml:space="preserve">), </w:t>
      </w:r>
      <w:hyperlink r:id="rId4" w:history="1">
        <w:r>
          <w:rPr>
            <w:rStyle w:val="Hyperlink"/>
          </w:rPr>
          <w:t>UL C 517, 22.12.2021, str. 114</w:t>
        </w:r>
      </w:hyperlink>
      <w:r>
        <w:t>.</w:t>
      </w:r>
    </w:p>
  </w:footnote>
  <w:footnote w:id="5">
    <w:p w14:paraId="6F815F01" w14:textId="77777777" w:rsidR="00C521A8" w:rsidRPr="00A64ACE" w:rsidRDefault="00C521A8" w:rsidP="00C521A8">
      <w:pPr>
        <w:pStyle w:val="FootnoteText"/>
      </w:pPr>
      <w:r>
        <w:rPr>
          <w:rStyle w:val="FootnoteReference"/>
        </w:rPr>
        <w:footnoteRef/>
      </w:r>
      <w:r>
        <w:tab/>
      </w:r>
      <w:hyperlink r:id="rId5" w:history="1">
        <w:r>
          <w:rPr>
            <w:rStyle w:val="Hyperlink"/>
          </w:rPr>
          <w:t>Evropski zeleni dogovor</w:t>
        </w:r>
      </w:hyperlink>
      <w:r>
        <w:t>.</w:t>
      </w:r>
    </w:p>
  </w:footnote>
  <w:footnote w:id="6">
    <w:p w14:paraId="5126A8F7" w14:textId="77777777" w:rsidR="00C521A8" w:rsidRPr="00A64ACE" w:rsidRDefault="00C521A8" w:rsidP="00C521A8">
      <w:pPr>
        <w:pStyle w:val="FootnoteText"/>
      </w:pPr>
      <w:r>
        <w:rPr>
          <w:rStyle w:val="FootnoteReference"/>
        </w:rPr>
        <w:footnoteRef/>
      </w:r>
      <w:r>
        <w:tab/>
      </w:r>
      <w:hyperlink r:id="rId6" w:history="1">
        <w:r>
          <w:rPr>
            <w:rStyle w:val="Hyperlink"/>
          </w:rPr>
          <w:t>Strategija „od vil do vilic“</w:t>
        </w:r>
      </w:hyperlink>
      <w:r>
        <w:t>.</w:t>
      </w:r>
    </w:p>
  </w:footnote>
  <w:footnote w:id="7">
    <w:p w14:paraId="532CF275" w14:textId="77777777" w:rsidR="00C521A8" w:rsidRPr="00A64ACE" w:rsidRDefault="00C521A8" w:rsidP="00C521A8">
      <w:pPr>
        <w:pStyle w:val="FootnoteText"/>
      </w:pPr>
      <w:r>
        <w:rPr>
          <w:rStyle w:val="FootnoteReference"/>
        </w:rPr>
        <w:footnoteRef/>
      </w:r>
      <w:r>
        <w:tab/>
      </w:r>
      <w:hyperlink r:id="rId7" w:history="1">
        <w:r>
          <w:rPr>
            <w:rStyle w:val="Hyperlink"/>
          </w:rPr>
          <w:t>Strategija EU za biotsko raznovrstnost do leta 2030</w:t>
        </w:r>
      </w:hyperlink>
      <w:r>
        <w:t>.</w:t>
      </w:r>
    </w:p>
  </w:footnote>
  <w:footnote w:id="8">
    <w:p w14:paraId="7E5E4D77" w14:textId="77777777" w:rsidR="00C521A8" w:rsidRPr="00A64ACE" w:rsidRDefault="00C521A8" w:rsidP="00C521A8">
      <w:pPr>
        <w:pStyle w:val="FootnoteText"/>
      </w:pPr>
      <w:r>
        <w:rPr>
          <w:rStyle w:val="FootnoteReference"/>
        </w:rPr>
        <w:footnoteRef/>
      </w:r>
      <w:r>
        <w:tab/>
      </w:r>
      <w:hyperlink r:id="rId8" w:history="1">
        <w:r>
          <w:rPr>
            <w:rStyle w:val="Hyperlink"/>
          </w:rPr>
          <w:t>Akcijski načrt za ekološko kmetovanje</w:t>
        </w:r>
      </w:hyperlink>
      <w:r>
        <w:t>.</w:t>
      </w:r>
    </w:p>
  </w:footnote>
  <w:footnote w:id="9">
    <w:p w14:paraId="02CEBBB4" w14:textId="77777777" w:rsidR="00C521A8" w:rsidRPr="00A64ACE" w:rsidRDefault="00C521A8" w:rsidP="00C521A8">
      <w:pPr>
        <w:pStyle w:val="FootnoteText"/>
      </w:pPr>
      <w:r>
        <w:rPr>
          <w:rStyle w:val="FootnoteReference"/>
        </w:rPr>
        <w:footnoteRef/>
      </w:r>
      <w:r>
        <w:tab/>
      </w:r>
      <w:hyperlink r:id="rId9" w:history="1">
        <w:r>
          <w:rPr>
            <w:rStyle w:val="Hyperlink"/>
          </w:rPr>
          <w:t>Strategija EU za prilagajanje podnebnim spremembam</w:t>
        </w:r>
      </w:hyperlink>
      <w:r>
        <w:t>.</w:t>
      </w:r>
    </w:p>
  </w:footnote>
  <w:footnote w:id="10">
    <w:p w14:paraId="5003AA67" w14:textId="77777777" w:rsidR="00C521A8" w:rsidRPr="00A64ACE" w:rsidRDefault="00C521A8" w:rsidP="00C521A8">
      <w:pPr>
        <w:pStyle w:val="FootnoteText"/>
      </w:pPr>
      <w:r>
        <w:rPr>
          <w:rStyle w:val="FootnoteReference"/>
        </w:rPr>
        <w:footnoteRef/>
      </w:r>
      <w:r>
        <w:tab/>
      </w:r>
      <w:hyperlink r:id="rId10" w:history="1">
        <w:r>
          <w:rPr>
            <w:rStyle w:val="Hyperlink"/>
          </w:rPr>
          <w:t>(EU) 2017/625</w:t>
        </w:r>
      </w:hyperlink>
      <w:r>
        <w:t>.</w:t>
      </w:r>
    </w:p>
  </w:footnote>
  <w:footnote w:id="11">
    <w:p w14:paraId="6923E7B5" w14:textId="36B211B8" w:rsidR="00F23865" w:rsidRPr="00A64ACE" w:rsidRDefault="00F23865">
      <w:pPr>
        <w:pStyle w:val="FootnoteText"/>
      </w:pPr>
      <w:r>
        <w:rPr>
          <w:rStyle w:val="FootnoteReference"/>
        </w:rPr>
        <w:footnoteRef/>
      </w:r>
      <w:r>
        <w:tab/>
      </w:r>
      <w:hyperlink r:id="rId11" w:history="1">
        <w:r>
          <w:rPr>
            <w:rStyle w:val="Hyperlink"/>
          </w:rPr>
          <w:t>Nove tehnike v biotehnologiji</w:t>
        </w:r>
      </w:hyperlink>
      <w:r>
        <w:t>.</w:t>
      </w:r>
    </w:p>
  </w:footnote>
  <w:footnote w:id="12">
    <w:p w14:paraId="0AC079E5" w14:textId="61457C08" w:rsidR="00156489" w:rsidRPr="00A64ACE" w:rsidRDefault="00156489" w:rsidP="00156489">
      <w:pPr>
        <w:pStyle w:val="FootnoteText"/>
      </w:pPr>
      <w:r>
        <w:rPr>
          <w:rStyle w:val="FootnoteReference"/>
        </w:rPr>
        <w:footnoteRef/>
      </w:r>
      <w:r>
        <w:tab/>
      </w:r>
      <w:r>
        <w:t xml:space="preserve">Mnenje EESO v pripravi: </w:t>
      </w:r>
      <w:hyperlink r:id="rId12" w:history="1">
        <w:r>
          <w:rPr>
            <w:rStyle w:val="Hyperlink"/>
          </w:rPr>
          <w:t>Rastline, pridelane z novimi genomskimi tehnikami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8F0A" w14:textId="77777777" w:rsidR="00132D9E" w:rsidRPr="00C94E53" w:rsidRDefault="00132D9E" w:rsidP="00C94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06E4" w14:textId="7AC32C7A" w:rsidR="00132D9E" w:rsidRPr="00C94E53" w:rsidRDefault="00132D9E" w:rsidP="00C94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08D" w14:textId="77777777" w:rsidR="00132D9E" w:rsidRPr="00C94E53" w:rsidRDefault="00132D9E" w:rsidP="00C94E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7BE4" w14:textId="77777777" w:rsidR="0066096F" w:rsidRPr="00C94E53" w:rsidRDefault="0066096F" w:rsidP="00C94E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FCDA" w14:textId="6691B553" w:rsidR="0066096F" w:rsidRPr="00C94E53" w:rsidRDefault="0066096F" w:rsidP="00C94E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DDBD" w14:textId="77777777" w:rsidR="0066096F" w:rsidRPr="00C94E53" w:rsidRDefault="0066096F" w:rsidP="00C94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D4E2078"/>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9F231C"/>
    <w:multiLevelType w:val="hybridMultilevel"/>
    <w:tmpl w:val="435A678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3"/>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130F"/>
    <w:rsid w:val="00005AB9"/>
    <w:rsid w:val="00005EB9"/>
    <w:rsid w:val="00006E24"/>
    <w:rsid w:val="00007A40"/>
    <w:rsid w:val="00011D33"/>
    <w:rsid w:val="00020E6E"/>
    <w:rsid w:val="00031A4B"/>
    <w:rsid w:val="00033913"/>
    <w:rsid w:val="00033E5B"/>
    <w:rsid w:val="000357A8"/>
    <w:rsid w:val="000430A6"/>
    <w:rsid w:val="00044923"/>
    <w:rsid w:val="000505A6"/>
    <w:rsid w:val="0005249C"/>
    <w:rsid w:val="000527CC"/>
    <w:rsid w:val="000534A5"/>
    <w:rsid w:val="0005680D"/>
    <w:rsid w:val="00063FB4"/>
    <w:rsid w:val="0006485A"/>
    <w:rsid w:val="0006793E"/>
    <w:rsid w:val="0007244C"/>
    <w:rsid w:val="00072E0F"/>
    <w:rsid w:val="000735E5"/>
    <w:rsid w:val="0007392F"/>
    <w:rsid w:val="00084690"/>
    <w:rsid w:val="000873E0"/>
    <w:rsid w:val="00087B39"/>
    <w:rsid w:val="00096502"/>
    <w:rsid w:val="000A49BB"/>
    <w:rsid w:val="000B06EE"/>
    <w:rsid w:val="000B739E"/>
    <w:rsid w:val="000C3441"/>
    <w:rsid w:val="000C4F25"/>
    <w:rsid w:val="000C7F53"/>
    <w:rsid w:val="000D2F8E"/>
    <w:rsid w:val="000F196B"/>
    <w:rsid w:val="000F79E1"/>
    <w:rsid w:val="00105361"/>
    <w:rsid w:val="001101F8"/>
    <w:rsid w:val="0011206F"/>
    <w:rsid w:val="00115A5F"/>
    <w:rsid w:val="0011656A"/>
    <w:rsid w:val="0012220C"/>
    <w:rsid w:val="00132D9E"/>
    <w:rsid w:val="00136EA3"/>
    <w:rsid w:val="00137575"/>
    <w:rsid w:val="00144231"/>
    <w:rsid w:val="00150434"/>
    <w:rsid w:val="00155721"/>
    <w:rsid w:val="00156489"/>
    <w:rsid w:val="0015678B"/>
    <w:rsid w:val="0016503F"/>
    <w:rsid w:val="0016674F"/>
    <w:rsid w:val="00167CA0"/>
    <w:rsid w:val="0017120D"/>
    <w:rsid w:val="001714F6"/>
    <w:rsid w:val="00176168"/>
    <w:rsid w:val="00177158"/>
    <w:rsid w:val="001808A5"/>
    <w:rsid w:val="00184FD4"/>
    <w:rsid w:val="00186B04"/>
    <w:rsid w:val="00186F1E"/>
    <w:rsid w:val="00190836"/>
    <w:rsid w:val="00193930"/>
    <w:rsid w:val="001963A5"/>
    <w:rsid w:val="00196F1E"/>
    <w:rsid w:val="00197FCA"/>
    <w:rsid w:val="001A27DB"/>
    <w:rsid w:val="001A6852"/>
    <w:rsid w:val="001A7C21"/>
    <w:rsid w:val="001B10DC"/>
    <w:rsid w:val="001B1399"/>
    <w:rsid w:val="001B286A"/>
    <w:rsid w:val="001B2D02"/>
    <w:rsid w:val="001B3647"/>
    <w:rsid w:val="001B5E37"/>
    <w:rsid w:val="001B6054"/>
    <w:rsid w:val="001B77FA"/>
    <w:rsid w:val="001C0ABE"/>
    <w:rsid w:val="001C16C2"/>
    <w:rsid w:val="001C5852"/>
    <w:rsid w:val="001D45F0"/>
    <w:rsid w:val="001E4A33"/>
    <w:rsid w:val="001E59CD"/>
    <w:rsid w:val="001E5C27"/>
    <w:rsid w:val="001F3722"/>
    <w:rsid w:val="001F602B"/>
    <w:rsid w:val="001F6AC8"/>
    <w:rsid w:val="002037D5"/>
    <w:rsid w:val="00206F90"/>
    <w:rsid w:val="00212B03"/>
    <w:rsid w:val="002131AE"/>
    <w:rsid w:val="002155F3"/>
    <w:rsid w:val="00215C10"/>
    <w:rsid w:val="00215C2D"/>
    <w:rsid w:val="002252C4"/>
    <w:rsid w:val="0022572F"/>
    <w:rsid w:val="0023183E"/>
    <w:rsid w:val="00235138"/>
    <w:rsid w:val="00240622"/>
    <w:rsid w:val="00243E36"/>
    <w:rsid w:val="0024540B"/>
    <w:rsid w:val="00245EF4"/>
    <w:rsid w:val="00250E11"/>
    <w:rsid w:val="00251383"/>
    <w:rsid w:val="002522C9"/>
    <w:rsid w:val="00252A21"/>
    <w:rsid w:val="00253E4F"/>
    <w:rsid w:val="002542E4"/>
    <w:rsid w:val="00261053"/>
    <w:rsid w:val="00262FDE"/>
    <w:rsid w:val="00263629"/>
    <w:rsid w:val="002769BD"/>
    <w:rsid w:val="00276A75"/>
    <w:rsid w:val="002809EA"/>
    <w:rsid w:val="00284962"/>
    <w:rsid w:val="002871BB"/>
    <w:rsid w:val="00287B0E"/>
    <w:rsid w:val="002A0055"/>
    <w:rsid w:val="002A0B53"/>
    <w:rsid w:val="002A0EEF"/>
    <w:rsid w:val="002A669C"/>
    <w:rsid w:val="002A76F9"/>
    <w:rsid w:val="002B2DF7"/>
    <w:rsid w:val="002C1DB1"/>
    <w:rsid w:val="002C3BF4"/>
    <w:rsid w:val="002C749F"/>
    <w:rsid w:val="002D0742"/>
    <w:rsid w:val="002E7B33"/>
    <w:rsid w:val="002E7CB3"/>
    <w:rsid w:val="002F059B"/>
    <w:rsid w:val="002F5B0B"/>
    <w:rsid w:val="002F753D"/>
    <w:rsid w:val="00300924"/>
    <w:rsid w:val="0030596E"/>
    <w:rsid w:val="003073C3"/>
    <w:rsid w:val="00316449"/>
    <w:rsid w:val="00323637"/>
    <w:rsid w:val="00324E8A"/>
    <w:rsid w:val="00331D87"/>
    <w:rsid w:val="00332850"/>
    <w:rsid w:val="00334478"/>
    <w:rsid w:val="003346B4"/>
    <w:rsid w:val="00334AE6"/>
    <w:rsid w:val="003365D0"/>
    <w:rsid w:val="003439AB"/>
    <w:rsid w:val="0035034C"/>
    <w:rsid w:val="00354695"/>
    <w:rsid w:val="0035549B"/>
    <w:rsid w:val="003616EA"/>
    <w:rsid w:val="00363CD0"/>
    <w:rsid w:val="003755C8"/>
    <w:rsid w:val="00375687"/>
    <w:rsid w:val="00380AE0"/>
    <w:rsid w:val="00383324"/>
    <w:rsid w:val="00387A75"/>
    <w:rsid w:val="003904FD"/>
    <w:rsid w:val="00394254"/>
    <w:rsid w:val="003C2BFB"/>
    <w:rsid w:val="003C436B"/>
    <w:rsid w:val="003C5337"/>
    <w:rsid w:val="003C5F92"/>
    <w:rsid w:val="003D5542"/>
    <w:rsid w:val="003D7A8C"/>
    <w:rsid w:val="003D7C00"/>
    <w:rsid w:val="003E56E5"/>
    <w:rsid w:val="003E7E60"/>
    <w:rsid w:val="003F00D4"/>
    <w:rsid w:val="003F20AF"/>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763B"/>
    <w:rsid w:val="004277CA"/>
    <w:rsid w:val="0043024C"/>
    <w:rsid w:val="00434578"/>
    <w:rsid w:val="00436706"/>
    <w:rsid w:val="004405B4"/>
    <w:rsid w:val="00443D38"/>
    <w:rsid w:val="00443D5D"/>
    <w:rsid w:val="00450E7A"/>
    <w:rsid w:val="00456AF8"/>
    <w:rsid w:val="00470395"/>
    <w:rsid w:val="00470B15"/>
    <w:rsid w:val="00475869"/>
    <w:rsid w:val="00475A77"/>
    <w:rsid w:val="004866A9"/>
    <w:rsid w:val="0048754F"/>
    <w:rsid w:val="00491AB5"/>
    <w:rsid w:val="00492774"/>
    <w:rsid w:val="00496D7A"/>
    <w:rsid w:val="004A06CE"/>
    <w:rsid w:val="004A31BC"/>
    <w:rsid w:val="004A3F1A"/>
    <w:rsid w:val="004A3F45"/>
    <w:rsid w:val="004A5738"/>
    <w:rsid w:val="004B1AFA"/>
    <w:rsid w:val="004B7088"/>
    <w:rsid w:val="004C4D12"/>
    <w:rsid w:val="004C4E00"/>
    <w:rsid w:val="004C4F10"/>
    <w:rsid w:val="004C56F7"/>
    <w:rsid w:val="004C5B76"/>
    <w:rsid w:val="004D02CD"/>
    <w:rsid w:val="004D0B24"/>
    <w:rsid w:val="004D4B90"/>
    <w:rsid w:val="004D5C0A"/>
    <w:rsid w:val="004D6B95"/>
    <w:rsid w:val="004D7F41"/>
    <w:rsid w:val="004E03A2"/>
    <w:rsid w:val="004E0E84"/>
    <w:rsid w:val="004E317E"/>
    <w:rsid w:val="004E3954"/>
    <w:rsid w:val="004E5856"/>
    <w:rsid w:val="004F2330"/>
    <w:rsid w:val="004F53C6"/>
    <w:rsid w:val="004F55C6"/>
    <w:rsid w:val="004F69DB"/>
    <w:rsid w:val="004F6B87"/>
    <w:rsid w:val="00501C2D"/>
    <w:rsid w:val="00502637"/>
    <w:rsid w:val="00511140"/>
    <w:rsid w:val="00513CFE"/>
    <w:rsid w:val="00523B6A"/>
    <w:rsid w:val="00525F6C"/>
    <w:rsid w:val="00546AB4"/>
    <w:rsid w:val="005514E5"/>
    <w:rsid w:val="005546A3"/>
    <w:rsid w:val="00560B8B"/>
    <w:rsid w:val="00563C84"/>
    <w:rsid w:val="00566815"/>
    <w:rsid w:val="005762F6"/>
    <w:rsid w:val="00584645"/>
    <w:rsid w:val="00584FBE"/>
    <w:rsid w:val="00585483"/>
    <w:rsid w:val="00587378"/>
    <w:rsid w:val="00587C05"/>
    <w:rsid w:val="00590AAB"/>
    <w:rsid w:val="005938C3"/>
    <w:rsid w:val="0059468C"/>
    <w:rsid w:val="00595125"/>
    <w:rsid w:val="00596F21"/>
    <w:rsid w:val="00596F80"/>
    <w:rsid w:val="005A73E5"/>
    <w:rsid w:val="005B1CDD"/>
    <w:rsid w:val="005B1E19"/>
    <w:rsid w:val="005B55FC"/>
    <w:rsid w:val="005C2D5E"/>
    <w:rsid w:val="005C3B81"/>
    <w:rsid w:val="005C650C"/>
    <w:rsid w:val="005D086C"/>
    <w:rsid w:val="005D11D3"/>
    <w:rsid w:val="005D4E1F"/>
    <w:rsid w:val="005D4FB3"/>
    <w:rsid w:val="005D6837"/>
    <w:rsid w:val="005E2F07"/>
    <w:rsid w:val="005E2FEA"/>
    <w:rsid w:val="005F314B"/>
    <w:rsid w:val="00611AF2"/>
    <w:rsid w:val="0061212B"/>
    <w:rsid w:val="006127AF"/>
    <w:rsid w:val="00613A98"/>
    <w:rsid w:val="00615FB2"/>
    <w:rsid w:val="00616E71"/>
    <w:rsid w:val="00617BD1"/>
    <w:rsid w:val="00617CE8"/>
    <w:rsid w:val="006278A0"/>
    <w:rsid w:val="0063095F"/>
    <w:rsid w:val="00630B4E"/>
    <w:rsid w:val="00631CBD"/>
    <w:rsid w:val="0063704F"/>
    <w:rsid w:val="00646AC2"/>
    <w:rsid w:val="00650390"/>
    <w:rsid w:val="0065062E"/>
    <w:rsid w:val="00654DAB"/>
    <w:rsid w:val="006579DF"/>
    <w:rsid w:val="0066096F"/>
    <w:rsid w:val="0066204A"/>
    <w:rsid w:val="0066397A"/>
    <w:rsid w:val="00670E3C"/>
    <w:rsid w:val="00677F57"/>
    <w:rsid w:val="00681088"/>
    <w:rsid w:val="0068413A"/>
    <w:rsid w:val="0069577E"/>
    <w:rsid w:val="0069634B"/>
    <w:rsid w:val="00696623"/>
    <w:rsid w:val="006A04E9"/>
    <w:rsid w:val="006A4A03"/>
    <w:rsid w:val="006A4E26"/>
    <w:rsid w:val="006A7543"/>
    <w:rsid w:val="006B0DBB"/>
    <w:rsid w:val="006B725C"/>
    <w:rsid w:val="006C273D"/>
    <w:rsid w:val="006C5C4F"/>
    <w:rsid w:val="006C6282"/>
    <w:rsid w:val="006C6569"/>
    <w:rsid w:val="006C66BE"/>
    <w:rsid w:val="006C762A"/>
    <w:rsid w:val="006D582B"/>
    <w:rsid w:val="006D5FF9"/>
    <w:rsid w:val="006E0772"/>
    <w:rsid w:val="006E0F86"/>
    <w:rsid w:val="006E6C07"/>
    <w:rsid w:val="006F0B15"/>
    <w:rsid w:val="006F0DCC"/>
    <w:rsid w:val="00703DF9"/>
    <w:rsid w:val="007048EB"/>
    <w:rsid w:val="00704FBB"/>
    <w:rsid w:val="0070726A"/>
    <w:rsid w:val="0071226B"/>
    <w:rsid w:val="00717040"/>
    <w:rsid w:val="0072043E"/>
    <w:rsid w:val="00721A76"/>
    <w:rsid w:val="0072257A"/>
    <w:rsid w:val="00733E09"/>
    <w:rsid w:val="007622A7"/>
    <w:rsid w:val="00762547"/>
    <w:rsid w:val="007750A2"/>
    <w:rsid w:val="00775879"/>
    <w:rsid w:val="0077678D"/>
    <w:rsid w:val="00781362"/>
    <w:rsid w:val="007817D6"/>
    <w:rsid w:val="00781996"/>
    <w:rsid w:val="00781E1C"/>
    <w:rsid w:val="00787912"/>
    <w:rsid w:val="0079177A"/>
    <w:rsid w:val="00794836"/>
    <w:rsid w:val="007948D5"/>
    <w:rsid w:val="007A15C9"/>
    <w:rsid w:val="007A6676"/>
    <w:rsid w:val="007B7FF5"/>
    <w:rsid w:val="007C3FC6"/>
    <w:rsid w:val="007D2CE9"/>
    <w:rsid w:val="007D4FED"/>
    <w:rsid w:val="007D54C2"/>
    <w:rsid w:val="007D69DA"/>
    <w:rsid w:val="007D70B1"/>
    <w:rsid w:val="007D7140"/>
    <w:rsid w:val="007E1CDB"/>
    <w:rsid w:val="007E2304"/>
    <w:rsid w:val="007E408C"/>
    <w:rsid w:val="007E50BF"/>
    <w:rsid w:val="007E7E21"/>
    <w:rsid w:val="007F0460"/>
    <w:rsid w:val="007F0DA2"/>
    <w:rsid w:val="007F39CE"/>
    <w:rsid w:val="007F5E0D"/>
    <w:rsid w:val="007F646E"/>
    <w:rsid w:val="00801085"/>
    <w:rsid w:val="00801A89"/>
    <w:rsid w:val="00804457"/>
    <w:rsid w:val="00812061"/>
    <w:rsid w:val="00812138"/>
    <w:rsid w:val="008151F2"/>
    <w:rsid w:val="0081777A"/>
    <w:rsid w:val="008210E0"/>
    <w:rsid w:val="00824079"/>
    <w:rsid w:val="00830B9A"/>
    <w:rsid w:val="008310F6"/>
    <w:rsid w:val="00831F0A"/>
    <w:rsid w:val="00833A78"/>
    <w:rsid w:val="00834BAA"/>
    <w:rsid w:val="00841E46"/>
    <w:rsid w:val="0084585F"/>
    <w:rsid w:val="00853E53"/>
    <w:rsid w:val="0085535C"/>
    <w:rsid w:val="00864D76"/>
    <w:rsid w:val="008656C9"/>
    <w:rsid w:val="0086711C"/>
    <w:rsid w:val="00867535"/>
    <w:rsid w:val="00875C5B"/>
    <w:rsid w:val="00883C5F"/>
    <w:rsid w:val="00891C7D"/>
    <w:rsid w:val="00892FA7"/>
    <w:rsid w:val="008A3301"/>
    <w:rsid w:val="008A4DF1"/>
    <w:rsid w:val="008A5636"/>
    <w:rsid w:val="008A7E57"/>
    <w:rsid w:val="008B125E"/>
    <w:rsid w:val="008B241C"/>
    <w:rsid w:val="008B408B"/>
    <w:rsid w:val="008B4F11"/>
    <w:rsid w:val="008C2362"/>
    <w:rsid w:val="008C3049"/>
    <w:rsid w:val="008C74D9"/>
    <w:rsid w:val="008D4288"/>
    <w:rsid w:val="008D4AE9"/>
    <w:rsid w:val="008D5CF3"/>
    <w:rsid w:val="008D7D39"/>
    <w:rsid w:val="008E1E43"/>
    <w:rsid w:val="008E4574"/>
    <w:rsid w:val="008F4016"/>
    <w:rsid w:val="008F42FE"/>
    <w:rsid w:val="008F4A00"/>
    <w:rsid w:val="008F5402"/>
    <w:rsid w:val="008F639F"/>
    <w:rsid w:val="0090053A"/>
    <w:rsid w:val="009010A2"/>
    <w:rsid w:val="00901C2A"/>
    <w:rsid w:val="009118C7"/>
    <w:rsid w:val="0091762D"/>
    <w:rsid w:val="009225B6"/>
    <w:rsid w:val="00925397"/>
    <w:rsid w:val="009274DA"/>
    <w:rsid w:val="00933A21"/>
    <w:rsid w:val="00934C10"/>
    <w:rsid w:val="0093662A"/>
    <w:rsid w:val="0094060C"/>
    <w:rsid w:val="00942C4B"/>
    <w:rsid w:val="00944196"/>
    <w:rsid w:val="009606A5"/>
    <w:rsid w:val="00962F1F"/>
    <w:rsid w:val="00965304"/>
    <w:rsid w:val="00971293"/>
    <w:rsid w:val="00973A3B"/>
    <w:rsid w:val="0098050A"/>
    <w:rsid w:val="00983EAE"/>
    <w:rsid w:val="0098492E"/>
    <w:rsid w:val="0098760B"/>
    <w:rsid w:val="009A11DD"/>
    <w:rsid w:val="009B30AA"/>
    <w:rsid w:val="009B5217"/>
    <w:rsid w:val="009C2196"/>
    <w:rsid w:val="009C48DE"/>
    <w:rsid w:val="009D60D9"/>
    <w:rsid w:val="009E0DD4"/>
    <w:rsid w:val="009E1E1E"/>
    <w:rsid w:val="009E33E3"/>
    <w:rsid w:val="009E7F16"/>
    <w:rsid w:val="009F1E65"/>
    <w:rsid w:val="009F27F8"/>
    <w:rsid w:val="009F5052"/>
    <w:rsid w:val="00A03083"/>
    <w:rsid w:val="00A04C85"/>
    <w:rsid w:val="00A100F0"/>
    <w:rsid w:val="00A14805"/>
    <w:rsid w:val="00A156E6"/>
    <w:rsid w:val="00A177C5"/>
    <w:rsid w:val="00A26278"/>
    <w:rsid w:val="00A27D86"/>
    <w:rsid w:val="00A30A3D"/>
    <w:rsid w:val="00A325EA"/>
    <w:rsid w:val="00A33151"/>
    <w:rsid w:val="00A36970"/>
    <w:rsid w:val="00A41EB4"/>
    <w:rsid w:val="00A4456A"/>
    <w:rsid w:val="00A447D7"/>
    <w:rsid w:val="00A44BFF"/>
    <w:rsid w:val="00A501E3"/>
    <w:rsid w:val="00A50F0C"/>
    <w:rsid w:val="00A52303"/>
    <w:rsid w:val="00A56441"/>
    <w:rsid w:val="00A64ACE"/>
    <w:rsid w:val="00A736DD"/>
    <w:rsid w:val="00A82869"/>
    <w:rsid w:val="00A8758C"/>
    <w:rsid w:val="00A87798"/>
    <w:rsid w:val="00A90641"/>
    <w:rsid w:val="00A95E41"/>
    <w:rsid w:val="00AA127E"/>
    <w:rsid w:val="00AA19AE"/>
    <w:rsid w:val="00AA423D"/>
    <w:rsid w:val="00AA6A95"/>
    <w:rsid w:val="00AB10DE"/>
    <w:rsid w:val="00AB358A"/>
    <w:rsid w:val="00AB3668"/>
    <w:rsid w:val="00AB3D5E"/>
    <w:rsid w:val="00AB5ED7"/>
    <w:rsid w:val="00AC0B4C"/>
    <w:rsid w:val="00AC40D4"/>
    <w:rsid w:val="00AC5429"/>
    <w:rsid w:val="00AD0AEE"/>
    <w:rsid w:val="00AD1965"/>
    <w:rsid w:val="00AD49E3"/>
    <w:rsid w:val="00AD4B4F"/>
    <w:rsid w:val="00AF0616"/>
    <w:rsid w:val="00AF0E28"/>
    <w:rsid w:val="00AF6F9B"/>
    <w:rsid w:val="00B01409"/>
    <w:rsid w:val="00B10DBD"/>
    <w:rsid w:val="00B15629"/>
    <w:rsid w:val="00B16996"/>
    <w:rsid w:val="00B2372C"/>
    <w:rsid w:val="00B2696F"/>
    <w:rsid w:val="00B32F70"/>
    <w:rsid w:val="00B373D0"/>
    <w:rsid w:val="00B43AAA"/>
    <w:rsid w:val="00B50BCE"/>
    <w:rsid w:val="00B53139"/>
    <w:rsid w:val="00B5397C"/>
    <w:rsid w:val="00B562CE"/>
    <w:rsid w:val="00B62DE2"/>
    <w:rsid w:val="00B64B56"/>
    <w:rsid w:val="00B7119D"/>
    <w:rsid w:val="00B74417"/>
    <w:rsid w:val="00B761A6"/>
    <w:rsid w:val="00B77246"/>
    <w:rsid w:val="00B866CD"/>
    <w:rsid w:val="00B93034"/>
    <w:rsid w:val="00B93A81"/>
    <w:rsid w:val="00B97C5D"/>
    <w:rsid w:val="00BA1290"/>
    <w:rsid w:val="00BB2792"/>
    <w:rsid w:val="00BB76BF"/>
    <w:rsid w:val="00BC1AD1"/>
    <w:rsid w:val="00BC1D82"/>
    <w:rsid w:val="00BC4130"/>
    <w:rsid w:val="00BC4A58"/>
    <w:rsid w:val="00BC613B"/>
    <w:rsid w:val="00BD51D9"/>
    <w:rsid w:val="00BD64E2"/>
    <w:rsid w:val="00BE4995"/>
    <w:rsid w:val="00BF429A"/>
    <w:rsid w:val="00BF62BE"/>
    <w:rsid w:val="00C021D1"/>
    <w:rsid w:val="00C02770"/>
    <w:rsid w:val="00C07126"/>
    <w:rsid w:val="00C0754B"/>
    <w:rsid w:val="00C12A51"/>
    <w:rsid w:val="00C16853"/>
    <w:rsid w:val="00C20D0C"/>
    <w:rsid w:val="00C263F0"/>
    <w:rsid w:val="00C33D41"/>
    <w:rsid w:val="00C40AFD"/>
    <w:rsid w:val="00C40BD0"/>
    <w:rsid w:val="00C41E20"/>
    <w:rsid w:val="00C42E3E"/>
    <w:rsid w:val="00C51C13"/>
    <w:rsid w:val="00C521A8"/>
    <w:rsid w:val="00C525A5"/>
    <w:rsid w:val="00C5300F"/>
    <w:rsid w:val="00C54594"/>
    <w:rsid w:val="00C60C0A"/>
    <w:rsid w:val="00C669A3"/>
    <w:rsid w:val="00C66CE0"/>
    <w:rsid w:val="00C71BED"/>
    <w:rsid w:val="00C737B2"/>
    <w:rsid w:val="00C81B53"/>
    <w:rsid w:val="00C82AD2"/>
    <w:rsid w:val="00C90FB6"/>
    <w:rsid w:val="00C9220E"/>
    <w:rsid w:val="00C932BD"/>
    <w:rsid w:val="00C93429"/>
    <w:rsid w:val="00C94E53"/>
    <w:rsid w:val="00CA0E20"/>
    <w:rsid w:val="00CA16C5"/>
    <w:rsid w:val="00CA415A"/>
    <w:rsid w:val="00CA7A35"/>
    <w:rsid w:val="00CB1536"/>
    <w:rsid w:val="00CB7FB8"/>
    <w:rsid w:val="00CC1431"/>
    <w:rsid w:val="00CC1F71"/>
    <w:rsid w:val="00CC5588"/>
    <w:rsid w:val="00CC5EB3"/>
    <w:rsid w:val="00CC6035"/>
    <w:rsid w:val="00CD0E7B"/>
    <w:rsid w:val="00CD2ABD"/>
    <w:rsid w:val="00CD4024"/>
    <w:rsid w:val="00CD4617"/>
    <w:rsid w:val="00CD4855"/>
    <w:rsid w:val="00CE6D43"/>
    <w:rsid w:val="00CE7888"/>
    <w:rsid w:val="00CE7FC6"/>
    <w:rsid w:val="00CF12E0"/>
    <w:rsid w:val="00CF22F8"/>
    <w:rsid w:val="00CF79AF"/>
    <w:rsid w:val="00D035E5"/>
    <w:rsid w:val="00D10E1C"/>
    <w:rsid w:val="00D161A3"/>
    <w:rsid w:val="00D22E49"/>
    <w:rsid w:val="00D23716"/>
    <w:rsid w:val="00D25ED8"/>
    <w:rsid w:val="00D27F8F"/>
    <w:rsid w:val="00D316B8"/>
    <w:rsid w:val="00D31CFC"/>
    <w:rsid w:val="00D3255D"/>
    <w:rsid w:val="00D340C3"/>
    <w:rsid w:val="00D409CD"/>
    <w:rsid w:val="00D423D4"/>
    <w:rsid w:val="00D42CAF"/>
    <w:rsid w:val="00D50BDC"/>
    <w:rsid w:val="00D51AE6"/>
    <w:rsid w:val="00D5310F"/>
    <w:rsid w:val="00D601EF"/>
    <w:rsid w:val="00D60503"/>
    <w:rsid w:val="00D61533"/>
    <w:rsid w:val="00D63B2F"/>
    <w:rsid w:val="00D64954"/>
    <w:rsid w:val="00D66332"/>
    <w:rsid w:val="00D70448"/>
    <w:rsid w:val="00D70747"/>
    <w:rsid w:val="00D7261D"/>
    <w:rsid w:val="00D755FC"/>
    <w:rsid w:val="00D76B6D"/>
    <w:rsid w:val="00D82AD3"/>
    <w:rsid w:val="00D84D07"/>
    <w:rsid w:val="00D8526A"/>
    <w:rsid w:val="00D90E91"/>
    <w:rsid w:val="00DB385D"/>
    <w:rsid w:val="00DB4B6F"/>
    <w:rsid w:val="00DB60E1"/>
    <w:rsid w:val="00DC1347"/>
    <w:rsid w:val="00DC2A09"/>
    <w:rsid w:val="00DC39F1"/>
    <w:rsid w:val="00DE4B35"/>
    <w:rsid w:val="00DF19C1"/>
    <w:rsid w:val="00DF271A"/>
    <w:rsid w:val="00DF54CA"/>
    <w:rsid w:val="00DF56C9"/>
    <w:rsid w:val="00DF5B64"/>
    <w:rsid w:val="00E02794"/>
    <w:rsid w:val="00E043E3"/>
    <w:rsid w:val="00E0505B"/>
    <w:rsid w:val="00E06E54"/>
    <w:rsid w:val="00E11280"/>
    <w:rsid w:val="00E12359"/>
    <w:rsid w:val="00E152FF"/>
    <w:rsid w:val="00E16B1B"/>
    <w:rsid w:val="00E176F3"/>
    <w:rsid w:val="00E2461B"/>
    <w:rsid w:val="00E24886"/>
    <w:rsid w:val="00E276FB"/>
    <w:rsid w:val="00E32595"/>
    <w:rsid w:val="00E32DC6"/>
    <w:rsid w:val="00E33A74"/>
    <w:rsid w:val="00E4030B"/>
    <w:rsid w:val="00E41D56"/>
    <w:rsid w:val="00E457DF"/>
    <w:rsid w:val="00E46642"/>
    <w:rsid w:val="00E5139A"/>
    <w:rsid w:val="00E5413D"/>
    <w:rsid w:val="00E57977"/>
    <w:rsid w:val="00E635D7"/>
    <w:rsid w:val="00E64E71"/>
    <w:rsid w:val="00E66907"/>
    <w:rsid w:val="00E70576"/>
    <w:rsid w:val="00E71DED"/>
    <w:rsid w:val="00E83954"/>
    <w:rsid w:val="00E86506"/>
    <w:rsid w:val="00E91730"/>
    <w:rsid w:val="00E94429"/>
    <w:rsid w:val="00E96F04"/>
    <w:rsid w:val="00E97AEC"/>
    <w:rsid w:val="00EA20FE"/>
    <w:rsid w:val="00EA495C"/>
    <w:rsid w:val="00EB13B5"/>
    <w:rsid w:val="00EB426A"/>
    <w:rsid w:val="00EB491E"/>
    <w:rsid w:val="00EB681B"/>
    <w:rsid w:val="00EC4FAD"/>
    <w:rsid w:val="00EE3CFA"/>
    <w:rsid w:val="00EE69E4"/>
    <w:rsid w:val="00EF2A7F"/>
    <w:rsid w:val="00EF7E90"/>
    <w:rsid w:val="00F002B6"/>
    <w:rsid w:val="00F10AFE"/>
    <w:rsid w:val="00F115C0"/>
    <w:rsid w:val="00F12C8C"/>
    <w:rsid w:val="00F15C6C"/>
    <w:rsid w:val="00F16CEA"/>
    <w:rsid w:val="00F17173"/>
    <w:rsid w:val="00F20987"/>
    <w:rsid w:val="00F224DC"/>
    <w:rsid w:val="00F23865"/>
    <w:rsid w:val="00F23D38"/>
    <w:rsid w:val="00F2687F"/>
    <w:rsid w:val="00F26A5E"/>
    <w:rsid w:val="00F27F29"/>
    <w:rsid w:val="00F32D54"/>
    <w:rsid w:val="00F36C54"/>
    <w:rsid w:val="00F37EA1"/>
    <w:rsid w:val="00F418EA"/>
    <w:rsid w:val="00F41A29"/>
    <w:rsid w:val="00F44C1C"/>
    <w:rsid w:val="00F518DF"/>
    <w:rsid w:val="00F544DB"/>
    <w:rsid w:val="00F648EA"/>
    <w:rsid w:val="00F6502E"/>
    <w:rsid w:val="00F65663"/>
    <w:rsid w:val="00F75147"/>
    <w:rsid w:val="00F756C0"/>
    <w:rsid w:val="00F75A40"/>
    <w:rsid w:val="00F75C0B"/>
    <w:rsid w:val="00F76740"/>
    <w:rsid w:val="00F77637"/>
    <w:rsid w:val="00F8253F"/>
    <w:rsid w:val="00F8435D"/>
    <w:rsid w:val="00F862E5"/>
    <w:rsid w:val="00F87DD0"/>
    <w:rsid w:val="00F93360"/>
    <w:rsid w:val="00F93FE4"/>
    <w:rsid w:val="00F97E4E"/>
    <w:rsid w:val="00FA1A40"/>
    <w:rsid w:val="00FA217B"/>
    <w:rsid w:val="00FB0BC5"/>
    <w:rsid w:val="00FB0BCC"/>
    <w:rsid w:val="00FC0FE5"/>
    <w:rsid w:val="00FD1ABC"/>
    <w:rsid w:val="00FD7DDF"/>
    <w:rsid w:val="00FE4C92"/>
    <w:rsid w:val="00FF0FAA"/>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A8"/>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E50BF"/>
    <w:pPr>
      <w:numPr>
        <w:ilvl w:val="3"/>
        <w:numId w:val="1"/>
      </w:numPr>
      <w:outlineLvl w:val="3"/>
    </w:pPr>
  </w:style>
  <w:style w:type="paragraph" w:styleId="Heading5">
    <w:name w:val="heading 5"/>
    <w:basedOn w:val="Normal"/>
    <w:next w:val="Normal"/>
    <w:link w:val="Heading5Char"/>
    <w:qFormat/>
    <w:rsid w:val="007E50BF"/>
    <w:pPr>
      <w:numPr>
        <w:ilvl w:val="4"/>
        <w:numId w:val="1"/>
      </w:numPr>
      <w:outlineLvl w:val="4"/>
    </w:pPr>
  </w:style>
  <w:style w:type="paragraph" w:styleId="Heading6">
    <w:name w:val="heading 6"/>
    <w:basedOn w:val="Normal"/>
    <w:next w:val="Normal"/>
    <w:link w:val="Heading6Char"/>
    <w:qFormat/>
    <w:rsid w:val="007E50BF"/>
    <w:pPr>
      <w:numPr>
        <w:ilvl w:val="5"/>
        <w:numId w:val="1"/>
      </w:numPr>
      <w:outlineLvl w:val="5"/>
    </w:pPr>
  </w:style>
  <w:style w:type="paragraph" w:styleId="Heading7">
    <w:name w:val="heading 7"/>
    <w:basedOn w:val="Normal"/>
    <w:next w:val="Normal"/>
    <w:link w:val="Heading7Char"/>
    <w:qFormat/>
    <w:rsid w:val="007E50BF"/>
    <w:pPr>
      <w:numPr>
        <w:ilvl w:val="6"/>
        <w:numId w:val="1"/>
      </w:numPr>
      <w:outlineLvl w:val="6"/>
    </w:pPr>
  </w:style>
  <w:style w:type="paragraph" w:styleId="Heading8">
    <w:name w:val="heading 8"/>
    <w:basedOn w:val="Normal"/>
    <w:next w:val="Normal"/>
    <w:link w:val="Heading8Char"/>
    <w:qFormat/>
    <w:rsid w:val="007E50BF"/>
    <w:pPr>
      <w:numPr>
        <w:ilvl w:val="7"/>
        <w:numId w:val="1"/>
      </w:numPr>
      <w:outlineLvl w:val="7"/>
    </w:pPr>
  </w:style>
  <w:style w:type="paragraph" w:styleId="Heading9">
    <w:name w:val="heading 9"/>
    <w:basedOn w:val="Normal"/>
    <w:next w:val="Normal"/>
    <w:link w:val="Heading9Char"/>
    <w:qFormat/>
    <w:rsid w:val="007E50B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sl-SI" w:eastAsia="en-US" w:bidi="ar-SA"/>
    </w:rPr>
  </w:style>
  <w:style w:type="character" w:customStyle="1" w:styleId="Heading2Char">
    <w:name w:val="Heading 2 Char"/>
    <w:basedOn w:val="DefaultParagraphFont"/>
    <w:link w:val="Heading2"/>
    <w:locked/>
    <w:rsid w:val="00CB1536"/>
    <w:rPr>
      <w:lang w:val="sl-SI" w:eastAsia="en-US" w:bidi="ar-SA"/>
    </w:rPr>
  </w:style>
  <w:style w:type="character" w:customStyle="1" w:styleId="Heading3Char">
    <w:name w:val="Heading 3 Char"/>
    <w:basedOn w:val="DefaultParagraphFont"/>
    <w:link w:val="Heading3"/>
    <w:locked/>
    <w:rsid w:val="00CB1536"/>
    <w:rPr>
      <w:lang w:val="sl-SI" w:eastAsia="en-US" w:bidi="ar-SA"/>
    </w:rPr>
  </w:style>
  <w:style w:type="character" w:customStyle="1" w:styleId="Heading4Char">
    <w:name w:val="Heading 4 Char"/>
    <w:basedOn w:val="DefaultParagraphFont"/>
    <w:link w:val="Heading4"/>
    <w:locked/>
    <w:rsid w:val="00CB1536"/>
    <w:rPr>
      <w:lang w:val="sl-SI" w:eastAsia="en-US" w:bidi="ar-SA"/>
    </w:rPr>
  </w:style>
  <w:style w:type="character" w:customStyle="1" w:styleId="Heading5Char">
    <w:name w:val="Heading 5 Char"/>
    <w:basedOn w:val="DefaultParagraphFont"/>
    <w:link w:val="Heading5"/>
    <w:locked/>
    <w:rsid w:val="00CB1536"/>
    <w:rPr>
      <w:lang w:val="sl-SI" w:eastAsia="en-US" w:bidi="ar-SA"/>
    </w:rPr>
  </w:style>
  <w:style w:type="character" w:customStyle="1" w:styleId="Heading6Char">
    <w:name w:val="Heading 6 Char"/>
    <w:basedOn w:val="DefaultParagraphFont"/>
    <w:link w:val="Heading6"/>
    <w:locked/>
    <w:rsid w:val="00CB1536"/>
    <w:rPr>
      <w:lang w:val="sl-SI" w:eastAsia="en-US" w:bidi="ar-SA"/>
    </w:rPr>
  </w:style>
  <w:style w:type="character" w:customStyle="1" w:styleId="Heading7Char">
    <w:name w:val="Heading 7 Char"/>
    <w:basedOn w:val="DefaultParagraphFont"/>
    <w:link w:val="Heading7"/>
    <w:locked/>
    <w:rsid w:val="00CB1536"/>
    <w:rPr>
      <w:lang w:val="sl-SI" w:eastAsia="en-US" w:bidi="ar-SA"/>
    </w:rPr>
  </w:style>
  <w:style w:type="character" w:customStyle="1" w:styleId="Heading8Char">
    <w:name w:val="Heading 8 Char"/>
    <w:basedOn w:val="DefaultParagraphFont"/>
    <w:link w:val="Heading8"/>
    <w:locked/>
    <w:rsid w:val="00CB1536"/>
    <w:rPr>
      <w:lang w:val="sl-SI" w:eastAsia="en-US" w:bidi="ar-SA"/>
    </w:rPr>
  </w:style>
  <w:style w:type="character" w:customStyle="1" w:styleId="Heading9Char">
    <w:name w:val="Heading 9 Char"/>
    <w:basedOn w:val="DefaultParagraphFont"/>
    <w:link w:val="Heading9"/>
    <w:locked/>
    <w:rsid w:val="00CB1536"/>
    <w:rPr>
      <w:lang w:val="sl-SI"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sl-SI"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table" w:styleId="TableGrid">
    <w:name w:val="Table Grid"/>
    <w:basedOn w:val="TableNormal"/>
    <w:locked/>
    <w:rsid w:val="00F3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831">
      <w:bodyDiv w:val="1"/>
      <w:marLeft w:val="0"/>
      <w:marRight w:val="0"/>
      <w:marTop w:val="0"/>
      <w:marBottom w:val="0"/>
      <w:divBdr>
        <w:top w:val="none" w:sz="0" w:space="0" w:color="auto"/>
        <w:left w:val="none" w:sz="0" w:space="0" w:color="auto"/>
        <w:bottom w:val="none" w:sz="0" w:space="0" w:color="auto"/>
        <w:right w:val="none" w:sz="0" w:space="0" w:color="auto"/>
      </w:divBdr>
      <w:divsChild>
        <w:div w:id="1870532492">
          <w:marLeft w:val="0"/>
          <w:marRight w:val="0"/>
          <w:marTop w:val="0"/>
          <w:marBottom w:val="0"/>
          <w:divBdr>
            <w:top w:val="none" w:sz="0" w:space="0" w:color="auto"/>
            <w:left w:val="none" w:sz="0" w:space="0" w:color="auto"/>
            <w:bottom w:val="none" w:sz="0" w:space="0" w:color="auto"/>
            <w:right w:val="none" w:sz="0" w:space="0" w:color="auto"/>
          </w:divBdr>
          <w:divsChild>
            <w:div w:id="369844734">
              <w:marLeft w:val="0"/>
              <w:marRight w:val="0"/>
              <w:marTop w:val="0"/>
              <w:marBottom w:val="0"/>
              <w:divBdr>
                <w:top w:val="none" w:sz="0" w:space="0" w:color="auto"/>
                <w:left w:val="none" w:sz="0" w:space="0" w:color="auto"/>
                <w:bottom w:val="none" w:sz="0" w:space="0" w:color="auto"/>
                <w:right w:val="none" w:sz="0" w:space="0" w:color="auto"/>
              </w:divBdr>
              <w:divsChild>
                <w:div w:id="19784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09777495">
      <w:bodyDiv w:val="1"/>
      <w:marLeft w:val="0"/>
      <w:marRight w:val="0"/>
      <w:marTop w:val="0"/>
      <w:marBottom w:val="0"/>
      <w:divBdr>
        <w:top w:val="none" w:sz="0" w:space="0" w:color="auto"/>
        <w:left w:val="none" w:sz="0" w:space="0" w:color="auto"/>
        <w:bottom w:val="none" w:sz="0" w:space="0" w:color="auto"/>
        <w:right w:val="none" w:sz="0" w:space="0" w:color="auto"/>
      </w:divBdr>
    </w:div>
    <w:div w:id="924994914">
      <w:bodyDiv w:val="1"/>
      <w:marLeft w:val="0"/>
      <w:marRight w:val="0"/>
      <w:marTop w:val="0"/>
      <w:marBottom w:val="0"/>
      <w:divBdr>
        <w:top w:val="none" w:sz="0" w:space="0" w:color="auto"/>
        <w:left w:val="none" w:sz="0" w:space="0" w:color="auto"/>
        <w:bottom w:val="none" w:sz="0" w:space="0" w:color="auto"/>
        <w:right w:val="none" w:sz="0" w:space="0" w:color="auto"/>
      </w:divBdr>
      <w:divsChild>
        <w:div w:id="529227747">
          <w:marLeft w:val="0"/>
          <w:marRight w:val="0"/>
          <w:marTop w:val="0"/>
          <w:marBottom w:val="0"/>
          <w:divBdr>
            <w:top w:val="none" w:sz="0" w:space="0" w:color="auto"/>
            <w:left w:val="none" w:sz="0" w:space="0" w:color="auto"/>
            <w:bottom w:val="none" w:sz="0" w:space="0" w:color="auto"/>
            <w:right w:val="none" w:sz="0" w:space="0" w:color="auto"/>
          </w:divBdr>
          <w:divsChild>
            <w:div w:id="529145929">
              <w:marLeft w:val="0"/>
              <w:marRight w:val="0"/>
              <w:marTop w:val="0"/>
              <w:marBottom w:val="0"/>
              <w:divBdr>
                <w:top w:val="none" w:sz="0" w:space="0" w:color="auto"/>
                <w:left w:val="none" w:sz="0" w:space="0" w:color="auto"/>
                <w:bottom w:val="none" w:sz="0" w:space="0" w:color="auto"/>
                <w:right w:val="none" w:sz="0" w:space="0" w:color="auto"/>
              </w:divBdr>
              <w:divsChild>
                <w:div w:id="876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2348">
      <w:bodyDiv w:val="1"/>
      <w:marLeft w:val="0"/>
      <w:marRight w:val="0"/>
      <w:marTop w:val="0"/>
      <w:marBottom w:val="0"/>
      <w:divBdr>
        <w:top w:val="none" w:sz="0" w:space="0" w:color="auto"/>
        <w:left w:val="none" w:sz="0" w:space="0" w:color="auto"/>
        <w:bottom w:val="none" w:sz="0" w:space="0" w:color="auto"/>
        <w:right w:val="none" w:sz="0" w:space="0" w:color="auto"/>
      </w:divBdr>
      <w:divsChild>
        <w:div w:id="1809322837">
          <w:marLeft w:val="0"/>
          <w:marRight w:val="0"/>
          <w:marTop w:val="0"/>
          <w:marBottom w:val="0"/>
          <w:divBdr>
            <w:top w:val="none" w:sz="0" w:space="0" w:color="auto"/>
            <w:left w:val="none" w:sz="0" w:space="0" w:color="auto"/>
            <w:bottom w:val="none" w:sz="0" w:space="0" w:color="auto"/>
            <w:right w:val="none" w:sz="0" w:space="0" w:color="auto"/>
          </w:divBdr>
          <w:divsChild>
            <w:div w:id="396388">
              <w:marLeft w:val="0"/>
              <w:marRight w:val="0"/>
              <w:marTop w:val="0"/>
              <w:marBottom w:val="0"/>
              <w:divBdr>
                <w:top w:val="none" w:sz="0" w:space="0" w:color="auto"/>
                <w:left w:val="none" w:sz="0" w:space="0" w:color="auto"/>
                <w:bottom w:val="none" w:sz="0" w:space="0" w:color="auto"/>
                <w:right w:val="none" w:sz="0" w:space="0" w:color="auto"/>
              </w:divBdr>
              <w:divsChild>
                <w:div w:id="15751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3340">
      <w:bodyDiv w:val="1"/>
      <w:marLeft w:val="0"/>
      <w:marRight w:val="0"/>
      <w:marTop w:val="0"/>
      <w:marBottom w:val="0"/>
      <w:divBdr>
        <w:top w:val="none" w:sz="0" w:space="0" w:color="auto"/>
        <w:left w:val="none" w:sz="0" w:space="0" w:color="auto"/>
        <w:bottom w:val="none" w:sz="0" w:space="0" w:color="auto"/>
        <w:right w:val="none" w:sz="0" w:space="0" w:color="auto"/>
      </w:divBdr>
    </w:div>
    <w:div w:id="1619332744">
      <w:bodyDiv w:val="1"/>
      <w:marLeft w:val="0"/>
      <w:marRight w:val="0"/>
      <w:marTop w:val="0"/>
      <w:marBottom w:val="0"/>
      <w:divBdr>
        <w:top w:val="none" w:sz="0" w:space="0" w:color="auto"/>
        <w:left w:val="none" w:sz="0" w:space="0" w:color="auto"/>
        <w:bottom w:val="none" w:sz="0" w:space="0" w:color="auto"/>
        <w:right w:val="none" w:sz="0" w:space="0" w:color="auto"/>
      </w:divBdr>
      <w:divsChild>
        <w:div w:id="1984389413">
          <w:marLeft w:val="0"/>
          <w:marRight w:val="0"/>
          <w:marTop w:val="0"/>
          <w:marBottom w:val="0"/>
          <w:divBdr>
            <w:top w:val="none" w:sz="0" w:space="0" w:color="auto"/>
            <w:left w:val="none" w:sz="0" w:space="0" w:color="auto"/>
            <w:bottom w:val="none" w:sz="0" w:space="0" w:color="auto"/>
            <w:right w:val="none" w:sz="0" w:space="0" w:color="auto"/>
          </w:divBdr>
          <w:divsChild>
            <w:div w:id="1697736611">
              <w:marLeft w:val="0"/>
              <w:marRight w:val="0"/>
              <w:marTop w:val="0"/>
              <w:marBottom w:val="0"/>
              <w:divBdr>
                <w:top w:val="none" w:sz="0" w:space="0" w:color="auto"/>
                <w:left w:val="none" w:sz="0" w:space="0" w:color="auto"/>
                <w:bottom w:val="none" w:sz="0" w:space="0" w:color="auto"/>
                <w:right w:val="none" w:sz="0" w:space="0" w:color="auto"/>
              </w:divBdr>
              <w:divsChild>
                <w:div w:id="6062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0305">
      <w:bodyDiv w:val="1"/>
      <w:marLeft w:val="0"/>
      <w:marRight w:val="0"/>
      <w:marTop w:val="0"/>
      <w:marBottom w:val="0"/>
      <w:divBdr>
        <w:top w:val="none" w:sz="0" w:space="0" w:color="auto"/>
        <w:left w:val="none" w:sz="0" w:space="0" w:color="auto"/>
        <w:bottom w:val="none" w:sz="0" w:space="0" w:color="auto"/>
        <w:right w:val="none" w:sz="0" w:space="0" w:color="auto"/>
      </w:divBdr>
      <w:divsChild>
        <w:div w:id="859047465">
          <w:marLeft w:val="0"/>
          <w:marRight w:val="0"/>
          <w:marTop w:val="0"/>
          <w:marBottom w:val="0"/>
          <w:divBdr>
            <w:top w:val="none" w:sz="0" w:space="0" w:color="auto"/>
            <w:left w:val="none" w:sz="0" w:space="0" w:color="auto"/>
            <w:bottom w:val="none" w:sz="0" w:space="0" w:color="auto"/>
            <w:right w:val="none" w:sz="0" w:space="0" w:color="auto"/>
          </w:divBdr>
          <w:divsChild>
            <w:div w:id="1507550106">
              <w:marLeft w:val="0"/>
              <w:marRight w:val="0"/>
              <w:marTop w:val="0"/>
              <w:marBottom w:val="0"/>
              <w:divBdr>
                <w:top w:val="none" w:sz="0" w:space="0" w:color="auto"/>
                <w:left w:val="none" w:sz="0" w:space="0" w:color="auto"/>
                <w:bottom w:val="none" w:sz="0" w:space="0" w:color="auto"/>
                <w:right w:val="none" w:sz="0" w:space="0" w:color="auto"/>
              </w:divBdr>
              <w:divsChild>
                <w:div w:id="16192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nat@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farming/organic-farming/organic-action-plan_sl" TargetMode="External"/><Relationship Id="rId3" Type="http://schemas.openxmlformats.org/officeDocument/2006/relationships/hyperlink" Target="https://www.eesc.europa.eu/sl/our-work/opinions-information-reports/opinions/action-plan-development-eu-organic-production" TargetMode="External"/><Relationship Id="rId7" Type="http://schemas.openxmlformats.org/officeDocument/2006/relationships/hyperlink" Target="https://environment.ec.europa.eu/strategy/biodiversity-strategy-2030_sl" TargetMode="External"/><Relationship Id="rId12" Type="http://schemas.openxmlformats.org/officeDocument/2006/relationships/hyperlink" Target="https://www.eesc.europa.eu/sl/our-work/opinions-information-reports/opinions/next-generation-own-resources" TargetMode="External"/><Relationship Id="rId2" Type="http://schemas.openxmlformats.org/officeDocument/2006/relationships/hyperlink" Target="https://www.fao.org/family-farming/detail/en/c/1197482/" TargetMode="External"/><Relationship Id="rId1" Type="http://schemas.openxmlformats.org/officeDocument/2006/relationships/hyperlink" Target="https://www.fao.org/plant-treaty" TargetMode="External"/><Relationship Id="rId6" Type="http://schemas.openxmlformats.org/officeDocument/2006/relationships/hyperlink" Target="https://ec.europa.eu/food/horizontal-topics/farm-fork-strategy_sl" TargetMode="External"/><Relationship Id="rId11" Type="http://schemas.openxmlformats.org/officeDocument/2006/relationships/hyperlink" Target="https://food.ec.europa.eu/plants/genetically-modified-organisms/new-techniques-biotechnology_sl" TargetMode="External"/><Relationship Id="rId5" Type="http://schemas.openxmlformats.org/officeDocument/2006/relationships/hyperlink" Target="https://commission.europa.eu/strategy-and-policy/priorities-2019-2024/european-green-deal_sl" TargetMode="External"/><Relationship Id="rId10" Type="http://schemas.openxmlformats.org/officeDocument/2006/relationships/hyperlink" Target="https://eur-lex.europa.eu/legal-content/SL/TXT/?uri=celex%3A32017R0625" TargetMode="External"/><Relationship Id="rId4" Type="http://schemas.openxmlformats.org/officeDocument/2006/relationships/hyperlink" Target="https://eur-lex.europa.eu/legal-content/SL/TXT/?uri=uriserv%3AOJ.C_.2021.517.01.0114.01.SLV&amp;toc=OJ%3AC%3A2021%3A517%3ATOC" TargetMode="External"/><Relationship Id="rId9" Type="http://schemas.openxmlformats.org/officeDocument/2006/relationships/hyperlink" Target="https://climate.ec.europa.eu/eu-action/adaptation-climate-change/eu-adaptation-strategy_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XMKEDVFMMJCW-1082970386-4549</_dlc_DocId>
    <_dlc_DocIdUrl xmlns="56a5413d-c261-4a00-870c-a20d3379ae6d">
      <Url>http://dm/eesc/2023/_layouts/15/DocIdRedir.aspx?ID=XMKEDVFMMJCW-1082970386-4549</Url>
      <Description>XMKEDVFMMJCW-1082970386-4549</Description>
    </_dlc_DocIdUrl>
    <Procedure xmlns="56a5413d-c261-4a00-870c-a20d3379ae6d">2023/0228(COD)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2023-09-12T12:00:00+00:00</ProductionDate>
    <DocumentNumber xmlns="9a0d858a-c769-47b2-a4d1-2992261f5e4d">3344</DocumentNumber>
    <FicheYear xmlns="56a5413d-c261-4a00-870c-a20d3379ae6d" xsi:nil="true"/>
    <DossierNumber xmlns="56a5413d-c261-4a00-870c-a20d3379ae6d">905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2023-09-20T12:00:00+00:00</MeetingDate>
    <TaxCatchAll xmlns="56a5413d-c261-4a00-870c-a20d3379ae6d">
      <Value>132</Value>
      <Value>72</Value>
      <Value>59</Value>
      <Value>49</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56a5413d-c261-4a00-870c-a20d3379ae6d">SCHWARTZ</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8305</FicheNumber>
    <OriginalSender xmlns="56a5413d-c261-4a00-870c-a20d3379ae6d">
      <UserInfo>
        <DisplayName>Logar Tina</DisplayName>
        <AccountId>1620</AccountId>
        <AccountType/>
      </UserInfo>
    </OriginalSender>
    <DocumentPart xmlns="56a5413d-c261-4a00-870c-a20d3379ae6d">0</DocumentPart>
    <AdoptionDate xmlns="56a5413d-c261-4a00-870c-a20d3379ae6d" xsi:nil="true"/>
    <RequestingService xmlns="56a5413d-c261-4a00-870c-a20d3379ae6d">Agriculture, développement rural et environnement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a0d858a-c769-47b2-a4d1-2992261f5e4d">581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6a5413d-c261-4a00-870c-a20d3379ae6d">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21F261A008CE24F831780CB6038A2FC" ma:contentTypeVersion="7" ma:contentTypeDescription="Defines the documents for Document Manager V2" ma:contentTypeScope="" ma:versionID="ce575392270fc4a02e7835de5cc3fd62">
  <xsd:schema xmlns:xsd="http://www.w3.org/2001/XMLSchema" xmlns:xs="http://www.w3.org/2001/XMLSchema" xmlns:p="http://schemas.microsoft.com/office/2006/metadata/properties" xmlns:ns2="56a5413d-c261-4a00-870c-a20d3379ae6d" xmlns:ns3="http://schemas.microsoft.com/sharepoint/v3/fields" xmlns:ns4="9a0d858a-c769-47b2-a4d1-2992261f5e4d" targetNamespace="http://schemas.microsoft.com/office/2006/metadata/properties" ma:root="true" ma:fieldsID="3573aae98f46cf99a59b5abbcb13634c" ns2:_="" ns3:_="" ns4:_="">
    <xsd:import namespace="56a5413d-c261-4a00-870c-a20d3379ae6d"/>
    <xsd:import namespace="http://schemas.microsoft.com/sharepoint/v3/fields"/>
    <xsd:import namespace="9a0d858a-c769-47b2-a4d1-2992261f5e4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d858a-c769-47b2-a4d1-2992261f5e4d"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35C80-B775-4D32-99B5-25EB880678D2}"/>
</file>

<file path=customXml/itemProps2.xml><?xml version="1.0" encoding="utf-8"?>
<ds:datastoreItem xmlns:ds="http://schemas.openxmlformats.org/officeDocument/2006/customXml" ds:itemID="{AAC112F0-5322-4182-97AE-D634ACF7F09C}"/>
</file>

<file path=customXml/itemProps3.xml><?xml version="1.0" encoding="utf-8"?>
<ds:datastoreItem xmlns:ds="http://schemas.openxmlformats.org/officeDocument/2006/customXml" ds:itemID="{B8F020DE-4DF1-43CB-815E-2677E03A0BBE}"/>
</file>

<file path=customXml/itemProps4.xml><?xml version="1.0" encoding="utf-8"?>
<ds:datastoreItem xmlns:ds="http://schemas.openxmlformats.org/officeDocument/2006/customXml" ds:itemID="{CCB50525-B9B7-4F09-9800-E830B5E5CF86}"/>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9405</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Seeds and other plant and forest reproductive material</vt:lpstr>
      <vt:lpstr>DT - Document de travail - Modèle du CESE révisé</vt:lpstr>
    </vt:vector>
  </TitlesOfParts>
  <Company>CESE-CdR</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Semena in drug rastlinski in gozdni razmnoževalni material</dc:title>
  <dc:subject>AS</dc:subject>
  <dc:creator/>
  <cp:keywords>EESC-2023-03344-00-00-AS-TRA-EN</cp:keywords>
  <dc:description>Rapporteur: SCHWARTZ - Original language: EN - Date of document: 12/09/2023 - Date of meeting: 30/20/2023 14:30 - External documents: COM(2023)415- final - Administrator:  STENGER NICOLAS</dc:description>
  <cp:lastModifiedBy/>
  <cp:revision>7</cp:revision>
  <cp:lastPrinted>2016-01-26T08:31:00Z</cp:lastPrinted>
  <dcterms:created xsi:type="dcterms:W3CDTF">2023-09-12T11:52:00Z</dcterms:created>
  <dcterms:modified xsi:type="dcterms:W3CDTF">2023-09-12T11:54:00Z</dcterms:modified>
  <cp:category>NAT/905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11/09/2023, 10/08/2023, 13/07/2023, 17/05/2022, 04/11/2015, 27/10/2015, 19/10/2015, 09/10/2015, 05/10/2015, 05/10/2015, 26/08/2015, 26/08/2015, 25/08/2015</vt:lpwstr>
  </property>
  <property fmtid="{D5CDD505-2E9C-101B-9397-08002B2CF9AE}" pid="4" name="Pref_Time">
    <vt:lpwstr>08:15:28, 14:58:47, 14:10:12, 12:59:17, 12/10/07, 14:44:02, 16/04/16, 14:09:30, 16:24:55, 16:04:02, 08:56:14, 07:27:56, 17:31:53</vt:lpwstr>
  </property>
  <property fmtid="{D5CDD505-2E9C-101B-9397-08002B2CF9AE}" pid="5" name="Pref_User">
    <vt:lpwstr>amett, pacup, jhvi, enied, ssex, enied, amett, tvoc, mreg, mreg, amett, enied, ssex</vt:lpwstr>
  </property>
  <property fmtid="{D5CDD505-2E9C-101B-9397-08002B2CF9AE}" pid="6" name="Pref_FileName">
    <vt:lpwstr>EESC-2023-03344-00-00-AS-TRA-EN-CRR.docx, EESC-2023-03344-00-00-PA-TRA.docx, EESC-2023-03344-00-00-DT-TRA-FR-CRR.docx, COR-EESC-2022-02586-00-00-ADMIN-ORI.docx, EESC-2015-05408-00-00-PA-CRR-EN.docx, EESC-2015-05408-00-01-APA-ORI.docx, EESC-2015-04319-00-0</vt:lpwstr>
  </property>
  <property fmtid="{D5CDD505-2E9C-101B-9397-08002B2CF9AE}" pid="7" name="ContentTypeId">
    <vt:lpwstr>0x010100EA97B91038054C99906057A708A1480A00F21F261A008CE24F831780CB6038A2FC</vt:lpwstr>
  </property>
  <property fmtid="{D5CDD505-2E9C-101B-9397-08002B2CF9AE}" pid="8" name="_dlc_DocIdItemGuid">
    <vt:lpwstr>e2b887d5-a63d-4ace-a90a-0f20254833e5</vt:lpwstr>
  </property>
  <property fmtid="{D5CDD505-2E9C-101B-9397-08002B2CF9AE}" pid="9" name="Procedure">
    <vt:lpwstr>2023/0228(COD)</vt:lpwstr>
  </property>
  <property fmtid="{D5CDD505-2E9C-101B-9397-08002B2CF9AE}" pid="10" name="AvailableTranslations">
    <vt:lpwstr>10;#FR|d2afafd3-4c81-4f60-8f52-ee33f2f54ff3;#43;#DA|5d49c027-8956-412b-aa16-e85a0f96ad0e;#35;#SL|98a412ae-eb01-49e9-ae3d-585a81724cfc;#45;#ET|ff6c3f4c-b02c-4c3c-ab07-2c37995a7a0a;#44;#BG|1a1b3951-7821-4e6a-85f5-5673fc08bd2c;#37;#CS|72f9705b-0217-4fd3-bea2-cbc7ed80e26e;#24;#PL|1e03da61-4678-4e07-b136-b5024ca9197b;#5;#EN|f2175f21-25d7-44a3-96da-d6a61b075e1b;#49;#GA|762d2456-c427-4ecb-b312-af3dad8e258c;#32;#PT|50ccc04a-eadd-42ae-a0cb-acaf45f812ba;#25;#ES|e7a6b05b-ae16-40c8-add9-68b64b03aeba;#46;#HR|2f555653-ed1a-4fe6-8362-9082d95989e5;#31;#NL|55c6556c-b4f4-441d-9acf-c498d4f838bd;#33;#LV|46f7e311-5d9f-4663-b433-18aeccb7ace7;#40;#RO|feb747a2-64cd-4299-af12-4833ddc30497;#16;#DE|f6b31e5a-26fa-4935-b661-318e46daf27e;#41;#HU|6b229040-c589-4408-b4c1-4285663d20a8;#30;#IT|0774613c-01ed-4e5d-a25d-11d2388de825;#38;#EL|6d4f4d51-af9b-4650-94b4-4276bee85c91;#21;#SV|c2ed69e7-a339-43d7-8f22-d93680a92aa0;#34;#SK|46d9fce0-ef79-4f71-b89b-cd6aa82426b8;#39;#LT|a7ff5ce7-6123-4f68-865a-a57c31810414;#36;#MT|7df99101-6854-4a26-b53a-b88c0da02c26;#42;#FI|87606a43-d45f-42d6-b8c9-e1a3457db5b7</vt:lpwstr>
  </property>
  <property fmtid="{D5CDD505-2E9C-101B-9397-08002B2CF9AE}" pid="11" name="DocumentType_0">
    <vt:lpwstr>AS|c7a748eb-f6f2-4d9d-8b5a-af0cafebc224</vt:lpwstr>
  </property>
  <property fmtid="{D5CDD505-2E9C-101B-9397-08002B2CF9AE}" pid="12" name="MeetingNumber">
    <vt:i4>581</vt:i4>
  </property>
  <property fmtid="{D5CDD505-2E9C-101B-9397-08002B2CF9AE}" pid="13" name="DossierName_0">
    <vt:lpwstr>NAT|b263ab5d-0564-42a8-87bf-1cc57d938922</vt:lpwstr>
  </property>
  <property fmtid="{D5CDD505-2E9C-101B-9397-08002B2CF9AE}" pid="14" name="DocumentSource_0">
    <vt:lpwstr>EESC|422833ec-8d7e-4e65-8e4e-8bed07ffb729</vt:lpwstr>
  </property>
  <property fmtid="{D5CDD505-2E9C-101B-9397-08002B2CF9AE}" pid="15" name="DocumentNumber">
    <vt:i4>3344</vt:i4>
  </property>
  <property fmtid="{D5CDD505-2E9C-101B-9397-08002B2CF9AE}" pid="16" name="DocumentVersion">
    <vt:i4>0</vt:i4>
  </property>
  <property fmtid="{D5CDD505-2E9C-101B-9397-08002B2CF9AE}" pid="17" name="DossierNumber">
    <vt:i4>905</vt:i4>
  </property>
  <property fmtid="{D5CDD505-2E9C-101B-9397-08002B2CF9AE}" pid="18" name="DocumentStatus">
    <vt:lpwstr>3;#TRA|150d2a88-1431-44e6-a8ca-0bb753ab8672</vt:lpwstr>
  </property>
  <property fmtid="{D5CDD505-2E9C-101B-9397-08002B2CF9AE}" pid="19" name="DossierName">
    <vt:lpwstr>72;#NAT|b263ab5d-0564-42a8-87bf-1cc57d938922</vt:lpwstr>
  </property>
  <property fmtid="{D5CDD505-2E9C-101B-9397-08002B2CF9AE}" pid="20" name="RequestingService">
    <vt:lpwstr>Agriculture, développement rural et environnement</vt:lpwstr>
  </property>
  <property fmtid="{D5CDD505-2E9C-101B-9397-08002B2CF9AE}" pid="21" name="Confidentiality">
    <vt:lpwstr>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59;#SPL-CES|32d8cb1f-c9ec-4365-95c7-8385a18618ac</vt:lpwstr>
  </property>
  <property fmtid="{D5CDD505-2E9C-101B-9397-08002B2CF9AE}" pid="26" name="MeetingDate">
    <vt:filetime>2023-09-20T12:00:00Z</vt:filetime>
  </property>
  <property fmtid="{D5CDD505-2E9C-101B-9397-08002B2CF9AE}" pid="27" name="AvailableTranslations_0">
    <vt:lpwstr>FR|d2afafd3-4c81-4f60-8f52-ee33f2f54ff3;ET|ff6c3f4c-b02c-4c3c-ab07-2c37995a7a0a;BG|1a1b3951-7821-4e6a-85f5-5673fc08bd2c;CS|72f9705b-0217-4fd3-bea2-cbc7ed80e26e;PL|1e03da61-4678-4e07-b136-b5024ca9197b;EN|f2175f21-25d7-44a3-96da-d6a61b075e1b;GA|762d2456-c427-4ecb-b312-af3dad8e258c;PT|50ccc04a-eadd-42ae-a0cb-acaf45f812ba;ES|e7a6b05b-ae16-40c8-add9-68b64b03aeba;HR|2f555653-ed1a-4fe6-8362-9082d95989e5;NL|55c6556c-b4f4-441d-9acf-c498d4f838bd;LV|46f7e311-5d9f-4663-b433-18aeccb7ace7;DE|f6b31e5a-26fa-4935-b661-318e46daf27e;IT|0774613c-01ed-4e5d-a25d-11d2388de825;EL|6d4f4d51-af9b-4650-94b4-4276bee85c91;SV|c2ed69e7-a339-43d7-8f22-d93680a92aa0;SK|46d9fce0-ef79-4f71-b89b-cd6aa82426b8;LT|a7ff5ce7-6123-4f68-865a-a57c31810414;MT|7df99101-6854-4a26-b53a-b88c0da02c26;FI|87606a43-d45f-42d6-b8c9-e1a3457db5b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72;#NAT|b263ab5d-0564-42a8-87bf-1cc57d938922;#59;#SPL-CES|32d8cb1f-c9ec-4365-95c7-8385a18618ac;#49;#GA|762d2456-c427-4ecb-b312-af3dad8e258c;#46;#HR|2f555653-ed1a-4fe6-8362-9082d95989e5;#45;#ET|ff6c3f4c-b02c-4c3c-ab07-2c37995a7a0a;#44;#BG|1a1b3951-7821-4e6a-85f5-5673fc08bd2c;#132;#AS|c7a748eb-f6f2-4d9d-8b5a-af0cafebc224;#42;#FI|87606a43-d45f-42d6-b8c9-e1a3457db5b7;#39;#LT|a7ff5ce7-6123-4f68-865a-a57c31810414;#38;#EL|6d4f4d51-af9b-4650-94b4-4276bee85c91;#37;#CS|72f9705b-0217-4fd3-bea2-cbc7ed80e26e;#36;#MT|7df99101-6854-4a26-b53a-b88c0da02c26;#34;#SK|46d9fce0-ef79-4f71-b89b-cd6aa82426b8;#33;#LV|46f7e311-5d9f-4663-b433-18aeccb7ace7;#32;#PT|50ccc04a-eadd-42ae-a0cb-acaf45f812ba;#31;#NL|55c6556c-b4f4-441d-9acf-c498d4f838bd;#30;#IT|0774613c-01ed-4e5d-a25d-11d2388de825;#25;#ES|e7a6b05b-ae16-40c8-add9-68b64b03aeba;#24;#PL|1e03da61-4678-4e07-b136-b5024ca9197b;#21;#SV|c2ed69e7-a339-43d7-8f22-d93680a92aa0;#16;#DE|f6b31e5a-26fa-4935-b661-318e46daf27e;#10;#FR|d2afafd3-4c81-4f60-8f52-ee33f2f54ff3;#9;#Unrestricted|826e22d7-d029-4ec0-a450-0c28ff673572;#7;#Final|ea5e6674-7b27-4bac-b091-73adbb394efe;#5;#EN|f2175f21-25d7-44a3-96da-d6a61b075e1b;#3;#TRA|150d2a88-1431-44e6-a8ca-0bb753ab8672;#1;#EESC|422833ec-8d7e-4e65-8e4e-8bed07ffb729</vt:lpwstr>
  </property>
  <property fmtid="{D5CDD505-2E9C-101B-9397-08002B2CF9AE}" pid="31" name="Rapporteur">
    <vt:lpwstr>SCHWARTZ</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8305</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35;#SL|98a412ae-eb01-49e9-ae3d-585a81724cfc</vt:lpwstr>
  </property>
  <property name="OP_sanitized" fmtid="{D5CDD505-2E9C-101B-9397-08002B2CF9AE}" pid="40">
    <vt:lpwstr>True</vt:lpwstr>
  </property>
</Properties>
</file>