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036F1" w:rsidR="00576B03" w:rsidP="007036F1" w:rsidRDefault="00576B03">
      <w:pPr>
        <w:suppressAutoHyphens/>
        <w:jc w:val="center"/>
      </w:pPr>
      <w:bookmarkStart w:name="_GoBack" w:id="0"/>
      <w:bookmarkEnd w:id="0"/>
      <w:r w:rsidRPr="007036F1">
        <w:rPr>
          <w:noProof/>
        </w:rPr>
        <w:drawing>
          <wp:inline distT="0" distB="0" distL="0" distR="0" wp14:anchorId="0878BC89" wp14:editId="1AE58779">
            <wp:extent cx="1792605" cy="1241425"/>
            <wp:effectExtent l="0" t="0" r="0" b="0"/>
            <wp:docPr id="2" name="Picture 2" title="EESCLogo_SL"/>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2605" cy="1241425"/>
                    </a:xfrm>
                    <a:prstGeom prst="rect">
                      <a:avLst/>
                    </a:prstGeom>
                  </pic:spPr>
                </pic:pic>
              </a:graphicData>
            </a:graphic>
          </wp:inline>
        </w:drawing>
      </w:r>
      <w:r w:rsidRPr="007036F1">
        <w:rPr>
          <w:noProof/>
          <w:sz w:val="20"/>
        </w:rPr>
        <mc:AlternateContent>
          <mc:Choice Requires="wps">
            <w:drawing>
              <wp:anchor distT="0" distB="0" distL="114300" distR="114300" simplePos="0" relativeHeight="251659264" behindDoc="1" locked="0" layoutInCell="0" allowOverlap="1" wp14:editId="56B97E02" wp14:anchorId="728AED2B">
                <wp:simplePos x="0" y="0"/>
                <wp:positionH relativeFrom="page">
                  <wp:posOffset>6769100</wp:posOffset>
                </wp:positionH>
                <wp:positionV relativeFrom="page">
                  <wp:posOffset>10081260</wp:posOffset>
                </wp:positionV>
                <wp:extent cx="647700" cy="396240"/>
                <wp:effectExtent l="0" t="3810" r="3175"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576B03" w:rsidP="00576B03" w:rsidRDefault="00576B03">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28AED2B">
                <v:stroke joinstyle="miter"/>
                <v:path gradientshapeok="t" o:connecttype="rect"/>
              </v:shapetype>
              <v:shape id="Text Box 23"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4wztg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9E+MM7YCAAC6&#10;BQAADgAAAAAAAAAAAAAAAAAuAgAAZHJzL2Uyb0RvYy54bWxQSwECLQAUAAYACAAAACEA61QxWt4A&#10;AAAPAQAADwAAAAAAAAAAAAAAAAAQBQAAZHJzL2Rvd25yZXYueG1sUEsFBgAAAAAEAAQA8wAAABsG&#10;AAAAAA==&#10;">
                <v:textbox>
                  <w:txbxContent>
                    <w:p w:rsidRPr="00260E65" w:rsidR="00576B03" w:rsidP="00576B03" w:rsidRDefault="00576B03">
                      <w:pPr>
                        <w:jc w:val="center"/>
                        <w:rPr>
                          <w:rFonts w:ascii="Arial" w:hAnsi="Arial" w:cs="Arial"/>
                          <w:b/>
                          <w:bCs/>
                          <w:sz w:val="48"/>
                        </w:rPr>
                      </w:pPr>
                      <w:r>
                        <w:rPr>
                          <w:rFonts w:ascii="Arial" w:hAnsi="Arial"/>
                          <w:b/>
                          <w:sz w:val="48"/>
                        </w:rPr>
                        <w:t>SL</w:t>
                      </w:r>
                    </w:p>
                  </w:txbxContent>
                </v:textbox>
                <w10:wrap anchorx="page" anchory="page"/>
              </v:shape>
            </w:pict>
          </mc:Fallback>
        </mc:AlternateContent>
      </w:r>
    </w:p>
    <w:p w:rsidRPr="007036F1" w:rsidR="00576B03" w:rsidP="007036F1" w:rsidRDefault="00576B03">
      <w:pPr>
        <w:suppressAutoHyphens/>
      </w:pPr>
    </w:p>
    <w:p w:rsidRPr="007036F1" w:rsidR="00576B03" w:rsidP="007036F1" w:rsidRDefault="00576B03">
      <w:pPr>
        <w:suppressAutoHyphens/>
        <w:jc w:val="right"/>
        <w:rPr>
          <w:b/>
        </w:rPr>
      </w:pPr>
      <w:r w:rsidRPr="007036F1">
        <w:rPr>
          <w:b/>
        </w:rPr>
        <w:t>ECO/587</w:t>
      </w:r>
    </w:p>
    <w:p w:rsidRPr="007036F1" w:rsidR="00576B03" w:rsidP="007036F1" w:rsidRDefault="00576B03">
      <w:pPr>
        <w:suppressAutoHyphens/>
        <w:jc w:val="right"/>
        <w:rPr>
          <w:b/>
        </w:rPr>
      </w:pPr>
      <w:r w:rsidRPr="007036F1">
        <w:rPr>
          <w:b/>
        </w:rPr>
        <w:t>Obdavčitev digitalnega gospodarstva</w:t>
      </w:r>
    </w:p>
    <w:p w:rsidRPr="007036F1" w:rsidR="00576B03" w:rsidP="007036F1" w:rsidRDefault="00576B03">
      <w:pPr>
        <w:suppressAutoHyphens/>
      </w:pPr>
    </w:p>
    <w:p w:rsidRPr="007036F1" w:rsidR="00576B03" w:rsidP="007036F1" w:rsidRDefault="00576B03">
      <w:pPr>
        <w:suppressAutoHyphens/>
      </w:pPr>
    </w:p>
    <w:p w:rsidRPr="007036F1" w:rsidR="00576B03" w:rsidP="007036F1" w:rsidRDefault="00576B03">
      <w:pPr>
        <w:suppressAutoHyphens/>
        <w:jc w:val="center"/>
        <w:rPr>
          <w:b/>
        </w:rPr>
      </w:pPr>
      <w:r w:rsidRPr="007036F1">
        <w:rPr>
          <w:b/>
          <w:sz w:val="28"/>
        </w:rPr>
        <w:t>MNENJE</w:t>
      </w:r>
    </w:p>
    <w:p w:rsidRPr="007036F1" w:rsidR="00576B03" w:rsidP="007036F1" w:rsidRDefault="00576B03">
      <w:pPr>
        <w:suppressAutoHyphens/>
        <w:jc w:val="center"/>
      </w:pPr>
    </w:p>
    <w:p w:rsidRPr="007036F1" w:rsidR="00576B03" w:rsidP="007036F1" w:rsidRDefault="00576B03">
      <w:pPr>
        <w:suppressAutoHyphens/>
        <w:jc w:val="center"/>
      </w:pPr>
      <w:r w:rsidRPr="007036F1">
        <w:t>Strokovna skupina za ekonomsko in monetarno unijo ter ekonomsko in socialno kohezijo</w:t>
      </w:r>
    </w:p>
    <w:p w:rsidRPr="007036F1" w:rsidR="00576B03" w:rsidP="007036F1" w:rsidRDefault="00576B03">
      <w:pPr>
        <w:suppressAutoHyphens/>
        <w:jc w:val="center"/>
      </w:pPr>
    </w:p>
    <w:p w:rsidRPr="007036F1" w:rsidR="00576B03" w:rsidP="007036F1" w:rsidRDefault="00576B03">
      <w:pPr>
        <w:suppressAutoHyphens/>
        <w:jc w:val="center"/>
      </w:pPr>
      <w:r w:rsidRPr="007036F1">
        <w:rPr>
          <w:b/>
        </w:rPr>
        <w:t>Obdavčitev digitalnega gospodarstva</w:t>
      </w:r>
    </w:p>
    <w:p w:rsidRPr="007036F1" w:rsidR="00576B03" w:rsidP="007036F1" w:rsidRDefault="007036F1">
      <w:pPr>
        <w:suppressAutoHyphens/>
        <w:jc w:val="center"/>
      </w:pPr>
      <w:r w:rsidRPr="007036F1">
        <w:t>[</w:t>
      </w:r>
      <w:r w:rsidRPr="007036F1" w:rsidR="00576B03">
        <w:t>raziskovalno mnenje n</w:t>
      </w:r>
      <w:r w:rsidRPr="007036F1">
        <w:t>a zaprosilo češkega predsedstva]</w:t>
      </w:r>
    </w:p>
    <w:p w:rsidRPr="007036F1" w:rsidR="00576B03" w:rsidP="007036F1" w:rsidRDefault="00576B03">
      <w:pPr>
        <w:suppressAutoHyphens/>
        <w:jc w:val="center"/>
      </w:pPr>
    </w:p>
    <w:tbl>
      <w:tblPr>
        <w:tblpPr w:leftFromText="181" w:rightFromText="181" w:tblpYSpec="bottom"/>
        <w:tblOverlap w:val="never"/>
        <w:tblW w:w="9289" w:type="dxa"/>
        <w:tblLayout w:type="fixed"/>
        <w:tblLook w:val="04A0" w:firstRow="1" w:lastRow="0" w:firstColumn="1" w:lastColumn="0" w:noHBand="0" w:noVBand="1"/>
      </w:tblPr>
      <w:tblGrid>
        <w:gridCol w:w="3510"/>
        <w:gridCol w:w="5779"/>
      </w:tblGrid>
      <w:tr w:rsidRPr="007036F1" w:rsidR="00576B03" w:rsidTr="00C63902">
        <w:tc>
          <w:tcPr>
            <w:tcW w:w="3510" w:type="dxa"/>
          </w:tcPr>
          <w:p w:rsidRPr="007036F1" w:rsidR="00576B03" w:rsidP="007036F1" w:rsidRDefault="00576B03">
            <w:pPr>
              <w:suppressAutoHyphens/>
              <w:jc w:val="left"/>
            </w:pPr>
            <w:r w:rsidRPr="007036F1">
              <w:t>Kontakt</w:t>
            </w:r>
          </w:p>
        </w:tc>
        <w:tc>
          <w:tcPr>
            <w:tcW w:w="5779" w:type="dxa"/>
          </w:tcPr>
          <w:p w:rsidRPr="007036F1" w:rsidR="00576B03" w:rsidP="007036F1" w:rsidRDefault="00576B03">
            <w:pPr>
              <w:suppressAutoHyphens/>
              <w:jc w:val="left"/>
            </w:pPr>
            <w:hyperlink w:history="1" r:id="rId8">
              <w:r w:rsidRPr="007036F1">
                <w:rPr>
                  <w:rStyle w:val="Hyperlink"/>
                </w:rPr>
                <w:t>eco@eesc.europa.eu</w:t>
              </w:r>
            </w:hyperlink>
          </w:p>
        </w:tc>
      </w:tr>
      <w:tr w:rsidRPr="007036F1" w:rsidR="00576B03" w:rsidTr="00C63902">
        <w:tc>
          <w:tcPr>
            <w:tcW w:w="3510" w:type="dxa"/>
          </w:tcPr>
          <w:p w:rsidRPr="007036F1" w:rsidR="00576B03" w:rsidP="007036F1" w:rsidRDefault="00576B03">
            <w:pPr>
              <w:suppressAutoHyphens/>
              <w:jc w:val="left"/>
            </w:pPr>
            <w:r w:rsidRPr="007036F1">
              <w:t>Administrator</w:t>
            </w:r>
          </w:p>
        </w:tc>
        <w:tc>
          <w:tcPr>
            <w:tcW w:w="5779" w:type="dxa"/>
          </w:tcPr>
          <w:p w:rsidRPr="007036F1" w:rsidR="00576B03" w:rsidP="007036F1" w:rsidRDefault="00576B03">
            <w:pPr>
              <w:suppressAutoHyphens/>
              <w:jc w:val="left"/>
            </w:pPr>
            <w:r w:rsidRPr="007036F1">
              <w:t>Juri SOOSAAR</w:t>
            </w:r>
          </w:p>
        </w:tc>
      </w:tr>
      <w:tr w:rsidRPr="007036F1" w:rsidR="00576B03" w:rsidTr="00C63902">
        <w:tc>
          <w:tcPr>
            <w:tcW w:w="3510" w:type="dxa"/>
          </w:tcPr>
          <w:p w:rsidRPr="007036F1" w:rsidR="00576B03" w:rsidP="007036F1" w:rsidRDefault="00576B03">
            <w:pPr>
              <w:suppressAutoHyphens/>
              <w:jc w:val="left"/>
            </w:pPr>
            <w:r w:rsidRPr="007036F1">
              <w:t>Datum dokumenta</w:t>
            </w:r>
          </w:p>
        </w:tc>
        <w:tc>
          <w:tcPr>
            <w:tcW w:w="5779" w:type="dxa"/>
          </w:tcPr>
          <w:p w:rsidRPr="007036F1" w:rsidR="00576B03" w:rsidP="007036F1" w:rsidRDefault="00576B03">
            <w:pPr>
              <w:suppressAutoHyphens/>
              <w:jc w:val="left"/>
            </w:pPr>
            <w:r w:rsidRPr="007036F1">
              <w:t>5. 7. 2022</w:t>
            </w:r>
          </w:p>
        </w:tc>
      </w:tr>
    </w:tbl>
    <w:p w:rsidRPr="007036F1" w:rsidR="00576B03" w:rsidP="007036F1" w:rsidRDefault="00576B03">
      <w:pPr>
        <w:suppressAutoHyphens/>
        <w:jc w:val="center"/>
      </w:pPr>
      <w:r w:rsidRPr="007036F1">
        <w:t xml:space="preserve">Poročevalec: </w:t>
      </w:r>
      <w:r w:rsidRPr="007036F1">
        <w:rPr>
          <w:b/>
        </w:rPr>
        <w:t>Benjamin RIZZO</w:t>
      </w:r>
    </w:p>
    <w:p w:rsidRPr="007036F1" w:rsidR="00576B03" w:rsidP="007036F1" w:rsidRDefault="00576B03">
      <w:pPr>
        <w:suppressAutoHyphens/>
        <w:jc w:val="center"/>
        <w:rPr>
          <w:b/>
        </w:rPr>
      </w:pPr>
      <w:r w:rsidRPr="007036F1">
        <w:t xml:space="preserve">Soporočevalec: </w:t>
      </w:r>
      <w:r w:rsidRPr="007036F1">
        <w:rPr>
          <w:b/>
        </w:rPr>
        <w:t>Petru Sorin DANDEA</w:t>
      </w:r>
    </w:p>
    <w:p w:rsidRPr="007036F1" w:rsidR="00576B03" w:rsidP="007036F1" w:rsidRDefault="00576B03">
      <w:pPr>
        <w:suppressAutoHyphens/>
        <w:rPr>
          <w:sz w:val="16"/>
        </w:rPr>
      </w:pPr>
    </w:p>
    <w:p w:rsidRPr="007036F1" w:rsidR="00576B03" w:rsidP="007036F1" w:rsidRDefault="00576B03">
      <w:pPr>
        <w:suppressAutoHyphens/>
        <w:rPr>
          <w:sz w:val="14"/>
        </w:rPr>
      </w:pPr>
    </w:p>
    <w:p w:rsidRPr="007036F1" w:rsidR="00576B03" w:rsidP="007036F1" w:rsidRDefault="00576B03">
      <w:pPr>
        <w:suppressAutoHyphens/>
        <w:rPr>
          <w:sz w:val="16"/>
        </w:rPr>
        <w:sectPr w:rsidRPr="007036F1" w:rsidR="00576B03" w:rsidSect="00140315">
          <w:footerReference w:type="default" r:id="rId9"/>
          <w:pgSz w:w="11907" w:h="16839" w:code="9"/>
          <w:pgMar w:top="1417" w:right="1417" w:bottom="1417" w:left="1417" w:header="709" w:footer="709" w:gutter="0"/>
          <w:pgNumType w:start="1"/>
          <w:cols w:space="720"/>
          <w:docGrid w:linePitch="299"/>
        </w:sectPr>
      </w:pPr>
    </w:p>
    <w:p w:rsidRPr="007036F1" w:rsidR="00576B03" w:rsidP="007036F1" w:rsidRDefault="00576B03">
      <w:pPr>
        <w:suppressAutoHyphens/>
      </w:pPr>
    </w:p>
    <w:tbl>
      <w:tblPr>
        <w:tblW w:w="5000" w:type="pct"/>
        <w:tblLayout w:type="fixed"/>
        <w:tblLook w:val="04A0" w:firstRow="1" w:lastRow="0" w:firstColumn="1" w:lastColumn="0" w:noHBand="0" w:noVBand="1"/>
      </w:tblPr>
      <w:tblGrid>
        <w:gridCol w:w="3402"/>
        <w:gridCol w:w="5671"/>
      </w:tblGrid>
      <w:tr w:rsidRPr="007036F1" w:rsidR="00576B03" w:rsidTr="00C63902">
        <w:trPr>
          <w:trHeight w:val="251"/>
        </w:trPr>
        <w:tc>
          <w:tcPr>
            <w:tcW w:w="3402" w:type="dxa"/>
          </w:tcPr>
          <w:p w:rsidRPr="007036F1" w:rsidR="00576B03" w:rsidP="007036F1" w:rsidRDefault="00576B03">
            <w:pPr>
              <w:suppressAutoHyphens/>
              <w:jc w:val="left"/>
            </w:pPr>
            <w:r w:rsidRPr="007036F1">
              <w:t>Zaprosilo</w:t>
            </w:r>
          </w:p>
        </w:tc>
        <w:tc>
          <w:tcPr>
            <w:tcW w:w="5671" w:type="dxa"/>
          </w:tcPr>
          <w:p w:rsidRPr="007036F1" w:rsidR="00576B03" w:rsidP="007036F1" w:rsidRDefault="00576B03">
            <w:pPr>
              <w:suppressAutoHyphens/>
              <w:jc w:val="left"/>
            </w:pPr>
            <w:r w:rsidRPr="007036F1">
              <w:t>dopis Mikuláša BEKA, ministra za evropske zadeve, z dne 26. 1. 2022</w:t>
            </w:r>
          </w:p>
        </w:tc>
      </w:tr>
      <w:tr w:rsidRPr="007036F1" w:rsidR="00576B03" w:rsidTr="00C63902">
        <w:tc>
          <w:tcPr>
            <w:tcW w:w="3402" w:type="dxa"/>
          </w:tcPr>
          <w:p w:rsidRPr="007036F1" w:rsidR="00576B03" w:rsidP="007036F1" w:rsidRDefault="00576B03">
            <w:pPr>
              <w:suppressAutoHyphens/>
              <w:jc w:val="left"/>
            </w:pPr>
            <w:r w:rsidRPr="007036F1">
              <w:t>Pravna podlaga</w:t>
            </w:r>
          </w:p>
        </w:tc>
        <w:tc>
          <w:tcPr>
            <w:tcW w:w="5671" w:type="dxa"/>
          </w:tcPr>
          <w:p w:rsidRPr="007036F1" w:rsidR="00576B03" w:rsidP="007036F1" w:rsidRDefault="00576B03">
            <w:pPr>
              <w:suppressAutoHyphens/>
              <w:jc w:val="left"/>
            </w:pPr>
            <w:r w:rsidRPr="007036F1">
              <w:t>člen 304 Pogodbe o delovanju Evropske unije</w:t>
            </w:r>
          </w:p>
        </w:tc>
      </w:tr>
      <w:tr w:rsidRPr="007036F1" w:rsidR="00576B03" w:rsidTr="00C63902">
        <w:tc>
          <w:tcPr>
            <w:tcW w:w="3402" w:type="dxa"/>
          </w:tcPr>
          <w:p w:rsidRPr="007036F1" w:rsidR="00576B03" w:rsidP="007036F1" w:rsidRDefault="00576B03">
            <w:pPr>
              <w:suppressAutoHyphens/>
              <w:jc w:val="left"/>
            </w:pPr>
            <w:r w:rsidRPr="007036F1">
              <w:t>Pristojnost</w:t>
            </w:r>
          </w:p>
        </w:tc>
        <w:tc>
          <w:tcPr>
            <w:tcW w:w="5671" w:type="dxa"/>
          </w:tcPr>
          <w:p w:rsidRPr="007036F1" w:rsidR="00576B03" w:rsidP="007036F1" w:rsidRDefault="00576B03">
            <w:pPr>
              <w:suppressAutoHyphens/>
            </w:pPr>
            <w:r w:rsidRPr="007036F1">
              <w:t>strokovna skupina za ekonomsko in monetarno unijo ter ekonomsko in socialno kohezijo</w:t>
            </w:r>
          </w:p>
        </w:tc>
      </w:tr>
      <w:tr w:rsidRPr="007036F1" w:rsidR="00576B03" w:rsidTr="007036F1">
        <w:tc>
          <w:tcPr>
            <w:tcW w:w="3402" w:type="dxa"/>
          </w:tcPr>
          <w:p w:rsidRPr="007036F1" w:rsidR="00576B03" w:rsidP="007036F1" w:rsidRDefault="00576B03">
            <w:pPr>
              <w:suppressAutoHyphens/>
              <w:jc w:val="left"/>
            </w:pPr>
            <w:r w:rsidRPr="007036F1">
              <w:t>Datum sprejetja na seji strokovne skupine</w:t>
            </w:r>
          </w:p>
        </w:tc>
        <w:tc>
          <w:tcPr>
            <w:tcW w:w="5671" w:type="dxa"/>
            <w:vAlign w:val="bottom"/>
          </w:tcPr>
          <w:p w:rsidRPr="007036F1" w:rsidR="00576B03" w:rsidP="007036F1" w:rsidRDefault="00576B03">
            <w:pPr>
              <w:suppressAutoHyphens/>
              <w:jc w:val="left"/>
            </w:pPr>
            <w:r w:rsidRPr="007036F1">
              <w:t>1. 7. 2022</w:t>
            </w:r>
          </w:p>
        </w:tc>
      </w:tr>
      <w:tr w:rsidRPr="007036F1" w:rsidR="00576B03" w:rsidTr="007036F1">
        <w:tc>
          <w:tcPr>
            <w:tcW w:w="3402" w:type="dxa"/>
          </w:tcPr>
          <w:p w:rsidRPr="007036F1" w:rsidR="00576B03" w:rsidP="007036F1" w:rsidRDefault="00576B03">
            <w:pPr>
              <w:suppressAutoHyphens/>
              <w:jc w:val="left"/>
            </w:pPr>
            <w:r w:rsidRPr="007036F1">
              <w:t>Rezultat glasovanja</w:t>
            </w:r>
            <w:r w:rsidRPr="007036F1">
              <w:br/>
              <w:t>(za/proti/vzdržani)</w:t>
            </w:r>
          </w:p>
        </w:tc>
        <w:tc>
          <w:tcPr>
            <w:tcW w:w="5671" w:type="dxa"/>
            <w:vAlign w:val="bottom"/>
          </w:tcPr>
          <w:p w:rsidRPr="007036F1" w:rsidR="00576B03" w:rsidP="007036F1" w:rsidRDefault="00576B03">
            <w:pPr>
              <w:suppressAutoHyphens/>
              <w:jc w:val="left"/>
            </w:pPr>
            <w:r w:rsidRPr="007036F1">
              <w:t>76/0/2</w:t>
            </w:r>
          </w:p>
        </w:tc>
      </w:tr>
      <w:tr w:rsidRPr="007036F1" w:rsidR="00576B03" w:rsidTr="007036F1">
        <w:tc>
          <w:tcPr>
            <w:tcW w:w="3402" w:type="dxa"/>
          </w:tcPr>
          <w:p w:rsidRPr="007036F1" w:rsidR="00576B03" w:rsidP="007036F1" w:rsidRDefault="00576B03">
            <w:pPr>
              <w:suppressAutoHyphens/>
              <w:jc w:val="left"/>
            </w:pPr>
            <w:r w:rsidRPr="007036F1">
              <w:t>Datum sprejetja na plenarnem zasedanju</w:t>
            </w:r>
          </w:p>
        </w:tc>
        <w:tc>
          <w:tcPr>
            <w:tcW w:w="5671" w:type="dxa"/>
            <w:vAlign w:val="bottom"/>
          </w:tcPr>
          <w:p w:rsidRPr="007036F1" w:rsidR="00576B03" w:rsidP="007036F1" w:rsidRDefault="00576B03">
            <w:pPr>
              <w:suppressAutoHyphens/>
              <w:jc w:val="left"/>
            </w:pPr>
            <w:r w:rsidRPr="007036F1">
              <w:t>…</w:t>
            </w:r>
          </w:p>
        </w:tc>
      </w:tr>
      <w:tr w:rsidRPr="007036F1" w:rsidR="00576B03" w:rsidTr="007036F1">
        <w:tc>
          <w:tcPr>
            <w:tcW w:w="3402" w:type="dxa"/>
          </w:tcPr>
          <w:p w:rsidRPr="007036F1" w:rsidR="00576B03" w:rsidP="007036F1" w:rsidRDefault="00576B03">
            <w:pPr>
              <w:suppressAutoHyphens/>
              <w:jc w:val="left"/>
            </w:pPr>
            <w:r w:rsidRPr="007036F1">
              <w:t>Plenarno zasedanje št.</w:t>
            </w:r>
          </w:p>
        </w:tc>
        <w:tc>
          <w:tcPr>
            <w:tcW w:w="5671" w:type="dxa"/>
            <w:vAlign w:val="bottom"/>
          </w:tcPr>
          <w:p w:rsidRPr="007036F1" w:rsidR="00576B03" w:rsidP="007036F1" w:rsidRDefault="00576B03">
            <w:pPr>
              <w:suppressAutoHyphens/>
              <w:jc w:val="left"/>
            </w:pPr>
            <w:r w:rsidRPr="007036F1">
              <w:t>…</w:t>
            </w:r>
          </w:p>
        </w:tc>
      </w:tr>
      <w:tr w:rsidRPr="007036F1" w:rsidR="00576B03" w:rsidTr="007036F1">
        <w:tc>
          <w:tcPr>
            <w:tcW w:w="3402" w:type="dxa"/>
          </w:tcPr>
          <w:p w:rsidRPr="007036F1" w:rsidR="00576B03" w:rsidP="007036F1" w:rsidRDefault="00576B03">
            <w:pPr>
              <w:suppressAutoHyphens/>
              <w:jc w:val="left"/>
            </w:pPr>
            <w:r w:rsidRPr="007036F1">
              <w:t>Rezultat glasovanja</w:t>
            </w:r>
            <w:r w:rsidRPr="007036F1">
              <w:br/>
              <w:t>(za/proti/vzdržani)</w:t>
            </w:r>
          </w:p>
        </w:tc>
        <w:tc>
          <w:tcPr>
            <w:tcW w:w="5671" w:type="dxa"/>
            <w:vAlign w:val="bottom"/>
          </w:tcPr>
          <w:p w:rsidRPr="007036F1" w:rsidR="00576B03" w:rsidP="007036F1" w:rsidRDefault="00576B03">
            <w:pPr>
              <w:suppressAutoHyphens/>
              <w:jc w:val="left"/>
            </w:pPr>
            <w:r w:rsidRPr="007036F1">
              <w:t>…/…/…</w:t>
            </w:r>
          </w:p>
        </w:tc>
      </w:tr>
    </w:tbl>
    <w:p w:rsidRPr="007036F1" w:rsidR="00576B03" w:rsidP="007036F1" w:rsidRDefault="00576B03">
      <w:pPr>
        <w:suppressAutoHyphens/>
      </w:pPr>
    </w:p>
    <w:p w:rsidRPr="007036F1" w:rsidR="00576B03" w:rsidP="007036F1" w:rsidRDefault="00576B03">
      <w:pPr>
        <w:suppressAutoHyphens/>
      </w:pPr>
      <w:r w:rsidRPr="007036F1">
        <w:br w:type="page"/>
      </w:r>
    </w:p>
    <w:p w:rsidRPr="007036F1" w:rsidR="00576B03" w:rsidP="007036F1" w:rsidRDefault="00576B03">
      <w:pPr>
        <w:pStyle w:val="Heading1"/>
        <w:suppressAutoHyphens/>
      </w:pPr>
      <w:r w:rsidRPr="007036F1">
        <w:rPr>
          <w:b/>
        </w:rPr>
        <w:lastRenderedPageBreak/>
        <w:t>Sklepi in priporočila</w:t>
      </w:r>
    </w:p>
    <w:p w:rsidRPr="007036F1" w:rsidR="00576B03" w:rsidP="007036F1" w:rsidRDefault="00576B03">
      <w:pPr>
        <w:suppressAutoHyphens/>
        <w:rPr>
          <w:iCs/>
        </w:rPr>
      </w:pPr>
    </w:p>
    <w:p w:rsidRPr="007036F1" w:rsidR="00576B03" w:rsidP="007036F1" w:rsidRDefault="00576B03">
      <w:pPr>
        <w:pStyle w:val="Heading2"/>
        <w:suppressAutoHyphens/>
        <w:rPr>
          <w:iCs/>
        </w:rPr>
      </w:pPr>
      <w:r w:rsidRPr="007036F1">
        <w:t>Oblikovanje ustreznih načel in pravil o obdavčitvi digitalnega gospodarstva je postalo temeljna naloga tako za Evropsko unijo kot za druge mednarodne regulatorje, da bi posodobili fiskalne politike ter jih prilagodili sedanjim in prihodnjim potrebam.</w:t>
      </w:r>
    </w:p>
    <w:p w:rsidRPr="007036F1" w:rsidR="00576B03" w:rsidP="007036F1" w:rsidRDefault="00576B03">
      <w:pPr>
        <w:suppressAutoHyphens/>
      </w:pPr>
    </w:p>
    <w:p w:rsidRPr="007036F1" w:rsidR="00576B03" w:rsidP="007036F1" w:rsidRDefault="00576B03">
      <w:pPr>
        <w:pStyle w:val="Heading2"/>
        <w:suppressAutoHyphens/>
        <w:rPr>
          <w:iCs/>
        </w:rPr>
      </w:pPr>
      <w:r w:rsidRPr="007036F1">
        <w:t>Ko bo dosežen mednarodni sporazum o stebru 1 vključujočega okvira OECD/G20 glede prerazporeditve pravic do obdavčitve, EESO predlaga, naj se ustrezna pravila ob usklajevanju in hkrati z drugimi velikimi trgovinskimi partnerji hitro uvedejo v EU.</w:t>
      </w:r>
    </w:p>
    <w:p w:rsidRPr="007036F1" w:rsidR="00576B03" w:rsidP="007036F1" w:rsidRDefault="00576B03">
      <w:pPr>
        <w:suppressAutoHyphens/>
      </w:pPr>
    </w:p>
    <w:p w:rsidRPr="007036F1" w:rsidR="00576B03" w:rsidP="007036F1" w:rsidRDefault="00576B03">
      <w:pPr>
        <w:pStyle w:val="Heading2"/>
        <w:suppressAutoHyphens/>
      </w:pPr>
      <w:r w:rsidRPr="007036F1">
        <w:t>EESO meni, da ima lahko EU pri obdavčitvi digitalnega gospodarstva vodilno vlogo, vendar bi jo morala kot pri stebru 2, ko je šlo za mehanizem preprečevanja erozije davčne osnove, odigrati v okviru m</w:t>
      </w:r>
      <w:r w:rsidRPr="007036F1" w:rsidR="007036F1">
        <w:t>ednarodnega sporazuma OECD/G20.</w:t>
      </w:r>
    </w:p>
    <w:p w:rsidRPr="007036F1" w:rsidR="00576B03" w:rsidP="007036F1" w:rsidRDefault="00576B03">
      <w:pPr>
        <w:pStyle w:val="Heading2"/>
        <w:numPr>
          <w:ilvl w:val="0"/>
          <w:numId w:val="0"/>
        </w:numPr>
        <w:suppressAutoHyphens/>
        <w:ind w:left="567" w:hanging="567"/>
      </w:pPr>
    </w:p>
    <w:p w:rsidRPr="007036F1" w:rsidR="00576B03" w:rsidP="007036F1" w:rsidRDefault="00576B03">
      <w:pPr>
        <w:pStyle w:val="Heading2"/>
        <w:suppressAutoHyphens/>
        <w:rPr>
          <w:iCs/>
        </w:rPr>
      </w:pPr>
      <w:r w:rsidRPr="007036F1">
        <w:t>Po mnenju EESO je ključno, da se stebra 1 in 2 v EU začneta izvajati takoj, ko bo to mogoče, in da se doseže visoka stopnja skladnosti z mednarodnim sporazumom, dogovorjenim na pogajanjih v okviru OECD/G20. Stebra 1 in 2 bi se morala šteti za celovit in medsebojno povezan regulativni sveženj.</w:t>
      </w:r>
    </w:p>
    <w:p w:rsidRPr="007036F1" w:rsidR="00576B03" w:rsidP="007036F1" w:rsidRDefault="00576B03">
      <w:pPr>
        <w:suppressAutoHyphens/>
      </w:pPr>
    </w:p>
    <w:p w:rsidRPr="007036F1" w:rsidR="00576B03" w:rsidP="007036F1" w:rsidRDefault="00576B03">
      <w:pPr>
        <w:pStyle w:val="Heading2"/>
        <w:suppressAutoHyphens/>
        <w:rPr>
          <w:iCs/>
        </w:rPr>
      </w:pPr>
      <w:r w:rsidRPr="007036F1">
        <w:t>EESO ugotavlja, da bi lahko evropska zakonodajna pobuda o obdavčitvi digitalnega gospodarstva zelo koristila notranjemu trgu, saj bi nedvomno vodila do okvira, ki bi bil učinkovitejši od ločenih nacionalnih pobud. Če bi države članice sprejele neusklajena in ločena pravila, bi to pomenilo večjo razdrobljenost v EU, davčno negotovost in oviro za konkurenčnost.</w:t>
      </w:r>
    </w:p>
    <w:p w:rsidRPr="007036F1" w:rsidR="00576B03" w:rsidP="007036F1" w:rsidRDefault="00576B03">
      <w:pPr>
        <w:suppressAutoHyphens/>
      </w:pPr>
    </w:p>
    <w:p w:rsidRPr="007036F1" w:rsidR="00576B03" w:rsidP="007036F1" w:rsidRDefault="00576B03">
      <w:pPr>
        <w:pStyle w:val="Heading2"/>
        <w:suppressAutoHyphens/>
        <w:rPr>
          <w:iCs/>
        </w:rPr>
      </w:pPr>
      <w:r w:rsidRPr="007036F1">
        <w:t>EESO podpira mednarodni sporazum o stebru 1, katerega cilj je vzpostaviti učinkovit davčni sistem, ki bo spoštoval načeli nevtralnosti in enake obravnave in s katerim bo po eni strani mogoče ohraniti potencial digitalnega gospodarstva za inovacije, po drugi strani pa zagotoviti, da bodo visoko digitalizirana podjetja pravično prispevala k nacionalnim proračunom.</w:t>
      </w:r>
    </w:p>
    <w:p w:rsidRPr="007036F1" w:rsidR="00576B03" w:rsidP="007036F1" w:rsidRDefault="00576B03">
      <w:pPr>
        <w:suppressAutoHyphens/>
      </w:pPr>
    </w:p>
    <w:p w:rsidRPr="007036F1" w:rsidR="00576B03" w:rsidP="007036F1" w:rsidRDefault="00576B03">
      <w:pPr>
        <w:pStyle w:val="Heading2"/>
        <w:suppressAutoHyphens/>
        <w:rPr>
          <w:iCs/>
        </w:rPr>
      </w:pPr>
      <w:r w:rsidRPr="007036F1">
        <w:t>EESO poziva, naj mednarodni sporazum o stebru 1 vsebuje čim manj pretirano zapletenih pravil. Njegov namen naj bo doseči preglednost, predvidljivost in upravno poenostavitev z nizkimi stroški zagotavljanja skladnosti. Pretirano zapleten sistem bi lahko omogočil izogibanje novo dogovorjenim pravilom, zaradi česar bi se njihova učinkovitost zmanjšala.</w:t>
      </w:r>
    </w:p>
    <w:p w:rsidRPr="007036F1" w:rsidR="00576B03" w:rsidP="007036F1" w:rsidRDefault="00576B03">
      <w:pPr>
        <w:suppressAutoHyphens/>
      </w:pPr>
    </w:p>
    <w:p w:rsidRPr="007036F1" w:rsidR="00576B03" w:rsidP="007036F1" w:rsidRDefault="00576B03">
      <w:pPr>
        <w:pStyle w:val="Heading2"/>
        <w:suppressAutoHyphens/>
        <w:rPr>
          <w:iCs/>
        </w:rPr>
      </w:pPr>
      <w:r w:rsidRPr="007036F1">
        <w:t>EESO poudarja, da so pravilno zasnovani mednarodni zakoni o obdavčitvi digitalnih podjetij ključni tako za preprečevanje davčnih utaj in izogibanja davkom kot tudi za oblikovanje pravičnega, stabilnega in progresivnega sistema obdavčitve. Ključni so enaki konkurenčni pogoji na področju obdavčitve dobička pravnih oseb, saj so imela v zadnjih letih podjetja možnost izkoriščati posebna davčna pravila v nekaterih državah članicah, zaradi česar se je njihova dejanska davčna stopnja znatno zmanjšala.</w:t>
      </w:r>
    </w:p>
    <w:p w:rsidRPr="007036F1" w:rsidR="00576B03" w:rsidP="007036F1" w:rsidRDefault="00576B03">
      <w:pPr>
        <w:suppressAutoHyphens/>
      </w:pPr>
    </w:p>
    <w:p w:rsidRPr="007036F1" w:rsidR="00576B03" w:rsidP="007036F1" w:rsidRDefault="00576B03">
      <w:pPr>
        <w:pStyle w:val="Heading2"/>
        <w:suppressAutoHyphens/>
        <w:rPr>
          <w:iCs/>
        </w:rPr>
      </w:pPr>
      <w:r w:rsidRPr="007036F1">
        <w:t>EESO meni, da bi bilo treba pri ustreznem regulativnem okviru za obdavčitev digitalnega gospodarstva upoštevati veliko odvisnost od neopredmetenih sredstev, do katere je prišlo zaradi digitalizacije. Podjetja zaradi teh sredstev veliko lažje vzpostavijo poslovne dejavnosti v jurisdikcijah, kjer niso fizično prisotna.</w:t>
      </w:r>
    </w:p>
    <w:p w:rsidRPr="007036F1" w:rsidR="00576B03" w:rsidP="007036F1" w:rsidRDefault="00576B03">
      <w:pPr>
        <w:suppressAutoHyphens/>
      </w:pPr>
    </w:p>
    <w:p w:rsidRPr="007036F1" w:rsidR="00576B03" w:rsidP="007036F1" w:rsidRDefault="00576B03">
      <w:pPr>
        <w:pStyle w:val="Heading2"/>
        <w:suppressAutoHyphens/>
        <w:rPr>
          <w:iCs/>
        </w:rPr>
      </w:pPr>
      <w:r w:rsidRPr="007036F1">
        <w:lastRenderedPageBreak/>
        <w:t>EESO poudarja, da digitalna podjetja za ustvarjanje vrednosti pogosto izkoriščajo podatke uporabnikov. Ta način ustvarjanja vrednosti v obstoječih davčnih sistemih ni zajet, zato ustvarjanje vrednosti in obdavčitev nista usklajena. To vprašanje bi bilo treba ustrezno obravnavati v stebru 1.</w:t>
      </w:r>
    </w:p>
    <w:p w:rsidRPr="007036F1" w:rsidR="00576B03" w:rsidP="007036F1" w:rsidRDefault="00576B03"/>
    <w:p w:rsidRPr="007036F1" w:rsidR="00576B03" w:rsidP="007036F1" w:rsidRDefault="00576B03">
      <w:pPr>
        <w:pStyle w:val="Heading2"/>
        <w:suppressAutoHyphens/>
        <w:rPr>
          <w:iCs/>
        </w:rPr>
      </w:pPr>
      <w:r w:rsidRPr="007036F1">
        <w:t>EESO ponovno poudarja, da je nujno izbrati pristop, s katerim se bomo izognili tveganju dvojne obdavčitve, pa tudi nenamerne neobdavčitve v vseh jurisdikcijah, in čim bolj zmanjšali stroške zagotavljanja skladnosti za evropska podjetja. V zvezi s tem bi bilo treba s sporazumom o stebru 1 in pravilih za njegov prenos uskladiti različne pobude, ki jih države članice že izvajajo, ter preprečiti neskladnosti in luknje v zakonodaji.</w:t>
      </w:r>
    </w:p>
    <w:p w:rsidRPr="007036F1" w:rsidR="00576B03" w:rsidP="007036F1" w:rsidRDefault="00576B03">
      <w:pPr>
        <w:suppressAutoHyphens/>
      </w:pPr>
    </w:p>
    <w:p w:rsidRPr="007036F1" w:rsidR="00576B03" w:rsidP="007036F1" w:rsidRDefault="00576B03">
      <w:pPr>
        <w:pStyle w:val="Heading2"/>
        <w:suppressAutoHyphens/>
        <w:rPr>
          <w:iCs/>
        </w:rPr>
      </w:pPr>
      <w:r w:rsidRPr="007036F1">
        <w:t>EESO iskreno upa, da bo izvedljiv sporazum o stebru 1 na mednarodni ravni in ravni EU dosežen čim prej, in obžaluje omejitve, ki še vedno preprečujejo dokončanje tega pomembnega dokumenta.</w:t>
      </w:r>
    </w:p>
    <w:p w:rsidRPr="007036F1" w:rsidR="00576B03" w:rsidP="007036F1" w:rsidRDefault="00576B03">
      <w:pPr>
        <w:suppressAutoHyphens/>
      </w:pPr>
    </w:p>
    <w:p w:rsidRPr="007036F1" w:rsidR="00576B03" w:rsidP="007036F1" w:rsidRDefault="00576B03">
      <w:pPr>
        <w:pStyle w:val="Heading1"/>
        <w:suppressAutoHyphens/>
      </w:pPr>
      <w:r w:rsidRPr="007036F1">
        <w:rPr>
          <w:b/>
        </w:rPr>
        <w:t>Temeljni okvir</w:t>
      </w:r>
    </w:p>
    <w:p w:rsidRPr="007036F1" w:rsidR="00576B03" w:rsidP="007036F1" w:rsidRDefault="00576B03">
      <w:pPr>
        <w:suppressAutoHyphens/>
      </w:pPr>
    </w:p>
    <w:p w:rsidRPr="007036F1" w:rsidR="00576B03" w:rsidP="007036F1" w:rsidRDefault="00576B03">
      <w:pPr>
        <w:pStyle w:val="Heading2"/>
        <w:suppressAutoHyphens/>
      </w:pPr>
      <w:r w:rsidRPr="007036F1">
        <w:t>Veljavna mednarodna pravila o obdavčitvi dohodkov pravnih oseb temeljijo na načelih, ki so bila oblikovana na začetku dvajsetega stoletja in sčasoma delno prilagojena, vendar v današnjih razmerah ne služijo več svojemu namenu in niso primerna za globalizirano, digitalizirano gospodarstvo. Prihodki od davkov se državam zato ne dodeljujejo pravično, škodljive davčne prakse pa se nadaljujejo, kar negativno vpliva na javne finance in lojalno konkurenco.</w:t>
      </w:r>
    </w:p>
    <w:p w:rsidRPr="007036F1" w:rsidR="00576B03" w:rsidP="007036F1" w:rsidRDefault="00576B03">
      <w:pPr>
        <w:suppressAutoHyphens/>
      </w:pPr>
    </w:p>
    <w:p w:rsidRPr="007036F1" w:rsidR="00576B03" w:rsidP="007036F1" w:rsidRDefault="00576B03">
      <w:pPr>
        <w:pStyle w:val="Heading2"/>
        <w:suppressAutoHyphens/>
      </w:pPr>
      <w:r w:rsidRPr="007036F1">
        <w:t>Glede na to je temeljna naloga tako Evropske unije kot drugih regulatorjev po svetu, da oblikujejo ustrezna načela in pravila o obdavčitvi digitalnega gospodarstva, zato da bi posodobili fiskalne politike ter jih prilagodili sedanjim in prihodnjim potrebam.</w:t>
      </w:r>
    </w:p>
    <w:p w:rsidRPr="007036F1" w:rsidR="00576B03" w:rsidP="007036F1" w:rsidRDefault="00576B03">
      <w:pPr>
        <w:suppressAutoHyphens/>
      </w:pPr>
    </w:p>
    <w:p w:rsidRPr="007036F1" w:rsidR="00576B03" w:rsidP="007036F1" w:rsidRDefault="00576B03">
      <w:pPr>
        <w:pStyle w:val="Heading2"/>
        <w:suppressAutoHyphens/>
      </w:pPr>
      <w:r w:rsidRPr="007036F1">
        <w:t>Vključujoči okvir OECD/G20 za preprečevanje erozije davčne osnove in preusmerjanja dobička temelji na rešitvi z dvema stebroma za obravnavo davčnih izzivov, ki izhajajo iz vse bolj digitaliziranega in globaliziranega gospodarstva.</w:t>
      </w:r>
    </w:p>
    <w:p w:rsidRPr="007036F1" w:rsidR="00576B03" w:rsidP="007036F1" w:rsidRDefault="00576B03">
      <w:pPr>
        <w:suppressAutoHyphens/>
      </w:pPr>
    </w:p>
    <w:p w:rsidRPr="007036F1" w:rsidR="00576B03" w:rsidP="007036F1" w:rsidRDefault="00576B03">
      <w:pPr>
        <w:pStyle w:val="Heading2"/>
        <w:suppressAutoHyphens/>
      </w:pPr>
      <w:r w:rsidRPr="007036F1">
        <w:t>Cilj stebra 1 bo zagotoviti, da bodo dobički in pravice do obdavčitve največjih multinacionalnih podjetij, zlasti digitalnih, pravičneje porazdeljeni med državami, predvsem pa bodo morala multinacionalna podjetja del davka od dohodka plačati tam, kjer so njihovi potrošniki in uporabniki, s čimer bo vzpostavljena povezava med dobičkom in kraji, kjer živijo njihovi uporabniki in potrošniki.</w:t>
      </w:r>
    </w:p>
    <w:p w:rsidRPr="007036F1" w:rsidR="00576B03" w:rsidP="007036F1" w:rsidRDefault="00576B03">
      <w:pPr>
        <w:suppressAutoHyphens/>
      </w:pPr>
    </w:p>
    <w:p w:rsidRPr="007036F1" w:rsidR="00576B03" w:rsidP="007036F1" w:rsidRDefault="00576B03">
      <w:pPr>
        <w:pStyle w:val="Heading2"/>
        <w:suppressAutoHyphens/>
      </w:pPr>
      <w:r w:rsidRPr="007036F1">
        <w:t>Dogovor o prerazporeditvi dobička v okviru stebra 1 vključuje odpravo in mirovanje davka na digitalne storitve ter druge podobne ukrepe, s katerimi se bodo končale trgovinske napetosti, ki jih povzroča nestabilnost mednarodnega davčnega sistema.</w:t>
      </w:r>
    </w:p>
    <w:p w:rsidRPr="007036F1" w:rsidR="00576B03" w:rsidP="007036F1" w:rsidRDefault="00576B03">
      <w:pPr>
        <w:suppressAutoHyphens/>
      </w:pPr>
    </w:p>
    <w:p w:rsidRPr="007036F1" w:rsidR="00576B03" w:rsidP="007036F1" w:rsidRDefault="00576B03">
      <w:pPr>
        <w:pStyle w:val="Heading2"/>
        <w:suppressAutoHyphens/>
      </w:pPr>
      <w:r w:rsidRPr="007036F1">
        <w:t xml:space="preserve">Namen stebra 2 je zagotoviti, da bodo velika multinacionalna podjetja, zlasti digitalna, davek od dohodkov pravnih oseb plačevala po najmanj 15-odstotni dejanski stopnji. Vzpostavljen bo regulativni okvir, ki bo lahko odvračal od preusmerjanja dobička in preprečeval škodljivo davčno konkurenco med jurisdikcijami. S tem bi lahko dejansko odpravili omejitev konkurence glede davčnih stopenj pri dohodkih od pravnih oseb in vzpostavili globalno minimalno davčno stopnjo, </w:t>
      </w:r>
      <w:r w:rsidRPr="007036F1">
        <w:lastRenderedPageBreak/>
        <w:t>ki bi jo države uporabljale za zaščito svojih davčnih osnov. EESO poziva vse države članice, naj hitro dosežejo politični dogovor o teh pravilih, in obžaluje, da končno soglasje še ni bilo doseženo.</w:t>
      </w:r>
    </w:p>
    <w:p w:rsidRPr="007036F1" w:rsidR="00576B03" w:rsidP="007036F1" w:rsidRDefault="00576B03">
      <w:pPr>
        <w:suppressAutoHyphens/>
      </w:pPr>
    </w:p>
    <w:p w:rsidRPr="007036F1" w:rsidR="00576B03" w:rsidP="007036F1" w:rsidRDefault="00576B03">
      <w:pPr>
        <w:pStyle w:val="Heading2"/>
        <w:suppressAutoHyphens/>
      </w:pPr>
      <w:r w:rsidRPr="007036F1">
        <w:t>Na forumu OECD/G20 je bil dosežen mednarodni sporazum o stebru 2 in vključujočem okviru, institucije EU pa so za njegov prenos pripravile predlog direktive, ki ga trenutno obravnava Svet</w:t>
      </w:r>
      <w:r w:rsidRPr="007036F1">
        <w:rPr>
          <w:rStyle w:val="FootnoteReference"/>
        </w:rPr>
        <w:footnoteReference w:id="1"/>
      </w:r>
      <w:r w:rsidRPr="007036F1">
        <w:t>.</w:t>
      </w:r>
    </w:p>
    <w:p w:rsidRPr="007036F1" w:rsidR="00576B03" w:rsidP="007036F1" w:rsidRDefault="00576B03">
      <w:pPr>
        <w:suppressAutoHyphens/>
      </w:pPr>
    </w:p>
    <w:p w:rsidRPr="007036F1" w:rsidR="00576B03" w:rsidP="007036F1" w:rsidRDefault="00576B03">
      <w:pPr>
        <w:pStyle w:val="Heading2"/>
        <w:suppressAutoHyphens/>
      </w:pPr>
      <w:r w:rsidRPr="007036F1">
        <w:t>Skupno mednarodno soglasje o stebru 1 v okviru OECD/G20 se še oblikuje, kar je potrdilo nedavno posvetovanje OECD o tej temi. S posvetovanjem se zbirajo povratne informacije javnosti o osnutku pravil, vendar to ne pomeni, da je bilo doseženo soglasje o vsebini dokumenta</w:t>
      </w:r>
      <w:r w:rsidRPr="007036F1">
        <w:rPr>
          <w:rStyle w:val="FootnoteReference"/>
        </w:rPr>
        <w:footnoteReference w:id="2"/>
      </w:r>
      <w:r w:rsidRPr="007036F1">
        <w:t>.</w:t>
      </w:r>
    </w:p>
    <w:p w:rsidRPr="007036F1" w:rsidR="00576B03" w:rsidP="007036F1" w:rsidRDefault="00576B03">
      <w:pPr>
        <w:suppressAutoHyphens/>
      </w:pPr>
    </w:p>
    <w:p w:rsidRPr="007036F1" w:rsidR="00576B03" w:rsidP="007036F1" w:rsidRDefault="00576B03">
      <w:pPr>
        <w:pStyle w:val="Heading2"/>
        <w:suppressAutoHyphens/>
      </w:pPr>
      <w:r w:rsidRPr="007036F1">
        <w:t>Evropska komisija je leta 2018 objavila zakonodajni predlog o obdavčitvi digitalnega gospodarstva, vendar prizadevanj za njegovo sprejetje ni bilo, predvsem ker ni bilo doseženo široko mednarodno soglasje o pravilih stebra 1.</w:t>
      </w:r>
    </w:p>
    <w:p w:rsidRPr="007036F1" w:rsidR="00576B03" w:rsidP="007036F1" w:rsidRDefault="00576B03">
      <w:pPr>
        <w:suppressAutoHyphens/>
      </w:pPr>
    </w:p>
    <w:p w:rsidRPr="007036F1" w:rsidR="00576B03" w:rsidP="007036F1" w:rsidRDefault="00576B03">
      <w:pPr>
        <w:pStyle w:val="Heading2"/>
        <w:suppressAutoHyphens/>
      </w:pPr>
      <w:r w:rsidRPr="007036F1">
        <w:t>Institucije EU so medtem odobrile akt o digitalnih trgih, ki ureja konkurenčno strukturo digitalnih trgov. EU je v zvezi s tem uporabila izviren in celovit regulativni pristop, drugačen od tistih, ki jih uporabljajo drugi veliki trgovinski sistemi, kot so ZDA, Kitajska in druge države v vzponu.</w:t>
      </w:r>
    </w:p>
    <w:p w:rsidRPr="007036F1" w:rsidR="00576B03" w:rsidP="007036F1" w:rsidRDefault="00576B03">
      <w:pPr>
        <w:suppressAutoHyphens/>
      </w:pPr>
    </w:p>
    <w:p w:rsidRPr="007036F1" w:rsidR="00576B03" w:rsidP="007036F1" w:rsidRDefault="00576B03">
      <w:pPr>
        <w:pStyle w:val="Heading2"/>
        <w:suppressAutoHyphens/>
      </w:pPr>
      <w:bookmarkStart w:name="_Hlk103346746" w:id="1"/>
      <w:r w:rsidRPr="007036F1">
        <w:t>EESO meni, da ima lahko EU po zgledu akta o digitalnih trgih vodilno vlogo tudi pri obdavčitvi digitalnega gospodarstva, vendar bi jo morala kot pri stebru 2 odigrati v okviru mednarodnega sporazuma OECD/G20.</w:t>
      </w:r>
    </w:p>
    <w:bookmarkEnd w:id="1"/>
    <w:p w:rsidRPr="007036F1" w:rsidR="00576B03" w:rsidP="007036F1" w:rsidRDefault="00576B03">
      <w:pPr>
        <w:suppressAutoHyphens/>
      </w:pPr>
    </w:p>
    <w:p w:rsidRPr="007036F1" w:rsidR="00576B03" w:rsidP="007036F1" w:rsidRDefault="00576B03">
      <w:pPr>
        <w:pStyle w:val="Heading1"/>
        <w:suppressAutoHyphens/>
      </w:pPr>
      <w:r w:rsidRPr="007036F1">
        <w:rPr>
          <w:b/>
        </w:rPr>
        <w:t>Splošne ugotovitve</w:t>
      </w:r>
    </w:p>
    <w:p w:rsidRPr="007036F1" w:rsidR="00576B03" w:rsidP="007036F1" w:rsidRDefault="00576B03">
      <w:pPr>
        <w:suppressAutoHyphens/>
      </w:pPr>
    </w:p>
    <w:p w:rsidRPr="007036F1" w:rsidR="00576B03" w:rsidP="007036F1" w:rsidRDefault="00576B03">
      <w:pPr>
        <w:pStyle w:val="Heading2"/>
        <w:suppressAutoHyphens/>
      </w:pPr>
      <w:r w:rsidRPr="007036F1">
        <w:t>EESO je trdno prepričan, da je treba glede na digitalizacijo gospodarstva vsakršno spremembo pravil o porazdelitvi pravic do obdavčitve dobička med državami uskladiti na svetovni ravni z ustreznim globalnim upravljanjem in pravili, da bi bolje izkoristili prednosti globalizacije. Konkretne rešitve je treba zato pripraviti na podlagi obsežnih mednarodnih sporazumov, v katere bo vključenih čim več davčnih jurisdikcij.</w:t>
      </w:r>
      <w:r w:rsidRPr="007036F1">
        <w:rPr>
          <w:color w:val="FF0000"/>
        </w:rPr>
        <w:t xml:space="preserve"> </w:t>
      </w:r>
      <w:r w:rsidRPr="007036F1">
        <w:t>Poleg tega bi bilo treba ustrezno upoštevati različne učinke novih pravil tako na male kot na velike države članice.</w:t>
      </w:r>
    </w:p>
    <w:p w:rsidRPr="007036F1" w:rsidR="00576B03" w:rsidP="007036F1" w:rsidRDefault="00576B03">
      <w:pPr>
        <w:suppressAutoHyphens/>
      </w:pPr>
    </w:p>
    <w:p w:rsidRPr="007036F1" w:rsidR="00576B03" w:rsidP="007036F1" w:rsidRDefault="00576B03">
      <w:pPr>
        <w:pStyle w:val="Heading2"/>
        <w:suppressAutoHyphens/>
      </w:pPr>
      <w:r w:rsidRPr="007036F1">
        <w:t>EESO se zaveda, da se je zaradi digitalizacije in njenih pozitivnih družbenih učinkov gospodarstvo znatno spremenilo in da ima digitalizacija kot orodje za zagotavljanje večjih koristi nacionalnim proračunom in državljanom velik potencial za krepitev vloge davčnih uprav. EU bo morala davčne organe držav članic usklajevati in jim pomagati pri soočanju z novim sistemom v gospodarskem okviru, ki se hitro spreminja.</w:t>
      </w:r>
    </w:p>
    <w:p w:rsidRPr="007036F1" w:rsidR="00576B03" w:rsidP="007036F1" w:rsidRDefault="00576B03">
      <w:pPr>
        <w:suppressAutoHyphens/>
      </w:pPr>
    </w:p>
    <w:p w:rsidRPr="007036F1" w:rsidR="00576B03" w:rsidP="007036F1" w:rsidRDefault="00576B03">
      <w:pPr>
        <w:pStyle w:val="Heading2"/>
        <w:suppressAutoHyphens/>
      </w:pPr>
      <w:r w:rsidRPr="007036F1">
        <w:t xml:space="preserve">EESO se strinja z ugotovitvijo v končnem poročilu OECD/G20 iz leta 2015 o ukrepu 1 za preprečevanje erozije davčne osnove in preusmerjanja dobička, da digitalno gospodarstvo v vedno večji meri postaja gospodarstvo samo. Številna podjetja so z leti dosegla občudovanja vredno stopnjo digitalizacije, med nedavnimi omejitvami gibanja zaradi pandemije COVID-19 pa se je ta proces še pospešil. Takšen trend pogosto povzroči razkorak med velikimi dobički </w:t>
      </w:r>
      <w:r w:rsidRPr="007036F1">
        <w:lastRenderedPageBreak/>
        <w:t>digitalnih platform in fizičnimi kraji, kjer živijo uporabniki in potrošniki, ki plačujejo za njihove storitve. V prihodnosti bo ta pojav morda treba obravnavati tudi v zvezi z obveznostmi na področju socialne varnosti.</w:t>
      </w:r>
    </w:p>
    <w:p w:rsidRPr="007036F1" w:rsidR="00576B03" w:rsidP="007036F1" w:rsidRDefault="00576B03">
      <w:pPr>
        <w:suppressAutoHyphens/>
      </w:pPr>
    </w:p>
    <w:p w:rsidRPr="007036F1" w:rsidR="00576B03" w:rsidP="007036F1" w:rsidRDefault="00576B03">
      <w:pPr>
        <w:pStyle w:val="Heading2"/>
        <w:suppressAutoHyphens/>
      </w:pPr>
      <w:r w:rsidRPr="007036F1">
        <w:t>Ko bo o stebru 1 vključujočega okvira OECD/G20 dosežen mednarodni sporazum, s katerim bo vzpostavljeno ravnovesje med večjim številom doslej izraženih stališč, EESO predlaga, naj se tako kot v primeru stebra 2 tudi steber 1 ob usklajevanju z drugimi velikimi trgovinskimi partnerji hitro uvede v EU in s tem konsolidira notranji trg, kot je določeno v členih 113 do 115 Pogodbe o delovanju Evropske unije.</w:t>
      </w:r>
    </w:p>
    <w:p w:rsidRPr="007036F1" w:rsidR="00576B03" w:rsidP="007036F1" w:rsidRDefault="00576B03">
      <w:pPr>
        <w:suppressAutoHyphens/>
      </w:pPr>
    </w:p>
    <w:p w:rsidRPr="007036F1" w:rsidR="00576B03" w:rsidP="007036F1" w:rsidRDefault="00576B03">
      <w:pPr>
        <w:pStyle w:val="Heading2"/>
        <w:suppressAutoHyphens/>
      </w:pPr>
      <w:r w:rsidRPr="007036F1">
        <w:t>Po mnenju EESO je ključno, da se stebra 1 in 2 v EU začneta izvajati takoj, ko bo to mogoče, in da se doseže visoka stopnja skladnosti z mednarodnim sporazumom, dogovorjenim na pogajanjih v okviru OECD/G20. Stebra 1 in 2 bi se morala šteti za celovit in medsebojno povezan regulativni sveženj, ki ga je treba hitro uvesti v vsej EU.</w:t>
      </w:r>
    </w:p>
    <w:p w:rsidRPr="007036F1" w:rsidR="00576B03" w:rsidP="007036F1" w:rsidRDefault="00576B03">
      <w:pPr>
        <w:suppressAutoHyphens/>
      </w:pPr>
    </w:p>
    <w:p w:rsidRPr="007036F1" w:rsidR="00576B03" w:rsidP="007036F1" w:rsidRDefault="00576B03">
      <w:pPr>
        <w:pStyle w:val="Heading2"/>
        <w:suppressAutoHyphens/>
      </w:pPr>
      <w:r w:rsidRPr="007036F1">
        <w:t>EESO ugotavlja, da bi lahko evropska zakonodajna pobuda o obdavčitvi digitalnega gospodarstva zelo koristila notranjemu trgu, saj bi nedvomno vodila do okvira, ki bi bil učinkovitejši od ločenih nacionalnih pobud. Če bi države članice sprejele neusklajena in ločena pravila v skladu z različnimi načeli in merili obdavčitve, bi to pomenilo večjo razdrobljenost v EU, davčno negotovost in oviro za konkurenčnost. EESO poziva, naj se vzpostavi mehanizem reševanja sporov, ki bo državam članicam omogočal reševanje morebitnih težav.</w:t>
      </w:r>
    </w:p>
    <w:p w:rsidRPr="007036F1" w:rsidR="00576B03" w:rsidP="007036F1" w:rsidRDefault="00576B03">
      <w:pPr>
        <w:suppressAutoHyphens/>
      </w:pPr>
    </w:p>
    <w:p w:rsidRPr="007036F1" w:rsidR="00576B03" w:rsidP="007036F1" w:rsidRDefault="00576B03">
      <w:pPr>
        <w:pStyle w:val="Heading2"/>
        <w:suppressAutoHyphens/>
      </w:pPr>
      <w:r w:rsidRPr="007036F1">
        <w:t>Z mednarodnim sporazumom o stebru 1 bi bilo treba vzpostaviti učinkovit davčni sistem, ki bo spoštoval načeli nevtralnosti in enake obravnave in s katerim bo po eni strani mogoče ohraniti potencial digitalnega gospodarstva za inovacije, po drugi strani pa zagotoviti, da bodo visoko digitalizirana podjetja pravično prispevala k nacionalnim proračunom in družbi.</w:t>
      </w:r>
    </w:p>
    <w:p w:rsidRPr="007036F1" w:rsidR="00576B03" w:rsidP="007036F1" w:rsidRDefault="00576B03">
      <w:pPr>
        <w:suppressAutoHyphens/>
      </w:pPr>
    </w:p>
    <w:p w:rsidRPr="007036F1" w:rsidR="00576B03" w:rsidP="007036F1" w:rsidRDefault="00576B03">
      <w:pPr>
        <w:pStyle w:val="Heading2"/>
        <w:suppressAutoHyphens/>
      </w:pPr>
      <w:r w:rsidRPr="007036F1">
        <w:t>EESO poziva, naj mednarodni sporazum o stebru 1 vsebuje čim manj pretirano zapletenih pravil. Njegov namen naj bo doseči preglednost, predvidljivost in upravno poenostavitev z nizkimi stroški zagotavljanja skladnosti. Pretirano zapleten sistem bi lahko omogočal izogibanje novo dogovorjenim pravilom, zaradi česar bi se njihova učinkovitost zmanjšala.</w:t>
      </w:r>
    </w:p>
    <w:p w:rsidRPr="007036F1" w:rsidR="00576B03" w:rsidP="007036F1" w:rsidRDefault="00576B03">
      <w:pPr>
        <w:suppressAutoHyphens/>
      </w:pPr>
    </w:p>
    <w:p w:rsidRPr="007036F1" w:rsidR="00576B03" w:rsidP="007036F1" w:rsidRDefault="00576B03">
      <w:pPr>
        <w:pStyle w:val="Heading2"/>
        <w:suppressAutoHyphens/>
      </w:pPr>
      <w:r w:rsidRPr="007036F1">
        <w:t>EESO poudarja, da pravilno zasnovani mednarodni zakoni o obdavčitvi digitalnih podjetij prispevajo tako k preprečevanju davčnih utaj in izogibanja davkom kot tudi k oblikovanju pravičnega, progresivnega, stabilnega in učinkovitega sistema obdavčitve.</w:t>
      </w:r>
    </w:p>
    <w:p w:rsidRPr="007036F1" w:rsidR="00576B03" w:rsidP="007036F1" w:rsidRDefault="00576B03">
      <w:pPr>
        <w:suppressAutoHyphens/>
      </w:pPr>
    </w:p>
    <w:p w:rsidRPr="007036F1" w:rsidR="00576B03" w:rsidP="007036F1" w:rsidRDefault="00576B03">
      <w:pPr>
        <w:pStyle w:val="Heading2"/>
        <w:suppressAutoHyphens/>
      </w:pPr>
      <w:r w:rsidRPr="007036F1">
        <w:t>EESO poudarja, da bosta s stebrom 2 uvedeni nacionalni pravili, ki ju bo treba izvajati, natančneje povedano pa bo obsegal:</w:t>
      </w:r>
    </w:p>
    <w:p w:rsidRPr="007036F1" w:rsidR="00576B03" w:rsidP="007036F1" w:rsidRDefault="00576B03">
      <w:pPr>
        <w:suppressAutoHyphens/>
      </w:pPr>
    </w:p>
    <w:p w:rsidRPr="007036F1" w:rsidR="00576B03" w:rsidP="007036F1" w:rsidRDefault="00576B03">
      <w:pPr>
        <w:numPr>
          <w:ilvl w:val="0"/>
          <w:numId w:val="2"/>
        </w:numPr>
        <w:suppressAutoHyphens/>
        <w:ind w:left="993"/>
      </w:pPr>
      <w:r w:rsidRPr="007036F1">
        <w:t>medsebojno povezani nacionalni pravili (globalni pravili za preprečevanje erozije davčne osnove), in sicer (i) pravilo o vključitvi dohodkov (IIR), ki uvaja povrhnji davek za matično družbo zaradi nizko obdavčenih dohodkov subjekta v sestavi, in (ii) pravilo o prenizko obdavčenih plačilih, ki onemogoča odbitke ali zahteva enakovredno prilagoditev, če nizko obdavčeni dohodki subjekta v sestavi niso obdavčeni v skladu s pravilom IIR;</w:t>
      </w:r>
    </w:p>
    <w:p w:rsidRPr="007036F1" w:rsidR="00576B03" w:rsidP="007036F1" w:rsidRDefault="00576B03"/>
    <w:p w:rsidRPr="007036F1" w:rsidR="00576B03" w:rsidP="007036F1" w:rsidRDefault="00576B03">
      <w:pPr>
        <w:numPr>
          <w:ilvl w:val="0"/>
          <w:numId w:val="2"/>
        </w:numPr>
        <w:suppressAutoHyphens/>
        <w:ind w:left="993"/>
      </w:pPr>
      <w:r w:rsidRPr="007036F1">
        <w:lastRenderedPageBreak/>
        <w:t>pravilo, ki temelji na Pogodbi (pravilo o obdavčitvi) in jurisdikcijam vira omogoča, da uvedejo omejeno obdavčitev vira za nekatera plačila povezanih strani, ki so obdavčena pod minimalno stopnjo.</w:t>
      </w:r>
    </w:p>
    <w:p w:rsidRPr="007036F1" w:rsidR="00576B03" w:rsidP="007036F1" w:rsidRDefault="00576B03"/>
    <w:p w:rsidRPr="007036F1" w:rsidR="00576B03" w:rsidP="007036F1" w:rsidRDefault="00576B03">
      <w:pPr>
        <w:pStyle w:val="Heading1"/>
        <w:suppressAutoHyphens/>
      </w:pPr>
      <w:r w:rsidRPr="007036F1">
        <w:rPr>
          <w:b/>
        </w:rPr>
        <w:t>Posebne ugotovitve</w:t>
      </w:r>
    </w:p>
    <w:p w:rsidRPr="007036F1" w:rsidR="00576B03" w:rsidP="007036F1" w:rsidRDefault="00576B03">
      <w:pPr>
        <w:suppressAutoHyphens/>
      </w:pPr>
    </w:p>
    <w:p w:rsidRPr="007036F1" w:rsidR="00576B03" w:rsidP="007036F1" w:rsidRDefault="00576B03">
      <w:pPr>
        <w:pStyle w:val="Heading2"/>
        <w:suppressAutoHyphens/>
      </w:pPr>
      <w:r w:rsidRPr="007036F1">
        <w:t>EESO poudarja, da so enaki konkurenčni pogoji na področju obdavčitve dobička pravnih oseb ključnega pomena. V zadnjih letih so imela posamezna podjetja možnost izkoriščati posebna davčna pravila v nekaterih državah članicah, zaradi česar se je znižala njihova dejanska davčna stopnja. K temu je prispevalo pomanjkanje preglednosti, v več občutljivih primerov pa so bila vpletena multinacionalna podjetja, ki se ukvarjajo z digitalnimi storitvami.</w:t>
      </w:r>
    </w:p>
    <w:p w:rsidRPr="007036F1" w:rsidR="00576B03" w:rsidP="007036F1" w:rsidRDefault="00576B03">
      <w:pPr>
        <w:suppressAutoHyphens/>
      </w:pPr>
    </w:p>
    <w:p w:rsidRPr="007036F1" w:rsidR="00576B03" w:rsidP="007036F1" w:rsidRDefault="00576B03">
      <w:pPr>
        <w:pStyle w:val="Heading2"/>
        <w:suppressAutoHyphens/>
      </w:pPr>
      <w:r w:rsidRPr="007036F1">
        <w:t>EESO meni, da bi bilo treba pri ustreznem regulativnem okviru za obdavčitev digitalnega gospodarstva upoštevati veliko odvisnost od neopredmetenih sredstev, do katere je prišlo zaradi digitalizacije. Podjetja zaradi teh sredstev veliko lažje vzpostavijo pomembne poslovne dejavnosti v jurisdikcijah, kjer niso fizično prisotna. Veljavna mednarodna davčna pravila in načela bi bilo treba prilagoditi temu novemu gospodarskemu okviru.</w:t>
      </w:r>
    </w:p>
    <w:p w:rsidRPr="007036F1" w:rsidR="00576B03" w:rsidP="007036F1" w:rsidRDefault="00576B03">
      <w:pPr>
        <w:suppressAutoHyphens/>
      </w:pPr>
    </w:p>
    <w:p w:rsidRPr="007036F1" w:rsidR="00576B03" w:rsidP="007036F1" w:rsidRDefault="00576B03">
      <w:pPr>
        <w:pStyle w:val="Heading2"/>
        <w:suppressAutoHyphens/>
      </w:pPr>
      <w:r w:rsidRPr="007036F1">
        <w:t>EESO poudarja, da so digitalna podjetja pri ustvarjanju vsebin močno odvisna od neopredmetenih sredstev in da zlasti uporabljajo in izkoriščajo podatke uporabnikov za ustvarjanje vrednosti. Ta način ustvarjanja vrednosti v obstoječih davčnih sistemih ni zajet, zato ustvarjanje vrednosti in obdavčitev nista usklajena. To vprašanje bi bilo treba ustrezno obravnavati v stebru 1.</w:t>
      </w:r>
    </w:p>
    <w:p w:rsidRPr="007036F1" w:rsidR="00576B03" w:rsidP="007036F1" w:rsidRDefault="00576B03">
      <w:pPr>
        <w:suppressAutoHyphens/>
      </w:pPr>
    </w:p>
    <w:p w:rsidRPr="007036F1" w:rsidR="00576B03" w:rsidP="007036F1" w:rsidRDefault="00576B03">
      <w:pPr>
        <w:pStyle w:val="Heading2"/>
        <w:suppressAutoHyphens/>
      </w:pPr>
      <w:r w:rsidRPr="007036F1">
        <w:t>EESO ponovno poudarja, kako pomembno je izbrati pristop, s katerim se bomo izognili tveganju dvojne obdavčitve, pa tudi nenamerne neobdavčitve v vseh jurisdikcijah, in čim bolj zmanjšali stroške zagotavljanja skladnosti za evropska podjetja. V zvezi s tem bi bilo treba s sporazumom o stebru 1 in pravilih za njegov prenos uskladiti različne pobude, ki jih države članice že izvajajo, saj bi te razlike lahko povzročile neskladnosti in luknje v zakonodaji.</w:t>
      </w:r>
    </w:p>
    <w:p w:rsidRPr="007036F1" w:rsidR="00576B03" w:rsidP="007036F1" w:rsidRDefault="00576B03">
      <w:pPr>
        <w:suppressAutoHyphens/>
      </w:pPr>
    </w:p>
    <w:p w:rsidRPr="007036F1" w:rsidR="00576B03" w:rsidP="007036F1" w:rsidRDefault="00576B03">
      <w:pPr>
        <w:pStyle w:val="Heading2"/>
        <w:suppressAutoHyphens/>
      </w:pPr>
      <w:r w:rsidRPr="007036F1">
        <w:t>EESO poudarja, da so med ključnimi dejavniki, ki podpirajo in poganjajo kompleksna prizadevanja za doseganje globalnega soglasja o predlogu OECD o stebru 1, širjenje enostranskih davkov na digitalne storitve in z njim povezane možnosti, da pravico do obdavčitve istega dobička na najrazličnejše in včasih prekrivajoče se načine uveljavlja več jurisdikcij.</w:t>
      </w:r>
    </w:p>
    <w:p w:rsidRPr="007036F1" w:rsidR="00576B03" w:rsidP="007036F1" w:rsidRDefault="00576B03">
      <w:pPr>
        <w:suppressAutoHyphens/>
      </w:pPr>
    </w:p>
    <w:p w:rsidRPr="007036F1" w:rsidR="00576B03" w:rsidP="007036F1" w:rsidRDefault="00576B03">
      <w:pPr>
        <w:pStyle w:val="Heading2"/>
        <w:suppressAutoHyphens/>
      </w:pPr>
      <w:r w:rsidRPr="007036F1">
        <w:t>S stebrom 1 bi bilo zato treba odpraviti nacionalne obdavčitve digitalnih storitev in druge podobne ukrepe za podjetja. To je ključno, da se za steber 1 pridobi soglasje več velikih jurisdikcij in prepreči sprejetje novih pravil, ki bi se lahko v prihodnosti po pravilih Svetovne trgovinske organizacije izpodbijala kot diskriminatorna, kar bi imelo nenamerne posledice za mednarodno trgovino.</w:t>
      </w:r>
    </w:p>
    <w:p w:rsidRPr="007036F1" w:rsidR="00576B03" w:rsidP="007036F1" w:rsidRDefault="00576B03">
      <w:pPr>
        <w:suppressAutoHyphens/>
      </w:pPr>
    </w:p>
    <w:p w:rsidRPr="007036F1" w:rsidR="00576B03" w:rsidP="007036F1" w:rsidRDefault="00576B03">
      <w:pPr>
        <w:pStyle w:val="Heading2"/>
        <w:suppressAutoHyphens/>
      </w:pPr>
      <w:r w:rsidRPr="007036F1">
        <w:t>EESO iskreno upa, da bo izvedljiv mednarodni sporazum o stebru 1 dosežen čim prej, in obžaluje stalne omejitve, ki preprečujejo njegovo dokončanje.</w:t>
      </w:r>
    </w:p>
    <w:p w:rsidRPr="007036F1" w:rsidR="00576B03" w:rsidP="007036F1" w:rsidRDefault="00576B03">
      <w:pPr>
        <w:suppressAutoHyphens/>
      </w:pPr>
    </w:p>
    <w:p w:rsidRPr="007036F1" w:rsidR="00576B03" w:rsidP="007036F1" w:rsidRDefault="00576B03">
      <w:pPr>
        <w:pStyle w:val="Heading2"/>
        <w:suppressAutoHyphens/>
      </w:pPr>
      <w:r w:rsidRPr="007036F1">
        <w:t xml:space="preserve">Ko se bosta stebra 1 in 2 začela izvajati, EESO meni, da bi bilo treba storitve, zagotovljene prek platform, ki jih uporabljajo evropski potrošniki, v celoti vključiti v sistem DDV kot ključen element za obravnavo vprašanja obdavčitve digitalnega gospodarstva. Opozoriti je treba, da </w:t>
      </w:r>
      <w:r w:rsidRPr="007036F1">
        <w:lastRenderedPageBreak/>
        <w:t>uporabniki do storitev digitalne komunikacije in družbenih omrežij dostopajo navidezno brezplačno, zaradi česar se pojavlja vprašanje, kako v teh primerih razumno pobirati DDV. Prihodki od DDV predstavljajo lastna sredstva v proračunu EU, zato EESO meni, da je v davčno osnovo pomembno vključiti tudi digitalne storitve.</w:t>
      </w:r>
    </w:p>
    <w:p w:rsidRPr="007036F1" w:rsidR="00576B03" w:rsidP="007036F1" w:rsidRDefault="00576B03">
      <w:pPr>
        <w:suppressAutoHyphens/>
      </w:pPr>
    </w:p>
    <w:p w:rsidRPr="007036F1" w:rsidR="00576B03" w:rsidP="007036F1" w:rsidRDefault="00576B03">
      <w:pPr>
        <w:pStyle w:val="Heading2"/>
        <w:suppressAutoHyphens/>
      </w:pPr>
      <w:r w:rsidRPr="007036F1">
        <w:t>EESO meni, da je treba pri prerazporeditvi davka od dobička pravnih oseb med države, ki so neto izvoznice, in države, ki so neto uvoznice, pa tudi države proizvajalcev in potrošnikov, doseči razumno ravnovesje, da ne bi ogrozili možnosti držav za izpolnjevanje svojih socialnih in okoljskih ciljev ipd.</w:t>
      </w:r>
    </w:p>
    <w:p w:rsidRPr="007036F1" w:rsidR="00576B03" w:rsidP="007036F1" w:rsidRDefault="00576B03">
      <w:pPr>
        <w:suppressAutoHyphens/>
      </w:pPr>
    </w:p>
    <w:p w:rsidRPr="007036F1" w:rsidR="00576B03" w:rsidP="007036F1" w:rsidRDefault="00576B03">
      <w:pPr>
        <w:pStyle w:val="Heading2"/>
        <w:suppressAutoHyphens/>
      </w:pPr>
      <w:r w:rsidRPr="007036F1">
        <w:t>EESO poudarja, da digitalizacija ne prinaša le izzivov, ampak tudi priložnosti za davčne organe. Velike količine podatkov tretjih oseb, ki so jim na voljo, omogočajo več avtomatiziranega poročanja, zaradi česar obe strani prihranita čas in denar, zbiranje podatkov pa se lahko uporabi tudi za preprečevanje nezadostnega poročanja, utaj in goljufij. Več davčnih uprav uporablja programske rešitve, ki podatke o prodaji zabeležijo v času transakcije in jih lahko neposredno pošljejo davčnim organom, zaradi česar so se prihodki od DDV v nekaterih državah znatno povečali.</w:t>
      </w:r>
    </w:p>
    <w:p w:rsidRPr="007036F1" w:rsidR="00576B03" w:rsidP="007036F1" w:rsidRDefault="00576B03">
      <w:pPr>
        <w:suppressAutoHyphens/>
      </w:pPr>
    </w:p>
    <w:p w:rsidRPr="007036F1" w:rsidR="00576B03" w:rsidP="007036F1" w:rsidRDefault="00576B03">
      <w:pPr>
        <w:pStyle w:val="Heading2"/>
        <w:suppressAutoHyphens/>
      </w:pPr>
      <w:r w:rsidRPr="007036F1">
        <w:t>Za nadaljnje in podrobnejše ugotovitve o posameznih zadevah EESO opozarja na svoje mnenje o zakonodajnem svežnju o preprečevanju pranja denarja</w:t>
      </w:r>
      <w:r w:rsidRPr="007036F1">
        <w:rPr>
          <w:rStyle w:val="FootnoteReference"/>
        </w:rPr>
        <w:footnoteReference w:id="3"/>
      </w:r>
      <w:r w:rsidRPr="007036F1">
        <w:t>, pa tudi na svoji mnenji v zvezi z bojem proti izogibanju davkom z naslovom Obdavčitev podjetij za 21. stoletje</w:t>
      </w:r>
      <w:r w:rsidRPr="007036F1">
        <w:rPr>
          <w:rStyle w:val="FootnoteReference"/>
        </w:rPr>
        <w:footnoteReference w:id="4"/>
      </w:r>
      <w:r w:rsidRPr="007036F1">
        <w:t xml:space="preserve"> in Boj proti uporabi slamnatih subjektov</w:t>
      </w:r>
      <w:r w:rsidRPr="007036F1">
        <w:rPr>
          <w:rStyle w:val="FootnoteReference"/>
        </w:rPr>
        <w:footnoteReference w:id="5"/>
      </w:r>
      <w:r w:rsidRPr="007036F1">
        <w:t>.</w:t>
      </w:r>
    </w:p>
    <w:p w:rsidRPr="007036F1" w:rsidR="00576B03" w:rsidP="007036F1" w:rsidRDefault="00576B03">
      <w:pPr>
        <w:suppressAutoHyphens/>
      </w:pPr>
    </w:p>
    <w:p w:rsidRPr="007036F1" w:rsidR="00576B03" w:rsidP="007036F1" w:rsidRDefault="00576B03">
      <w:pPr>
        <w:suppressAutoHyphens/>
        <w:jc w:val="left"/>
      </w:pPr>
      <w:r w:rsidRPr="007036F1">
        <w:t>V Bruslju, 1. julija 2022</w:t>
      </w:r>
    </w:p>
    <w:p w:rsidRPr="007036F1" w:rsidR="00576B03" w:rsidP="007036F1" w:rsidRDefault="00576B03">
      <w:pPr>
        <w:suppressAutoHyphens/>
        <w:jc w:val="left"/>
      </w:pPr>
    </w:p>
    <w:p w:rsidRPr="007036F1" w:rsidR="00576B03" w:rsidP="007036F1" w:rsidRDefault="00576B03">
      <w:pPr>
        <w:suppressAutoHyphens/>
        <w:jc w:val="left"/>
      </w:pPr>
    </w:p>
    <w:p w:rsidRPr="007036F1" w:rsidR="00576B03" w:rsidP="007036F1" w:rsidRDefault="00576B03">
      <w:pPr>
        <w:suppressAutoHyphens/>
        <w:jc w:val="left"/>
      </w:pPr>
    </w:p>
    <w:p w:rsidRPr="007036F1" w:rsidR="00576B03" w:rsidP="007036F1" w:rsidRDefault="00576B03">
      <w:pPr>
        <w:suppressAutoHyphens/>
        <w:jc w:val="left"/>
      </w:pPr>
    </w:p>
    <w:p w:rsidRPr="007036F1" w:rsidR="00576B03" w:rsidP="007036F1" w:rsidRDefault="00576B03">
      <w:pPr>
        <w:suppressAutoHyphens/>
        <w:jc w:val="left"/>
      </w:pPr>
      <w:r w:rsidRPr="007036F1">
        <w:t xml:space="preserve">Stefano </w:t>
      </w:r>
      <w:r w:rsidRPr="007036F1" w:rsidR="007036F1">
        <w:t>PALMIERI</w:t>
      </w:r>
      <w:r w:rsidRPr="007036F1" w:rsidR="007036F1">
        <w:br/>
      </w:r>
      <w:r w:rsidRPr="007036F1">
        <w:t>predsednik strokovne skupine za ekonomsko in monetarno unijo ter ekonomsko in socialno kohezijo</w:t>
      </w:r>
    </w:p>
    <w:p w:rsidRPr="007036F1" w:rsidR="007036F1" w:rsidP="007036F1" w:rsidRDefault="007036F1">
      <w:pPr>
        <w:suppressAutoHyphens/>
        <w:jc w:val="left"/>
      </w:pPr>
    </w:p>
    <w:p w:rsidRPr="007036F1" w:rsidR="007036F1" w:rsidP="007036F1" w:rsidRDefault="007036F1">
      <w:pPr>
        <w:suppressAutoHyphens/>
        <w:overflowPunct w:val="0"/>
        <w:autoSpaceDE w:val="0"/>
        <w:autoSpaceDN w:val="0"/>
        <w:adjustRightInd w:val="0"/>
        <w:jc w:val="center"/>
        <w:textAlignment w:val="baseline"/>
      </w:pPr>
      <w:r w:rsidRPr="007036F1">
        <w:t>_____________</w:t>
      </w:r>
    </w:p>
    <w:p w:rsidRPr="007036F1" w:rsidR="007036F1" w:rsidP="007036F1" w:rsidRDefault="007036F1">
      <w:pPr>
        <w:suppressAutoHyphens/>
      </w:pPr>
    </w:p>
    <w:sectPr w:rsidRPr="007036F1" w:rsidR="007036F1" w:rsidSect="00140315">
      <w:headerReference w:type="even" r:id="rId10"/>
      <w:headerReference w:type="default" r:id="rId11"/>
      <w:footerReference w:type="even" r:id="rId12"/>
      <w:footerReference w:type="default" r:id="rId13"/>
      <w:headerReference w:type="first" r:id="rId14"/>
      <w:footerReference w:type="first" r:id="rId1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B03" w:rsidRDefault="00576B03">
      <w:r>
        <w:separator/>
      </w:r>
    </w:p>
  </w:endnote>
  <w:endnote w:type="continuationSeparator" w:id="0">
    <w:p w:rsidR="00576B03" w:rsidRDefault="0057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B03" w:rsidRPr="00140315" w:rsidRDefault="00576B03" w:rsidP="00140315">
    <w:pPr>
      <w:pStyle w:val="Footer"/>
    </w:pPr>
    <w:r>
      <w:t xml:space="preserve">ECO/587 – EESC-2022-02060-00-00-AS-TRA (EN) </w:t>
    </w:r>
    <w:r>
      <w:fldChar w:fldCharType="begin"/>
    </w:r>
    <w:r>
      <w:instrText xml:space="preserve"> PAGE  \* Arabic  \* MERGEFORMAT </w:instrText>
    </w:r>
    <w:r>
      <w:fldChar w:fldCharType="separate"/>
    </w:r>
    <w:r w:rsidR="00A2379F">
      <w:rPr>
        <w:noProof/>
      </w:rPr>
      <w:t>1</w:t>
    </w:r>
    <w:r>
      <w:fldChar w:fldCharType="end"/>
    </w:r>
    <w:r>
      <w:t>/</w:t>
    </w:r>
    <w:r>
      <w:fldChar w:fldCharType="begin"/>
    </w:r>
    <w:r>
      <w:instrText xml:space="preserve"> NUMPAGES </w:instrText>
    </w:r>
    <w:r>
      <w:fldChar w:fldCharType="separate"/>
    </w:r>
    <w:r w:rsidR="00A2379F">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4A" w:rsidRPr="00140315" w:rsidRDefault="00BE7511" w:rsidP="00140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4A" w:rsidRPr="00140315" w:rsidRDefault="00BE7511" w:rsidP="00140315">
    <w:pPr>
      <w:pStyle w:val="Footer"/>
    </w:pPr>
    <w:r>
      <w:t xml:space="preserve">ECO/587 – EESC-2022-02060-00-00-AS-TRA (EN) </w:t>
    </w:r>
    <w:r>
      <w:fldChar w:fldCharType="begin"/>
    </w:r>
    <w:r>
      <w:instrText xml:space="preserve"> PAGE  \* Arabic  \* MERGEFORMAT </w:instrText>
    </w:r>
    <w:r>
      <w:fldChar w:fldCharType="separate"/>
    </w:r>
    <w:r w:rsidR="00A2379F">
      <w:rPr>
        <w:noProof/>
      </w:rPr>
      <w:t>6</w:t>
    </w:r>
    <w:r>
      <w:fldChar w:fldCharType="end"/>
    </w:r>
    <w:r>
      <w:t>/</w:t>
    </w:r>
    <w:r>
      <w:fldChar w:fldCharType="begin"/>
    </w:r>
    <w:r>
      <w:instrText xml:space="preserve"> NUMPAGES </w:instrText>
    </w:r>
    <w:r>
      <w:fldChar w:fldCharType="separate"/>
    </w:r>
    <w:r w:rsidR="00A2379F">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4A" w:rsidRPr="00140315" w:rsidRDefault="00BE7511" w:rsidP="0014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B03" w:rsidRDefault="00576B03">
      <w:r>
        <w:separator/>
      </w:r>
    </w:p>
  </w:footnote>
  <w:footnote w:type="continuationSeparator" w:id="0">
    <w:p w:rsidR="00576B03" w:rsidRDefault="00576B03">
      <w:r>
        <w:continuationSeparator/>
      </w:r>
    </w:p>
  </w:footnote>
  <w:footnote w:id="1">
    <w:p w:rsidR="00576B03" w:rsidRPr="00701B52" w:rsidRDefault="00576B03" w:rsidP="00576B03">
      <w:pPr>
        <w:pStyle w:val="FootnoteText"/>
      </w:pPr>
      <w:r>
        <w:rPr>
          <w:rStyle w:val="FootnoteReference"/>
        </w:rPr>
        <w:footnoteRef/>
      </w:r>
      <w:r>
        <w:tab/>
        <w:t xml:space="preserve">Glej mnenje EESO o </w:t>
      </w:r>
      <w:hyperlink r:id="rId1" w:history="1">
        <w:r>
          <w:rPr>
            <w:rStyle w:val="Hyperlink"/>
            <w:i/>
          </w:rPr>
          <w:t>minimalni dejanski obdavčitvi podjetij</w:t>
        </w:r>
      </w:hyperlink>
      <w:r>
        <w:t xml:space="preserve"> (še ni objavljeno).</w:t>
      </w:r>
    </w:p>
  </w:footnote>
  <w:footnote w:id="2">
    <w:p w:rsidR="00576B03" w:rsidRPr="00701B52" w:rsidRDefault="00576B03" w:rsidP="00576B03">
      <w:pPr>
        <w:pStyle w:val="FootnoteText"/>
      </w:pPr>
      <w:r>
        <w:rPr>
          <w:rStyle w:val="FootnoteReference"/>
        </w:rPr>
        <w:footnoteRef/>
      </w:r>
      <w:r>
        <w:tab/>
      </w:r>
      <w:hyperlink r:id="rId2" w:history="1">
        <w:r>
          <w:rPr>
            <w:rStyle w:val="Hyperlink"/>
          </w:rPr>
          <w:t>Posvetovanje OECD o osnutku pravil o neksusu in izvoru prihodkov v stebru 1</w:t>
        </w:r>
      </w:hyperlink>
      <w:r>
        <w:t xml:space="preserve"> – del A, 4. februar 2022.</w:t>
      </w:r>
    </w:p>
  </w:footnote>
  <w:footnote w:id="3">
    <w:p w:rsidR="00576B03" w:rsidRPr="006A5856" w:rsidRDefault="00576B03" w:rsidP="00576B03">
      <w:pPr>
        <w:tabs>
          <w:tab w:val="left" w:pos="567"/>
        </w:tabs>
        <w:spacing w:line="240" w:lineRule="auto"/>
        <w:rPr>
          <w:b/>
          <w:sz w:val="16"/>
          <w:szCs w:val="16"/>
        </w:rPr>
      </w:pPr>
      <w:r>
        <w:rPr>
          <w:rStyle w:val="FootnoteReference"/>
        </w:rPr>
        <w:footnoteRef/>
      </w:r>
      <w:r>
        <w:tab/>
      </w:r>
      <w:r>
        <w:rPr>
          <w:sz w:val="16"/>
        </w:rPr>
        <w:t xml:space="preserve">Mnenje EESO o </w:t>
      </w:r>
      <w:r>
        <w:rPr>
          <w:i/>
          <w:sz w:val="16"/>
        </w:rPr>
        <w:t>zakonodajnem svežnju o preprečevanju pranja denarja</w:t>
      </w:r>
      <w:r>
        <w:t xml:space="preserve">, </w:t>
      </w:r>
      <w:hyperlink r:id="rId3" w:history="1">
        <w:r>
          <w:rPr>
            <w:rStyle w:val="Hyperlink"/>
            <w:sz w:val="16"/>
          </w:rPr>
          <w:t>UL C 152, 6.4.2022, str. 89</w:t>
        </w:r>
      </w:hyperlink>
      <w:r>
        <w:t>.</w:t>
      </w:r>
    </w:p>
  </w:footnote>
  <w:footnote w:id="4">
    <w:p w:rsidR="00576B03" w:rsidRPr="00701B52" w:rsidRDefault="00576B03" w:rsidP="00576B03">
      <w:pPr>
        <w:pStyle w:val="FootnoteText"/>
        <w:tabs>
          <w:tab w:val="left" w:pos="567"/>
        </w:tabs>
        <w:spacing w:after="0"/>
        <w:ind w:left="0" w:firstLine="0"/>
      </w:pPr>
      <w:r>
        <w:rPr>
          <w:rStyle w:val="FootnoteReference"/>
        </w:rPr>
        <w:footnoteRef/>
      </w:r>
      <w:r>
        <w:tab/>
        <w:t xml:space="preserve">Mnenje EESO o </w:t>
      </w:r>
      <w:hyperlink r:id="rId4" w:history="1">
        <w:r>
          <w:rPr>
            <w:rStyle w:val="Hyperlink"/>
            <w:i/>
          </w:rPr>
          <w:t>obdavčitvi podjetij za 21. stoletje</w:t>
        </w:r>
      </w:hyperlink>
      <w:r>
        <w:t xml:space="preserve"> (še ni objavljeno).</w:t>
      </w:r>
    </w:p>
  </w:footnote>
  <w:footnote w:id="5">
    <w:p w:rsidR="00576B03" w:rsidRPr="00635B1C" w:rsidRDefault="00576B03" w:rsidP="00576B03">
      <w:pPr>
        <w:pStyle w:val="FootnoteText"/>
        <w:tabs>
          <w:tab w:val="left" w:pos="567"/>
        </w:tabs>
        <w:spacing w:after="0"/>
        <w:ind w:left="709" w:hanging="709"/>
        <w:rPr>
          <w:szCs w:val="16"/>
        </w:rPr>
      </w:pPr>
      <w:r>
        <w:rPr>
          <w:rStyle w:val="FootnoteReference"/>
        </w:rPr>
        <w:footnoteRef/>
      </w:r>
      <w:r>
        <w:tab/>
        <w:t xml:space="preserve">Mnenje EESO o </w:t>
      </w:r>
      <w:hyperlink r:id="rId5" w:history="1">
        <w:r>
          <w:rPr>
            <w:rStyle w:val="Hyperlink"/>
            <w:i/>
          </w:rPr>
          <w:t>boju proti uporabi slamnatih subjektov</w:t>
        </w:r>
      </w:hyperlink>
      <w:r>
        <w:t xml:space="preserve"> (še ni objavljeno).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4A" w:rsidRPr="00140315" w:rsidRDefault="00BE7511" w:rsidP="00140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4A" w:rsidRPr="00140315" w:rsidRDefault="00BE7511" w:rsidP="00140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4A" w:rsidRPr="00140315" w:rsidRDefault="00BE7511" w:rsidP="00140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B516304"/>
    <w:multiLevelType w:val="hybridMultilevel"/>
    <w:tmpl w:val="DA4AD5A6"/>
    <w:lvl w:ilvl="0" w:tplc="FAA2C70A">
      <w:start w:val="1"/>
      <w:numFmt w:val="upperLetter"/>
      <w:lvlText w:val="%1."/>
      <w:lvlJc w:val="left"/>
      <w:pPr>
        <w:ind w:left="1287" w:hanging="360"/>
      </w:pPr>
      <w:rPr>
        <w:rFonts w:ascii="Times New Roman" w:hAnsi="Times New Roman" w:hint="default"/>
        <w:b w:val="0"/>
        <w:i w:val="0"/>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03"/>
    <w:rsid w:val="00005DE0"/>
    <w:rsid w:val="00474E33"/>
    <w:rsid w:val="00525110"/>
    <w:rsid w:val="00576B03"/>
    <w:rsid w:val="007036F1"/>
    <w:rsid w:val="00815995"/>
    <w:rsid w:val="008B2610"/>
    <w:rsid w:val="009441C7"/>
    <w:rsid w:val="009A6695"/>
    <w:rsid w:val="00A2379F"/>
    <w:rsid w:val="00A91001"/>
    <w:rsid w:val="00BE33B4"/>
    <w:rsid w:val="00D01AED"/>
    <w:rsid w:val="00F443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16F35"/>
  <w15:docId w15:val="{EB9860E3-448A-4146-8C76-A4A91FF7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B03"/>
    <w:rPr>
      <w:lang w:val="sl-SI"/>
    </w:rPr>
  </w:style>
  <w:style w:type="paragraph" w:styleId="Heading1">
    <w:name w:val="heading 1"/>
    <w:basedOn w:val="Normal"/>
    <w:next w:val="Normal"/>
    <w:link w:val="Heading1Char"/>
    <w:qFormat/>
    <w:rsid w:val="00576B03"/>
    <w:pPr>
      <w:numPr>
        <w:numId w:val="1"/>
      </w:numPr>
      <w:ind w:left="567" w:hanging="567"/>
      <w:outlineLvl w:val="0"/>
    </w:pPr>
    <w:rPr>
      <w:kern w:val="28"/>
    </w:rPr>
  </w:style>
  <w:style w:type="paragraph" w:styleId="Heading2">
    <w:name w:val="heading 2"/>
    <w:basedOn w:val="Normal"/>
    <w:next w:val="Normal"/>
    <w:link w:val="Heading2Char"/>
    <w:qFormat/>
    <w:rsid w:val="00576B03"/>
    <w:pPr>
      <w:numPr>
        <w:ilvl w:val="1"/>
        <w:numId w:val="1"/>
      </w:numPr>
      <w:ind w:left="567" w:hanging="567"/>
      <w:outlineLvl w:val="1"/>
    </w:pPr>
  </w:style>
  <w:style w:type="paragraph" w:styleId="Heading3">
    <w:name w:val="heading 3"/>
    <w:basedOn w:val="Normal"/>
    <w:next w:val="Normal"/>
    <w:qFormat/>
    <w:rsid w:val="00576B03"/>
    <w:pPr>
      <w:numPr>
        <w:ilvl w:val="2"/>
        <w:numId w:val="1"/>
      </w:numPr>
      <w:ind w:left="567" w:hanging="567"/>
      <w:outlineLvl w:val="2"/>
    </w:pPr>
  </w:style>
  <w:style w:type="paragraph" w:styleId="Heading4">
    <w:name w:val="heading 4"/>
    <w:basedOn w:val="Normal"/>
    <w:next w:val="Normal"/>
    <w:qFormat/>
    <w:rsid w:val="00576B03"/>
    <w:pPr>
      <w:numPr>
        <w:ilvl w:val="3"/>
        <w:numId w:val="1"/>
      </w:numPr>
      <w:ind w:left="567" w:hanging="567"/>
      <w:outlineLvl w:val="3"/>
    </w:pPr>
  </w:style>
  <w:style w:type="paragraph" w:styleId="Heading5">
    <w:name w:val="heading 5"/>
    <w:basedOn w:val="Normal"/>
    <w:next w:val="Normal"/>
    <w:qFormat/>
    <w:rsid w:val="00576B03"/>
    <w:pPr>
      <w:numPr>
        <w:ilvl w:val="4"/>
        <w:numId w:val="1"/>
      </w:numPr>
      <w:ind w:left="567" w:hanging="567"/>
      <w:outlineLvl w:val="4"/>
    </w:pPr>
  </w:style>
  <w:style w:type="paragraph" w:styleId="Heading6">
    <w:name w:val="heading 6"/>
    <w:basedOn w:val="Normal"/>
    <w:next w:val="Normal"/>
    <w:qFormat/>
    <w:rsid w:val="00576B03"/>
    <w:pPr>
      <w:numPr>
        <w:ilvl w:val="5"/>
        <w:numId w:val="1"/>
      </w:numPr>
      <w:ind w:left="567" w:hanging="567"/>
      <w:outlineLvl w:val="5"/>
    </w:pPr>
  </w:style>
  <w:style w:type="paragraph" w:styleId="Heading7">
    <w:name w:val="heading 7"/>
    <w:basedOn w:val="Normal"/>
    <w:next w:val="Normal"/>
    <w:qFormat/>
    <w:rsid w:val="00576B03"/>
    <w:pPr>
      <w:numPr>
        <w:ilvl w:val="6"/>
        <w:numId w:val="1"/>
      </w:numPr>
      <w:ind w:left="567" w:hanging="567"/>
      <w:outlineLvl w:val="6"/>
    </w:pPr>
  </w:style>
  <w:style w:type="paragraph" w:styleId="Heading8">
    <w:name w:val="heading 8"/>
    <w:basedOn w:val="Normal"/>
    <w:next w:val="Normal"/>
    <w:qFormat/>
    <w:rsid w:val="00576B03"/>
    <w:pPr>
      <w:numPr>
        <w:ilvl w:val="7"/>
        <w:numId w:val="1"/>
      </w:numPr>
      <w:ind w:left="567" w:hanging="567"/>
      <w:outlineLvl w:val="7"/>
    </w:pPr>
  </w:style>
  <w:style w:type="paragraph" w:styleId="Heading9">
    <w:name w:val="heading 9"/>
    <w:basedOn w:val="Normal"/>
    <w:next w:val="Normal"/>
    <w:qFormat/>
    <w:rsid w:val="00576B03"/>
    <w:pPr>
      <w:numPr>
        <w:ilvl w:val="8"/>
        <w:numId w:val="1"/>
      </w:numPr>
      <w:ind w:left="567" w:hanging="567"/>
      <w:outlineLvl w:val="8"/>
    </w:pPr>
  </w:style>
  <w:style w:type="character" w:default="1" w:styleId="DefaultParagraphFont">
    <w:name w:val="Default Paragraph Font"/>
    <w:uiPriority w:val="1"/>
    <w:semiHidden/>
    <w:unhideWhenUsed/>
    <w:rsid w:val="00576B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6B03"/>
  </w:style>
  <w:style w:type="paragraph" w:styleId="Footer">
    <w:name w:val="footer"/>
    <w:basedOn w:val="Normal"/>
    <w:link w:val="FooterChar"/>
    <w:qFormat/>
    <w:rsid w:val="00576B03"/>
  </w:style>
  <w:style w:type="paragraph" w:styleId="FootnoteText">
    <w:name w:val="footnote text"/>
    <w:basedOn w:val="Normal"/>
    <w:link w:val="FootnoteTextChar"/>
    <w:qFormat/>
    <w:rsid w:val="00576B03"/>
    <w:pPr>
      <w:keepLines/>
      <w:spacing w:after="60" w:line="240" w:lineRule="auto"/>
      <w:ind w:left="567" w:hanging="567"/>
    </w:pPr>
    <w:rPr>
      <w:sz w:val="16"/>
    </w:rPr>
  </w:style>
  <w:style w:type="paragraph" w:styleId="Header">
    <w:name w:val="header"/>
    <w:basedOn w:val="Normal"/>
    <w:link w:val="HeaderChar"/>
    <w:qFormat/>
    <w:rsid w:val="00576B03"/>
  </w:style>
  <w:style w:type="paragraph" w:customStyle="1" w:styleId="quotes">
    <w:name w:val="quotes"/>
    <w:basedOn w:val="Normal"/>
    <w:next w:val="Normal"/>
    <w:rsid w:val="00576B03"/>
    <w:pPr>
      <w:ind w:left="720"/>
    </w:pPr>
    <w:rPr>
      <w:i/>
    </w:rPr>
  </w:style>
  <w:style w:type="character" w:styleId="FootnoteReference">
    <w:name w:val="footnote reference"/>
    <w:basedOn w:val="DefaultParagraphFont"/>
    <w:unhideWhenUsed/>
    <w:qFormat/>
    <w:rsid w:val="00576B03"/>
    <w:rPr>
      <w:sz w:val="24"/>
      <w:vertAlign w:val="superscript"/>
    </w:rPr>
  </w:style>
  <w:style w:type="character" w:customStyle="1" w:styleId="Heading1Char">
    <w:name w:val="Heading 1 Char"/>
    <w:basedOn w:val="DefaultParagraphFont"/>
    <w:link w:val="Heading1"/>
    <w:locked/>
    <w:rsid w:val="00576B03"/>
    <w:rPr>
      <w:kern w:val="28"/>
    </w:rPr>
  </w:style>
  <w:style w:type="character" w:customStyle="1" w:styleId="Heading2Char">
    <w:name w:val="Heading 2 Char"/>
    <w:basedOn w:val="DefaultParagraphFont"/>
    <w:link w:val="Heading2"/>
    <w:locked/>
    <w:rsid w:val="00576B03"/>
  </w:style>
  <w:style w:type="character" w:customStyle="1" w:styleId="FooterChar">
    <w:name w:val="Footer Char"/>
    <w:basedOn w:val="DefaultParagraphFont"/>
    <w:link w:val="Footer"/>
    <w:locked/>
    <w:rsid w:val="00576B03"/>
  </w:style>
  <w:style w:type="character" w:customStyle="1" w:styleId="FootnoteTextChar">
    <w:name w:val="Footnote Text Char"/>
    <w:basedOn w:val="DefaultParagraphFont"/>
    <w:link w:val="FootnoteText"/>
    <w:locked/>
    <w:rsid w:val="00576B03"/>
    <w:rPr>
      <w:sz w:val="16"/>
    </w:rPr>
  </w:style>
  <w:style w:type="character" w:customStyle="1" w:styleId="HeaderChar">
    <w:name w:val="Header Char"/>
    <w:basedOn w:val="DefaultParagraphFont"/>
    <w:link w:val="Header"/>
    <w:locked/>
    <w:rsid w:val="00576B03"/>
  </w:style>
  <w:style w:type="character" w:styleId="Hyperlink">
    <w:name w:val="Hyperlink"/>
    <w:basedOn w:val="DefaultParagraphFont"/>
    <w:uiPriority w:val="99"/>
    <w:rsid w:val="00576B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eesc.europa.eu" TargetMode="Externa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OJ:C:2022:152:SOM:SL:HTML" TargetMode="External"/><Relationship Id="rId2" Type="http://schemas.openxmlformats.org/officeDocument/2006/relationships/hyperlink" Target="https://www.oecd.org/tax/beps/public-consultation-document-pillar-one-amount-a-nexus-revenue-sourcing.pdf" TargetMode="External"/><Relationship Id="rId1" Type="http://schemas.openxmlformats.org/officeDocument/2006/relationships/hyperlink" Target="https://www.eesc.europa.eu/sl/our-work/opinions-information-reports/opinions/minimum-effective-taxation-companies" TargetMode="External"/><Relationship Id="rId5" Type="http://schemas.openxmlformats.org/officeDocument/2006/relationships/hyperlink" Target="https://www.eesc.europa.eu/sl/our-work/opinions-information-reports/opinions/fight-use-shell-entities" TargetMode="External"/><Relationship Id="rId4" Type="http://schemas.openxmlformats.org/officeDocument/2006/relationships/hyperlink" Target="https://www.eesc.europa.eu/sl/our-work/opinions-information-reports/opinions/business-taxation-21st-cen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P6FJPSUHKDC2-288331576-5587</_dlc_DocId>
    <_dlc_DocIdUrl xmlns="1299d781-265f-4ceb-999e-e1eca3df2c90">
      <Url>http://dm/eesc/2022/_layouts/15/DocIdRedir.aspx?ID=P6FJPSUHKDC2-288331576-5587</Url>
      <Description>P6FJPSUHKDC2-288331576-5587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1299d781-265f-4ceb-999e-e1eca3df2c9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2022-07-05T12:00:00+00:00</ProductionDate>
    <DocumentNumber xmlns="4a7f0de2-9719-4c76-97f8-3d69024ce342">2060</DocumentNumber>
    <FicheYear xmlns="1299d781-265f-4ceb-999e-e1eca3df2c90" xsi:nil="true"/>
    <DocumentVersion xmlns="1299d781-265f-4ceb-999e-e1eca3df2c90">0</DocumentVersion>
    <DossierNumber xmlns="1299d781-265f-4ceb-999e-e1eca3df2c90">587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2022-07-13T12:00:00+00:00</MeetingDate>
    <TaxCatchAll xmlns="1299d781-265f-4ceb-999e-e1eca3df2c90">
      <Value>81</Value>
      <Value>63</Value>
      <Value>146</Value>
      <Value>55</Value>
      <Value>54</Value>
      <Value>51</Value>
      <Value>46</Value>
      <Value>45</Value>
      <Value>44</Value>
      <Value>43</Value>
      <Value>42</Value>
      <Value>41</Value>
      <Value>40</Value>
      <Value>38</Value>
      <Value>37</Value>
      <Value>36</Value>
      <Value>35</Value>
      <Value>34</Value>
      <Value>33</Value>
      <Value>32</Value>
      <Value>31</Value>
      <Value>30</Value>
      <Value>29</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Rapporteur xmlns="1299d781-265f-4ceb-999e-e1eca3df2c90">DANDEA &amp; RIZZO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8422</FicheNumber>
    <OriginalSender xmlns="1299d781-265f-4ceb-999e-e1eca3df2c90">
      <UserInfo>
        <DisplayName>Sinko Borut</DisplayName>
        <AccountId>1677</AccountId>
        <AccountType/>
      </UserInfo>
    </OriginalSender>
    <DocumentPart xmlns="1299d781-265f-4ceb-999e-e1eca3df2c90">0</DocumentPart>
    <AdoptionDate xmlns="1299d781-265f-4ceb-999e-e1eca3df2c90" xsi:nil="true"/>
    <RequestingService xmlns="1299d781-265f-4ceb-999e-e1eca3df2c90">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6" ma:contentTypeDescription="Defines the documents for Document Manager V2" ma:contentTypeScope="" ma:versionID="50fee0a8164cec2d55a206abb6706ba4">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f03c4ed5b68a5dc5b95d1c15a089514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FE04F-8BFD-46FB-8A1B-04B968526016}"/>
</file>

<file path=customXml/itemProps2.xml><?xml version="1.0" encoding="utf-8"?>
<ds:datastoreItem xmlns:ds="http://schemas.openxmlformats.org/officeDocument/2006/customXml" ds:itemID="{2847DDE2-0C07-4BE0-9093-BA3EBD50B7B5}"/>
</file>

<file path=customXml/itemProps3.xml><?xml version="1.0" encoding="utf-8"?>
<ds:datastoreItem xmlns:ds="http://schemas.openxmlformats.org/officeDocument/2006/customXml" ds:itemID="{46B07498-E627-4684-97CE-1B94EF50F3A1}"/>
</file>

<file path=customXml/itemProps4.xml><?xml version="1.0" encoding="utf-8"?>
<ds:datastoreItem xmlns:ds="http://schemas.openxmlformats.org/officeDocument/2006/customXml" ds:itemID="{96A07375-1D07-46A7-B765-8C4E483F8E7C}"/>
</file>

<file path=docProps/app.xml><?xml version="1.0" encoding="utf-8"?>
<Properties xmlns="http://schemas.openxmlformats.org/officeDocument/2006/extended-properties" xmlns:vt="http://schemas.openxmlformats.org/officeDocument/2006/docPropsVTypes">
  <Template>Normal.dotm</Template>
  <TotalTime>3</TotalTime>
  <Pages>8</Pages>
  <Words>2537</Words>
  <Characters>14916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Obdavčitev digitalnega gospodarstva</dc:title>
  <dc:subject>AS</dc:subject>
  <dc:creator/>
  <cp:keywords>EESC-2022-02060-00-00-AS-TRA-EN</cp:keywords>
  <dc:description>Rapporteur: DANDEA &amp; RIZZO - Original language: EN - Date of document: 05. 07. 2022 - Date of meeting: 30. 13. 2022 14:30 - External documents:  - Administrator: M. SOOSAAR Jüri</dc:description>
  <cp:lastModifiedBy/>
  <cp:revision>5</cp:revision>
  <dcterms:created xsi:type="dcterms:W3CDTF">2022-07-05T07:11:00Z</dcterms:created>
  <dcterms:modified xsi:type="dcterms:W3CDTF">2022-07-05T07:14:00Z</dcterms:modified>
  <cp:category>ECO/587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0x010100EA97B91038054C99906057A708A1480A00B7EA8BE5AE7448468DCE544D2FDA8E5D</vt:lpwstr>
  </property>
  <property fmtid="{D5CDD505-2E9C-101B-9397-08002B2CF9AE}" pid="3" name="_dlc_DocIdItemGuid">
    <vt:lpwstr>fd5e368d-af42-4e24-8a30-32521770dbdf</vt:lpwstr>
  </property>
  <property fmtid="{D5CDD505-2E9C-101B-9397-08002B2CF9AE}" pid="4" name="AvailableTranslations">
    <vt:lpwstr>41;#CS|72f9705b-0217-4fd3-bea2-cbc7ed80e26e;#26;#LV|46f7e311-5d9f-4663-b433-18aeccb7ace7;#29;#SV|c2ed69e7-a339-43d7-8f22-d93680a92aa0;#46;#EL|6d4f4d51-af9b-4650-94b4-4276bee85c91;#37;#PT|50ccc04a-eadd-42ae-a0cb-acaf45f812ba;#34;#SK|46d9fce0-ef79-4f71-b89b-cd6aa82426b8;#30;#PL|1e03da61-4678-4e07-b136-b5024ca9197b;#42;#SL|98a412ae-eb01-49e9-ae3d-585a81724cfc;#36;#HU|6b229040-c589-4408-b4c1-4285663d20a8;#31;#ES|e7a6b05b-ae16-40c8-add9-68b64b03aeba;#22;#DE|f6b31e5a-26fa-4935-b661-318e46daf27e;#35;#MT|7df99101-6854-4a26-b53a-b88c0da02c26;#33;#IT|0774613c-01ed-4e5d-a25d-11d2388de825;#38;#FI|87606a43-d45f-42d6-b8c9-e1a3457db5b7;#43;#NL|55c6556c-b4f4-441d-9acf-c498d4f838bd;#45;#RO|feb747a2-64cd-4299-af12-4833ddc30497;#63;#GA|762d2456-c427-4ecb-b312-af3dad8e258c;#40;#BG|1a1b3951-7821-4e6a-85f5-5673fc08bd2c;#54;#ET|ff6c3f4c-b02c-4c3c-ab07-2c37995a7a0a;#11;#FR|d2afafd3-4c81-4f60-8f52-ee33f2f54ff3;#55;#HR|2f555653-ed1a-4fe6-8362-9082d95989e5;#32;#DA|5d49c027-8956-412b-aa16-e85a0f96ad0e;#4;#EN|f2175f21-25d7-44a3-96da-d6a61b075e1b;#44;#LT|a7ff5ce7-6123-4f68-865a-a57c31810414</vt:lpwstr>
  </property>
  <property fmtid="{D5CDD505-2E9C-101B-9397-08002B2CF9AE}" pid="5" name="DocumentType_0">
    <vt:lpwstr>AS|c7a748eb-f6f2-4d9d-8b5a-af0cafebc224</vt:lpwstr>
  </property>
  <property fmtid="{D5CDD505-2E9C-101B-9397-08002B2CF9AE}" pid="6" name="DossierName_0">
    <vt:lpwstr>ECO|8df351f5-c957-404c-8cf3-8ffb22c9cba2</vt:lpwstr>
  </property>
  <property fmtid="{D5CDD505-2E9C-101B-9397-08002B2CF9AE}" pid="7" name="DocumentSource_0">
    <vt:lpwstr>EESC|422833ec-8d7e-4e65-8e4e-8bed07ffb729</vt:lpwstr>
  </property>
  <property fmtid="{D5CDD505-2E9C-101B-9397-08002B2CF9AE}" pid="8" name="DocumentNumber">
    <vt:i4>2060</vt:i4>
  </property>
  <property fmtid="{D5CDD505-2E9C-101B-9397-08002B2CF9AE}" pid="9" name="DocumentYear">
    <vt:i4>2022</vt:i4>
  </property>
  <property fmtid="{D5CDD505-2E9C-101B-9397-08002B2CF9AE}" pid="10" name="DocumentVersion">
    <vt:i4>0</vt:i4>
  </property>
  <property fmtid="{D5CDD505-2E9C-101B-9397-08002B2CF9AE}" pid="11" name="FicheNumber">
    <vt:i4>8422</vt:i4>
  </property>
  <property fmtid="{D5CDD505-2E9C-101B-9397-08002B2CF9AE}" pid="12" name="DossierNumber">
    <vt:i4>587</vt:i4>
  </property>
  <property fmtid="{D5CDD505-2E9C-101B-9397-08002B2CF9AE}" pid="13" name="DocumentStatus">
    <vt:lpwstr>7;#TRA|150d2a88-1431-44e6-a8ca-0bb753ab8672</vt:lpwstr>
  </property>
  <property fmtid="{D5CDD505-2E9C-101B-9397-08002B2CF9AE}" pid="14" name="DocumentPart">
    <vt:i4>0</vt:i4>
  </property>
  <property fmtid="{D5CDD505-2E9C-101B-9397-08002B2CF9AE}" pid="15" name="DossierName">
    <vt:lpwstr>81;#ECO|8df351f5-c957-404c-8cf3-8ffb22c9cba2</vt:lpwstr>
  </property>
  <property fmtid="{D5CDD505-2E9C-101B-9397-08002B2CF9AE}" pid="16" name="DocumentSource">
    <vt:lpwstr>1;#EESC|422833ec-8d7e-4e65-8e4e-8bed07ffb729</vt:lpwstr>
  </property>
  <property fmtid="{D5CDD505-2E9C-101B-9397-08002B2CF9AE}" pid="18" name="DocumentType">
    <vt:lpwstr>146;#AS|c7a748eb-f6f2-4d9d-8b5a-af0cafebc224</vt:lpwstr>
  </property>
  <property fmtid="{D5CDD505-2E9C-101B-9397-08002B2CF9AE}" pid="19" name="RequestingService">
    <vt:lpwstr>Union économique et monétaire et cohésion économique et sociale</vt:lpwstr>
  </property>
  <property fmtid="{D5CDD505-2E9C-101B-9397-08002B2CF9AE}" pid="20" name="Confidentiality">
    <vt:lpwstr>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51;#SPL-CES|32d8cb1f-c9ec-4365-95c7-8385a18618ac</vt:lpwstr>
  </property>
  <property fmtid="{D5CDD505-2E9C-101B-9397-08002B2CF9AE}" pid="25" name="MeetingDate">
    <vt:filetime>2022-07-13T12:00:00Z</vt:filetime>
  </property>
  <property fmtid="{D5CDD505-2E9C-101B-9397-08002B2CF9AE}" pid="26" name="AvailableTranslations_0">
    <vt:lpwstr>LV|46f7e311-5d9f-4663-b433-18aeccb7ace7;SV|c2ed69e7-a339-43d7-8f22-d93680a92aa0;EL|6d4f4d51-af9b-4650-94b4-4276bee85c91;PT|50ccc04a-eadd-42ae-a0cb-acaf45f812ba;HU|6b229040-c589-4408-b4c1-4285663d20a8;ES|e7a6b05b-ae16-40c8-add9-68b64b03aeba;DE|f6b31e5a-26fa-4935-b661-318e46daf27e;MT|7df99101-6854-4a26-b53a-b88c0da02c26;IT|0774613c-01ed-4e5d-a25d-11d2388de825;FR|d2afafd3-4c81-4f60-8f52-ee33f2f54ff3;DA|5d49c027-8956-412b-aa16-e85a0f96ad0e;EN|f2175f21-25d7-44a3-96da-d6a61b075e1b;LT|a7ff5ce7-6123-4f68-865a-a57c31810414</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HU|6b229040-c589-4408-b4c1-4285663d20a8;#146;#AS|c7a748eb-f6f2-4d9d-8b5a-af0cafebc224;#33;#IT|0774613c-01ed-4e5d-a25d-11d2388de825;#32;#DA|5d49c027-8956-412b-aa16-e85a0f96ad0e;#31;#ES|e7a6b05b-ae16-40c8-add9-68b64b03aeba;#35;#MT|7df99101-6854-4a26-b53a-b88c0da02c26;#29;#SV|c2ed69e7-a339-43d7-8f22-d93680a92aa0;#26;#LV|46f7e311-5d9f-4663-b433-18aeccb7ace7;#44;#LT|a7ff5ce7-6123-4f68-865a-a57c31810414;#22;#DE|f6b31e5a-26fa-4935-b661-318e46daf27e;#9;#Unrestricted|826e22d7-d029-4ec0-a450-0c28ff673572;#81;#ECO|8df351f5-c957-404c-8cf3-8ffb22c9cba2;#51;#SPL-CES|32d8cb1f-c9ec-4365-95c7-8385a18618ac;#11;#FR|d2afafd3-4c81-4f60-8f52-ee33f2f54ff3;#46;#EL|6d4f4d51-af9b-4650-94b4-4276bee85c91;#7;#TRA|150d2a88-1431-44e6-a8ca-0bb753ab8672;#6;#Final|ea5e6674-7b27-4bac-b091-73adbb394efe;#4;#EN|f2175f21-25d7-44a3-96da-d6a61b075e1b;#1;#EESC|422833ec-8d7e-4e65-8e4e-8bed07ffb729;#37;#PT|50ccc04a-eadd-42ae-a0cb-acaf45f812ba</vt:lpwstr>
  </property>
  <property fmtid="{D5CDD505-2E9C-101B-9397-08002B2CF9AE}" pid="30" name="Rapporteur">
    <vt:lpwstr>DANDEA &amp; RIZZO</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Language">
    <vt:lpwstr>42;#SL|98a412ae-eb01-49e9-ae3d-585a81724cfc</vt:lpwstr>
  </property>
  <property name="OP_sanitized" fmtid="{D5CDD505-2E9C-101B-9397-08002B2CF9AE}" pid="33">
    <vt:lpwstr>True</vt:lpwstr>
  </property>
</Properties>
</file>