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760EA2" w14:textId="1332514A" w:rsidR="00C578AE" w:rsidRPr="009E2049" w:rsidRDefault="00A8553A" w:rsidP="00A8553A">
      <w:pPr>
        <w:pStyle w:val="Pagedecouverture"/>
        <w:rPr>
          <w:noProof/>
        </w:rPr>
      </w:pPr>
      <w:r>
        <w:rPr>
          <w:noProof/>
        </w:rPr>
        <w:pict w14:anchorId="4E48C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40A4E851-736F-42F5-A604-5DAE09D19F73" style="width:455.25pt;height:342.75pt">
            <v:imagedata r:id="rId8" o:title=""/>
          </v:shape>
        </w:pict>
      </w:r>
    </w:p>
    <w:p w14:paraId="411C459A" w14:textId="77777777" w:rsidR="00C578AE" w:rsidRPr="009E2049" w:rsidRDefault="00C578AE" w:rsidP="00C578AE">
      <w:pPr>
        <w:rPr>
          <w:noProof/>
        </w:rPr>
        <w:sectPr w:rsidR="00C578AE" w:rsidRPr="009E2049" w:rsidSect="00A8553A">
          <w:footerReference w:type="even" r:id="rId9"/>
          <w:footerReference w:type="default" r:id="rId10"/>
          <w:pgSz w:w="11907" w:h="16839"/>
          <w:pgMar w:top="1134" w:right="1417" w:bottom="1134" w:left="1417" w:header="709" w:footer="709" w:gutter="0"/>
          <w:pgNumType w:start="0"/>
          <w:cols w:space="720"/>
          <w:docGrid w:linePitch="360"/>
        </w:sectPr>
      </w:pPr>
    </w:p>
    <w:p w14:paraId="74A6FC62" w14:textId="77777777" w:rsidR="005D782C" w:rsidRPr="009E2049" w:rsidRDefault="005D782C" w:rsidP="009511E1">
      <w:pPr>
        <w:pStyle w:val="Exposdesmotifstitre"/>
        <w:rPr>
          <w:noProof/>
          <w:color w:val="FF0000"/>
        </w:rPr>
      </w:pPr>
      <w:bookmarkStart w:id="0" w:name="_GoBack"/>
      <w:bookmarkEnd w:id="0"/>
    </w:p>
    <w:p w14:paraId="452D3AD4" w14:textId="77777777" w:rsidR="008A58AF" w:rsidRPr="009E2049" w:rsidRDefault="00C578AE">
      <w:pPr>
        <w:pStyle w:val="ManualHeading1"/>
        <w:rPr>
          <w:noProof/>
        </w:rPr>
      </w:pPr>
      <w:r w:rsidRPr="009E2049">
        <w:rPr>
          <w:noProof/>
        </w:rPr>
        <w:t>1.</w:t>
      </w:r>
      <w:r w:rsidRPr="009E2049">
        <w:rPr>
          <w:noProof/>
        </w:rPr>
        <w:tab/>
        <w:t>OZADJE PREDLOGA</w:t>
      </w:r>
    </w:p>
    <w:p w14:paraId="7336C156" w14:textId="77777777" w:rsidR="00C578AE" w:rsidRPr="009E2049" w:rsidRDefault="00C578AE">
      <w:pPr>
        <w:pStyle w:val="ManualHeading2"/>
        <w:rPr>
          <w:rFonts w:eastAsia="Arial Unicode MS"/>
          <w:noProof/>
        </w:rPr>
      </w:pPr>
      <w:r w:rsidRPr="009E2049">
        <w:rPr>
          <w:noProof/>
          <w:color w:val="000000"/>
          <w:u w:color="000000"/>
          <w:bdr w:val="nil"/>
        </w:rPr>
        <w:t>•</w:t>
      </w:r>
      <w:r w:rsidRPr="009E2049">
        <w:rPr>
          <w:noProof/>
        </w:rPr>
        <w:tab/>
        <w:t>Razlogi za predlog in njegovi cilji</w:t>
      </w:r>
    </w:p>
    <w:p w14:paraId="16A3F6C8" w14:textId="77777777" w:rsidR="00EE62F1" w:rsidRPr="009E2049" w:rsidRDefault="008F4F37" w:rsidP="008A4180">
      <w:pPr>
        <w:pStyle w:val="Text1"/>
        <w:ind w:left="0"/>
        <w:rPr>
          <w:noProof/>
        </w:rPr>
      </w:pPr>
      <w:r w:rsidRPr="009E2049">
        <w:rPr>
          <w:noProof/>
        </w:rPr>
        <w:t xml:space="preserve">Predsednica Komisije Ursula von der Leyen je v svojem govoru o stanju v Uniji 10. septembra 2025 </w:t>
      </w:r>
      <w:r w:rsidRPr="009E2049">
        <w:rPr>
          <w:b/>
          <w:noProof/>
        </w:rPr>
        <w:t>v ospredje postavila stanovanjsko problematiko in revščino</w:t>
      </w:r>
      <w:r w:rsidRPr="009E2049">
        <w:rPr>
          <w:noProof/>
        </w:rPr>
        <w:t xml:space="preserve"> ter se z ambiciozno </w:t>
      </w:r>
      <w:r w:rsidRPr="009E2049">
        <w:rPr>
          <w:b/>
          <w:noProof/>
        </w:rPr>
        <w:t>evropsko strategijo za boj proti revščini</w:t>
      </w:r>
      <w:r w:rsidRPr="009E2049">
        <w:rPr>
          <w:noProof/>
        </w:rPr>
        <w:t xml:space="preserve"> zavezala k „</w:t>
      </w:r>
      <w:r w:rsidRPr="009E2049">
        <w:rPr>
          <w:b/>
          <w:noProof/>
        </w:rPr>
        <w:t>načrtu za pomoč pri izkoreninjenju revščine do leta 2050</w:t>
      </w:r>
      <w:r w:rsidRPr="009E2049">
        <w:rPr>
          <w:noProof/>
        </w:rPr>
        <w:t xml:space="preserve">“ in k predstavitvi prvega </w:t>
      </w:r>
      <w:r w:rsidRPr="009E2049">
        <w:rPr>
          <w:b/>
          <w:noProof/>
        </w:rPr>
        <w:t>evropskega načrta za cenovno dostopna stanovanja</w:t>
      </w:r>
      <w:r w:rsidRPr="009E2049">
        <w:rPr>
          <w:noProof/>
        </w:rPr>
        <w:t>. Poudarila je, da so „</w:t>
      </w:r>
      <w:hyperlink r:id="rId11" w:history="1">
        <w:r w:rsidRPr="009E2049">
          <w:rPr>
            <w:rStyle w:val="Hyperlink"/>
            <w:noProof/>
          </w:rPr>
          <w:t>z evropskim stebrom socialnih pravic stanovanja postala socialna pravica v Evropi</w:t>
        </w:r>
      </w:hyperlink>
      <w:r w:rsidRPr="009E2049">
        <w:rPr>
          <w:noProof/>
        </w:rPr>
        <w:t xml:space="preserve">“, in izjavila, da je čas, da se ta obljuba uresniči. Stanovanjsko krizo je označila za družbeni izziv in vprašanje dostojanstva ter se zavzela za korenito prenovo načina reševanja tega vprašanja. </w:t>
      </w:r>
    </w:p>
    <w:p w14:paraId="2B3F17EC" w14:textId="4AFFCC8E" w:rsidR="00AE4B7F" w:rsidRPr="009E2049" w:rsidRDefault="00AE4B7F" w:rsidP="00AE4B7F">
      <w:pPr>
        <w:pStyle w:val="Text1"/>
        <w:ind w:left="0"/>
        <w:rPr>
          <w:noProof/>
        </w:rPr>
      </w:pPr>
      <w:r w:rsidRPr="009E2049">
        <w:rPr>
          <w:b/>
          <w:noProof/>
        </w:rPr>
        <w:t>Načelo 19 evropskega stebra socialnih pravic</w:t>
      </w:r>
      <w:r w:rsidRPr="009E2049">
        <w:rPr>
          <w:noProof/>
        </w:rPr>
        <w:t xml:space="preserve"> določa pravico do stanovanja in do pomoči brezdomcem. Poziva, da se dostop do socialnih stanovanj ali kakovostne pomoči pri pridobitvi stanovanj zagotavlja vsem socialno ogroženim, in poudarja, da imajo ranljive osebe pravico do primerne pomoči in zaščite pred prisilno izselitvijo. Načelo poudarja tudi, da se brezdomcem zagotovijo primerna zatočišča in storitve, da se spodbudi njihovo socialno vključevanje. </w:t>
      </w:r>
    </w:p>
    <w:p w14:paraId="2E85743B" w14:textId="77777777" w:rsidR="004A59B3" w:rsidRPr="009E2049" w:rsidRDefault="004A59B3" w:rsidP="004A59B3">
      <w:pPr>
        <w:pStyle w:val="Text1"/>
        <w:ind w:left="0"/>
        <w:rPr>
          <w:bCs/>
          <w:noProof/>
        </w:rPr>
      </w:pPr>
      <w:r w:rsidRPr="009E2049">
        <w:rPr>
          <w:noProof/>
        </w:rPr>
        <w:t xml:space="preserve">V </w:t>
      </w:r>
      <w:r w:rsidRPr="009E2049">
        <w:rPr>
          <w:b/>
          <w:noProof/>
        </w:rPr>
        <w:t xml:space="preserve">Listini Evropske unije o temeljnih pravicah </w:t>
      </w:r>
      <w:r w:rsidRPr="009E2049">
        <w:rPr>
          <w:noProof/>
        </w:rPr>
        <w:t xml:space="preserve">je poudarjeno, da Unija za boj proti socialni izključenosti in revščini priznava in spoštuje pravico do socialne pomoči in pomoči pri pridobitvi stanovanj. Cilj je vsem, ki nimajo dovolj sredstev, zagotoviti dostojno življenje v skladu s pravili iz evropske in nacionalne zakonodaje in praks. </w:t>
      </w:r>
    </w:p>
    <w:p w14:paraId="50C8B773" w14:textId="77777777" w:rsidR="004A59B3" w:rsidRPr="009E2049" w:rsidRDefault="004A59B3" w:rsidP="004A59B3">
      <w:pPr>
        <w:pStyle w:val="Text1"/>
        <w:ind w:left="0"/>
        <w:rPr>
          <w:bCs/>
          <w:noProof/>
        </w:rPr>
      </w:pPr>
      <w:r w:rsidRPr="009E2049">
        <w:rPr>
          <w:noProof/>
        </w:rPr>
        <w:t xml:space="preserve">V spremenjeni </w:t>
      </w:r>
      <w:r w:rsidRPr="009E2049">
        <w:rPr>
          <w:b/>
          <w:noProof/>
        </w:rPr>
        <w:t>Evropski socialni listini</w:t>
      </w:r>
      <w:r w:rsidRPr="009E2049">
        <w:rPr>
          <w:noProof/>
        </w:rPr>
        <w:t xml:space="preserve"> je priznana pravica vsakogar do dostopa do stanovanja ustreznega standarda ter do preprečevanja in zmanjševanja brezdomstva z namenom njegove postopne odprave. </w:t>
      </w:r>
    </w:p>
    <w:p w14:paraId="3F32A393" w14:textId="77777777" w:rsidR="00797766" w:rsidRPr="009E2049" w:rsidRDefault="00797766" w:rsidP="00797766">
      <w:pPr>
        <w:pStyle w:val="Text1"/>
        <w:ind w:left="0"/>
        <w:rPr>
          <w:noProof/>
        </w:rPr>
      </w:pPr>
      <w:r w:rsidRPr="009E2049">
        <w:rPr>
          <w:noProof/>
        </w:rPr>
        <w:t xml:space="preserve">Ob upoštevanju pomena teh pravic in potrebe po njihovem učinkovitem uresničevanju je v </w:t>
      </w:r>
      <w:r w:rsidRPr="009E2049">
        <w:rPr>
          <w:b/>
          <w:noProof/>
        </w:rPr>
        <w:t>Lizbonski izjavi o evropski platformi za boj proti brezdomstvu</w:t>
      </w:r>
      <w:r w:rsidRPr="009E2049">
        <w:rPr>
          <w:noProof/>
        </w:rPr>
        <w:t>, ki so jo junija 2021 podpisale države članice, institucije EU, svetovalni organi, socialni partnerji in zadevne nevladne organizacije, izražena zaveza, da si bodo do leta 2030 prizadevali za odpravo brezdomstva, tako da (i) nihče ne spi na prostem zaradi pomanjkanja dostopne, varne in primerne zasilne nastanitve; (ii) nihče ne živi v zasilni ali prehodni nastanitvi dlje, kot je potrebno za uspešno selitev v trajno stanovanjsko rešitev; (iii) nihče ni odpuščen iz ustanove (npr. zapora, bolnišnice, ustanove za oskrbo), ne da bi se mu ponudila primerna nastanitev; (iv) se izselitve preprečijo, kadar je to le mogoče, in nihče ni prisilno izseljen, ne da bi prejel pomoč pri iskanju primerne stanovanjske rešitve, kadar je to potrebno; (v) nihče ni diskriminiran zaradi svojega brezdomskega statusa.</w:t>
      </w:r>
    </w:p>
    <w:p w14:paraId="14BA0E5B" w14:textId="77777777" w:rsidR="00797766" w:rsidRPr="009E2049" w:rsidRDefault="005A1EE8" w:rsidP="00797766">
      <w:pPr>
        <w:pStyle w:val="Text1"/>
        <w:ind w:left="0"/>
        <w:rPr>
          <w:noProof/>
        </w:rPr>
      </w:pPr>
      <w:r w:rsidRPr="009E2049">
        <w:rPr>
          <w:b/>
          <w:noProof/>
        </w:rPr>
        <w:t>Splošni cilji tega predloga</w:t>
      </w:r>
      <w:r w:rsidRPr="009E2049">
        <w:rPr>
          <w:noProof/>
        </w:rPr>
        <w:t xml:space="preserve"> so spodbujati prizadevanja politike za učinkovito izvajanje navedenih usmeritev glede dostopa do stanovanja in pomoči pri pridobitvi stanovanj. </w:t>
      </w:r>
    </w:p>
    <w:p w14:paraId="40C56544" w14:textId="77777777" w:rsidR="004061B5" w:rsidRPr="009E2049" w:rsidRDefault="003B6E95" w:rsidP="004061B5">
      <w:pPr>
        <w:pBdr>
          <w:top w:val="nil"/>
          <w:left w:val="nil"/>
          <w:bottom w:val="nil"/>
          <w:right w:val="nil"/>
          <w:between w:val="nil"/>
          <w:bar w:val="nil"/>
        </w:pBdr>
        <w:spacing w:before="0" w:after="240"/>
        <w:rPr>
          <w:noProof/>
        </w:rPr>
      </w:pPr>
      <w:r w:rsidRPr="009E2049">
        <w:rPr>
          <w:b/>
          <w:noProof/>
        </w:rPr>
        <w:t>Evropski načrt za cenovno dostopna stanovanja</w:t>
      </w:r>
      <w:r w:rsidRPr="009E2049">
        <w:rPr>
          <w:noProof/>
        </w:rPr>
        <w:t xml:space="preserve">, ki je prvi okvir na ravni EU, katerega cilj je obravnavati stanovanjsko krizo, temelji na štirih stebrih, pri katerih so potrebni ukrepi, vključno s podporo tistim, ki jih prizadeneta stanovanjska izključenost in brezdomstvo. V njem je predlagano priporočilo Sveta za podporo ranljivim osebam v negotovi stanovanjski situaciji ter za preprečevanje brezdomstva in njegovo odpravljanje z na posameznika osredotočenimi, stanovanjsko usmerjenimi in celostnimi politikami. </w:t>
      </w:r>
    </w:p>
    <w:p w14:paraId="6FCAC1FC" w14:textId="251C5AC2" w:rsidR="00533100" w:rsidRPr="009E2049" w:rsidRDefault="005F4A72" w:rsidP="00FA27F5">
      <w:pPr>
        <w:rPr>
          <w:rFonts w:eastAsia="Arial Unicode MS"/>
          <w:noProof/>
        </w:rPr>
      </w:pPr>
      <w:r w:rsidRPr="009E2049">
        <w:rPr>
          <w:noProof/>
        </w:rPr>
        <w:t xml:space="preserve">Namen </w:t>
      </w:r>
      <w:r w:rsidRPr="009E2049">
        <w:rPr>
          <w:b/>
          <w:noProof/>
        </w:rPr>
        <w:t>sploh prve strategij</w:t>
      </w:r>
      <w:r w:rsidR="008957B1" w:rsidRPr="009E2049">
        <w:rPr>
          <w:b/>
          <w:noProof/>
        </w:rPr>
        <w:t>e</w:t>
      </w:r>
      <w:r w:rsidRPr="009E2049">
        <w:rPr>
          <w:b/>
          <w:noProof/>
        </w:rPr>
        <w:t xml:space="preserve"> EU za boj proti revščini</w:t>
      </w:r>
      <w:r w:rsidRPr="009E2049">
        <w:rPr>
          <w:noProof/>
        </w:rPr>
        <w:t xml:space="preserve">, napovedane v političnih usmeritvah za obdobje 2024–2029, </w:t>
      </w:r>
      <w:r w:rsidRPr="009E2049">
        <w:rPr>
          <w:b/>
          <w:noProof/>
        </w:rPr>
        <w:t>je pomagati izkoreniniti revščino do leta 2050</w:t>
      </w:r>
      <w:r w:rsidRPr="009E2049">
        <w:rPr>
          <w:noProof/>
        </w:rPr>
        <w:t xml:space="preserve">, osredotoča pa se na </w:t>
      </w:r>
      <w:r w:rsidRPr="009E2049">
        <w:rPr>
          <w:noProof/>
        </w:rPr>
        <w:lastRenderedPageBreak/>
        <w:t xml:space="preserve">zagotavljanje podpore državam članicam za „podporo ljudem pri dostopu do potrebne osnovne zaščite in storitev ter odpravljanje temeljnih vzrokov revščine“. Ta predlog priporočila Sveta je sprejet skupaj s </w:t>
      </w:r>
      <w:r w:rsidRPr="009E2049">
        <w:rPr>
          <w:b/>
          <w:noProof/>
        </w:rPr>
        <w:t>strategijo EU za boj proti revščini</w:t>
      </w:r>
      <w:r w:rsidRPr="009E2049">
        <w:rPr>
          <w:noProof/>
        </w:rPr>
        <w:t xml:space="preserve"> in je del prizadevanj Komisije za preprečevanje revščine in boj proti njej. Okrepljeno evropsko jamstvo za otroke, ki je prav tako del strategije EU za boj proti revščini, obravnava vrzeli pri boju proti revščini otrok in zagotavlja, da imajo otroci, ki potrebujejo pomoč, v podporo svojemu razvoju dostop do osnovnih storitev, vključno s primernim stanovanjem.</w:t>
      </w:r>
    </w:p>
    <w:p w14:paraId="5080CA0C" w14:textId="77777777" w:rsidR="00585711" w:rsidRPr="009E2049" w:rsidRDefault="008F4F37" w:rsidP="0042488C">
      <w:pPr>
        <w:pStyle w:val="Text1"/>
        <w:ind w:left="0"/>
        <w:rPr>
          <w:noProof/>
        </w:rPr>
      </w:pPr>
      <w:r w:rsidRPr="009E2049">
        <w:rPr>
          <w:noProof/>
        </w:rPr>
        <w:t xml:space="preserve">Ta predlog priporočila Sveta, katerega namen je </w:t>
      </w:r>
      <w:r w:rsidRPr="009E2049">
        <w:rPr>
          <w:b/>
          <w:noProof/>
        </w:rPr>
        <w:t>preprečevanje stanovanjske izključenosti in brezdomstva in boj proti njima</w:t>
      </w:r>
      <w:r w:rsidRPr="009E2049">
        <w:rPr>
          <w:noProof/>
        </w:rPr>
        <w:t xml:space="preserve">, bo orodje za </w:t>
      </w:r>
      <w:r w:rsidRPr="009E2049">
        <w:rPr>
          <w:b/>
          <w:noProof/>
        </w:rPr>
        <w:t xml:space="preserve">podporo državam članicam, regijam in mestom </w:t>
      </w:r>
      <w:r w:rsidRPr="009E2049">
        <w:rPr>
          <w:noProof/>
        </w:rPr>
        <w:t>pri pregledu, oblikovanju in izvajanju celostnih, na posameznika osredotočenih in stanovanjsko usmerjenih strateških okvirov politike za preprečevanje in zmanjševanje stanovanjske izključenosti in brezdomstva tako na mestnih kot na podeželskih območjih. Podeželska in oddaljena območja se srečujejo s posebnimi izzivi glede dostopa do cenovno dostopnih stanovanj, vključno z nizkimi vrednostmi nepremičnin, ki lahko zmanjšajo spodbude za vzdrževanje in naložbe ter privedejo do praznih stanovanj, propadanja in opuščanja stanovanjskega fonda. Poleg tega so stanovanja na podeželju pogosto starejša in energijsko manj učinkovita, kar povečuje potrebe po prenovi in zvišuje stroške za stanovalce ter prispeva k energetski revščini. Nekatere države članice so v zadnjem času razvile ali okrepile svoje strateške okvire politik, vendar obstajajo znatne razlike v metodologijah, strukturah upravljanja in rezultatih, kar poudarja potrebo po smernicah za preverjene in na dokazih utemeljene ukrepe politike. Cilj politike je podpirati ranljive osebe, ki so v negotovi stanovanjski situaciji ali ki bi se lahko v njej znašli, ter preprečevati brezdomstvo in ga odpravljati</w:t>
      </w:r>
      <w:r w:rsidRPr="009E2049">
        <w:rPr>
          <w:b/>
          <w:noProof/>
        </w:rPr>
        <w:t>.</w:t>
      </w:r>
      <w:r w:rsidRPr="009E2049">
        <w:rPr>
          <w:noProof/>
        </w:rPr>
        <w:t xml:space="preserve"> </w:t>
      </w:r>
    </w:p>
    <w:p w14:paraId="77D3FE9B" w14:textId="081B4BCE" w:rsidR="00CB5EEE" w:rsidRPr="009E2049" w:rsidRDefault="00327BDF" w:rsidP="002233E1">
      <w:pPr>
        <w:rPr>
          <w:noProof/>
        </w:rPr>
      </w:pPr>
      <w:r w:rsidRPr="009E2049">
        <w:rPr>
          <w:b/>
          <w:noProof/>
        </w:rPr>
        <w:t xml:space="preserve">Stanovanjska izključenost </w:t>
      </w:r>
      <w:r w:rsidRPr="009E2049">
        <w:rPr>
          <w:noProof/>
        </w:rPr>
        <w:t>pomeni, da posameznik ali gospodinjstvo nima možnosti, da dostopa do dostojnega, stabilnega stanovanja, ki izpolnjuje osnovne standarde kakovosti ter zagotavlja pravno varnost</w:t>
      </w:r>
      <w:r w:rsidRPr="009E2049">
        <w:rPr>
          <w:rStyle w:val="FootnoteReference"/>
          <w:noProof/>
        </w:rPr>
        <w:footnoteReference w:id="1"/>
      </w:r>
      <w:r w:rsidRPr="009E2049">
        <w:rPr>
          <w:noProof/>
        </w:rPr>
        <w:t xml:space="preserve"> in cenovno dostopnost, oziroma da tako stanovanje obdrži. Brezdomstvo je njena najbolj vidna in skrajna oblika ter vključuje osebe, ki spijo na prostem in bivajo v zasilnih ali začasnih nastanitvah. Vendar je stanovanjska izključenost širši pojem in vključuje tudi tiste, ki imajo streho nad glavo, vendar živijo v ne</w:t>
      </w:r>
      <w:r w:rsidR="00BF4522" w:rsidRPr="009E2049">
        <w:rPr>
          <w:noProof/>
        </w:rPr>
        <w:t>primernih</w:t>
      </w:r>
      <w:r w:rsidRPr="009E2049">
        <w:rPr>
          <w:noProof/>
        </w:rPr>
        <w:t xml:space="preserve"> in/ali negotovih razmerah. Negotove stanovanjske razmere nastanejo, kadar se posamezniki spopadajo z grožnjami samovoljne ali prisilne izselitve ali nasiljem v družini ali pa imajo nestabilne najemne pogodbe. Neprimerne stanovanjske razmere obstajajo, kadar posamezniki prebivajo v stanovanjih, ki ne dosegajo standardne kakovosti in ki ne zagotavljajo osnovnih bivalnih pogojev, bodisi zaradi hude dotrajanosti ali velike prenaseljenosti bodisi zato, ker niso prilagojena osebam z dodatnimi potrebami, kot so starejše osebe, osebe z invalidnostmi ali osebe s potrebami po dolgotrajni oskrbi. Druge oblike stanovanjske izključenosti lahko vključujejo tudi nedostopnost nastanitve za študente, zaradi česar lahko ti opustijo študij.</w:t>
      </w:r>
    </w:p>
    <w:p w14:paraId="1ADB6EC1" w14:textId="77777777" w:rsidR="003C2783" w:rsidRPr="009E2049" w:rsidRDefault="008F4F37" w:rsidP="008F4F37">
      <w:pPr>
        <w:rPr>
          <w:noProof/>
        </w:rPr>
      </w:pPr>
      <w:r w:rsidRPr="009E2049">
        <w:rPr>
          <w:b/>
          <w:noProof/>
        </w:rPr>
        <w:t>Brezdomstvo je najhujša pojavna oblika revščine in socialne marginalizacije,</w:t>
      </w:r>
      <w:r w:rsidRPr="009E2049">
        <w:rPr>
          <w:noProof/>
        </w:rPr>
        <w:t xml:space="preserve"> ki znatno znižuje pričakovano življenjsko dobo, poslabšuje zdravje in dobro počutje ter zmanjšuje družbeno in demokratično udeležbo in udeležbo na trgu dela in pa zmožnost dostopa do bistvenih gospodarskih in socialnih storitev. Gre za kompleksen in razvijajoč se socialni izziv, ki ga povzročajo strukturni dejavniki, kot so revščina, brezposelnost, življenje na marginaliziranih območjih, omejena razpoložljivost socialnih in cenovno dostopnih stanovanj ter neustrezno zagotavljanje socialnega varstva. Osebne okoliščine, kot so zasvojenost, slabo duševno ali telesno zdravje, razpad družine ali nasilje v družini, lahko povečajo ranljivost ali </w:t>
      </w:r>
      <w:r w:rsidRPr="009E2049">
        <w:rPr>
          <w:noProof/>
        </w:rPr>
        <w:lastRenderedPageBreak/>
        <w:t>delujejo kot sprožilci. Čeprav je spanje na prostem najbolj vidna oblika brezdomstva (</w:t>
      </w:r>
      <w:r w:rsidRPr="009E2049">
        <w:rPr>
          <w:b/>
          <w:noProof/>
        </w:rPr>
        <w:t>brez strehe nad glavo</w:t>
      </w:r>
      <w:r w:rsidRPr="009E2049">
        <w:rPr>
          <w:noProof/>
        </w:rPr>
        <w:t xml:space="preserve">), obstajajo tudi manj očitne oblike, zlasti življenje </w:t>
      </w:r>
      <w:r w:rsidRPr="009E2049">
        <w:rPr>
          <w:b/>
          <w:noProof/>
        </w:rPr>
        <w:t>brez stanovanja</w:t>
      </w:r>
      <w:r w:rsidRPr="009E2049">
        <w:rPr>
          <w:noProof/>
        </w:rPr>
        <w:t>, pri katerih posamezniki živijo v zasilni ali začasni nastanitvi</w:t>
      </w:r>
      <w:r w:rsidRPr="009E2049">
        <w:rPr>
          <w:rStyle w:val="FootnoteReference"/>
          <w:noProof/>
        </w:rPr>
        <w:footnoteReference w:id="2"/>
      </w:r>
      <w:r w:rsidRPr="009E2049">
        <w:rPr>
          <w:noProof/>
        </w:rPr>
        <w:t xml:space="preserve">. </w:t>
      </w:r>
    </w:p>
    <w:p w14:paraId="6F34B20F" w14:textId="77777777" w:rsidR="003F4066" w:rsidRPr="009E2049" w:rsidRDefault="000B69AA" w:rsidP="003F4066">
      <w:pPr>
        <w:rPr>
          <w:noProof/>
        </w:rPr>
      </w:pPr>
      <w:r w:rsidRPr="009E2049">
        <w:rPr>
          <w:noProof/>
        </w:rPr>
        <w:t xml:space="preserve">Razlike v pravnih in statističnih opredelitvah brezdomstva ter različne vrste spremljanja in metodologije med državami članicami pomenijo izzive pri pripravi doslednih, zanesljivih in primerljivih podatkov o brezdomstvu po vsej EU. Razpoložljivi nacionalni podatki kažejo trend naraščanja v več državah članicah, pri čemer OECD ocenjuje, da </w:t>
      </w:r>
      <w:r w:rsidRPr="009E2049">
        <w:rPr>
          <w:b/>
          <w:noProof/>
        </w:rPr>
        <w:t xml:space="preserve">se z brezdomstvom v EU sooča približno en milijon ljudi. </w:t>
      </w:r>
      <w:r w:rsidRPr="009E2049">
        <w:rPr>
          <w:noProof/>
        </w:rPr>
        <w:t xml:space="preserve">Socialno-demografske značilnosti posameznikov, ki se srečujejo s stanovanjsko izključenostjo ali brezdomstvom, se razlikujejo glede na nacionalni, regionalni in lokalni kontekst. Vendar </w:t>
      </w:r>
      <w:r w:rsidRPr="009E2049">
        <w:rPr>
          <w:b/>
          <w:noProof/>
        </w:rPr>
        <w:t>OECD</w:t>
      </w:r>
      <w:r w:rsidRPr="009E2049">
        <w:rPr>
          <w:rStyle w:val="FootnoteReference"/>
          <w:noProof/>
        </w:rPr>
        <w:footnoteReference w:id="3"/>
      </w:r>
      <w:r w:rsidRPr="009E2049">
        <w:rPr>
          <w:noProof/>
        </w:rPr>
        <w:t xml:space="preserve"> ocenjuje, da brezdomstvo nesorazmerno prizadene nekatere skupine prebivalstva, med drugim </w:t>
      </w:r>
      <w:r w:rsidRPr="009E2049">
        <w:rPr>
          <w:b/>
          <w:noProof/>
        </w:rPr>
        <w:t>mlade, družine z otroki, migrante, starejše odrasle in invalide</w:t>
      </w:r>
      <w:r w:rsidRPr="009E2049">
        <w:rPr>
          <w:noProof/>
        </w:rPr>
        <w:t>.</w:t>
      </w:r>
    </w:p>
    <w:p w14:paraId="539FE262" w14:textId="77777777" w:rsidR="00604D02" w:rsidRPr="009E2049" w:rsidRDefault="003A7975" w:rsidP="008F4F37">
      <w:pPr>
        <w:rPr>
          <w:b/>
          <w:noProof/>
        </w:rPr>
      </w:pPr>
      <w:r w:rsidRPr="009E2049">
        <w:rPr>
          <w:noProof/>
        </w:rPr>
        <w:t xml:space="preserve">Po podatkih iz </w:t>
      </w:r>
      <w:r w:rsidRPr="009E2049">
        <w:rPr>
          <w:b/>
          <w:noProof/>
        </w:rPr>
        <w:t>modula EU-SILC</w:t>
      </w:r>
      <w:r w:rsidRPr="009E2049">
        <w:rPr>
          <w:rStyle w:val="FootnoteReference"/>
          <w:b/>
          <w:bCs/>
          <w:noProof/>
        </w:rPr>
        <w:footnoteReference w:id="4"/>
      </w:r>
      <w:r w:rsidRPr="009E2049">
        <w:rPr>
          <w:b/>
          <w:noProof/>
        </w:rPr>
        <w:t xml:space="preserve"> za leto 2023 „Medgeneracijski prenos prednosti in prikrajšanosti ter stanovanjske težave“</w:t>
      </w:r>
      <w:r w:rsidRPr="009E2049">
        <w:rPr>
          <w:rStyle w:val="FootnoteReference"/>
          <w:noProof/>
        </w:rPr>
        <w:footnoteReference w:id="5"/>
      </w:r>
      <w:r w:rsidRPr="009E2049">
        <w:rPr>
          <w:b/>
          <w:noProof/>
        </w:rPr>
        <w:t xml:space="preserve"> </w:t>
      </w:r>
      <w:r w:rsidRPr="009E2049">
        <w:rPr>
          <w:noProof/>
        </w:rPr>
        <w:t xml:space="preserve">približno 5 % odraslih v EU poroča, da so v nekem obdobju svojega življenja imeli stanovanjske težave, vključno s spanjem na prostem, bivanjem v zasilnih zatočiščih, prebivanjem v netradicionalnih oblikah nastanitve ali začasnim bivanjem pri družini in prijateljih zaradi pomanjkanja alternativ. Delež vseh gospodinjstev, pri katerih obstaja tveganje revščine ali socialne izključenosti in ki se soočajo s stanovanjskimi težavami, je več kot dvakrat večji od deleža tistih, pri katerih takega tveganja ni (8,5 % v primerjavi s 3,9 %). Gospodinjstva z vzdrževanimi otroki (18,1 %) se pogosteje spopadajo s težavami pri najemu stanovanja kot gospodinjstva brez vzdrževanih otrok (10,2 %). Glavni vzroki stanovanjskih težav so družinske in osebne težave (30 %), finančne težave (25,9 %), izguba zaposlitve ali nezmožnost najti zaposlitev (7,3 %), iztek najemne pogodbe (5,2 %) in težave v partnerskih ali družinskih odnosih (14,1 %). Zdravstvene težave prispevajo k stanovanjskim težavam v 1,1 % primera. 26,5 % jih je stanovanjske težave premagalo tako, da so našli zaposlitev, 20,4 % s preselitvijo v socialno ali subvencionirano zasebno stanovanje, 14,1 % pa s pomočjo partnerja ali družine. </w:t>
      </w:r>
    </w:p>
    <w:p w14:paraId="37BCAA09" w14:textId="77777777" w:rsidR="00CB1B6A" w:rsidRPr="009E2049" w:rsidRDefault="001D4FFE" w:rsidP="008820B1">
      <w:pPr>
        <w:rPr>
          <w:noProof/>
        </w:rPr>
      </w:pPr>
      <w:r w:rsidRPr="009E2049">
        <w:rPr>
          <w:noProof/>
        </w:rPr>
        <w:t xml:space="preserve">Brezdomstvo je tudi </w:t>
      </w:r>
      <w:r w:rsidRPr="009E2049">
        <w:rPr>
          <w:b/>
          <w:noProof/>
        </w:rPr>
        <w:t>pomemben sistemski izziv z znatnimi fiskalnimi in socialnimi posledicami</w:t>
      </w:r>
      <w:r w:rsidRPr="009E2049">
        <w:rPr>
          <w:noProof/>
        </w:rPr>
        <w:t xml:space="preserve"> za države članice. Prakse, ki dajejo prednost reaktivnemu, krizno usmerjenemu ukrepanju, kot so nujno zdravstveno varstvo, začasna zatočišča in kazenskopravni nadzor, povzročajo krog storitev z visokimi stroški, ki ne odpravljajo temeljnih vzrokov brezdomstva. Poleg neposrednega učinka na državne proračune obstajajo še širši družbeni stroški, vključno z erozijo človeškega potenciala in slabitvijo kohezije skupnosti, saj stanovanjska izključenost ovira gospodarsko udejstvovanje in ohranja kroge medgeneracijskih neenakosti. </w:t>
      </w:r>
    </w:p>
    <w:p w14:paraId="5BD3EC57" w14:textId="1767DAE5" w:rsidR="00EB1FE2" w:rsidRPr="009E2049" w:rsidRDefault="008263D9" w:rsidP="00AB5546">
      <w:pPr>
        <w:rPr>
          <w:rFonts w:eastAsia="Calibri"/>
          <w:noProof/>
        </w:rPr>
      </w:pPr>
      <w:r w:rsidRPr="009E2049">
        <w:rPr>
          <w:b/>
          <w:noProof/>
        </w:rPr>
        <w:t>Zato je za obravnavanje stanovanjske izključenosti in brezdomstva potreben strateški premik od kriznega upravljanja k na posameznika osredotočenim, stanovanjsko usmerjenim in celostnim politikam</w:t>
      </w:r>
      <w:r w:rsidRPr="009E2049">
        <w:rPr>
          <w:noProof/>
        </w:rPr>
        <w:t xml:space="preserve">. </w:t>
      </w:r>
      <w:bookmarkStart w:id="1" w:name="_Hlk220762610"/>
      <w:r w:rsidRPr="009E2049">
        <w:rPr>
          <w:b/>
          <w:noProof/>
        </w:rPr>
        <w:t>Na posameznika osredotočene politike</w:t>
      </w:r>
      <w:r w:rsidRPr="009E2049">
        <w:rPr>
          <w:noProof/>
        </w:rPr>
        <w:t xml:space="preserve"> so usmerjene v obravnavanje posebnih izzivov posameznikov in gospodinjstev v negotovi stanovanjski situaciji, ki se spopadajo s stanovanjsko izključenostjo in brezdomstvom ali pri katerih za to </w:t>
      </w:r>
      <w:r w:rsidRPr="009E2049">
        <w:rPr>
          <w:noProof/>
        </w:rPr>
        <w:lastRenderedPageBreak/>
        <w:t xml:space="preserve">obstaja tveganje. </w:t>
      </w:r>
      <w:bookmarkEnd w:id="1"/>
      <w:r w:rsidRPr="009E2049">
        <w:rPr>
          <w:b/>
          <w:noProof/>
        </w:rPr>
        <w:t xml:space="preserve">Stanovanjsko usmerjeni pristopi, </w:t>
      </w:r>
      <w:r w:rsidRPr="009E2049">
        <w:rPr>
          <w:noProof/>
        </w:rPr>
        <w:t>kot je pristop „najprej stanovanje“, ljudem v negotovi stanovanjski situaciji pomagajo obdržati na</w:t>
      </w:r>
      <w:r w:rsidR="001C4F0C" w:rsidRPr="009E2049">
        <w:rPr>
          <w:noProof/>
        </w:rPr>
        <w:t>stanitev</w:t>
      </w:r>
      <w:r w:rsidRPr="009E2049">
        <w:rPr>
          <w:noProof/>
        </w:rPr>
        <w:t xml:space="preserve"> in so namenjeni čim hitrejšemu zagotavljanju stabilnega stanovanja, skupaj s </w:t>
      </w:r>
      <w:r w:rsidRPr="009E2049">
        <w:rPr>
          <w:b/>
          <w:noProof/>
        </w:rPr>
        <w:t>celostnimi podpornimi storitvami</w:t>
      </w:r>
      <w:r w:rsidRPr="009E2049">
        <w:rPr>
          <w:noProof/>
        </w:rPr>
        <w:t xml:space="preserve">, za tiste, ki se spopadajo s stanovanjsko izključenostjo, zlasti pa z brezdomstvom. Dokazi kažejo, da so to najuspešnejše in stroškovno najučinkovitejše politike za obravnavanje brezdomstva. </w:t>
      </w:r>
    </w:p>
    <w:p w14:paraId="6C1EB3F9" w14:textId="6CC3D059" w:rsidR="00AB5546" w:rsidRPr="009E2049" w:rsidRDefault="006571EC" w:rsidP="00AB5546">
      <w:pPr>
        <w:rPr>
          <w:noProof/>
        </w:rPr>
      </w:pPr>
      <w:r w:rsidRPr="009E2049">
        <w:rPr>
          <w:noProof/>
        </w:rPr>
        <w:t>Stanovanjsko usmerjene pristope lahko ovira nezadostno število cenovno dostopnih stanovanj. Čeprav je povečanje ponudbe cenovno dostopnih stanovanj srednje- in dolgoročni cilj, bi bilo mogoče izboljšave kratkoročno doseči z bolj ciljno usmerjenim dodeljevanjem socialnih in javnih stanovanj ter s podporo brezdomcem pri dostopu do obstoječih in praznih stanovanj na najemnem trgu s pomočjo pri iskanju stanovanja, jamstvi za najem ali subvencijami in finančno podporo za plačilo varščin, ob hkratnem zagotavljanju ustreznih zaščitnih ukrepov in spodbud za lastnike stanovanj / najemodajalce. Povečanje ponudbe cenovno dostopnih stanovanj je izziv, ki zahteva vključitev več deležnikov na vsaki stopnji procesa, začenši z oblikovanjem posebnih ukrepov stanovanjske politike za povečanje ponudbe socialnih in cenovno dostopnih stanovanj na način, ki spodbuja tudi zasebne naložbe. Zagotavljanje stanovanj mora biti povezano s socialno podporo, pomočjo pri pridobitvi stanovanj, storitvami zdravstvenega varstva in dolgotrajne oskrbe, storitvami vključevanja na trg dela ter drugimi osnovnimi storitvami, da se obravnavajo večplastni izzivi, povezani s stanovanjsko izključenostjo in brezdomstvom</w:t>
      </w:r>
      <w:r w:rsidR="001D4623" w:rsidRPr="009E2049">
        <w:rPr>
          <w:noProof/>
        </w:rPr>
        <w:t>.</w:t>
      </w:r>
      <w:r w:rsidRPr="009E2049">
        <w:rPr>
          <w:noProof/>
        </w:rPr>
        <w:t xml:space="preserve"> </w:t>
      </w:r>
    </w:p>
    <w:p w14:paraId="70EB46A6" w14:textId="77777777" w:rsidR="002224A1" w:rsidRPr="009E2049" w:rsidRDefault="002224A1" w:rsidP="00ED7527">
      <w:pPr>
        <w:rPr>
          <w:noProof/>
        </w:rPr>
      </w:pPr>
      <w:r w:rsidRPr="009E2049">
        <w:rPr>
          <w:b/>
          <w:noProof/>
        </w:rPr>
        <w:t>Kakovost je ključna za trajnostnost stanovanj ter dostojanstvo in dobro počutje posameznika</w:t>
      </w:r>
      <w:r w:rsidRPr="009E2049">
        <w:rPr>
          <w:noProof/>
        </w:rPr>
        <w:t xml:space="preserve">. Minimalni standardi za dostojno stanovanje vključujejo varnostne pogoje za zaščito stanovalcev pred nevarnostmi, kot so zrušenje konstrukcije, požar, neustrezni sanitarni pogoji in okoljske nevarnosti, pa tudi prilagoditve zaradi dostopnosti, kadar je to ustrezno. Varnost stanovanja zahteva ustrezne osnovne storitve (npr. elektriko, ogrevanje in tekočo vodo) ter zaščito pred vremenskimi vplivi, težavami s konstrukcijo in drugimi nevarnostmi. Kakovostna stanovanja vključujejo tudi dobro energijsko učinkovitost, da gospodinjstva ne bi zapadla v energetsko revščino, ter zadosten bivalni prostor na osebo, da se prepreči prenaseljenost. </w:t>
      </w:r>
    </w:p>
    <w:p w14:paraId="0D023D6D" w14:textId="77777777" w:rsidR="0B2BA4A7" w:rsidRPr="009E2049" w:rsidRDefault="7190567F" w:rsidP="00ED7527">
      <w:pPr>
        <w:rPr>
          <w:rFonts w:eastAsia="Calibri"/>
          <w:noProof/>
        </w:rPr>
      </w:pPr>
      <w:r w:rsidRPr="009E2049">
        <w:rPr>
          <w:b/>
          <w:noProof/>
        </w:rPr>
        <w:t xml:space="preserve">Strateške okvire za boj proti brezdomstvu </w:t>
      </w:r>
      <w:r w:rsidRPr="009E2049">
        <w:rPr>
          <w:noProof/>
        </w:rPr>
        <w:t>ima trenutno 19 držav članic, bodisi na nacionalni bodisi na podnacionalni ravni. Te strategije dajejo prednost zagotavljanju socialnih in cenovno dostopnih stanovanj ter celoviti podpori ljudem, ki se soočajo z brezdomstvom. Preprečevanje brezdomstva ter prehod z zasilne in začasne nastanitve na dolgoročne stanovanjske rešitve, vključno z razvojem ali širitvijo pristopov, kot je „najprej stanovanje“, so v središču politik v več državah.</w:t>
      </w:r>
    </w:p>
    <w:p w14:paraId="29FB4076" w14:textId="060F12C6" w:rsidR="008F4F37" w:rsidRPr="009E2049" w:rsidRDefault="008F4F37" w:rsidP="00ED7527">
      <w:pPr>
        <w:rPr>
          <w:rFonts w:eastAsia="Calibri"/>
          <w:noProof/>
        </w:rPr>
      </w:pPr>
      <w:r w:rsidRPr="009E2049">
        <w:rPr>
          <w:b/>
          <w:noProof/>
        </w:rPr>
        <w:t>Učinkovite strategije za obravnavanje stanovanjske izključenosti in brezdomstva morajo dati prednost preprečevanju</w:t>
      </w:r>
      <w:r w:rsidRPr="009E2049">
        <w:rPr>
          <w:noProof/>
        </w:rPr>
        <w:t xml:space="preserve">, za katero pa pogosto ni zadostnih sredstev. Čeprav so preventivni pristopi gospodarnejši od reaktivnih pristopov, jih pogosto zasenčijo hitri nujni odzivi. Storitve zgodnjega ukrepanja, vključno z mediacijo pri zaostalih plačilih najemnine, svetovanjem glede dolgov iz naslova najemnine ali hipoteke, pravno pomočjo glede pravic najemnikov in najemodajalcev, sistemi zgodnjega opozarjanja ter kratkoročno finančno pomočjo, se zagotavljajo nedosledno in so lahko težko dostopne. Izboljšanje teh storitev, prilagojena podpora posameznikom, ki zapuščajo </w:t>
      </w:r>
      <w:r w:rsidR="001D4623" w:rsidRPr="009E2049">
        <w:rPr>
          <w:noProof/>
        </w:rPr>
        <w:t>ustanove</w:t>
      </w:r>
      <w:r w:rsidRPr="009E2049">
        <w:rPr>
          <w:noProof/>
        </w:rPr>
        <w:t>, ter ustrezna finančna pomoč za povečanje koriščenja prejemkov so ključni za prekinitev kroga, ki vodi v brezdomstvo.</w:t>
      </w:r>
    </w:p>
    <w:p w14:paraId="26E4BBBF" w14:textId="77777777" w:rsidR="00BD7A63" w:rsidRPr="009E2049" w:rsidRDefault="007F6B16" w:rsidP="00BD7A63">
      <w:pPr>
        <w:rPr>
          <w:noProof/>
        </w:rPr>
      </w:pPr>
      <w:r w:rsidRPr="009E2049">
        <w:rPr>
          <w:noProof/>
        </w:rPr>
        <w:t xml:space="preserve">Preventivni ukrepi lahko obravnavajo tudi samovoljne ali prisilne </w:t>
      </w:r>
      <w:r w:rsidRPr="009E2049">
        <w:rPr>
          <w:b/>
          <w:noProof/>
        </w:rPr>
        <w:t>izselitve</w:t>
      </w:r>
      <w:r w:rsidRPr="009E2049">
        <w:rPr>
          <w:noProof/>
        </w:rPr>
        <w:t>. Čeprav j</w:t>
      </w:r>
      <w:r w:rsidRPr="009E2049">
        <w:rPr>
          <w:noProof/>
          <w:color w:val="000000"/>
        </w:rPr>
        <w:t xml:space="preserve">e težko pridobiti celovite, zanesljive in primerljive podatke o izselitvah, na primer o številu obvestil o izselitvi, postopkov za izselitev ali nalogov za izselitev, in o tem, ali podatki zajemajo vse </w:t>
      </w:r>
      <w:r w:rsidRPr="009E2049">
        <w:rPr>
          <w:noProof/>
          <w:color w:val="000000"/>
        </w:rPr>
        <w:lastRenderedPageBreak/>
        <w:t>izselitve ali le tiste, ki jih opravijo organi pregona, OECD ocenjuje, da se v državah OECD vsako leto začne vsaj 2,4 milijona uradnih postopkov izselitve.</w:t>
      </w:r>
    </w:p>
    <w:p w14:paraId="0A1934E8" w14:textId="330F6CDF" w:rsidR="008D3E29" w:rsidRPr="009E2049" w:rsidRDefault="005D5924" w:rsidP="00BD7A63">
      <w:pPr>
        <w:rPr>
          <w:rFonts w:eastAsia="Calibri"/>
          <w:noProof/>
        </w:rPr>
      </w:pPr>
      <w:r w:rsidRPr="009E2049">
        <w:rPr>
          <w:noProof/>
        </w:rPr>
        <w:t>Za zmanjšanje tveganj izselitve in brezdomstva bi bilo treba razviti blažitvene ukrepe in mehanizme sodelovanja. Države morajo v skladu z Evropsko konvencijo o človekovih pravicah in Evropsko socialno listino osebam, ki jim grozi izselitev, zagotoviti pravno varstvo. To vključuje posvetovanje s prizadetimi stranmi, da se najdejo alternativne rešitve, določitev plačilnih načrtov za zagotovitev plačevanja najemnin in hipotek, določitev razumnega roka za obvestilo o izselitvi, prepoved izselitev ponoči ali pozimi, kadar je to mogoče, zagotavljanje pravnih sredstev in pomoči v primeru nezakonitih izselitev ter zagotavljanje odškodnine za nezakonite izselitve. V primeru izselitev je treba spoštovati dostojanstvo in pravice posameznikov</w:t>
      </w:r>
      <w:r w:rsidR="00EC73A7" w:rsidRPr="009E2049">
        <w:rPr>
          <w:noProof/>
        </w:rPr>
        <w:t xml:space="preserve"> ter jim</w:t>
      </w:r>
      <w:r w:rsidRPr="009E2049">
        <w:rPr>
          <w:noProof/>
        </w:rPr>
        <w:t xml:space="preserve"> zagotoviti nadomestno nastanitev. </w:t>
      </w:r>
    </w:p>
    <w:p w14:paraId="5C4B72A1" w14:textId="07691E17" w:rsidR="008F4F37" w:rsidRPr="009E2049" w:rsidRDefault="008F4F37" w:rsidP="00ED7527">
      <w:pPr>
        <w:rPr>
          <w:rFonts w:eastAsia="Calibri"/>
          <w:noProof/>
        </w:rPr>
      </w:pPr>
      <w:r w:rsidRPr="009E2049">
        <w:rPr>
          <w:b/>
          <w:noProof/>
        </w:rPr>
        <w:t>Učinkovita strategija za odpravljanje stanovanjske izključenosti in brezdomstva</w:t>
      </w:r>
      <w:r w:rsidRPr="009E2049">
        <w:rPr>
          <w:noProof/>
        </w:rPr>
        <w:t xml:space="preserve"> bi morala zato vključevati povečanje ponudbe socialnih in cenovno dostopnih stanovanj za stabilne srednje- in dolgoročne rešitve ter ukrepe za preprečevanje in ponovno nastanitev z zaščito oseb v negotovi stanovanjski situaciji pred izselitvijo, zgodnjim ukrepanjem ob zaostalih plačilih najemnine, tudi s finančnim svetovanjem in svetovanjem glede dolgov, ter zagotavljanjem dostopa do ustreznih socialnih storitev, storitev zaposlovanja, zdravstvenih storitev in storitev oskrbe.</w:t>
      </w:r>
    </w:p>
    <w:p w14:paraId="557979C1" w14:textId="77777777" w:rsidR="00C578AE" w:rsidRPr="009E2049" w:rsidRDefault="00C578AE">
      <w:pPr>
        <w:pStyle w:val="ManualHeading2"/>
        <w:rPr>
          <w:rFonts w:eastAsia="Arial Unicode MS"/>
          <w:noProof/>
          <w:color w:val="000000"/>
          <w:u w:color="000000"/>
          <w:bdr w:val="nil"/>
        </w:rPr>
      </w:pPr>
      <w:r w:rsidRPr="009E2049">
        <w:rPr>
          <w:noProof/>
          <w:color w:val="000000"/>
          <w:u w:color="000000"/>
          <w:bdr w:val="nil"/>
        </w:rPr>
        <w:t>•</w:t>
      </w:r>
      <w:r w:rsidRPr="009E2049">
        <w:rPr>
          <w:noProof/>
        </w:rPr>
        <w:tab/>
        <w:t>Skladnost z veljavnimi predpisi s področja zadevne politike</w:t>
      </w:r>
    </w:p>
    <w:p w14:paraId="3040D734" w14:textId="77777777" w:rsidR="0051699B" w:rsidRPr="009E2049" w:rsidRDefault="00AB0D67" w:rsidP="00AB0D67">
      <w:pPr>
        <w:pBdr>
          <w:top w:val="nil"/>
          <w:left w:val="nil"/>
          <w:bottom w:val="nil"/>
          <w:right w:val="nil"/>
          <w:between w:val="nil"/>
          <w:bar w:val="nil"/>
        </w:pBdr>
        <w:spacing w:before="0" w:after="240"/>
        <w:rPr>
          <w:rFonts w:eastAsia="Arial Unicode MS"/>
          <w:noProof/>
        </w:rPr>
      </w:pPr>
      <w:r w:rsidRPr="009E2049">
        <w:rPr>
          <w:noProof/>
        </w:rPr>
        <w:t xml:space="preserve">Predlog prispeva k izvajanju </w:t>
      </w:r>
      <w:r w:rsidRPr="009E2049">
        <w:rPr>
          <w:b/>
          <w:noProof/>
        </w:rPr>
        <w:t xml:space="preserve">načela 19 evropskega stebra socialnih pravic o stanovanjih in pomoči za brezdomce. </w:t>
      </w:r>
      <w:r w:rsidRPr="009E2049">
        <w:rPr>
          <w:noProof/>
        </w:rPr>
        <w:t xml:space="preserve">To načelo priznava, da bi morali socialno ogroženi imeti dostop do socialnih stanovanj ali kakovostne pomoči pri pridobitvi stanovanj; da imajo ranljive osebe pravico do zaščite pred prisilno izselitvijo in da je treba brezdomcem zagotoviti primerno nastanitev in storitve. </w:t>
      </w:r>
    </w:p>
    <w:p w14:paraId="428CA38F" w14:textId="52574B23" w:rsidR="009A2B0D" w:rsidRPr="009E2049" w:rsidRDefault="00882C93" w:rsidP="00F422C3">
      <w:pPr>
        <w:pBdr>
          <w:top w:val="nil"/>
          <w:left w:val="nil"/>
          <w:bottom w:val="nil"/>
          <w:right w:val="nil"/>
          <w:between w:val="nil"/>
          <w:bar w:val="nil"/>
        </w:pBdr>
        <w:spacing w:before="0" w:after="240"/>
        <w:rPr>
          <w:noProof/>
        </w:rPr>
      </w:pPr>
      <w:r w:rsidRPr="009E2049">
        <w:rPr>
          <w:noProof/>
        </w:rPr>
        <w:t xml:space="preserve">Sklepi predsedstva o prihodnjem evropskem načrtu za cenovno dostopna stanovanja z dne 1. decembra 2025 pozivajo k okrepljenemu sodelovanju na ravni EU, ki temelji na delu evropske platforme za boj proti brezdomstvu in jo dodatno krepi ter na stanovanjsko usmerjenih politikah, kot je načelo „najprej stanovanje“. Komisijo tudi pozivajo, naj prouči, ali lahko priporočilo Sveta prispeva k temu cilju. Decembra 2025 je Evropska komisija predstavila </w:t>
      </w:r>
      <w:r w:rsidRPr="009E2049">
        <w:rPr>
          <w:b/>
          <w:noProof/>
        </w:rPr>
        <w:t>evropski načrt za cenovno dostopna stanovanja</w:t>
      </w:r>
      <w:r w:rsidRPr="009E2049">
        <w:rPr>
          <w:noProof/>
        </w:rPr>
        <w:t xml:space="preserve">, ki je prvi okvir na ravni EU za reševanje stanovanjske krize. Načrt zajema štiri stebre: (i) povečanje ponudbe stanovanj, (ii) mobilizacija naložb, (iii) zagotavljanje takojšnje podpore in pospeševanje reform in (iv) zaščita oseb, ki jih je stanovanjska izključenost najbolj prizadela. Ukrep 10 načrta, osredotočen na obravnavanje brezdomstva ter podporo najemnikom in gospodinjstvom v ranljivem položaju, predlaga priporočilo Sveta o boju proti stanovanjski izključenosti za podporo ranljivim osebam v negotovi stanovanjski situaciji ter za preprečevanje in odpravljanje brezdomstva. </w:t>
      </w:r>
    </w:p>
    <w:p w14:paraId="286B6B3C" w14:textId="77777777" w:rsidR="00AB0D67" w:rsidRPr="009E2049" w:rsidRDefault="00A667D7" w:rsidP="00ED7527">
      <w:pPr>
        <w:rPr>
          <w:rFonts w:eastAsia="Calibri"/>
          <w:noProof/>
        </w:rPr>
      </w:pPr>
      <w:r w:rsidRPr="009E2049">
        <w:rPr>
          <w:noProof/>
        </w:rPr>
        <w:t xml:space="preserve">Z </w:t>
      </w:r>
      <w:r w:rsidRPr="009E2049">
        <w:rPr>
          <w:b/>
          <w:noProof/>
        </w:rPr>
        <w:t>Lizbonsko izjavo o evropski platformi za boj proti brezdomstvu</w:t>
      </w:r>
      <w:r w:rsidRPr="009E2049">
        <w:rPr>
          <w:noProof/>
        </w:rPr>
        <w:t xml:space="preserve"> je bila vzpostavljena </w:t>
      </w:r>
      <w:r w:rsidRPr="009E2049">
        <w:rPr>
          <w:b/>
          <w:noProof/>
        </w:rPr>
        <w:t>evropska platforma za boj proti brezdomstvu</w:t>
      </w:r>
      <w:r w:rsidRPr="009E2049">
        <w:rPr>
          <w:noProof/>
        </w:rPr>
        <w:t xml:space="preserve"> (v nadaljnjem besedilu: platforma), ki spodbuja (i) primerljive in zanesljive podatke ter spremljanje, (ii) izmenjavo znanja ter (iii) izboljšanje dostopa do financiranja skupaj z (iv) vključevanjem stanovanjske izključenosti in brezdomstva v vse ustrezne politike Unije. Ta predlog temelji na doslej opravljenem delu in spoznanjih, pridobljenih prek platforme.</w:t>
      </w:r>
    </w:p>
    <w:p w14:paraId="3BFD9ECF" w14:textId="77777777" w:rsidR="004843BA" w:rsidRPr="009E2049" w:rsidRDefault="00AB0D67" w:rsidP="004843BA">
      <w:pPr>
        <w:pStyle w:val="Text1"/>
        <w:ind w:left="0"/>
        <w:rPr>
          <w:noProof/>
        </w:rPr>
      </w:pPr>
      <w:r w:rsidRPr="009E2049">
        <w:rPr>
          <w:noProof/>
        </w:rPr>
        <w:t xml:space="preserve">Komisija je ob polnem spoštovanju pristojnosti držav članic na tem področju znatno okrepila svoj prispevek na področju stanovanjskih politik. Čeprav so za stanovanjsko področje večinoma pristojni nacionalni, regionalni in lokalni organi, so se razmere iz lokalnega nepremičninskega vprašanja razvile v sistemsko </w:t>
      </w:r>
      <w:r w:rsidRPr="009E2049">
        <w:rPr>
          <w:b/>
          <w:noProof/>
        </w:rPr>
        <w:t>stanovanjsko krizo.</w:t>
      </w:r>
      <w:r w:rsidRPr="009E2049">
        <w:rPr>
          <w:noProof/>
        </w:rPr>
        <w:t xml:space="preserve"> </w:t>
      </w:r>
      <w:r w:rsidRPr="009E2049">
        <w:rPr>
          <w:b/>
          <w:bCs/>
          <w:noProof/>
        </w:rPr>
        <w:t>Priporočilo Sveta</w:t>
      </w:r>
      <w:r w:rsidRPr="009E2049">
        <w:rPr>
          <w:noProof/>
        </w:rPr>
        <w:t xml:space="preserve"> iz </w:t>
      </w:r>
      <w:r w:rsidRPr="009E2049">
        <w:rPr>
          <w:noProof/>
        </w:rPr>
        <w:lastRenderedPageBreak/>
        <w:t xml:space="preserve">leta 2023 </w:t>
      </w:r>
      <w:r w:rsidRPr="009E2049">
        <w:rPr>
          <w:b/>
          <w:noProof/>
        </w:rPr>
        <w:t>o zadostnem minimalnem dohodku za aktivno vključevanje</w:t>
      </w:r>
      <w:r w:rsidRPr="009E2049">
        <w:rPr>
          <w:noProof/>
        </w:rPr>
        <w:t xml:space="preserve"> dostop do stanovanj opredeljuje kot eno od omogočitvenih storitev, ki lahko posameznikom brez zadostnih sredstev pomagajo pri vključevanju v družbo in, kadar je ustrezno, na trg dela ter pri dostopu do drugih takih storitev in dohodkovne podpore.</w:t>
      </w:r>
    </w:p>
    <w:p w14:paraId="0BC24604" w14:textId="77777777" w:rsidR="00C578AE" w:rsidRPr="009E2049" w:rsidRDefault="00C578AE">
      <w:pPr>
        <w:pStyle w:val="ManualHeading2"/>
        <w:rPr>
          <w:rFonts w:eastAsia="Arial Unicode MS"/>
          <w:noProof/>
        </w:rPr>
      </w:pPr>
      <w:r w:rsidRPr="009E2049">
        <w:rPr>
          <w:noProof/>
          <w:color w:val="000000"/>
          <w:u w:color="000000"/>
          <w:bdr w:val="nil"/>
        </w:rPr>
        <w:t>•</w:t>
      </w:r>
      <w:r w:rsidRPr="009E2049">
        <w:rPr>
          <w:noProof/>
        </w:rPr>
        <w:tab/>
        <w:t>Skladnost z drugimi politikami Unije</w:t>
      </w:r>
    </w:p>
    <w:p w14:paraId="3704C0A0" w14:textId="3B60457A" w:rsidR="00C52196" w:rsidRPr="009E2049" w:rsidRDefault="001C56C6" w:rsidP="00353E62">
      <w:pPr>
        <w:pBdr>
          <w:top w:val="nil"/>
          <w:left w:val="nil"/>
          <w:bottom w:val="nil"/>
          <w:right w:val="nil"/>
          <w:between w:val="nil"/>
          <w:bar w:val="nil"/>
        </w:pBdr>
        <w:spacing w:before="0" w:after="240"/>
        <w:rPr>
          <w:rFonts w:eastAsia="Arial Unicode MS"/>
          <w:noProof/>
        </w:rPr>
      </w:pPr>
      <w:r w:rsidRPr="009E2049">
        <w:rPr>
          <w:b/>
          <w:noProof/>
        </w:rPr>
        <w:t>Evropsko jamstvo za otroke</w:t>
      </w:r>
      <w:r w:rsidRPr="009E2049">
        <w:rPr>
          <w:noProof/>
        </w:rPr>
        <w:t>, sprejeto leta 2021, je namenjeno preprečevanju socialne izključenosti in boju proti njej, saj državam članicam priporoča, naj zagotovijo, da imajo otroci, ki potrebujejo pomoč, dejanski dostop do sklopa ključnih storitev, vključno s primernim stanovanjem. V njem se priporoča, naj države članice upoštevajo konkretne prikrajšanosti, ki jih imajo brezdomski otroci ali otroci, ki se spopadajo z resno stanovanjsko prikrajšanostjo, ter zagotovijo, da imajo ti otroci skupaj s svojimi družinami dostop do „ustrezne na</w:t>
      </w:r>
      <w:r w:rsidR="00EC73A7" w:rsidRPr="009E2049">
        <w:rPr>
          <w:noProof/>
        </w:rPr>
        <w:t>stanitve</w:t>
      </w:r>
      <w:r w:rsidRPr="009E2049">
        <w:rPr>
          <w:noProof/>
        </w:rPr>
        <w:t xml:space="preserve">“ ter do ustreznih socialnih in svetovalnih storitev. </w:t>
      </w:r>
    </w:p>
    <w:p w14:paraId="4C5E844E" w14:textId="77777777" w:rsidR="0035599E" w:rsidRPr="009E2049" w:rsidRDefault="00306004" w:rsidP="00353E62">
      <w:pPr>
        <w:pBdr>
          <w:top w:val="nil"/>
          <w:left w:val="nil"/>
          <w:bottom w:val="nil"/>
          <w:right w:val="nil"/>
          <w:between w:val="nil"/>
          <w:bar w:val="nil"/>
        </w:pBdr>
        <w:spacing w:before="0" w:after="240"/>
        <w:rPr>
          <w:rFonts w:eastAsia="Arial Unicode MS"/>
          <w:noProof/>
        </w:rPr>
      </w:pPr>
      <w:r w:rsidRPr="009E2049">
        <w:rPr>
          <w:b/>
          <w:noProof/>
        </w:rPr>
        <w:t xml:space="preserve">Priporočilo Sveta o dostopu do cenovno dostopne visokokakovostne dolgotrajne oskrbe </w:t>
      </w:r>
      <w:r w:rsidRPr="009E2049">
        <w:rPr>
          <w:noProof/>
        </w:rPr>
        <w:t>države članice poziva, naj razširijo storitve formalne dolgotrajne oskrbe, zlasti oskrbo na domu in oskrbo v skupnosti. Stanovanja, prilagojena spreminjajočim se potrebam posameznikov po oskrbi, so temeljni pogoj za staranje v domačem okolju, saj omogočajo oskrbo na domu.</w:t>
      </w:r>
    </w:p>
    <w:p w14:paraId="6106776E" w14:textId="77777777" w:rsidR="0022205D" w:rsidRPr="009E2049" w:rsidRDefault="0022205D" w:rsidP="00353E62">
      <w:pPr>
        <w:pBdr>
          <w:top w:val="nil"/>
          <w:left w:val="nil"/>
          <w:bottom w:val="nil"/>
          <w:right w:val="nil"/>
          <w:between w:val="nil"/>
          <w:bar w:val="nil"/>
        </w:pBdr>
        <w:spacing w:before="0" w:after="240"/>
        <w:rPr>
          <w:noProof/>
        </w:rPr>
      </w:pPr>
      <w:r w:rsidRPr="009E2049">
        <w:rPr>
          <w:b/>
          <w:noProof/>
        </w:rPr>
        <w:t>Akcijski načrt za socialno gospodarstvo</w:t>
      </w:r>
      <w:r w:rsidRPr="009E2049">
        <w:rPr>
          <w:noProof/>
        </w:rPr>
        <w:t xml:space="preserve"> iz leta 2021 in povezano </w:t>
      </w:r>
      <w:r w:rsidRPr="009E2049">
        <w:rPr>
          <w:b/>
          <w:noProof/>
        </w:rPr>
        <w:t>priporočilo Sveta</w:t>
      </w:r>
      <w:r w:rsidRPr="009E2049">
        <w:rPr>
          <w:noProof/>
        </w:rPr>
        <w:t xml:space="preserve"> iz leta 2023 </w:t>
      </w:r>
      <w:r w:rsidRPr="009E2049">
        <w:rPr>
          <w:b/>
          <w:noProof/>
        </w:rPr>
        <w:t xml:space="preserve">o razvoju okvirnih pogojev za socialno gospodarstvo </w:t>
      </w:r>
      <w:r w:rsidRPr="009E2049">
        <w:rPr>
          <w:noProof/>
        </w:rPr>
        <w:t xml:space="preserve">sta namenjena izboljšanju okvirnih pogojev za organizacije socialnega gospodarstva po vsej Evropi. Številne organizacije socialnega gospodarstva si prizadevajo spodbujati socialno vključenost marginaliziranih in prikrajšanih ljudi, tudi z vključevanjem na trg dela ter zagotavljanjem cenovno dostopnih in vključujočih stanovanj in drugih ustreznih socialnih storitev (kot sta pravna in praktična podpora najemnikom). </w:t>
      </w:r>
    </w:p>
    <w:p w14:paraId="5020A1A8" w14:textId="77777777" w:rsidR="00EF2059" w:rsidRPr="009E2049" w:rsidRDefault="00E56715" w:rsidP="00BB5BCC">
      <w:pPr>
        <w:pBdr>
          <w:top w:val="nil"/>
          <w:left w:val="nil"/>
          <w:bottom w:val="nil"/>
          <w:right w:val="nil"/>
          <w:between w:val="nil"/>
          <w:bar w:val="nil"/>
        </w:pBdr>
        <w:spacing w:before="0" w:after="240"/>
        <w:rPr>
          <w:noProof/>
        </w:rPr>
      </w:pPr>
      <w:r w:rsidRPr="009E2049">
        <w:rPr>
          <w:noProof/>
        </w:rPr>
        <w:t xml:space="preserve">V </w:t>
      </w:r>
      <w:r w:rsidRPr="009E2049">
        <w:rPr>
          <w:b/>
          <w:noProof/>
        </w:rPr>
        <w:t>strategiji za medgeneracijsko pravičnost</w:t>
      </w:r>
      <w:r w:rsidRPr="009E2049">
        <w:rPr>
          <w:noProof/>
        </w:rPr>
        <w:t xml:space="preserve"> je navedeno, da je dostop do cenovno dostopnih in trajnostnih stanovanj, kakovostnih javnih storitev, vključno s socialnimi storitvami in storitvami oskrbe, prevoza, digitalne povezljivosti, socialne infrastrukture in rekreacijskih zmogljivosti ključnega pomena za to, ali lahko ljudje ostanejo v svojih skupnostih, se vrnejo vanje ali si v njih ustvarijo prihodnost. </w:t>
      </w:r>
    </w:p>
    <w:p w14:paraId="0EE69D0D" w14:textId="77777777" w:rsidR="00504CF8" w:rsidRPr="009E2049" w:rsidRDefault="0078108A" w:rsidP="00504CF8">
      <w:pPr>
        <w:pBdr>
          <w:top w:val="nil"/>
          <w:left w:val="nil"/>
          <w:bottom w:val="nil"/>
          <w:right w:val="nil"/>
          <w:between w:val="nil"/>
          <w:bar w:val="nil"/>
        </w:pBdr>
        <w:spacing w:before="0" w:after="240"/>
        <w:rPr>
          <w:rFonts w:eastAsia="Arial Unicode MS"/>
          <w:noProof/>
        </w:rPr>
      </w:pPr>
      <w:r w:rsidRPr="009E2049">
        <w:rPr>
          <w:noProof/>
        </w:rPr>
        <w:t xml:space="preserve">V </w:t>
      </w:r>
      <w:r w:rsidRPr="009E2049">
        <w:rPr>
          <w:b/>
          <w:noProof/>
        </w:rPr>
        <w:t xml:space="preserve">Sporočilu Komisije iz leta 2023 o celovitem pristopu k duševnemu zdravju </w:t>
      </w:r>
      <w:r w:rsidRPr="009E2049">
        <w:rPr>
          <w:noProof/>
        </w:rPr>
        <w:t>so brezdomci opredeljeni kot ranljiva skupina, ki potrebuje ciljno usmerjeno podporo. V sporočilu je tudi priznano, da stanovanjska izključenost prispeva k slabemu duševnemu zdravju in invalidnosti.</w:t>
      </w:r>
    </w:p>
    <w:p w14:paraId="4023A83B" w14:textId="77777777" w:rsidR="00303B70" w:rsidRPr="009E2049" w:rsidRDefault="00303B70" w:rsidP="00303B70">
      <w:pPr>
        <w:pBdr>
          <w:top w:val="nil"/>
          <w:left w:val="nil"/>
          <w:bottom w:val="nil"/>
          <w:right w:val="nil"/>
          <w:between w:val="nil"/>
          <w:bar w:val="nil"/>
        </w:pBdr>
        <w:spacing w:before="0" w:after="240"/>
        <w:rPr>
          <w:rFonts w:eastAsia="Arial Unicode MS"/>
          <w:noProof/>
        </w:rPr>
      </w:pPr>
      <w:r w:rsidRPr="009E2049">
        <w:rPr>
          <w:b/>
          <w:noProof/>
        </w:rPr>
        <w:t>Akcijski načrt za integracijo in vključevanje za obdobje 2021–2027</w:t>
      </w:r>
      <w:r w:rsidRPr="009E2049">
        <w:rPr>
          <w:noProof/>
        </w:rPr>
        <w:t xml:space="preserve"> zagotavlja celovit okvir za podporo tako migrantom kot državljanom EU z migrantskim ozadjem. Temelji na načelu „vključevanje vseh“ ter določa ukrepe za okrepitev ukrepanja in združitev akterjev na vseh ravneh za pospeševanje integracije in vključevanja, s čimer spodbuja povezane družbe na štirih področjih: izobraževanje, zaposlovanje, zdravje in stanovanja.</w:t>
      </w:r>
    </w:p>
    <w:p w14:paraId="32F9B53A" w14:textId="77777777" w:rsidR="005F505C" w:rsidRPr="009E2049" w:rsidRDefault="005F505C" w:rsidP="00303B70">
      <w:pPr>
        <w:pBdr>
          <w:top w:val="nil"/>
          <w:left w:val="nil"/>
          <w:bottom w:val="nil"/>
          <w:right w:val="nil"/>
          <w:between w:val="nil"/>
          <w:bar w:val="nil"/>
        </w:pBdr>
        <w:spacing w:before="0" w:after="240"/>
        <w:rPr>
          <w:rFonts w:eastAsia="Arial Unicode MS"/>
          <w:noProof/>
        </w:rPr>
      </w:pPr>
      <w:r w:rsidRPr="009E2049">
        <w:rPr>
          <w:noProof/>
        </w:rPr>
        <w:t xml:space="preserve">V </w:t>
      </w:r>
      <w:r w:rsidRPr="009E2049">
        <w:rPr>
          <w:b/>
          <w:noProof/>
        </w:rPr>
        <w:t>dolgoročni viziji za podeželska območja EU</w:t>
      </w:r>
      <w:r w:rsidRPr="009E2049">
        <w:rPr>
          <w:rStyle w:val="FootnoteReference"/>
          <w:rFonts w:eastAsia="Arial Unicode MS"/>
          <w:noProof/>
        </w:rPr>
        <w:footnoteReference w:id="6"/>
      </w:r>
      <w:r w:rsidRPr="009E2049">
        <w:rPr>
          <w:noProof/>
        </w:rPr>
        <w:t xml:space="preserve"> je določen celovit okvir za močnejša, povezana, odporna in uspešna podeželska območja do leta 2040. Eden od ciljev dolgoročne vizije je obravnavanje dostopa do osnovnih storitev, vključno s stanovanji na podeželju. Posodobljeni akcijski načrt za podeželje, ki bo objavljen leta 2026, naj bi vključeval en ukrep za obravnavanje vprašanja stanovanj na podeželju.</w:t>
      </w:r>
    </w:p>
    <w:p w14:paraId="30AA4B16" w14:textId="77777777" w:rsidR="006D6F50" w:rsidRPr="009E2049" w:rsidRDefault="00005BA0" w:rsidP="00763768">
      <w:pPr>
        <w:pBdr>
          <w:top w:val="nil"/>
          <w:left w:val="nil"/>
          <w:bottom w:val="nil"/>
          <w:right w:val="nil"/>
          <w:between w:val="nil"/>
          <w:bar w:val="nil"/>
        </w:pBdr>
        <w:spacing w:before="0" w:after="240"/>
        <w:rPr>
          <w:rFonts w:eastAsia="Arial Unicode MS"/>
          <w:noProof/>
        </w:rPr>
      </w:pPr>
      <w:r w:rsidRPr="009E2049">
        <w:rPr>
          <w:noProof/>
        </w:rPr>
        <w:lastRenderedPageBreak/>
        <w:t xml:space="preserve">V </w:t>
      </w:r>
      <w:r w:rsidRPr="009E2049">
        <w:rPr>
          <w:b/>
          <w:noProof/>
        </w:rPr>
        <w:t>strategiji EU za boj proti rasizmu 2026–2030</w:t>
      </w:r>
      <w:r w:rsidRPr="009E2049">
        <w:rPr>
          <w:noProof/>
        </w:rPr>
        <w:t xml:space="preserve">, sprejeti januarja 2026, je priznano, da se osebe iz rasnih in etničnih manjšin pri dostopu do stanovanj spopadajo z diskriminacijo in ovirami. Rasizirane skupnosti, vključno z Romi, se spopadajo z neenakimi pogoji pri dostopu do stanovanj ter nesorazmerno velikimi tveganji prenaseljenosti, slabih življenjskih razmer, brezdomstva in segregacije. </w:t>
      </w:r>
    </w:p>
    <w:p w14:paraId="100F5CBE" w14:textId="77777777" w:rsidR="00BE2C9A" w:rsidRPr="009E2049" w:rsidRDefault="00721226" w:rsidP="00763768">
      <w:pPr>
        <w:pBdr>
          <w:top w:val="nil"/>
          <w:left w:val="nil"/>
          <w:bottom w:val="nil"/>
          <w:right w:val="nil"/>
          <w:between w:val="nil"/>
          <w:bar w:val="nil"/>
        </w:pBdr>
        <w:spacing w:before="0" w:after="240"/>
        <w:rPr>
          <w:rFonts w:eastAsia="Arial Unicode MS"/>
          <w:noProof/>
        </w:rPr>
      </w:pPr>
      <w:r w:rsidRPr="009E2049">
        <w:rPr>
          <w:b/>
          <w:noProof/>
        </w:rPr>
        <w:t>Strategija za enakost spolov za obdobje 2026–2030</w:t>
      </w:r>
      <w:r w:rsidRPr="009E2049">
        <w:rPr>
          <w:noProof/>
        </w:rPr>
        <w:t xml:space="preserve"> je bila</w:t>
      </w:r>
      <w:r w:rsidRPr="009E2049">
        <w:rPr>
          <w:b/>
          <w:noProof/>
        </w:rPr>
        <w:t xml:space="preserve"> </w:t>
      </w:r>
      <w:r w:rsidRPr="009E2049">
        <w:rPr>
          <w:noProof/>
        </w:rPr>
        <w:t>sprejeta</w:t>
      </w:r>
      <w:r w:rsidRPr="009E2049">
        <w:rPr>
          <w:b/>
          <w:noProof/>
        </w:rPr>
        <w:t xml:space="preserve"> </w:t>
      </w:r>
      <w:r w:rsidRPr="009E2049">
        <w:rPr>
          <w:noProof/>
        </w:rPr>
        <w:t xml:space="preserve">marca 2026, v njej pa je Komisija v skladu z evropskim načrtom za cenovno dostopna stanovanja napovedala, da namerava stanovanjsko izključenost obravnavati s predlogom priporočila Sveta. </w:t>
      </w:r>
    </w:p>
    <w:p w14:paraId="38659F05" w14:textId="77777777" w:rsidR="000E4099" w:rsidRPr="009E2049" w:rsidRDefault="00763768" w:rsidP="00460269">
      <w:pPr>
        <w:pBdr>
          <w:top w:val="nil"/>
          <w:left w:val="nil"/>
          <w:bottom w:val="nil"/>
          <w:right w:val="nil"/>
          <w:between w:val="nil"/>
          <w:bar w:val="nil"/>
        </w:pBdr>
        <w:spacing w:before="0" w:after="240"/>
        <w:rPr>
          <w:rFonts w:eastAsia="Arial Unicode MS"/>
          <w:noProof/>
        </w:rPr>
      </w:pPr>
      <w:r w:rsidRPr="009E2049">
        <w:rPr>
          <w:noProof/>
        </w:rPr>
        <w:t xml:space="preserve">Namen </w:t>
      </w:r>
      <w:r w:rsidRPr="009E2049">
        <w:rPr>
          <w:b/>
          <w:noProof/>
        </w:rPr>
        <w:t>strategije o pravicah invalidov za obdobje 2021–2030</w:t>
      </w:r>
      <w:r w:rsidRPr="009E2049">
        <w:rPr>
          <w:noProof/>
        </w:rPr>
        <w:t>, sprejete leta 2021, je državam članicam pomagati pri omogočanju samostojnega življenja in pri deinstitucionalizaciji, tako da invalidom zagotovijo možnost bivanja v dostopnih oskrbovanih stanovanjih. Spodbuja vključevanje v skupnost namesto življenja v segregiranih ustanovah, s čimer zmanjšuje tveganje brezdomstva za tiste, ki prehajajo iz takih ustanov brez ustrezne podpore.</w:t>
      </w:r>
    </w:p>
    <w:p w14:paraId="2D924CEC" w14:textId="77777777" w:rsidR="00116429" w:rsidRPr="009E2049" w:rsidRDefault="00763768" w:rsidP="00763768">
      <w:pPr>
        <w:pBdr>
          <w:top w:val="nil"/>
          <w:left w:val="nil"/>
          <w:bottom w:val="nil"/>
          <w:right w:val="nil"/>
          <w:between w:val="nil"/>
          <w:bar w:val="nil"/>
        </w:pBdr>
        <w:spacing w:before="0" w:after="240"/>
        <w:rPr>
          <w:rFonts w:eastAsia="Arial Unicode MS"/>
          <w:noProof/>
        </w:rPr>
      </w:pPr>
      <w:r w:rsidRPr="009E2049">
        <w:rPr>
          <w:noProof/>
        </w:rPr>
        <w:t xml:space="preserve">V </w:t>
      </w:r>
      <w:r w:rsidRPr="009E2049">
        <w:rPr>
          <w:b/>
          <w:noProof/>
        </w:rPr>
        <w:t>strategiji za enakost LGBTIQ+ oseb za obdobje 2026–2030</w:t>
      </w:r>
      <w:r w:rsidRPr="009E2049">
        <w:rPr>
          <w:noProof/>
        </w:rPr>
        <w:t xml:space="preserve">, sprejeti oktobra 2025, je poudarjeno, da diskriminacija in pomanjkanje družbene sprejetosti prispevata k visoki stopnji revščine in brezdomstva med LGBTIQ+ osebami. Tretja raziskava Agencije EU za temeljne pravice o LGBTIQ osebah razkriva, da 38 % vprašanih iz skupnosti LGBTIQ+ težko shaja, med splošnim prebivalstvom je takih 22 %, 13 % vprašanih pa začasno prebiva pri prijateljih ali sorodnikih. </w:t>
      </w:r>
    </w:p>
    <w:p w14:paraId="609DC5DC" w14:textId="77777777" w:rsidR="00B95FB2" w:rsidRPr="009E2049" w:rsidRDefault="00001104" w:rsidP="00763768">
      <w:pPr>
        <w:pBdr>
          <w:top w:val="nil"/>
          <w:left w:val="nil"/>
          <w:bottom w:val="nil"/>
          <w:right w:val="nil"/>
          <w:between w:val="nil"/>
          <w:bar w:val="nil"/>
        </w:pBdr>
        <w:spacing w:before="0" w:after="240"/>
        <w:rPr>
          <w:rFonts w:eastAsia="Arial Unicode MS"/>
          <w:noProof/>
        </w:rPr>
      </w:pPr>
      <w:r w:rsidRPr="009E2049">
        <w:rPr>
          <w:b/>
          <w:noProof/>
        </w:rPr>
        <w:t>Direktiva Sveta o izvajanju načela enakega obravnavanja oseb ne glede na raso ali narodnost</w:t>
      </w:r>
      <w:r w:rsidRPr="009E2049">
        <w:rPr>
          <w:noProof/>
        </w:rPr>
        <w:t xml:space="preserve"> iz junija 2000 izvaja načelo enakega obravnavanja oseb ne glede na raso ali narodnost tudi s prepovedjo diskriminacije pri dostopu do stanovanj.</w:t>
      </w:r>
    </w:p>
    <w:p w14:paraId="1FBC77BE" w14:textId="460F04DE" w:rsidR="002418DD" w:rsidRPr="009E2049" w:rsidRDefault="00D85E17" w:rsidP="002418DD">
      <w:pPr>
        <w:pBdr>
          <w:top w:val="nil"/>
          <w:left w:val="nil"/>
          <w:bottom w:val="nil"/>
          <w:right w:val="nil"/>
          <w:between w:val="nil"/>
          <w:bar w:val="nil"/>
        </w:pBdr>
        <w:spacing w:before="0" w:after="240"/>
        <w:rPr>
          <w:rFonts w:eastAsia="Arial Unicode MS"/>
          <w:noProof/>
        </w:rPr>
      </w:pPr>
      <w:r w:rsidRPr="009E2049">
        <w:rPr>
          <w:noProof/>
        </w:rPr>
        <w:t xml:space="preserve">V </w:t>
      </w:r>
      <w:r w:rsidRPr="009E2049">
        <w:rPr>
          <w:b/>
          <w:noProof/>
        </w:rPr>
        <w:t>Sporočilu Komisije Evropskemu parlamentu in Svetu z naslovom Unija enakosti: strateški okvir EU za enakost, vključevanje in udeležbo Romov</w:t>
      </w:r>
      <w:r w:rsidRPr="009E2049">
        <w:rPr>
          <w:noProof/>
        </w:rPr>
        <w:t>, sprejetem oktobra 2020, je poudarjeno, da se Romi na stanovanjskem področju</w:t>
      </w:r>
      <w:r w:rsidR="00BA7112" w:rsidRPr="009E2049">
        <w:rPr>
          <w:noProof/>
        </w:rPr>
        <w:t xml:space="preserve"> nenehno spopadajo z izzivi</w:t>
      </w:r>
      <w:r w:rsidRPr="009E2049">
        <w:rPr>
          <w:noProof/>
        </w:rPr>
        <w:t xml:space="preserve">, vključno z neustreznimi in segregiranimi stanovanji. Cilj Sporočila je do leta 2030 zagotoviti enak dostop do ustreznih desegregiranih stanovanj in osnovnih storitev, države članice pa poziva, naj sprejmejo nacionalne strategije za socialno-ekonomsko vključevanje marginaliziranih Romov – s poudarkom na izobraževanju, zaposlovanju, zdravju in stanovanjih. </w:t>
      </w:r>
      <w:r w:rsidRPr="009E2049">
        <w:rPr>
          <w:b/>
          <w:bCs/>
          <w:noProof/>
        </w:rPr>
        <w:t>Priporočilo Sveta</w:t>
      </w:r>
      <w:r w:rsidRPr="009E2049">
        <w:rPr>
          <w:noProof/>
        </w:rPr>
        <w:t xml:space="preserve"> iz leta 2021 </w:t>
      </w:r>
      <w:r w:rsidRPr="009E2049">
        <w:rPr>
          <w:b/>
          <w:noProof/>
        </w:rPr>
        <w:t>o enakosti, vključevanju in udeležbi Romov</w:t>
      </w:r>
      <w:r w:rsidRPr="009E2049">
        <w:rPr>
          <w:noProof/>
        </w:rPr>
        <w:t xml:space="preserve"> države članice poziva, naj zagotovijo enako obravnavo Romov pri dostopu do med drugim primernih desegregiranih stanovanj in osnovnih storitev.</w:t>
      </w:r>
    </w:p>
    <w:p w14:paraId="1C4A804E" w14:textId="68CC7D15" w:rsidR="002F5035" w:rsidRPr="009E2049" w:rsidRDefault="003C0DAB" w:rsidP="00F422C3">
      <w:pPr>
        <w:pBdr>
          <w:top w:val="nil"/>
          <w:left w:val="nil"/>
          <w:bottom w:val="nil"/>
          <w:right w:val="nil"/>
          <w:between w:val="nil"/>
          <w:bar w:val="nil"/>
        </w:pBdr>
        <w:spacing w:before="0" w:after="240"/>
        <w:rPr>
          <w:rFonts w:eastAsia="Arial Unicode MS"/>
          <w:noProof/>
        </w:rPr>
      </w:pPr>
      <w:r w:rsidRPr="009E2049">
        <w:rPr>
          <w:noProof/>
        </w:rPr>
        <w:t xml:space="preserve">EU zagotavlja različne mehanizme financiranja, ki jih je mogoče uporabiti za odpravljanje stanovanjske izključenosti in brezdomstva. Evropska komisija je leta 2024 objavila dokument </w:t>
      </w:r>
      <w:r w:rsidRPr="009E2049">
        <w:rPr>
          <w:b/>
          <w:i/>
          <w:iCs/>
          <w:noProof/>
        </w:rPr>
        <w:t>Social housing and beyond – Operational toolkit on the use of EU funds for investments in social housing and associated services</w:t>
      </w:r>
      <w:r w:rsidRPr="009E2049">
        <w:rPr>
          <w:noProof/>
        </w:rPr>
        <w:t xml:space="preserve"> (Socialna stanovanja in širše – operativn</w:t>
      </w:r>
      <w:r w:rsidR="007E04F9" w:rsidRPr="009E2049">
        <w:rPr>
          <w:noProof/>
        </w:rPr>
        <w:t>i nabor</w:t>
      </w:r>
      <w:r w:rsidRPr="009E2049">
        <w:rPr>
          <w:noProof/>
        </w:rPr>
        <w:t xml:space="preserve"> orodij za uporabo sredstev EU za naložbe v socialna stanovanja in z njimi povezane storitve). Ta </w:t>
      </w:r>
      <w:r w:rsidR="007E04F9" w:rsidRPr="009E2049">
        <w:rPr>
          <w:noProof/>
        </w:rPr>
        <w:t>nabor</w:t>
      </w:r>
      <w:r w:rsidRPr="009E2049">
        <w:rPr>
          <w:noProof/>
        </w:rPr>
        <w:t xml:space="preserve"> orodij podpira oblikovalce politik pri čim učinkovitejši uporabi sredstev EU, tj. Evropskega socialnega sklada plus (ESS+), Evropskega sklada za regionalni razvoj (ESRR) in mehanizma za okrevanje in odpornost, za naložbe v socialna stanovanja in povezane storitve. V 20 študijah primerov prikazuje, kako ta sredstva izboljšujejo dostop do primernega stanovanja, saj ponujajo prilagojene rešitve za ranljive skupine. </w:t>
      </w:r>
    </w:p>
    <w:p w14:paraId="7128E05D" w14:textId="77777777" w:rsidR="00D72390" w:rsidRPr="009E2049" w:rsidRDefault="00551B41" w:rsidP="00D72390">
      <w:pPr>
        <w:spacing w:after="160" w:line="259" w:lineRule="auto"/>
        <w:rPr>
          <w:noProof/>
        </w:rPr>
      </w:pPr>
      <w:r w:rsidRPr="009E2049">
        <w:rPr>
          <w:b/>
          <w:noProof/>
        </w:rPr>
        <w:lastRenderedPageBreak/>
        <w:t>Kohezijska politika</w:t>
      </w:r>
      <w:r w:rsidRPr="009E2049">
        <w:rPr>
          <w:noProof/>
        </w:rPr>
        <w:t xml:space="preserve">, predvsem prek skladov </w:t>
      </w:r>
      <w:r w:rsidRPr="009E2049">
        <w:rPr>
          <w:b/>
          <w:noProof/>
        </w:rPr>
        <w:t>ESS+</w:t>
      </w:r>
      <w:r w:rsidRPr="009E2049">
        <w:rPr>
          <w:noProof/>
        </w:rPr>
        <w:t xml:space="preserve"> in </w:t>
      </w:r>
      <w:r w:rsidRPr="009E2049">
        <w:rPr>
          <w:b/>
          <w:noProof/>
        </w:rPr>
        <w:t>ESRR</w:t>
      </w:r>
      <w:r w:rsidRPr="009E2049">
        <w:rPr>
          <w:noProof/>
        </w:rPr>
        <w:t>, financira pobude za izboljšanje socialne vključenosti in stanovanjskih razmer, kot so socialne storitve za brezdomce, gradnja in prenova cenovno dostopnih stanovanj ter preureditev neuporabljenih stavb v cenovno dostopna in socialna stanovanja. Iz sklada ESS+ se lahko financira zagotavljanje storitev, kot so socialno delo, zdravstveno varstvo in uvajanje v delo, medtem ko se lahko iz sklada ESRR financirajo nova socialna stanovanja, prenove in infrastruktura za storitvena središča „najprej stanovanje“. Z vmesnim pregledom (Uredba (EU) 2025/1914) je bila razširjena možnost financiranja za cenovno dostopna in socialna stanovanja ter uvedene višje stopnje sofinanciranja EU. Države članice lahko uporabijo instrumente, kot so celostne teritorialne naložbe in lokalni razvoj, ki ga vodi skupnost, ter združijo financiranje iz več ciljev politike.</w:t>
      </w:r>
    </w:p>
    <w:p w14:paraId="48343A2F" w14:textId="77777777" w:rsidR="009D688B" w:rsidRPr="009E2049" w:rsidRDefault="009D688B" w:rsidP="009D688B">
      <w:pPr>
        <w:pBdr>
          <w:top w:val="nil"/>
          <w:left w:val="nil"/>
          <w:bottom w:val="nil"/>
          <w:right w:val="nil"/>
          <w:between w:val="nil"/>
          <w:bar w:val="nil"/>
        </w:pBdr>
        <w:spacing w:before="0" w:after="240"/>
        <w:rPr>
          <w:rFonts w:eastAsia="Arial Unicode MS"/>
          <w:b/>
          <w:noProof/>
        </w:rPr>
      </w:pPr>
      <w:r w:rsidRPr="009E2049">
        <w:rPr>
          <w:b/>
          <w:noProof/>
        </w:rPr>
        <w:t xml:space="preserve">Evropska pobuda za mesta </w:t>
      </w:r>
      <w:r w:rsidRPr="009E2049">
        <w:rPr>
          <w:noProof/>
        </w:rPr>
        <w:t>mestom zagotavlja neposredno financiranje za „drzne, nepreverjene zamisli“ za reševanje urbanih izzivov ter inovativne načine iskanja stanovanjskih rešitev, tudi za brezdomce.</w:t>
      </w:r>
    </w:p>
    <w:p w14:paraId="16A8F438" w14:textId="63F477CD" w:rsidR="00D00228" w:rsidRPr="009E2049" w:rsidRDefault="00D00228" w:rsidP="00D00228">
      <w:pPr>
        <w:pBdr>
          <w:top w:val="nil"/>
          <w:left w:val="nil"/>
          <w:bottom w:val="nil"/>
          <w:right w:val="nil"/>
          <w:between w:val="nil"/>
          <w:bar w:val="nil"/>
        </w:pBdr>
        <w:spacing w:before="0" w:after="240"/>
        <w:rPr>
          <w:rFonts w:eastAsia="Arial Unicode MS"/>
          <w:noProof/>
        </w:rPr>
      </w:pPr>
      <w:r w:rsidRPr="009E2049">
        <w:rPr>
          <w:b/>
          <w:noProof/>
        </w:rPr>
        <w:t>Mehanizem za okrevanje in odpornost</w:t>
      </w:r>
      <w:r w:rsidRPr="009E2049">
        <w:rPr>
          <w:noProof/>
        </w:rPr>
        <w:t xml:space="preserve"> države članice uporabljajo za naložbe v socialno infrastrukturo, vključno s stanovanji. Nekatere države članice so brezdomstvo obravnavale v svojih načrtih za okrevanje in odpornost ter predlagale stanovanjsko usmerjen</w:t>
      </w:r>
      <w:r w:rsidR="00440BFB" w:rsidRPr="009E2049">
        <w:rPr>
          <w:noProof/>
        </w:rPr>
        <w:t>e</w:t>
      </w:r>
      <w:r w:rsidRPr="009E2049">
        <w:rPr>
          <w:noProof/>
        </w:rPr>
        <w:t xml:space="preserve"> rešitve. Druge so naložbe v stanovanja načrtovale širše (npr. energijska prenova stanovanj, projekti cenovno dostopnih stanovanj). Del sredstev v načrtih za okrevanje in odpornost, označenih kot „socialna poraba“, je namenjen socialnim stanovanjem in povezani socialni infrastrukturi. Nacionalni načrti pogosto vključujejo usposabljanje, zdravstveno varstvo, storitve za ranljive osebe in ukrepe, povezane s stanovanji, ki lahko zmanjšajo tveganje brezdomstva. </w:t>
      </w:r>
    </w:p>
    <w:p w14:paraId="6AADC555" w14:textId="77777777" w:rsidR="00F21ECE" w:rsidRPr="009E2049" w:rsidRDefault="00F21ECE" w:rsidP="00F422C3">
      <w:pPr>
        <w:rPr>
          <w:rFonts w:eastAsia="Arial Unicode MS"/>
          <w:noProof/>
          <w:szCs w:val="24"/>
        </w:rPr>
      </w:pPr>
      <w:r w:rsidRPr="009E2049">
        <w:rPr>
          <w:b/>
          <w:noProof/>
        </w:rPr>
        <w:t xml:space="preserve">Socialni sklad za podnebje </w:t>
      </w:r>
      <w:r w:rsidRPr="009E2049">
        <w:rPr>
          <w:noProof/>
        </w:rPr>
        <w:t>z obravnavanjem socialnih učinkov, ki izhajajo iz sistema trgovanja z emisijami, zagotavlja podporo ranljivim gospodinjstvom. Države članice lahko v svoje socialne načrte za podnebje vključijo ukrepe in naložbe z dolgotrajnim učinkom za podporo dostopu do cenovno dostopnih in energijsko učinkovitih stanovanj, vključno s socialnimi stanovanji.</w:t>
      </w:r>
    </w:p>
    <w:p w14:paraId="2778488A" w14:textId="77777777" w:rsidR="0023334A" w:rsidRPr="009E2049" w:rsidRDefault="000F77E4" w:rsidP="0023334A">
      <w:pPr>
        <w:pBdr>
          <w:top w:val="nil"/>
          <w:left w:val="nil"/>
          <w:bottom w:val="nil"/>
          <w:right w:val="nil"/>
          <w:between w:val="nil"/>
          <w:bar w:val="nil"/>
        </w:pBdr>
        <w:spacing w:before="0" w:after="240"/>
        <w:rPr>
          <w:rFonts w:eastAsia="Arial Unicode MS"/>
          <w:noProof/>
        </w:rPr>
      </w:pPr>
      <w:r w:rsidRPr="009E2049">
        <w:rPr>
          <w:b/>
          <w:noProof/>
        </w:rPr>
        <w:t>Sklop InvestEU za socialne naložbe in spretnosti</w:t>
      </w:r>
      <w:r w:rsidRPr="009E2049">
        <w:rPr>
          <w:noProof/>
        </w:rPr>
        <w:t xml:space="preserve"> pomaga pri zagotavljanju dostopa do socialnih in cenovno dostopnih stanovanj, prispeva k boju proti socialni izključenosti ter si prizadeva za zmanjševanje revščine. Uspešno zmanjšuje tveganje na področju cenovno dostopnih socialnih stanovanj ter lahko pomaga pri odpravljanju stanovanjske izključenosti z usmerjanjem svetovalne podpore in podpiranjem uvajanja finančnih instrumentov. To vključuje jamstva za projekte, ki jih zagotavljajo izvajalski partnerji, kot so Evropska investicijska banka, Razvojna banka Sveta Evrope in nacionalne spodbujevalne banke.</w:t>
      </w:r>
    </w:p>
    <w:p w14:paraId="4C8396DF" w14:textId="77777777" w:rsidR="00762BC9" w:rsidRPr="009E2049" w:rsidRDefault="000F77E4" w:rsidP="00F422C3">
      <w:pPr>
        <w:pBdr>
          <w:top w:val="nil"/>
          <w:left w:val="nil"/>
          <w:bottom w:val="nil"/>
          <w:right w:val="nil"/>
          <w:between w:val="nil"/>
          <w:bar w:val="nil"/>
        </w:pBdr>
        <w:spacing w:before="0" w:after="240"/>
        <w:rPr>
          <w:noProof/>
        </w:rPr>
      </w:pPr>
      <w:r w:rsidRPr="009E2049">
        <w:rPr>
          <w:b/>
          <w:noProof/>
        </w:rPr>
        <w:t>Novi evropski Bauhaus</w:t>
      </w:r>
      <w:r w:rsidRPr="009E2049">
        <w:rPr>
          <w:noProof/>
        </w:rPr>
        <w:t xml:space="preserve"> je Evropska komisija leta 2021 uvedla kot povezovalno pobudo na stičišču trajnostnosti, estetike in socialne vključenosti. Cilj je preobraziti grajeno okolje in življenja ljudi, da bodo ti bolj trajnostni, vključujoči, lepi in osredotočeni na človeka. Novi evropski Bauhaus deluje tako, da vključuje ljudi na lokalni ravni v njihovih soseskah, zagotavlja orodja in smernice, ponuja rešitve, prilagojene različnim skupnostim, ter vključuje mnenja različnih deležnikov v postopke oblikovanja in izvajanja. V ospredje postavlja ljudi in socialno vključenost ter tudi gospodarstvo, da bi se okrepili konkurenčnost Unije in njena strateška avtonomija. </w:t>
      </w:r>
    </w:p>
    <w:p w14:paraId="6F3FC073" w14:textId="77777777" w:rsidR="002150E9" w:rsidRPr="009E2049" w:rsidRDefault="00B90F88" w:rsidP="002150E9">
      <w:pPr>
        <w:pBdr>
          <w:top w:val="nil"/>
          <w:left w:val="nil"/>
          <w:bottom w:val="nil"/>
          <w:right w:val="nil"/>
          <w:between w:val="nil"/>
          <w:bar w:val="nil"/>
        </w:pBdr>
        <w:spacing w:before="0" w:after="240"/>
        <w:rPr>
          <w:noProof/>
        </w:rPr>
      </w:pPr>
      <w:r w:rsidRPr="009E2049">
        <w:rPr>
          <w:noProof/>
        </w:rPr>
        <w:t xml:space="preserve">Z </w:t>
      </w:r>
      <w:r w:rsidRPr="009E2049">
        <w:rPr>
          <w:b/>
          <w:noProof/>
        </w:rPr>
        <w:t>instrumentom novega evropskega Bauhausa</w:t>
      </w:r>
      <w:r w:rsidRPr="009E2049">
        <w:rPr>
          <w:noProof/>
        </w:rPr>
        <w:t xml:space="preserve"> se financirajo projekti, namenjeni oživljanju sosesk, spodbujanju socialne vključenosti in omogočanju dostopa do cenovno dostopnih stanovanj z inovativnim, krožnim in človeku prilagojenim oblikovanjem – s povezovanjem ponudbe stanovanj s širšimi socialnimi in okoljskimi cilji. Komponenta instrumenta novega </w:t>
      </w:r>
      <w:r w:rsidRPr="009E2049">
        <w:rPr>
          <w:noProof/>
        </w:rPr>
        <w:lastRenderedPageBreak/>
        <w:t>evropskega Bauhausa za raziskave in inovacije podpira več projektov na področju stanovanj in brezdomstva, vključno s socialno infrastrukturo in storitvami.</w:t>
      </w:r>
    </w:p>
    <w:p w14:paraId="7BC6FB01" w14:textId="62B814B8" w:rsidR="000F77E4" w:rsidRPr="009E2049" w:rsidRDefault="000F77E4" w:rsidP="00CD4F24">
      <w:pPr>
        <w:pBdr>
          <w:top w:val="nil"/>
          <w:left w:val="nil"/>
          <w:bottom w:val="nil"/>
          <w:right w:val="nil"/>
          <w:between w:val="nil"/>
          <w:bar w:val="nil"/>
        </w:pBdr>
        <w:spacing w:before="0" w:after="240"/>
        <w:rPr>
          <w:rFonts w:eastAsia="Arial Unicode MS"/>
          <w:noProof/>
        </w:rPr>
      </w:pPr>
      <w:r w:rsidRPr="009E2049">
        <w:rPr>
          <w:b/>
          <w:noProof/>
        </w:rPr>
        <w:t>Pobuda za cenovno dostopna stanovanja</w:t>
      </w:r>
      <w:r w:rsidRPr="009E2049">
        <w:rPr>
          <w:noProof/>
        </w:rPr>
        <w:t xml:space="preserve">, ki je del </w:t>
      </w:r>
      <w:r w:rsidRPr="009E2049">
        <w:rPr>
          <w:b/>
          <w:noProof/>
        </w:rPr>
        <w:t>strategije EU za val prenove</w:t>
      </w:r>
      <w:r w:rsidRPr="009E2049">
        <w:rPr>
          <w:noProof/>
        </w:rPr>
        <w:t xml:space="preserve"> in je </w:t>
      </w:r>
      <w:r w:rsidRPr="009E2049">
        <w:rPr>
          <w:b/>
          <w:noProof/>
        </w:rPr>
        <w:t xml:space="preserve">vodilna pobuda novega evropskega Bauhausa, </w:t>
      </w:r>
      <w:r w:rsidRPr="009E2049">
        <w:rPr>
          <w:noProof/>
        </w:rPr>
        <w:t xml:space="preserve">je namenjena ustvarjanju ali prenovi socialnih in cenovno dostopnih sosesk. Program obravnava energetsko revščino, spodbuja vključevanje, zagotavlja cenovno dostopnost in zmanjšuje emisije s prilagojenimi smernicami, vključno s finančnim svetovanjem, mentorstvom in krepitvijo zmogljivosti. To lahko pomaga izboljšati kakovost in dostopnost stanovanj za gospodinjstva z nižjimi dohodki. </w:t>
      </w:r>
    </w:p>
    <w:p w14:paraId="1B983FB0" w14:textId="79EA589A" w:rsidR="005E2B93" w:rsidRPr="009E2049" w:rsidRDefault="00EB32EC" w:rsidP="00000BDB">
      <w:pPr>
        <w:pBdr>
          <w:top w:val="nil"/>
          <w:left w:val="nil"/>
          <w:bottom w:val="nil"/>
          <w:right w:val="nil"/>
          <w:between w:val="nil"/>
          <w:bar w:val="nil"/>
        </w:pBdr>
        <w:spacing w:before="0" w:after="240"/>
        <w:rPr>
          <w:rFonts w:eastAsia="Times New Roman"/>
          <w:noProof/>
          <w:color w:val="000000" w:themeColor="text1"/>
          <w:szCs w:val="24"/>
        </w:rPr>
      </w:pPr>
      <w:r w:rsidRPr="009E2049">
        <w:rPr>
          <w:noProof/>
          <w:color w:val="000000" w:themeColor="text1"/>
        </w:rPr>
        <w:t xml:space="preserve">Podpora ljudem in njihovi socialni vključenosti, tudi z bojem proti revščini in brezdomstvu, je med cilji </w:t>
      </w:r>
      <w:r w:rsidRPr="009E2049">
        <w:rPr>
          <w:b/>
          <w:noProof/>
          <w:color w:val="000000" w:themeColor="text1"/>
        </w:rPr>
        <w:t xml:space="preserve">predloga Komisije za naslednji dolgoročni proračun EU za obdobje 2028–2034 </w:t>
      </w:r>
      <w:r w:rsidRPr="009E2049">
        <w:rPr>
          <w:noProof/>
          <w:color w:val="000000" w:themeColor="text1"/>
        </w:rPr>
        <w:t xml:space="preserve">(tj. večletni finančni okvir). Zaradi novega celostnega pristopa bo predlog večletnega finančnega okvira državam članicam omogočil financiranje cenovno dostopnih in socialnih stanovanj ter združevanje boja proti brezdomstvu s potrebnimi reformami. </w:t>
      </w:r>
    </w:p>
    <w:p w14:paraId="3AD01330" w14:textId="77777777" w:rsidR="00C578AE" w:rsidRPr="009E2049" w:rsidRDefault="00C578AE" w:rsidP="00000BDB">
      <w:pPr>
        <w:pBdr>
          <w:top w:val="nil"/>
          <w:left w:val="nil"/>
          <w:bottom w:val="nil"/>
          <w:right w:val="nil"/>
          <w:between w:val="nil"/>
          <w:bar w:val="nil"/>
        </w:pBdr>
        <w:spacing w:before="0" w:after="240"/>
        <w:rPr>
          <w:noProof/>
        </w:rPr>
      </w:pPr>
      <w:r w:rsidRPr="009E2049">
        <w:rPr>
          <w:noProof/>
        </w:rPr>
        <w:t>2.</w:t>
      </w:r>
      <w:r w:rsidRPr="009E2049">
        <w:rPr>
          <w:noProof/>
        </w:rPr>
        <w:tab/>
        <w:t>PRAVNA PODLAGA, SUBSIDIARNOST IN SORAZMERNOST</w:t>
      </w:r>
    </w:p>
    <w:p w14:paraId="5B7CE084"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Pravna podlaga</w:t>
      </w:r>
    </w:p>
    <w:p w14:paraId="60BE1E1D" w14:textId="77777777" w:rsidR="009C5AB6" w:rsidRPr="009E2049" w:rsidRDefault="009C5AB6" w:rsidP="009C5AB6">
      <w:pPr>
        <w:pStyle w:val="Text1"/>
        <w:ind w:left="0"/>
        <w:rPr>
          <w:noProof/>
        </w:rPr>
      </w:pPr>
      <w:r w:rsidRPr="009E2049">
        <w:rPr>
          <w:noProof/>
        </w:rPr>
        <w:t xml:space="preserve">Predlagano priporočilo temelji na členu 292 Pogodbe o delovanju Evropske unije (PDEU) kot postopkovni pravni podlagi v kombinaciji s členom 153(1), točka (j), PDEU kot materialni pravni podlagi. </w:t>
      </w:r>
    </w:p>
    <w:p w14:paraId="78962988" w14:textId="77777777" w:rsidR="008D1A6E" w:rsidRPr="009E2049" w:rsidRDefault="009C5AB6" w:rsidP="008D1A6E">
      <w:pPr>
        <w:pStyle w:val="Text1"/>
        <w:ind w:left="0"/>
        <w:rPr>
          <w:noProof/>
        </w:rPr>
      </w:pPr>
      <w:r w:rsidRPr="009E2049">
        <w:rPr>
          <w:noProof/>
        </w:rPr>
        <w:t>Člen 153(1), točka (j), omogoča Uniji, da podpira in dopolnjuje dejavnosti držav članic na področju boja proti socialni izključenosti. Stanovanjska izključenost in brezdomstvo sta v EU priznana kot najhujši obliki socialne izključenosti. Predlog bo k temu cilju prispeval z bojem proti stanovanjski izključenosti in brezdomstvu ter z zagotavljanjem učinkovitega dostopa do omogočitvenih in osnovnih storitev ter ukrepov, s čimer bo posameznikom omogočil dostojno življenje.</w:t>
      </w:r>
    </w:p>
    <w:p w14:paraId="33C42EEF" w14:textId="77777777" w:rsidR="009C5AB6" w:rsidRPr="009E2049" w:rsidRDefault="00A74EF6" w:rsidP="009C5AB6">
      <w:pPr>
        <w:pStyle w:val="Text1"/>
        <w:ind w:left="0"/>
        <w:rPr>
          <w:noProof/>
        </w:rPr>
      </w:pPr>
      <w:r w:rsidRPr="009E2049">
        <w:rPr>
          <w:noProof/>
        </w:rPr>
        <w:t xml:space="preserve">Člen 153(1), točka (j), omejuje člen 153(2), točka (a), ki dovoljuje le ukrepe, namenjene spodbujanju sodelovanja med državami članicami, pri čemer izključuje vsakršno harmonizacijo zakonov in predpisov. </w:t>
      </w:r>
    </w:p>
    <w:p w14:paraId="0849494A" w14:textId="77777777" w:rsidR="004058F1" w:rsidRPr="009E2049" w:rsidRDefault="009C5AB6" w:rsidP="004058F1">
      <w:pPr>
        <w:pStyle w:val="Text1"/>
        <w:ind w:left="0"/>
        <w:rPr>
          <w:noProof/>
        </w:rPr>
      </w:pPr>
      <w:r w:rsidRPr="009E2049">
        <w:rPr>
          <w:noProof/>
        </w:rPr>
        <w:t>Poleg tega v skladu s členom 153(4) določbe, sprejete na podlagi člena 153, kot je predlagano priporočilo: (i) ne smejo vplivati na pravico držav članic, da določijo temeljna načela svojih sistemov socialne zaščite, in (ii) ne smejo bistveno poslabšati finančne uravnoteženosti teh sistemov.</w:t>
      </w:r>
    </w:p>
    <w:p w14:paraId="7E8D53C7" w14:textId="77777777" w:rsidR="00C578AE" w:rsidRPr="009E2049" w:rsidRDefault="00C578AE" w:rsidP="004058F1">
      <w:pPr>
        <w:pStyle w:val="Text1"/>
        <w:ind w:left="0"/>
        <w:rPr>
          <w:rFonts w:eastAsia="Arial Unicode MS"/>
          <w:noProof/>
          <w:u w:color="000000"/>
          <w:bdr w:val="nil"/>
        </w:rPr>
      </w:pPr>
      <w:r w:rsidRPr="009E2049">
        <w:rPr>
          <w:noProof/>
          <w:u w:color="000000"/>
          <w:bdr w:val="nil"/>
        </w:rPr>
        <w:t>•</w:t>
      </w:r>
      <w:r w:rsidRPr="009E2049">
        <w:rPr>
          <w:noProof/>
        </w:rPr>
        <w:tab/>
      </w:r>
      <w:r w:rsidRPr="009E2049">
        <w:rPr>
          <w:b/>
          <w:noProof/>
          <w:u w:color="000000"/>
          <w:bdr w:val="nil"/>
        </w:rPr>
        <w:t>Subsidiarnost (za neizključno pristojnost)</w:t>
      </w:r>
      <w:r w:rsidRPr="009E2049">
        <w:rPr>
          <w:noProof/>
          <w:u w:color="000000"/>
          <w:bdr w:val="nil"/>
        </w:rPr>
        <w:t xml:space="preserve"> </w:t>
      </w:r>
    </w:p>
    <w:p w14:paraId="0ED3E678" w14:textId="77777777" w:rsidR="00816551" w:rsidRPr="009E2049" w:rsidRDefault="00972E9D" w:rsidP="00816551">
      <w:pPr>
        <w:pBdr>
          <w:top w:val="nil"/>
          <w:left w:val="nil"/>
          <w:bottom w:val="nil"/>
          <w:right w:val="nil"/>
          <w:between w:val="nil"/>
          <w:bar w:val="nil"/>
        </w:pBdr>
        <w:spacing w:before="0" w:after="240"/>
        <w:rPr>
          <w:noProof/>
        </w:rPr>
      </w:pPr>
      <w:r w:rsidRPr="009E2049">
        <w:rPr>
          <w:noProof/>
        </w:rPr>
        <w:t>Čeprav so za stanovanjsko politiko odgovorne predvsem države članice, sta stanovanjska izključenost in brezdomstvo skupna izziva po vsej Uniji,</w:t>
      </w:r>
      <w:r w:rsidRPr="009E2049">
        <w:rPr>
          <w:noProof/>
          <w:color w:val="000000" w:themeColor="text1"/>
        </w:rPr>
        <w:t xml:space="preserve"> zaznamujejo pa ju skupni strukturni trendi, pri katerih so potrebni usklajeni medsektorski odzivi in izmenjava najboljših praks</w:t>
      </w:r>
      <w:r w:rsidRPr="009E2049">
        <w:rPr>
          <w:noProof/>
        </w:rPr>
        <w:t xml:space="preserve">. Tesno sta povezana s cilji Unije na področjih socialne vključenosti, zaposlovanja, zdravja, enakosti, gospodarskega razvoja in teritorialne kohezije. </w:t>
      </w:r>
    </w:p>
    <w:p w14:paraId="723D2FBB" w14:textId="77777777" w:rsidR="00FC1E37" w:rsidRPr="009E2049" w:rsidRDefault="00972E9D" w:rsidP="00972E9D">
      <w:pPr>
        <w:pBdr>
          <w:top w:val="nil"/>
          <w:left w:val="nil"/>
          <w:bottom w:val="nil"/>
          <w:right w:val="nil"/>
          <w:between w:val="nil"/>
          <w:bar w:val="nil"/>
        </w:pBdr>
        <w:spacing w:before="0" w:after="240"/>
        <w:rPr>
          <w:rFonts w:eastAsia="Arial Unicode MS"/>
          <w:noProof/>
          <w:color w:val="000000" w:themeColor="text1"/>
        </w:rPr>
      </w:pPr>
      <w:r w:rsidRPr="009E2049">
        <w:rPr>
          <w:noProof/>
        </w:rPr>
        <w:t xml:space="preserve">Vse večja vrzel med stanovanjskimi stroški in dohodki spodkopava izobraževalno in delovno mobilnost, omejuje dostop do območij z visoko produktivnostjo ter povzroča pomanjkanje delovne sile v ključnih, slabo plačanih storitvenih sektorjih. Kadar stanovanjski stroški prehitevajo rast plač, so delavci prisiljeni zmanjšati porabo, podaljšati čas prevoza na delo ali se preseliti, kar vse zmanjšuje splošno gospodarsko učinkovitost in produktivnost. Neenak dostop do primernega stanovanja poglablja obstoječe neenakosti pri možnostih in povečuje socialno izključenost. </w:t>
      </w:r>
    </w:p>
    <w:p w14:paraId="305D043B" w14:textId="77777777" w:rsidR="00882838" w:rsidRPr="009E2049" w:rsidRDefault="00972E9D" w:rsidP="00882838">
      <w:pPr>
        <w:pBdr>
          <w:top w:val="nil"/>
          <w:left w:val="nil"/>
          <w:bottom w:val="nil"/>
          <w:right w:val="nil"/>
          <w:between w:val="nil"/>
          <w:bar w:val="nil"/>
        </w:pBdr>
        <w:spacing w:before="0" w:after="240"/>
        <w:rPr>
          <w:rFonts w:eastAsia="Arial Unicode MS"/>
          <w:noProof/>
          <w:color w:val="000000" w:themeColor="text1"/>
        </w:rPr>
      </w:pPr>
      <w:r w:rsidRPr="009E2049">
        <w:rPr>
          <w:noProof/>
          <w:color w:val="000000" w:themeColor="text1"/>
        </w:rPr>
        <w:lastRenderedPageBreak/>
        <w:t xml:space="preserve">Države članice so v najboljšem položaju za oblikovanje in izvajanje politik, prilagojenih njihovim nacionalnim okoliščinam. Vendar ukrepanje na ravni Unije prinaša dodano vrednost, saj zagotavlja smernice za politike in najboljše prakse, omogoča vzajemno učenje, spodbuja na dokazih temelječe pristope, podpira primerljivost podatkov </w:t>
      </w:r>
      <w:r w:rsidRPr="009E2049">
        <w:rPr>
          <w:noProof/>
        </w:rPr>
        <w:t xml:space="preserve">in izboljšuje dostop do financiranja. </w:t>
      </w:r>
      <w:r w:rsidRPr="009E2049">
        <w:rPr>
          <w:noProof/>
          <w:color w:val="000000" w:themeColor="text1"/>
        </w:rPr>
        <w:t>S takšnim ukrepanjem se ohranja politična zaveza Unije, da vsem zagotovi enake možnosti in dostojno življenje, ter podpira navzgor usmerjena socialna konvergenca držav članic.</w:t>
      </w:r>
    </w:p>
    <w:p w14:paraId="7B782977" w14:textId="77777777" w:rsidR="00B25110" w:rsidRPr="009E2049" w:rsidRDefault="00972E9D" w:rsidP="00972E9D">
      <w:pPr>
        <w:pBdr>
          <w:top w:val="nil"/>
          <w:left w:val="nil"/>
          <w:bottom w:val="nil"/>
          <w:right w:val="nil"/>
          <w:between w:val="nil"/>
          <w:bar w:val="nil"/>
        </w:pBdr>
        <w:spacing w:before="0" w:after="240"/>
        <w:rPr>
          <w:rFonts w:eastAsia="Arial Unicode MS"/>
          <w:noProof/>
        </w:rPr>
      </w:pPr>
      <w:r w:rsidRPr="009E2049">
        <w:rPr>
          <w:noProof/>
        </w:rPr>
        <w:t>Odprava stanovanjske izključenosti in brezdomstva bi prispevala k doseganju ciljev trajnostnega razvoja Združenih narodov iz Agende za trajnostni razvoj do leta 2030, zlasti cilja trajnostnega razvoja 11.1 o dostopu vseh do ustreznega, varnega in cenovno dostopnega stanovanja ter osnovnih storitev. Prav tako bi spodbujala izvajanje načel evropskega stebra socialnih pravic ter ciljev Lizbonske izjave o evropski platformi za boj proti brezdomstvu. Politike in ukrepi, določeni v predlaganem priporočilu, bodo poleg tega dopolnjevali in podpirali učinkovito izvajanje evropskega načrta za cenovno dostopna stanovanja s poudarkom na zaščiti tistih, ki jih stanovanjska kriza najbolj prizadene. Predlagano priporočilo Sveta bi državam članicam zagotovilo celovit referenčni okvir, ki bi jih usmerjal pri doseganju navedenih ciljev.</w:t>
      </w:r>
    </w:p>
    <w:p w14:paraId="4BDBB8DC"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 xml:space="preserve">Sorazmernost </w:t>
      </w:r>
    </w:p>
    <w:p w14:paraId="474FA8DD" w14:textId="77777777" w:rsidR="006A7D5F" w:rsidRPr="009E2049" w:rsidRDefault="001C7747" w:rsidP="006A7D5F">
      <w:pPr>
        <w:pBdr>
          <w:top w:val="nil"/>
          <w:left w:val="nil"/>
          <w:bottom w:val="nil"/>
          <w:right w:val="nil"/>
          <w:between w:val="nil"/>
          <w:bar w:val="nil"/>
        </w:pBdr>
        <w:spacing w:before="0" w:after="240"/>
        <w:rPr>
          <w:rFonts w:eastAsia="Arial Unicode MS"/>
          <w:noProof/>
          <w:color w:val="000000" w:themeColor="text1"/>
        </w:rPr>
      </w:pPr>
      <w:r w:rsidRPr="009E2049">
        <w:rPr>
          <w:noProof/>
          <w:color w:val="000000" w:themeColor="text1"/>
        </w:rPr>
        <w:t xml:space="preserve">Ukrepi, predlagani v tem priporočilu, so sorazmerni z zastavljenimi cilji. Priporočilo ne nalaga zavezujočih obveznosti in ne harmonizira nacionalne zakonodaje. Zagotavlja prožne smernice, opredeljuje učinkovite prakse in spodbuja postopno usklajevanje z dogovorjenimi načeli. Zato ne presega tistega, kar je potrebno za doseganje njegovih ciljev, in je sorazmerno z obravnavanimi izzivi. </w:t>
      </w:r>
    </w:p>
    <w:p w14:paraId="560DF110" w14:textId="77777777" w:rsidR="006F00C1" w:rsidRPr="009E2049" w:rsidRDefault="006A7D5F" w:rsidP="006A7D5F">
      <w:pPr>
        <w:pBdr>
          <w:top w:val="nil"/>
          <w:left w:val="nil"/>
          <w:bottom w:val="nil"/>
          <w:right w:val="nil"/>
          <w:between w:val="nil"/>
          <w:bar w:val="nil"/>
        </w:pBdr>
        <w:spacing w:before="0" w:after="240"/>
        <w:rPr>
          <w:rFonts w:eastAsia="Arial Unicode MS"/>
          <w:noProof/>
          <w:color w:val="000000" w:themeColor="text1"/>
        </w:rPr>
      </w:pPr>
      <w:r w:rsidRPr="009E2049">
        <w:rPr>
          <w:noProof/>
          <w:color w:val="000000" w:themeColor="text1"/>
        </w:rPr>
        <w:t>Predlog podpira nadaljnji razvoj stanovanjske politike za osebe v negotovi stanovanjski situaciji ter dostop do oskrbe in drugih obstoječih storitev in mrež socialne varnosti v državah članicah ter dopolnjuje prizadevanja držav članic v boju proti socialni izključenosti prikrajšanih posameznikov. V predlaganem priporočilu se upoštevajo prakse držav članic in raznolikost njihovih sistemov socialne zaščite. V njem se priznava, da bi lahko različne nacionalne, regionalne ali lokalne razmere povzročile razlike v načinu izvajanja priporočila, državam članicam pa omogoča, da priporočilo uporabljajo v skladu s svojimi specifičnimi okoliščinami. Sorazmernost je imela ključno vlogo tudi pri izbiri instrumenta.</w:t>
      </w:r>
    </w:p>
    <w:p w14:paraId="6FE5D74A"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Izbira instrumenta</w:t>
      </w:r>
    </w:p>
    <w:p w14:paraId="5F8121F9" w14:textId="77777777" w:rsidR="001531DB" w:rsidRPr="009E2049" w:rsidRDefault="001531DB" w:rsidP="001531DB">
      <w:pPr>
        <w:pBdr>
          <w:top w:val="nil"/>
          <w:left w:val="nil"/>
          <w:bottom w:val="nil"/>
          <w:right w:val="nil"/>
          <w:between w:val="nil"/>
          <w:bar w:val="nil"/>
        </w:pBdr>
        <w:spacing w:before="0" w:after="240"/>
        <w:rPr>
          <w:rFonts w:eastAsia="Arial Unicode MS"/>
          <w:noProof/>
        </w:rPr>
      </w:pPr>
      <w:r w:rsidRPr="009E2049">
        <w:rPr>
          <w:noProof/>
        </w:rPr>
        <w:t xml:space="preserve">Instrument je predlog priporočila Sveta, ki upošteva načeli subsidiarnosti in sorazmernosti. Temelji na obstoječem pravu Unije in je v skladu z vrsto instrumentov, ki so na voljo za ukrepe Unije na področju socialne politike. Predlog kot pravni instrument kaže zavezanost držav članic ukrepom iz tega priporočila in zagotavlja trdno politično podlago za sodelovanje na zadevnem področju na ravni Unije, pri čemer v celoti upošteva pristojnosti držav članic. </w:t>
      </w:r>
    </w:p>
    <w:p w14:paraId="78014377" w14:textId="77777777" w:rsidR="00C578AE" w:rsidRPr="009E2049" w:rsidRDefault="00C578AE">
      <w:pPr>
        <w:pStyle w:val="ManualHeading1"/>
        <w:rPr>
          <w:noProof/>
        </w:rPr>
      </w:pPr>
      <w:r w:rsidRPr="009E2049">
        <w:rPr>
          <w:noProof/>
        </w:rPr>
        <w:t>3.</w:t>
      </w:r>
      <w:r w:rsidRPr="009E2049">
        <w:rPr>
          <w:noProof/>
        </w:rPr>
        <w:tab/>
        <w:t>REZULTATI NAKNADNIH OCEN, POSVETOVANJ Z DELEŽNIKI IN OCEN UČINKA</w:t>
      </w:r>
    </w:p>
    <w:p w14:paraId="63862FA7"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Naknadne ocene/preverjanja primernosti obstoječe zakonodaje</w:t>
      </w:r>
    </w:p>
    <w:p w14:paraId="2DDF0A96" w14:textId="77777777" w:rsidR="00C578AE" w:rsidRPr="009E2049" w:rsidRDefault="0001056A">
      <w:pPr>
        <w:pBdr>
          <w:top w:val="nil"/>
          <w:left w:val="nil"/>
          <w:bottom w:val="nil"/>
          <w:right w:val="nil"/>
          <w:between w:val="nil"/>
          <w:bar w:val="nil"/>
        </w:pBdr>
        <w:spacing w:before="0" w:after="240"/>
        <w:rPr>
          <w:rFonts w:eastAsia="Arial Unicode MS"/>
          <w:noProof/>
        </w:rPr>
      </w:pPr>
      <w:r w:rsidRPr="009E2049">
        <w:rPr>
          <w:noProof/>
        </w:rPr>
        <w:t>Ni relevantno.</w:t>
      </w:r>
    </w:p>
    <w:p w14:paraId="60A5EC10"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Posvetovanja z deležniki</w:t>
      </w:r>
    </w:p>
    <w:p w14:paraId="585E1E44" w14:textId="77777777" w:rsidR="00ED7DBC" w:rsidRPr="009E2049" w:rsidRDefault="005E319F" w:rsidP="00842964">
      <w:pPr>
        <w:pBdr>
          <w:top w:val="nil"/>
          <w:left w:val="nil"/>
          <w:bottom w:val="nil"/>
          <w:right w:val="nil"/>
          <w:between w:val="nil"/>
          <w:bar w:val="nil"/>
        </w:pBdr>
        <w:spacing w:before="0" w:after="240"/>
        <w:rPr>
          <w:rFonts w:eastAsia="Arial Unicode MS"/>
          <w:noProof/>
        </w:rPr>
      </w:pPr>
      <w:r w:rsidRPr="009E2049">
        <w:rPr>
          <w:noProof/>
        </w:rPr>
        <w:t xml:space="preserve">Za tovrstno pobudo javno posvetovanje ni potrebno. </w:t>
      </w:r>
    </w:p>
    <w:p w14:paraId="2DBC0B98" w14:textId="77777777" w:rsidR="00A35230" w:rsidRPr="009E2049" w:rsidRDefault="00A91635" w:rsidP="00842964">
      <w:pPr>
        <w:pBdr>
          <w:top w:val="nil"/>
          <w:left w:val="nil"/>
          <w:bottom w:val="nil"/>
          <w:right w:val="nil"/>
          <w:between w:val="nil"/>
          <w:bar w:val="nil"/>
        </w:pBdr>
        <w:spacing w:before="0" w:after="240"/>
        <w:rPr>
          <w:rFonts w:eastAsia="Arial Unicode MS"/>
          <w:noProof/>
        </w:rPr>
      </w:pPr>
      <w:r w:rsidRPr="009E2049">
        <w:rPr>
          <w:noProof/>
        </w:rPr>
        <w:lastRenderedPageBreak/>
        <w:t xml:space="preserve">Med 12. marcem 2026 in 9. aprilom 2026 je bil objavljen poziv k predložitvi dokazov za zbiranje povratnih informacij. Med zbiranjem povratnih informacij je bilo kot medsektorska težava opredeljeno pomanjkanje cenovno dostopnih in socialnih stanovanj, pri čemer so sodelujoči pozivali k trajnim javnim naložbam, širitvi neprofitnih in zadružnih stanovanj ter večji uporabi sredstev EU. Sodelujoči izražajo močno podporo stanovanjsko usmerjenim pristopom kot na dokazih temelječemu prednostnemu modelu ter pozivajo k njegovi sistemski uvedbi na nacionalni ravni. Anketiranci poudarjajo potrebo po na posameznika osredotočenih in celostnih pristopih, ki stanovanjsko področje povezujejo z zdravstvenimi, socialnimi, zaposlitvenimi in izobraževalnimi storitvami. Preprečevanje – s sistemi zgodnjega opozarjanja, zaščitnimi ukrepi pred izselitvijo, mediacijo pri najemninah in podporo pri dolgovih – je bilo opredeljeno kot premalo financirano in premalo razvito. Sodelujoči pozivajo tudi k usklajenemu zbiranju podatkov z uporabo klasifikacije ETHOS ter k močnejšemu spremljanju na ravni EU, tudi prek evropskega semestra. Izpostavljen je tudi nesorazmeren vpliv na ranljive skupine, tj. Rome, invalide, osebe LGBTIQ+, ženske in matere samohranilke, otroke, mlade, ki zapuščajo oskrbo, migrante in velike družine. </w:t>
      </w:r>
    </w:p>
    <w:p w14:paraId="2215877C" w14:textId="77777777" w:rsidR="005E319F" w:rsidRPr="009E2049" w:rsidRDefault="005E319F" w:rsidP="00842964">
      <w:pPr>
        <w:pBdr>
          <w:top w:val="nil"/>
          <w:left w:val="nil"/>
          <w:bottom w:val="nil"/>
          <w:right w:val="nil"/>
          <w:between w:val="nil"/>
          <w:bar w:val="nil"/>
        </w:pBdr>
        <w:spacing w:before="0" w:after="240"/>
        <w:rPr>
          <w:noProof/>
        </w:rPr>
      </w:pPr>
      <w:bookmarkStart w:id="2" w:name="_Hlk220931112"/>
      <w:r w:rsidRPr="009E2049">
        <w:rPr>
          <w:noProof/>
        </w:rPr>
        <w:t xml:space="preserve">Komisija je med 25. julijem in 24. oktobrom 2025 izvedla javno posvetovanje o strategiji EU za boj proti revščini, ki je prispevalo k oblikovanju vsebine tega predloga. Ta predlog je del svežnja strategije EU za boj proti revščini. Septembra in oktobra 2025 so v okviru priprave strategije EU za boj proti revščini potekala ciljna posvetovanja z osebami, ki živijo v revščini. </w:t>
      </w:r>
    </w:p>
    <w:p w14:paraId="2EFB5B8B" w14:textId="77777777" w:rsidR="001D3E76" w:rsidRPr="009E2049" w:rsidRDefault="0088755E" w:rsidP="001D3E76">
      <w:pPr>
        <w:pBdr>
          <w:top w:val="nil"/>
          <w:left w:val="nil"/>
          <w:bottom w:val="nil"/>
          <w:right w:val="nil"/>
          <w:between w:val="nil"/>
          <w:bar w:val="nil"/>
        </w:pBdr>
        <w:spacing w:before="0" w:after="240"/>
        <w:rPr>
          <w:noProof/>
        </w:rPr>
      </w:pPr>
      <w:r w:rsidRPr="009E2049">
        <w:rPr>
          <w:noProof/>
        </w:rPr>
        <w:t>Ta predlog temelji tudi na rezultatih javnega posvetovanja, ki ga je Komisija izvedla v okviru priprave evropskega načrta za cenovno dostopna stanovanja in ki je potekalo od 11. julija do 17. oktobra 2025. Posvetovanje je vključevalo vprašanja, namenjena zbiranju mnenj udeležencev o zagotavljanju cenovno dostopnih in na splošno dostopnih stanovanj za osebe v ranljivem položaju, ki jim grozi diskriminacija ali so brezdomne. Bilo je del dialoga o cenovno dostopnih stanovanjih, ki ga je Komisija začela za pripravo načrta, in je prineslo več kot 13 000 odgovorov.</w:t>
      </w:r>
    </w:p>
    <w:p w14:paraId="7BF39F83" w14:textId="2E55F273" w:rsidR="005E319F" w:rsidRPr="009E2049" w:rsidRDefault="005E319F" w:rsidP="005E319F">
      <w:pPr>
        <w:pBdr>
          <w:top w:val="nil"/>
          <w:left w:val="nil"/>
          <w:bottom w:val="nil"/>
          <w:right w:val="nil"/>
          <w:between w:val="nil"/>
          <w:bar w:val="nil"/>
        </w:pBdr>
        <w:spacing w:before="0" w:after="240"/>
        <w:rPr>
          <w:rFonts w:eastAsia="Arial Unicode MS"/>
          <w:noProof/>
        </w:rPr>
      </w:pPr>
      <w:r w:rsidRPr="009E2049">
        <w:rPr>
          <w:noProof/>
        </w:rPr>
        <w:t xml:space="preserve">Z evropsko platformo za boj proti brezdomstvu je bilo o vsebini tega predloga januarja 2026 opravljeno pisno posvetovanje. Platforma vključuje vse ustrezne deležnike, odgovorne za boj proti brezdomstvu – Evropsko komisijo, Evropski parlament, države članice, Odbor regij, Evropski ekonomsko-socialni odbor, socialne partnerje in ustrezne evropske organizacije. </w:t>
      </w:r>
    </w:p>
    <w:bookmarkEnd w:id="2"/>
    <w:p w14:paraId="4C3B5163"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Zbiranje in uporaba strokovnih mnenj</w:t>
      </w:r>
    </w:p>
    <w:p w14:paraId="1AAE12EA" w14:textId="77777777" w:rsidR="0002616A" w:rsidRPr="009E2049" w:rsidRDefault="0002616A" w:rsidP="0002616A">
      <w:pPr>
        <w:pBdr>
          <w:top w:val="nil"/>
          <w:left w:val="nil"/>
          <w:bottom w:val="nil"/>
          <w:right w:val="nil"/>
          <w:between w:val="nil"/>
          <w:bar w:val="nil"/>
        </w:pBdr>
        <w:spacing w:before="0" w:after="240"/>
        <w:rPr>
          <w:b/>
          <w:bCs/>
          <w:noProof/>
        </w:rPr>
      </w:pPr>
      <w:r w:rsidRPr="009E2049">
        <w:rPr>
          <w:noProof/>
        </w:rPr>
        <w:t xml:space="preserve">Dokazi, na katerih temelji ta pobuda, izhajajo iz </w:t>
      </w:r>
      <w:r w:rsidRPr="009E2049">
        <w:rPr>
          <w:b/>
          <w:noProof/>
        </w:rPr>
        <w:t xml:space="preserve">dela, opravljenega v okviru evropske platforme za boj proti brezdomstvu od leta 2021. </w:t>
      </w:r>
    </w:p>
    <w:p w14:paraId="23186D95" w14:textId="77777777" w:rsidR="001866C4" w:rsidRPr="009E2049" w:rsidRDefault="0002616A" w:rsidP="0002616A">
      <w:pPr>
        <w:pBdr>
          <w:top w:val="nil"/>
          <w:left w:val="nil"/>
          <w:bottom w:val="nil"/>
          <w:right w:val="nil"/>
          <w:between w:val="nil"/>
          <w:bar w:val="nil"/>
        </w:pBdr>
        <w:spacing w:before="0" w:after="240"/>
        <w:rPr>
          <w:noProof/>
        </w:rPr>
      </w:pPr>
      <w:r w:rsidRPr="009E2049">
        <w:rPr>
          <w:noProof/>
        </w:rPr>
        <w:t>V okviru delovnega področja platforme za vzajemno učenje je bilo naročenih več študij</w:t>
      </w:r>
      <w:r w:rsidRPr="009E2049">
        <w:rPr>
          <w:rStyle w:val="FootnoteReference"/>
          <w:noProof/>
        </w:rPr>
        <w:footnoteReference w:id="7"/>
      </w:r>
      <w:r w:rsidRPr="009E2049">
        <w:rPr>
          <w:noProof/>
        </w:rPr>
        <w:t xml:space="preserve">, da bi se države članice informiralo in podprlo pri njihovih prizadevanjih za oblikovanje in izvajanje nacionalnih strategij za boj proti stanovanjski izključenosti in brezdomstvu. Študije kažejo, da je za boj proti brezdomstvu potreben prehod od nujnih odzivov k stanovanjsko usmerjenim rešitvam – tj. zagotavljanju takojšnjega, stabilnega stanovanja s prilagojeno </w:t>
      </w:r>
      <w:r w:rsidRPr="009E2049">
        <w:rPr>
          <w:noProof/>
        </w:rPr>
        <w:lastRenderedPageBreak/>
        <w:t xml:space="preserve">podporo. Ta pristop prekine drage kroge začasnih zatočišč in izpostavlja cenovno dostopna stanovanja kot ključni preventivni ukrep. </w:t>
      </w:r>
    </w:p>
    <w:p w14:paraId="7B30A70C" w14:textId="77777777" w:rsidR="0002616A" w:rsidRPr="009E2049" w:rsidRDefault="00FD4AC3" w:rsidP="0002616A">
      <w:pPr>
        <w:pBdr>
          <w:top w:val="nil"/>
          <w:left w:val="nil"/>
          <w:bottom w:val="nil"/>
          <w:right w:val="nil"/>
          <w:between w:val="nil"/>
          <w:bar w:val="nil"/>
        </w:pBdr>
        <w:spacing w:before="0" w:after="240"/>
        <w:rPr>
          <w:noProof/>
        </w:rPr>
      </w:pPr>
      <w:r w:rsidRPr="009E2049">
        <w:rPr>
          <w:noProof/>
        </w:rPr>
        <w:t>Nabor orodij OECD za boj proti brezdomstvu</w:t>
      </w:r>
      <w:r w:rsidRPr="009E2049">
        <w:rPr>
          <w:rStyle w:val="FootnoteReference"/>
          <w:noProof/>
        </w:rPr>
        <w:footnoteReference w:id="8"/>
      </w:r>
      <w:r w:rsidRPr="009E2049">
        <w:rPr>
          <w:noProof/>
        </w:rPr>
        <w:t xml:space="preserve"> zagotavlja strategije za zmanjšanje brezdomstva s preventivnimi in reaktivnimi ukrepi, da se ustvarijo učinkovite dolgoročne rešitve, ter poudarja na podatkih temelječe politike, celostno podporo, stabilnost bivališča, prilagojene pristope in medsektorsko sodelovanje. Okvir OECD za spremljanje</w:t>
      </w:r>
      <w:r w:rsidRPr="009E2049">
        <w:rPr>
          <w:rStyle w:val="FootnoteReference"/>
          <w:noProof/>
        </w:rPr>
        <w:footnoteReference w:id="9"/>
      </w:r>
      <w:r w:rsidRPr="009E2049">
        <w:rPr>
          <w:noProof/>
        </w:rPr>
        <w:t xml:space="preserve"> je namenjen izboljšanju razumevanja in merjenja brezdomstva z določitvijo doslednih mednarodnih standardov za zbiranje in analizo podatkov. Poudarja pomen uporabe celovitih in primerljivih metrik, ki izkazujejo večplastno naravo brezdomstva. </w:t>
      </w:r>
    </w:p>
    <w:p w14:paraId="148560DD" w14:textId="77777777" w:rsidR="001C6EBB" w:rsidRPr="009E2049" w:rsidRDefault="001C6EBB" w:rsidP="001C6EBB">
      <w:pPr>
        <w:rPr>
          <w:noProof/>
        </w:rPr>
      </w:pPr>
      <w:r w:rsidRPr="009E2049">
        <w:rPr>
          <w:noProof/>
        </w:rPr>
        <w:t>V okviru pilotnega projekta Podatki o številu brezdomcev v Evropi</w:t>
      </w:r>
      <w:r w:rsidRPr="009E2049">
        <w:rPr>
          <w:rStyle w:val="FootnoteReference"/>
          <w:noProof/>
        </w:rPr>
        <w:footnoteReference w:id="10"/>
      </w:r>
      <w:r w:rsidRPr="009E2049">
        <w:rPr>
          <w:noProof/>
        </w:rPr>
        <w:t xml:space="preserve"> je bila razvita in preskušena primerljiva metodologija štetja in profiliranja brezdomstva po vsej EU. Pri projektu se uporablja usklajen pristop, ki temelji na opredelitvi ETHOS Light</w:t>
      </w:r>
      <w:r w:rsidRPr="009E2049">
        <w:rPr>
          <w:rStyle w:val="FootnoteReference"/>
          <w:noProof/>
        </w:rPr>
        <w:footnoteReference w:id="11"/>
      </w:r>
      <w:r w:rsidRPr="009E2049">
        <w:rPr>
          <w:noProof/>
        </w:rPr>
        <w:t>.</w:t>
      </w:r>
    </w:p>
    <w:p w14:paraId="5BE1A82B" w14:textId="77777777" w:rsidR="00BE49FF" w:rsidRPr="009E2049" w:rsidRDefault="0002616A" w:rsidP="00557312">
      <w:pPr>
        <w:rPr>
          <w:noProof/>
          <w:szCs w:val="24"/>
        </w:rPr>
      </w:pPr>
      <w:r w:rsidRPr="009E2049">
        <w:rPr>
          <w:noProof/>
        </w:rPr>
        <w:t>Poročilo Evropske mreže za analizo socialne politike</w:t>
      </w:r>
      <w:r w:rsidRPr="009E2049">
        <w:rPr>
          <w:rStyle w:val="FootnoteReference"/>
          <w:noProof/>
        </w:rPr>
        <w:footnoteReference w:id="12"/>
      </w:r>
      <w:r w:rsidRPr="009E2049">
        <w:rPr>
          <w:noProof/>
        </w:rPr>
        <w:t xml:space="preserve"> za obsežno analizo povezave med revščino in stanovanjsko izključenostjo zagotavlja primerjalno analizo prepletanja brezdomstva in politik za boj proti revščini po vsej EU. </w:t>
      </w:r>
    </w:p>
    <w:p w14:paraId="7AFD6810"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Ocena učinka</w:t>
      </w:r>
    </w:p>
    <w:p w14:paraId="668E23F9" w14:textId="6C1654AD" w:rsidR="0096681E" w:rsidRPr="009E2049" w:rsidRDefault="004F5935" w:rsidP="0096681E">
      <w:pPr>
        <w:pBdr>
          <w:top w:val="nil"/>
          <w:left w:val="nil"/>
          <w:bottom w:val="nil"/>
          <w:right w:val="nil"/>
          <w:between w:val="nil"/>
          <w:bar w:val="nil"/>
        </w:pBdr>
        <w:spacing w:before="0" w:after="240"/>
        <w:rPr>
          <w:rFonts w:eastAsia="Arial Unicode MS"/>
          <w:noProof/>
        </w:rPr>
      </w:pPr>
      <w:r w:rsidRPr="009E2049">
        <w:rPr>
          <w:noProof/>
        </w:rPr>
        <w:t>Ocena učinka ni predvidena, saj izbrani instrument</w:t>
      </w:r>
      <w:r w:rsidR="00737412" w:rsidRPr="009E2049">
        <w:rPr>
          <w:noProof/>
        </w:rPr>
        <w:t>, tj.</w:t>
      </w:r>
      <w:r w:rsidRPr="009E2049">
        <w:rPr>
          <w:noProof/>
        </w:rPr>
        <w:t xml:space="preserve"> priporočilo Sveta</w:t>
      </w:r>
      <w:r w:rsidR="00737412" w:rsidRPr="009E2049">
        <w:rPr>
          <w:noProof/>
        </w:rPr>
        <w:t>,</w:t>
      </w:r>
      <w:r w:rsidRPr="009E2049">
        <w:rPr>
          <w:noProof/>
        </w:rPr>
        <w:t xml:space="preserve"> ni zavezujoč in se bodo za izvajanje odločile države članice. Predlog priporočila Sveta je podprt z delovnim dokumentom služb Komisije, </w:t>
      </w:r>
      <w:r w:rsidR="00BF1D7D" w:rsidRPr="009E2049">
        <w:rPr>
          <w:noProof/>
        </w:rPr>
        <w:t>ki je spremni dokument k</w:t>
      </w:r>
      <w:r w:rsidRPr="009E2049">
        <w:rPr>
          <w:noProof/>
        </w:rPr>
        <w:t xml:space="preserve"> strategiji za boj proti revščini.</w:t>
      </w:r>
    </w:p>
    <w:p w14:paraId="7606F287" w14:textId="77777777" w:rsidR="00C578AE" w:rsidRPr="009E2049" w:rsidRDefault="0096681E">
      <w:pPr>
        <w:pBdr>
          <w:top w:val="nil"/>
          <w:left w:val="nil"/>
          <w:bottom w:val="nil"/>
          <w:right w:val="nil"/>
          <w:between w:val="nil"/>
          <w:bar w:val="nil"/>
        </w:pBdr>
        <w:spacing w:before="0" w:after="240"/>
        <w:rPr>
          <w:rFonts w:eastAsia="Arial Unicode MS"/>
          <w:noProof/>
        </w:rPr>
      </w:pPr>
      <w:r w:rsidRPr="009E2049">
        <w:rPr>
          <w:noProof/>
        </w:rPr>
        <w:t>Učinek priporočila ne bo odvisen le od tega, kako države članice izvajajo ukrepe. Pomembne so tudi nacionalne okoliščine, kot so makroekonomske razmere, zasnova sistemov socialne zaščite in socialnih storitev ter delovanje stanovanjskih sistemov, zaradi katerih je težko ločiti specifični učinek predloga od drugih dejavnikov.</w:t>
      </w:r>
    </w:p>
    <w:p w14:paraId="0393148A"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Temeljne pravice</w:t>
      </w:r>
    </w:p>
    <w:p w14:paraId="3C87B066" w14:textId="77777777" w:rsidR="00196672" w:rsidRPr="009E2049" w:rsidRDefault="00196672" w:rsidP="00196672">
      <w:pPr>
        <w:pBdr>
          <w:top w:val="nil"/>
          <w:left w:val="nil"/>
          <w:bottom w:val="nil"/>
          <w:right w:val="nil"/>
          <w:between w:val="nil"/>
          <w:bar w:val="nil"/>
        </w:pBdr>
        <w:spacing w:before="0" w:after="240"/>
        <w:rPr>
          <w:rFonts w:eastAsia="Arial Unicode MS"/>
          <w:noProof/>
        </w:rPr>
      </w:pPr>
      <w:bookmarkStart w:id="5" w:name="_Hlk220930317"/>
      <w:r w:rsidRPr="009E2049">
        <w:rPr>
          <w:noProof/>
        </w:rPr>
        <w:t xml:space="preserve">Predlog bo prispeval k varovanju pravice do človekovega dostojanstva (člen 1 Listine Evropske unije o temeljnih pravicah), do dajatev socialne varnosti in socialnih služb, do socialne pomoči in pomoči pri pridobitvi stanovanj ter do dostojnega življenja za vse, ki nimajo zadostnih sredstev (člen 34 Listine). </w:t>
      </w:r>
    </w:p>
    <w:bookmarkEnd w:id="5"/>
    <w:p w14:paraId="3C8710B9" w14:textId="77777777" w:rsidR="00C578AE" w:rsidRPr="009E2049" w:rsidRDefault="00C578AE">
      <w:pPr>
        <w:pStyle w:val="ManualHeading1"/>
        <w:rPr>
          <w:noProof/>
        </w:rPr>
      </w:pPr>
      <w:r w:rsidRPr="009E2049">
        <w:rPr>
          <w:noProof/>
        </w:rPr>
        <w:t>4.</w:t>
      </w:r>
      <w:r w:rsidRPr="009E2049">
        <w:rPr>
          <w:noProof/>
        </w:rPr>
        <w:tab/>
        <w:t>PRORAČUNSKE POSLEDICE</w:t>
      </w:r>
    </w:p>
    <w:p w14:paraId="2499509E" w14:textId="77777777" w:rsidR="00143377" w:rsidRPr="009E2049" w:rsidRDefault="002A4F74" w:rsidP="00143377">
      <w:pPr>
        <w:pBdr>
          <w:top w:val="nil"/>
          <w:left w:val="nil"/>
          <w:bottom w:val="nil"/>
          <w:right w:val="nil"/>
          <w:between w:val="nil"/>
          <w:bar w:val="nil"/>
        </w:pBdr>
        <w:spacing w:before="0" w:after="240"/>
        <w:rPr>
          <w:rFonts w:eastAsia="Arial Unicode MS"/>
          <w:noProof/>
        </w:rPr>
      </w:pPr>
      <w:bookmarkStart w:id="6" w:name="_Hlk220930254"/>
      <w:r w:rsidRPr="009E2049">
        <w:rPr>
          <w:noProof/>
        </w:rPr>
        <w:t xml:space="preserve">Priporočilo nima neposrednih proračunskih posledic za Unijo. Države članice spodbuja, naj učinkovito uporabijo obstoječa nacionalna sredstva in ustrezne instrumente financiranja Unije, vključno s skladoma ESS+ in ESRR, programoma Erasmus+ in InvestEU ter mehanizmom za okrevanje in odpornost, v skladu z ustreznimi pravili in instrumenti v okviru naslednjega večletnega finančnega okvira. </w:t>
      </w:r>
    </w:p>
    <w:bookmarkEnd w:id="6"/>
    <w:p w14:paraId="28B674D9" w14:textId="77777777" w:rsidR="00C578AE" w:rsidRPr="009E2049" w:rsidRDefault="00C578AE">
      <w:pPr>
        <w:pStyle w:val="ManualHeading1"/>
        <w:rPr>
          <w:noProof/>
        </w:rPr>
      </w:pPr>
      <w:r w:rsidRPr="009E2049">
        <w:rPr>
          <w:noProof/>
        </w:rPr>
        <w:lastRenderedPageBreak/>
        <w:t>5.</w:t>
      </w:r>
      <w:r w:rsidRPr="009E2049">
        <w:rPr>
          <w:noProof/>
        </w:rPr>
        <w:tab/>
        <w:t>DRUGI ELEMENTI</w:t>
      </w:r>
    </w:p>
    <w:p w14:paraId="7AAD6C30"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Načrti za izvedbo ter ureditev spremljanja, ocenjevanja in poročanja</w:t>
      </w:r>
    </w:p>
    <w:p w14:paraId="6A1C78F4" w14:textId="3242EBD6" w:rsidR="00DF4092" w:rsidRPr="009E2049" w:rsidRDefault="008D0F94" w:rsidP="008D0F94">
      <w:pPr>
        <w:pBdr>
          <w:top w:val="nil"/>
          <w:left w:val="nil"/>
          <w:bottom w:val="nil"/>
          <w:right w:val="nil"/>
          <w:between w:val="nil"/>
          <w:bar w:val="nil"/>
        </w:pBdr>
        <w:spacing w:before="0" w:after="240"/>
        <w:rPr>
          <w:rFonts w:eastAsia="Arial Unicode MS"/>
          <w:noProof/>
        </w:rPr>
      </w:pPr>
      <w:bookmarkStart w:id="7" w:name="_Hlk220930174"/>
      <w:r w:rsidRPr="009E2049">
        <w:rPr>
          <w:noProof/>
        </w:rPr>
        <w:t xml:space="preserve">Napredek pri izvajanju tega priporočila se bo spremljal z naslednjimi obstoječimi okviri na ravni EU: </w:t>
      </w:r>
    </w:p>
    <w:p w14:paraId="61590ADF" w14:textId="77777777" w:rsidR="007F24D3" w:rsidRPr="009E2049" w:rsidRDefault="00512759" w:rsidP="002A697C">
      <w:pPr>
        <w:pStyle w:val="Tiret1"/>
        <w:numPr>
          <w:ilvl w:val="0"/>
          <w:numId w:val="8"/>
        </w:numPr>
        <w:rPr>
          <w:noProof/>
        </w:rPr>
      </w:pPr>
      <w:r w:rsidRPr="009E2049">
        <w:rPr>
          <w:noProof/>
        </w:rPr>
        <w:t>evropska platforma za boj proti brezdomstvu bo zagotovila prispevke širše strokovne skupnosti in deležnikov, vključno z organizacijami, ki zastopajo brezdomce;</w:t>
      </w:r>
    </w:p>
    <w:p w14:paraId="3002EBDF" w14:textId="77777777" w:rsidR="00A658C6" w:rsidRPr="009E2049" w:rsidRDefault="00512759" w:rsidP="004723B1">
      <w:pPr>
        <w:pStyle w:val="Tiret1"/>
        <w:rPr>
          <w:noProof/>
        </w:rPr>
      </w:pPr>
      <w:r w:rsidRPr="009E2049">
        <w:rPr>
          <w:noProof/>
        </w:rPr>
        <w:t xml:space="preserve">Odbor za socialno zaščito bo zagotovil potrebne smernice za politike in prispevke držav članic; </w:t>
      </w:r>
    </w:p>
    <w:p w14:paraId="7B1FA233" w14:textId="77777777" w:rsidR="00A658C6" w:rsidRPr="009E2049" w:rsidRDefault="00512759" w:rsidP="004723B1">
      <w:pPr>
        <w:pStyle w:val="Tiret1"/>
        <w:rPr>
          <w:noProof/>
        </w:rPr>
      </w:pPr>
      <w:r w:rsidRPr="009E2049">
        <w:rPr>
          <w:noProof/>
        </w:rPr>
        <w:t xml:space="preserve">evropski semester bo vključeval analizo in oceno socialnih in gospodarskih politik, povezanih s stanovanjsko izključenostjo in brezdomstvom. </w:t>
      </w:r>
    </w:p>
    <w:p w14:paraId="079E76B7" w14:textId="77777777" w:rsidR="00D85CF7" w:rsidRPr="009E2049" w:rsidRDefault="00026DCC" w:rsidP="0097585B">
      <w:pPr>
        <w:pBdr>
          <w:top w:val="nil"/>
          <w:left w:val="nil"/>
          <w:bottom w:val="nil"/>
          <w:right w:val="nil"/>
          <w:between w:val="nil"/>
          <w:bar w:val="nil"/>
        </w:pBdr>
        <w:spacing w:before="0" w:after="240"/>
        <w:rPr>
          <w:rFonts w:eastAsia="Arial Unicode MS"/>
          <w:noProof/>
        </w:rPr>
      </w:pPr>
      <w:r w:rsidRPr="009E2049">
        <w:rPr>
          <w:noProof/>
        </w:rPr>
        <w:t xml:space="preserve">Napredek bo ocenjen na podlagi razpoložljivih uradnih statističnih podatkov Eurostata </w:t>
      </w:r>
      <w:r w:rsidRPr="009E2049">
        <w:rPr>
          <w:rStyle w:val="CommentReference"/>
          <w:noProof/>
          <w:sz w:val="24"/>
        </w:rPr>
        <w:t>ter</w:t>
      </w:r>
      <w:r w:rsidRPr="009E2049">
        <w:rPr>
          <w:noProof/>
        </w:rPr>
        <w:t xml:space="preserve"> izboljšanih, celovitih in primerljivih podatkov, ki naj bi jih spodbujalo predlagano priporočilo. Državam članicam se priporoča, naj Komisiji vsakih pet let poročajo o rezultatih svojih nacionalnih dejavnosti spremljanja in o napredku, doseženem pri izvajanju tega priporočila.</w:t>
      </w:r>
    </w:p>
    <w:bookmarkEnd w:id="7"/>
    <w:p w14:paraId="653D0B71"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Obrazložitveni dokumenti (za direktive)</w:t>
      </w:r>
    </w:p>
    <w:p w14:paraId="71ECDA65" w14:textId="77777777" w:rsidR="00C578AE" w:rsidRPr="009E2049" w:rsidRDefault="00A3082A">
      <w:pPr>
        <w:pBdr>
          <w:top w:val="nil"/>
          <w:left w:val="nil"/>
          <w:bottom w:val="nil"/>
          <w:right w:val="nil"/>
          <w:between w:val="nil"/>
          <w:bar w:val="nil"/>
        </w:pBdr>
        <w:spacing w:before="0" w:after="240"/>
        <w:rPr>
          <w:rFonts w:eastAsia="Arial Unicode MS"/>
          <w:noProof/>
        </w:rPr>
      </w:pPr>
      <w:r w:rsidRPr="009E2049">
        <w:rPr>
          <w:noProof/>
        </w:rPr>
        <w:t>Ni relevantno.</w:t>
      </w:r>
    </w:p>
    <w:p w14:paraId="2683478F" w14:textId="77777777" w:rsidR="00C578AE" w:rsidRPr="009E2049" w:rsidRDefault="00C578AE">
      <w:pPr>
        <w:pStyle w:val="ManualHeading2"/>
        <w:rPr>
          <w:rFonts w:eastAsia="Arial Unicode MS"/>
          <w:noProof/>
          <w:u w:color="000000"/>
          <w:bdr w:val="nil"/>
        </w:rPr>
      </w:pPr>
      <w:r w:rsidRPr="009E2049">
        <w:rPr>
          <w:noProof/>
          <w:u w:color="000000"/>
          <w:bdr w:val="nil"/>
        </w:rPr>
        <w:t>•</w:t>
      </w:r>
      <w:r w:rsidRPr="009E2049">
        <w:rPr>
          <w:noProof/>
        </w:rPr>
        <w:tab/>
      </w:r>
      <w:r w:rsidRPr="009E2049">
        <w:rPr>
          <w:noProof/>
          <w:u w:color="000000"/>
          <w:bdr w:val="nil"/>
        </w:rPr>
        <w:t>Natančnejša pojasnitev posameznih določb predloga</w:t>
      </w:r>
    </w:p>
    <w:p w14:paraId="155CFDF6" w14:textId="77777777" w:rsidR="00F46AC7" w:rsidRPr="009E2049" w:rsidRDefault="00F46AC7" w:rsidP="00F46AC7">
      <w:pPr>
        <w:rPr>
          <w:noProof/>
        </w:rPr>
      </w:pPr>
      <w:r w:rsidRPr="009E2049">
        <w:rPr>
          <w:noProof/>
        </w:rPr>
        <w:t xml:space="preserve">V odstavku 1 so navedeni cilji tega priporočila. </w:t>
      </w:r>
    </w:p>
    <w:p w14:paraId="2B878502" w14:textId="77777777" w:rsidR="00F46AC7" w:rsidRPr="009E2049" w:rsidRDefault="00F46AC7" w:rsidP="00F46AC7">
      <w:pPr>
        <w:rPr>
          <w:noProof/>
        </w:rPr>
      </w:pPr>
      <w:r w:rsidRPr="009E2049">
        <w:rPr>
          <w:noProof/>
        </w:rPr>
        <w:t>Odstavek 2 vsebuje opredelitve pojmov, ki se uporabljajo v tem priporočilu.</w:t>
      </w:r>
    </w:p>
    <w:p w14:paraId="090671E0" w14:textId="77777777" w:rsidR="00F97180" w:rsidRPr="009E2049" w:rsidRDefault="00A3315F" w:rsidP="00F422C3">
      <w:pPr>
        <w:rPr>
          <w:noProof/>
        </w:rPr>
      </w:pPr>
      <w:r w:rsidRPr="009E2049">
        <w:rPr>
          <w:noProof/>
        </w:rPr>
        <w:t>Oddelek o medsektorskih priporočilih je osrednji del priporočila in državam članicam priporoča, naj revidirajo ali sprejmejo nacionalne okvire za boj proti stanovanjski izključenosti z na posameznika osredotočenimi in stanovanjsko usmerjenimi politikami. Priporoča tudi določitev jasnih, časovno opredeljenih ciljev za zagotavljanje zasilnega zatočišča vsem osebam, ki spijo na prostem, ter za hitro premestitev ljudi iz začasne nastanitve v varno dolgoročno nastanitev.</w:t>
      </w:r>
    </w:p>
    <w:p w14:paraId="574B512D" w14:textId="77777777" w:rsidR="00C67C87" w:rsidRPr="009E2049" w:rsidRDefault="001171F9" w:rsidP="00416159">
      <w:pPr>
        <w:rPr>
          <w:noProof/>
        </w:rPr>
      </w:pPr>
      <w:r w:rsidRPr="009E2049">
        <w:rPr>
          <w:noProof/>
        </w:rPr>
        <w:t>Oddelek o prepoznavanju oseb, pri katerih obstaja tveganje stanovanjske izključenosti, zajema zbiranje podatkov, določitev meril za upravičenost v vseh ustreznih službah, sisteme zgodnjega opozarjanja za prepoznavanje ogroženih gospodinjstev ter ciljno usmerjeno doseganje skupin, ki so v podatkih premalo zajete.</w:t>
      </w:r>
    </w:p>
    <w:p w14:paraId="7F760B07" w14:textId="77777777" w:rsidR="00416159" w:rsidRPr="009E2049" w:rsidRDefault="000E01BD" w:rsidP="00416159">
      <w:pPr>
        <w:rPr>
          <w:noProof/>
        </w:rPr>
      </w:pPr>
      <w:r w:rsidRPr="009E2049">
        <w:rPr>
          <w:noProof/>
        </w:rPr>
        <w:t>Oddelek o preprečevanju stanovanjske izključenosti zajema obdržanje primernega stanovanja, dostop do informacij, ocenjevanje zadostnosti dohodka, zaščito pred izselitvijo, zaščito otrok, osebe, ki zapuščajo institucionalno oskrbo, zgodnje ukrepanje za otroke in mlade, starejše osebe in prehode iz institucij.</w:t>
      </w:r>
    </w:p>
    <w:p w14:paraId="6E920A05" w14:textId="77777777" w:rsidR="00410BB1" w:rsidRPr="009E2049" w:rsidRDefault="00587BA5" w:rsidP="00410BB1">
      <w:pPr>
        <w:rPr>
          <w:noProof/>
        </w:rPr>
      </w:pPr>
      <w:r w:rsidRPr="009E2049">
        <w:rPr>
          <w:noProof/>
        </w:rPr>
        <w:t>Oddelek o podpori brezdomcem obravnava podporne sisteme in storitve, ohranjanje enotnosti družine, usklajevanje med službami, aktivacijo na trgu dela, finančno vključenost, dostop do stanovanj, zmogljivosti zavetišč v skladu s potrebami, vrstniško podporo ter boj proti diskriminaciji.</w:t>
      </w:r>
    </w:p>
    <w:p w14:paraId="73975308" w14:textId="7D1619C1" w:rsidR="00410BB1" w:rsidRPr="009E2049" w:rsidRDefault="004A12EE" w:rsidP="00410BB1">
      <w:pPr>
        <w:rPr>
          <w:noProof/>
        </w:rPr>
      </w:pPr>
      <w:r w:rsidRPr="009E2049">
        <w:rPr>
          <w:noProof/>
        </w:rPr>
        <w:t xml:space="preserve">Oddelek o dostopu do </w:t>
      </w:r>
      <w:r w:rsidR="007A24C8" w:rsidRPr="009E2049">
        <w:rPr>
          <w:noProof/>
        </w:rPr>
        <w:t>primernih</w:t>
      </w:r>
      <w:r w:rsidRPr="009E2049">
        <w:rPr>
          <w:noProof/>
        </w:rPr>
        <w:t xml:space="preserve"> in varnih stanovanjskih rešitev se nanaša na stanovanjsko usmerjene pristope, na posameznika osredotočene podporne storitve, zagotavljanje socialnih in cenovno dostopnih stanovanj, finančno podporo in spodbude za dostop do stanovanj, </w:t>
      </w:r>
      <w:r w:rsidRPr="009E2049">
        <w:rPr>
          <w:noProof/>
        </w:rPr>
        <w:lastRenderedPageBreak/>
        <w:t>zagotavljanje podpore mladim (vključno s študenti) ter na podporo krajevno prilagojenim politikam in prilagoditvam stanovanj.</w:t>
      </w:r>
    </w:p>
    <w:p w14:paraId="0F59456F" w14:textId="77777777" w:rsidR="00D51DF8" w:rsidRPr="009E2049" w:rsidRDefault="00A0531C" w:rsidP="00EE121A">
      <w:pPr>
        <w:rPr>
          <w:noProof/>
        </w:rPr>
      </w:pPr>
      <w:r w:rsidRPr="009E2049">
        <w:rPr>
          <w:noProof/>
        </w:rPr>
        <w:t>Oddelek o spremljanju, ocenjevanju in upravljanju vsebuje priporočilo za države članice, naj vzpostavijo mehanizme za spremljanje in ocenjevanje, da bi zagotovile učinkovite odzive politike. Vsebuje tudi priporočilo, naj države članice vzpostavijo trden okvir upravljanja, v katerega bodo vključeni vsi deležniki, pri tem pa uporabijo sredstva EU in podpirajo evropsko platformo za boj proti brezdomstvu.</w:t>
      </w:r>
    </w:p>
    <w:p w14:paraId="6EC9599C" w14:textId="77777777" w:rsidR="00ED7527" w:rsidRPr="009E2049" w:rsidRDefault="00ED7527">
      <w:pPr>
        <w:spacing w:before="0" w:after="200" w:line="276" w:lineRule="auto"/>
        <w:jc w:val="left"/>
        <w:rPr>
          <w:noProof/>
        </w:rPr>
      </w:pPr>
      <w:r w:rsidRPr="009E2049">
        <w:rPr>
          <w:noProof/>
        </w:rPr>
        <w:br w:type="page"/>
      </w:r>
    </w:p>
    <w:p w14:paraId="24953F8A" w14:textId="4DFE580E" w:rsidR="00532C9D" w:rsidRPr="009E2049" w:rsidRDefault="00F974AF" w:rsidP="00F974AF">
      <w:pPr>
        <w:pStyle w:val="Rfrenceinterinstitutionnelle"/>
        <w:rPr>
          <w:noProof/>
        </w:rPr>
      </w:pPr>
      <w:r>
        <w:rPr>
          <w:noProof/>
        </w:rPr>
        <w:lastRenderedPageBreak/>
        <w:t>2026/0105 (NLE)</w:t>
      </w:r>
    </w:p>
    <w:p w14:paraId="3D7FAEE8" w14:textId="53B0F235" w:rsidR="00C578AE" w:rsidRPr="009E2049" w:rsidRDefault="00F974AF" w:rsidP="00F974AF">
      <w:pPr>
        <w:pStyle w:val="Statut"/>
        <w:rPr>
          <w:noProof/>
        </w:rPr>
      </w:pPr>
      <w:r w:rsidRPr="009E2049">
        <w:rPr>
          <w:noProof/>
        </w:rPr>
        <w:t>Predlog</w:t>
      </w:r>
    </w:p>
    <w:p w14:paraId="6665D039" w14:textId="707772F2" w:rsidR="00C578AE" w:rsidRPr="009E2049" w:rsidRDefault="00F974AF" w:rsidP="00F974AF">
      <w:pPr>
        <w:pStyle w:val="Typedudocument"/>
        <w:rPr>
          <w:noProof/>
        </w:rPr>
      </w:pPr>
      <w:r w:rsidRPr="009E2049">
        <w:rPr>
          <w:noProof/>
        </w:rPr>
        <w:t>PRIPOROČILO SVETA</w:t>
      </w:r>
    </w:p>
    <w:p w14:paraId="6AF201A8" w14:textId="5532BB8A" w:rsidR="00C578AE" w:rsidRPr="009E2049" w:rsidRDefault="00F974AF" w:rsidP="00F974AF">
      <w:pPr>
        <w:pStyle w:val="Titreobjet"/>
        <w:rPr>
          <w:noProof/>
        </w:rPr>
      </w:pPr>
      <w:r w:rsidRPr="009E2049">
        <w:rPr>
          <w:noProof/>
        </w:rPr>
        <w:t>o boju proti stanovanjski izključenosti</w:t>
      </w:r>
    </w:p>
    <w:p w14:paraId="613679E6" w14:textId="77777777" w:rsidR="00C578AE" w:rsidRPr="009E2049" w:rsidRDefault="00C578AE">
      <w:pPr>
        <w:pStyle w:val="Institutionquiagit"/>
        <w:rPr>
          <w:noProof/>
        </w:rPr>
      </w:pPr>
      <w:r w:rsidRPr="009E2049">
        <w:rPr>
          <w:noProof/>
        </w:rPr>
        <w:t>SVET EVROPSKE UNIJE JE –</w:t>
      </w:r>
    </w:p>
    <w:p w14:paraId="01EF4DBE" w14:textId="77777777" w:rsidR="00C578AE" w:rsidRPr="009E2049" w:rsidRDefault="00C578AE">
      <w:pPr>
        <w:rPr>
          <w:noProof/>
        </w:rPr>
      </w:pPr>
      <w:r w:rsidRPr="009E2049">
        <w:rPr>
          <w:noProof/>
        </w:rPr>
        <w:t>ob upoštevanju Pogodbe o delovanju Evropske unije in zlasti člena 292 v povezavi s členom 153(1), točka (j), Pogodbe,</w:t>
      </w:r>
    </w:p>
    <w:p w14:paraId="548615B0" w14:textId="77777777" w:rsidR="00C578AE" w:rsidRPr="009E2049" w:rsidRDefault="00C578AE">
      <w:pPr>
        <w:rPr>
          <w:noProof/>
        </w:rPr>
      </w:pPr>
      <w:r w:rsidRPr="009E2049">
        <w:rPr>
          <w:noProof/>
        </w:rPr>
        <w:t>ob upoštevanju predloga Evropske komisije,</w:t>
      </w:r>
    </w:p>
    <w:p w14:paraId="36FAEC76" w14:textId="77777777" w:rsidR="00120777" w:rsidRPr="009E2049" w:rsidRDefault="00120777">
      <w:pPr>
        <w:rPr>
          <w:noProof/>
        </w:rPr>
      </w:pPr>
    </w:p>
    <w:p w14:paraId="534E4E72" w14:textId="77777777" w:rsidR="00C578AE" w:rsidRPr="009E2049" w:rsidRDefault="00C578AE">
      <w:pPr>
        <w:rPr>
          <w:noProof/>
        </w:rPr>
      </w:pPr>
      <w:r w:rsidRPr="009E2049">
        <w:rPr>
          <w:noProof/>
        </w:rPr>
        <w:t>ob upoštevanju naslednjega:</w:t>
      </w:r>
    </w:p>
    <w:p w14:paraId="7E24549C" w14:textId="77777777" w:rsidR="000A7BDC" w:rsidRPr="009E2049" w:rsidRDefault="000A7BDC">
      <w:pPr>
        <w:rPr>
          <w:noProof/>
        </w:rPr>
      </w:pPr>
    </w:p>
    <w:p w14:paraId="52CEE5C6" w14:textId="77777777" w:rsidR="001E431A" w:rsidRPr="009E2049" w:rsidRDefault="00796E41" w:rsidP="00796E41">
      <w:pPr>
        <w:pStyle w:val="ManualConsidrant"/>
        <w:rPr>
          <w:noProof/>
          <w:color w:val="333333"/>
        </w:rPr>
      </w:pPr>
      <w:r w:rsidRPr="009E2049">
        <w:rPr>
          <w:noProof/>
        </w:rPr>
        <w:t>(1)</w:t>
      </w:r>
      <w:r w:rsidRPr="009E2049">
        <w:rPr>
          <w:noProof/>
        </w:rPr>
        <w:tab/>
        <w:t>Na podlagi člena 3(3) Pogodbe o Evropski uniji se Unija bori proti socialni izključenosti in diskriminaciji ter spodbuja socialno pravičnost in varstvo. Na podlagi člena 151 Pogodbe o delovanju Evropske unije (PDEU) si Unija in države članice med drugim prizadevajo za spodbujanje zaposlovanja, izboljšanje življenjskih razmer in delovnih pogojev, ustrezno socialno zaščito in boj proti izključenosti.</w:t>
      </w:r>
      <w:r w:rsidRPr="009E2049">
        <w:rPr>
          <w:noProof/>
          <w:color w:val="333333"/>
          <w:shd w:val="clear" w:color="auto" w:fill="FFFFFF"/>
        </w:rPr>
        <w:t xml:space="preserve"> </w:t>
      </w:r>
    </w:p>
    <w:p w14:paraId="6651B591" w14:textId="77777777" w:rsidR="001E431A" w:rsidRPr="009E2049" w:rsidRDefault="00796E41" w:rsidP="00796E41">
      <w:pPr>
        <w:pStyle w:val="ManualConsidrant"/>
        <w:rPr>
          <w:noProof/>
        </w:rPr>
      </w:pPr>
      <w:r w:rsidRPr="009E2049">
        <w:rPr>
          <w:noProof/>
        </w:rPr>
        <w:t>(2)</w:t>
      </w:r>
      <w:r w:rsidRPr="009E2049">
        <w:rPr>
          <w:noProof/>
        </w:rPr>
        <w:tab/>
        <w:t xml:space="preserve">Člen 34 Listine Evropske unije o temeljnih pravicah določa, da se priznava in spoštuje pravica do socialne pomoči in pomoči pri pridobitvi stanovanj, ki naj zagotovita dostojno življenje vsem, ki nimajo zadostnih sredstev, v skladu s pravili, ki jih določajo pravo Unije ter nacionalne zakonodaje in običaji. </w:t>
      </w:r>
    </w:p>
    <w:p w14:paraId="67AF774E" w14:textId="77777777" w:rsidR="001E431A" w:rsidRPr="009E2049" w:rsidRDefault="00796E41" w:rsidP="00796E41">
      <w:pPr>
        <w:pStyle w:val="ManualConsidrant"/>
        <w:rPr>
          <w:noProof/>
        </w:rPr>
      </w:pPr>
      <w:r w:rsidRPr="009E2049">
        <w:rPr>
          <w:noProof/>
        </w:rPr>
        <w:t>(3)</w:t>
      </w:r>
      <w:r w:rsidRPr="009E2049">
        <w:rPr>
          <w:noProof/>
        </w:rPr>
        <w:tab/>
        <w:t>Člen 31 (spremenjene) Evropske socialne listine</w:t>
      </w:r>
      <w:r w:rsidRPr="009E2049">
        <w:rPr>
          <w:rStyle w:val="FootnoteReference"/>
          <w:noProof/>
        </w:rPr>
        <w:footnoteReference w:id="13"/>
      </w:r>
      <w:r w:rsidRPr="009E2049">
        <w:rPr>
          <w:noProof/>
        </w:rPr>
        <w:t xml:space="preserve"> potrjuje zavezo vseh pogodbenic, da pospešujejo dostop do nastanitve primernega standarda, preprečujejo in zmanjšujejo brezdomstvo z namenom, da bi ga postopno odpravile, in vplivajo na ceno nastanitve tako, da bo dostopna tistim brez zadostnih sredstev. </w:t>
      </w:r>
    </w:p>
    <w:p w14:paraId="5180E04C" w14:textId="4C5E4436" w:rsidR="001E431A" w:rsidRPr="009E2049" w:rsidRDefault="00796E41" w:rsidP="00796E41">
      <w:pPr>
        <w:pStyle w:val="ManualConsidrant"/>
        <w:rPr>
          <w:noProof/>
        </w:rPr>
      </w:pPr>
      <w:r w:rsidRPr="009E2049">
        <w:rPr>
          <w:noProof/>
        </w:rPr>
        <w:t>(4)</w:t>
      </w:r>
      <w:r w:rsidRPr="009E2049">
        <w:rPr>
          <w:noProof/>
        </w:rPr>
        <w:tab/>
        <w:t>Evropski parlament, Svet Evropske unije in Komisija so novembra 2017 razglasili evropski steber socialnih pravic</w:t>
      </w:r>
      <w:r w:rsidRPr="009E2049">
        <w:rPr>
          <w:rStyle w:val="FootnoteReference"/>
          <w:noProof/>
        </w:rPr>
        <w:footnoteReference w:id="14"/>
      </w:r>
      <w:r w:rsidRPr="009E2049">
        <w:rPr>
          <w:noProof/>
        </w:rPr>
        <w:t xml:space="preserve">. Načelo 19 stebra določa pravico vseh socialno ogroženih do dostopa do socialnih stanovanj, kakovostne pomoči pri pridobitvi stanovanj in zaščite pred prisilno izselitvijo. Poleg tega še navaja, da se brezdomcem zagotovijo primerna zatočišča in storitve, da se spodbudi njihovo socialno vključevanje. </w:t>
      </w:r>
    </w:p>
    <w:p w14:paraId="5829B234" w14:textId="77777777" w:rsidR="0047239E" w:rsidRPr="009E2049" w:rsidRDefault="00796E41" w:rsidP="00796E41">
      <w:pPr>
        <w:pStyle w:val="ManualConsidrant"/>
        <w:rPr>
          <w:noProof/>
        </w:rPr>
      </w:pPr>
      <w:r w:rsidRPr="009E2049">
        <w:rPr>
          <w:noProof/>
        </w:rPr>
        <w:t>(5)</w:t>
      </w:r>
      <w:r w:rsidRPr="009E2049">
        <w:rPr>
          <w:noProof/>
        </w:rPr>
        <w:tab/>
        <w:t>Priporočilo Sveta (EU) 2021/1004 o vzpostavitvi evropskega jamstva za otroke</w:t>
      </w:r>
      <w:r w:rsidRPr="009E2049">
        <w:rPr>
          <w:rStyle w:val="FootnoteReference"/>
          <w:noProof/>
        </w:rPr>
        <w:footnoteReference w:id="15"/>
      </w:r>
      <w:r w:rsidRPr="009E2049">
        <w:rPr>
          <w:noProof/>
        </w:rPr>
        <w:t xml:space="preserve"> države članice poziva, naj med drugim pomoči potrebnim otrokom zagotovijo učinkovit dostop do primernega stanovanja, pri čemer naj posebno pozornost namenijo preprečevanju in odpravljanju brezdomstva med otroki in družinami. Priporočilo Sveta (2023/C 41/01) o zadostnem minimalnem dohodku za aktivno vključevanje</w:t>
      </w:r>
      <w:r w:rsidRPr="009E2049">
        <w:rPr>
          <w:rStyle w:val="FootnoteReference"/>
          <w:noProof/>
        </w:rPr>
        <w:footnoteReference w:id="16"/>
      </w:r>
      <w:r w:rsidRPr="009E2049">
        <w:rPr>
          <w:noProof/>
        </w:rPr>
        <w:t xml:space="preserve"> poziva k </w:t>
      </w:r>
      <w:r w:rsidRPr="009E2049">
        <w:rPr>
          <w:noProof/>
        </w:rPr>
        <w:lastRenderedPageBreak/>
        <w:t>celovitim strategijam, ki združujejo zadostno dohodkovno podporo, vključujoče trge dela ter dostop do omogočitvenih in osnovnih storitev, vključno s stanovanji. Priporočilo Sveta (C/2023/1344) o razvoju okvirnih pogojev za socialno gospodarstvo</w:t>
      </w:r>
      <w:r w:rsidRPr="009E2049">
        <w:rPr>
          <w:rStyle w:val="FootnoteReference"/>
          <w:noProof/>
        </w:rPr>
        <w:footnoteReference w:id="17"/>
      </w:r>
      <w:r w:rsidRPr="009E2049">
        <w:rPr>
          <w:noProof/>
        </w:rPr>
        <w:t xml:space="preserve"> države članice poziva, naj v tesnem sodelovanju z javno dostopnimi socialnimi službami priznajo in podprejo vlogo socialnega gospodarstva pri zagotavljanju dostopnih in visokokakovostnih socialnih storitev in storitev oskrbe ter stanovanj, pri čemer naj upoštevajo tudi prikrajšane skupine. </w:t>
      </w:r>
    </w:p>
    <w:p w14:paraId="52A652A0" w14:textId="77777777" w:rsidR="00E83759" w:rsidRPr="009E2049" w:rsidRDefault="00796E41" w:rsidP="00796E41">
      <w:pPr>
        <w:pStyle w:val="ManualConsidrant"/>
        <w:rPr>
          <w:noProof/>
        </w:rPr>
      </w:pPr>
      <w:r w:rsidRPr="009E2049">
        <w:rPr>
          <w:noProof/>
        </w:rPr>
        <w:t>(6)</w:t>
      </w:r>
      <w:r w:rsidRPr="009E2049">
        <w:rPr>
          <w:noProof/>
        </w:rPr>
        <w:tab/>
        <w:t>Priporočilo Sveta (2021/C 93/01) o enakosti, vključevanju in udeležbi Romov</w:t>
      </w:r>
      <w:r w:rsidRPr="009E2049">
        <w:rPr>
          <w:rStyle w:val="FootnoteReference"/>
          <w:noProof/>
        </w:rPr>
        <w:footnoteReference w:id="18"/>
      </w:r>
      <w:r w:rsidRPr="009E2049">
        <w:rPr>
          <w:noProof/>
        </w:rPr>
        <w:t xml:space="preserve"> države članice poziva, naj zagotovijo enako obravnavo Romov pri dostopu do med drugim primernih desegregiranih stanovanj in osnovnih storitev</w:t>
      </w:r>
      <w:r w:rsidRPr="009E2049">
        <w:rPr>
          <w:rStyle w:val="FootnoteReference"/>
          <w:noProof/>
        </w:rPr>
        <w:footnoteReference w:id="19"/>
      </w:r>
      <w:r w:rsidRPr="009E2049">
        <w:rPr>
          <w:noProof/>
        </w:rPr>
        <w:t>. V strategiji za enakost LGBTIQ+ oseb za obdobje 2026–2030 je poudarjeno, da diskriminacija in pomanjkanje družbene sprejetosti prispevata k visoki stopnji revščine in brezdomstva med LGBTIQ+ osebami. V Sporočilu Okrepitev strategije o pravicah invalidov do leta 2030 Komisija poziva, naj se invalidom zagotovi dostop do cenovno ugodnih in dostopnih stanovanj.</w:t>
      </w:r>
    </w:p>
    <w:p w14:paraId="51BCA6E1" w14:textId="576BB2CB" w:rsidR="00F678A4" w:rsidRPr="009E2049" w:rsidRDefault="00796E41" w:rsidP="00796E41">
      <w:pPr>
        <w:pStyle w:val="ManualConsidrant"/>
        <w:rPr>
          <w:noProof/>
        </w:rPr>
      </w:pPr>
      <w:r w:rsidRPr="009E2049">
        <w:rPr>
          <w:noProof/>
        </w:rPr>
        <w:t>(7)</w:t>
      </w:r>
      <w:r w:rsidRPr="009E2049">
        <w:rPr>
          <w:noProof/>
        </w:rPr>
        <w:tab/>
        <w:t>Priporočilo Sveta (2022/C 476/01) o dostopu do cenovno dostopne visokokakovostne dolgotrajne oskrbe</w:t>
      </w:r>
      <w:r w:rsidRPr="009E2049">
        <w:rPr>
          <w:rStyle w:val="FootnoteReference"/>
          <w:noProof/>
        </w:rPr>
        <w:footnoteReference w:id="20"/>
      </w:r>
      <w:r w:rsidRPr="009E2049">
        <w:rPr>
          <w:noProof/>
        </w:rPr>
        <w:t xml:space="preserve"> države članice poziva, naj razširijo storitve formalne dolgotrajne oskrbe, zlasti oskrbo na domu in oskrbo v skupnosti. Stanovanja, ki so prilagojena spreminjajočim se potrebam posameznikov po oskrbi, so temeljni pogoj za staranje v domačem okolju, pri čemer omogočajo oskrbo na domu in pomagajo preprečevati, da bi se po nepotrebnem uporabljala bivalna oskrba. </w:t>
      </w:r>
    </w:p>
    <w:p w14:paraId="4D5AEF03" w14:textId="3FCF6157" w:rsidR="00673163" w:rsidRPr="009E2049" w:rsidRDefault="00796E41" w:rsidP="00796E41">
      <w:pPr>
        <w:pStyle w:val="ManualConsidrant"/>
        <w:rPr>
          <w:noProof/>
        </w:rPr>
      </w:pPr>
      <w:r w:rsidRPr="009E2049">
        <w:rPr>
          <w:noProof/>
        </w:rPr>
        <w:t>(8)</w:t>
      </w:r>
      <w:r w:rsidRPr="009E2049">
        <w:rPr>
          <w:noProof/>
        </w:rPr>
        <w:tab/>
        <w:t>V členu 16(2) Direktive 2014/92/EU Evropskega parlamenta in Sveta o primerljivosti nadomestil, povezanih s plačilnimi računi, zamenjavi plačilnih računov in dostopu do osnovnih plačilnih računov</w:t>
      </w:r>
      <w:r w:rsidRPr="009E2049">
        <w:rPr>
          <w:rStyle w:val="FootnoteReference"/>
          <w:noProof/>
        </w:rPr>
        <w:footnoteReference w:id="21"/>
      </w:r>
      <w:r w:rsidRPr="009E2049">
        <w:rPr>
          <w:noProof/>
        </w:rPr>
        <w:t xml:space="preserve"> (direktiva o plačilnih računih) je navedeno, da države članice zagotovijo, da imajo potrošniki, ki zakonito prebivajo v Uniji, vključno s potrošniki brez stalnega naslova, pravico do odprtja in uporabe osnovnega plačilnega računa pri kreditnih institucijah na njihovem ozemlju. Ta pravica velja ne glede na potrošnikovo prebivališče. </w:t>
      </w:r>
    </w:p>
    <w:p w14:paraId="349027CC" w14:textId="77777777" w:rsidR="001E431A" w:rsidRPr="009E2049" w:rsidRDefault="00796E41" w:rsidP="00796E41">
      <w:pPr>
        <w:pStyle w:val="ManualConsidrant"/>
        <w:rPr>
          <w:noProof/>
        </w:rPr>
      </w:pPr>
      <w:r w:rsidRPr="009E2049">
        <w:rPr>
          <w:noProof/>
        </w:rPr>
        <w:t>(9)</w:t>
      </w:r>
      <w:r w:rsidRPr="009E2049">
        <w:rPr>
          <w:noProof/>
        </w:rPr>
        <w:tab/>
        <w:t>Institucije EU, države članice, socialni partnerji in organizacije civilne družbe so 21. junija 2021 sprejeli Lizbonsko izjavo o evropski platformi za boj proti brezdomstvu</w:t>
      </w:r>
      <w:r w:rsidRPr="009E2049">
        <w:rPr>
          <w:rStyle w:val="FootnoteReference"/>
          <w:noProof/>
        </w:rPr>
        <w:footnoteReference w:id="22"/>
      </w:r>
      <w:r w:rsidRPr="009E2049">
        <w:rPr>
          <w:noProof/>
        </w:rPr>
        <w:t xml:space="preserve">. Ta vse podpisnike zavezuje, da si prizadevajo za odpravo brezdomstva v Evropski uniji do leta 2030 in vzpostavitev evropske platforme za boj proti brezdomstvu, da bi se spodbujala oblikovanje in izvajanje na posameznika osredotočenih, stanovanjsko usmerjenih in celostnih pristopov. </w:t>
      </w:r>
    </w:p>
    <w:p w14:paraId="1953918E" w14:textId="55A7F890" w:rsidR="001E431A" w:rsidRPr="009E2049" w:rsidRDefault="00796E41" w:rsidP="00796E41">
      <w:pPr>
        <w:pStyle w:val="ManualConsidrant"/>
        <w:rPr>
          <w:noProof/>
        </w:rPr>
      </w:pPr>
      <w:r w:rsidRPr="009E2049">
        <w:rPr>
          <w:noProof/>
        </w:rPr>
        <w:t>(10)</w:t>
      </w:r>
      <w:r w:rsidRPr="009E2049">
        <w:rPr>
          <w:noProof/>
        </w:rPr>
        <w:tab/>
        <w:t>V Izjavi iz La Hulpa</w:t>
      </w:r>
      <w:r w:rsidRPr="009E2049">
        <w:rPr>
          <w:rStyle w:val="FootnoteReference"/>
          <w:noProof/>
        </w:rPr>
        <w:footnoteReference w:id="23"/>
      </w:r>
      <w:r w:rsidRPr="009E2049">
        <w:rPr>
          <w:noProof/>
        </w:rPr>
        <w:t xml:space="preserve">, ki je bila sprejeta 16. aprila 2024 na konferenci na visoki ravni o evropskem stebru socialnih pravic, je priznano, da je brezdomstvo v številnih državah članicah še vedno problem, in pozvano k nadaljnjim ukrepom v zvezi z dostopnimi, učinkovitimi, zelenimi in cenovno dostopnimi socialnimi stanovanji, da bi zadostili stanovanjskim potrebam vseh, izkoreninili brezdomstvo in spodbujali pristop </w:t>
      </w:r>
      <w:r w:rsidRPr="009E2049">
        <w:rPr>
          <w:noProof/>
        </w:rPr>
        <w:lastRenderedPageBreak/>
        <w:t xml:space="preserve">„najprej stanovanje“. V izjavi se priznava tudi pomen evropske platforme za boj proti brezdomstvu. </w:t>
      </w:r>
    </w:p>
    <w:p w14:paraId="3603C343" w14:textId="62D3E52B" w:rsidR="00363634" w:rsidRPr="009E2049" w:rsidRDefault="00796E41" w:rsidP="00796E41">
      <w:pPr>
        <w:pStyle w:val="ManualConsidrant"/>
        <w:rPr>
          <w:noProof/>
        </w:rPr>
      </w:pPr>
      <w:r w:rsidRPr="009E2049">
        <w:rPr>
          <w:noProof/>
        </w:rPr>
        <w:t>(11)</w:t>
      </w:r>
      <w:r w:rsidRPr="009E2049">
        <w:rPr>
          <w:noProof/>
        </w:rPr>
        <w:tab/>
        <w:t>Evropski parlament je v resoluciji, ki jo je sprejel 24. novembra 2020</w:t>
      </w:r>
      <w:r w:rsidRPr="009E2049">
        <w:rPr>
          <w:rStyle w:val="FootnoteReference"/>
          <w:noProof/>
        </w:rPr>
        <w:footnoteReference w:id="24"/>
      </w:r>
      <w:r w:rsidRPr="009E2049">
        <w:rPr>
          <w:noProof/>
        </w:rPr>
        <w:t>, poudaril, da je stanovanje temeljna človekova pravica, ter Komisijo in države članice pozval k odločnejšemu ukrepanju za odpravo brezdomstva v EU do leta 2030. V resoluciji, ki jo je sprejel 10. marca 2026</w:t>
      </w:r>
      <w:r w:rsidRPr="009E2049">
        <w:rPr>
          <w:rStyle w:val="FootnoteReference"/>
          <w:noProof/>
        </w:rPr>
        <w:footnoteReference w:id="25"/>
      </w:r>
      <w:r w:rsidRPr="009E2049">
        <w:rPr>
          <w:noProof/>
        </w:rPr>
        <w:t xml:space="preserve">, pa je Evropski parlament poudaril potrebo po evropskem pristopu in rešitvah, da se zagotovi razpoložljivost dostojnih in cenovno dostopnih stanovanj, ter države članice pozval, naj razvijejo in izvajajo stanovanjsko usmerjene strategije za zmanjšanje brezdomstva. Resolucija tudi poziva Komisijo, naj zagotovi podporo politiki za boj proti brezdomstvu in spremlja napredek v zvezi s tem. </w:t>
      </w:r>
    </w:p>
    <w:p w14:paraId="4966B08A" w14:textId="77777777" w:rsidR="00891B98" w:rsidRPr="009E2049" w:rsidRDefault="00796E41" w:rsidP="00796E41">
      <w:pPr>
        <w:pStyle w:val="ManualConsidrant"/>
        <w:rPr>
          <w:noProof/>
        </w:rPr>
      </w:pPr>
      <w:r w:rsidRPr="009E2049">
        <w:rPr>
          <w:noProof/>
        </w:rPr>
        <w:t>(12)</w:t>
      </w:r>
      <w:r w:rsidRPr="009E2049">
        <w:rPr>
          <w:noProof/>
        </w:rPr>
        <w:tab/>
        <w:t>Izvedbena uredba Komisije (EU) 2017/543 z dne 22. marca 2017</w:t>
      </w:r>
      <w:r w:rsidRPr="009E2049">
        <w:rPr>
          <w:rStyle w:val="FootnoteReference"/>
          <w:noProof/>
        </w:rPr>
        <w:footnoteReference w:id="26"/>
      </w:r>
      <w:r w:rsidRPr="009E2049">
        <w:rPr>
          <w:noProof/>
        </w:rPr>
        <w:t xml:space="preserve"> o določitvi pravil za uporabo Uredbe (ES) št. 763/2008 Evropskega parlamenta in Sveta o popisih prebivalstva in stanovanj v zvezi s tehničnimi specifikacijami za vsebine in posamezne razčlembe teh vsebin določa statistične opredelitve v zvezi z brezdomstvom. </w:t>
      </w:r>
      <w:r w:rsidRPr="009E2049">
        <w:rPr>
          <w:noProof/>
        </w:rPr>
        <w:tab/>
      </w:r>
    </w:p>
    <w:p w14:paraId="038F77C0" w14:textId="77777777" w:rsidR="001E431A" w:rsidRPr="009E2049" w:rsidRDefault="00BD74F3" w:rsidP="00CB4896">
      <w:pPr>
        <w:pStyle w:val="ManualConsidrant"/>
        <w:rPr>
          <w:noProof/>
        </w:rPr>
      </w:pPr>
      <w:r w:rsidRPr="009E2049">
        <w:rPr>
          <w:noProof/>
        </w:rPr>
        <w:t>(13)</w:t>
      </w:r>
      <w:r w:rsidRPr="009E2049">
        <w:rPr>
          <w:noProof/>
        </w:rPr>
        <w:tab/>
        <w:t>Evropski odbor regij je v svojem mnenju o izkoreninjenju brezdomstva v Evropski uniji</w:t>
      </w:r>
      <w:r w:rsidRPr="009E2049">
        <w:rPr>
          <w:rStyle w:val="FootnoteReference"/>
          <w:noProof/>
        </w:rPr>
        <w:footnoteReference w:id="27"/>
      </w:r>
      <w:r w:rsidRPr="009E2049">
        <w:rPr>
          <w:noProof/>
        </w:rPr>
        <w:t>, sprejetem 2. decembra 2021, pozdravil vzpostavitev platforme in poudaril, da bi morala imeti štiri pomembna področja delovanja, tj. vzajemno učenje, spodbujanje dostopa do financiranja, zbiranje podatkov in spremljanje politike ter prepoznavanje obetavnih inovacij in pomoč pri njihovem razširjanju.</w:t>
      </w:r>
    </w:p>
    <w:p w14:paraId="31F1BD85" w14:textId="77777777" w:rsidR="001E431A" w:rsidRPr="009E2049" w:rsidRDefault="00796E41" w:rsidP="00796E41">
      <w:pPr>
        <w:pStyle w:val="ManualConsidrant"/>
        <w:rPr>
          <w:noProof/>
        </w:rPr>
      </w:pPr>
      <w:r w:rsidRPr="009E2049">
        <w:rPr>
          <w:noProof/>
        </w:rPr>
        <w:t>(14)</w:t>
      </w:r>
      <w:r w:rsidRPr="009E2049">
        <w:rPr>
          <w:noProof/>
        </w:rPr>
        <w:tab/>
        <w:t>Evropski ekonomsko-socialni odbor je v svojem mnenju o okviru EU za nacionalne strategije za odpravljanje brezdomstva na podlagi načela „najprej stanovanje“</w:t>
      </w:r>
      <w:r w:rsidRPr="009E2049">
        <w:rPr>
          <w:rStyle w:val="FootnoteReference"/>
          <w:noProof/>
        </w:rPr>
        <w:footnoteReference w:id="28"/>
      </w:r>
      <w:r w:rsidRPr="009E2049">
        <w:rPr>
          <w:noProof/>
        </w:rPr>
        <w:t>, sprejetem 13. decembra 2023, pozval k razvoju strategije EU za odpravljanje brezdomstva, da bo mogoče nacionalne politike na tem področju upoštevati v evropskem semestru. Predlagal je tudi, da bi morala ta strategija temeljiti na priporočilu Sveta o brezdomstvu.</w:t>
      </w:r>
      <w:r w:rsidRPr="009E2049">
        <w:rPr>
          <w:noProof/>
        </w:rPr>
        <w:tab/>
      </w:r>
    </w:p>
    <w:p w14:paraId="220056B5" w14:textId="77777777" w:rsidR="008C32C0" w:rsidRPr="009E2049" w:rsidRDefault="00796E41" w:rsidP="00796E41">
      <w:pPr>
        <w:pStyle w:val="ManualConsidrant"/>
        <w:rPr>
          <w:noProof/>
        </w:rPr>
      </w:pPr>
      <w:r w:rsidRPr="009E2049">
        <w:rPr>
          <w:noProof/>
        </w:rPr>
        <w:t>(15)</w:t>
      </w:r>
      <w:r w:rsidRPr="009E2049">
        <w:rPr>
          <w:noProof/>
        </w:rPr>
        <w:tab/>
        <w:t>V Skupnem poročilu o zaposlovanju za leto 2026</w:t>
      </w:r>
      <w:r w:rsidRPr="009E2049">
        <w:rPr>
          <w:rStyle w:val="FootnoteReference"/>
          <w:noProof/>
        </w:rPr>
        <w:footnoteReference w:id="29"/>
      </w:r>
      <w:r w:rsidRPr="009E2049">
        <w:rPr>
          <w:noProof/>
        </w:rPr>
        <w:t xml:space="preserve"> je navedeno, da bi morale države članice sprejeti ukrepe, da podprejo dostop do kakovostnih in cenovno dostopnih stanovanj, socialnih stanovanj ali pomoči pri pridobitvi stanovanj, kadar je to ustrezno, preprečijo in odpravljajo brezdomstvo kot najskrajnejšo obliko revščine, obravnavajo socialno izključenost s celostnimi, na posameznika osredotočenimi in stanovanjsko usmerjenimi strateškimi pristopi ter spodbujajo prenovo stanovanjskih stavb in socialnih stanovanj. </w:t>
      </w:r>
    </w:p>
    <w:p w14:paraId="020B2ADC" w14:textId="77777777" w:rsidR="00632944" w:rsidRPr="009E2049" w:rsidRDefault="00A31C0A" w:rsidP="00796E41">
      <w:pPr>
        <w:pStyle w:val="ManualConsidrant"/>
        <w:rPr>
          <w:noProof/>
        </w:rPr>
      </w:pPr>
      <w:r w:rsidRPr="009E2049">
        <w:rPr>
          <w:noProof/>
        </w:rPr>
        <w:t>(16)</w:t>
      </w:r>
      <w:r w:rsidRPr="009E2049">
        <w:rPr>
          <w:noProof/>
        </w:rPr>
        <w:tab/>
        <w:t>Evropski načrt za cenovno dostopna stanovanja</w:t>
      </w:r>
      <w:r w:rsidRPr="009E2049">
        <w:rPr>
          <w:rStyle w:val="FootnoteReference"/>
          <w:noProof/>
        </w:rPr>
        <w:footnoteReference w:id="30"/>
      </w:r>
      <w:r w:rsidRPr="009E2049">
        <w:rPr>
          <w:noProof/>
        </w:rPr>
        <w:t xml:space="preserve">, sprejet 16. decembra 2025, priznava, da so nekatere družbene skupine nesorazmerno prizadete zaradi naraščajočih stanovanjskih stroškov in omejenega dostopa do socialnih in cenovno dostopnih </w:t>
      </w:r>
      <w:r w:rsidRPr="009E2049">
        <w:rPr>
          <w:noProof/>
        </w:rPr>
        <w:lastRenderedPageBreak/>
        <w:t xml:space="preserve">stanovanj ter da je brezdomstvo vztrajen in zapleten izziv, ki ga je treba obravnavati s stanovanjsko usmerjenimi rešitvami, kot je pristop „najprej stanovanje“, ki jih spremljajo celostni pristopi za boj proti revščini in izključenosti. </w:t>
      </w:r>
    </w:p>
    <w:p w14:paraId="0177E9E1" w14:textId="77777777" w:rsidR="00F057B5" w:rsidRPr="009E2049" w:rsidRDefault="00796E41" w:rsidP="00796E41">
      <w:pPr>
        <w:pStyle w:val="ManualConsidrant"/>
        <w:rPr>
          <w:noProof/>
        </w:rPr>
      </w:pPr>
      <w:r w:rsidRPr="009E2049">
        <w:rPr>
          <w:noProof/>
        </w:rPr>
        <w:t>(17)</w:t>
      </w:r>
      <w:r w:rsidRPr="009E2049">
        <w:rPr>
          <w:noProof/>
        </w:rPr>
        <w:tab/>
        <w:t xml:space="preserve">Brezdomstvo ostaja najskrajnejša in najvidnejša oblika revščine in socialne izključenosti v Evropski uniji. Prizadene posameznike in družine v vseh državah članicah ter spodkopava načela dostojanstva, enakosti in socialne pravičnosti, na katerih temelji Unija. </w:t>
      </w:r>
      <w:r w:rsidRPr="009E2049">
        <w:rPr>
          <w:rStyle w:val="normaltextrun"/>
          <w:noProof/>
        </w:rPr>
        <w:t>Kljub dosedanjim prizadevanjem</w:t>
      </w:r>
      <w:r w:rsidRPr="009E2049">
        <w:rPr>
          <w:noProof/>
        </w:rPr>
        <w:t xml:space="preserve"> brezdomstvo v več državah članicah narašča, po ocenah pa se z njim sooča več kot milijon ljudi</w:t>
      </w:r>
      <w:r w:rsidRPr="009E2049">
        <w:rPr>
          <w:rStyle w:val="FootnoteReference"/>
          <w:noProof/>
        </w:rPr>
        <w:footnoteReference w:id="31"/>
      </w:r>
      <w:r w:rsidRPr="009E2049">
        <w:rPr>
          <w:noProof/>
        </w:rPr>
        <w:t>.</w:t>
      </w:r>
    </w:p>
    <w:p w14:paraId="705419CE" w14:textId="77777777" w:rsidR="00DA674D" w:rsidRPr="009E2049" w:rsidRDefault="00796E41" w:rsidP="00796E41">
      <w:pPr>
        <w:pStyle w:val="ManualConsidrant"/>
        <w:rPr>
          <w:noProof/>
        </w:rPr>
      </w:pPr>
      <w:r w:rsidRPr="009E2049">
        <w:rPr>
          <w:noProof/>
        </w:rPr>
        <w:t>(18)</w:t>
      </w:r>
      <w:r w:rsidRPr="009E2049">
        <w:rPr>
          <w:noProof/>
        </w:rPr>
        <w:tab/>
        <w:t xml:space="preserve">Stanovanjska izključenost se nanaša na nezmožnost posameznika ali gospodinjstva, da dostopa do dostojnega in stabilnega stanovanja, ki izpolnjuje osnovne standarde varnosti, pravne varnosti in cenovne dostopnosti, ali da ga obdrži. Njena najvidnejša in najskrajnejša oblika je brezdomstvo, ki zajema ljudi, ki spijo na prostem ter v zasilnih in začasnih nastanitvah za brezdomce. Vendar je stanovanjska izključenost širši pojem in vključuje tiste, ki imajo streho nad glavo, vendar živijo v neprimernih in/ali negotovih razmerah. O negotovi nastavitvi govorimo, kadar posameznikom grozita izselitev ali nasilje v družini ali imajo nestabilne najemne pogodbe. O neprimerni nastanitvi pa govorimo, kadar posamezniki prebivajo v stanovanjih podstandardne kakovosti, ki nimajo osnovne opreme (kot je notranje stranišče na splakovanje ali umivalnica). Takšna stanovanja so lahko v zelo slabem stanju, izjemno prenaseljena ali neprilagojena za ljudi z dodatnimi potrebami (kot so starejši, invalidi in osebe, ki potrebujejo dolgotrajno oskrbo). </w:t>
      </w:r>
    </w:p>
    <w:p w14:paraId="656EE618" w14:textId="77777777" w:rsidR="00FC7435" w:rsidRPr="009E2049" w:rsidRDefault="00796E41" w:rsidP="00796E41">
      <w:pPr>
        <w:pStyle w:val="ManualConsidrant"/>
        <w:rPr>
          <w:noProof/>
        </w:rPr>
      </w:pPr>
      <w:r w:rsidRPr="009E2049">
        <w:rPr>
          <w:noProof/>
        </w:rPr>
        <w:t>(19)</w:t>
      </w:r>
      <w:r w:rsidRPr="009E2049">
        <w:rPr>
          <w:noProof/>
        </w:rPr>
        <w:tab/>
        <w:t>Stanovanja so ključni družbeni dejavnik zdravja in socialne vključenosti, nedostopnost stanovanj ali njihova slaba kakovost pa lahko škodujeta zdravju, dobremu počutju ter zaposlitvenim in izobraževalnim možnostim posameznikov in skupnosti.</w:t>
      </w:r>
    </w:p>
    <w:p w14:paraId="6A7E13E3" w14:textId="77777777" w:rsidR="00EF6534" w:rsidRPr="009E2049" w:rsidRDefault="00796E41" w:rsidP="00796E41">
      <w:pPr>
        <w:pStyle w:val="ManualConsidrant"/>
        <w:rPr>
          <w:noProof/>
        </w:rPr>
      </w:pPr>
      <w:r w:rsidRPr="009E2049">
        <w:rPr>
          <w:noProof/>
        </w:rPr>
        <w:t>(20)</w:t>
      </w:r>
      <w:r w:rsidRPr="009E2049">
        <w:rPr>
          <w:noProof/>
        </w:rPr>
        <w:tab/>
        <w:t xml:space="preserve">Stanovanjska izključenost in brezdomstvo sta posledica zapletene interakcije strukturnih, institucionalnih in osebnih dejavnikov. Med temi so revščina, brezposelnost, pomanjkanje socialnih in cenovno dostopnih stanovanj, diskriminacija, slabo duševno in telesno zdravje, zloraba snovi in nasilje v družini. </w:t>
      </w:r>
    </w:p>
    <w:p w14:paraId="01CDDE42" w14:textId="77777777" w:rsidR="001E431A" w:rsidRPr="009E2049" w:rsidRDefault="00796E41" w:rsidP="00796E41">
      <w:pPr>
        <w:pStyle w:val="ManualConsidrant"/>
        <w:rPr>
          <w:noProof/>
        </w:rPr>
      </w:pPr>
      <w:r w:rsidRPr="009E2049">
        <w:rPr>
          <w:noProof/>
        </w:rPr>
        <w:t>(21)</w:t>
      </w:r>
      <w:r w:rsidRPr="009E2049">
        <w:rPr>
          <w:noProof/>
        </w:rPr>
        <w:tab/>
        <w:t>Leta 2024 je skoraj 6 % oseb v Uniji, starih 16 let ali več, ki so v zadnjih petih letih iskali stanovanje, poročalo, da so se vsaj enkrat počutili diskriminirane. Delež tistih, ki so se počutili diskriminirane, je bil pri osebah s tveganjem revščine ali socialne izključenosti (10 %) dvakrat večji kot pri osebah, ki niso izpostavljene takšnemu tveganju (5 %). Leta 2024 je približno 17 % prebivalcev v Uniji živelo v prenaseljenem domu.</w:t>
      </w:r>
    </w:p>
    <w:p w14:paraId="51D447F1" w14:textId="77777777" w:rsidR="0045596F" w:rsidRPr="009E2049" w:rsidRDefault="00796E41" w:rsidP="00796E41">
      <w:pPr>
        <w:pStyle w:val="ManualConsidrant"/>
        <w:rPr>
          <w:noProof/>
        </w:rPr>
      </w:pPr>
      <w:r w:rsidRPr="009E2049">
        <w:rPr>
          <w:noProof/>
        </w:rPr>
        <w:t>(22)</w:t>
      </w:r>
      <w:r w:rsidRPr="009E2049">
        <w:rPr>
          <w:noProof/>
        </w:rPr>
        <w:tab/>
        <w:t xml:space="preserve">Pomanjkanje socialnih in cenovno dostopnih stanovanj je velika ovira v boju proti stanovanjski izključenosti in brezdomstvu. Med letoma 2013 in 2024 so se nominalne cene stanovanj po vsej Uniji zvišale za več kot 60 % in rasle hitreje kot dohodki gospodinjstev, pri čemer so se v nekaj državah članicah v povprečju zvišale za več kot 220 %. Istočasno so se povprečne najemnine zvišale za približno 20 %, pri čemer so nove najemne pogodbe na splošno bistveno dražje od starejših, zlasti na mestnih in turističnih območjih. Stanovanjski stroški, vključno z vodo, elektriko, plinom in drugimi gorivi, so se v primerjavi s povprečjem Unije zvišali v 17 državah članicah, pri čemer so se v nekaterih državah članicah zvišali za več kot 80 % nad povprečjem EU, v desetih državah članicah pa so se znižali. </w:t>
      </w:r>
    </w:p>
    <w:p w14:paraId="57D8CAB5" w14:textId="77777777" w:rsidR="00480528" w:rsidRPr="009E2049" w:rsidRDefault="00796E41" w:rsidP="00796E41">
      <w:pPr>
        <w:pStyle w:val="ManualConsidrant"/>
        <w:rPr>
          <w:noProof/>
        </w:rPr>
      </w:pPr>
      <w:r w:rsidRPr="009E2049">
        <w:rPr>
          <w:noProof/>
        </w:rPr>
        <w:t>(23)</w:t>
      </w:r>
      <w:r w:rsidRPr="009E2049">
        <w:rPr>
          <w:noProof/>
        </w:rPr>
        <w:tab/>
        <w:t xml:space="preserve">Naložbe v ponudbo stanovanj so se v zadnjem desetletju občutno zmanjšale. Ponudba ni sledila vse večjemu povpraševanju zaradi visokih gradbenih stroškov, pomanjkanja </w:t>
      </w:r>
      <w:r w:rsidRPr="009E2049">
        <w:rPr>
          <w:noProof/>
        </w:rPr>
        <w:lastRenderedPageBreak/>
        <w:t>inovacij, pomanjkanja usposobljene delovne sile in pretirane birokracije. Cene gradnje v Uniji so se med letoma 2010 in 2024 zvišale za 56 %, v nekaterih državah članicah pa celo za več kot 170 %. Število stanovanjskih gradbenih dovoljenj (število stanovanj) se je med letoma 2021 in 2024 zmanjšalo za 22 %, obstoječi stanovanjski fond pa ni v celoti izkoriščen, saj je približno 20 % stanovanj v EU praznih ali premalo zasedenih (vključno s sezonskimi ali sekundarnimi prebivališči in stanovanjskimi enotami, ki so bili kupljeni kot naložba in se ne uporabljajo kot primarna prebivališča).</w:t>
      </w:r>
    </w:p>
    <w:p w14:paraId="32E570A6" w14:textId="699F9E93" w:rsidR="00317495" w:rsidRPr="009E2049" w:rsidRDefault="00796E41" w:rsidP="00796E41">
      <w:pPr>
        <w:pStyle w:val="ManualConsidrant"/>
        <w:rPr>
          <w:noProof/>
        </w:rPr>
      </w:pPr>
      <w:r w:rsidRPr="009E2049">
        <w:rPr>
          <w:noProof/>
        </w:rPr>
        <w:t>(24)</w:t>
      </w:r>
      <w:r w:rsidRPr="009E2049">
        <w:rPr>
          <w:noProof/>
        </w:rPr>
        <w:tab/>
        <w:t>V teh razmerah je povečanje ponudbe socialnih in cenovno dostopnih stanovanj ključno za reševanje stanovanjske izključenosti. Potrebne so zlasti nove naložbe, da se podprejo gradnja novih stanovanj, prenova, in kadar je mogoče, učinkovitejša uporaba obstoječih premalo zasedenih in nezasedenih (20 % stanovanj) stanovanj, med drugim s spodbudami za najem nepremičnin v zasebni lasti, spremembo namembnosti obstoječega stavbnega fonda, npr. poslovnih stavb. Revizija pravil o državni pomoči za storitve splošnega gospodarskega pomena v okviru evropskega načrta za cenovno dostopna stanovanja in vmesna uredba za pregled skladov kohezijske politike EU</w:t>
      </w:r>
      <w:r w:rsidRPr="009E2049">
        <w:rPr>
          <w:rStyle w:val="FootnoteReference"/>
          <w:noProof/>
        </w:rPr>
        <w:footnoteReference w:id="32"/>
      </w:r>
      <w:r w:rsidRPr="009E2049">
        <w:rPr>
          <w:noProof/>
        </w:rPr>
        <w:t xml:space="preserve"> prispevata k razvoju omogočitvenega okvira za naložbe v socialna in cenovno dostopna stanovanja (v okviru vmesnega pregleda so države članice in regije do marca 2026 prerazporedile vsaj približno 3,3 milijarde EUR za cenovno dostopna in trajnostna stanovanja). Ta vmesna regulativna prožnost in možnost višje stopnje sofinanciranja Unije za stanovanjske naložbe ostajata na voljo za podporo nadaljnjemu reprogramiranju do leta 2029–2030. </w:t>
      </w:r>
    </w:p>
    <w:p w14:paraId="271F638D" w14:textId="77777777" w:rsidR="00C20F02" w:rsidRPr="009E2049" w:rsidRDefault="00796E41" w:rsidP="00796E41">
      <w:pPr>
        <w:pStyle w:val="ManualConsidrant"/>
        <w:rPr>
          <w:noProof/>
        </w:rPr>
      </w:pPr>
      <w:r w:rsidRPr="009E2049">
        <w:rPr>
          <w:noProof/>
        </w:rPr>
        <w:t>(25)</w:t>
      </w:r>
      <w:r w:rsidRPr="009E2049">
        <w:rPr>
          <w:noProof/>
        </w:rPr>
        <w:tab/>
        <w:t>V skladu z načeli novega evropskega Bauhausa bi bilo treba dostop do primernih, trajnostnih, cenovno dostopnih in kakovostnih stanovanj obravnavati kot del širšega socialnega in teritorialnega ekosistema, ki podpira vključevanje, življenje v skupnosti, mobilnost delovne sile, dostop do izobraževanja in usposabljanja, zdravje, dolgotrajno oskrbo, neodvisno življenje in socialno kohezijo. Stanovanjske politike so učinkovitejše in ustvarjajo dodano socialno vrednost, kadar so kombinirane z lokalnimi ukrepi, infrastrukturo in storitvami skupnosti ter zasnovane za spodbujanje vključujočih in trajnostnih sosesk, ki izpolnjujejo potrebe prebivalcev.</w:t>
      </w:r>
    </w:p>
    <w:p w14:paraId="7A3AEA7E" w14:textId="77777777" w:rsidR="00C20F02" w:rsidRPr="009E2049" w:rsidRDefault="00796E41" w:rsidP="00796E41">
      <w:pPr>
        <w:pStyle w:val="ManualConsidrant"/>
        <w:rPr>
          <w:noProof/>
        </w:rPr>
      </w:pPr>
      <w:r w:rsidRPr="009E2049">
        <w:rPr>
          <w:noProof/>
        </w:rPr>
        <w:t>(26)</w:t>
      </w:r>
      <w:r w:rsidRPr="009E2049">
        <w:rPr>
          <w:noProof/>
        </w:rPr>
        <w:tab/>
        <w:t>Za povečanje ponudbe in cenovne dostopnosti lahko države članice izkoristijo različne stanovanjske modele, vključno s socialnimi in javnimi stanovanji, neprofitnimi in omejeno profitnimi stanovanji, stanovanjskimi zadrugami, agencijami za oddajanje socialnih stanovanj in drugimi neprofitnimi modeli ali modeli v javnem interesu. Ti modeli, ki jih pogosto izvajajo organizacije socialnega gospodarstva, lahko prispevajo k dolgoročni cenovni dostopnosti, zmanjšajo izpostavljenost špekulacijam ter pomagajo mobilizirati obstoječa stanovanja, zemljišča in naložbe. Inovativni koncepti sobivanja, med drugim medgeneracijsko bivanje, skupnostno bivanje in ureditve s skupnimi prostori, lahko tudi prispevajo k reševanju družbene izolacije, premajhne zasedenosti stavb in pomanjkanja lokalnih stanovanj. Vzajemno učenje lahko pomaga opredeliti uspešne modele, ki se že izvajajo v drugih državah članicah.</w:t>
      </w:r>
    </w:p>
    <w:p w14:paraId="4142CE8C" w14:textId="77777777" w:rsidR="00C20F02" w:rsidRPr="009E2049" w:rsidRDefault="00796E41" w:rsidP="00796E41">
      <w:pPr>
        <w:pStyle w:val="ManualConsidrant"/>
        <w:rPr>
          <w:noProof/>
        </w:rPr>
      </w:pPr>
      <w:r w:rsidRPr="009E2049">
        <w:rPr>
          <w:noProof/>
        </w:rPr>
        <w:t>(27)</w:t>
      </w:r>
      <w:r w:rsidRPr="009E2049">
        <w:rPr>
          <w:noProof/>
        </w:rPr>
        <w:tab/>
        <w:t xml:space="preserve">Za povečanje ponudbe socialnih in cenovno dostopnih stanovanj so potrebni stabilni okviri upravljanja in naložb, vključno z javno-zasebnimi partnerstvi, ter sodelovanje med javnimi organi, organizacijami socialnega gospodarstva, ponudniki socialnih in cenovno dostopnih stanovanj, izobraževalnimi ustanovami, delodajalci, finančnimi </w:t>
      </w:r>
      <w:r w:rsidRPr="009E2049">
        <w:rPr>
          <w:noProof/>
        </w:rPr>
        <w:lastRenderedPageBreak/>
        <w:t>institucijami in drugimi deležniki. Kombinirano financiranje, obnovljivi skladi, javna jamstva, dolgoročni zakupi javnih zemljišč in drugi mehanizmi financiranja v javnem interesu lahko pomagajo mobilizirati potrpežljivi kapital in podprejo dolgoročno cenovno dostopnost. Poleg tega lahko države članice tudi spodbujajo in podpirajo inovativne in vključujoče stanovanjske projekte od spodaj navzgor, pri katerih prihodnji stanovalci skupaj načrtujejo in financirajo svoj stanovanjski projekt.</w:t>
      </w:r>
    </w:p>
    <w:p w14:paraId="3AFAA48E" w14:textId="77777777" w:rsidR="000C56F0" w:rsidRPr="009E2049" w:rsidRDefault="00796E41" w:rsidP="00796E41">
      <w:pPr>
        <w:pStyle w:val="ManualConsidrant"/>
        <w:rPr>
          <w:noProof/>
        </w:rPr>
      </w:pPr>
      <w:r w:rsidRPr="009E2049">
        <w:rPr>
          <w:noProof/>
        </w:rPr>
        <w:t>(28)</w:t>
      </w:r>
      <w:r w:rsidRPr="009E2049">
        <w:rPr>
          <w:noProof/>
        </w:rPr>
        <w:tab/>
        <w:t>Stanovanjska izključenost in brezdomstvo lahko nesorazmerno prizadeneta nekatere skupine prebivalstva, pri čemer se obseg in sestava prizadetih znatno razlikujeta glede na nacionalne/regionalne okoliščine. Nekatere osebe in skupine so lahko še posebej prikrajšane pri dostopu do stanovanj in izpostavljene večjemu tveganju stanovanjske izključenosti ali brezdomstva. Med njimi so mladi (npr. študenti, ki si ne morejo privoščiti študentskih stanovanj ali dostopati do njih, ali osebe, ki zapuščajo institucionalno ali alternativno oskrbo), brezposelni, ranljive družine (vključno s starši samohranilci) z otroki, žrtve ali preživele osebe nasilja na podlagi spola, invalidi ali osebe, ki potrebujejo dolgotrajno oskrbo, starejši v negotovi stanovanjski situaciji, osebe romskega porekla, osebe z migrantskim ozadjem, pripadniki rasnih ali etničnih manjšin in LGBTIQ+ osebe.</w:t>
      </w:r>
    </w:p>
    <w:p w14:paraId="3C87B14E" w14:textId="77777777" w:rsidR="00F057B5" w:rsidRPr="009E2049" w:rsidRDefault="00796E41" w:rsidP="00796E41">
      <w:pPr>
        <w:pStyle w:val="ManualConsidrant"/>
        <w:rPr>
          <w:noProof/>
        </w:rPr>
      </w:pPr>
      <w:r w:rsidRPr="009E2049">
        <w:rPr>
          <w:noProof/>
        </w:rPr>
        <w:t>(29)</w:t>
      </w:r>
      <w:r w:rsidRPr="009E2049">
        <w:rPr>
          <w:noProof/>
        </w:rPr>
        <w:tab/>
        <w:t xml:space="preserve">Najučinkovitejši pristop k odpravljanju brezdomstva je preprečevanje stanovanjske izključenosti in brezdomstva v kombinaciji z dostopom do primernih in varnih stanovanj ter celostnimi, na posameznika osredotočenimi podpornimi storitvami. Zato bi bilo treba države članice pozvati, naj vzpostavijo učinkovite preventivne politike, ki zajemajo splošne preventivne ukrepe, predhodne ukrepe, namenjene prebivalstvu z visokim tveganjem, ukrepe za preprečevanje kriz za osebe in gospodinjstva, ki so na pragu brezdomstva, ter nujne preventivne ukrepe za zagotovitev takojšnjega dostopa do začasne nastanitve. </w:t>
      </w:r>
    </w:p>
    <w:p w14:paraId="3CA9CF62" w14:textId="77777777" w:rsidR="00F057B5" w:rsidRPr="009E2049" w:rsidRDefault="00796E41" w:rsidP="00796E41">
      <w:pPr>
        <w:pStyle w:val="ManualConsidrant"/>
        <w:rPr>
          <w:noProof/>
        </w:rPr>
      </w:pPr>
      <w:r w:rsidRPr="009E2049">
        <w:rPr>
          <w:noProof/>
        </w:rPr>
        <w:t>(30)</w:t>
      </w:r>
      <w:r w:rsidRPr="009E2049">
        <w:rPr>
          <w:noProof/>
        </w:rPr>
        <w:tab/>
        <w:t xml:space="preserve">Orodja za zgodnje ukrepanje, kot so mediacija pri zaostalih plačilih najemnin in hipotekarnih posojil, svetovanje glede dolgov, pravna pomoč v zvezi s pravicami najemnikov in najemodajalcev, sistemi zgodnjega opozarjanja in kratkoročna finančna podpora, niso dosledno na voljo v vseh državah članicah, krepitev teh mehanizmov pa je bistvena za učinkovito preprečevanje stanovanjske izključenosti. </w:t>
      </w:r>
    </w:p>
    <w:p w14:paraId="5985B878" w14:textId="59B6F428" w:rsidR="00563C94" w:rsidRPr="009E2049" w:rsidRDefault="00796E41" w:rsidP="00796E41">
      <w:pPr>
        <w:pStyle w:val="ManualConsidrant"/>
        <w:rPr>
          <w:noProof/>
        </w:rPr>
      </w:pPr>
      <w:r w:rsidRPr="009E2049">
        <w:rPr>
          <w:noProof/>
        </w:rPr>
        <w:t>(31)</w:t>
      </w:r>
      <w:r w:rsidRPr="009E2049">
        <w:rPr>
          <w:noProof/>
        </w:rPr>
        <w:tab/>
        <w:t xml:space="preserve">Za preprečevanje prisilnih in samovoljnih izselitev ter podporo med preselitvami je potreben pravičen pravni okvir za varnost najemnikov in pravice najemodajalcev. Sodelovanje z lokalnimi organi, socialnimi službami in službami za mediacijo, vključno z agencijami za oddajanje socialnih stanovanj, lahko zmanjša stanovanjsko nestabilnost in olajša prehode. </w:t>
      </w:r>
    </w:p>
    <w:p w14:paraId="7A02B393" w14:textId="77777777" w:rsidR="00F057B5" w:rsidRPr="009E2049" w:rsidRDefault="00796E41" w:rsidP="00796E41">
      <w:pPr>
        <w:pStyle w:val="ManualConsidrant"/>
        <w:rPr>
          <w:noProof/>
        </w:rPr>
      </w:pPr>
      <w:r w:rsidRPr="009E2049">
        <w:rPr>
          <w:noProof/>
        </w:rPr>
        <w:t>(32)</w:t>
      </w:r>
      <w:r w:rsidRPr="009E2049">
        <w:rPr>
          <w:noProof/>
        </w:rPr>
        <w:tab/>
        <w:t xml:space="preserve">Stanovanjsko usmerjeni pristopi, vključno z modelom „najprej stanovanje“, ki združujejo hiter dostop do trajnega stanovanja ter prilagojene in celostne podporne storitve, so dokazali trajnostne pozitivne rezultate pri preprečevanju in zmanjševanju stanovanjske izključenosti in brezdomstva ter spodbujanju socialnega in ekonomskega vključevanja. </w:t>
      </w:r>
    </w:p>
    <w:p w14:paraId="54B00264" w14:textId="77777777" w:rsidR="001C56C6" w:rsidRPr="009E2049" w:rsidRDefault="00796E41" w:rsidP="00796E41">
      <w:pPr>
        <w:pStyle w:val="ManualConsidrant"/>
        <w:rPr>
          <w:noProof/>
          <w:sz w:val="22"/>
        </w:rPr>
      </w:pPr>
      <w:r w:rsidRPr="009E2049">
        <w:rPr>
          <w:noProof/>
        </w:rPr>
        <w:t>(33)</w:t>
      </w:r>
      <w:r w:rsidRPr="009E2049">
        <w:rPr>
          <w:noProof/>
        </w:rPr>
        <w:tab/>
        <w:t xml:space="preserve">Upravne zahteve za dostop do pomoči, vključno z obvezno predložitvijo dokazila o stalnem prebivališču, lahko ustvarjajo ovire za ljudi, ki se soočajo z brezdomstvom ali stanovanjsko izključenostjo. Z odpravo ali prilagoditvijo takšnih zahtev, kadar je ustrezno, se lahko izboljša uporaba razpoložljive podpore in pomagajo odpraviti temeljni vzroki stanovanjske izključenosti. </w:t>
      </w:r>
    </w:p>
    <w:p w14:paraId="7F58970F" w14:textId="5D7E1468" w:rsidR="001C56C6" w:rsidRPr="009E2049" w:rsidRDefault="00796E41" w:rsidP="00796E41">
      <w:pPr>
        <w:pStyle w:val="ManualConsidrant"/>
        <w:rPr>
          <w:noProof/>
        </w:rPr>
      </w:pPr>
      <w:r w:rsidRPr="009E2049">
        <w:rPr>
          <w:noProof/>
        </w:rPr>
        <w:t>(34)</w:t>
      </w:r>
      <w:r w:rsidRPr="009E2049">
        <w:rPr>
          <w:noProof/>
        </w:rPr>
        <w:tab/>
        <w:t xml:space="preserve">Naraščajoči stanovanjski stroški ter omejen dostop do socialnih in cenovno dostopnih stanovanj ovirajo mobilnost na trgu dela, saj se posamezniki morda ne morejo preseliti </w:t>
      </w:r>
      <w:r w:rsidRPr="009E2049">
        <w:rPr>
          <w:noProof/>
        </w:rPr>
        <w:lastRenderedPageBreak/>
        <w:t>na območja, kjer so na voljo zaposlitvene možnosti. To lahko vpliva na konkurenčnost in gospodarsko rast. Reševanje vprašanja cenovne dostopnosti in razpoložljivosti stanovanj je ključno, da se podpre udeležba na trgu dela in zagotovi učinkovito delovanj</w:t>
      </w:r>
      <w:r w:rsidR="00240FF8" w:rsidRPr="009E2049">
        <w:rPr>
          <w:noProof/>
        </w:rPr>
        <w:t>e</w:t>
      </w:r>
      <w:r w:rsidRPr="009E2049">
        <w:rPr>
          <w:noProof/>
        </w:rPr>
        <w:t xml:space="preserve"> trgov dela.</w:t>
      </w:r>
    </w:p>
    <w:p w14:paraId="04A80766" w14:textId="77777777" w:rsidR="00891B98" w:rsidRPr="009E2049" w:rsidRDefault="00796E41" w:rsidP="00891B98">
      <w:pPr>
        <w:pStyle w:val="ManualConsidrant"/>
        <w:rPr>
          <w:noProof/>
        </w:rPr>
      </w:pPr>
      <w:r w:rsidRPr="009E2049">
        <w:rPr>
          <w:noProof/>
        </w:rPr>
        <w:t>(35)</w:t>
      </w:r>
      <w:r w:rsidRPr="009E2049">
        <w:rPr>
          <w:noProof/>
        </w:rPr>
        <w:tab/>
        <w:t xml:space="preserve">Različne opredelitve, sistemi spremljanja in metodologije zbiranja podatkov, ki se uporabljajo v državah članicah, omejujejo razpoložljivost primerljivih podatkov o brezdomstvu na ravni Unije. </w:t>
      </w:r>
    </w:p>
    <w:p w14:paraId="3D308BBA" w14:textId="5AC17746" w:rsidR="00D31666" w:rsidRPr="009E2049" w:rsidRDefault="00796E41" w:rsidP="00796E41">
      <w:pPr>
        <w:pStyle w:val="ManualConsidrant"/>
        <w:rPr>
          <w:noProof/>
        </w:rPr>
      </w:pPr>
      <w:r w:rsidRPr="009E2049">
        <w:rPr>
          <w:noProof/>
        </w:rPr>
        <w:t>(36)</w:t>
      </w:r>
      <w:r w:rsidRPr="009E2049">
        <w:rPr>
          <w:noProof/>
        </w:rPr>
        <w:tab/>
        <w:t xml:space="preserve">Zanesljivi, celoviti in redno zbrani podatki in statistični dokazi o stanovanjski izključenosti in brezdomstvu so ključni za učinkovito oblikovanje, spremljanje in ocenjevanje politik, kar pomaga oceniti napredek brez povečanja upravnega bremena. </w:t>
      </w:r>
    </w:p>
    <w:p w14:paraId="0A6D36D7" w14:textId="77777777" w:rsidR="00F057B5" w:rsidRPr="009E2049" w:rsidRDefault="00796E41" w:rsidP="00796E41">
      <w:pPr>
        <w:pStyle w:val="ManualConsidrant"/>
        <w:rPr>
          <w:noProof/>
        </w:rPr>
      </w:pPr>
      <w:r w:rsidRPr="009E2049">
        <w:rPr>
          <w:noProof/>
        </w:rPr>
        <w:t>(37)</w:t>
      </w:r>
      <w:r w:rsidRPr="009E2049">
        <w:rPr>
          <w:noProof/>
        </w:rPr>
        <w:tab/>
        <w:t>Za reševanje stanovanjske izključenosti in brezdomstva sta potrebna medsektorsko usklajevanje in upravljanje na več ravneh, pri katerem sodelujejo Evropska unija, nacionalni, regionalni in lokalni organi ter civilna družba, organizacije socialnega gospodarstva, ponudniki stanovanj in ljudje, ki so izkusili brezdomstvo.</w:t>
      </w:r>
    </w:p>
    <w:p w14:paraId="1ADD8889" w14:textId="77777777" w:rsidR="00B01222" w:rsidRPr="009E2049" w:rsidRDefault="00796E41" w:rsidP="00796E41">
      <w:pPr>
        <w:pStyle w:val="ManualConsidrant"/>
        <w:rPr>
          <w:noProof/>
        </w:rPr>
      </w:pPr>
      <w:r w:rsidRPr="009E2049">
        <w:rPr>
          <w:noProof/>
        </w:rPr>
        <w:t>(38)</w:t>
      </w:r>
      <w:r w:rsidRPr="009E2049">
        <w:rPr>
          <w:noProof/>
        </w:rPr>
        <w:tab/>
        <w:t>Partnerstva z organizacijami, ki nudijo podporo brezdomcem in osebam, ki se soočajo s stanovanjsko izključenostjo v širšem smislu, lahko okrepijo javna prizadevanja za nudenje storitev, ki spodbujajo socialno vključenost in ustvarjajo stabilne stanovanjske rešitve za posamezne ciljne skupine. Organizacije socialnega gospodarstva lahko z nudenjem dodatnih storitev, kot je vključevanje na trg dela, pomagajo zagotoviti prehod v stabilno življenje.</w:t>
      </w:r>
    </w:p>
    <w:p w14:paraId="3FCBAC9D" w14:textId="77777777" w:rsidR="00F057B5" w:rsidRPr="009E2049" w:rsidRDefault="00796E41" w:rsidP="00796E41">
      <w:pPr>
        <w:pStyle w:val="ManualConsidrant"/>
        <w:rPr>
          <w:noProof/>
        </w:rPr>
      </w:pPr>
      <w:r w:rsidRPr="009E2049">
        <w:rPr>
          <w:noProof/>
        </w:rPr>
        <w:t>(39)</w:t>
      </w:r>
      <w:r w:rsidRPr="009E2049">
        <w:rPr>
          <w:noProof/>
        </w:rPr>
        <w:tab/>
        <w:t xml:space="preserve">Za učinkovito ukrepanje za preprečevanje in zmanjšanje stanovanjske izključenosti so potrebni ustrezno in stabilno financiranje ter učinkovita uporaba in usklajevanje razpoložljivih finančnih sredstev Unije ter nacionalnih, regionalnih in lokalnih finančnih sredstev v skladu s pristojnostmi in proračunskimi okviri držav članic. </w:t>
      </w:r>
    </w:p>
    <w:p w14:paraId="03A9C966" w14:textId="77777777" w:rsidR="00F057B5" w:rsidRPr="009E2049" w:rsidRDefault="00796E41" w:rsidP="00796E41">
      <w:pPr>
        <w:pStyle w:val="ManualConsidrant"/>
        <w:rPr>
          <w:noProof/>
        </w:rPr>
      </w:pPr>
      <w:r w:rsidRPr="009E2049">
        <w:rPr>
          <w:noProof/>
        </w:rPr>
        <w:t>(40)</w:t>
      </w:r>
      <w:r w:rsidRPr="009E2049">
        <w:rPr>
          <w:noProof/>
        </w:rPr>
        <w:tab/>
        <w:t xml:space="preserve">Evropska platforma za boj proti brezdomstvu je uveljavljen okvir sodelovanja na ravni EU na področju brezdomstva in stanovanjske izključenosti. Zagotavlja sodelovalni forum za pridobivanje znanja, vzajemno učenje ter sodelovanje med državami članicami in deležniki, kar prispeva k z dokazi podprtemu oblikovanju politik in večji zmogljivosti izvajanja. Gre za uveljavljen okvir upravljanja na ravni EU na področju brezdomstva in stanovanjske izključenosti. </w:t>
      </w:r>
    </w:p>
    <w:p w14:paraId="239FF0AC" w14:textId="77777777" w:rsidR="00316B78" w:rsidRPr="009E2049" w:rsidRDefault="00796E41" w:rsidP="00796E41">
      <w:pPr>
        <w:pStyle w:val="ManualConsidrant"/>
        <w:rPr>
          <w:noProof/>
        </w:rPr>
      </w:pPr>
      <w:r w:rsidRPr="009E2049">
        <w:rPr>
          <w:noProof/>
        </w:rPr>
        <w:t>(41)</w:t>
      </w:r>
      <w:r w:rsidRPr="009E2049">
        <w:rPr>
          <w:noProof/>
        </w:rPr>
        <w:tab/>
        <w:t>Podpisniki Lizbonske izjave o evropski platformi za boj proti brezdomstvu so se zavezali, da si bodo prizadevali za odpravo brezdomstva do leta 2030, tako da:</w:t>
      </w:r>
    </w:p>
    <w:p w14:paraId="49E0CD2D" w14:textId="77777777" w:rsidR="00316B78" w:rsidRPr="009E2049" w:rsidRDefault="00796E41" w:rsidP="00796E41">
      <w:pPr>
        <w:pStyle w:val="Point1"/>
        <w:rPr>
          <w:noProof/>
        </w:rPr>
      </w:pPr>
      <w:r w:rsidRPr="009E2049">
        <w:rPr>
          <w:noProof/>
        </w:rPr>
        <w:t>(i)</w:t>
      </w:r>
      <w:r w:rsidRPr="009E2049">
        <w:rPr>
          <w:noProof/>
        </w:rPr>
        <w:tab/>
        <w:t>nihče ne spi na prostem zaradi pomanjkanja dostopne, varne in primerne zasilne nastanitve;</w:t>
      </w:r>
    </w:p>
    <w:p w14:paraId="502C1741" w14:textId="77777777" w:rsidR="00316B78" w:rsidRPr="009E2049" w:rsidRDefault="00796E41" w:rsidP="00796E41">
      <w:pPr>
        <w:pStyle w:val="Point1"/>
        <w:rPr>
          <w:noProof/>
        </w:rPr>
      </w:pPr>
      <w:r w:rsidRPr="009E2049">
        <w:rPr>
          <w:noProof/>
        </w:rPr>
        <w:t>(ii)</w:t>
      </w:r>
      <w:r w:rsidRPr="009E2049">
        <w:rPr>
          <w:noProof/>
        </w:rPr>
        <w:tab/>
        <w:t xml:space="preserve">nihče ne živi v zasilni ali prehodni nastanitvi dlje, kot je potrebno za uspešno selitev v trajno stanovanjsko rešitev; </w:t>
      </w:r>
    </w:p>
    <w:p w14:paraId="468505A2" w14:textId="77777777" w:rsidR="00316B78" w:rsidRPr="009E2049" w:rsidRDefault="00796E41" w:rsidP="00796E41">
      <w:pPr>
        <w:pStyle w:val="Point1"/>
        <w:rPr>
          <w:noProof/>
        </w:rPr>
      </w:pPr>
      <w:r w:rsidRPr="009E2049">
        <w:rPr>
          <w:noProof/>
        </w:rPr>
        <w:t>(iii)</w:t>
      </w:r>
      <w:r w:rsidRPr="009E2049">
        <w:rPr>
          <w:noProof/>
        </w:rPr>
        <w:tab/>
        <w:t xml:space="preserve">nihče ni odpuščen iz ustanove (npr. zapora, bolnišnice, ustanove za oskrbo), ne da bi se mu ponudila primerna nastanitev; </w:t>
      </w:r>
    </w:p>
    <w:p w14:paraId="7835FCB4" w14:textId="77777777" w:rsidR="00316B78" w:rsidRPr="009E2049" w:rsidRDefault="00796E41" w:rsidP="00796E41">
      <w:pPr>
        <w:pStyle w:val="Point1"/>
        <w:rPr>
          <w:noProof/>
        </w:rPr>
      </w:pPr>
      <w:r w:rsidRPr="009E2049">
        <w:rPr>
          <w:noProof/>
        </w:rPr>
        <w:t>(iv)</w:t>
      </w:r>
      <w:r w:rsidRPr="009E2049">
        <w:rPr>
          <w:noProof/>
        </w:rPr>
        <w:tab/>
        <w:t>se izselitve preprečijo, kadar je to le mogoče, in nihče ni izseljen, ne da bi prejel pomoč pri iskanju primerne stanovanjske rešitve, kadar je to potrebno;</w:t>
      </w:r>
    </w:p>
    <w:p w14:paraId="4A2C71F6" w14:textId="4B09A2FA" w:rsidR="00316B78" w:rsidRPr="009E2049" w:rsidRDefault="00796E41" w:rsidP="00796E41">
      <w:pPr>
        <w:pStyle w:val="Point1"/>
        <w:rPr>
          <w:noProof/>
        </w:rPr>
      </w:pPr>
      <w:r w:rsidRPr="009E2049">
        <w:rPr>
          <w:noProof/>
        </w:rPr>
        <w:t>(v)</w:t>
      </w:r>
      <w:r w:rsidRPr="009E2049">
        <w:rPr>
          <w:noProof/>
        </w:rPr>
        <w:tab/>
        <w:t xml:space="preserve">nihče ni diskriminiran zaradi svojega brezdomskega statusa. </w:t>
      </w:r>
    </w:p>
    <w:p w14:paraId="261CCBDA" w14:textId="77777777" w:rsidR="00D244BF" w:rsidRPr="009E2049" w:rsidRDefault="00796E41" w:rsidP="00796E41">
      <w:pPr>
        <w:pStyle w:val="ManualConsidrant"/>
        <w:rPr>
          <w:noProof/>
        </w:rPr>
      </w:pPr>
      <w:r w:rsidRPr="009E2049">
        <w:rPr>
          <w:noProof/>
        </w:rPr>
        <w:t>(42)</w:t>
      </w:r>
      <w:r w:rsidRPr="009E2049">
        <w:rPr>
          <w:noProof/>
        </w:rPr>
        <w:tab/>
        <w:t xml:space="preserve">Evropska tipologija brezdomstva in stanovanjske izključenosti (ETHOS) je bila razvita kot okvir za izboljšanje razumevanja in merjenja brezdomstva v Evropi ter zagotovitev skupnega „jezika“ za transnacionalne izmenjave o brezdomstvu. </w:t>
      </w:r>
      <w:r w:rsidRPr="009E2049">
        <w:rPr>
          <w:noProof/>
        </w:rPr>
        <w:lastRenderedPageBreak/>
        <w:t xml:space="preserve">Klasifikacija ETHOS vključuje vse življenjske situacije, ki pomenijo oblike brezdomstva in stanovanjske izključenosti, tj.: </w:t>
      </w:r>
    </w:p>
    <w:p w14:paraId="39C529BC" w14:textId="77777777" w:rsidR="00D244BF" w:rsidRPr="009E2049" w:rsidRDefault="00D244BF" w:rsidP="002A697C">
      <w:pPr>
        <w:pStyle w:val="Tiret1"/>
        <w:numPr>
          <w:ilvl w:val="0"/>
          <w:numId w:val="10"/>
        </w:numPr>
        <w:ind w:left="1620"/>
        <w:rPr>
          <w:noProof/>
        </w:rPr>
      </w:pPr>
      <w:r w:rsidRPr="009E2049">
        <w:rPr>
          <w:noProof/>
        </w:rPr>
        <w:t>biti brez strehe nad glavo (brez kakršnega koli zatočišča, spanje na prostem),</w:t>
      </w:r>
    </w:p>
    <w:p w14:paraId="5BDEEC55" w14:textId="77777777" w:rsidR="00D244BF" w:rsidRPr="009E2049" w:rsidRDefault="00D244BF" w:rsidP="002A697C">
      <w:pPr>
        <w:pStyle w:val="Tiret1"/>
        <w:numPr>
          <w:ilvl w:val="0"/>
          <w:numId w:val="10"/>
        </w:numPr>
        <w:ind w:left="1620"/>
        <w:rPr>
          <w:noProof/>
        </w:rPr>
      </w:pPr>
      <w:r w:rsidRPr="009E2049">
        <w:rPr>
          <w:noProof/>
        </w:rPr>
        <w:t>biti brez stanovanja (z začasnim prostorom za spanje v institucijah ali zavetiščih),</w:t>
      </w:r>
    </w:p>
    <w:p w14:paraId="121D6D52" w14:textId="77777777" w:rsidR="00753294" w:rsidRPr="009E2049" w:rsidRDefault="00D244BF" w:rsidP="002A697C">
      <w:pPr>
        <w:pStyle w:val="Tiret1"/>
        <w:numPr>
          <w:ilvl w:val="0"/>
          <w:numId w:val="10"/>
        </w:numPr>
        <w:ind w:left="1620"/>
        <w:rPr>
          <w:noProof/>
        </w:rPr>
      </w:pPr>
      <w:r w:rsidRPr="009E2049">
        <w:rPr>
          <w:noProof/>
        </w:rPr>
        <w:t>živeti v negotovih nastanitvah (z grožnjo hude izključenosti zaradi negotovega najema, izselitve, družinskega nasilja, začasnega prebivanja pri sorodnikih ali prijateljih),</w:t>
      </w:r>
    </w:p>
    <w:p w14:paraId="0DF7A09C" w14:textId="77777777" w:rsidR="00D244BF" w:rsidRPr="009E2049" w:rsidRDefault="00D244BF" w:rsidP="002A697C">
      <w:pPr>
        <w:pStyle w:val="Tiret1"/>
        <w:numPr>
          <w:ilvl w:val="0"/>
          <w:numId w:val="10"/>
        </w:numPr>
        <w:ind w:left="1620"/>
        <w:rPr>
          <w:noProof/>
        </w:rPr>
      </w:pPr>
      <w:r w:rsidRPr="009E2049">
        <w:rPr>
          <w:noProof/>
        </w:rPr>
        <w:t>živeti v neprimernih nastanitvah (v začasnih ali nekonvencionalnih strukturah, v neprimernih stanovanjih, v izjemno prenaseljenih stanovanjih) –</w:t>
      </w:r>
    </w:p>
    <w:p w14:paraId="6FD92E87" w14:textId="77777777" w:rsidR="00CC4570" w:rsidRPr="009E2049" w:rsidRDefault="00CC4570" w:rsidP="004723B1">
      <w:pPr>
        <w:rPr>
          <w:noProof/>
        </w:rPr>
      </w:pPr>
    </w:p>
    <w:p w14:paraId="3078420C" w14:textId="77777777" w:rsidR="00FD6375" w:rsidRPr="009E2049" w:rsidRDefault="00C578AE" w:rsidP="00FD6375">
      <w:pPr>
        <w:pStyle w:val="Formuledadoption"/>
        <w:rPr>
          <w:noProof/>
        </w:rPr>
      </w:pPr>
      <w:r w:rsidRPr="009E2049">
        <w:rPr>
          <w:noProof/>
        </w:rPr>
        <w:t>SPREJEL NASLEDNJE PRIPOROČILO:</w:t>
      </w:r>
    </w:p>
    <w:p w14:paraId="5A9786FC" w14:textId="3B150547" w:rsidR="00701068" w:rsidRPr="009E2049" w:rsidRDefault="002A69B8" w:rsidP="00701068">
      <w:pPr>
        <w:pStyle w:val="Titrearticle"/>
        <w:jc w:val="both"/>
        <w:rPr>
          <w:i w:val="0"/>
          <w:iCs/>
          <w:noProof/>
        </w:rPr>
      </w:pPr>
      <w:r w:rsidRPr="009E2049">
        <w:rPr>
          <w:i w:val="0"/>
          <w:noProof/>
        </w:rPr>
        <w:t>PREDMET UREJANJA</w:t>
      </w:r>
    </w:p>
    <w:p w14:paraId="02225116" w14:textId="77777777" w:rsidR="00B23935" w:rsidRPr="009E2049" w:rsidRDefault="00FA001B" w:rsidP="00EF613A">
      <w:pPr>
        <w:pStyle w:val="Point0"/>
        <w:rPr>
          <w:noProof/>
        </w:rPr>
      </w:pPr>
      <w:r>
        <w:rPr>
          <w:noProof/>
        </w:rPr>
        <w:t>(1)</w:t>
      </w:r>
      <w:r>
        <w:rPr>
          <w:noProof/>
        </w:rPr>
        <w:tab/>
      </w:r>
      <w:r w:rsidRPr="009E2049">
        <w:rPr>
          <w:noProof/>
        </w:rPr>
        <w:t>To priporočilo določa smernice za boj proti socialni izključenosti ter zlasti za:</w:t>
      </w:r>
    </w:p>
    <w:p w14:paraId="798D5CCE" w14:textId="77777777" w:rsidR="001865CC" w:rsidRPr="009E2049" w:rsidRDefault="00B23935" w:rsidP="00D6392D">
      <w:pPr>
        <w:pStyle w:val="Point0"/>
        <w:ind w:left="1440" w:hanging="720"/>
        <w:rPr>
          <w:noProof/>
        </w:rPr>
      </w:pPr>
      <w:r w:rsidRPr="009E2049">
        <w:rPr>
          <w:noProof/>
        </w:rPr>
        <w:t>(a)</w:t>
      </w:r>
      <w:r w:rsidRPr="009E2049">
        <w:rPr>
          <w:noProof/>
        </w:rPr>
        <w:tab/>
        <w:t xml:space="preserve">podporo državam članicam pri preprečevanju in reševanju stanovanjske izključenosti ranljivih oseb, ki so v negotovi stanovanjski situaciji ali izpostavljene tveganju takšne situacije, in brezdomcev; </w:t>
      </w:r>
    </w:p>
    <w:p w14:paraId="3F2E444C" w14:textId="77777777" w:rsidR="008C122D" w:rsidRPr="009E2049" w:rsidRDefault="001865CC" w:rsidP="00F422C3">
      <w:pPr>
        <w:pStyle w:val="Point0"/>
        <w:ind w:left="1440" w:hanging="720"/>
        <w:rPr>
          <w:noProof/>
        </w:rPr>
      </w:pPr>
      <w:r w:rsidRPr="009E2049">
        <w:rPr>
          <w:noProof/>
        </w:rPr>
        <w:t xml:space="preserve">(b) </w:t>
      </w:r>
      <w:r w:rsidRPr="009E2049">
        <w:rPr>
          <w:noProof/>
        </w:rPr>
        <w:tab/>
        <w:t>spodbujanje oblikovanja, izvajanja in izboljšanja nacionalnih, regionalnih in/ali lokalnih strateških okvirov na podlagi na posameznika osredotočenih, stanovanjsko usmerjenih in celostnih politik.</w:t>
      </w:r>
    </w:p>
    <w:p w14:paraId="6CFEF2F2" w14:textId="77777777" w:rsidR="008F4693" w:rsidRPr="009E2049" w:rsidRDefault="008F4693" w:rsidP="004723B1">
      <w:pPr>
        <w:rPr>
          <w:noProof/>
        </w:rPr>
      </w:pPr>
    </w:p>
    <w:p w14:paraId="0BBB17DE" w14:textId="77777777" w:rsidR="008C122D" w:rsidRPr="009E2049" w:rsidRDefault="008C122D" w:rsidP="004723B1">
      <w:pPr>
        <w:rPr>
          <w:noProof/>
        </w:rPr>
      </w:pPr>
      <w:r w:rsidRPr="009E2049">
        <w:rPr>
          <w:noProof/>
        </w:rPr>
        <w:t>OPREDELITVE POJMOV</w:t>
      </w:r>
    </w:p>
    <w:p w14:paraId="238F4D22" w14:textId="77777777" w:rsidR="00AA2DB5" w:rsidRPr="009E2049" w:rsidRDefault="002D1E9C" w:rsidP="0037784D">
      <w:pPr>
        <w:pStyle w:val="Point0"/>
        <w:rPr>
          <w:noProof/>
        </w:rPr>
      </w:pPr>
      <w:r>
        <w:rPr>
          <w:noProof/>
        </w:rPr>
        <w:t>(2)</w:t>
      </w:r>
      <w:r>
        <w:rPr>
          <w:noProof/>
        </w:rPr>
        <w:tab/>
      </w:r>
      <w:r w:rsidRPr="009E2049">
        <w:rPr>
          <w:noProof/>
        </w:rPr>
        <w:t>V tem priporočilu se uporabljajo naslednje opredelitve pojmov:</w:t>
      </w:r>
    </w:p>
    <w:p w14:paraId="4B8ECEA4" w14:textId="77777777" w:rsidR="00BD74F3" w:rsidRPr="009E2049" w:rsidRDefault="00796E41">
      <w:pPr>
        <w:pStyle w:val="Point1"/>
        <w:rPr>
          <w:noProof/>
        </w:rPr>
      </w:pPr>
      <w:r w:rsidRPr="009E2049">
        <w:rPr>
          <w:noProof/>
        </w:rPr>
        <w:t>(a)</w:t>
      </w:r>
      <w:r w:rsidRPr="009E2049">
        <w:rPr>
          <w:noProof/>
        </w:rPr>
        <w:tab/>
        <w:t>„stanovanjska izključenost“ pomeni situacije, v katerih posamezniki ali gospodinjstva nimajo dostopa do primernega in/ali varnega stanovanja. Zajema zlasti brezdomce (tj. osebe, ki so brez strehe nad glavo ali brez stanovanja) in osebe, ki neprostovoljno živijo v negotovi stanovanjski situaciji, na primer v neprimernih ali negotovih stanovanjih;</w:t>
      </w:r>
    </w:p>
    <w:p w14:paraId="409A59BF" w14:textId="77777777" w:rsidR="00325095" w:rsidRPr="009E2049" w:rsidRDefault="00796E41">
      <w:pPr>
        <w:pStyle w:val="Point1"/>
        <w:rPr>
          <w:noProof/>
        </w:rPr>
      </w:pPr>
      <w:r w:rsidRPr="009E2049">
        <w:rPr>
          <w:noProof/>
        </w:rPr>
        <w:t>(b)</w:t>
      </w:r>
      <w:r w:rsidRPr="009E2049">
        <w:rPr>
          <w:noProof/>
        </w:rPr>
        <w:tab/>
        <w:t>„zasilna nastanitev“ pomeni nastanitev, kot so nočna zavetišča, katere glavni namen je zadovoljiti nujno potrebo po zatočišču in dostopu do osnovne opreme;</w:t>
      </w:r>
    </w:p>
    <w:p w14:paraId="7C71CB00" w14:textId="77777777" w:rsidR="00325095" w:rsidRPr="009E2049" w:rsidRDefault="00796E41">
      <w:pPr>
        <w:pStyle w:val="Point1"/>
        <w:rPr>
          <w:noProof/>
        </w:rPr>
      </w:pPr>
      <w:r w:rsidRPr="009E2049">
        <w:rPr>
          <w:noProof/>
        </w:rPr>
        <w:t>(c)</w:t>
      </w:r>
      <w:r w:rsidRPr="009E2049">
        <w:rPr>
          <w:noProof/>
        </w:rPr>
        <w:tab/>
        <w:t xml:space="preserve">„začasna nastanitev“ pomeni časovno omejeno nastanitev, ki se zagotovi med iskanjem trajne stanovanjske rešitve; </w:t>
      </w:r>
    </w:p>
    <w:p w14:paraId="3485BE4E" w14:textId="77777777" w:rsidR="004D1A18" w:rsidRPr="009E2049" w:rsidRDefault="00796E41" w:rsidP="00275B3F">
      <w:pPr>
        <w:pStyle w:val="Point1"/>
        <w:ind w:left="1420" w:hanging="570"/>
        <w:rPr>
          <w:noProof/>
        </w:rPr>
      </w:pPr>
      <w:r w:rsidRPr="009E2049">
        <w:rPr>
          <w:noProof/>
        </w:rPr>
        <w:t>(d)</w:t>
      </w:r>
      <w:r w:rsidRPr="009E2049">
        <w:rPr>
          <w:noProof/>
        </w:rPr>
        <w:tab/>
        <w:t xml:space="preserve">„stanovanjsko usmerjeni pristopi“ pomenijo modele politik in izvajanja storitev, ki dajejo prednost zagotavljanju hitrega dostopa do primernih, cenovno dostopnih in trajnih stanovanj, po potrebi skupaj s celostnimi, na posameznika osredotočenimi podpornimi storitvami za stanovanjsko stabilnost in socialno vključevanje, kot je pristop „najprej stanovanje“. </w:t>
      </w:r>
    </w:p>
    <w:p w14:paraId="09E28131" w14:textId="77777777" w:rsidR="008F4693" w:rsidRPr="009E2049" w:rsidRDefault="008F4693">
      <w:pPr>
        <w:rPr>
          <w:noProof/>
        </w:rPr>
      </w:pPr>
    </w:p>
    <w:p w14:paraId="5182F9E2" w14:textId="77777777" w:rsidR="007D6675" w:rsidRPr="009E2049" w:rsidRDefault="00AB7D32">
      <w:pPr>
        <w:rPr>
          <w:noProof/>
        </w:rPr>
      </w:pPr>
      <w:r w:rsidRPr="009E2049">
        <w:rPr>
          <w:noProof/>
        </w:rPr>
        <w:t>MEDSEKTORSKA PRIPOROČILA</w:t>
      </w:r>
    </w:p>
    <w:p w14:paraId="28B93F13" w14:textId="77777777" w:rsidR="006D6435" w:rsidRPr="009E2049" w:rsidRDefault="006D6435" w:rsidP="0037784D">
      <w:pPr>
        <w:pStyle w:val="Point0"/>
        <w:rPr>
          <w:noProof/>
        </w:rPr>
      </w:pPr>
      <w:r>
        <w:rPr>
          <w:noProof/>
        </w:rPr>
        <w:t>(3)</w:t>
      </w:r>
      <w:r>
        <w:rPr>
          <w:noProof/>
        </w:rPr>
        <w:tab/>
      </w:r>
      <w:r w:rsidRPr="009E2049">
        <w:rPr>
          <w:noProof/>
        </w:rPr>
        <w:t xml:space="preserve">Državam članicam se priporoča, naj: </w:t>
      </w:r>
    </w:p>
    <w:p w14:paraId="65B58BEC" w14:textId="77777777" w:rsidR="000F5594" w:rsidRPr="009E2049" w:rsidRDefault="008203C4" w:rsidP="007A0D1E">
      <w:pPr>
        <w:pStyle w:val="Point1"/>
        <w:rPr>
          <w:noProof/>
        </w:rPr>
      </w:pPr>
      <w:r>
        <w:rPr>
          <w:noProof/>
        </w:rPr>
        <w:lastRenderedPageBreak/>
        <w:t>(a)</w:t>
      </w:r>
      <w:r>
        <w:rPr>
          <w:noProof/>
        </w:rPr>
        <w:tab/>
      </w:r>
      <w:r w:rsidRPr="009E2049">
        <w:rPr>
          <w:noProof/>
        </w:rPr>
        <w:t>sprejmejo ali revidirajo strateške okvire za boj proti stanovanjski izključenosti in brezdomstvu na podlagi na posameznika osredotočenih, stanovanjsko usmerjenih in celostnih politik v skladu s tem priporočilom, da se okrepijo prizadevanja za odpravo brezdomstva v Evropski uniji. To bi bilo treba storiti z vključitvijo in sodelovanjem regionalnih in lokalnih organov ter ob spoštovanju delitve pristojnosti znotraj držav članic;</w:t>
      </w:r>
    </w:p>
    <w:p w14:paraId="00C5DCA4" w14:textId="77777777" w:rsidR="00FA6BF7" w:rsidRPr="009E2049" w:rsidRDefault="000E7DA0" w:rsidP="00600F3F">
      <w:pPr>
        <w:pStyle w:val="Point1"/>
        <w:rPr>
          <w:noProof/>
        </w:rPr>
      </w:pPr>
      <w:r>
        <w:rPr>
          <w:noProof/>
        </w:rPr>
        <w:t>(b)</w:t>
      </w:r>
      <w:r>
        <w:rPr>
          <w:noProof/>
        </w:rPr>
        <w:tab/>
      </w:r>
      <w:r w:rsidRPr="009E2049">
        <w:rPr>
          <w:noProof/>
        </w:rPr>
        <w:t xml:space="preserve">glede na nacionalne okoliščine opredelijo negotove stanovanjske situacije, zlasti ob upoštevanju tveganj revščine ali socialne izključenosti; </w:t>
      </w:r>
    </w:p>
    <w:p w14:paraId="41AE3560" w14:textId="77777777" w:rsidR="00EC63E7" w:rsidRPr="009E2049" w:rsidRDefault="004D69DB" w:rsidP="00600F3F">
      <w:pPr>
        <w:pStyle w:val="Point1"/>
        <w:rPr>
          <w:noProof/>
        </w:rPr>
      </w:pPr>
      <w:r>
        <w:rPr>
          <w:noProof/>
        </w:rPr>
        <w:t>(c)</w:t>
      </w:r>
      <w:r>
        <w:rPr>
          <w:noProof/>
        </w:rPr>
        <w:tab/>
      </w:r>
      <w:r w:rsidRPr="009E2049">
        <w:rPr>
          <w:noProof/>
        </w:rPr>
        <w:t>razvijejo prilagojene ukrepe za boj proti stanovanjski izključenosti in brezdomstvu ter sprejmejo na posameznika osredotočen pristop, pri čemer naj se, kadar je ustrezno, oprejo na načela novega evropskega Bauhausa, vključno s participativno, lokalno in vključujočo zasnovo, z zagotavljanjem celostnih storitev, kot so socialna pomoč, zdravstveno varstvo, dolgotrajna oskrba in aktivacija trga dela, v kombinaciji s pomočjo pri pridobitvi stanovanj;</w:t>
      </w:r>
    </w:p>
    <w:p w14:paraId="53428DC0" w14:textId="77777777" w:rsidR="000762ED" w:rsidRPr="009E2049" w:rsidRDefault="00DE6932" w:rsidP="00600F3F">
      <w:pPr>
        <w:pStyle w:val="Point1"/>
        <w:rPr>
          <w:noProof/>
        </w:rPr>
      </w:pPr>
      <w:r>
        <w:rPr>
          <w:noProof/>
        </w:rPr>
        <w:t>(d)</w:t>
      </w:r>
      <w:r>
        <w:rPr>
          <w:noProof/>
        </w:rPr>
        <w:tab/>
      </w:r>
      <w:r w:rsidRPr="009E2049">
        <w:rPr>
          <w:noProof/>
        </w:rPr>
        <w:t xml:space="preserve">določijo relevantne, časovno opredeljene, dosegljive in merljive cilje, vključno z naslednjim: </w:t>
      </w:r>
    </w:p>
    <w:p w14:paraId="3B44D6F1" w14:textId="77777777" w:rsidR="00DF4C1E" w:rsidRPr="009E2049" w:rsidRDefault="009F6432" w:rsidP="00F422C3">
      <w:pPr>
        <w:pStyle w:val="Text1"/>
        <w:ind w:left="1440"/>
        <w:rPr>
          <w:noProof/>
        </w:rPr>
      </w:pPr>
      <w:r w:rsidRPr="009E2049">
        <w:rPr>
          <w:noProof/>
        </w:rPr>
        <w:t>(i)</w:t>
      </w:r>
      <w:r w:rsidRPr="009E2049">
        <w:rPr>
          <w:noProof/>
        </w:rPr>
        <w:tab/>
        <w:t>vsaki osebi, ki spi na prostem (tj. osebam v „primarnem brezdomstvu“</w:t>
      </w:r>
      <w:r w:rsidRPr="009E2049">
        <w:rPr>
          <w:rStyle w:val="FootnoteReference"/>
          <w:noProof/>
        </w:rPr>
        <w:footnoteReference w:id="33"/>
      </w:r>
      <w:r w:rsidRPr="009E2049">
        <w:rPr>
          <w:noProof/>
        </w:rPr>
        <w:t>, ki spijo na ulici brez zatočišča v bivalnih prostorih), se ponudi zasilna nastanitev;</w:t>
      </w:r>
    </w:p>
    <w:p w14:paraId="5AF6AD5F" w14:textId="0895CDB3" w:rsidR="00EB3EC4" w:rsidRPr="009E2049" w:rsidRDefault="009F6432" w:rsidP="00F422C3">
      <w:pPr>
        <w:pStyle w:val="Text1"/>
        <w:ind w:left="1440"/>
        <w:rPr>
          <w:noProof/>
        </w:rPr>
      </w:pPr>
      <w:r w:rsidRPr="009E2049">
        <w:rPr>
          <w:noProof/>
        </w:rPr>
        <w:t>(ii)</w:t>
      </w:r>
      <w:r w:rsidRPr="009E2049">
        <w:rPr>
          <w:noProof/>
        </w:rPr>
        <w:tab/>
        <w:t xml:space="preserve">osebe, ki bivajo v zasilni ali začasni nastanitvi (osebe v „sekundarnem brezdomstvu“), prejmejo učinkovito podporo za čimprejšnji dostop do dolgoročnih in varnih stanovanjskih rešitev. </w:t>
      </w:r>
    </w:p>
    <w:p w14:paraId="4465FCD6" w14:textId="77777777" w:rsidR="008C122D" w:rsidRPr="009E2049" w:rsidRDefault="008C122D" w:rsidP="00F422C3">
      <w:pPr>
        <w:pStyle w:val="Text1"/>
        <w:ind w:left="1440"/>
        <w:rPr>
          <w:noProof/>
        </w:rPr>
      </w:pPr>
    </w:p>
    <w:p w14:paraId="17A18A17" w14:textId="77777777" w:rsidR="006D3FDD" w:rsidRPr="009E2049" w:rsidRDefault="006D3FDD" w:rsidP="00C45313">
      <w:pPr>
        <w:rPr>
          <w:noProof/>
        </w:rPr>
      </w:pPr>
    </w:p>
    <w:p w14:paraId="2B3B60DC" w14:textId="77777777" w:rsidR="00C45313" w:rsidRPr="009E2049" w:rsidRDefault="00C45313" w:rsidP="00C45313">
      <w:pPr>
        <w:rPr>
          <w:noProof/>
        </w:rPr>
      </w:pPr>
      <w:r w:rsidRPr="009E2049">
        <w:rPr>
          <w:noProof/>
        </w:rPr>
        <w:t>PREPOZNAVANJE OSEB, KI SE SOOČAJO S STANOVANJSKO IZKLJUČENOSTJO ALI SO IZPOSTAVLJENE TVEGANJU STANOVANJSKE IZKLJUČENOSTI</w:t>
      </w:r>
    </w:p>
    <w:p w14:paraId="1FFF9CDC" w14:textId="77777777" w:rsidR="00C45313" w:rsidRPr="009E2049" w:rsidRDefault="00C45313" w:rsidP="0037784D">
      <w:pPr>
        <w:pStyle w:val="Point0"/>
        <w:rPr>
          <w:noProof/>
        </w:rPr>
      </w:pPr>
      <w:r>
        <w:rPr>
          <w:noProof/>
        </w:rPr>
        <w:t>(4)</w:t>
      </w:r>
      <w:r>
        <w:rPr>
          <w:noProof/>
        </w:rPr>
        <w:tab/>
      </w:r>
      <w:r w:rsidRPr="009E2049">
        <w:rPr>
          <w:noProof/>
        </w:rPr>
        <w:t xml:space="preserve">Državam članicam se priporoča, naj: </w:t>
      </w:r>
    </w:p>
    <w:p w14:paraId="2C315B98" w14:textId="77777777" w:rsidR="00C45313" w:rsidRPr="009E2049" w:rsidRDefault="00806818" w:rsidP="007A0D1E">
      <w:pPr>
        <w:pStyle w:val="Point1"/>
        <w:rPr>
          <w:noProof/>
        </w:rPr>
      </w:pPr>
      <w:r>
        <w:rPr>
          <w:noProof/>
        </w:rPr>
        <w:t>(a)</w:t>
      </w:r>
      <w:r>
        <w:rPr>
          <w:noProof/>
        </w:rPr>
        <w:tab/>
      </w:r>
      <w:r w:rsidRPr="009E2049">
        <w:rPr>
          <w:noProof/>
        </w:rPr>
        <w:t>okrepijo zbiranje podatkov o težko dosegljivih skupinah, vključno z brezdomci, ter brez pretiranega upravnega bremena pripravijo redne, celovite, primerljive in razčlenjene statistične podatke o stanovanjski izključenosti in brezdomstvu na nacionalni in lokalni ravni;</w:t>
      </w:r>
    </w:p>
    <w:p w14:paraId="7C93AE7B" w14:textId="006EDA34" w:rsidR="00C45313" w:rsidRPr="009E2049" w:rsidRDefault="00226E48" w:rsidP="00600F3F">
      <w:pPr>
        <w:pStyle w:val="Point1"/>
        <w:rPr>
          <w:noProof/>
        </w:rPr>
      </w:pPr>
      <w:r>
        <w:rPr>
          <w:noProof/>
        </w:rPr>
        <w:t>(b)</w:t>
      </w:r>
      <w:r>
        <w:rPr>
          <w:noProof/>
        </w:rPr>
        <w:tab/>
      </w:r>
      <w:r w:rsidRPr="009E2049">
        <w:rPr>
          <w:noProof/>
        </w:rPr>
        <w:t>uskladijo merila za prepoznavanje oseb, ki se soočajo s stanovanjsko izključenostjo ali so izpostavljene tveganju stanovanjske izključenosti, v vseh relevantnih službah, kot so socialne službe, službe za zaposlovanje, izobraževalne službe, pravosodne službe ter službe za zaščito otrok, ter vzpostavijo hitro, učinkovito in pravočasno izmenjavo informacij med temi službami;</w:t>
      </w:r>
    </w:p>
    <w:p w14:paraId="4899A3D6" w14:textId="64687D6D" w:rsidR="00C45313" w:rsidRPr="009E2049" w:rsidRDefault="003A0A56" w:rsidP="00600F3F">
      <w:pPr>
        <w:pStyle w:val="Point1"/>
        <w:rPr>
          <w:noProof/>
        </w:rPr>
      </w:pPr>
      <w:r>
        <w:rPr>
          <w:noProof/>
        </w:rPr>
        <w:t>(c)</w:t>
      </w:r>
      <w:r>
        <w:rPr>
          <w:noProof/>
        </w:rPr>
        <w:tab/>
      </w:r>
      <w:r w:rsidRPr="009E2049">
        <w:rPr>
          <w:noProof/>
        </w:rPr>
        <w:t xml:space="preserve">na podlagi zbranih podatkov in usklajenih meril za prepoznavanje stanovanjske izključenosti vzpostavijo sisteme zgodnjega opozarjanja za prepoznavanje gospodinjstev, ki so izpostavljena tveganju stanovanjske izključenosti, ter zagotovijo pravočasno ozaveščanje in preventivno podporo; </w:t>
      </w:r>
      <w:bookmarkStart w:id="10" w:name="_Hlk227938618"/>
      <w:r w:rsidRPr="009E2049">
        <w:rPr>
          <w:noProof/>
        </w:rPr>
        <w:t xml:space="preserve">količinsko opredelijo in ocenijo stanovanjske potrebe brezdomcev in oseb v negotovi </w:t>
      </w:r>
      <w:r w:rsidRPr="009E2049">
        <w:rPr>
          <w:noProof/>
        </w:rPr>
        <w:lastRenderedPageBreak/>
        <w:t>stanovanjski situaciji; razvijejo prilagojene strategije prepoznavanja za tiste, katerih število je pogosto podcenjeno ali ki so skriti.</w:t>
      </w:r>
      <w:bookmarkEnd w:id="10"/>
    </w:p>
    <w:p w14:paraId="492F2C06" w14:textId="77777777" w:rsidR="00600F3F" w:rsidRPr="009E2049" w:rsidRDefault="00600F3F" w:rsidP="00600F3F">
      <w:pPr>
        <w:pStyle w:val="Text1"/>
        <w:rPr>
          <w:noProof/>
        </w:rPr>
      </w:pPr>
    </w:p>
    <w:p w14:paraId="31B8AF82" w14:textId="77777777" w:rsidR="001E6681" w:rsidRPr="009E2049" w:rsidRDefault="008C122D" w:rsidP="00275B3F">
      <w:pPr>
        <w:pStyle w:val="Titrearticle"/>
        <w:spacing w:before="240"/>
        <w:jc w:val="both"/>
        <w:rPr>
          <w:noProof/>
        </w:rPr>
      </w:pPr>
      <w:r w:rsidRPr="009E2049">
        <w:rPr>
          <w:i w:val="0"/>
          <w:noProof/>
        </w:rPr>
        <w:t xml:space="preserve">PREPREČEVANJE STANOVANJSKE IZKLJUČENOSTI </w:t>
      </w:r>
    </w:p>
    <w:p w14:paraId="1531D317" w14:textId="77777777" w:rsidR="005B411C" w:rsidRPr="009E2049" w:rsidRDefault="00282B18" w:rsidP="0037784D">
      <w:pPr>
        <w:pStyle w:val="Point0"/>
        <w:rPr>
          <w:noProof/>
        </w:rPr>
      </w:pPr>
      <w:r>
        <w:rPr>
          <w:noProof/>
        </w:rPr>
        <w:t>(5)</w:t>
      </w:r>
      <w:r>
        <w:rPr>
          <w:noProof/>
        </w:rPr>
        <w:tab/>
      </w:r>
      <w:r w:rsidRPr="009E2049">
        <w:rPr>
          <w:noProof/>
        </w:rPr>
        <w:t xml:space="preserve">Državam članicam se priporoča, naj: </w:t>
      </w:r>
    </w:p>
    <w:p w14:paraId="337BCA0F" w14:textId="77777777" w:rsidR="008C122D" w:rsidRPr="009E2049" w:rsidRDefault="00BD181F" w:rsidP="007A0D1E">
      <w:pPr>
        <w:pStyle w:val="Point1"/>
        <w:rPr>
          <w:noProof/>
        </w:rPr>
      </w:pPr>
      <w:r>
        <w:rPr>
          <w:noProof/>
        </w:rPr>
        <w:t>(a)</w:t>
      </w:r>
      <w:r>
        <w:rPr>
          <w:noProof/>
        </w:rPr>
        <w:tab/>
      </w:r>
      <w:r w:rsidRPr="009E2049">
        <w:rPr>
          <w:noProof/>
        </w:rPr>
        <w:t>v svojih strateških okvirih osebam, ki so izpostavljene tveganju stanovanjske izključenosti, pomagajo obdržati primerno stanovanje z usmerjenimi ukrepi, med katerimi so svetovanje glede dolgov in stanovanja, sistemi zgodnjega opozarjanja, nujna pomoč pri najemu, mediacija in drugi blažilni ukrepi; zagotovijo razpoložljivost prilagojenih stanovanj za invalide ali osebe, ki potrebujejo dolgotrajno oskrbo, pri tem pa preprečijo nesorazmerno breme za gradnjo in prenovo;</w:t>
      </w:r>
    </w:p>
    <w:p w14:paraId="2F037DD6" w14:textId="77777777" w:rsidR="008C122D" w:rsidRPr="009E2049" w:rsidRDefault="6D56711B" w:rsidP="00600F3F">
      <w:pPr>
        <w:pStyle w:val="Point1"/>
        <w:rPr>
          <w:noProof/>
        </w:rPr>
      </w:pPr>
      <w:r>
        <w:rPr>
          <w:noProof/>
        </w:rPr>
        <w:t>(b)</w:t>
      </w:r>
      <w:r>
        <w:rPr>
          <w:noProof/>
        </w:rPr>
        <w:tab/>
      </w:r>
      <w:r w:rsidRPr="009E2049">
        <w:rPr>
          <w:noProof/>
        </w:rPr>
        <w:t>zagotovijo pravočasen in učinkovit dostop do informacij o razpoložljivih ukrepih stanovanjske, socialne in dohodkovne podpore ter izvedejo dejavnosti ozaveščanja za zmanjšanje neuveljavljanja pravic;</w:t>
      </w:r>
    </w:p>
    <w:p w14:paraId="33FF5329" w14:textId="07998238" w:rsidR="008C122D" w:rsidRPr="009E2049" w:rsidRDefault="00D82679" w:rsidP="00600F3F">
      <w:pPr>
        <w:pStyle w:val="Point1"/>
        <w:rPr>
          <w:noProof/>
        </w:rPr>
      </w:pPr>
      <w:r>
        <w:rPr>
          <w:noProof/>
        </w:rPr>
        <w:t>(c)</w:t>
      </w:r>
      <w:r>
        <w:rPr>
          <w:noProof/>
        </w:rPr>
        <w:tab/>
      </w:r>
      <w:r w:rsidRPr="009E2049">
        <w:rPr>
          <w:noProof/>
        </w:rPr>
        <w:t xml:space="preserve">redno ocenjujejo zadostnost dohodkovne podpore, vključno s stanovanjskimi dodatki, minimalnim dohodkom in otroškimi dodatki, glede na stanovanjske stroške ter previdijo mehanizme za prilagoditev, ki se odzivajo na trende stroškov. Ta ocena bi morala služiti tudi kot dokaz za preprečevanje ustvarjanja pasti revščine, pri katerih socialna podpora odvrača od dela; </w:t>
      </w:r>
    </w:p>
    <w:p w14:paraId="65260C42" w14:textId="4BBE35E6" w:rsidR="008C122D" w:rsidRPr="009E2049" w:rsidRDefault="00AE4812" w:rsidP="00600F3F">
      <w:pPr>
        <w:pStyle w:val="Point1"/>
        <w:rPr>
          <w:noProof/>
        </w:rPr>
      </w:pPr>
      <w:r>
        <w:rPr>
          <w:noProof/>
        </w:rPr>
        <w:t>(d)</w:t>
      </w:r>
      <w:r>
        <w:rPr>
          <w:noProof/>
        </w:rPr>
        <w:tab/>
      </w:r>
      <w:r w:rsidRPr="009E2049">
        <w:rPr>
          <w:noProof/>
        </w:rPr>
        <w:t xml:space="preserve">okrepijo preprečevanje prisilnih in samovoljnih izselitev ter zaščito pred njimi, zlasti za družine z otroki, s posebnim poudarkom na samohranilskih gospodinjstvih. Države članice bi morale zagotoviti pregledne in pravočasne postopke, ki upoštevajo sorazmernost, dolžno postopanje in učinkovita pravna sredstva, hkrati pa spoštujejo pravice najemodajalcev; </w:t>
      </w:r>
    </w:p>
    <w:p w14:paraId="7FB11AF0" w14:textId="5185382A" w:rsidR="008C122D" w:rsidRPr="009E2049" w:rsidRDefault="00E05D79" w:rsidP="00600F3F">
      <w:pPr>
        <w:pStyle w:val="Point1"/>
        <w:rPr>
          <w:noProof/>
        </w:rPr>
      </w:pPr>
      <w:r>
        <w:rPr>
          <w:noProof/>
        </w:rPr>
        <w:t>(e)</w:t>
      </w:r>
      <w:r>
        <w:rPr>
          <w:noProof/>
        </w:rPr>
        <w:tab/>
      </w:r>
      <w:r w:rsidRPr="009E2049">
        <w:rPr>
          <w:noProof/>
        </w:rPr>
        <w:t xml:space="preserve">zagotovijo, da noben otrok ni prikrajšan za primerno stanovanje, pri čemer po potrebi poskrbijo za pravočasno in ustrezno </w:t>
      </w:r>
      <w:r w:rsidR="00AC1966" w:rsidRPr="009E2049">
        <w:rPr>
          <w:noProof/>
        </w:rPr>
        <w:t>nadomestno</w:t>
      </w:r>
      <w:r w:rsidRPr="009E2049">
        <w:rPr>
          <w:noProof/>
        </w:rPr>
        <w:t xml:space="preserve"> nastanitev, hkrati pa ohranijo enotnost družine v otrokovo korist; </w:t>
      </w:r>
    </w:p>
    <w:p w14:paraId="486356A8" w14:textId="77777777" w:rsidR="008C122D" w:rsidRPr="009E2049" w:rsidRDefault="000A2C84" w:rsidP="00600F3F">
      <w:pPr>
        <w:pStyle w:val="Point1"/>
        <w:rPr>
          <w:noProof/>
        </w:rPr>
      </w:pPr>
      <w:r>
        <w:rPr>
          <w:noProof/>
        </w:rPr>
        <w:t>(f)</w:t>
      </w:r>
      <w:r>
        <w:rPr>
          <w:noProof/>
        </w:rPr>
        <w:tab/>
      </w:r>
      <w:r w:rsidRPr="009E2049">
        <w:rPr>
          <w:noProof/>
        </w:rPr>
        <w:t xml:space="preserve">zagotovijo, da nobena mladoletna ali mlajša odrasla oseba ne zapusti institucionalne oskrbe ali rejništva brez primernega stanovanja in podpornih storitev. Osebam, ki nimajo porokov ali sredstev za varščino, bi bilo treba olajšati dostop do finančne podpore ali spodbud, na primer prek organizacij socialnega gospodarstva, ki omogočajo dostop do mikrofinanciranja; </w:t>
      </w:r>
    </w:p>
    <w:p w14:paraId="26005369" w14:textId="77777777" w:rsidR="008C122D" w:rsidRPr="009E2049" w:rsidRDefault="009B797C" w:rsidP="00600F3F">
      <w:pPr>
        <w:pStyle w:val="Point1"/>
        <w:rPr>
          <w:noProof/>
        </w:rPr>
      </w:pPr>
      <w:r>
        <w:rPr>
          <w:noProof/>
        </w:rPr>
        <w:t>(g)</w:t>
      </w:r>
      <w:r>
        <w:rPr>
          <w:noProof/>
        </w:rPr>
        <w:tab/>
      </w:r>
      <w:r w:rsidRPr="009E2049">
        <w:rPr>
          <w:noProof/>
        </w:rPr>
        <w:t>vzpostavijo zgodnje preventivno svetovanje v izobraževalnih ustanovah, delovnih okoljih ali institucionalnih okoljih za mlade, da bi pomagale odkrivati stiske, olajšale ustrezne napotitve na pristojne službe in preprečile stanovanjsko izključenost med otroki in mladimi;</w:t>
      </w:r>
    </w:p>
    <w:p w14:paraId="758C9797" w14:textId="77777777" w:rsidR="008C122D" w:rsidRPr="009E2049" w:rsidRDefault="00F82707" w:rsidP="00600F3F">
      <w:pPr>
        <w:pStyle w:val="Point1"/>
        <w:rPr>
          <w:noProof/>
        </w:rPr>
      </w:pPr>
      <w:r>
        <w:rPr>
          <w:noProof/>
        </w:rPr>
        <w:t>(h)</w:t>
      </w:r>
      <w:r>
        <w:rPr>
          <w:noProof/>
        </w:rPr>
        <w:tab/>
      </w:r>
      <w:r w:rsidRPr="009E2049">
        <w:rPr>
          <w:noProof/>
        </w:rPr>
        <w:t>starejšim v negotovi stanovanjski situaciji zagotovijo dostop do svetovanja in socialne podpore, da bi preprečile stanovanjsko izključenost;</w:t>
      </w:r>
    </w:p>
    <w:p w14:paraId="2DA081C1" w14:textId="77777777" w:rsidR="00AC4234" w:rsidRPr="009E2049" w:rsidRDefault="00AC4234" w:rsidP="00600F3F">
      <w:pPr>
        <w:pStyle w:val="Point1"/>
        <w:rPr>
          <w:noProof/>
        </w:rPr>
      </w:pPr>
      <w:r>
        <w:rPr>
          <w:noProof/>
        </w:rPr>
        <w:t>(i)</w:t>
      </w:r>
      <w:r>
        <w:rPr>
          <w:noProof/>
        </w:rPr>
        <w:tab/>
      </w:r>
      <w:r w:rsidRPr="009E2049">
        <w:rPr>
          <w:noProof/>
        </w:rPr>
        <w:t>zagotovijo enako obravnavo oseb, ki so izpostavljene tveganju diskriminacije, pri dostopu do primernih stanovanj in osnovnih storitev;</w:t>
      </w:r>
    </w:p>
    <w:p w14:paraId="019E935F" w14:textId="77777777" w:rsidR="008C122D" w:rsidRPr="009E2049" w:rsidRDefault="009C52E7" w:rsidP="00600F3F">
      <w:pPr>
        <w:pStyle w:val="Point1"/>
        <w:rPr>
          <w:noProof/>
        </w:rPr>
      </w:pPr>
      <w:r>
        <w:rPr>
          <w:noProof/>
        </w:rPr>
        <w:t>(j)</w:t>
      </w:r>
      <w:r>
        <w:rPr>
          <w:noProof/>
        </w:rPr>
        <w:tab/>
      </w:r>
      <w:r w:rsidRPr="009E2049">
        <w:rPr>
          <w:noProof/>
        </w:rPr>
        <w:t xml:space="preserve">zagotovijo pravočasno in prilagojeno podporo osebam, ki zapuščajo različne ustanove, na primer zapore, bolnišnice in ustanove za oskrbo, da se jim zagotovi dolgoročna nastanitev. </w:t>
      </w:r>
    </w:p>
    <w:p w14:paraId="3B885736" w14:textId="77777777" w:rsidR="00A67EC1" w:rsidRPr="009E2049" w:rsidRDefault="00A67EC1" w:rsidP="00F422C3">
      <w:pPr>
        <w:pStyle w:val="Point0"/>
        <w:ind w:left="709" w:hanging="709"/>
        <w:rPr>
          <w:noProof/>
        </w:rPr>
      </w:pPr>
    </w:p>
    <w:p w14:paraId="78869931" w14:textId="77777777" w:rsidR="008C122D" w:rsidRPr="009E2049" w:rsidRDefault="008C122D" w:rsidP="004723B1">
      <w:pPr>
        <w:rPr>
          <w:noProof/>
        </w:rPr>
      </w:pPr>
      <w:r w:rsidRPr="009E2049">
        <w:rPr>
          <w:noProof/>
        </w:rPr>
        <w:t xml:space="preserve">PODPORA LJUDEM, KI SE SOOČAJO Z BREZDOMSTVOM </w:t>
      </w:r>
    </w:p>
    <w:p w14:paraId="5EAFEBA7" w14:textId="77777777" w:rsidR="005A474B" w:rsidRPr="009E2049" w:rsidRDefault="005A474B" w:rsidP="004723B1">
      <w:pPr>
        <w:rPr>
          <w:noProof/>
        </w:rPr>
      </w:pPr>
    </w:p>
    <w:p w14:paraId="1DF05371" w14:textId="77777777" w:rsidR="008C122D" w:rsidRPr="009E2049" w:rsidRDefault="00EB5471" w:rsidP="0037784D">
      <w:pPr>
        <w:pStyle w:val="Point0"/>
        <w:rPr>
          <w:noProof/>
        </w:rPr>
      </w:pPr>
      <w:r>
        <w:rPr>
          <w:noProof/>
        </w:rPr>
        <w:t>(6)</w:t>
      </w:r>
      <w:r>
        <w:rPr>
          <w:noProof/>
        </w:rPr>
        <w:tab/>
      </w:r>
      <w:r w:rsidRPr="009E2049">
        <w:rPr>
          <w:noProof/>
        </w:rPr>
        <w:t>Da bi skrajšali čas, ko se ljudje soočajo z brezdomstvom ali potrebujejo zasilno ali začasno nastanitev, se državam članicam priporoča, naj zagotovijo na posameznika osredotočeno, celostno in dostopno podporo z:</w:t>
      </w:r>
    </w:p>
    <w:p w14:paraId="27BDCD80" w14:textId="77777777" w:rsidR="008C122D" w:rsidRPr="009E2049" w:rsidRDefault="00796E41" w:rsidP="00796E41">
      <w:pPr>
        <w:pStyle w:val="Point1"/>
        <w:rPr>
          <w:noProof/>
        </w:rPr>
      </w:pPr>
      <w:r w:rsidRPr="009E2049">
        <w:rPr>
          <w:noProof/>
        </w:rPr>
        <w:t>(a)</w:t>
      </w:r>
      <w:r w:rsidRPr="009E2049">
        <w:rPr>
          <w:noProof/>
        </w:rPr>
        <w:tab/>
        <w:t xml:space="preserve">dostopnimi in vključujočimi podpornimi sistemi, ki na primer vključujejo oceno individualnih potreb, prilagojene načrte podpore in celostno obravnavo primera za najbolj kompleksne primere; ozaveščanjem in večdisciplinarnimi ekipami v skupnosti, v katerih sodelujejo zdravstveni delavci, delavci v oskrbi in socialni delavci; </w:t>
      </w:r>
    </w:p>
    <w:p w14:paraId="37816ADD" w14:textId="77777777" w:rsidR="004E1334" w:rsidRPr="009E2049" w:rsidRDefault="00796E41" w:rsidP="00796E41">
      <w:pPr>
        <w:pStyle w:val="Point1"/>
        <w:rPr>
          <w:noProof/>
        </w:rPr>
      </w:pPr>
      <w:r w:rsidRPr="009E2049">
        <w:rPr>
          <w:noProof/>
        </w:rPr>
        <w:t>(b)</w:t>
      </w:r>
      <w:r w:rsidRPr="009E2049">
        <w:rPr>
          <w:noProof/>
        </w:rPr>
        <w:tab/>
        <w:t xml:space="preserve">standardi, ki zagotavljajo dosledne in visokokakovostne podporne storitve, vključno s specifično podporo za otroke; </w:t>
      </w:r>
    </w:p>
    <w:p w14:paraId="7AED5F12" w14:textId="77777777" w:rsidR="008C122D" w:rsidRPr="009E2049" w:rsidRDefault="004E1334" w:rsidP="00796E41">
      <w:pPr>
        <w:pStyle w:val="Point1"/>
        <w:rPr>
          <w:noProof/>
        </w:rPr>
      </w:pPr>
      <w:r w:rsidRPr="009E2049">
        <w:rPr>
          <w:noProof/>
        </w:rPr>
        <w:t>(c)</w:t>
      </w:r>
      <w:r w:rsidRPr="009E2049">
        <w:rPr>
          <w:noProof/>
        </w:rPr>
        <w:tab/>
        <w:t>pristopom vse na enem mestu s pravočasnimi in poenostavljenimi napotitvami na pristojne urade za socialno varnost, socialno pomoč ter lahko dostopne socialne in zdravstvene storitve;</w:t>
      </w:r>
    </w:p>
    <w:p w14:paraId="7F653DFB" w14:textId="4904003A" w:rsidR="008C122D" w:rsidRPr="009E2049" w:rsidRDefault="00796E41" w:rsidP="00796E41">
      <w:pPr>
        <w:pStyle w:val="Point1"/>
        <w:rPr>
          <w:noProof/>
        </w:rPr>
      </w:pPr>
      <w:r w:rsidRPr="009E2049">
        <w:rPr>
          <w:noProof/>
        </w:rPr>
        <w:t>(d)</w:t>
      </w:r>
      <w:r w:rsidRPr="009E2049">
        <w:rPr>
          <w:noProof/>
        </w:rPr>
        <w:tab/>
        <w:t xml:space="preserve">podpornimi sistemi, ki pomagajo preprečevati nepotrebno ločevanje družin v otrokovo korist in zagotavljajo, da noben otrok ni brez strehe nad glavo ali v zasilnem zatočišču, začasni nastanitvi ali drugih oblikah brezdomstva; </w:t>
      </w:r>
    </w:p>
    <w:p w14:paraId="6A07BD8B" w14:textId="77777777" w:rsidR="006E2640" w:rsidRPr="009E2049" w:rsidRDefault="00796E41" w:rsidP="00796E41">
      <w:pPr>
        <w:pStyle w:val="Point1"/>
        <w:rPr>
          <w:noProof/>
        </w:rPr>
      </w:pPr>
      <w:r w:rsidRPr="009E2049">
        <w:rPr>
          <w:noProof/>
        </w:rPr>
        <w:t>(e)</w:t>
      </w:r>
      <w:r w:rsidRPr="009E2049">
        <w:rPr>
          <w:noProof/>
        </w:rPr>
        <w:tab/>
        <w:t xml:space="preserve">aktivno podporo zaposlovanju, med drugim z olajšanjem prijave pri službah za zaposlovanje ter razvojem posamezniku prilagojenih poti do zaposlitve, socialno podporo in podporo za ohranitev zaposlitve ter podporo za delodajalce; </w:t>
      </w:r>
      <w:r w:rsidRPr="009E2049">
        <w:rPr>
          <w:noProof/>
        </w:rPr>
        <w:tab/>
      </w:r>
    </w:p>
    <w:p w14:paraId="45FF64F9" w14:textId="5B2693AB" w:rsidR="008C122D" w:rsidRPr="009E2049" w:rsidRDefault="006E2640" w:rsidP="00796E41">
      <w:pPr>
        <w:pStyle w:val="Point1"/>
        <w:rPr>
          <w:noProof/>
        </w:rPr>
      </w:pPr>
      <w:r w:rsidRPr="009E2049">
        <w:rPr>
          <w:noProof/>
        </w:rPr>
        <w:t>(f)</w:t>
      </w:r>
      <w:r w:rsidRPr="009E2049">
        <w:rPr>
          <w:noProof/>
        </w:rPr>
        <w:tab/>
        <w:t>zagotavljanjem, da so ljudje, ki se soočajo z brezdomstvom, seznanjeni, da imajo v skladu z zakonodajo Unije</w:t>
      </w:r>
      <w:r w:rsidRPr="009E2049">
        <w:rPr>
          <w:rStyle w:val="FootnoteReference"/>
          <w:noProof/>
        </w:rPr>
        <w:footnoteReference w:id="34"/>
      </w:r>
      <w:r w:rsidRPr="009E2049">
        <w:rPr>
          <w:noProof/>
        </w:rPr>
        <w:t xml:space="preserve"> pravico do odprtja in uporabe osnovnega plačilnega računa pri kreditnih institucijah na njihovem ozemlju, ne glede na to, ali imajo stalni naslov; </w:t>
      </w:r>
    </w:p>
    <w:p w14:paraId="71D17860" w14:textId="77777777" w:rsidR="00051117" w:rsidRPr="009E2049" w:rsidRDefault="00796E41" w:rsidP="00796E41">
      <w:pPr>
        <w:pStyle w:val="Point1"/>
        <w:rPr>
          <w:noProof/>
        </w:rPr>
      </w:pPr>
      <w:r w:rsidRPr="009E2049">
        <w:rPr>
          <w:noProof/>
        </w:rPr>
        <w:t>(g)</w:t>
      </w:r>
      <w:r w:rsidRPr="009E2049">
        <w:rPr>
          <w:noProof/>
        </w:rPr>
        <w:tab/>
        <w:t xml:space="preserve">razširitvijo dostopa do stabilnih stanovanjskih rešitev za brezdomce, zlasti družine z otroki, s sodelovanjem s ponudniki stanovanj, agencijami za oddajanje socialnih stanovanj in mehanizmi vključujočega dodeljevanja ter zadružnimi modeli in modeli v skupnosti, ki jih spremljajo ustrezne podporne storitve; </w:t>
      </w:r>
    </w:p>
    <w:p w14:paraId="0C03E580" w14:textId="77777777" w:rsidR="0010722C" w:rsidRPr="009E2049" w:rsidRDefault="009D6B66" w:rsidP="00F422C3">
      <w:pPr>
        <w:pStyle w:val="Point0"/>
        <w:ind w:left="1417" w:hanging="566"/>
        <w:rPr>
          <w:noProof/>
        </w:rPr>
      </w:pPr>
      <w:r w:rsidRPr="009E2049">
        <w:rPr>
          <w:noProof/>
        </w:rPr>
        <w:t xml:space="preserve">(h) </w:t>
      </w:r>
      <w:r w:rsidRPr="009E2049">
        <w:rPr>
          <w:noProof/>
        </w:rPr>
        <w:tab/>
        <w:t xml:space="preserve">zagotavljanjem razpoložljivosti, varnosti, dostopnosti in zadostnega števila zasilnih in začasnih nastanitev, vključno z nastanitvami, ločenimi po spolu, za zadovoljitev potreb vseh ljudi, ki se soočajo z brezdomstvom, vključno z žrtvami nasilja v družini in spolnega nasilja, ter podpiranjem njihovega prehoda v stabilno stanovanje; </w:t>
      </w:r>
    </w:p>
    <w:p w14:paraId="0C882543" w14:textId="77777777" w:rsidR="06505AE6" w:rsidRPr="009E2049" w:rsidRDefault="0055310B" w:rsidP="00F422C3">
      <w:pPr>
        <w:pStyle w:val="Point0"/>
        <w:ind w:left="1417" w:hanging="566"/>
        <w:rPr>
          <w:noProof/>
        </w:rPr>
      </w:pPr>
      <w:r w:rsidRPr="009E2049">
        <w:rPr>
          <w:noProof/>
        </w:rPr>
        <w:t xml:space="preserve">(i) </w:t>
      </w:r>
      <w:r w:rsidRPr="009E2049">
        <w:rPr>
          <w:noProof/>
        </w:rPr>
        <w:tab/>
        <w:t xml:space="preserve">priznavanjem in podpiranjem vloge ljudi z izkušnjo brezdomstva pri izboljšanju zaupanja, dostopnosti in učinkovitosti ukrepov podpornih služb, ki olajšujejo dostop do socialnega vključevanja in stanovanj; </w:t>
      </w:r>
    </w:p>
    <w:p w14:paraId="5E0A32EF" w14:textId="77777777" w:rsidR="00DB3968" w:rsidRPr="009E2049" w:rsidRDefault="00396A35" w:rsidP="00F422C3">
      <w:pPr>
        <w:pStyle w:val="Point0"/>
        <w:ind w:left="1417" w:hanging="566"/>
        <w:rPr>
          <w:noProof/>
        </w:rPr>
      </w:pPr>
      <w:r w:rsidRPr="009E2049">
        <w:rPr>
          <w:noProof/>
        </w:rPr>
        <w:t>(j)</w:t>
      </w:r>
      <w:r w:rsidRPr="009E2049">
        <w:rPr>
          <w:noProof/>
        </w:rPr>
        <w:tab/>
        <w:t xml:space="preserve">ukrepi za preprečevanje in odpravljanje stigmatizacije in diskriminatornih praks pri dostopu do stanovanj, kot so pregledna merila za čakalne sezname za </w:t>
      </w:r>
      <w:r w:rsidRPr="009E2049">
        <w:rPr>
          <w:noProof/>
        </w:rPr>
        <w:lastRenderedPageBreak/>
        <w:t xml:space="preserve">socialna stanovanja, usposabljanje za odpravljanje nezavedne pristranskosti za strokovnjake na stanovanjskem področju in podporne storitve za najemnike, ki se soočajo z diskriminacijo. </w:t>
      </w:r>
    </w:p>
    <w:p w14:paraId="4850F27C" w14:textId="77777777" w:rsidR="005A474B" w:rsidRPr="009E2049" w:rsidRDefault="005A474B" w:rsidP="00F422C3">
      <w:pPr>
        <w:pStyle w:val="Point0"/>
        <w:ind w:left="1417" w:hanging="566"/>
        <w:rPr>
          <w:noProof/>
        </w:rPr>
      </w:pPr>
    </w:p>
    <w:p w14:paraId="64735BF5" w14:textId="77777777" w:rsidR="005A474B" w:rsidRPr="009E2049" w:rsidRDefault="000266A0" w:rsidP="00AC509C">
      <w:pPr>
        <w:spacing w:before="240" w:after="160" w:line="278" w:lineRule="auto"/>
        <w:rPr>
          <w:noProof/>
        </w:rPr>
      </w:pPr>
      <w:r w:rsidRPr="009E2049">
        <w:rPr>
          <w:noProof/>
        </w:rPr>
        <w:t xml:space="preserve">DOSTOP DO PRIMERNIH IN VARNIH STANOVANJSKIH REŠITEV </w:t>
      </w:r>
    </w:p>
    <w:p w14:paraId="389BA8D6" w14:textId="77777777" w:rsidR="00E94F3D" w:rsidRPr="009E2049" w:rsidRDefault="00043089" w:rsidP="0037784D">
      <w:pPr>
        <w:pStyle w:val="Point0"/>
        <w:rPr>
          <w:noProof/>
        </w:rPr>
      </w:pPr>
      <w:r>
        <w:rPr>
          <w:noProof/>
        </w:rPr>
        <w:t>(7)</w:t>
      </w:r>
      <w:r>
        <w:rPr>
          <w:noProof/>
        </w:rPr>
        <w:tab/>
      </w:r>
      <w:r w:rsidRPr="009E2049">
        <w:rPr>
          <w:noProof/>
        </w:rPr>
        <w:t>Državam članicam se priporoča, naj povečajo ponudbo socialnih in cenovno dostopnih stanovanj v odziv na demografske potrebe, lokalno pomanjkanje in teritorialne razlike, zlasti tako, da:</w:t>
      </w:r>
    </w:p>
    <w:p w14:paraId="46A8E39F" w14:textId="77777777" w:rsidR="00390B18" w:rsidRPr="009E2049" w:rsidRDefault="00F93BD7" w:rsidP="007A0D1E">
      <w:pPr>
        <w:pStyle w:val="Point1"/>
        <w:rPr>
          <w:noProof/>
        </w:rPr>
      </w:pPr>
      <w:r>
        <w:rPr>
          <w:noProof/>
        </w:rPr>
        <w:t>(a)</w:t>
      </w:r>
      <w:r>
        <w:rPr>
          <w:noProof/>
        </w:rPr>
        <w:tab/>
      </w:r>
      <w:r w:rsidRPr="009E2049">
        <w:rPr>
          <w:noProof/>
        </w:rPr>
        <w:t>spodbujajo pogoje dolgoročnega najema za zasebne najemodajalce in najemnike z:</w:t>
      </w:r>
    </w:p>
    <w:p w14:paraId="58312859" w14:textId="77777777" w:rsidR="00F81B97" w:rsidRPr="009E2049" w:rsidRDefault="00A6476D" w:rsidP="007A0D1E">
      <w:pPr>
        <w:pStyle w:val="Tiret2"/>
        <w:numPr>
          <w:ilvl w:val="0"/>
          <w:numId w:val="16"/>
        </w:numPr>
        <w:rPr>
          <w:noProof/>
        </w:rPr>
      </w:pPr>
      <w:r w:rsidRPr="009E2049">
        <w:rPr>
          <w:noProof/>
        </w:rPr>
        <w:t>zagotovitvijo pravnega okvira, ki olajšuje široko uporabo dolgoročnih najemnih pogodb,</w:t>
      </w:r>
    </w:p>
    <w:p w14:paraId="70E5B326" w14:textId="458B4ACA" w:rsidR="0064779E" w:rsidRPr="009E2049" w:rsidRDefault="00EE20B1" w:rsidP="00600F3F">
      <w:pPr>
        <w:pStyle w:val="Tiret2"/>
        <w:rPr>
          <w:noProof/>
        </w:rPr>
      </w:pPr>
      <w:r w:rsidRPr="009E2049">
        <w:rPr>
          <w:noProof/>
        </w:rPr>
        <w:t>omogočanjem, kadar je ustrezno, ciljne uporabe sorazmernih davčnih in finančnih spodbud za najemodajalce, da bi se ponudile dolgoročne stanovanjske rešitve, zlasti za družine in mlade,</w:t>
      </w:r>
    </w:p>
    <w:p w14:paraId="3716AA52" w14:textId="0CC81A09" w:rsidR="00DC1683" w:rsidRPr="009E2049" w:rsidRDefault="00F93BD7" w:rsidP="00600F3F">
      <w:pPr>
        <w:pStyle w:val="Tiret2"/>
        <w:rPr>
          <w:noProof/>
        </w:rPr>
      </w:pPr>
      <w:r w:rsidRPr="009E2049">
        <w:rPr>
          <w:noProof/>
        </w:rPr>
        <w:t>zmanjšanjem pravne negotovosti in skrajšanjem postopkov izselitve ter</w:t>
      </w:r>
    </w:p>
    <w:p w14:paraId="7B90ECD1" w14:textId="1B355E05" w:rsidR="00E94F3D" w:rsidRPr="009E2049" w:rsidRDefault="003F3B90" w:rsidP="00600F3F">
      <w:pPr>
        <w:pStyle w:val="Tiret2"/>
        <w:rPr>
          <w:noProof/>
        </w:rPr>
      </w:pPr>
      <w:r w:rsidRPr="009E2049">
        <w:rPr>
          <w:noProof/>
        </w:rPr>
        <w:t>uravnoteženjem fonda stanovanj za dolgoročni najem, ki se uporabljajo za namene kratkoročnega najema, kadar je to ustrezno utemeljeno s stanovanjsko krizo;</w:t>
      </w:r>
    </w:p>
    <w:p w14:paraId="01DA16C0" w14:textId="77777777" w:rsidR="00B847B6" w:rsidRPr="009E2049" w:rsidRDefault="00B847B6" w:rsidP="00B847B6">
      <w:pPr>
        <w:pStyle w:val="Point1"/>
        <w:rPr>
          <w:noProof/>
        </w:rPr>
      </w:pPr>
      <w:r>
        <w:rPr>
          <w:noProof/>
        </w:rPr>
        <w:t>(b)</w:t>
      </w:r>
      <w:r>
        <w:rPr>
          <w:noProof/>
        </w:rPr>
        <w:tab/>
      </w:r>
      <w:r w:rsidRPr="009E2049">
        <w:rPr>
          <w:noProof/>
        </w:rPr>
        <w:t xml:space="preserve">spodbujajo javne in zasebne naložbe v novogradnje, obnovo ali spremembo namembnosti obstoječih stavb, da se poveča fond socialnih in cenovno dostopnih stanovanj; </w:t>
      </w:r>
    </w:p>
    <w:p w14:paraId="26A76AF0" w14:textId="77777777" w:rsidR="00E94F3D" w:rsidRPr="009E2049" w:rsidRDefault="00043089" w:rsidP="00600F3F">
      <w:pPr>
        <w:pStyle w:val="Point1"/>
        <w:rPr>
          <w:noProof/>
        </w:rPr>
      </w:pPr>
      <w:r>
        <w:rPr>
          <w:noProof/>
        </w:rPr>
        <w:t>(c)</w:t>
      </w:r>
      <w:r>
        <w:rPr>
          <w:noProof/>
        </w:rPr>
        <w:tab/>
      </w:r>
      <w:r w:rsidRPr="009E2049">
        <w:rPr>
          <w:noProof/>
        </w:rPr>
        <w:t>omogočajo in podpirajo stanovanjske modele, usmerjene v cenovno dostopnost, vključno s socialnimi in javnimi stanovanji, stanovanjskimi zadrugami, omejeno profitnimi stanovanjskimi združenji, skupnostnimi zemljiškimi skladi in drugimi agencijami za oddajanje socialnih stanovanj ter drugimi omejeno profitnimi ali neprofitnimi pristopi;</w:t>
      </w:r>
    </w:p>
    <w:p w14:paraId="7FBE52F3" w14:textId="77777777" w:rsidR="00E94F3D" w:rsidRPr="009E2049" w:rsidRDefault="001D4D8D" w:rsidP="00600F3F">
      <w:pPr>
        <w:pStyle w:val="Point1"/>
        <w:rPr>
          <w:noProof/>
        </w:rPr>
      </w:pPr>
      <w:r>
        <w:rPr>
          <w:noProof/>
        </w:rPr>
        <w:t>(d)</w:t>
      </w:r>
      <w:r>
        <w:rPr>
          <w:noProof/>
        </w:rPr>
        <w:tab/>
      </w:r>
      <w:r w:rsidRPr="009E2049">
        <w:rPr>
          <w:noProof/>
        </w:rPr>
        <w:t xml:space="preserve">spodbujajo in razširjajo inovativne koncepte sobivanja, kot so skupni življenjski prostori, gručasta stanovanja, skupnostna stanovanja in medgeneracijske stanovanjske ureditve, po potrebi s skupno opremo in podpornimi storitvami, ter omogočajo začasne in prehodne stanovanjske modele za študente in mlade, na primer povezovanje študentov s stanovalci v premalo izkoriščenih stanovanjih; </w:t>
      </w:r>
    </w:p>
    <w:p w14:paraId="43813C59" w14:textId="77777777" w:rsidR="00E94F3D" w:rsidRPr="009E2049" w:rsidRDefault="00043089" w:rsidP="00600F3F">
      <w:pPr>
        <w:pStyle w:val="Point1"/>
        <w:rPr>
          <w:noProof/>
        </w:rPr>
      </w:pPr>
      <w:r>
        <w:rPr>
          <w:noProof/>
        </w:rPr>
        <w:t>(e)</w:t>
      </w:r>
      <w:r>
        <w:rPr>
          <w:noProof/>
        </w:rPr>
        <w:tab/>
      </w:r>
      <w:r w:rsidRPr="009E2049">
        <w:rPr>
          <w:noProof/>
        </w:rPr>
        <w:t>racionalizirajo nacionalne, regionalne in lokalne postopke načrtovanja in izdaje dovoljenj za hitrejšo gradnjo stanovanj, ob hkratnem prizadevanju za socialno vključevanje in prostorsko kohezijo, ter zmanjšajo upravne ovire, ki vplivajo na izvajalce gradbenih storitev, in po potrebi podprejo pravočasno dobavo novih socialnih in cenovno dostopnih stanovanj, tudi z uporabo in mobilizacijo javnih zemljišč, hkrati pa zagotovijo, da so dobro povezana z bistvenimi socialno-ekonomskimi storitvami in dejavnostmi;</w:t>
      </w:r>
    </w:p>
    <w:p w14:paraId="4FF4F6C7" w14:textId="77777777" w:rsidR="00E94F3D" w:rsidRPr="009E2049" w:rsidRDefault="009674BA" w:rsidP="00600F3F">
      <w:pPr>
        <w:pStyle w:val="Point1"/>
        <w:rPr>
          <w:noProof/>
        </w:rPr>
      </w:pPr>
      <w:r>
        <w:rPr>
          <w:noProof/>
        </w:rPr>
        <w:t>(f)</w:t>
      </w:r>
      <w:r>
        <w:rPr>
          <w:noProof/>
        </w:rPr>
        <w:tab/>
      </w:r>
      <w:r w:rsidRPr="009E2049">
        <w:rPr>
          <w:noProof/>
        </w:rPr>
        <w:t>povečajo učinkovito uporabo obstoječega stanovanjskega fonda, zlasti z olajševanjem spreminjanja namembnosti, prenove in ponovne uporabe obstoječih stavb ter mobilizacijo praznih stanovanj in javnih nepremičnin, pri tem pa karseda omejijo nepotrebna rušenja;</w:t>
      </w:r>
    </w:p>
    <w:p w14:paraId="03ABFEF9" w14:textId="700EE4AD" w:rsidR="00043089" w:rsidRPr="009E2049" w:rsidRDefault="00DE32F8" w:rsidP="00600F3F">
      <w:pPr>
        <w:pStyle w:val="Point1"/>
        <w:rPr>
          <w:noProof/>
        </w:rPr>
      </w:pPr>
      <w:r>
        <w:rPr>
          <w:noProof/>
        </w:rPr>
        <w:lastRenderedPageBreak/>
        <w:t>(g)</w:t>
      </w:r>
      <w:r>
        <w:rPr>
          <w:noProof/>
        </w:rPr>
        <w:tab/>
      </w:r>
      <w:r w:rsidRPr="009E2049">
        <w:rPr>
          <w:noProof/>
        </w:rPr>
        <w:t>izboljšajo razpoložljivost zatočišč in prehodnih nastanitev ter dostop do njih, dokler niso na voljo trajne stanovanjske rešitve;</w:t>
      </w:r>
    </w:p>
    <w:p w14:paraId="3369514C" w14:textId="42017680" w:rsidR="003F3B90" w:rsidRPr="009E2049" w:rsidRDefault="003F3B90" w:rsidP="003F3B90">
      <w:pPr>
        <w:pStyle w:val="Point1"/>
        <w:rPr>
          <w:noProof/>
        </w:rPr>
      </w:pPr>
      <w:r>
        <w:rPr>
          <w:noProof/>
        </w:rPr>
        <w:t>(h)</w:t>
      </w:r>
      <w:r>
        <w:rPr>
          <w:noProof/>
        </w:rPr>
        <w:tab/>
      </w:r>
      <w:r w:rsidRPr="009E2049">
        <w:rPr>
          <w:noProof/>
        </w:rPr>
        <w:t>določen delež novih stanovanjskih gradenj namenijo za socialna in cenovno dostopna stanovanja ob upoštevanju lokalnih stanovanjskih potreb.</w:t>
      </w:r>
    </w:p>
    <w:p w14:paraId="45C5F9DC" w14:textId="77777777" w:rsidR="00D57106" w:rsidRPr="009E2049" w:rsidRDefault="008C2A86" w:rsidP="0037784D">
      <w:pPr>
        <w:pStyle w:val="Point0"/>
        <w:rPr>
          <w:noProof/>
        </w:rPr>
      </w:pPr>
      <w:r>
        <w:rPr>
          <w:noProof/>
        </w:rPr>
        <w:t>(8)</w:t>
      </w:r>
      <w:r>
        <w:rPr>
          <w:noProof/>
        </w:rPr>
        <w:tab/>
      </w:r>
      <w:r w:rsidRPr="009E2049">
        <w:rPr>
          <w:noProof/>
        </w:rPr>
        <w:t>Za dopolnitev prizadevanj za povečanje ponudbe stanovanj se državam članicam priporoča, naj v nacionalnih strategijah vzpostavijo ustrezne, predvidljive in trajnostne okvire financiranja in naložb. Poleg tega se državam članicam priporoča, naj v celoti izkoristijo razpoložljiva sredstva in orodja EU, vključno s prihodnjo vseevropsko naložbeno platformo za cenovno dostopna in trajnostna stanovanja, ki je bila napovedana v evropskem načrtu za cenovno dostopna stanovanja</w:t>
      </w:r>
      <w:r w:rsidRPr="009E2049">
        <w:rPr>
          <w:rStyle w:val="FootnoteReference"/>
          <w:noProof/>
        </w:rPr>
        <w:footnoteReference w:id="35"/>
      </w:r>
      <w:r w:rsidRPr="009E2049">
        <w:rPr>
          <w:noProof/>
        </w:rPr>
        <w:t>. Ti ukrepi lahko prispevajo k optimizaciji uporabe nacionalnih virov in virov Unije ter povečanju dolgoročnih, vključujočih in cenovno dostopnih stanovanjskih rešitev, med drugim z:</w:t>
      </w:r>
    </w:p>
    <w:p w14:paraId="570F500D" w14:textId="43E4A248" w:rsidR="0016707F" w:rsidRPr="009E2049" w:rsidRDefault="00F60005" w:rsidP="001D62F0">
      <w:pPr>
        <w:pStyle w:val="Point1"/>
        <w:rPr>
          <w:noProof/>
        </w:rPr>
      </w:pPr>
      <w:r>
        <w:rPr>
          <w:noProof/>
        </w:rPr>
        <w:t>(a)</w:t>
      </w:r>
      <w:r>
        <w:rPr>
          <w:noProof/>
        </w:rPr>
        <w:tab/>
      </w:r>
      <w:r w:rsidRPr="009E2049">
        <w:rPr>
          <w:noProof/>
        </w:rPr>
        <w:t>usklajevanjem in koordinacijo virov med politikami na področju stanovanj, socialnega vključevanja, zaposlovanja, izobraževanja, zdravja, dolgotrajne oskrbe, regeneracije in prenove mest, da se povečata skladnost in učinek politik;</w:t>
      </w:r>
    </w:p>
    <w:p w14:paraId="017EE87B" w14:textId="38CBC656" w:rsidR="0016707F" w:rsidRPr="009E2049" w:rsidRDefault="0016707F" w:rsidP="001D62F0">
      <w:pPr>
        <w:pStyle w:val="Point1"/>
        <w:rPr>
          <w:noProof/>
        </w:rPr>
      </w:pPr>
      <w:r>
        <w:rPr>
          <w:noProof/>
        </w:rPr>
        <w:t>(b)</w:t>
      </w:r>
      <w:r>
        <w:rPr>
          <w:noProof/>
        </w:rPr>
        <w:tab/>
      </w:r>
      <w:r w:rsidRPr="009E2049">
        <w:rPr>
          <w:noProof/>
        </w:rPr>
        <w:t xml:space="preserve">zagotavljanjem, da javno podprti ukrepi po potrebi vključujejo jasne pogoje glede cenovne dostopnosti, dostopnosti, trajnostnosti in vključujočega dodeljevanja stanovanj ter povezave s storitvami v skupnosti; </w:t>
      </w:r>
    </w:p>
    <w:p w14:paraId="7CA95D6B" w14:textId="77777777" w:rsidR="00192F41" w:rsidRPr="009E2049" w:rsidRDefault="00F60005" w:rsidP="001D62F0">
      <w:pPr>
        <w:pStyle w:val="Point1"/>
        <w:rPr>
          <w:noProof/>
        </w:rPr>
      </w:pPr>
      <w:r>
        <w:rPr>
          <w:noProof/>
        </w:rPr>
        <w:t>(c)</w:t>
      </w:r>
      <w:r>
        <w:rPr>
          <w:noProof/>
        </w:rPr>
        <w:tab/>
      </w:r>
      <w:r w:rsidRPr="009E2049">
        <w:rPr>
          <w:noProof/>
        </w:rPr>
        <w:t xml:space="preserve">izvajanjem inovativnih modelov financiranja, kot so obnovljivi skladi, kombinirano financiranje in javna jamstva, da se podpre dolgoročna cenovna dostopnost ponudbe stanovanj ter mobilizira javni in zasebni kapital za cenovno dostopna in socialna stanovanja; </w:t>
      </w:r>
    </w:p>
    <w:p w14:paraId="0871CE8F" w14:textId="77777777" w:rsidR="00350FAC" w:rsidRPr="009E2049" w:rsidRDefault="00BE4FAC" w:rsidP="001D62F0">
      <w:pPr>
        <w:pStyle w:val="Point1"/>
        <w:rPr>
          <w:noProof/>
        </w:rPr>
      </w:pPr>
      <w:r>
        <w:rPr>
          <w:noProof/>
        </w:rPr>
        <w:t>(d)</w:t>
      </w:r>
      <w:r>
        <w:rPr>
          <w:noProof/>
        </w:rPr>
        <w:tab/>
      </w:r>
      <w:r w:rsidRPr="009E2049">
        <w:rPr>
          <w:noProof/>
        </w:rPr>
        <w:t xml:space="preserve">odvračanjem od špekulativnega ravnanja na stanovanjskem trgu, tudi z oblikovanjem učinkovitih davčnih politik in izboljšanjem preglednosti trga; </w:t>
      </w:r>
    </w:p>
    <w:p w14:paraId="110DE632" w14:textId="77777777" w:rsidR="0016707F" w:rsidRPr="009E2049" w:rsidRDefault="0016707F" w:rsidP="001D62F0">
      <w:pPr>
        <w:pStyle w:val="Point1"/>
        <w:rPr>
          <w:noProof/>
        </w:rPr>
      </w:pPr>
      <w:r>
        <w:rPr>
          <w:noProof/>
        </w:rPr>
        <w:t>(e)</w:t>
      </w:r>
      <w:r>
        <w:rPr>
          <w:noProof/>
        </w:rPr>
        <w:tab/>
      </w:r>
      <w:r w:rsidRPr="009E2049">
        <w:rPr>
          <w:noProof/>
        </w:rPr>
        <w:t>podpiranjem razvoja projektov in tehnične pomoči za lokalne in regionalne organe, organizacije socialnega gospodarstva ter ponudnike omejeno profitnih ali neprofitnih stanovanj;</w:t>
      </w:r>
    </w:p>
    <w:p w14:paraId="5D44C003" w14:textId="77777777" w:rsidR="0011352D" w:rsidRPr="009E2049" w:rsidRDefault="0011352D" w:rsidP="001D62F0">
      <w:pPr>
        <w:pStyle w:val="Point1"/>
        <w:rPr>
          <w:noProof/>
        </w:rPr>
      </w:pPr>
      <w:r>
        <w:rPr>
          <w:noProof/>
        </w:rPr>
        <w:t>(f)</w:t>
      </w:r>
      <w:r>
        <w:rPr>
          <w:noProof/>
        </w:rPr>
        <w:tab/>
      </w:r>
      <w:r w:rsidRPr="009E2049">
        <w:rPr>
          <w:noProof/>
        </w:rPr>
        <w:t>spodbujanjem javno-zasebnih partnerstev, tudi z lokalnimi organi, visokošolskimi ustanovami, delodajalci, ponudniki stanovanj in organizacijami socialnega gospodarstva, da se zagotovijo socialna in cenovno dostopna stanovanja, vključno s projekti študentskih stanovanj, stanovanj za pripravnike in stanovanj za mešano uporabo;</w:t>
      </w:r>
    </w:p>
    <w:p w14:paraId="3187279B" w14:textId="77777777" w:rsidR="000C7595" w:rsidRPr="009E2049" w:rsidRDefault="00A710BF" w:rsidP="00A710BF">
      <w:pPr>
        <w:pStyle w:val="Point1"/>
        <w:rPr>
          <w:noProof/>
        </w:rPr>
      </w:pPr>
      <w:r>
        <w:rPr>
          <w:noProof/>
        </w:rPr>
        <w:t>(g)</w:t>
      </w:r>
      <w:r>
        <w:rPr>
          <w:noProof/>
        </w:rPr>
        <w:tab/>
      </w:r>
      <w:r w:rsidRPr="009E2049">
        <w:rPr>
          <w:noProof/>
        </w:rPr>
        <w:t>povečanjem naložb v podporo gradnji in prenovi cenovno dostopnih in socialnih stanovanj, tudi z uporabo finančnih instrumentov in kombiniranega financiranja v okviru sedanje kohezijske politike, ob hkratnem izkoriščanju prožnosti, ki jo ponuja vmesni pregled te politike</w:t>
      </w:r>
      <w:r w:rsidRPr="009E2049">
        <w:rPr>
          <w:rStyle w:val="FootnoteReference"/>
          <w:noProof/>
        </w:rPr>
        <w:footnoteReference w:id="36"/>
      </w:r>
      <w:r w:rsidRPr="009E2049">
        <w:rPr>
          <w:noProof/>
        </w:rPr>
        <w:t xml:space="preserve">, za prerazporeditev sredstev EU za cenovno dostopna stanovanja, ter uporabo pregledanih pravil o državni </w:t>
      </w:r>
      <w:r w:rsidRPr="009E2049">
        <w:rPr>
          <w:noProof/>
        </w:rPr>
        <w:lastRenderedPageBreak/>
        <w:t>pomoči za storitve splošnega gospodarskega pomena</w:t>
      </w:r>
      <w:r w:rsidRPr="009E2049">
        <w:rPr>
          <w:rStyle w:val="FootnoteReference"/>
          <w:noProof/>
        </w:rPr>
        <w:footnoteReference w:id="37"/>
      </w:r>
      <w:r w:rsidRPr="009E2049">
        <w:rPr>
          <w:noProof/>
        </w:rPr>
        <w:t>, ki vsebujejo posebne kategorije za socialna in cenovno dostopna stanovanja.</w:t>
      </w:r>
    </w:p>
    <w:p w14:paraId="29072A18" w14:textId="77777777" w:rsidR="00E94F3D" w:rsidRPr="009E2049" w:rsidRDefault="006C01B9" w:rsidP="002A697C">
      <w:pPr>
        <w:pStyle w:val="Point0"/>
        <w:rPr>
          <w:noProof/>
        </w:rPr>
      </w:pPr>
      <w:r>
        <w:rPr>
          <w:noProof/>
        </w:rPr>
        <w:t>(9)</w:t>
      </w:r>
      <w:r>
        <w:rPr>
          <w:noProof/>
        </w:rPr>
        <w:tab/>
      </w:r>
      <w:r w:rsidRPr="009E2049">
        <w:rPr>
          <w:noProof/>
        </w:rPr>
        <w:t xml:space="preserve">Državam članicam se priporoča, naj ljudi, ki se soočajo s stanovanjsko izključenostjo, podprejo pri dostopu do stabilnega stanovanja in njegovem obdržanju, in sicer s: </w:t>
      </w:r>
    </w:p>
    <w:p w14:paraId="12E6AAD2" w14:textId="77777777" w:rsidR="00E94F3D" w:rsidRPr="009E2049" w:rsidRDefault="008448D9" w:rsidP="001D62F0">
      <w:pPr>
        <w:pStyle w:val="Point1"/>
        <w:rPr>
          <w:noProof/>
        </w:rPr>
      </w:pPr>
      <w:r>
        <w:rPr>
          <w:noProof/>
        </w:rPr>
        <w:t>(a)</w:t>
      </w:r>
      <w:r>
        <w:rPr>
          <w:noProof/>
        </w:rPr>
        <w:tab/>
      </w:r>
      <w:r w:rsidRPr="009E2049">
        <w:rPr>
          <w:noProof/>
        </w:rPr>
        <w:t>spodbujanjem dostopa do trajnih stanovanj v skladu s stanovanjsko usmerjenim pristopom, trajnim financiranjem in medsektorskim usklajevanjem ukrepov, vključno z dostopom do trga dela in drugih storitev;</w:t>
      </w:r>
    </w:p>
    <w:p w14:paraId="3633F46F" w14:textId="4D08FAB0" w:rsidR="00752CC3" w:rsidRPr="009E2049" w:rsidRDefault="008B1F84" w:rsidP="001D62F0">
      <w:pPr>
        <w:pStyle w:val="Point1"/>
        <w:rPr>
          <w:noProof/>
        </w:rPr>
      </w:pPr>
      <w:r>
        <w:rPr>
          <w:noProof/>
        </w:rPr>
        <w:t>(b)</w:t>
      </w:r>
      <w:r>
        <w:rPr>
          <w:noProof/>
        </w:rPr>
        <w:tab/>
      </w:r>
      <w:r w:rsidRPr="009E2049">
        <w:rPr>
          <w:noProof/>
        </w:rPr>
        <w:t>vzpostavitvijo primernih in ustreznih celostnih podpornih storitev, ki ne obravnavajo zgolj prehoda v primerno in varno stanovanje, temveč tudi njegovo obdržanje. Te storitve bi morale vključevati podporo pri iskanju stanovanja, izpopolnjevanje in preusposabljanje, podporo pri dostopu do zaposlitve in njeni ohranitvi, finančno in pravno pomoč, usposabljanje iz življenjskih veščin in nadaljnjo podporo, da se prepreči ponovna stanovanjska izključenost posameznikov;</w:t>
      </w:r>
    </w:p>
    <w:p w14:paraId="02351E5E" w14:textId="77777777" w:rsidR="00752CC3" w:rsidRPr="009E2049" w:rsidRDefault="00F964C7" w:rsidP="001D62F0">
      <w:pPr>
        <w:pStyle w:val="Point1"/>
        <w:rPr>
          <w:noProof/>
        </w:rPr>
      </w:pPr>
      <w:r>
        <w:rPr>
          <w:noProof/>
        </w:rPr>
        <w:t>(c)</w:t>
      </w:r>
      <w:r>
        <w:rPr>
          <w:noProof/>
        </w:rPr>
        <w:tab/>
      </w:r>
      <w:r w:rsidRPr="009E2049">
        <w:rPr>
          <w:noProof/>
        </w:rPr>
        <w:t>povečanjem razpoložljivosti primernih stanovanjskih rešitev za ljudi, ki se soočajo s stanovanjsko izključenostjo, zlasti starše z otroki, ter zagotovitvijo, da se upoštevajo in prednostno obravnavajo v mehanizmih dodeljevanja socialnih stanovanj;</w:t>
      </w:r>
    </w:p>
    <w:p w14:paraId="4ADAC008" w14:textId="4537B9D0" w:rsidR="00FD1DD0" w:rsidRPr="009E2049" w:rsidRDefault="005D5583" w:rsidP="001D62F0">
      <w:pPr>
        <w:pStyle w:val="Point1"/>
        <w:rPr>
          <w:noProof/>
        </w:rPr>
      </w:pPr>
      <w:r>
        <w:rPr>
          <w:noProof/>
        </w:rPr>
        <w:t>(d)</w:t>
      </w:r>
      <w:r>
        <w:rPr>
          <w:noProof/>
        </w:rPr>
        <w:tab/>
      </w:r>
      <w:r w:rsidRPr="009E2049">
        <w:rPr>
          <w:noProof/>
        </w:rPr>
        <w:t>zagotavljanjem ustrezne finančne podpore, kot so jamstva za najem, posojila z nizkimi obrestnimi merami in stanovanjski dodatki, skupaj z dostopnim svetovanjem o tem, kako pridobiti takšno podporo in potrebno finančno pismenost.</w:t>
      </w:r>
    </w:p>
    <w:p w14:paraId="4505E27A" w14:textId="77777777" w:rsidR="00C66376" w:rsidRPr="009E2049" w:rsidRDefault="0099240A" w:rsidP="001D62F0">
      <w:pPr>
        <w:pStyle w:val="Point0"/>
        <w:rPr>
          <w:noProof/>
        </w:rPr>
      </w:pPr>
      <w:r>
        <w:rPr>
          <w:noProof/>
        </w:rPr>
        <w:t>(10)</w:t>
      </w:r>
      <w:r>
        <w:rPr>
          <w:noProof/>
        </w:rPr>
        <w:tab/>
      </w:r>
      <w:r w:rsidRPr="009E2049">
        <w:rPr>
          <w:noProof/>
        </w:rPr>
        <w:t>Državam članicam se priporoča, naj izvajajo usmerjene ukrepe za podporo mladim z nizkimi dohodki, vključno s študenti, ki se soočajo s stanovanjsko izključenostjo, ki lahko ovira dostop do programov visokošolskega izobraževanja, poklicnega izobraževanja in usposabljanja, pripravništva ali vajeništva ter njihovo dokončanje. Ti ukrepi bi lahko vključevali:</w:t>
      </w:r>
    </w:p>
    <w:p w14:paraId="0DCE3E8F" w14:textId="663A1750" w:rsidR="00A07E37" w:rsidRPr="009E2049" w:rsidRDefault="0001514C" w:rsidP="001D62F0">
      <w:pPr>
        <w:pStyle w:val="Point1"/>
        <w:rPr>
          <w:noProof/>
        </w:rPr>
      </w:pPr>
      <w:r>
        <w:rPr>
          <w:noProof/>
        </w:rPr>
        <w:t>(a)</w:t>
      </w:r>
      <w:r>
        <w:rPr>
          <w:noProof/>
        </w:rPr>
        <w:tab/>
      </w:r>
      <w:r w:rsidRPr="009E2049">
        <w:rPr>
          <w:noProof/>
        </w:rPr>
        <w:t xml:space="preserve">vzpostavitev in uporabo učinkovitih mrež med storitvami socialnega varstva mladih in splošnimi storitvami socialnega varstva, da se mladim pomaga najti primerne stanovanjske rešitve glede na njihove družinske, izobraževalne in zaposlitvene potrebe; </w:t>
      </w:r>
    </w:p>
    <w:p w14:paraId="3C42BE6E" w14:textId="77777777" w:rsidR="006B753A" w:rsidRPr="009E2049" w:rsidRDefault="00BE68D5" w:rsidP="001D62F0">
      <w:pPr>
        <w:pStyle w:val="Point1"/>
        <w:rPr>
          <w:noProof/>
        </w:rPr>
      </w:pPr>
      <w:r>
        <w:rPr>
          <w:noProof/>
        </w:rPr>
        <w:t>(b)</w:t>
      </w:r>
      <w:r>
        <w:rPr>
          <w:noProof/>
        </w:rPr>
        <w:tab/>
      </w:r>
      <w:r w:rsidRPr="009E2049">
        <w:rPr>
          <w:noProof/>
        </w:rPr>
        <w:t>povečanje ponudbe cenovno dostopnih študentskih stanovanj v bližini ustanov za izobraževanje in usposabljanje, tudi za študente na študijskih izmenjavah ali delovni praksi v tujini;</w:t>
      </w:r>
    </w:p>
    <w:p w14:paraId="67904A90" w14:textId="77777777" w:rsidR="5EF9D2EA" w:rsidRPr="009E2049" w:rsidRDefault="0001514C" w:rsidP="001D62F0">
      <w:pPr>
        <w:pStyle w:val="Point1"/>
        <w:rPr>
          <w:noProof/>
        </w:rPr>
      </w:pPr>
      <w:r>
        <w:rPr>
          <w:noProof/>
        </w:rPr>
        <w:t>(c)</w:t>
      </w:r>
      <w:r>
        <w:rPr>
          <w:noProof/>
        </w:rPr>
        <w:tab/>
      </w:r>
      <w:r w:rsidRPr="009E2049">
        <w:rPr>
          <w:noProof/>
        </w:rPr>
        <w:t xml:space="preserve">nudenje dostopnega svetovanja in praktične podpore za svetovanje in pomoč posameznikom glede najemnih pravic in upravnih postopkov, tudi prek svetovalnih centrov v izobraževalnih ustanovah; </w:t>
      </w:r>
    </w:p>
    <w:p w14:paraId="258976E4" w14:textId="77777777" w:rsidR="007A38D4" w:rsidRPr="009E2049" w:rsidRDefault="008154CB" w:rsidP="001D62F0">
      <w:pPr>
        <w:pStyle w:val="Point1"/>
        <w:rPr>
          <w:noProof/>
        </w:rPr>
      </w:pPr>
      <w:r>
        <w:rPr>
          <w:noProof/>
        </w:rPr>
        <w:t>(d)</w:t>
      </w:r>
      <w:r>
        <w:rPr>
          <w:noProof/>
        </w:rPr>
        <w:tab/>
      </w:r>
      <w:r w:rsidRPr="009E2049">
        <w:rPr>
          <w:noProof/>
        </w:rPr>
        <w:t>nudenje davčnih spodbud ali posojil z nizkimi obrestnimi merami, da se študentom in mladim z omejenimi finančnimi sredstvi pomaga do stanovanj.</w:t>
      </w:r>
    </w:p>
    <w:p w14:paraId="25A2D6FB" w14:textId="77777777" w:rsidR="00A84E1F" w:rsidRPr="009E2049" w:rsidRDefault="0051742C" w:rsidP="001D62F0">
      <w:pPr>
        <w:pStyle w:val="Point0"/>
        <w:rPr>
          <w:noProof/>
        </w:rPr>
      </w:pPr>
      <w:r>
        <w:rPr>
          <w:noProof/>
        </w:rPr>
        <w:t>(11)</w:t>
      </w:r>
      <w:r>
        <w:rPr>
          <w:noProof/>
        </w:rPr>
        <w:tab/>
      </w:r>
      <w:r w:rsidRPr="009E2049">
        <w:rPr>
          <w:noProof/>
        </w:rPr>
        <w:t xml:space="preserve">Državam članicam se priporoča, naj v nacionalnih strateških okvirih na posameznika osredotočene politike združijo z lokalnimi politikami (kot so urbanistično </w:t>
      </w:r>
      <w:r w:rsidRPr="009E2049">
        <w:rPr>
          <w:noProof/>
        </w:rPr>
        <w:lastRenderedPageBreak/>
        <w:t xml:space="preserve">načrtovanje, regeneracija mest, lokalni gospodarski razvoj in prometne politike), da bi preprečile neskladja med zaposlitvenimi možnostmi in cenovno dostopnimi stanovanji, zlasti na območjih, na katerih so nezasedena delovna mesta. </w:t>
      </w:r>
    </w:p>
    <w:p w14:paraId="731E1FF7" w14:textId="77777777" w:rsidR="00A84E1F" w:rsidRPr="009E2049" w:rsidRDefault="00A84E1F" w:rsidP="001D62F0">
      <w:pPr>
        <w:pStyle w:val="Point0"/>
        <w:rPr>
          <w:noProof/>
        </w:rPr>
      </w:pPr>
      <w:r>
        <w:rPr>
          <w:noProof/>
        </w:rPr>
        <w:t>(12)</w:t>
      </w:r>
      <w:r>
        <w:rPr>
          <w:noProof/>
        </w:rPr>
        <w:tab/>
      </w:r>
      <w:r w:rsidRPr="009E2049">
        <w:rPr>
          <w:noProof/>
        </w:rPr>
        <w:t>Državam članicam se priporoča, naj sprejmejo ukrepe za podporo prilagoditvam stanovanj za invalide in/ali starejše, ki potrebujejo dolgotrajno oskrbo, zlasti tiste, ki so izpostavljeni tveganju revščine. To bi jim moralo omogočiti, da čim dlje živijo v svojih domovih in ne izkusijo stanovanjske izključenosti. Ti ukrepi bi morali biti zasnovani tako, da se prepreči nesorazmerno breme za gradnjo in prenovo.</w:t>
      </w:r>
    </w:p>
    <w:p w14:paraId="65BD3D31" w14:textId="77777777" w:rsidR="008D7050" w:rsidRPr="009E2049" w:rsidRDefault="00397957" w:rsidP="00AC509C">
      <w:pPr>
        <w:spacing w:before="240" w:after="160"/>
        <w:ind w:left="720" w:hanging="720"/>
        <w:rPr>
          <w:noProof/>
        </w:rPr>
      </w:pPr>
      <w:r w:rsidRPr="009E2049">
        <w:rPr>
          <w:noProof/>
        </w:rPr>
        <w:t xml:space="preserve">SPREMLJANJE, OCENJEVANJE IN UPRAVLJANJE </w:t>
      </w:r>
      <w:r w:rsidRPr="009E2049">
        <w:rPr>
          <w:noProof/>
        </w:rPr>
        <w:tab/>
        <w:t xml:space="preserve"> </w:t>
      </w:r>
    </w:p>
    <w:p w14:paraId="27E16163" w14:textId="77777777" w:rsidR="00C0191B" w:rsidRPr="009E2049" w:rsidRDefault="006A74A8" w:rsidP="001D62F0">
      <w:pPr>
        <w:pStyle w:val="Point0"/>
        <w:rPr>
          <w:noProof/>
        </w:rPr>
      </w:pPr>
      <w:r>
        <w:rPr>
          <w:noProof/>
        </w:rPr>
        <w:t>(13)</w:t>
      </w:r>
      <w:r>
        <w:rPr>
          <w:noProof/>
        </w:rPr>
        <w:tab/>
      </w:r>
      <w:r w:rsidRPr="009E2049">
        <w:rPr>
          <w:noProof/>
        </w:rPr>
        <w:t xml:space="preserve">Državam članicam se priporoča, naj: </w:t>
      </w:r>
      <w:r w:rsidRPr="009E2049">
        <w:rPr>
          <w:noProof/>
        </w:rPr>
        <w:tab/>
      </w:r>
    </w:p>
    <w:p w14:paraId="0C61CB9D" w14:textId="77777777" w:rsidR="002A4C4C" w:rsidRPr="009E2049" w:rsidRDefault="00996482" w:rsidP="007A0D1E">
      <w:pPr>
        <w:pStyle w:val="Point1"/>
        <w:rPr>
          <w:noProof/>
        </w:rPr>
      </w:pPr>
      <w:r>
        <w:rPr>
          <w:noProof/>
        </w:rPr>
        <w:t>(a)</w:t>
      </w:r>
      <w:r>
        <w:rPr>
          <w:noProof/>
        </w:rPr>
        <w:tab/>
      </w:r>
      <w:r w:rsidRPr="009E2049">
        <w:rPr>
          <w:noProof/>
        </w:rPr>
        <w:t>vzpostavijo usmerjene mehanizme spremljanja in ocenjevanja, ki temeljijo na kazalnikih rezultatov, za ocenjevanje učinkovitosti strategij za boj proti stanovanjski izključenosti in brezdomstvu ter po potrebi prilagoditev politik, ne da bi povečale upravno breme;</w:t>
      </w:r>
    </w:p>
    <w:p w14:paraId="1ECD05CD" w14:textId="77777777" w:rsidR="00036415" w:rsidRPr="009E2049" w:rsidRDefault="00A85832" w:rsidP="007A0D1E">
      <w:pPr>
        <w:pStyle w:val="Point1"/>
        <w:rPr>
          <w:noProof/>
        </w:rPr>
      </w:pPr>
      <w:r>
        <w:rPr>
          <w:noProof/>
        </w:rPr>
        <w:t>(b)</w:t>
      </w:r>
      <w:r>
        <w:rPr>
          <w:noProof/>
        </w:rPr>
        <w:tab/>
      </w:r>
      <w:r w:rsidRPr="009E2049">
        <w:rPr>
          <w:noProof/>
        </w:rPr>
        <w:t>Komisiji vsakih pet let poročajo o rezultatih svojih nacionalnih dejavnosti spremljanja in napredku pri izvajanju tega priporočila;</w:t>
      </w:r>
    </w:p>
    <w:p w14:paraId="3A64530E" w14:textId="77777777" w:rsidR="00262C69" w:rsidRPr="009E2049" w:rsidRDefault="00FA6494" w:rsidP="007A0D1E">
      <w:pPr>
        <w:pStyle w:val="Point1"/>
        <w:rPr>
          <w:noProof/>
        </w:rPr>
      </w:pPr>
      <w:r>
        <w:rPr>
          <w:noProof/>
        </w:rPr>
        <w:t>(c)</w:t>
      </w:r>
      <w:r>
        <w:rPr>
          <w:noProof/>
        </w:rPr>
        <w:tab/>
      </w:r>
      <w:r w:rsidRPr="009E2049">
        <w:rPr>
          <w:noProof/>
        </w:rPr>
        <w:t xml:space="preserve">poskrbijo za učinkovito upravljanje in usklajevanje na več ravneh med nacionalnimi, regionalnimi in lokalnimi organi ter sodelovanje z relevantnimi deležniki, vključno z univerzami, izvajalci poklicnega izobraževanja in usposabljanja, lokalnimi delodajalci, civilno družbo, organizacijami socialnega gospodarstva in ponudniki stanovanj; </w:t>
      </w:r>
    </w:p>
    <w:p w14:paraId="35D301CD" w14:textId="77777777" w:rsidR="001E776B" w:rsidRPr="009E2049" w:rsidRDefault="005D1F00" w:rsidP="007A0D1E">
      <w:pPr>
        <w:pStyle w:val="Point1"/>
        <w:rPr>
          <w:noProof/>
        </w:rPr>
      </w:pPr>
      <w:r>
        <w:rPr>
          <w:noProof/>
        </w:rPr>
        <w:t>(d)</w:t>
      </w:r>
      <w:r>
        <w:rPr>
          <w:noProof/>
        </w:rPr>
        <w:tab/>
      </w:r>
      <w:r w:rsidRPr="009E2049">
        <w:rPr>
          <w:noProof/>
        </w:rPr>
        <w:t xml:space="preserve">poenostavijo pravne in upravne okvire za zmanjšanje upravnega bremena ter zagotovitev pravočasnega in poenostavljenega dostopa do stanovanj ter povezanih socialnih, zdravstvenih, izobraževalnih in zaposlitvenih storitev ter podpornih storitev v skupnosti; </w:t>
      </w:r>
    </w:p>
    <w:p w14:paraId="7AF8D469" w14:textId="5D9D532B" w:rsidR="001A14DB" w:rsidRPr="009E2049" w:rsidRDefault="005D1F00" w:rsidP="007A0D1E">
      <w:pPr>
        <w:pStyle w:val="Point1"/>
        <w:rPr>
          <w:noProof/>
        </w:rPr>
      </w:pPr>
      <w:r>
        <w:rPr>
          <w:noProof/>
        </w:rPr>
        <w:t>(e)</w:t>
      </w:r>
      <w:r>
        <w:rPr>
          <w:noProof/>
        </w:rPr>
        <w:tab/>
      </w:r>
      <w:r w:rsidRPr="009E2049">
        <w:rPr>
          <w:noProof/>
        </w:rPr>
        <w:t xml:space="preserve">okrepijo zmogljivost in kakovost storitev, namenjenih podpori ljudem, ki se soočajo s stanovanjsko izključenostjo, med drugim z usposabljanjem, jasno dodelitvijo odgovornosti in ustreznimi viri za osebje, ki izvaja te storitve; </w:t>
      </w:r>
    </w:p>
    <w:p w14:paraId="36F9B02A" w14:textId="77777777" w:rsidR="00E43826" w:rsidRPr="009E2049" w:rsidRDefault="00B0288F" w:rsidP="007A0D1E">
      <w:pPr>
        <w:pStyle w:val="Point1"/>
        <w:rPr>
          <w:noProof/>
        </w:rPr>
      </w:pPr>
      <w:r>
        <w:rPr>
          <w:noProof/>
        </w:rPr>
        <w:t>(f)</w:t>
      </w:r>
      <w:r>
        <w:rPr>
          <w:noProof/>
        </w:rPr>
        <w:tab/>
      </w:r>
      <w:r w:rsidRPr="009E2049">
        <w:rPr>
          <w:noProof/>
        </w:rPr>
        <w:t xml:space="preserve">zagotovijo, da pri zasnovi, izvajanju in ocenjevanju politik za preprečevanje in zmanjšanje stanovanjske izključenosti in brezdomstva smiselno sodelujejo osebe z izkušnjo stanovanjske izključenosti in brezdomstva, organizacije civilne družbe, zlasti na lokalni ravni, in organizacije socialnega gospodarstva, vključno z bankami hrane; </w:t>
      </w:r>
    </w:p>
    <w:p w14:paraId="23E80404" w14:textId="77777777" w:rsidR="00701068" w:rsidRPr="009E2049" w:rsidRDefault="00000AF8" w:rsidP="007A0D1E">
      <w:pPr>
        <w:pStyle w:val="Point1"/>
        <w:rPr>
          <w:noProof/>
        </w:rPr>
      </w:pPr>
      <w:r>
        <w:rPr>
          <w:noProof/>
        </w:rPr>
        <w:t>(g)</w:t>
      </w:r>
      <w:r>
        <w:rPr>
          <w:noProof/>
        </w:rPr>
        <w:tab/>
      </w:r>
      <w:r w:rsidRPr="009E2049">
        <w:rPr>
          <w:noProof/>
        </w:rPr>
        <w:t xml:space="preserve">dejavno prispevajo k evropski platformi za boj proti brezdomstvu kot ključnemu forumu za usklajevanje, izmenjavo in sodelovanje med deležniki, zlasti z izmenjavo znanja, zbiranjem dokazov in olajševanjem dostopa do financiranja, v tesni sinergiji z delovnimi področji evropske stanovanjske zveze; </w:t>
      </w:r>
    </w:p>
    <w:p w14:paraId="16EECF3E" w14:textId="77777777" w:rsidR="00952544" w:rsidRPr="009E2049" w:rsidRDefault="001E5824" w:rsidP="007A0D1E">
      <w:pPr>
        <w:pStyle w:val="Point1"/>
        <w:rPr>
          <w:noProof/>
        </w:rPr>
      </w:pPr>
      <w:r>
        <w:rPr>
          <w:noProof/>
        </w:rPr>
        <w:t>(h)</w:t>
      </w:r>
      <w:r>
        <w:rPr>
          <w:noProof/>
        </w:rPr>
        <w:tab/>
      </w:r>
      <w:r w:rsidRPr="009E2049">
        <w:rPr>
          <w:noProof/>
        </w:rPr>
        <w:t>še naprej sodelujejo z drugimi državami članicami ter zasebnimi in javnimi deležniki na različnih regionalnih ravneh za podporo izmenjavi znanja, spodbujanje vzajemnega učenja, zagotavljanje doslednega izvajanja storitev, izmenjavo najboljših praks ter učinkovito zasnovo in izvajanje politik na področju stanovanjske izključenosti;</w:t>
      </w:r>
    </w:p>
    <w:p w14:paraId="6291436E" w14:textId="77777777" w:rsidR="008A2BBE" w:rsidRPr="009E2049" w:rsidRDefault="00796E11" w:rsidP="007A0D1E">
      <w:pPr>
        <w:pStyle w:val="Point1"/>
        <w:rPr>
          <w:noProof/>
        </w:rPr>
      </w:pPr>
      <w:r>
        <w:rPr>
          <w:noProof/>
        </w:rPr>
        <w:t>(i)</w:t>
      </w:r>
      <w:r>
        <w:rPr>
          <w:noProof/>
        </w:rPr>
        <w:tab/>
      </w:r>
      <w:r w:rsidRPr="009E2049">
        <w:rPr>
          <w:noProof/>
        </w:rPr>
        <w:t xml:space="preserve">okrepijo sodelovanje s svetovalnima organoma EU (Odborom regij in Evropskim ekonomsko-socialnim odborom) za izboljšanje vzajemnega učenja, </w:t>
      </w:r>
      <w:r w:rsidRPr="009E2049">
        <w:rPr>
          <w:noProof/>
        </w:rPr>
        <w:lastRenderedPageBreak/>
        <w:t xml:space="preserve">medsebojnih strokovnih pregledov in sinergij politik v zvezi s stanovanjsko izključenostjo; </w:t>
      </w:r>
    </w:p>
    <w:p w14:paraId="79D4BEDB" w14:textId="77777777" w:rsidR="004723B1" w:rsidRPr="009E2049" w:rsidRDefault="00A42B4B" w:rsidP="007A0D1E">
      <w:pPr>
        <w:pStyle w:val="Point1"/>
        <w:rPr>
          <w:noProof/>
        </w:rPr>
      </w:pPr>
      <w:r>
        <w:rPr>
          <w:noProof/>
        </w:rPr>
        <w:t>(j)</w:t>
      </w:r>
      <w:r>
        <w:rPr>
          <w:noProof/>
        </w:rPr>
        <w:tab/>
      </w:r>
      <w:r w:rsidRPr="009E2049">
        <w:rPr>
          <w:noProof/>
        </w:rPr>
        <w:t>spodbujajo vključevanje socialnih partnerjev in organizacij civilne družbe, ki imajo ključno vlogo v boju proti stanovanjski izključenosti, da bi politike EU odražale dejansko stanje na terenu, tudi z vključevanjem ljudi z izkušnjo stanovanjske izključenosti.</w:t>
      </w:r>
    </w:p>
    <w:p w14:paraId="71AAC6F9" w14:textId="77777777" w:rsidR="00C80E8D" w:rsidRPr="009E2049" w:rsidRDefault="00C80E8D" w:rsidP="00600F3F">
      <w:pPr>
        <w:rPr>
          <w:noProof/>
        </w:rPr>
      </w:pPr>
    </w:p>
    <w:p w14:paraId="3FA0428E" w14:textId="457DA482" w:rsidR="00C578AE" w:rsidRPr="009E2049" w:rsidRDefault="00F974AF" w:rsidP="00EC3DD2">
      <w:pPr>
        <w:pStyle w:val="Fait"/>
        <w:rPr>
          <w:noProof/>
        </w:rPr>
      </w:pPr>
      <w:r>
        <w:rPr>
          <w:noProof/>
        </w:rPr>
        <w:t>V Bruslju,</w:t>
      </w:r>
    </w:p>
    <w:p w14:paraId="0226246C" w14:textId="77777777" w:rsidR="00C578AE" w:rsidRPr="009E2049" w:rsidRDefault="00C578AE" w:rsidP="00EC3DD2">
      <w:pPr>
        <w:pStyle w:val="Institutionquisigne"/>
        <w:rPr>
          <w:noProof/>
        </w:rPr>
      </w:pPr>
      <w:r w:rsidRPr="009E2049">
        <w:rPr>
          <w:noProof/>
        </w:rPr>
        <w:tab/>
        <w:t>Za Svet</w:t>
      </w:r>
    </w:p>
    <w:p w14:paraId="0C4FE6C1" w14:textId="77777777" w:rsidR="00FE2376" w:rsidRPr="009E2049" w:rsidRDefault="00C578AE" w:rsidP="00B23038">
      <w:pPr>
        <w:pStyle w:val="Personnequisigne"/>
        <w:rPr>
          <w:noProof/>
        </w:rPr>
      </w:pPr>
      <w:r w:rsidRPr="009E2049">
        <w:rPr>
          <w:noProof/>
        </w:rPr>
        <w:tab/>
        <w:t>predsednik/predsednica</w:t>
      </w:r>
    </w:p>
    <w:sectPr w:rsidR="00FE2376" w:rsidRPr="009E2049" w:rsidSect="00A8553A">
      <w:headerReference w:type="even" r:id="rId12"/>
      <w:footerReference w:type="even" r:id="rId13"/>
      <w:footerReference w:type="default" r:id="rId14"/>
      <w:headerReference w:type="first" r:id="rId15"/>
      <w:footerReference w:type="first" r:id="rId16"/>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6A266" w14:textId="77777777" w:rsidR="00066DF5" w:rsidRDefault="00066DF5" w:rsidP="00C578AE">
      <w:pPr>
        <w:spacing w:before="0" w:after="0"/>
      </w:pPr>
      <w:r>
        <w:separator/>
      </w:r>
    </w:p>
  </w:endnote>
  <w:endnote w:type="continuationSeparator" w:id="0">
    <w:p w14:paraId="5CF175CA" w14:textId="77777777" w:rsidR="00066DF5" w:rsidRDefault="00066DF5" w:rsidP="00C578A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8DF0B" w14:textId="77177AE1" w:rsidR="00A8553A" w:rsidRPr="00A8553A" w:rsidRDefault="00A8553A" w:rsidP="00A8553A">
    <w:pPr>
      <w:pStyle w:val="Footer"/>
      <w:rPr>
        <w:rFonts w:ascii="Arial" w:hAnsi="Arial" w:cs="Arial"/>
        <w:b/>
        <w:sz w:val="48"/>
      </w:rPr>
    </w:pPr>
    <w:r w:rsidRPr="00A8553A">
      <w:rPr>
        <w:rFonts w:ascii="Arial" w:hAnsi="Arial" w:cs="Arial"/>
        <w:b/>
        <w:sz w:val="48"/>
      </w:rPr>
      <w:t>SL</w:t>
    </w:r>
    <w:r w:rsidRPr="00A8553A">
      <w:rPr>
        <w:rFonts w:ascii="Arial" w:hAnsi="Arial" w:cs="Arial"/>
        <w:b/>
        <w:sz w:val="48"/>
      </w:rPr>
      <w:tab/>
    </w:r>
    <w:r w:rsidRPr="00A8553A">
      <w:rPr>
        <w:rFonts w:ascii="Arial" w:hAnsi="Arial" w:cs="Arial"/>
        <w:b/>
        <w:sz w:val="48"/>
      </w:rPr>
      <w:tab/>
    </w:r>
    <w:r w:rsidRPr="00A8553A">
      <w:tab/>
    </w:r>
    <w:r w:rsidRPr="00A8553A">
      <w:rPr>
        <w:rFonts w:ascii="Arial" w:hAnsi="Arial" w:cs="Arial"/>
        <w:b/>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C7DCD" w14:textId="51CECE31" w:rsidR="00A8553A" w:rsidRPr="00A8553A" w:rsidRDefault="00A8553A" w:rsidP="00A8553A">
    <w:pPr>
      <w:pStyle w:val="Footer"/>
      <w:rPr>
        <w:rFonts w:ascii="Arial" w:hAnsi="Arial" w:cs="Arial"/>
        <w:b/>
        <w:sz w:val="48"/>
      </w:rPr>
    </w:pPr>
    <w:r w:rsidRPr="00A8553A">
      <w:rPr>
        <w:rFonts w:ascii="Arial" w:hAnsi="Arial" w:cs="Arial"/>
        <w:b/>
        <w:sz w:val="48"/>
      </w:rPr>
      <w:t>SL</w:t>
    </w:r>
    <w:r w:rsidRPr="00A8553A">
      <w:rPr>
        <w:rFonts w:ascii="Arial" w:hAnsi="Arial" w:cs="Arial"/>
        <w:b/>
        <w:sz w:val="48"/>
      </w:rPr>
      <w:tab/>
    </w:r>
    <w:r w:rsidRPr="00A8553A">
      <w:rPr>
        <w:rFonts w:ascii="Arial" w:hAnsi="Arial" w:cs="Arial"/>
        <w:b/>
        <w:sz w:val="48"/>
      </w:rPr>
      <w:tab/>
    </w:r>
    <w:r w:rsidRPr="00A8553A">
      <w:tab/>
    </w:r>
    <w:r w:rsidRPr="00A8553A">
      <w:rPr>
        <w:rFonts w:ascii="Arial" w:hAnsi="Arial" w:cs="Arial"/>
        <w:b/>
        <w:sz w:val="48"/>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024EB" w14:textId="77777777" w:rsidR="00A8553A" w:rsidRDefault="00A8553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B9FFC0" w14:textId="2D1FB836" w:rsidR="00A8553A" w:rsidRPr="00A8553A" w:rsidRDefault="00A8553A" w:rsidP="00A8553A">
    <w:pPr>
      <w:pStyle w:val="Footer"/>
      <w:rPr>
        <w:rFonts w:ascii="Arial" w:hAnsi="Arial" w:cs="Arial"/>
        <w:b/>
        <w:sz w:val="48"/>
      </w:rPr>
    </w:pPr>
    <w:r w:rsidRPr="00A8553A">
      <w:rPr>
        <w:rFonts w:ascii="Arial" w:hAnsi="Arial" w:cs="Arial"/>
        <w:b/>
        <w:sz w:val="48"/>
      </w:rPr>
      <w:t>SL</w:t>
    </w:r>
    <w:r w:rsidRPr="00A8553A">
      <w:rPr>
        <w:rFonts w:ascii="Arial" w:hAnsi="Arial" w:cs="Arial"/>
        <w:b/>
        <w:sz w:val="48"/>
      </w:rPr>
      <w:tab/>
    </w:r>
    <w:r>
      <w:fldChar w:fldCharType="begin"/>
    </w:r>
    <w:r>
      <w:instrText xml:space="preserve"> PAGE  \* MERGEFORMAT </w:instrText>
    </w:r>
    <w:r>
      <w:fldChar w:fldCharType="separate"/>
    </w:r>
    <w:r w:rsidR="00EC3DD2">
      <w:rPr>
        <w:noProof/>
      </w:rPr>
      <w:t>30</w:t>
    </w:r>
    <w:r>
      <w:fldChar w:fldCharType="end"/>
    </w:r>
    <w:r>
      <w:tab/>
    </w:r>
    <w:r w:rsidRPr="00A8553A">
      <w:tab/>
    </w:r>
    <w:r w:rsidRPr="00A8553A">
      <w:rPr>
        <w:rFonts w:ascii="Arial" w:hAnsi="Arial" w:cs="Arial"/>
        <w:b/>
        <w:sz w:val="48"/>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1F175" w14:textId="77777777" w:rsidR="00A8553A" w:rsidRDefault="00A8553A" w:rsidP="00A855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BE7DD" w14:textId="77777777" w:rsidR="00066DF5" w:rsidRDefault="00066DF5" w:rsidP="00C578AE">
      <w:pPr>
        <w:spacing w:before="0" w:after="0"/>
      </w:pPr>
      <w:r>
        <w:separator/>
      </w:r>
    </w:p>
  </w:footnote>
  <w:footnote w:type="continuationSeparator" w:id="0">
    <w:p w14:paraId="376906E8" w14:textId="77777777" w:rsidR="00066DF5" w:rsidRDefault="00066DF5" w:rsidP="00C578AE">
      <w:pPr>
        <w:spacing w:before="0" w:after="0"/>
      </w:pPr>
      <w:r>
        <w:continuationSeparator/>
      </w:r>
    </w:p>
  </w:footnote>
  <w:footnote w:id="1">
    <w:p w14:paraId="5CAE49DF" w14:textId="7ECCD8DB" w:rsidR="003F718C" w:rsidRPr="00186275" w:rsidRDefault="003F718C" w:rsidP="00ED7527">
      <w:pPr>
        <w:pStyle w:val="FootnoteText"/>
        <w:ind w:left="142" w:hanging="142"/>
      </w:pPr>
      <w:r w:rsidRPr="00186275">
        <w:rPr>
          <w:rStyle w:val="FootnoteReference"/>
        </w:rPr>
        <w:footnoteRef/>
      </w:r>
      <w:r w:rsidRPr="00186275">
        <w:tab/>
        <w:t xml:space="preserve">Standardi kakovosti za stanovanja določajo minimalne zahteve, ki jih mora izpolnjevati stanovanje, da se šteje za primerno za bivanje, varno in skladno s pravnimi zahtevami. V skladu s temi standardi, ki se pogosto izvršujejo z lokalnimi stanovanjskimi predpisi, morajo biti stanovanja konstrukcijsko stabilna ter zagotavljati ustrezne sanitarne pogoje in požarno varnost. Pravna varnost se nanaša na varnost stanovanjskega razmerja. </w:t>
      </w:r>
    </w:p>
  </w:footnote>
  <w:footnote w:id="2">
    <w:p w14:paraId="2554E3C7" w14:textId="778C832B" w:rsidR="00CB6B20" w:rsidRPr="00186275" w:rsidRDefault="00CB6B20" w:rsidP="00AD7C37">
      <w:pPr>
        <w:spacing w:before="0" w:after="0"/>
        <w:ind w:left="142" w:hanging="142"/>
        <w:rPr>
          <w:sz w:val="20"/>
          <w:szCs w:val="20"/>
        </w:rPr>
      </w:pPr>
      <w:r w:rsidRPr="00327442">
        <w:rPr>
          <w:rStyle w:val="FootnoteReference"/>
        </w:rPr>
        <w:footnoteRef/>
      </w:r>
      <w:r w:rsidRPr="00186275">
        <w:tab/>
      </w:r>
      <w:r w:rsidRPr="00186275">
        <w:rPr>
          <w:sz w:val="20"/>
        </w:rPr>
        <w:t xml:space="preserve">Ti kategoriji sta del klasifikacije „ETHOS“, evropske tipologije brezdomstva in stanovanjske izključenosti. Klasifikacija ETHOS je bila razvita kot okvir za boljše razumevanje in merjenje brezdomstva v Evropi ter za zagotovitev skupnega „jezika“ za transnacionalne izmenjave o brezdomstvu. Vključuje vse življenjske situacije, ki pomenijo oblike brezdomstva in stanovanjske izključenosti. </w:t>
      </w:r>
    </w:p>
  </w:footnote>
  <w:footnote w:id="3">
    <w:p w14:paraId="44B3151F" w14:textId="2F09DCF6" w:rsidR="006D1C2D" w:rsidRPr="00186275" w:rsidRDefault="006D1C2D" w:rsidP="00AA7C7F">
      <w:pPr>
        <w:pStyle w:val="FootnoteText"/>
        <w:ind w:left="142" w:hanging="142"/>
      </w:pPr>
      <w:r w:rsidRPr="00186275">
        <w:rPr>
          <w:rStyle w:val="FootnoteReference"/>
        </w:rPr>
        <w:footnoteRef/>
      </w:r>
      <w:r w:rsidRPr="00186275">
        <w:tab/>
      </w:r>
      <w:hyperlink r:id="rId1" w:history="1">
        <w:r w:rsidRPr="00186275">
          <w:rPr>
            <w:rStyle w:val="Hyperlink"/>
          </w:rPr>
          <w:t>Podatkovna zbirka OECD o cenovno dostopnih stanovanjih |</w:t>
        </w:r>
      </w:hyperlink>
      <w:hyperlink r:id="rId2" w:history="1">
        <w:r w:rsidRPr="00186275">
          <w:rPr>
            <w:rStyle w:val="Hyperlink"/>
          </w:rPr>
          <w:t xml:space="preserve"> OECD</w:t>
        </w:r>
      </w:hyperlink>
      <w:r w:rsidRPr="00186275">
        <w:t>.</w:t>
      </w:r>
    </w:p>
  </w:footnote>
  <w:footnote w:id="4">
    <w:p w14:paraId="253E1936" w14:textId="36FF3F5C" w:rsidR="00FE3E15" w:rsidRPr="00186275" w:rsidRDefault="00FE3E15" w:rsidP="00401D75">
      <w:pPr>
        <w:pStyle w:val="FootnoteText"/>
        <w:ind w:left="142" w:hanging="142"/>
      </w:pPr>
      <w:r w:rsidRPr="00186275">
        <w:rPr>
          <w:rStyle w:val="FootnoteReference"/>
        </w:rPr>
        <w:footnoteRef/>
      </w:r>
      <w:r w:rsidRPr="00186275">
        <w:tab/>
        <w:t>EU-SILC pomeni statistiko Evropske unije o dohodku in življenjskih pogojih. To je harmonizirana letna raziskava (od leta 2003), ki se izvaja v državah članicah EU in nekaterih državah nečlanicah EU za zbiranje primerljivih, večdimenzionalnih, longitudinalnih in presečnih mikropodatkov o dohodku, revščini, socialni izključenosti in stanovanjskih razmerah.</w:t>
      </w:r>
    </w:p>
  </w:footnote>
  <w:footnote w:id="5">
    <w:p w14:paraId="5A59E304" w14:textId="7B9F42A9" w:rsidR="00FE3E15" w:rsidRPr="00186275" w:rsidRDefault="00FE3E15" w:rsidP="00AA7C7F">
      <w:pPr>
        <w:pStyle w:val="FootnoteText"/>
        <w:ind w:left="142" w:hanging="142"/>
      </w:pPr>
      <w:r w:rsidRPr="00186275">
        <w:rPr>
          <w:rStyle w:val="FootnoteReference"/>
        </w:rPr>
        <w:footnoteRef/>
      </w:r>
      <w:r w:rsidRPr="00186275">
        <w:tab/>
      </w:r>
      <w:hyperlink r:id="rId3" w:history="1">
        <w:r w:rsidRPr="00186275">
          <w:rPr>
            <w:rStyle w:val="Hyperlink"/>
          </w:rPr>
          <w:t>https://ec.europa.eu/eurostat/statistics-explained/SEPDF/cache/132338.pdf</w:t>
        </w:r>
      </w:hyperlink>
      <w:r w:rsidRPr="00186275">
        <w:t xml:space="preserve">. </w:t>
      </w:r>
    </w:p>
  </w:footnote>
  <w:footnote w:id="6">
    <w:p w14:paraId="4566E559" w14:textId="483364BD" w:rsidR="00DE3B8C" w:rsidRPr="00186275" w:rsidRDefault="00DE3B8C" w:rsidP="00AA7C7F">
      <w:pPr>
        <w:pStyle w:val="FootnoteText"/>
        <w:ind w:left="142" w:hanging="142"/>
      </w:pPr>
      <w:r w:rsidRPr="00186275">
        <w:rPr>
          <w:rStyle w:val="FootnoteReference"/>
        </w:rPr>
        <w:footnoteRef/>
      </w:r>
      <w:r w:rsidRPr="00186275">
        <w:tab/>
      </w:r>
      <w:hyperlink r:id="rId4" w:history="1">
        <w:r w:rsidRPr="00186275">
          <w:rPr>
            <w:rStyle w:val="Hyperlink"/>
          </w:rPr>
          <w:t>https://eur-lex.europa.eu/legal-content/SL/TXT/?uri=CELEX%3A52021DC0345.</w:t>
        </w:r>
      </w:hyperlink>
      <w:r w:rsidRPr="00186275">
        <w:t xml:space="preserve"> </w:t>
      </w:r>
    </w:p>
  </w:footnote>
  <w:footnote w:id="7">
    <w:p w14:paraId="256993FB" w14:textId="564FDC12" w:rsidR="00AC17F8" w:rsidRPr="00186275" w:rsidRDefault="0002616A" w:rsidP="00AA7C7F">
      <w:pPr>
        <w:pStyle w:val="FootnoteText"/>
        <w:ind w:left="142" w:hanging="142"/>
      </w:pPr>
      <w:r w:rsidRPr="00186275">
        <w:rPr>
          <w:rStyle w:val="FootnoteReference"/>
        </w:rPr>
        <w:footnoteRef/>
      </w:r>
      <w:r w:rsidRPr="00186275">
        <w:tab/>
        <w:t xml:space="preserve">O’Sullivan, E., </w:t>
      </w:r>
      <w:r w:rsidRPr="00186275">
        <w:rPr>
          <w:i/>
          <w:iCs/>
        </w:rPr>
        <w:t>Key Elements in Homelessness Strategies to End Homelessness by 2030</w:t>
      </w:r>
      <w:r w:rsidRPr="00186275">
        <w:t xml:space="preserve"> (</w:t>
      </w:r>
      <w:r w:rsidRPr="00186275">
        <w:rPr>
          <w:i/>
          <w:iCs/>
        </w:rPr>
        <w:t>Ključni dejavniki v strategijah za boj proti brezdomstvu za odpravo brezdomstva do leta 2030</w:t>
      </w:r>
      <w:r w:rsidRPr="00186275">
        <w:t>), School of Social Work and Social Policy, Trinity College Dublin, Irska.</w:t>
      </w:r>
    </w:p>
    <w:p w14:paraId="73063C92" w14:textId="2BEC6935" w:rsidR="009A20E4" w:rsidRPr="00186275" w:rsidRDefault="00AC17F8" w:rsidP="009F4E22">
      <w:pPr>
        <w:pStyle w:val="FootnoteText"/>
        <w:ind w:left="142" w:hanging="142"/>
      </w:pPr>
      <w:r w:rsidRPr="00186275">
        <w:t xml:space="preserve"> Mackie, P., </w:t>
      </w:r>
      <w:r w:rsidRPr="00186275">
        <w:rPr>
          <w:i/>
          <w:iCs/>
        </w:rPr>
        <w:t>Preventive Measures against Homelessness and Housing Exclusion</w:t>
      </w:r>
      <w:r w:rsidRPr="00186275">
        <w:t xml:space="preserve"> (</w:t>
      </w:r>
      <w:r w:rsidRPr="00186275">
        <w:rPr>
          <w:i/>
          <w:iCs/>
        </w:rPr>
        <w:t>Preventivni ukrepi za boj proti brezdomstvu in stanovanjski izključenosti</w:t>
      </w:r>
      <w:r w:rsidRPr="00186275">
        <w:t>), School of Geography and</w:t>
      </w:r>
      <w:r w:rsidR="009A20E4" w:rsidRPr="00186275">
        <w:t xml:space="preserve"> Planning, Univerza v Cardiffu, Wales, Združeno kraljestvo.</w:t>
      </w:r>
    </w:p>
    <w:p w14:paraId="52DA4F60" w14:textId="629654E7" w:rsidR="0002616A" w:rsidRPr="00186275" w:rsidRDefault="00741198" w:rsidP="00AD7C37">
      <w:pPr>
        <w:pStyle w:val="FootnoteText"/>
        <w:ind w:left="142" w:hanging="142"/>
      </w:pPr>
      <w:r w:rsidRPr="00186275">
        <w:t xml:space="preserve"> Pleace, N., </w:t>
      </w:r>
      <w:r w:rsidRPr="00186275">
        <w:rPr>
          <w:i/>
          <w:iCs/>
        </w:rPr>
        <w:t>Social and healthcare services for homeless people</w:t>
      </w:r>
      <w:r w:rsidRPr="00186275">
        <w:t xml:space="preserve"> (</w:t>
      </w:r>
      <w:r w:rsidRPr="00186275">
        <w:rPr>
          <w:i/>
          <w:iCs/>
        </w:rPr>
        <w:t>Socialne in zdravstvene storitve za brezdomce</w:t>
      </w:r>
      <w:r w:rsidRPr="00186275">
        <w:t>), Centre for Housing Policy, School for</w:t>
      </w:r>
      <w:r w:rsidR="00A47748" w:rsidRPr="00186275">
        <w:t xml:space="preserve"> Business and Society, Univerza v York, Združeno kraljestvo.</w:t>
      </w:r>
    </w:p>
  </w:footnote>
  <w:footnote w:id="8">
    <w:p w14:paraId="1C23F5A3" w14:textId="34E8D3E2" w:rsidR="00FD4AC3" w:rsidRPr="00186275" w:rsidRDefault="00FD4AC3" w:rsidP="00AA7C7F">
      <w:pPr>
        <w:pStyle w:val="FootnoteText"/>
        <w:ind w:left="142" w:hanging="142"/>
        <w:rPr>
          <w:b/>
          <w:bCs/>
        </w:rPr>
      </w:pPr>
      <w:r w:rsidRPr="00186275">
        <w:rPr>
          <w:rStyle w:val="FootnoteReference"/>
        </w:rPr>
        <w:footnoteRef/>
      </w:r>
      <w:r w:rsidRPr="00186275">
        <w:tab/>
      </w:r>
      <w:hyperlink r:id="rId5" w:history="1">
        <w:r w:rsidRPr="00186275">
          <w:rPr>
            <w:rStyle w:val="Hyperlink"/>
            <w:color w:val="auto"/>
          </w:rPr>
          <w:t>Nabor orodij OECD za boj proti brezdomstvu |</w:t>
        </w:r>
      </w:hyperlink>
      <w:hyperlink r:id="rId6" w:history="1">
        <w:r w:rsidRPr="00186275">
          <w:rPr>
            <w:rStyle w:val="Hyperlink"/>
            <w:color w:val="auto"/>
          </w:rPr>
          <w:t xml:space="preserve"> OECD</w:t>
        </w:r>
      </w:hyperlink>
      <w:r w:rsidRPr="00186275">
        <w:t xml:space="preserve">. </w:t>
      </w:r>
    </w:p>
  </w:footnote>
  <w:footnote w:id="9">
    <w:p w14:paraId="2A9326F0" w14:textId="73479906" w:rsidR="0002616A" w:rsidRPr="00186275" w:rsidRDefault="0002616A" w:rsidP="00AD7C37">
      <w:pPr>
        <w:pStyle w:val="FootnoteText"/>
        <w:ind w:left="142" w:hanging="142"/>
      </w:pPr>
      <w:r w:rsidRPr="00186275">
        <w:rPr>
          <w:rStyle w:val="FootnoteReference"/>
        </w:rPr>
        <w:footnoteRef/>
      </w:r>
      <w:r w:rsidRPr="00186275">
        <w:tab/>
      </w:r>
      <w:hyperlink r:id="rId7" w:history="1">
        <w:r w:rsidRPr="00186275">
          <w:rPr>
            <w:rStyle w:val="Hyperlink"/>
            <w:color w:val="auto"/>
          </w:rPr>
          <w:t>Okvir OECD za spremljanje</w:t>
        </w:r>
        <w:bookmarkStart w:id="3" w:name="_Hlt228794208"/>
        <w:bookmarkStart w:id="4" w:name="_Hlt228794209"/>
        <w:bookmarkEnd w:id="3"/>
        <w:bookmarkEnd w:id="4"/>
        <w:r w:rsidRPr="00186275">
          <w:rPr>
            <w:rStyle w:val="Hyperlink"/>
            <w:color w:val="auto"/>
          </w:rPr>
          <w:t xml:space="preserve"> brezdomstva |</w:t>
        </w:r>
      </w:hyperlink>
      <w:hyperlink r:id="rId8" w:history="1">
        <w:r w:rsidRPr="00186275">
          <w:rPr>
            <w:rStyle w:val="Hyperlink"/>
            <w:color w:val="auto"/>
          </w:rPr>
          <w:t xml:space="preserve"> OECD</w:t>
        </w:r>
      </w:hyperlink>
      <w:r w:rsidRPr="00186275">
        <w:t>.</w:t>
      </w:r>
    </w:p>
  </w:footnote>
  <w:footnote w:id="10">
    <w:p w14:paraId="6A498BEB" w14:textId="2A40905F" w:rsidR="001C6EBB" w:rsidRPr="00186275" w:rsidRDefault="001C6EBB" w:rsidP="00AA7C7F">
      <w:pPr>
        <w:pStyle w:val="FootnoteText"/>
        <w:ind w:left="142" w:hanging="142"/>
      </w:pPr>
      <w:r w:rsidRPr="00186275">
        <w:rPr>
          <w:rStyle w:val="FootnoteReference"/>
        </w:rPr>
        <w:footnoteRef/>
      </w:r>
      <w:r w:rsidRPr="00186275">
        <w:tab/>
      </w:r>
      <w:r w:rsidR="00186275">
        <w:t xml:space="preserve"> </w:t>
      </w:r>
      <w:hyperlink r:id="rId9" w:history="1">
        <w:r w:rsidRPr="00186275">
          <w:rPr>
            <w:rStyle w:val="Hyperlink"/>
          </w:rPr>
          <w:t>KU Leuven EU – Podatki o številu brezdomcev</w:t>
        </w:r>
      </w:hyperlink>
      <w:r w:rsidRPr="00186275">
        <w:t>.</w:t>
      </w:r>
    </w:p>
  </w:footnote>
  <w:footnote w:id="11">
    <w:p w14:paraId="15201A41" w14:textId="09EF46CF" w:rsidR="001A7991" w:rsidRPr="00186275" w:rsidRDefault="001A7991" w:rsidP="00AA7C7F">
      <w:pPr>
        <w:pStyle w:val="FootnoteText"/>
        <w:ind w:left="142" w:hanging="142"/>
      </w:pPr>
      <w:r w:rsidRPr="00186275">
        <w:rPr>
          <w:rStyle w:val="FootnoteReference"/>
        </w:rPr>
        <w:footnoteRef/>
      </w:r>
      <w:r w:rsidRPr="00186275">
        <w:tab/>
      </w:r>
      <w:r w:rsidR="00186275">
        <w:t xml:space="preserve"> </w:t>
      </w:r>
      <w:r w:rsidRPr="00186275">
        <w:t xml:space="preserve">ETHOS Light je poenostavljen in harmoniziran evropski okvir za merjenje brezdomstva in stanovanjske izključenosti ter je namenjen prepoznavanju različnih oblik brezdomstva. </w:t>
      </w:r>
    </w:p>
  </w:footnote>
  <w:footnote w:id="12">
    <w:p w14:paraId="1432AD59" w14:textId="52E134AD" w:rsidR="0002616A" w:rsidRPr="00186275" w:rsidRDefault="0002616A" w:rsidP="00AA7C7F">
      <w:pPr>
        <w:pStyle w:val="FootnoteText"/>
        <w:ind w:left="142" w:hanging="142"/>
        <w:rPr>
          <w:szCs w:val="24"/>
        </w:rPr>
      </w:pPr>
      <w:r w:rsidRPr="00186275">
        <w:rPr>
          <w:rStyle w:val="FootnoteReference"/>
        </w:rPr>
        <w:footnoteRef/>
      </w:r>
      <w:r w:rsidRPr="00186275">
        <w:tab/>
        <w:t xml:space="preserve"> Baptista, I., Perista, P., in Marlier, E. (2025). </w:t>
      </w:r>
      <w:r w:rsidRPr="00186275">
        <w:rPr>
          <w:i/>
          <w:iCs/>
        </w:rPr>
        <w:t xml:space="preserve">The fight against homelessness and its links with anti-poverty policies across the European Union </w:t>
      </w:r>
      <w:r w:rsidRPr="00186275">
        <w:t>(</w:t>
      </w:r>
      <w:r w:rsidRPr="00186275">
        <w:rPr>
          <w:i/>
          <w:iCs/>
        </w:rPr>
        <w:t>Boj proti brezdomstvu in njegove povezave s politikami za boj proti revščini v Evropski uniji</w:t>
      </w:r>
      <w:r w:rsidRPr="00186275">
        <w:t xml:space="preserve">). Evropska mreža za analizo socialne politike (ESPAN), Luksemburg: Urad za publikacije Evropske unije, </w:t>
      </w:r>
      <w:hyperlink r:id="rId10" w:anchor="description" w:history="1">
        <w:r w:rsidR="00186275" w:rsidRPr="00B51FA6">
          <w:rPr>
            <w:rStyle w:val="Hyperlink"/>
          </w:rPr>
          <w:t>https://employment-social-affairs.ec.europa.eu/fight-against-homelessness-and-its-links-anti-poverty-policies-across-european-union_en#description</w:t>
        </w:r>
      </w:hyperlink>
      <w:r w:rsidRPr="00186275">
        <w:t xml:space="preserve">. </w:t>
      </w:r>
    </w:p>
  </w:footnote>
  <w:footnote w:id="13">
    <w:p w14:paraId="7730D89D" w14:textId="4452C1D2" w:rsidR="001E431A" w:rsidRPr="00186275" w:rsidRDefault="001E431A" w:rsidP="00AD7C37">
      <w:pPr>
        <w:pStyle w:val="FootnoteText"/>
        <w:ind w:left="142" w:hanging="142"/>
      </w:pPr>
      <w:r w:rsidRPr="00186275">
        <w:rPr>
          <w:rStyle w:val="FootnoteReference"/>
        </w:rPr>
        <w:footnoteRef/>
      </w:r>
      <w:r w:rsidRPr="00186275">
        <w:tab/>
      </w:r>
      <w:r w:rsidR="00186275">
        <w:t xml:space="preserve"> </w:t>
      </w:r>
      <w:hyperlink r:id="rId11" w:history="1">
        <w:r w:rsidR="00186275" w:rsidRPr="00B51FA6">
          <w:rPr>
            <w:rStyle w:val="Hyperlink"/>
          </w:rPr>
          <w:t>https://www.coe.int/en/web/conventions/full-list?module=treaty-detail&amp;treatynum=163</w:t>
        </w:r>
      </w:hyperlink>
      <w:r w:rsidRPr="00186275">
        <w:t xml:space="preserve">. </w:t>
      </w:r>
    </w:p>
  </w:footnote>
  <w:footnote w:id="14">
    <w:p w14:paraId="27F30276" w14:textId="77777777" w:rsidR="00DD3345" w:rsidRPr="00186275" w:rsidRDefault="00DD3345" w:rsidP="00AD7C37">
      <w:pPr>
        <w:pStyle w:val="FootnoteText"/>
        <w:ind w:left="142" w:hanging="142"/>
      </w:pPr>
      <w:r w:rsidRPr="00186275">
        <w:rPr>
          <w:rStyle w:val="FootnoteReference"/>
        </w:rPr>
        <w:footnoteRef/>
      </w:r>
      <w:r w:rsidRPr="00186275">
        <w:tab/>
        <w:t xml:space="preserve"> </w:t>
      </w:r>
      <w:hyperlink r:id="rId12" w:history="1">
        <w:r w:rsidRPr="00186275">
          <w:rPr>
            <w:rStyle w:val="Hyperlink"/>
          </w:rPr>
          <w:t>Medinstitucionalna razglasitev evropskega stebra socialnih pravic</w:t>
        </w:r>
      </w:hyperlink>
      <w:r w:rsidRPr="00186275">
        <w:t xml:space="preserve">. </w:t>
      </w:r>
    </w:p>
  </w:footnote>
  <w:footnote w:id="15">
    <w:p w14:paraId="30B2336C" w14:textId="77777777" w:rsidR="001E431A" w:rsidRPr="00186275" w:rsidRDefault="001E431A" w:rsidP="00AD7C37">
      <w:pPr>
        <w:pStyle w:val="FootnoteText"/>
        <w:ind w:left="142" w:hanging="142"/>
      </w:pPr>
      <w:r w:rsidRPr="00186275">
        <w:rPr>
          <w:rStyle w:val="FootnoteReference"/>
        </w:rPr>
        <w:footnoteRef/>
      </w:r>
      <w:r w:rsidRPr="00186275">
        <w:tab/>
        <w:t xml:space="preserve"> </w:t>
      </w:r>
      <w:hyperlink r:id="rId13" w:history="1">
        <w:r w:rsidRPr="00186275">
          <w:rPr>
            <w:rStyle w:val="Hyperlink"/>
          </w:rPr>
          <w:t>Priporočilo Sveta (EU) 2021/1004 z dne 14. junija 2021 o vzpostavitvi evropskega jamstva za otroke</w:t>
        </w:r>
      </w:hyperlink>
      <w:r w:rsidRPr="00186275">
        <w:t xml:space="preserve">. </w:t>
      </w:r>
    </w:p>
  </w:footnote>
  <w:footnote w:id="16">
    <w:p w14:paraId="3F6B85CF" w14:textId="77777777" w:rsidR="001E431A" w:rsidRPr="00186275" w:rsidRDefault="001E431A" w:rsidP="00AD7C37">
      <w:pPr>
        <w:pStyle w:val="FootnoteText"/>
        <w:ind w:left="142" w:hanging="142"/>
      </w:pPr>
      <w:r w:rsidRPr="00186275">
        <w:rPr>
          <w:rStyle w:val="FootnoteReference"/>
        </w:rPr>
        <w:footnoteRef/>
      </w:r>
      <w:r w:rsidRPr="00186275">
        <w:tab/>
        <w:t xml:space="preserve"> </w:t>
      </w:r>
      <w:hyperlink r:id="rId14" w:history="1">
        <w:r w:rsidRPr="00186275">
          <w:rPr>
            <w:rStyle w:val="Hyperlink"/>
          </w:rPr>
          <w:t>Priporočilo Sveta 2023/C 41/01 z dne 30. januarja 2023 o zadostnem minimalnem dohodku za aktivno vključevanje</w:t>
        </w:r>
      </w:hyperlink>
      <w:r w:rsidRPr="00186275">
        <w:t xml:space="preserve">. </w:t>
      </w:r>
    </w:p>
  </w:footnote>
  <w:footnote w:id="17">
    <w:p w14:paraId="1AF92C4B" w14:textId="165A12F5" w:rsidR="002E6FA9" w:rsidRPr="00186275" w:rsidRDefault="002E6FA9" w:rsidP="005E457C">
      <w:pPr>
        <w:pStyle w:val="FootnoteText"/>
        <w:ind w:left="142" w:hanging="142"/>
        <w:rPr>
          <w:color w:val="0000FF" w:themeColor="hyperlink"/>
          <w:u w:val="single"/>
        </w:rPr>
      </w:pPr>
      <w:r w:rsidRPr="00327442">
        <w:rPr>
          <w:rStyle w:val="FootnoteReference"/>
        </w:rPr>
        <w:footnoteRef/>
      </w:r>
      <w:r w:rsidR="00327442">
        <w:tab/>
      </w:r>
      <w:hyperlink r:id="rId15" w:history="1">
        <w:r w:rsidRPr="00186275">
          <w:rPr>
            <w:rStyle w:val="Hyperlink"/>
          </w:rPr>
          <w:t>Priporočilo Sveta C/2023/1344 z dne 27. novembra 2023 o razvoju okvirnih pogojev za socialno gospodarstvo</w:t>
        </w:r>
      </w:hyperlink>
      <w:r w:rsidRPr="00186275">
        <w:t xml:space="preserve">. </w:t>
      </w:r>
    </w:p>
  </w:footnote>
  <w:footnote w:id="18">
    <w:p w14:paraId="642507C5" w14:textId="77777777" w:rsidR="00236F4C" w:rsidRPr="00186275" w:rsidRDefault="00236F4C" w:rsidP="00AD7C37">
      <w:pPr>
        <w:pStyle w:val="FootnoteText"/>
        <w:ind w:left="142" w:hanging="142"/>
      </w:pPr>
      <w:r w:rsidRPr="00186275">
        <w:rPr>
          <w:rStyle w:val="FootnoteReference"/>
        </w:rPr>
        <w:footnoteRef/>
      </w:r>
      <w:r w:rsidRPr="00186275">
        <w:tab/>
        <w:t xml:space="preserve"> </w:t>
      </w:r>
      <w:hyperlink r:id="rId16" w:history="1">
        <w:r w:rsidRPr="00186275">
          <w:rPr>
            <w:rStyle w:val="Hyperlink"/>
          </w:rPr>
          <w:t>Priporočilo Sveta 2021/C 93/01 z dne 12. marca 2021 o enakosti, vključevanju in udeležbi Romov</w:t>
        </w:r>
      </w:hyperlink>
      <w:r w:rsidRPr="00186275">
        <w:t>.</w:t>
      </w:r>
    </w:p>
  </w:footnote>
  <w:footnote w:id="19">
    <w:p w14:paraId="7BA7F830" w14:textId="35D76171" w:rsidR="00DF4DB3" w:rsidRPr="00186275" w:rsidRDefault="00DF4DB3" w:rsidP="00AD7C37">
      <w:pPr>
        <w:pStyle w:val="FootnoteText"/>
        <w:ind w:left="142" w:hanging="142"/>
      </w:pPr>
      <w:r w:rsidRPr="00186275">
        <w:rPr>
          <w:rStyle w:val="FootnoteReference"/>
        </w:rPr>
        <w:footnoteRef/>
      </w:r>
      <w:r w:rsidRPr="00186275">
        <w:tab/>
      </w:r>
      <w:r w:rsidR="00186275">
        <w:t xml:space="preserve"> </w:t>
      </w:r>
      <w:r w:rsidRPr="00186275">
        <w:t xml:space="preserve">Dopolnjeno s </w:t>
      </w:r>
      <w:hyperlink r:id="rId17" w:history="1">
        <w:r w:rsidRPr="00186275">
          <w:rPr>
            <w:rStyle w:val="Hyperlink"/>
          </w:rPr>
          <w:t>Sporočilom Komisije Evropskemu parlamentu in Svetu</w:t>
        </w:r>
      </w:hyperlink>
      <w:hyperlink r:id="rId18" w:history="1">
        <w:r w:rsidRPr="00186275">
          <w:rPr>
            <w:rStyle w:val="Hyperlink"/>
          </w:rPr>
          <w:t xml:space="preserve"> Unija enakosti:</w:t>
        </w:r>
      </w:hyperlink>
      <w:hyperlink r:id="rId19" w:history="1">
        <w:r w:rsidRPr="00186275">
          <w:rPr>
            <w:rStyle w:val="Hyperlink"/>
          </w:rPr>
          <w:t xml:space="preserve"> strateški okvir EU za enakost, vključevanje in udeležbo Romov (COM/2020/620 final)</w:t>
        </w:r>
      </w:hyperlink>
      <w:r w:rsidRPr="00186275">
        <w:t>.</w:t>
      </w:r>
    </w:p>
  </w:footnote>
  <w:footnote w:id="20">
    <w:p w14:paraId="75E951A7" w14:textId="77777777" w:rsidR="00560C1D" w:rsidRPr="00186275" w:rsidRDefault="00560C1D" w:rsidP="00AD7C37">
      <w:pPr>
        <w:pStyle w:val="FootnoteText"/>
        <w:ind w:left="142" w:hanging="142"/>
      </w:pPr>
      <w:r w:rsidRPr="00186275">
        <w:rPr>
          <w:rStyle w:val="FootnoteReference"/>
        </w:rPr>
        <w:footnoteRef/>
      </w:r>
      <w:r w:rsidRPr="00186275">
        <w:tab/>
        <w:t xml:space="preserve"> </w:t>
      </w:r>
      <w:hyperlink r:id="rId20" w:history="1">
        <w:r w:rsidRPr="00186275">
          <w:rPr>
            <w:rStyle w:val="Hyperlink"/>
          </w:rPr>
          <w:t>Priporočilo Sveta 2022/C 476/01 z dne 8. decembra 2022 o dostopu do cenovno dostopne visokokakovostne dolgotrajne oskrbe</w:t>
        </w:r>
      </w:hyperlink>
      <w:r w:rsidRPr="00186275">
        <w:t>.</w:t>
      </w:r>
    </w:p>
  </w:footnote>
  <w:footnote w:id="21">
    <w:p w14:paraId="12EE7C91" w14:textId="77777777" w:rsidR="006523E8" w:rsidRPr="00186275" w:rsidRDefault="006523E8" w:rsidP="00AD7C37">
      <w:pPr>
        <w:pStyle w:val="FootnoteText"/>
        <w:ind w:left="142" w:hanging="142"/>
      </w:pPr>
      <w:r w:rsidRPr="00186275">
        <w:rPr>
          <w:rStyle w:val="FootnoteReference"/>
        </w:rPr>
        <w:footnoteRef/>
      </w:r>
      <w:r w:rsidRPr="00186275">
        <w:tab/>
        <w:t xml:space="preserve"> </w:t>
      </w:r>
      <w:hyperlink r:id="rId21" w:history="1">
        <w:r w:rsidRPr="00186275">
          <w:rPr>
            <w:rStyle w:val="Hyperlink"/>
          </w:rPr>
          <w:t>Direktiva 2014/92/EU Evropskega parlamenta in Sveta z dne 23. julija 2014 o primerljivosti nadomestil, povezanih s plačilnimi računi, zamenjavi plačilnih računov in dostopu do osnovnih plačilnih računov</w:t>
        </w:r>
      </w:hyperlink>
      <w:r w:rsidRPr="00186275">
        <w:t>.</w:t>
      </w:r>
    </w:p>
  </w:footnote>
  <w:footnote w:id="22">
    <w:p w14:paraId="622D74C1" w14:textId="77777777" w:rsidR="006F75AA" w:rsidRPr="00186275" w:rsidRDefault="006F75AA" w:rsidP="00AD7C37">
      <w:pPr>
        <w:pStyle w:val="FootnoteText"/>
        <w:ind w:left="142" w:hanging="142"/>
      </w:pPr>
      <w:r w:rsidRPr="00186275">
        <w:rPr>
          <w:rStyle w:val="FootnoteReference"/>
        </w:rPr>
        <w:footnoteRef/>
      </w:r>
      <w:r w:rsidRPr="00186275">
        <w:tab/>
        <w:t xml:space="preserve"> Lizbonska izjava o evropski platformi za boj proti brezdomstvu (21. junij 2021, Lizbona, Portugalska).</w:t>
      </w:r>
    </w:p>
  </w:footnote>
  <w:footnote w:id="23">
    <w:p w14:paraId="6103785E" w14:textId="22C1F6FB" w:rsidR="00427712" w:rsidRPr="00186275" w:rsidRDefault="00427712" w:rsidP="00AA7C7F">
      <w:pPr>
        <w:pStyle w:val="FootnoteText"/>
        <w:ind w:left="142" w:hanging="142"/>
      </w:pPr>
      <w:r w:rsidRPr="00186275">
        <w:rPr>
          <w:rStyle w:val="FootnoteReference"/>
        </w:rPr>
        <w:footnoteRef/>
      </w:r>
      <w:r w:rsidRPr="00186275">
        <w:tab/>
      </w:r>
      <w:r w:rsidR="00186275">
        <w:t xml:space="preserve"> </w:t>
      </w:r>
      <w:r w:rsidRPr="00186275">
        <w:t>Izjava iz La Hulpa o prihodnosti evropskega stebra socialnih pravic (16. april 2024, La Hulpe,</w:t>
      </w:r>
      <w:r w:rsidR="00DE2B74" w:rsidRPr="00186275">
        <w:t xml:space="preserve"> Belgija).</w:t>
      </w:r>
    </w:p>
  </w:footnote>
  <w:footnote w:id="24">
    <w:p w14:paraId="5D2D87C3" w14:textId="03E6B0B8" w:rsidR="001E431A" w:rsidRPr="00186275" w:rsidRDefault="001E431A" w:rsidP="00AA7C7F">
      <w:pPr>
        <w:pStyle w:val="FootnoteText"/>
        <w:ind w:left="142" w:hanging="142"/>
      </w:pPr>
      <w:r w:rsidRPr="00186275">
        <w:rPr>
          <w:rStyle w:val="FootnoteReference"/>
        </w:rPr>
        <w:footnoteRef/>
      </w:r>
      <w:r w:rsidRPr="00186275">
        <w:tab/>
      </w:r>
      <w:r w:rsidR="00186275">
        <w:t xml:space="preserve"> </w:t>
      </w:r>
      <w:hyperlink r:id="rId22" w:history="1">
        <w:r w:rsidR="00186275" w:rsidRPr="00B51FA6">
          <w:rPr>
            <w:rStyle w:val="Hyperlink"/>
          </w:rPr>
          <w:t>https://www.europarl.europa.eu/doceo/document/TA-9-2020-0314_SL.html?utm_source=chatgpt.com</w:t>
        </w:r>
      </w:hyperlink>
      <w:r w:rsidRPr="00186275">
        <w:t xml:space="preserve">. </w:t>
      </w:r>
    </w:p>
  </w:footnote>
  <w:footnote w:id="25">
    <w:p w14:paraId="36BE26F9" w14:textId="01F2D4CF" w:rsidR="00AD7368" w:rsidRPr="00186275" w:rsidRDefault="00AD7368" w:rsidP="00AA7C7F">
      <w:pPr>
        <w:pStyle w:val="FootnoteText"/>
        <w:ind w:left="142" w:hanging="142"/>
      </w:pPr>
      <w:r w:rsidRPr="00186275">
        <w:rPr>
          <w:rStyle w:val="FootnoteReference"/>
        </w:rPr>
        <w:footnoteRef/>
      </w:r>
      <w:r w:rsidRPr="00186275">
        <w:tab/>
      </w:r>
      <w:r w:rsidR="00186275">
        <w:t xml:space="preserve"> </w:t>
      </w:r>
      <w:hyperlink r:id="rId23" w:history="1">
        <w:r w:rsidR="00186275" w:rsidRPr="00B51FA6">
          <w:rPr>
            <w:rStyle w:val="Hyperlink"/>
          </w:rPr>
          <w:t>https://www.europarl.europa.eu/doceo/document/TA-10-2026-0064_SL.html</w:t>
        </w:r>
      </w:hyperlink>
      <w:r w:rsidRPr="00186275">
        <w:t xml:space="preserve">. </w:t>
      </w:r>
    </w:p>
  </w:footnote>
  <w:footnote w:id="26">
    <w:p w14:paraId="26749925" w14:textId="368C4606" w:rsidR="005C3815" w:rsidRPr="00186275" w:rsidRDefault="005C3815" w:rsidP="00AA7C7F">
      <w:pPr>
        <w:pStyle w:val="FootnoteText"/>
        <w:ind w:left="142" w:hanging="142"/>
        <w:rPr>
          <w:color w:val="0000FF" w:themeColor="hyperlink"/>
          <w:u w:val="single"/>
        </w:rPr>
      </w:pPr>
      <w:r w:rsidRPr="00186275">
        <w:rPr>
          <w:rStyle w:val="FootnoteReference"/>
        </w:rPr>
        <w:footnoteRef/>
      </w:r>
      <w:r w:rsidRPr="00186275">
        <w:tab/>
      </w:r>
      <w:r w:rsidR="00186275">
        <w:t xml:space="preserve"> </w:t>
      </w:r>
      <w:hyperlink r:id="rId24" w:history="1">
        <w:r w:rsidRPr="00186275">
          <w:rPr>
            <w:rStyle w:val="Hyperlink"/>
          </w:rPr>
          <w:t>Izvedbena uredba Komisije (EU) 2017/543 z dne 22. marca 2017 o določitvi pravil za uporabo Uredbe (ES) št. 763/2008 Evropskega parlamenta in Sveta o popisih prebivalstva in stanovanj v zvezi s tehničnimi specifikacijami za vsebine in posamezne razčlembe teh vsebin</w:t>
        </w:r>
      </w:hyperlink>
      <w:r w:rsidRPr="00186275">
        <w:t>.</w:t>
      </w:r>
    </w:p>
  </w:footnote>
  <w:footnote w:id="27">
    <w:p w14:paraId="14F59F7E" w14:textId="3E6732D1" w:rsidR="001E431A" w:rsidRPr="00186275" w:rsidRDefault="0037784D" w:rsidP="00AA7C7F">
      <w:pPr>
        <w:pStyle w:val="FootnoteText"/>
        <w:ind w:left="142" w:hanging="142"/>
        <w:rPr>
          <w:color w:val="0000FF" w:themeColor="hyperlink"/>
          <w:u w:val="single"/>
        </w:rPr>
      </w:pPr>
      <w:r w:rsidRPr="00186275">
        <w:rPr>
          <w:rStyle w:val="FootnoteReference"/>
        </w:rPr>
        <w:footnoteRef/>
      </w:r>
      <w:r w:rsidRPr="00186275">
        <w:tab/>
      </w:r>
      <w:r w:rsidR="00186275">
        <w:t xml:space="preserve"> </w:t>
      </w:r>
      <w:hyperlink r:id="rId25" w:history="1">
        <w:r w:rsidRPr="00186275">
          <w:rPr>
            <w:rStyle w:val="Hyperlink"/>
          </w:rPr>
          <w:t>Mnenje COR 2021/03911 Evropskega odbora regij – Izkoreninjenje brezdomstva v Evropski uniji:</w:t>
        </w:r>
      </w:hyperlink>
      <w:hyperlink r:id="rId26" w:history="1">
        <w:r w:rsidRPr="00186275">
          <w:rPr>
            <w:rStyle w:val="Hyperlink"/>
          </w:rPr>
          <w:t xml:space="preserve"> lokalni in regionalni vidik</w:t>
        </w:r>
      </w:hyperlink>
      <w:r w:rsidRPr="00186275">
        <w:t>.</w:t>
      </w:r>
    </w:p>
  </w:footnote>
  <w:footnote w:id="28">
    <w:p w14:paraId="13491126" w14:textId="18153F37" w:rsidR="001E431A" w:rsidRPr="00186275" w:rsidRDefault="0037784D" w:rsidP="00AA7C7F">
      <w:pPr>
        <w:pStyle w:val="FootnoteText"/>
        <w:ind w:left="142" w:hanging="142"/>
        <w:rPr>
          <w:color w:val="0000FF" w:themeColor="hyperlink"/>
          <w:u w:val="single"/>
        </w:rPr>
      </w:pPr>
      <w:r w:rsidRPr="00186275">
        <w:rPr>
          <w:rStyle w:val="FootnoteReference"/>
        </w:rPr>
        <w:footnoteRef/>
      </w:r>
      <w:r w:rsidRPr="00186275">
        <w:tab/>
      </w:r>
      <w:r w:rsidR="00186275">
        <w:t xml:space="preserve"> </w:t>
      </w:r>
      <w:hyperlink r:id="rId27" w:history="1">
        <w:r w:rsidRPr="00186275">
          <w:rPr>
            <w:rStyle w:val="Hyperlink"/>
          </w:rPr>
          <w:t>Mnenje EESC 2023/01741 Evropskega ekonomsko-socialnega odbora – Oblikovanje okvira EU za nacionalne strategije za odpravljanje brezdomstva na podlagi načela „najprej stanovanje“</w:t>
        </w:r>
      </w:hyperlink>
      <w:r w:rsidRPr="00186275">
        <w:t xml:space="preserve">. </w:t>
      </w:r>
    </w:p>
  </w:footnote>
  <w:footnote w:id="29">
    <w:p w14:paraId="44F8BE1D" w14:textId="0226D8CE" w:rsidR="00B942D0" w:rsidRPr="00186275" w:rsidRDefault="00B942D0" w:rsidP="00AA7C7F">
      <w:pPr>
        <w:pStyle w:val="FootnoteText"/>
        <w:ind w:left="142" w:hanging="142"/>
        <w:rPr>
          <w:color w:val="0000FF" w:themeColor="hyperlink"/>
          <w:u w:val="single"/>
        </w:rPr>
      </w:pPr>
      <w:r w:rsidRPr="00186275">
        <w:rPr>
          <w:rStyle w:val="FootnoteReference"/>
        </w:rPr>
        <w:footnoteRef/>
      </w:r>
      <w:r w:rsidRPr="00186275">
        <w:tab/>
      </w:r>
      <w:r w:rsidR="00186275">
        <w:t xml:space="preserve"> </w:t>
      </w:r>
      <w:r w:rsidRPr="00186275">
        <w:t xml:space="preserve">Evropska komisija: Generalni direktorat za zaposlovanje, socialne zadeve in vključevanje, </w:t>
      </w:r>
      <w:hyperlink r:id="rId28" w:history="1">
        <w:r w:rsidRPr="00186275">
          <w:rPr>
            <w:rStyle w:val="Hyperlink"/>
            <w:i/>
            <w:iCs/>
          </w:rPr>
          <w:t>Joint employment report 2026 – As adopted by the EPSCO Council on 9 March 2026 (Skupno poročilo o zaposlovanju za leto 2026, ki ga je Svet EPSCO sprejel 9. marca 2026)</w:t>
        </w:r>
      </w:hyperlink>
      <w:r w:rsidRPr="00186275">
        <w:t>, Urad za publikacije Evropske unije, 2026.</w:t>
      </w:r>
    </w:p>
  </w:footnote>
  <w:footnote w:id="30">
    <w:p w14:paraId="208E9D93" w14:textId="275816AD" w:rsidR="00F326F8" w:rsidRPr="00186275" w:rsidRDefault="004723B1" w:rsidP="00AA7C7F">
      <w:pPr>
        <w:pStyle w:val="FootnoteText"/>
        <w:ind w:left="142" w:hanging="142"/>
        <w:rPr>
          <w:color w:val="0000FF" w:themeColor="hyperlink"/>
          <w:u w:val="single"/>
        </w:rPr>
      </w:pPr>
      <w:r w:rsidRPr="00186275">
        <w:rPr>
          <w:rStyle w:val="FootnoteReference"/>
        </w:rPr>
        <w:footnoteRef/>
      </w:r>
      <w:r w:rsidRPr="00186275">
        <w:tab/>
      </w:r>
      <w:r w:rsidR="00186275">
        <w:t xml:space="preserve"> </w:t>
      </w:r>
      <w:hyperlink r:id="rId29" w:history="1">
        <w:r w:rsidRPr="00186275">
          <w:rPr>
            <w:rStyle w:val="Hyperlink"/>
          </w:rPr>
          <w:t xml:space="preserve">Sporočilo Komisije Evropskemu parlamentu, Svetu, Evropskemu ekonomsko-socialnemu odboru </w:t>
        </w:r>
        <w:bookmarkStart w:id="8" w:name="_Hlt228804738"/>
        <w:bookmarkStart w:id="9" w:name="_Hlt228804739"/>
        <w:bookmarkEnd w:id="8"/>
        <w:bookmarkEnd w:id="9"/>
        <w:r w:rsidRPr="00186275">
          <w:rPr>
            <w:rStyle w:val="Hyperlink"/>
          </w:rPr>
          <w:t>in Odboru regij COM/2025/1025 final:</w:t>
        </w:r>
      </w:hyperlink>
      <w:hyperlink r:id="rId30" w:history="1">
        <w:r w:rsidRPr="00186275">
          <w:rPr>
            <w:rStyle w:val="Hyperlink"/>
          </w:rPr>
          <w:t xml:space="preserve"> Evropski načrt za cenovno dostopna stanovanja</w:t>
        </w:r>
      </w:hyperlink>
      <w:r w:rsidRPr="00186275">
        <w:t>.</w:t>
      </w:r>
    </w:p>
  </w:footnote>
  <w:footnote w:id="31">
    <w:p w14:paraId="1A3FC6F4" w14:textId="796ABB65" w:rsidR="00B75119" w:rsidRPr="00186275" w:rsidRDefault="00B75119" w:rsidP="00AA7C7F">
      <w:pPr>
        <w:pStyle w:val="FootnoteText"/>
        <w:ind w:left="142" w:hanging="142"/>
      </w:pPr>
      <w:r w:rsidRPr="00186275">
        <w:rPr>
          <w:rStyle w:val="FootnoteReference"/>
        </w:rPr>
        <w:footnoteRef/>
      </w:r>
      <w:r w:rsidRPr="00186275">
        <w:tab/>
      </w:r>
      <w:r w:rsidR="00186275">
        <w:t xml:space="preserve"> </w:t>
      </w:r>
      <w:hyperlink r:id="rId31" w:history="1">
        <w:r w:rsidRPr="00186275">
          <w:rPr>
            <w:rStyle w:val="Hyperlink"/>
          </w:rPr>
          <w:t>Podatkovna zbirka OECD o cenovno dostopnih stanovanjih |</w:t>
        </w:r>
      </w:hyperlink>
      <w:hyperlink r:id="rId32" w:history="1">
        <w:r w:rsidRPr="00186275">
          <w:rPr>
            <w:rStyle w:val="Hyperlink"/>
          </w:rPr>
          <w:t xml:space="preserve"> OECD</w:t>
        </w:r>
      </w:hyperlink>
      <w:r w:rsidRPr="00186275">
        <w:t>.</w:t>
      </w:r>
    </w:p>
  </w:footnote>
  <w:footnote w:id="32">
    <w:p w14:paraId="301FAF4F" w14:textId="38335311" w:rsidR="00463873" w:rsidRPr="00186275" w:rsidRDefault="00463873" w:rsidP="00AA7C7F">
      <w:pPr>
        <w:pStyle w:val="FootnoteText"/>
        <w:ind w:left="142" w:hanging="142"/>
        <w:rPr>
          <w:color w:val="0000FF" w:themeColor="hyperlink"/>
          <w:u w:val="single"/>
        </w:rPr>
      </w:pPr>
      <w:r w:rsidRPr="00327442">
        <w:rPr>
          <w:rStyle w:val="FootnoteReference"/>
        </w:rPr>
        <w:footnoteRef/>
      </w:r>
      <w:r w:rsidR="00327442">
        <w:tab/>
      </w:r>
      <w:hyperlink r:id="rId33" w:history="1">
        <w:r w:rsidRPr="00186275">
          <w:rPr>
            <w:rStyle w:val="Hyperlink"/>
          </w:rPr>
          <w:t>Uredba (EU) 2025/1914 Evropskega parlamenta in Sveta z dne 18. septembra 2025 o spremembi uredb (EU) 2021/1058 in (EU) 2021/1056 glede posebnih ukrepov za obravnavanje strateških izzivov v okviru vmesnega pregleda</w:t>
        </w:r>
      </w:hyperlink>
      <w:r w:rsidRPr="00186275">
        <w:t>.</w:t>
      </w:r>
    </w:p>
  </w:footnote>
  <w:footnote w:id="33">
    <w:p w14:paraId="516BBF8D" w14:textId="5083F8C5" w:rsidR="00891B98" w:rsidRPr="00186275" w:rsidRDefault="00891B98" w:rsidP="00AA7C7F">
      <w:pPr>
        <w:pStyle w:val="FootnoteText"/>
        <w:ind w:left="142" w:hanging="142"/>
        <w:rPr>
          <w:color w:val="0000FF" w:themeColor="hyperlink"/>
          <w:u w:val="single"/>
        </w:rPr>
      </w:pPr>
      <w:r w:rsidRPr="00186275">
        <w:rPr>
          <w:rStyle w:val="FootnoteReference"/>
        </w:rPr>
        <w:footnoteRef/>
      </w:r>
      <w:r w:rsidRPr="00186275">
        <w:tab/>
      </w:r>
      <w:r w:rsidR="00186275">
        <w:t xml:space="preserve"> </w:t>
      </w:r>
      <w:hyperlink r:id="rId34" w:history="1">
        <w:r w:rsidRPr="00186275">
          <w:rPr>
            <w:rStyle w:val="Hyperlink"/>
          </w:rPr>
          <w:t>Izvedbena uredba Komisije (EU) 2017/543 z dne 22. marca 2017 o določitvi pravil za uporabo Uredbe (ES) št. 763/2008 Evropskega parlamenta in Sveta o popisih prebivalstva in stanovanj v zvezi s tehničnimi specifikacijami za vsebine in posamezne razčlembe teh vsebin</w:t>
        </w:r>
      </w:hyperlink>
      <w:r w:rsidRPr="00186275">
        <w:t>.</w:t>
      </w:r>
    </w:p>
  </w:footnote>
  <w:footnote w:id="34">
    <w:p w14:paraId="2DA05FB6" w14:textId="77777777" w:rsidR="00C82328" w:rsidRPr="00186275" w:rsidRDefault="00C82328" w:rsidP="00F422C3">
      <w:pPr>
        <w:pStyle w:val="FootnoteText"/>
        <w:ind w:left="142" w:hanging="142"/>
      </w:pPr>
      <w:r w:rsidRPr="00186275">
        <w:rPr>
          <w:rStyle w:val="FootnoteReference"/>
        </w:rPr>
        <w:footnoteRef/>
      </w:r>
      <w:r w:rsidRPr="00186275">
        <w:tab/>
        <w:t xml:space="preserve"> </w:t>
      </w:r>
      <w:hyperlink r:id="rId35" w:history="1">
        <w:r w:rsidRPr="00186275">
          <w:rPr>
            <w:rStyle w:val="Hyperlink"/>
          </w:rPr>
          <w:t>Direktiva 2014/92/EU Evropskega parlamenta in Sveta z dne 23. julija 2014 o primerljivosti nadomestil, povezanih s plačilnimi računi, zamenjavi plačilnih računov in dostopu do osnovnih plačilnih računov</w:t>
        </w:r>
      </w:hyperlink>
      <w:r w:rsidRPr="00186275">
        <w:t>.</w:t>
      </w:r>
    </w:p>
  </w:footnote>
  <w:footnote w:id="35">
    <w:p w14:paraId="138A7674" w14:textId="71EB7A06" w:rsidR="002335CB" w:rsidRPr="00186275" w:rsidRDefault="002335CB" w:rsidP="00AA7C7F">
      <w:pPr>
        <w:pStyle w:val="FootnoteText"/>
        <w:ind w:left="142" w:hanging="142"/>
        <w:rPr>
          <w:color w:val="0000FF" w:themeColor="hyperlink"/>
          <w:u w:val="single"/>
        </w:rPr>
      </w:pPr>
      <w:r w:rsidRPr="00186275">
        <w:rPr>
          <w:rStyle w:val="FootnoteReference"/>
        </w:rPr>
        <w:footnoteRef/>
      </w:r>
      <w:r w:rsidRPr="00186275">
        <w:tab/>
      </w:r>
      <w:r w:rsidR="00186275">
        <w:t xml:space="preserve"> </w:t>
      </w:r>
      <w:hyperlink r:id="rId36" w:history="1">
        <w:r w:rsidRPr="00186275">
          <w:rPr>
            <w:rStyle w:val="Hyperlink"/>
          </w:rPr>
          <w:t>Sporočilo Komisije Evropskemu parlamentu, Svetu, Evropskemu ekonomsko-socialnemu odboru in Odboru regij COM/2025/1025 final:</w:t>
        </w:r>
      </w:hyperlink>
      <w:hyperlink r:id="rId37" w:history="1">
        <w:r w:rsidRPr="00186275">
          <w:rPr>
            <w:rStyle w:val="Hyperlink"/>
          </w:rPr>
          <w:t xml:space="preserve"> Evropski načrt za cenovno dostopna stanovanja</w:t>
        </w:r>
      </w:hyperlink>
      <w:r w:rsidRPr="00186275">
        <w:t>.</w:t>
      </w:r>
    </w:p>
  </w:footnote>
  <w:footnote w:id="36">
    <w:p w14:paraId="224E0B69" w14:textId="71B53DED" w:rsidR="00A95F5E" w:rsidRPr="00186275" w:rsidRDefault="00A95F5E" w:rsidP="00AA7C7F">
      <w:pPr>
        <w:pStyle w:val="FootnoteText"/>
        <w:ind w:left="142" w:hanging="142"/>
        <w:rPr>
          <w:color w:val="0000FF" w:themeColor="hyperlink"/>
          <w:u w:val="single"/>
        </w:rPr>
      </w:pPr>
      <w:r w:rsidRPr="00186275">
        <w:rPr>
          <w:rStyle w:val="FootnoteReference"/>
        </w:rPr>
        <w:footnoteRef/>
      </w:r>
      <w:r w:rsidRPr="00186275">
        <w:tab/>
      </w:r>
      <w:r w:rsidR="00186275">
        <w:t xml:space="preserve"> </w:t>
      </w:r>
      <w:hyperlink r:id="rId38" w:history="1">
        <w:r w:rsidRPr="00186275">
          <w:rPr>
            <w:rStyle w:val="Hyperlink"/>
          </w:rPr>
          <w:t>Uredba (EU) 2025/1914 Evropskega parlamenta in Sveta z dne 18. septembra 2025 o spremembi uredb (EU) 2021/1058 in (EU) 2021/1056 glede posebnih ukrepov za obravnavanje strateških izzivov v okviru vmesnega pregleda</w:t>
        </w:r>
      </w:hyperlink>
      <w:r w:rsidRPr="00186275">
        <w:t xml:space="preserve">. </w:t>
      </w:r>
    </w:p>
  </w:footnote>
  <w:footnote w:id="37">
    <w:p w14:paraId="3FAC6288" w14:textId="51158FC7" w:rsidR="004B7380" w:rsidRPr="00186275" w:rsidRDefault="004B7380" w:rsidP="00AA7C7F">
      <w:pPr>
        <w:pStyle w:val="FootnoteText"/>
        <w:ind w:left="142" w:hanging="142"/>
        <w:rPr>
          <w:color w:val="0000FF" w:themeColor="hyperlink"/>
          <w:u w:val="single"/>
        </w:rPr>
      </w:pPr>
      <w:r w:rsidRPr="00186275">
        <w:rPr>
          <w:rStyle w:val="FootnoteReference"/>
        </w:rPr>
        <w:footnoteRef/>
      </w:r>
      <w:r w:rsidRPr="00186275">
        <w:tab/>
      </w:r>
      <w:r w:rsidR="00186275">
        <w:t xml:space="preserve"> </w:t>
      </w:r>
      <w:hyperlink r:id="rId39" w:history="1">
        <w:r w:rsidRPr="00186275">
          <w:rPr>
            <w:rStyle w:val="Hyperlink"/>
          </w:rPr>
          <w:t>Sklep Komisije (EU) 2025/2630 z dne 16. decembra 2025 o uporabi člena 106(2) Pogodbe o delovanju Evropske unije za državno pomoč v obliki nadomestila za javne storitve, dodeljenega določenim podjetjem, pooblaščenim za opravljanje storitev splošnega gospodarskega pomena, in razveljavitvi Sklepa 2012/21/EU</w:t>
        </w:r>
      </w:hyperlink>
      <w:r w:rsidRPr="00186275">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8575D" w14:textId="77777777" w:rsidR="00A8553A" w:rsidRDefault="00A85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B5C07" w14:textId="77777777" w:rsidR="00A8553A" w:rsidRDefault="00A855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925EB76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5E47AA0"/>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136220E"/>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C79AFE1A"/>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3"/>
  </w:num>
  <w:num w:numId="2">
    <w:abstractNumId w:val="2"/>
  </w:num>
  <w:num w:numId="3">
    <w:abstractNumId w:val="1"/>
  </w:num>
  <w:num w:numId="4">
    <w:abstractNumId w:val="0"/>
  </w:num>
  <w:num w:numId="5">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num>
  <w:num w:numId="9">
    <w:abstractNumId w:val="4"/>
    <w:lvlOverride w:ilvl="0">
      <w:startOverride w:val="9"/>
    </w:lvlOverride>
  </w:num>
  <w:num w:numId="10">
    <w:abstractNumId w:val="8"/>
    <w:lvlOverride w:ilvl="0">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8"/>
  </w:num>
  <w:num w:numId="20">
    <w:abstractNumId w:val="17"/>
  </w:num>
  <w:num w:numId="21">
    <w:abstractNumId w:val="7"/>
  </w:num>
  <w:num w:numId="22">
    <w:abstractNumId w:val="9"/>
  </w:num>
  <w:num w:numId="23">
    <w:abstractNumId w:val="10"/>
  </w:num>
  <w:num w:numId="24">
    <w:abstractNumId w:val="5"/>
  </w:num>
  <w:num w:numId="25">
    <w:abstractNumId w:val="16"/>
  </w:num>
  <w:num w:numId="26">
    <w:abstractNumId w:val="4"/>
  </w:num>
  <w:num w:numId="27">
    <w:abstractNumId w:val="11"/>
  </w:num>
  <w:num w:numId="28">
    <w:abstractNumId w:val="13"/>
  </w:num>
  <w:num w:numId="29">
    <w:abstractNumId w:val="14"/>
  </w:num>
  <w:num w:numId="30">
    <w:abstractNumId w:val="6"/>
  </w:num>
  <w:num w:numId="31">
    <w:abstractNumId w:val="12"/>
  </w:num>
  <w:num w:numId="32">
    <w:abstractNumId w:val="18"/>
  </w:num>
  <w:num w:numId="33">
    <w:abstractNumId w:val="15"/>
  </w:num>
  <w:num w:numId="34">
    <w:abstractNumId w:val="8"/>
  </w:num>
  <w:num w:numId="35">
    <w:abstractNumId w:val="17"/>
  </w:num>
  <w:num w:numId="36">
    <w:abstractNumId w:val="7"/>
  </w:num>
  <w:num w:numId="37">
    <w:abstractNumId w:val="9"/>
  </w:num>
  <w:num w:numId="38">
    <w:abstractNumId w:val="10"/>
  </w:num>
  <w:num w:numId="39">
    <w:abstractNumId w:val="5"/>
  </w:num>
  <w:num w:numId="40">
    <w:abstractNumId w:val="16"/>
  </w:num>
  <w:num w:numId="41">
    <w:abstractNumId w:val="4"/>
  </w:num>
  <w:num w:numId="42">
    <w:abstractNumId w:val="11"/>
  </w:num>
  <w:num w:numId="43">
    <w:abstractNumId w:val="13"/>
  </w:num>
  <w:num w:numId="44">
    <w:abstractNumId w:val="14"/>
  </w:num>
  <w:num w:numId="45">
    <w:abstractNumId w:val="6"/>
  </w:num>
  <w:num w:numId="46">
    <w:abstractNumId w:val="12"/>
  </w:num>
  <w:num w:numId="47">
    <w:abstractNumId w:val="1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6-06-03 16:16:21"/>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40A4E851-736F-42F5-A604-5DAE09D19F73"/>
    <w:docVar w:name="LW_COVERPAGE_TYPE" w:val="1"/>
    <w:docVar w:name="LW_CreatedUtc" w:val="2025-12-17T09:52:18.5367685Z"/>
    <w:docVar w:name="LW_CROSSREFERENCE" w:val="{SWD(2026) 770 final}"/>
    <w:docVar w:name="LW_DocType" w:val="COM"/>
    <w:docVar w:name="LW_EMISSION" w:val="6.5.2026"/>
    <w:docVar w:name="LW_EMISSION_ISODATE" w:val="2026-05-06"/>
    <w:docVar w:name="LW_EMISSION_LOCATION" w:val="BRX"/>
    <w:docVar w:name="LW_EMISSION_PREFIX" w:val="Bruselj, "/>
    <w:docVar w:name="LW_EMISSION_SUFFIX" w:val=" "/>
    <w:docVar w:name="LW_ID_DOCMODEL" w:val="SJ-022"/>
    <w:docVar w:name="LW_ID_DOCSIGNATURE" w:val="SJ-022"/>
    <w:docVar w:name="LW_ID_DOCSTRUCTURE" w:val="COM/PL/ORG"/>
    <w:docVar w:name="LW_ID_DOCTYPE" w:val="SJ-022"/>
    <w:docVar w:name="LW_ID_STATUT" w:val="SJ-022"/>
    <w:docVar w:name="LW_INSERT_EXP.MOTIFS.NEW" w:val="1"/>
    <w:docVar w:name="LW_INTERETEEE.CP" w:val="&lt;UNUSED&gt;"/>
    <w:docVar w:name="LW_LANGUE" w:val="SL"/>
    <w:docVar w:name="LW_LEVEL_OF_SENSITIVITY" w:val="Standard treatment"/>
    <w:docVar w:name="LW_NOM.INST" w:val="EVROPSKA KOMISIJA"/>
    <w:docVar w:name="LW_NOM.INST_JOINTDOC" w:val="&lt;EMPTY&gt;"/>
    <w:docVar w:name="LW_PART_NBR" w:val="1"/>
    <w:docVar w:name="LW_PART_NBR_TOTAL" w:val="1"/>
    <w:docVar w:name="LW_REF.II.NEW.CP" w:val="NLE"/>
    <w:docVar w:name="LW_REF.II.NEW.CP_NUMBER" w:val="0105"/>
    <w:docVar w:name="LW_REF.II.NEW.CP_YEAR" w:val="2026"/>
    <w:docVar w:name="LW_REF.INST.NEW" w:val="COM"/>
    <w:docVar w:name="LW_REF.INST.NEW_ADOPTED" w:val="final"/>
    <w:docVar w:name="LW_REF.INST.NEW_TEXT" w:val="(2026) 54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Predlog"/>
    <w:docVar w:name="LW_SUPERTITRE" w:val="&lt;UNUSED&gt;"/>
    <w:docVar w:name="LW_TITRE.OBJ.CP" w:val="o boju proti stanovanjski izklju\u269?enosti"/>
    <w:docVar w:name="LW_TYPE.DOC.CP" w:val="PRIPORO\u268?ILO SVETA"/>
    <w:docVar w:name="LwApiVersions" w:val="LW4CoDe 1.24.5.0; LW 9.2, Build 20251112"/>
  </w:docVars>
  <w:rsids>
    <w:rsidRoot w:val="00C578AE"/>
    <w:rsid w:val="00000222"/>
    <w:rsid w:val="00000545"/>
    <w:rsid w:val="0000058D"/>
    <w:rsid w:val="00000615"/>
    <w:rsid w:val="00000726"/>
    <w:rsid w:val="000007E4"/>
    <w:rsid w:val="00000876"/>
    <w:rsid w:val="000009B7"/>
    <w:rsid w:val="000009BF"/>
    <w:rsid w:val="00000AF8"/>
    <w:rsid w:val="00000BDB"/>
    <w:rsid w:val="00000C25"/>
    <w:rsid w:val="00001104"/>
    <w:rsid w:val="00001130"/>
    <w:rsid w:val="000012C5"/>
    <w:rsid w:val="00001393"/>
    <w:rsid w:val="000014B3"/>
    <w:rsid w:val="000014CA"/>
    <w:rsid w:val="0000159D"/>
    <w:rsid w:val="00001851"/>
    <w:rsid w:val="00001E6E"/>
    <w:rsid w:val="00001FC1"/>
    <w:rsid w:val="0000232F"/>
    <w:rsid w:val="000024E6"/>
    <w:rsid w:val="00002740"/>
    <w:rsid w:val="000027C7"/>
    <w:rsid w:val="00002B5E"/>
    <w:rsid w:val="00002F7B"/>
    <w:rsid w:val="000031D2"/>
    <w:rsid w:val="0000392E"/>
    <w:rsid w:val="00003945"/>
    <w:rsid w:val="00003CCD"/>
    <w:rsid w:val="00003D71"/>
    <w:rsid w:val="00004027"/>
    <w:rsid w:val="00004283"/>
    <w:rsid w:val="00004487"/>
    <w:rsid w:val="00004511"/>
    <w:rsid w:val="000048E7"/>
    <w:rsid w:val="00004A8D"/>
    <w:rsid w:val="00004C15"/>
    <w:rsid w:val="00004D38"/>
    <w:rsid w:val="00004F3B"/>
    <w:rsid w:val="0000533B"/>
    <w:rsid w:val="00005B35"/>
    <w:rsid w:val="00005BA0"/>
    <w:rsid w:val="00005BC3"/>
    <w:rsid w:val="00005C77"/>
    <w:rsid w:val="00005D3E"/>
    <w:rsid w:val="00005EC9"/>
    <w:rsid w:val="0000602C"/>
    <w:rsid w:val="0000633A"/>
    <w:rsid w:val="00006472"/>
    <w:rsid w:val="000064C6"/>
    <w:rsid w:val="00006508"/>
    <w:rsid w:val="00006633"/>
    <w:rsid w:val="00006866"/>
    <w:rsid w:val="00006942"/>
    <w:rsid w:val="00006AAD"/>
    <w:rsid w:val="00006CAE"/>
    <w:rsid w:val="00006CC3"/>
    <w:rsid w:val="00006FD2"/>
    <w:rsid w:val="00006FD4"/>
    <w:rsid w:val="00007109"/>
    <w:rsid w:val="00007255"/>
    <w:rsid w:val="00007805"/>
    <w:rsid w:val="00007D32"/>
    <w:rsid w:val="0001002D"/>
    <w:rsid w:val="00010095"/>
    <w:rsid w:val="0001055A"/>
    <w:rsid w:val="0001056A"/>
    <w:rsid w:val="00010590"/>
    <w:rsid w:val="000106D5"/>
    <w:rsid w:val="00010811"/>
    <w:rsid w:val="00010CE3"/>
    <w:rsid w:val="00010CF0"/>
    <w:rsid w:val="00010EB1"/>
    <w:rsid w:val="00010FFB"/>
    <w:rsid w:val="00011583"/>
    <w:rsid w:val="0001164F"/>
    <w:rsid w:val="0001173F"/>
    <w:rsid w:val="000118D8"/>
    <w:rsid w:val="00011A64"/>
    <w:rsid w:val="00011A96"/>
    <w:rsid w:val="00011C05"/>
    <w:rsid w:val="00011DA2"/>
    <w:rsid w:val="000120AC"/>
    <w:rsid w:val="00012189"/>
    <w:rsid w:val="000122E1"/>
    <w:rsid w:val="000122EE"/>
    <w:rsid w:val="0001249D"/>
    <w:rsid w:val="000124A3"/>
    <w:rsid w:val="00012759"/>
    <w:rsid w:val="00012863"/>
    <w:rsid w:val="00012A9B"/>
    <w:rsid w:val="00012B49"/>
    <w:rsid w:val="00012CA7"/>
    <w:rsid w:val="00012E61"/>
    <w:rsid w:val="000130DE"/>
    <w:rsid w:val="00013597"/>
    <w:rsid w:val="000135BE"/>
    <w:rsid w:val="000137DA"/>
    <w:rsid w:val="0001384D"/>
    <w:rsid w:val="000138A6"/>
    <w:rsid w:val="00013AAA"/>
    <w:rsid w:val="00013B5C"/>
    <w:rsid w:val="00013D42"/>
    <w:rsid w:val="0001401D"/>
    <w:rsid w:val="00014139"/>
    <w:rsid w:val="00014196"/>
    <w:rsid w:val="00014337"/>
    <w:rsid w:val="00014369"/>
    <w:rsid w:val="0001478D"/>
    <w:rsid w:val="0001483B"/>
    <w:rsid w:val="0001485B"/>
    <w:rsid w:val="000148CC"/>
    <w:rsid w:val="00014B3F"/>
    <w:rsid w:val="00014B40"/>
    <w:rsid w:val="00014E75"/>
    <w:rsid w:val="00014E8A"/>
    <w:rsid w:val="00015035"/>
    <w:rsid w:val="0001514C"/>
    <w:rsid w:val="00015196"/>
    <w:rsid w:val="000151BD"/>
    <w:rsid w:val="00015211"/>
    <w:rsid w:val="000153CD"/>
    <w:rsid w:val="00015543"/>
    <w:rsid w:val="00015773"/>
    <w:rsid w:val="000157B0"/>
    <w:rsid w:val="00015A2B"/>
    <w:rsid w:val="00015A3E"/>
    <w:rsid w:val="00015BD0"/>
    <w:rsid w:val="00015BE7"/>
    <w:rsid w:val="00015CEC"/>
    <w:rsid w:val="00015D1D"/>
    <w:rsid w:val="00015D95"/>
    <w:rsid w:val="00016419"/>
    <w:rsid w:val="00016439"/>
    <w:rsid w:val="0001656E"/>
    <w:rsid w:val="000166BE"/>
    <w:rsid w:val="00016A77"/>
    <w:rsid w:val="00016D09"/>
    <w:rsid w:val="00016F59"/>
    <w:rsid w:val="00016FF2"/>
    <w:rsid w:val="0001709F"/>
    <w:rsid w:val="00017314"/>
    <w:rsid w:val="000176B8"/>
    <w:rsid w:val="000177F0"/>
    <w:rsid w:val="00017834"/>
    <w:rsid w:val="0001788B"/>
    <w:rsid w:val="00017C85"/>
    <w:rsid w:val="00017D13"/>
    <w:rsid w:val="00017D85"/>
    <w:rsid w:val="00017E5F"/>
    <w:rsid w:val="00020078"/>
    <w:rsid w:val="000200BA"/>
    <w:rsid w:val="000201AB"/>
    <w:rsid w:val="000202CA"/>
    <w:rsid w:val="00020583"/>
    <w:rsid w:val="00020619"/>
    <w:rsid w:val="000206C6"/>
    <w:rsid w:val="00020B30"/>
    <w:rsid w:val="00020E0B"/>
    <w:rsid w:val="00020E95"/>
    <w:rsid w:val="0002138D"/>
    <w:rsid w:val="0002146C"/>
    <w:rsid w:val="00021514"/>
    <w:rsid w:val="000216EA"/>
    <w:rsid w:val="0002193B"/>
    <w:rsid w:val="00021A37"/>
    <w:rsid w:val="00021B84"/>
    <w:rsid w:val="00021BAF"/>
    <w:rsid w:val="00021CAC"/>
    <w:rsid w:val="00022070"/>
    <w:rsid w:val="000220E0"/>
    <w:rsid w:val="000221CB"/>
    <w:rsid w:val="00022454"/>
    <w:rsid w:val="000224E0"/>
    <w:rsid w:val="00022963"/>
    <w:rsid w:val="00022C7F"/>
    <w:rsid w:val="00022D09"/>
    <w:rsid w:val="00022DD2"/>
    <w:rsid w:val="00022E33"/>
    <w:rsid w:val="00022E36"/>
    <w:rsid w:val="0002321C"/>
    <w:rsid w:val="00023229"/>
    <w:rsid w:val="000232E5"/>
    <w:rsid w:val="0002351C"/>
    <w:rsid w:val="0002384F"/>
    <w:rsid w:val="00023A07"/>
    <w:rsid w:val="00023A6C"/>
    <w:rsid w:val="00023B3C"/>
    <w:rsid w:val="00023B73"/>
    <w:rsid w:val="00023D93"/>
    <w:rsid w:val="00023E15"/>
    <w:rsid w:val="00023E3A"/>
    <w:rsid w:val="000242BC"/>
    <w:rsid w:val="000242DB"/>
    <w:rsid w:val="00024377"/>
    <w:rsid w:val="0002439E"/>
    <w:rsid w:val="00024621"/>
    <w:rsid w:val="0002462B"/>
    <w:rsid w:val="0002495B"/>
    <w:rsid w:val="00024E17"/>
    <w:rsid w:val="00025137"/>
    <w:rsid w:val="0002533F"/>
    <w:rsid w:val="000254D8"/>
    <w:rsid w:val="0002571F"/>
    <w:rsid w:val="00025A0B"/>
    <w:rsid w:val="00025B3F"/>
    <w:rsid w:val="00025BCB"/>
    <w:rsid w:val="00025C72"/>
    <w:rsid w:val="00025CC6"/>
    <w:rsid w:val="00025D41"/>
    <w:rsid w:val="00025F5A"/>
    <w:rsid w:val="00025F79"/>
    <w:rsid w:val="0002616A"/>
    <w:rsid w:val="0002623E"/>
    <w:rsid w:val="00026491"/>
    <w:rsid w:val="000266A0"/>
    <w:rsid w:val="000268EE"/>
    <w:rsid w:val="00026A96"/>
    <w:rsid w:val="00026B64"/>
    <w:rsid w:val="00026DCC"/>
    <w:rsid w:val="00027430"/>
    <w:rsid w:val="000274E6"/>
    <w:rsid w:val="000278C5"/>
    <w:rsid w:val="000279F6"/>
    <w:rsid w:val="00027CA7"/>
    <w:rsid w:val="00027F57"/>
    <w:rsid w:val="00030104"/>
    <w:rsid w:val="0003052D"/>
    <w:rsid w:val="0003054E"/>
    <w:rsid w:val="000305AB"/>
    <w:rsid w:val="000306C2"/>
    <w:rsid w:val="000306F0"/>
    <w:rsid w:val="00030A7B"/>
    <w:rsid w:val="0003144D"/>
    <w:rsid w:val="00031DBC"/>
    <w:rsid w:val="00031DD5"/>
    <w:rsid w:val="00031E3C"/>
    <w:rsid w:val="000321F8"/>
    <w:rsid w:val="00032263"/>
    <w:rsid w:val="000322F8"/>
    <w:rsid w:val="0003252F"/>
    <w:rsid w:val="00032589"/>
    <w:rsid w:val="00032639"/>
    <w:rsid w:val="00032E95"/>
    <w:rsid w:val="00033389"/>
    <w:rsid w:val="000335EE"/>
    <w:rsid w:val="00033888"/>
    <w:rsid w:val="00033913"/>
    <w:rsid w:val="00033F4E"/>
    <w:rsid w:val="00033F94"/>
    <w:rsid w:val="000340B4"/>
    <w:rsid w:val="000340F7"/>
    <w:rsid w:val="00034425"/>
    <w:rsid w:val="000344B9"/>
    <w:rsid w:val="000346DE"/>
    <w:rsid w:val="0003482A"/>
    <w:rsid w:val="0003484B"/>
    <w:rsid w:val="00034989"/>
    <w:rsid w:val="00034B36"/>
    <w:rsid w:val="00034B81"/>
    <w:rsid w:val="00034E39"/>
    <w:rsid w:val="000355E1"/>
    <w:rsid w:val="0003560F"/>
    <w:rsid w:val="00035830"/>
    <w:rsid w:val="00035917"/>
    <w:rsid w:val="00035961"/>
    <w:rsid w:val="00035963"/>
    <w:rsid w:val="00035A0F"/>
    <w:rsid w:val="00035A83"/>
    <w:rsid w:val="00035B0B"/>
    <w:rsid w:val="00035ED7"/>
    <w:rsid w:val="00035F51"/>
    <w:rsid w:val="00035FF4"/>
    <w:rsid w:val="00036415"/>
    <w:rsid w:val="000369E4"/>
    <w:rsid w:val="00036C18"/>
    <w:rsid w:val="00036FF4"/>
    <w:rsid w:val="00037273"/>
    <w:rsid w:val="000372CC"/>
    <w:rsid w:val="00037395"/>
    <w:rsid w:val="00037728"/>
    <w:rsid w:val="000378AF"/>
    <w:rsid w:val="00037B0E"/>
    <w:rsid w:val="00037B11"/>
    <w:rsid w:val="00037B81"/>
    <w:rsid w:val="00037DFC"/>
    <w:rsid w:val="00037E6E"/>
    <w:rsid w:val="00037EC6"/>
    <w:rsid w:val="00037FFD"/>
    <w:rsid w:val="00040042"/>
    <w:rsid w:val="000402C6"/>
    <w:rsid w:val="0004040E"/>
    <w:rsid w:val="0004047A"/>
    <w:rsid w:val="000405E3"/>
    <w:rsid w:val="00040773"/>
    <w:rsid w:val="0004081C"/>
    <w:rsid w:val="00040C82"/>
    <w:rsid w:val="00040D47"/>
    <w:rsid w:val="00040D94"/>
    <w:rsid w:val="00040EC2"/>
    <w:rsid w:val="00040EE9"/>
    <w:rsid w:val="000412AB"/>
    <w:rsid w:val="000412F1"/>
    <w:rsid w:val="000413A0"/>
    <w:rsid w:val="0004140F"/>
    <w:rsid w:val="000416EB"/>
    <w:rsid w:val="0004178D"/>
    <w:rsid w:val="00041948"/>
    <w:rsid w:val="000419FA"/>
    <w:rsid w:val="00041AE6"/>
    <w:rsid w:val="00041E5A"/>
    <w:rsid w:val="00041F19"/>
    <w:rsid w:val="00041F8C"/>
    <w:rsid w:val="00042085"/>
    <w:rsid w:val="00042104"/>
    <w:rsid w:val="00042441"/>
    <w:rsid w:val="00042445"/>
    <w:rsid w:val="000425D3"/>
    <w:rsid w:val="00042653"/>
    <w:rsid w:val="000428AF"/>
    <w:rsid w:val="000429E5"/>
    <w:rsid w:val="00042A43"/>
    <w:rsid w:val="00042CB0"/>
    <w:rsid w:val="00042E0F"/>
    <w:rsid w:val="00042E54"/>
    <w:rsid w:val="00042E66"/>
    <w:rsid w:val="00043089"/>
    <w:rsid w:val="00043347"/>
    <w:rsid w:val="0004334C"/>
    <w:rsid w:val="00043369"/>
    <w:rsid w:val="00043481"/>
    <w:rsid w:val="000436E4"/>
    <w:rsid w:val="0004388C"/>
    <w:rsid w:val="000438EC"/>
    <w:rsid w:val="00043B40"/>
    <w:rsid w:val="00043C3C"/>
    <w:rsid w:val="00043C8C"/>
    <w:rsid w:val="00043D7F"/>
    <w:rsid w:val="00044202"/>
    <w:rsid w:val="000445FA"/>
    <w:rsid w:val="00044650"/>
    <w:rsid w:val="00044701"/>
    <w:rsid w:val="0004495B"/>
    <w:rsid w:val="00044AF5"/>
    <w:rsid w:val="00044E52"/>
    <w:rsid w:val="00044E5A"/>
    <w:rsid w:val="00044E8D"/>
    <w:rsid w:val="00044F94"/>
    <w:rsid w:val="00045036"/>
    <w:rsid w:val="00045211"/>
    <w:rsid w:val="00045273"/>
    <w:rsid w:val="00045AF3"/>
    <w:rsid w:val="00045C0F"/>
    <w:rsid w:val="00045DE6"/>
    <w:rsid w:val="000460FE"/>
    <w:rsid w:val="0004640B"/>
    <w:rsid w:val="00046578"/>
    <w:rsid w:val="00046A5B"/>
    <w:rsid w:val="00046CFD"/>
    <w:rsid w:val="000470CF"/>
    <w:rsid w:val="000475EB"/>
    <w:rsid w:val="000479AD"/>
    <w:rsid w:val="00047B54"/>
    <w:rsid w:val="00047B79"/>
    <w:rsid w:val="00047DF3"/>
    <w:rsid w:val="00047F56"/>
    <w:rsid w:val="00047FC3"/>
    <w:rsid w:val="0005007C"/>
    <w:rsid w:val="0005008C"/>
    <w:rsid w:val="000502C5"/>
    <w:rsid w:val="0005042F"/>
    <w:rsid w:val="0005071A"/>
    <w:rsid w:val="00050968"/>
    <w:rsid w:val="00050B38"/>
    <w:rsid w:val="00050D47"/>
    <w:rsid w:val="00050F19"/>
    <w:rsid w:val="0005107D"/>
    <w:rsid w:val="00051117"/>
    <w:rsid w:val="0005116D"/>
    <w:rsid w:val="000511E4"/>
    <w:rsid w:val="0005139E"/>
    <w:rsid w:val="00051616"/>
    <w:rsid w:val="000519DA"/>
    <w:rsid w:val="00051AC9"/>
    <w:rsid w:val="00051C0E"/>
    <w:rsid w:val="000522B5"/>
    <w:rsid w:val="000526CF"/>
    <w:rsid w:val="000528B3"/>
    <w:rsid w:val="000529C4"/>
    <w:rsid w:val="00052B38"/>
    <w:rsid w:val="00052F93"/>
    <w:rsid w:val="0005322C"/>
    <w:rsid w:val="00053244"/>
    <w:rsid w:val="00053366"/>
    <w:rsid w:val="0005371D"/>
    <w:rsid w:val="0005382F"/>
    <w:rsid w:val="00053916"/>
    <w:rsid w:val="00053D66"/>
    <w:rsid w:val="00053E30"/>
    <w:rsid w:val="00053E85"/>
    <w:rsid w:val="00054036"/>
    <w:rsid w:val="00054127"/>
    <w:rsid w:val="000542D0"/>
    <w:rsid w:val="000547EB"/>
    <w:rsid w:val="00054A74"/>
    <w:rsid w:val="00054A9F"/>
    <w:rsid w:val="00054B64"/>
    <w:rsid w:val="00054EAC"/>
    <w:rsid w:val="00054EE9"/>
    <w:rsid w:val="00054F00"/>
    <w:rsid w:val="00054F4F"/>
    <w:rsid w:val="000553DF"/>
    <w:rsid w:val="0005553A"/>
    <w:rsid w:val="00055757"/>
    <w:rsid w:val="00055896"/>
    <w:rsid w:val="00055A57"/>
    <w:rsid w:val="00055B74"/>
    <w:rsid w:val="00055B9B"/>
    <w:rsid w:val="0005606E"/>
    <w:rsid w:val="00056089"/>
    <w:rsid w:val="00056093"/>
    <w:rsid w:val="00056463"/>
    <w:rsid w:val="00056711"/>
    <w:rsid w:val="00056713"/>
    <w:rsid w:val="000569AC"/>
    <w:rsid w:val="00056BB3"/>
    <w:rsid w:val="00056DF2"/>
    <w:rsid w:val="00056E08"/>
    <w:rsid w:val="00056F32"/>
    <w:rsid w:val="00057326"/>
    <w:rsid w:val="0005758A"/>
    <w:rsid w:val="00057673"/>
    <w:rsid w:val="000576F8"/>
    <w:rsid w:val="000577D6"/>
    <w:rsid w:val="00057DE2"/>
    <w:rsid w:val="00057E24"/>
    <w:rsid w:val="00057F3A"/>
    <w:rsid w:val="00060DE8"/>
    <w:rsid w:val="00060EF4"/>
    <w:rsid w:val="00060F65"/>
    <w:rsid w:val="00061173"/>
    <w:rsid w:val="000612DF"/>
    <w:rsid w:val="000614D7"/>
    <w:rsid w:val="0006174A"/>
    <w:rsid w:val="00061917"/>
    <w:rsid w:val="00061A14"/>
    <w:rsid w:val="00061BFF"/>
    <w:rsid w:val="00061D1F"/>
    <w:rsid w:val="00061DAC"/>
    <w:rsid w:val="00061E7B"/>
    <w:rsid w:val="000622C9"/>
    <w:rsid w:val="00062336"/>
    <w:rsid w:val="0006264F"/>
    <w:rsid w:val="00062A80"/>
    <w:rsid w:val="000631A7"/>
    <w:rsid w:val="000633CB"/>
    <w:rsid w:val="00063AF8"/>
    <w:rsid w:val="00063CFF"/>
    <w:rsid w:val="000646FB"/>
    <w:rsid w:val="00064801"/>
    <w:rsid w:val="00064E44"/>
    <w:rsid w:val="00064E94"/>
    <w:rsid w:val="00064F59"/>
    <w:rsid w:val="0006524D"/>
    <w:rsid w:val="000652BF"/>
    <w:rsid w:val="00065384"/>
    <w:rsid w:val="000658F3"/>
    <w:rsid w:val="00065AE3"/>
    <w:rsid w:val="00065BB9"/>
    <w:rsid w:val="000667B3"/>
    <w:rsid w:val="00066CDD"/>
    <w:rsid w:val="00066D2E"/>
    <w:rsid w:val="00066D66"/>
    <w:rsid w:val="00066DF5"/>
    <w:rsid w:val="000675C4"/>
    <w:rsid w:val="00067790"/>
    <w:rsid w:val="00067854"/>
    <w:rsid w:val="00067E70"/>
    <w:rsid w:val="00067E79"/>
    <w:rsid w:val="00070225"/>
    <w:rsid w:val="000703E2"/>
    <w:rsid w:val="0007055A"/>
    <w:rsid w:val="000706B0"/>
    <w:rsid w:val="00070972"/>
    <w:rsid w:val="000709E2"/>
    <w:rsid w:val="00070D68"/>
    <w:rsid w:val="00070DA7"/>
    <w:rsid w:val="00070E34"/>
    <w:rsid w:val="00070F80"/>
    <w:rsid w:val="0007116B"/>
    <w:rsid w:val="00071780"/>
    <w:rsid w:val="0007183D"/>
    <w:rsid w:val="00071842"/>
    <w:rsid w:val="00071C3F"/>
    <w:rsid w:val="00071EDA"/>
    <w:rsid w:val="000723B8"/>
    <w:rsid w:val="00072409"/>
    <w:rsid w:val="00072467"/>
    <w:rsid w:val="000724FD"/>
    <w:rsid w:val="0007278B"/>
    <w:rsid w:val="000729AD"/>
    <w:rsid w:val="00072BC3"/>
    <w:rsid w:val="0007302C"/>
    <w:rsid w:val="00073541"/>
    <w:rsid w:val="000735FC"/>
    <w:rsid w:val="00073669"/>
    <w:rsid w:val="000737DD"/>
    <w:rsid w:val="00073A52"/>
    <w:rsid w:val="00073DDE"/>
    <w:rsid w:val="00073E4C"/>
    <w:rsid w:val="00073FCA"/>
    <w:rsid w:val="0007454D"/>
    <w:rsid w:val="0007472B"/>
    <w:rsid w:val="000747EE"/>
    <w:rsid w:val="0007480F"/>
    <w:rsid w:val="000749A2"/>
    <w:rsid w:val="00074BE8"/>
    <w:rsid w:val="000750EA"/>
    <w:rsid w:val="0007537D"/>
    <w:rsid w:val="00075807"/>
    <w:rsid w:val="00075910"/>
    <w:rsid w:val="00075B82"/>
    <w:rsid w:val="00075BAA"/>
    <w:rsid w:val="00075D93"/>
    <w:rsid w:val="00075E3A"/>
    <w:rsid w:val="00075F50"/>
    <w:rsid w:val="0007609B"/>
    <w:rsid w:val="0007626F"/>
    <w:rsid w:val="000762ED"/>
    <w:rsid w:val="00076467"/>
    <w:rsid w:val="000764E1"/>
    <w:rsid w:val="0007653A"/>
    <w:rsid w:val="00076588"/>
    <w:rsid w:val="00076597"/>
    <w:rsid w:val="00076640"/>
    <w:rsid w:val="00076661"/>
    <w:rsid w:val="00076683"/>
    <w:rsid w:val="00076846"/>
    <w:rsid w:val="000768B2"/>
    <w:rsid w:val="00076A35"/>
    <w:rsid w:val="00076A9A"/>
    <w:rsid w:val="00076B20"/>
    <w:rsid w:val="00076BD6"/>
    <w:rsid w:val="00076ED8"/>
    <w:rsid w:val="00076EF8"/>
    <w:rsid w:val="00076F7F"/>
    <w:rsid w:val="0007734C"/>
    <w:rsid w:val="00077414"/>
    <w:rsid w:val="0007750B"/>
    <w:rsid w:val="000778DE"/>
    <w:rsid w:val="000779B7"/>
    <w:rsid w:val="00077A4F"/>
    <w:rsid w:val="00077B4F"/>
    <w:rsid w:val="00077BAA"/>
    <w:rsid w:val="00077BDF"/>
    <w:rsid w:val="00077D32"/>
    <w:rsid w:val="00080022"/>
    <w:rsid w:val="000803CC"/>
    <w:rsid w:val="00080543"/>
    <w:rsid w:val="000807B3"/>
    <w:rsid w:val="00080B2E"/>
    <w:rsid w:val="00080D1D"/>
    <w:rsid w:val="00080D2B"/>
    <w:rsid w:val="00080D7B"/>
    <w:rsid w:val="000811A1"/>
    <w:rsid w:val="0008122C"/>
    <w:rsid w:val="0008135E"/>
    <w:rsid w:val="0008145D"/>
    <w:rsid w:val="000814B5"/>
    <w:rsid w:val="0008189F"/>
    <w:rsid w:val="00081A9F"/>
    <w:rsid w:val="00081BB9"/>
    <w:rsid w:val="00081E69"/>
    <w:rsid w:val="0008205C"/>
    <w:rsid w:val="00082382"/>
    <w:rsid w:val="000823F0"/>
    <w:rsid w:val="00082431"/>
    <w:rsid w:val="0008243C"/>
    <w:rsid w:val="000829AB"/>
    <w:rsid w:val="00082D04"/>
    <w:rsid w:val="000831CF"/>
    <w:rsid w:val="00083787"/>
    <w:rsid w:val="000837BF"/>
    <w:rsid w:val="00083925"/>
    <w:rsid w:val="00083946"/>
    <w:rsid w:val="00083DB1"/>
    <w:rsid w:val="00084009"/>
    <w:rsid w:val="0008400C"/>
    <w:rsid w:val="00084234"/>
    <w:rsid w:val="000843A6"/>
    <w:rsid w:val="000844AA"/>
    <w:rsid w:val="000844C3"/>
    <w:rsid w:val="00084DD4"/>
    <w:rsid w:val="00084E53"/>
    <w:rsid w:val="0008527F"/>
    <w:rsid w:val="000852AA"/>
    <w:rsid w:val="00085349"/>
    <w:rsid w:val="000854FC"/>
    <w:rsid w:val="00085506"/>
    <w:rsid w:val="000856F1"/>
    <w:rsid w:val="00085804"/>
    <w:rsid w:val="00085867"/>
    <w:rsid w:val="000858AF"/>
    <w:rsid w:val="00085A36"/>
    <w:rsid w:val="00085A7D"/>
    <w:rsid w:val="00085AD4"/>
    <w:rsid w:val="00085B9B"/>
    <w:rsid w:val="00085D11"/>
    <w:rsid w:val="00085E8D"/>
    <w:rsid w:val="00085EBD"/>
    <w:rsid w:val="000860F7"/>
    <w:rsid w:val="00086431"/>
    <w:rsid w:val="0008673D"/>
    <w:rsid w:val="00086826"/>
    <w:rsid w:val="00086A21"/>
    <w:rsid w:val="00086E85"/>
    <w:rsid w:val="0008716A"/>
    <w:rsid w:val="00087208"/>
    <w:rsid w:val="00087252"/>
    <w:rsid w:val="000872C6"/>
    <w:rsid w:val="0008776E"/>
    <w:rsid w:val="00087794"/>
    <w:rsid w:val="00087DB3"/>
    <w:rsid w:val="00087EE9"/>
    <w:rsid w:val="000901D6"/>
    <w:rsid w:val="00090282"/>
    <w:rsid w:val="000902B4"/>
    <w:rsid w:val="0009035C"/>
    <w:rsid w:val="0009045C"/>
    <w:rsid w:val="00090470"/>
    <w:rsid w:val="00090A68"/>
    <w:rsid w:val="00090B69"/>
    <w:rsid w:val="00090B74"/>
    <w:rsid w:val="00090D99"/>
    <w:rsid w:val="00090DA4"/>
    <w:rsid w:val="00090DC6"/>
    <w:rsid w:val="00091023"/>
    <w:rsid w:val="00091026"/>
    <w:rsid w:val="0009106C"/>
    <w:rsid w:val="00091259"/>
    <w:rsid w:val="00091406"/>
    <w:rsid w:val="00091476"/>
    <w:rsid w:val="0009156D"/>
    <w:rsid w:val="000917EF"/>
    <w:rsid w:val="00091BC6"/>
    <w:rsid w:val="00091BE9"/>
    <w:rsid w:val="00091E41"/>
    <w:rsid w:val="00091F37"/>
    <w:rsid w:val="00092196"/>
    <w:rsid w:val="00092345"/>
    <w:rsid w:val="00092442"/>
    <w:rsid w:val="00092B9B"/>
    <w:rsid w:val="00092EC5"/>
    <w:rsid w:val="00093091"/>
    <w:rsid w:val="0009372E"/>
    <w:rsid w:val="000939D5"/>
    <w:rsid w:val="00093C81"/>
    <w:rsid w:val="00094119"/>
    <w:rsid w:val="000942CB"/>
    <w:rsid w:val="000942E6"/>
    <w:rsid w:val="00094611"/>
    <w:rsid w:val="000946A1"/>
    <w:rsid w:val="000946EB"/>
    <w:rsid w:val="0009472C"/>
    <w:rsid w:val="0009473A"/>
    <w:rsid w:val="000947E4"/>
    <w:rsid w:val="00094AB1"/>
    <w:rsid w:val="00094D29"/>
    <w:rsid w:val="00094E77"/>
    <w:rsid w:val="000950FB"/>
    <w:rsid w:val="0009514A"/>
    <w:rsid w:val="0009521E"/>
    <w:rsid w:val="0009534D"/>
    <w:rsid w:val="000958CD"/>
    <w:rsid w:val="00095994"/>
    <w:rsid w:val="00095D79"/>
    <w:rsid w:val="00095E3A"/>
    <w:rsid w:val="00095EC0"/>
    <w:rsid w:val="000962BD"/>
    <w:rsid w:val="000962DC"/>
    <w:rsid w:val="00096578"/>
    <w:rsid w:val="00096718"/>
    <w:rsid w:val="00096841"/>
    <w:rsid w:val="00096AFA"/>
    <w:rsid w:val="00096BDF"/>
    <w:rsid w:val="0009701B"/>
    <w:rsid w:val="000973AD"/>
    <w:rsid w:val="00097433"/>
    <w:rsid w:val="00097439"/>
    <w:rsid w:val="00097B0C"/>
    <w:rsid w:val="00097B25"/>
    <w:rsid w:val="00097CAA"/>
    <w:rsid w:val="00097D46"/>
    <w:rsid w:val="00097F2F"/>
    <w:rsid w:val="00097F82"/>
    <w:rsid w:val="000A00D4"/>
    <w:rsid w:val="000A00DF"/>
    <w:rsid w:val="000A00F6"/>
    <w:rsid w:val="000A01DE"/>
    <w:rsid w:val="000A0E52"/>
    <w:rsid w:val="000A0FB4"/>
    <w:rsid w:val="000A105C"/>
    <w:rsid w:val="000A1340"/>
    <w:rsid w:val="000A1CB2"/>
    <w:rsid w:val="000A1CE4"/>
    <w:rsid w:val="000A1D35"/>
    <w:rsid w:val="000A1DAA"/>
    <w:rsid w:val="000A20F1"/>
    <w:rsid w:val="000A2163"/>
    <w:rsid w:val="000A21F1"/>
    <w:rsid w:val="000A22C5"/>
    <w:rsid w:val="000A24FE"/>
    <w:rsid w:val="000A2B73"/>
    <w:rsid w:val="000A2C84"/>
    <w:rsid w:val="000A2D8E"/>
    <w:rsid w:val="000A2DAA"/>
    <w:rsid w:val="000A2EC4"/>
    <w:rsid w:val="000A33BB"/>
    <w:rsid w:val="000A372C"/>
    <w:rsid w:val="000A3A46"/>
    <w:rsid w:val="000A3E92"/>
    <w:rsid w:val="000A3FB0"/>
    <w:rsid w:val="000A414E"/>
    <w:rsid w:val="000A42EE"/>
    <w:rsid w:val="000A438E"/>
    <w:rsid w:val="000A44A1"/>
    <w:rsid w:val="000A45F0"/>
    <w:rsid w:val="000A4616"/>
    <w:rsid w:val="000A4C3E"/>
    <w:rsid w:val="000A4EDA"/>
    <w:rsid w:val="000A5212"/>
    <w:rsid w:val="000A526F"/>
    <w:rsid w:val="000A54B5"/>
    <w:rsid w:val="000A550C"/>
    <w:rsid w:val="000A5664"/>
    <w:rsid w:val="000A573C"/>
    <w:rsid w:val="000A5A69"/>
    <w:rsid w:val="000A60D4"/>
    <w:rsid w:val="000A6302"/>
    <w:rsid w:val="000A6344"/>
    <w:rsid w:val="000A671F"/>
    <w:rsid w:val="000A6E81"/>
    <w:rsid w:val="000A71E4"/>
    <w:rsid w:val="000A7378"/>
    <w:rsid w:val="000A7724"/>
    <w:rsid w:val="000A7BDC"/>
    <w:rsid w:val="000A7EB4"/>
    <w:rsid w:val="000A7FB4"/>
    <w:rsid w:val="000B0313"/>
    <w:rsid w:val="000B0899"/>
    <w:rsid w:val="000B0A39"/>
    <w:rsid w:val="000B0D23"/>
    <w:rsid w:val="000B0F0C"/>
    <w:rsid w:val="000B1559"/>
    <w:rsid w:val="000B1672"/>
    <w:rsid w:val="000B1788"/>
    <w:rsid w:val="000B1959"/>
    <w:rsid w:val="000B19E9"/>
    <w:rsid w:val="000B1CF2"/>
    <w:rsid w:val="000B1F93"/>
    <w:rsid w:val="000B25B7"/>
    <w:rsid w:val="000B266E"/>
    <w:rsid w:val="000B29DE"/>
    <w:rsid w:val="000B2D4D"/>
    <w:rsid w:val="000B2E31"/>
    <w:rsid w:val="000B2E82"/>
    <w:rsid w:val="000B2ED2"/>
    <w:rsid w:val="000B3315"/>
    <w:rsid w:val="000B353B"/>
    <w:rsid w:val="000B35EA"/>
    <w:rsid w:val="000B38BC"/>
    <w:rsid w:val="000B3C60"/>
    <w:rsid w:val="000B3D2A"/>
    <w:rsid w:val="000B3ED1"/>
    <w:rsid w:val="000B45F3"/>
    <w:rsid w:val="000B49BD"/>
    <w:rsid w:val="000B4A12"/>
    <w:rsid w:val="000B4A6B"/>
    <w:rsid w:val="000B4D18"/>
    <w:rsid w:val="000B4DB1"/>
    <w:rsid w:val="000B5193"/>
    <w:rsid w:val="000B52B8"/>
    <w:rsid w:val="000B530E"/>
    <w:rsid w:val="000B5571"/>
    <w:rsid w:val="000B587C"/>
    <w:rsid w:val="000B5C4D"/>
    <w:rsid w:val="000B5D10"/>
    <w:rsid w:val="000B5F0F"/>
    <w:rsid w:val="000B62B4"/>
    <w:rsid w:val="000B63D6"/>
    <w:rsid w:val="000B673E"/>
    <w:rsid w:val="000B69A2"/>
    <w:rsid w:val="000B69AA"/>
    <w:rsid w:val="000B69D9"/>
    <w:rsid w:val="000B6AE4"/>
    <w:rsid w:val="000B6B6A"/>
    <w:rsid w:val="000B6D0E"/>
    <w:rsid w:val="000B70E8"/>
    <w:rsid w:val="000B7390"/>
    <w:rsid w:val="000B766A"/>
    <w:rsid w:val="000B7781"/>
    <w:rsid w:val="000B7F2D"/>
    <w:rsid w:val="000C00F4"/>
    <w:rsid w:val="000C0113"/>
    <w:rsid w:val="000C013D"/>
    <w:rsid w:val="000C024A"/>
    <w:rsid w:val="000C03FD"/>
    <w:rsid w:val="000C04A4"/>
    <w:rsid w:val="000C0915"/>
    <w:rsid w:val="000C0929"/>
    <w:rsid w:val="000C09FE"/>
    <w:rsid w:val="000C0BB0"/>
    <w:rsid w:val="000C0DD2"/>
    <w:rsid w:val="000C0EA0"/>
    <w:rsid w:val="000C122A"/>
    <w:rsid w:val="000C1336"/>
    <w:rsid w:val="000C14BB"/>
    <w:rsid w:val="000C14BC"/>
    <w:rsid w:val="000C157C"/>
    <w:rsid w:val="000C15FA"/>
    <w:rsid w:val="000C1D48"/>
    <w:rsid w:val="000C1DC9"/>
    <w:rsid w:val="000C1F01"/>
    <w:rsid w:val="000C2059"/>
    <w:rsid w:val="000C2071"/>
    <w:rsid w:val="000C2293"/>
    <w:rsid w:val="000C2305"/>
    <w:rsid w:val="000C2362"/>
    <w:rsid w:val="000C2651"/>
    <w:rsid w:val="000C2CA4"/>
    <w:rsid w:val="000C2EC5"/>
    <w:rsid w:val="000C2FA5"/>
    <w:rsid w:val="000C302E"/>
    <w:rsid w:val="000C313A"/>
    <w:rsid w:val="000C327F"/>
    <w:rsid w:val="000C3560"/>
    <w:rsid w:val="000C3611"/>
    <w:rsid w:val="000C39FB"/>
    <w:rsid w:val="000C3B5C"/>
    <w:rsid w:val="000C3C08"/>
    <w:rsid w:val="000C3CC3"/>
    <w:rsid w:val="000C3E2D"/>
    <w:rsid w:val="000C3E5E"/>
    <w:rsid w:val="000C435F"/>
    <w:rsid w:val="000C46F5"/>
    <w:rsid w:val="000C4AEB"/>
    <w:rsid w:val="000C4CF6"/>
    <w:rsid w:val="000C4F0C"/>
    <w:rsid w:val="000C5306"/>
    <w:rsid w:val="000C53A2"/>
    <w:rsid w:val="000C53E6"/>
    <w:rsid w:val="000C5552"/>
    <w:rsid w:val="000C56F0"/>
    <w:rsid w:val="000C5972"/>
    <w:rsid w:val="000C5B56"/>
    <w:rsid w:val="000C5C73"/>
    <w:rsid w:val="000C5CF7"/>
    <w:rsid w:val="000C5F78"/>
    <w:rsid w:val="000C600D"/>
    <w:rsid w:val="000C6226"/>
    <w:rsid w:val="000C6313"/>
    <w:rsid w:val="000C63F7"/>
    <w:rsid w:val="000C644E"/>
    <w:rsid w:val="000C65D9"/>
    <w:rsid w:val="000C668E"/>
    <w:rsid w:val="000C6D9D"/>
    <w:rsid w:val="000C6F7A"/>
    <w:rsid w:val="000C6FBB"/>
    <w:rsid w:val="000C70A8"/>
    <w:rsid w:val="000C7210"/>
    <w:rsid w:val="000C7595"/>
    <w:rsid w:val="000C7720"/>
    <w:rsid w:val="000C7751"/>
    <w:rsid w:val="000C777D"/>
    <w:rsid w:val="000C7E54"/>
    <w:rsid w:val="000D0057"/>
    <w:rsid w:val="000D0129"/>
    <w:rsid w:val="000D0662"/>
    <w:rsid w:val="000D07CB"/>
    <w:rsid w:val="000D0BA7"/>
    <w:rsid w:val="000D0DE8"/>
    <w:rsid w:val="000D0E6B"/>
    <w:rsid w:val="000D17FE"/>
    <w:rsid w:val="000D1978"/>
    <w:rsid w:val="000D198E"/>
    <w:rsid w:val="000D1A43"/>
    <w:rsid w:val="000D1D12"/>
    <w:rsid w:val="000D226D"/>
    <w:rsid w:val="000D2683"/>
    <w:rsid w:val="000D2853"/>
    <w:rsid w:val="000D29AF"/>
    <w:rsid w:val="000D2AEF"/>
    <w:rsid w:val="000D2DD8"/>
    <w:rsid w:val="000D2F31"/>
    <w:rsid w:val="000D313A"/>
    <w:rsid w:val="000D329E"/>
    <w:rsid w:val="000D3B84"/>
    <w:rsid w:val="000D3EDD"/>
    <w:rsid w:val="000D4066"/>
    <w:rsid w:val="000D41B1"/>
    <w:rsid w:val="000D41C9"/>
    <w:rsid w:val="000D42EF"/>
    <w:rsid w:val="000D449E"/>
    <w:rsid w:val="000D4520"/>
    <w:rsid w:val="000D4832"/>
    <w:rsid w:val="000D4984"/>
    <w:rsid w:val="000D4A19"/>
    <w:rsid w:val="000D4BB7"/>
    <w:rsid w:val="000D4FBA"/>
    <w:rsid w:val="000D577B"/>
    <w:rsid w:val="000D5B84"/>
    <w:rsid w:val="000D6239"/>
    <w:rsid w:val="000D634E"/>
    <w:rsid w:val="000D63A3"/>
    <w:rsid w:val="000D64FA"/>
    <w:rsid w:val="000D657E"/>
    <w:rsid w:val="000D694D"/>
    <w:rsid w:val="000D6AD4"/>
    <w:rsid w:val="000D6C67"/>
    <w:rsid w:val="000D7813"/>
    <w:rsid w:val="000D79BC"/>
    <w:rsid w:val="000D7A4D"/>
    <w:rsid w:val="000D7B13"/>
    <w:rsid w:val="000D7EE5"/>
    <w:rsid w:val="000E0128"/>
    <w:rsid w:val="000E01BD"/>
    <w:rsid w:val="000E0203"/>
    <w:rsid w:val="000E0280"/>
    <w:rsid w:val="000E048C"/>
    <w:rsid w:val="000E060F"/>
    <w:rsid w:val="000E07D5"/>
    <w:rsid w:val="000E09FE"/>
    <w:rsid w:val="000E0ACA"/>
    <w:rsid w:val="000E0C3C"/>
    <w:rsid w:val="000E0D2D"/>
    <w:rsid w:val="000E10EB"/>
    <w:rsid w:val="000E132E"/>
    <w:rsid w:val="000E134E"/>
    <w:rsid w:val="000E140C"/>
    <w:rsid w:val="000E143E"/>
    <w:rsid w:val="000E17BC"/>
    <w:rsid w:val="000E1965"/>
    <w:rsid w:val="000E1967"/>
    <w:rsid w:val="000E1972"/>
    <w:rsid w:val="000E1B28"/>
    <w:rsid w:val="000E1BA7"/>
    <w:rsid w:val="000E1E84"/>
    <w:rsid w:val="000E1FE4"/>
    <w:rsid w:val="000E20E3"/>
    <w:rsid w:val="000E2158"/>
    <w:rsid w:val="000E223F"/>
    <w:rsid w:val="000E2356"/>
    <w:rsid w:val="000E2383"/>
    <w:rsid w:val="000E2724"/>
    <w:rsid w:val="000E2951"/>
    <w:rsid w:val="000E2A66"/>
    <w:rsid w:val="000E2D44"/>
    <w:rsid w:val="000E3285"/>
    <w:rsid w:val="000E3506"/>
    <w:rsid w:val="000E3606"/>
    <w:rsid w:val="000E36A6"/>
    <w:rsid w:val="000E3D7D"/>
    <w:rsid w:val="000E4099"/>
    <w:rsid w:val="000E4112"/>
    <w:rsid w:val="000E419E"/>
    <w:rsid w:val="000E41C6"/>
    <w:rsid w:val="000E4290"/>
    <w:rsid w:val="000E459E"/>
    <w:rsid w:val="000E466E"/>
    <w:rsid w:val="000E4CB0"/>
    <w:rsid w:val="000E4E77"/>
    <w:rsid w:val="000E4EC1"/>
    <w:rsid w:val="000E52AE"/>
    <w:rsid w:val="000E5819"/>
    <w:rsid w:val="000E5B18"/>
    <w:rsid w:val="000E5B83"/>
    <w:rsid w:val="000E5C78"/>
    <w:rsid w:val="000E6439"/>
    <w:rsid w:val="000E656A"/>
    <w:rsid w:val="000E66D1"/>
    <w:rsid w:val="000E66EF"/>
    <w:rsid w:val="000E66FD"/>
    <w:rsid w:val="000E6745"/>
    <w:rsid w:val="000E6883"/>
    <w:rsid w:val="000E696C"/>
    <w:rsid w:val="000E6AFC"/>
    <w:rsid w:val="000E6BED"/>
    <w:rsid w:val="000E6C8B"/>
    <w:rsid w:val="000E7055"/>
    <w:rsid w:val="000E713B"/>
    <w:rsid w:val="000E720F"/>
    <w:rsid w:val="000E73FD"/>
    <w:rsid w:val="000E7418"/>
    <w:rsid w:val="000E7495"/>
    <w:rsid w:val="000E7660"/>
    <w:rsid w:val="000E7810"/>
    <w:rsid w:val="000E7853"/>
    <w:rsid w:val="000E7948"/>
    <w:rsid w:val="000E7A8D"/>
    <w:rsid w:val="000E7DA0"/>
    <w:rsid w:val="000E7DB6"/>
    <w:rsid w:val="000F026E"/>
    <w:rsid w:val="000F0602"/>
    <w:rsid w:val="000F067E"/>
    <w:rsid w:val="000F07AC"/>
    <w:rsid w:val="000F0CB4"/>
    <w:rsid w:val="000F0D01"/>
    <w:rsid w:val="000F0F8B"/>
    <w:rsid w:val="000F0FE7"/>
    <w:rsid w:val="000F172A"/>
    <w:rsid w:val="000F1A6D"/>
    <w:rsid w:val="000F1D3F"/>
    <w:rsid w:val="000F1D42"/>
    <w:rsid w:val="000F1E19"/>
    <w:rsid w:val="000F2176"/>
    <w:rsid w:val="000F2288"/>
    <w:rsid w:val="000F26BE"/>
    <w:rsid w:val="000F26FE"/>
    <w:rsid w:val="000F278B"/>
    <w:rsid w:val="000F2915"/>
    <w:rsid w:val="000F2CCB"/>
    <w:rsid w:val="000F2CE0"/>
    <w:rsid w:val="000F2CF0"/>
    <w:rsid w:val="000F2E69"/>
    <w:rsid w:val="000F2EA2"/>
    <w:rsid w:val="000F339D"/>
    <w:rsid w:val="000F370E"/>
    <w:rsid w:val="000F3BA8"/>
    <w:rsid w:val="000F3C7C"/>
    <w:rsid w:val="000F3E17"/>
    <w:rsid w:val="000F3F54"/>
    <w:rsid w:val="000F4122"/>
    <w:rsid w:val="000F43F5"/>
    <w:rsid w:val="000F45EF"/>
    <w:rsid w:val="000F47DB"/>
    <w:rsid w:val="000F4C76"/>
    <w:rsid w:val="000F4F8A"/>
    <w:rsid w:val="000F50E2"/>
    <w:rsid w:val="000F524F"/>
    <w:rsid w:val="000F5353"/>
    <w:rsid w:val="000F555F"/>
    <w:rsid w:val="000F5594"/>
    <w:rsid w:val="000F55FA"/>
    <w:rsid w:val="000F566E"/>
    <w:rsid w:val="000F5903"/>
    <w:rsid w:val="000F5A3A"/>
    <w:rsid w:val="000F5C33"/>
    <w:rsid w:val="000F5D12"/>
    <w:rsid w:val="000F5D9F"/>
    <w:rsid w:val="000F5F63"/>
    <w:rsid w:val="000F6207"/>
    <w:rsid w:val="000F63B2"/>
    <w:rsid w:val="000F6487"/>
    <w:rsid w:val="000F65C5"/>
    <w:rsid w:val="000F668D"/>
    <w:rsid w:val="000F6905"/>
    <w:rsid w:val="000F6B11"/>
    <w:rsid w:val="000F6C7B"/>
    <w:rsid w:val="000F6FEF"/>
    <w:rsid w:val="000F701F"/>
    <w:rsid w:val="000F72AF"/>
    <w:rsid w:val="000F72C4"/>
    <w:rsid w:val="000F75EC"/>
    <w:rsid w:val="000F768E"/>
    <w:rsid w:val="000F77E4"/>
    <w:rsid w:val="000F77F7"/>
    <w:rsid w:val="000F7C68"/>
    <w:rsid w:val="000F7D23"/>
    <w:rsid w:val="000F7F84"/>
    <w:rsid w:val="00100259"/>
    <w:rsid w:val="001002CF"/>
    <w:rsid w:val="00100311"/>
    <w:rsid w:val="00100A01"/>
    <w:rsid w:val="00100E2F"/>
    <w:rsid w:val="00101013"/>
    <w:rsid w:val="00101846"/>
    <w:rsid w:val="001018C2"/>
    <w:rsid w:val="00101C78"/>
    <w:rsid w:val="00101CF8"/>
    <w:rsid w:val="00101DF5"/>
    <w:rsid w:val="00101EAC"/>
    <w:rsid w:val="00102505"/>
    <w:rsid w:val="001026F5"/>
    <w:rsid w:val="00102831"/>
    <w:rsid w:val="00102996"/>
    <w:rsid w:val="00102BC8"/>
    <w:rsid w:val="00102CDB"/>
    <w:rsid w:val="00102F92"/>
    <w:rsid w:val="00103245"/>
    <w:rsid w:val="0010326C"/>
    <w:rsid w:val="001033DF"/>
    <w:rsid w:val="00103604"/>
    <w:rsid w:val="0010370A"/>
    <w:rsid w:val="00103841"/>
    <w:rsid w:val="0010397D"/>
    <w:rsid w:val="00103A59"/>
    <w:rsid w:val="00103ABD"/>
    <w:rsid w:val="00103E87"/>
    <w:rsid w:val="00103F6B"/>
    <w:rsid w:val="00103FBB"/>
    <w:rsid w:val="001040CA"/>
    <w:rsid w:val="001040E3"/>
    <w:rsid w:val="001048B9"/>
    <w:rsid w:val="001048D3"/>
    <w:rsid w:val="00104FE4"/>
    <w:rsid w:val="00105085"/>
    <w:rsid w:val="00105310"/>
    <w:rsid w:val="001055C4"/>
    <w:rsid w:val="00105800"/>
    <w:rsid w:val="00105A5B"/>
    <w:rsid w:val="00105B1D"/>
    <w:rsid w:val="00105EE3"/>
    <w:rsid w:val="001061E8"/>
    <w:rsid w:val="001061F4"/>
    <w:rsid w:val="00106322"/>
    <w:rsid w:val="001065F5"/>
    <w:rsid w:val="0010663A"/>
    <w:rsid w:val="001066C2"/>
    <w:rsid w:val="001069EA"/>
    <w:rsid w:val="00106D31"/>
    <w:rsid w:val="00106DA2"/>
    <w:rsid w:val="00106E24"/>
    <w:rsid w:val="00106FD7"/>
    <w:rsid w:val="0010722C"/>
    <w:rsid w:val="001073B1"/>
    <w:rsid w:val="001074F4"/>
    <w:rsid w:val="0010759E"/>
    <w:rsid w:val="0010789F"/>
    <w:rsid w:val="001078C1"/>
    <w:rsid w:val="001079EE"/>
    <w:rsid w:val="00107C3D"/>
    <w:rsid w:val="00107EBE"/>
    <w:rsid w:val="001102C1"/>
    <w:rsid w:val="00110640"/>
    <w:rsid w:val="001109CB"/>
    <w:rsid w:val="00110C65"/>
    <w:rsid w:val="00110E79"/>
    <w:rsid w:val="001112A0"/>
    <w:rsid w:val="00111C44"/>
    <w:rsid w:val="00111F33"/>
    <w:rsid w:val="00112229"/>
    <w:rsid w:val="0011242E"/>
    <w:rsid w:val="001127AE"/>
    <w:rsid w:val="0011289F"/>
    <w:rsid w:val="00112C08"/>
    <w:rsid w:val="00112D4F"/>
    <w:rsid w:val="00113149"/>
    <w:rsid w:val="0011317B"/>
    <w:rsid w:val="0011336C"/>
    <w:rsid w:val="0011352D"/>
    <w:rsid w:val="00113556"/>
    <w:rsid w:val="0011363F"/>
    <w:rsid w:val="00113776"/>
    <w:rsid w:val="00113876"/>
    <w:rsid w:val="00113BEC"/>
    <w:rsid w:val="00113BFA"/>
    <w:rsid w:val="00113CB1"/>
    <w:rsid w:val="00113F96"/>
    <w:rsid w:val="00114194"/>
    <w:rsid w:val="001143B3"/>
    <w:rsid w:val="0011457F"/>
    <w:rsid w:val="00114719"/>
    <w:rsid w:val="00114ABD"/>
    <w:rsid w:val="0011502C"/>
    <w:rsid w:val="00115136"/>
    <w:rsid w:val="001151F0"/>
    <w:rsid w:val="0011530B"/>
    <w:rsid w:val="001155E6"/>
    <w:rsid w:val="0011560D"/>
    <w:rsid w:val="001156DF"/>
    <w:rsid w:val="001157CF"/>
    <w:rsid w:val="0011584F"/>
    <w:rsid w:val="001158C9"/>
    <w:rsid w:val="00115B30"/>
    <w:rsid w:val="00115BFD"/>
    <w:rsid w:val="00115CBE"/>
    <w:rsid w:val="00115D4B"/>
    <w:rsid w:val="00115E7B"/>
    <w:rsid w:val="00115F0A"/>
    <w:rsid w:val="00115F33"/>
    <w:rsid w:val="00115FF1"/>
    <w:rsid w:val="001160C4"/>
    <w:rsid w:val="00116429"/>
    <w:rsid w:val="0011665C"/>
    <w:rsid w:val="001166DB"/>
    <w:rsid w:val="0011679A"/>
    <w:rsid w:val="001169DE"/>
    <w:rsid w:val="00116BD7"/>
    <w:rsid w:val="00116CB0"/>
    <w:rsid w:val="00116DF5"/>
    <w:rsid w:val="00116E75"/>
    <w:rsid w:val="001171B6"/>
    <w:rsid w:val="001171F9"/>
    <w:rsid w:val="001172C7"/>
    <w:rsid w:val="0011749B"/>
    <w:rsid w:val="00117660"/>
    <w:rsid w:val="00117863"/>
    <w:rsid w:val="00117868"/>
    <w:rsid w:val="00117A8A"/>
    <w:rsid w:val="00117B49"/>
    <w:rsid w:val="00117F31"/>
    <w:rsid w:val="00120100"/>
    <w:rsid w:val="001201BB"/>
    <w:rsid w:val="0012047C"/>
    <w:rsid w:val="001204D5"/>
    <w:rsid w:val="00120777"/>
    <w:rsid w:val="00120ABF"/>
    <w:rsid w:val="00120B45"/>
    <w:rsid w:val="00120B55"/>
    <w:rsid w:val="00120B9A"/>
    <w:rsid w:val="00120BED"/>
    <w:rsid w:val="00120C95"/>
    <w:rsid w:val="00120EDE"/>
    <w:rsid w:val="0012118B"/>
    <w:rsid w:val="001212AE"/>
    <w:rsid w:val="00121414"/>
    <w:rsid w:val="001218F8"/>
    <w:rsid w:val="0012200B"/>
    <w:rsid w:val="00122209"/>
    <w:rsid w:val="0012248E"/>
    <w:rsid w:val="001225FC"/>
    <w:rsid w:val="001226A4"/>
    <w:rsid w:val="001231D5"/>
    <w:rsid w:val="00123274"/>
    <w:rsid w:val="001233AC"/>
    <w:rsid w:val="001238EF"/>
    <w:rsid w:val="00123DB1"/>
    <w:rsid w:val="00123DB8"/>
    <w:rsid w:val="00123F32"/>
    <w:rsid w:val="001240A4"/>
    <w:rsid w:val="0012412F"/>
    <w:rsid w:val="00124407"/>
    <w:rsid w:val="0012460F"/>
    <w:rsid w:val="0012476C"/>
    <w:rsid w:val="00124829"/>
    <w:rsid w:val="0012487D"/>
    <w:rsid w:val="001248E1"/>
    <w:rsid w:val="00124E4A"/>
    <w:rsid w:val="00125285"/>
    <w:rsid w:val="001252D3"/>
    <w:rsid w:val="0012563A"/>
    <w:rsid w:val="0012572A"/>
    <w:rsid w:val="00125AE8"/>
    <w:rsid w:val="00125CD6"/>
    <w:rsid w:val="00125D8A"/>
    <w:rsid w:val="00125DDA"/>
    <w:rsid w:val="00125E67"/>
    <w:rsid w:val="00125FD6"/>
    <w:rsid w:val="00126075"/>
    <w:rsid w:val="00126098"/>
    <w:rsid w:val="00126126"/>
    <w:rsid w:val="00126224"/>
    <w:rsid w:val="001262D9"/>
    <w:rsid w:val="0012646D"/>
    <w:rsid w:val="00126494"/>
    <w:rsid w:val="0012670C"/>
    <w:rsid w:val="00126978"/>
    <w:rsid w:val="0012716A"/>
    <w:rsid w:val="001271D1"/>
    <w:rsid w:val="00127359"/>
    <w:rsid w:val="001275CC"/>
    <w:rsid w:val="0012768A"/>
    <w:rsid w:val="00127705"/>
    <w:rsid w:val="00127AD8"/>
    <w:rsid w:val="00127CEC"/>
    <w:rsid w:val="00127F1F"/>
    <w:rsid w:val="00130680"/>
    <w:rsid w:val="00130C84"/>
    <w:rsid w:val="00130CFF"/>
    <w:rsid w:val="00130E39"/>
    <w:rsid w:val="00130FA3"/>
    <w:rsid w:val="001313AA"/>
    <w:rsid w:val="001313FD"/>
    <w:rsid w:val="00131683"/>
    <w:rsid w:val="00131AD0"/>
    <w:rsid w:val="00131CD6"/>
    <w:rsid w:val="00131EE3"/>
    <w:rsid w:val="001321B1"/>
    <w:rsid w:val="001329D1"/>
    <w:rsid w:val="00132F5A"/>
    <w:rsid w:val="00133105"/>
    <w:rsid w:val="00133381"/>
    <w:rsid w:val="00133484"/>
    <w:rsid w:val="0013370A"/>
    <w:rsid w:val="00133749"/>
    <w:rsid w:val="0013376E"/>
    <w:rsid w:val="00133899"/>
    <w:rsid w:val="0013394A"/>
    <w:rsid w:val="00133D90"/>
    <w:rsid w:val="00133EA7"/>
    <w:rsid w:val="00134026"/>
    <w:rsid w:val="001344A9"/>
    <w:rsid w:val="001345ED"/>
    <w:rsid w:val="00134C4B"/>
    <w:rsid w:val="00134D23"/>
    <w:rsid w:val="00134D7E"/>
    <w:rsid w:val="00134E52"/>
    <w:rsid w:val="00135014"/>
    <w:rsid w:val="00135246"/>
    <w:rsid w:val="00135645"/>
    <w:rsid w:val="00135C93"/>
    <w:rsid w:val="00135F0D"/>
    <w:rsid w:val="00135F26"/>
    <w:rsid w:val="0013601C"/>
    <w:rsid w:val="00136B77"/>
    <w:rsid w:val="00136C83"/>
    <w:rsid w:val="00136E78"/>
    <w:rsid w:val="0013711C"/>
    <w:rsid w:val="001375DC"/>
    <w:rsid w:val="00137704"/>
    <w:rsid w:val="00137905"/>
    <w:rsid w:val="0013799D"/>
    <w:rsid w:val="00137ED6"/>
    <w:rsid w:val="0014018E"/>
    <w:rsid w:val="0014039C"/>
    <w:rsid w:val="00140988"/>
    <w:rsid w:val="00140C8C"/>
    <w:rsid w:val="00141353"/>
    <w:rsid w:val="0014140A"/>
    <w:rsid w:val="00141418"/>
    <w:rsid w:val="001415BA"/>
    <w:rsid w:val="00141639"/>
    <w:rsid w:val="001418AA"/>
    <w:rsid w:val="0014195C"/>
    <w:rsid w:val="00141CA7"/>
    <w:rsid w:val="00141FD4"/>
    <w:rsid w:val="00142011"/>
    <w:rsid w:val="0014205E"/>
    <w:rsid w:val="00142231"/>
    <w:rsid w:val="00142627"/>
    <w:rsid w:val="001426B6"/>
    <w:rsid w:val="001429F5"/>
    <w:rsid w:val="00142A7E"/>
    <w:rsid w:val="00142BC0"/>
    <w:rsid w:val="00142C5B"/>
    <w:rsid w:val="00142CBE"/>
    <w:rsid w:val="00142E88"/>
    <w:rsid w:val="00142EF3"/>
    <w:rsid w:val="001432ED"/>
    <w:rsid w:val="00143377"/>
    <w:rsid w:val="00143696"/>
    <w:rsid w:val="001438EA"/>
    <w:rsid w:val="0014391C"/>
    <w:rsid w:val="001439AD"/>
    <w:rsid w:val="00143B0D"/>
    <w:rsid w:val="00143C0C"/>
    <w:rsid w:val="00143E0E"/>
    <w:rsid w:val="00144354"/>
    <w:rsid w:val="00144369"/>
    <w:rsid w:val="001443F4"/>
    <w:rsid w:val="00144865"/>
    <w:rsid w:val="00144A40"/>
    <w:rsid w:val="00144AE1"/>
    <w:rsid w:val="00144B25"/>
    <w:rsid w:val="00144BE6"/>
    <w:rsid w:val="00144FBB"/>
    <w:rsid w:val="00145022"/>
    <w:rsid w:val="0014591B"/>
    <w:rsid w:val="00145A0D"/>
    <w:rsid w:val="00145A43"/>
    <w:rsid w:val="00145CD8"/>
    <w:rsid w:val="001463C3"/>
    <w:rsid w:val="00146468"/>
    <w:rsid w:val="001467AB"/>
    <w:rsid w:val="001468E4"/>
    <w:rsid w:val="00146909"/>
    <w:rsid w:val="001469C2"/>
    <w:rsid w:val="00147061"/>
    <w:rsid w:val="0014735F"/>
    <w:rsid w:val="001474D3"/>
    <w:rsid w:val="001475F4"/>
    <w:rsid w:val="001476CB"/>
    <w:rsid w:val="00147881"/>
    <w:rsid w:val="001478EA"/>
    <w:rsid w:val="00147964"/>
    <w:rsid w:val="00147D99"/>
    <w:rsid w:val="0015059D"/>
    <w:rsid w:val="001507EB"/>
    <w:rsid w:val="001508FB"/>
    <w:rsid w:val="00150B01"/>
    <w:rsid w:val="00150E36"/>
    <w:rsid w:val="00150F5F"/>
    <w:rsid w:val="00150FA3"/>
    <w:rsid w:val="001510B0"/>
    <w:rsid w:val="001514E7"/>
    <w:rsid w:val="0015185D"/>
    <w:rsid w:val="00151901"/>
    <w:rsid w:val="00151A79"/>
    <w:rsid w:val="00151B41"/>
    <w:rsid w:val="00151B64"/>
    <w:rsid w:val="00151D34"/>
    <w:rsid w:val="00151E6B"/>
    <w:rsid w:val="00151F03"/>
    <w:rsid w:val="00152191"/>
    <w:rsid w:val="0015275A"/>
    <w:rsid w:val="0015279D"/>
    <w:rsid w:val="00152E8F"/>
    <w:rsid w:val="00153066"/>
    <w:rsid w:val="001531DB"/>
    <w:rsid w:val="001534FB"/>
    <w:rsid w:val="001539C9"/>
    <w:rsid w:val="00154796"/>
    <w:rsid w:val="0015487C"/>
    <w:rsid w:val="00154C8D"/>
    <w:rsid w:val="00154D33"/>
    <w:rsid w:val="0015506B"/>
    <w:rsid w:val="0015507A"/>
    <w:rsid w:val="001553BC"/>
    <w:rsid w:val="001557B0"/>
    <w:rsid w:val="00155AED"/>
    <w:rsid w:val="00155BE3"/>
    <w:rsid w:val="00155FF2"/>
    <w:rsid w:val="00156019"/>
    <w:rsid w:val="00156105"/>
    <w:rsid w:val="001563FF"/>
    <w:rsid w:val="001566DF"/>
    <w:rsid w:val="00156739"/>
    <w:rsid w:val="00156749"/>
    <w:rsid w:val="00156760"/>
    <w:rsid w:val="0015698F"/>
    <w:rsid w:val="00156BEC"/>
    <w:rsid w:val="00156D65"/>
    <w:rsid w:val="00156F5A"/>
    <w:rsid w:val="00157066"/>
    <w:rsid w:val="0015707F"/>
    <w:rsid w:val="00157CF9"/>
    <w:rsid w:val="00157F55"/>
    <w:rsid w:val="00157F8A"/>
    <w:rsid w:val="00160086"/>
    <w:rsid w:val="00160581"/>
    <w:rsid w:val="001605AC"/>
    <w:rsid w:val="00160646"/>
    <w:rsid w:val="00160899"/>
    <w:rsid w:val="00160948"/>
    <w:rsid w:val="00160980"/>
    <w:rsid w:val="00160BF3"/>
    <w:rsid w:val="00160D76"/>
    <w:rsid w:val="00160E13"/>
    <w:rsid w:val="00160FA7"/>
    <w:rsid w:val="001610C2"/>
    <w:rsid w:val="001612D8"/>
    <w:rsid w:val="00161DBE"/>
    <w:rsid w:val="00161EB7"/>
    <w:rsid w:val="00161EEE"/>
    <w:rsid w:val="00161FC1"/>
    <w:rsid w:val="00162584"/>
    <w:rsid w:val="00162C62"/>
    <w:rsid w:val="00162D7B"/>
    <w:rsid w:val="00162EA8"/>
    <w:rsid w:val="001631A1"/>
    <w:rsid w:val="001632DF"/>
    <w:rsid w:val="00163385"/>
    <w:rsid w:val="001636EF"/>
    <w:rsid w:val="0016393E"/>
    <w:rsid w:val="00163959"/>
    <w:rsid w:val="00163B0D"/>
    <w:rsid w:val="00163E44"/>
    <w:rsid w:val="001640FB"/>
    <w:rsid w:val="001646AC"/>
    <w:rsid w:val="001647C9"/>
    <w:rsid w:val="001647E5"/>
    <w:rsid w:val="00164CBE"/>
    <w:rsid w:val="001653A3"/>
    <w:rsid w:val="001654E5"/>
    <w:rsid w:val="001654EF"/>
    <w:rsid w:val="0016557A"/>
    <w:rsid w:val="001655D5"/>
    <w:rsid w:val="00165766"/>
    <w:rsid w:val="00165AA4"/>
    <w:rsid w:val="00165D29"/>
    <w:rsid w:val="00165DF2"/>
    <w:rsid w:val="001665A2"/>
    <w:rsid w:val="00166897"/>
    <w:rsid w:val="001668D3"/>
    <w:rsid w:val="001668EF"/>
    <w:rsid w:val="00166C3B"/>
    <w:rsid w:val="00166DA7"/>
    <w:rsid w:val="00166E93"/>
    <w:rsid w:val="0016707F"/>
    <w:rsid w:val="001670A3"/>
    <w:rsid w:val="001673C0"/>
    <w:rsid w:val="00167423"/>
    <w:rsid w:val="001675CF"/>
    <w:rsid w:val="00167661"/>
    <w:rsid w:val="0016772B"/>
    <w:rsid w:val="001677A7"/>
    <w:rsid w:val="0016785A"/>
    <w:rsid w:val="00167918"/>
    <w:rsid w:val="00167AE6"/>
    <w:rsid w:val="00167CDE"/>
    <w:rsid w:val="00170038"/>
    <w:rsid w:val="001701E7"/>
    <w:rsid w:val="0017028C"/>
    <w:rsid w:val="001702C3"/>
    <w:rsid w:val="00170488"/>
    <w:rsid w:val="001706E0"/>
    <w:rsid w:val="00170767"/>
    <w:rsid w:val="00170853"/>
    <w:rsid w:val="00170952"/>
    <w:rsid w:val="00170BB6"/>
    <w:rsid w:val="00170CEA"/>
    <w:rsid w:val="00170D80"/>
    <w:rsid w:val="001711C1"/>
    <w:rsid w:val="00171320"/>
    <w:rsid w:val="001717A9"/>
    <w:rsid w:val="0017189A"/>
    <w:rsid w:val="001719A1"/>
    <w:rsid w:val="00171A4C"/>
    <w:rsid w:val="00171C19"/>
    <w:rsid w:val="00171EAC"/>
    <w:rsid w:val="001721E7"/>
    <w:rsid w:val="0017221F"/>
    <w:rsid w:val="0017251B"/>
    <w:rsid w:val="00172544"/>
    <w:rsid w:val="0017279E"/>
    <w:rsid w:val="00172A58"/>
    <w:rsid w:val="00172A6A"/>
    <w:rsid w:val="00172AE4"/>
    <w:rsid w:val="00172BBF"/>
    <w:rsid w:val="00172D8B"/>
    <w:rsid w:val="00173156"/>
    <w:rsid w:val="00173724"/>
    <w:rsid w:val="001739D7"/>
    <w:rsid w:val="00173A04"/>
    <w:rsid w:val="00173A28"/>
    <w:rsid w:val="00174237"/>
    <w:rsid w:val="00174294"/>
    <w:rsid w:val="001742A1"/>
    <w:rsid w:val="0017431E"/>
    <w:rsid w:val="00174D1C"/>
    <w:rsid w:val="00174F89"/>
    <w:rsid w:val="00175110"/>
    <w:rsid w:val="00175298"/>
    <w:rsid w:val="001753EF"/>
    <w:rsid w:val="001754DE"/>
    <w:rsid w:val="00175524"/>
    <w:rsid w:val="001756A5"/>
    <w:rsid w:val="0017597F"/>
    <w:rsid w:val="00175AC7"/>
    <w:rsid w:val="00176208"/>
    <w:rsid w:val="001763C2"/>
    <w:rsid w:val="0017651E"/>
    <w:rsid w:val="0017666C"/>
    <w:rsid w:val="0017721D"/>
    <w:rsid w:val="001772A2"/>
    <w:rsid w:val="001772C0"/>
    <w:rsid w:val="001774FC"/>
    <w:rsid w:val="00177586"/>
    <w:rsid w:val="00177759"/>
    <w:rsid w:val="00177935"/>
    <w:rsid w:val="001779DB"/>
    <w:rsid w:val="00177A8E"/>
    <w:rsid w:val="00177A9E"/>
    <w:rsid w:val="00177AB9"/>
    <w:rsid w:val="00177AF1"/>
    <w:rsid w:val="00177C13"/>
    <w:rsid w:val="00177ECC"/>
    <w:rsid w:val="00177EEC"/>
    <w:rsid w:val="00177F6F"/>
    <w:rsid w:val="00180290"/>
    <w:rsid w:val="001803D9"/>
    <w:rsid w:val="001805EA"/>
    <w:rsid w:val="00180789"/>
    <w:rsid w:val="0018086F"/>
    <w:rsid w:val="00180AC2"/>
    <w:rsid w:val="0018122A"/>
    <w:rsid w:val="00181541"/>
    <w:rsid w:val="00181542"/>
    <w:rsid w:val="00181607"/>
    <w:rsid w:val="00181818"/>
    <w:rsid w:val="00181C85"/>
    <w:rsid w:val="00181CB8"/>
    <w:rsid w:val="00181CF4"/>
    <w:rsid w:val="00181D10"/>
    <w:rsid w:val="00181D96"/>
    <w:rsid w:val="00182051"/>
    <w:rsid w:val="001820DC"/>
    <w:rsid w:val="0018214F"/>
    <w:rsid w:val="001821D3"/>
    <w:rsid w:val="0018233E"/>
    <w:rsid w:val="00182481"/>
    <w:rsid w:val="001824D8"/>
    <w:rsid w:val="00182DA5"/>
    <w:rsid w:val="00182EA1"/>
    <w:rsid w:val="0018357D"/>
    <w:rsid w:val="001837A4"/>
    <w:rsid w:val="00183C22"/>
    <w:rsid w:val="00183DDA"/>
    <w:rsid w:val="00183E43"/>
    <w:rsid w:val="0018415A"/>
    <w:rsid w:val="00184332"/>
    <w:rsid w:val="0018470F"/>
    <w:rsid w:val="00184829"/>
    <w:rsid w:val="00184CEB"/>
    <w:rsid w:val="00184E53"/>
    <w:rsid w:val="00184FE0"/>
    <w:rsid w:val="001850A7"/>
    <w:rsid w:val="00185224"/>
    <w:rsid w:val="00185396"/>
    <w:rsid w:val="00185687"/>
    <w:rsid w:val="00185763"/>
    <w:rsid w:val="00185860"/>
    <w:rsid w:val="001858DE"/>
    <w:rsid w:val="00185A03"/>
    <w:rsid w:val="00185B06"/>
    <w:rsid w:val="00185B6B"/>
    <w:rsid w:val="00185D99"/>
    <w:rsid w:val="00185FC3"/>
    <w:rsid w:val="00186275"/>
    <w:rsid w:val="001864C9"/>
    <w:rsid w:val="001865CC"/>
    <w:rsid w:val="001866C4"/>
    <w:rsid w:val="00186733"/>
    <w:rsid w:val="00186756"/>
    <w:rsid w:val="001868C6"/>
    <w:rsid w:val="00186C3E"/>
    <w:rsid w:val="00186F04"/>
    <w:rsid w:val="0018704C"/>
    <w:rsid w:val="001874E6"/>
    <w:rsid w:val="001874F9"/>
    <w:rsid w:val="0018754F"/>
    <w:rsid w:val="001876DA"/>
    <w:rsid w:val="00187B40"/>
    <w:rsid w:val="00187B51"/>
    <w:rsid w:val="00187B5B"/>
    <w:rsid w:val="00187DEF"/>
    <w:rsid w:val="0019003C"/>
    <w:rsid w:val="0019028C"/>
    <w:rsid w:val="001907F2"/>
    <w:rsid w:val="0019098B"/>
    <w:rsid w:val="001909A2"/>
    <w:rsid w:val="00190C2C"/>
    <w:rsid w:val="00190CC4"/>
    <w:rsid w:val="00190E94"/>
    <w:rsid w:val="0019108B"/>
    <w:rsid w:val="00191298"/>
    <w:rsid w:val="00191697"/>
    <w:rsid w:val="001923E2"/>
    <w:rsid w:val="00192645"/>
    <w:rsid w:val="0019264F"/>
    <w:rsid w:val="00192688"/>
    <w:rsid w:val="00192715"/>
    <w:rsid w:val="00192779"/>
    <w:rsid w:val="001927FC"/>
    <w:rsid w:val="00192A8E"/>
    <w:rsid w:val="00192D14"/>
    <w:rsid w:val="00192F41"/>
    <w:rsid w:val="0019305B"/>
    <w:rsid w:val="00193112"/>
    <w:rsid w:val="00193239"/>
    <w:rsid w:val="00193675"/>
    <w:rsid w:val="00193689"/>
    <w:rsid w:val="001937E1"/>
    <w:rsid w:val="00193882"/>
    <w:rsid w:val="00193EE1"/>
    <w:rsid w:val="00194094"/>
    <w:rsid w:val="0019415A"/>
    <w:rsid w:val="001943D5"/>
    <w:rsid w:val="001946E1"/>
    <w:rsid w:val="001948B5"/>
    <w:rsid w:val="00194930"/>
    <w:rsid w:val="00194CFA"/>
    <w:rsid w:val="0019588B"/>
    <w:rsid w:val="001959A7"/>
    <w:rsid w:val="00195EFE"/>
    <w:rsid w:val="00195F14"/>
    <w:rsid w:val="0019613F"/>
    <w:rsid w:val="00196230"/>
    <w:rsid w:val="00196256"/>
    <w:rsid w:val="00196596"/>
    <w:rsid w:val="0019662B"/>
    <w:rsid w:val="00196672"/>
    <w:rsid w:val="00196786"/>
    <w:rsid w:val="00197613"/>
    <w:rsid w:val="00197AA1"/>
    <w:rsid w:val="00197EB8"/>
    <w:rsid w:val="001A0372"/>
    <w:rsid w:val="001A038F"/>
    <w:rsid w:val="001A0459"/>
    <w:rsid w:val="001A045E"/>
    <w:rsid w:val="001A0565"/>
    <w:rsid w:val="001A0723"/>
    <w:rsid w:val="001A07D5"/>
    <w:rsid w:val="001A0DE7"/>
    <w:rsid w:val="001A11E8"/>
    <w:rsid w:val="001A12A8"/>
    <w:rsid w:val="001A14DB"/>
    <w:rsid w:val="001A1F73"/>
    <w:rsid w:val="001A2132"/>
    <w:rsid w:val="001A21E8"/>
    <w:rsid w:val="001A253D"/>
    <w:rsid w:val="001A26AA"/>
    <w:rsid w:val="001A279E"/>
    <w:rsid w:val="001A287A"/>
    <w:rsid w:val="001A28CC"/>
    <w:rsid w:val="001A2951"/>
    <w:rsid w:val="001A2F48"/>
    <w:rsid w:val="001A3138"/>
    <w:rsid w:val="001A3449"/>
    <w:rsid w:val="001A3484"/>
    <w:rsid w:val="001A3BA1"/>
    <w:rsid w:val="001A3CA8"/>
    <w:rsid w:val="001A3CEF"/>
    <w:rsid w:val="001A41F4"/>
    <w:rsid w:val="001A421B"/>
    <w:rsid w:val="001A434B"/>
    <w:rsid w:val="001A455F"/>
    <w:rsid w:val="001A46B2"/>
    <w:rsid w:val="001A47D7"/>
    <w:rsid w:val="001A4B2E"/>
    <w:rsid w:val="001A4BB6"/>
    <w:rsid w:val="001A4EDC"/>
    <w:rsid w:val="001A5095"/>
    <w:rsid w:val="001A526F"/>
    <w:rsid w:val="001A528F"/>
    <w:rsid w:val="001A5321"/>
    <w:rsid w:val="001A5356"/>
    <w:rsid w:val="001A58B5"/>
    <w:rsid w:val="001A59AF"/>
    <w:rsid w:val="001A5B78"/>
    <w:rsid w:val="001A5F36"/>
    <w:rsid w:val="001A5F88"/>
    <w:rsid w:val="001A6094"/>
    <w:rsid w:val="001A6133"/>
    <w:rsid w:val="001A61CC"/>
    <w:rsid w:val="001A664D"/>
    <w:rsid w:val="001A6B64"/>
    <w:rsid w:val="001A6DAB"/>
    <w:rsid w:val="001A7122"/>
    <w:rsid w:val="001A71F3"/>
    <w:rsid w:val="001A7201"/>
    <w:rsid w:val="001A72DF"/>
    <w:rsid w:val="001A735A"/>
    <w:rsid w:val="001A7541"/>
    <w:rsid w:val="001A759E"/>
    <w:rsid w:val="001A75D6"/>
    <w:rsid w:val="001A7795"/>
    <w:rsid w:val="001A7882"/>
    <w:rsid w:val="001A7893"/>
    <w:rsid w:val="001A7991"/>
    <w:rsid w:val="001A79A7"/>
    <w:rsid w:val="001A7B8E"/>
    <w:rsid w:val="001A7BE3"/>
    <w:rsid w:val="001A7D87"/>
    <w:rsid w:val="001B005B"/>
    <w:rsid w:val="001B0095"/>
    <w:rsid w:val="001B0431"/>
    <w:rsid w:val="001B07CD"/>
    <w:rsid w:val="001B0A70"/>
    <w:rsid w:val="001B1023"/>
    <w:rsid w:val="001B15D5"/>
    <w:rsid w:val="001B1635"/>
    <w:rsid w:val="001B1D72"/>
    <w:rsid w:val="001B1FCE"/>
    <w:rsid w:val="001B2254"/>
    <w:rsid w:val="001B2535"/>
    <w:rsid w:val="001B29B1"/>
    <w:rsid w:val="001B2A86"/>
    <w:rsid w:val="001B2B6A"/>
    <w:rsid w:val="001B2CA9"/>
    <w:rsid w:val="001B329A"/>
    <w:rsid w:val="001B3339"/>
    <w:rsid w:val="001B3483"/>
    <w:rsid w:val="001B3520"/>
    <w:rsid w:val="001B3574"/>
    <w:rsid w:val="001B3A78"/>
    <w:rsid w:val="001B3E65"/>
    <w:rsid w:val="001B3EF5"/>
    <w:rsid w:val="001B41B6"/>
    <w:rsid w:val="001B4275"/>
    <w:rsid w:val="001B42B3"/>
    <w:rsid w:val="001B4387"/>
    <w:rsid w:val="001B444A"/>
    <w:rsid w:val="001B4567"/>
    <w:rsid w:val="001B4884"/>
    <w:rsid w:val="001B488F"/>
    <w:rsid w:val="001B4960"/>
    <w:rsid w:val="001B4B70"/>
    <w:rsid w:val="001B4CC1"/>
    <w:rsid w:val="001B4D0D"/>
    <w:rsid w:val="001B4FF0"/>
    <w:rsid w:val="001B5004"/>
    <w:rsid w:val="001B5484"/>
    <w:rsid w:val="001B56E5"/>
    <w:rsid w:val="001B57CD"/>
    <w:rsid w:val="001B5CA2"/>
    <w:rsid w:val="001B5D0A"/>
    <w:rsid w:val="001B5ED4"/>
    <w:rsid w:val="001B6356"/>
    <w:rsid w:val="001B6591"/>
    <w:rsid w:val="001B665B"/>
    <w:rsid w:val="001B674D"/>
    <w:rsid w:val="001B6BF3"/>
    <w:rsid w:val="001B6CAA"/>
    <w:rsid w:val="001B6DF3"/>
    <w:rsid w:val="001B6F82"/>
    <w:rsid w:val="001B70B5"/>
    <w:rsid w:val="001B70E2"/>
    <w:rsid w:val="001B712A"/>
    <w:rsid w:val="001B71EE"/>
    <w:rsid w:val="001B75DA"/>
    <w:rsid w:val="001B7681"/>
    <w:rsid w:val="001B7848"/>
    <w:rsid w:val="001B7927"/>
    <w:rsid w:val="001B7954"/>
    <w:rsid w:val="001B79C6"/>
    <w:rsid w:val="001B7EE8"/>
    <w:rsid w:val="001B7F3E"/>
    <w:rsid w:val="001B7FC7"/>
    <w:rsid w:val="001C00A6"/>
    <w:rsid w:val="001C015C"/>
    <w:rsid w:val="001C07B6"/>
    <w:rsid w:val="001C0A14"/>
    <w:rsid w:val="001C0B05"/>
    <w:rsid w:val="001C0DB1"/>
    <w:rsid w:val="001C0F23"/>
    <w:rsid w:val="001C12C2"/>
    <w:rsid w:val="001C15AC"/>
    <w:rsid w:val="001C162A"/>
    <w:rsid w:val="001C2160"/>
    <w:rsid w:val="001C23D7"/>
    <w:rsid w:val="001C24A9"/>
    <w:rsid w:val="001C24C3"/>
    <w:rsid w:val="001C276F"/>
    <w:rsid w:val="001C2B02"/>
    <w:rsid w:val="001C2E1D"/>
    <w:rsid w:val="001C304E"/>
    <w:rsid w:val="001C30B9"/>
    <w:rsid w:val="001C3713"/>
    <w:rsid w:val="001C376C"/>
    <w:rsid w:val="001C37E3"/>
    <w:rsid w:val="001C384E"/>
    <w:rsid w:val="001C3958"/>
    <w:rsid w:val="001C3974"/>
    <w:rsid w:val="001C3B80"/>
    <w:rsid w:val="001C3CD6"/>
    <w:rsid w:val="001C3ECD"/>
    <w:rsid w:val="001C405E"/>
    <w:rsid w:val="001C41A7"/>
    <w:rsid w:val="001C4600"/>
    <w:rsid w:val="001C4654"/>
    <w:rsid w:val="001C4945"/>
    <w:rsid w:val="001C498E"/>
    <w:rsid w:val="001C4B30"/>
    <w:rsid w:val="001C4D6A"/>
    <w:rsid w:val="001C4DB7"/>
    <w:rsid w:val="001C4F0C"/>
    <w:rsid w:val="001C4FE5"/>
    <w:rsid w:val="001C534B"/>
    <w:rsid w:val="001C56B1"/>
    <w:rsid w:val="001C56C6"/>
    <w:rsid w:val="001C575B"/>
    <w:rsid w:val="001C575F"/>
    <w:rsid w:val="001C5787"/>
    <w:rsid w:val="001C5F1C"/>
    <w:rsid w:val="001C6140"/>
    <w:rsid w:val="001C66F9"/>
    <w:rsid w:val="001C670F"/>
    <w:rsid w:val="001C6719"/>
    <w:rsid w:val="001C695D"/>
    <w:rsid w:val="001C698A"/>
    <w:rsid w:val="001C6A8A"/>
    <w:rsid w:val="001C6AA7"/>
    <w:rsid w:val="001C6AF0"/>
    <w:rsid w:val="001C6C38"/>
    <w:rsid w:val="001C6E53"/>
    <w:rsid w:val="001C6EBB"/>
    <w:rsid w:val="001C75D8"/>
    <w:rsid w:val="001C7747"/>
    <w:rsid w:val="001C7C47"/>
    <w:rsid w:val="001C7CD2"/>
    <w:rsid w:val="001D00ED"/>
    <w:rsid w:val="001D0212"/>
    <w:rsid w:val="001D03C3"/>
    <w:rsid w:val="001D0471"/>
    <w:rsid w:val="001D07B3"/>
    <w:rsid w:val="001D09A4"/>
    <w:rsid w:val="001D0D2C"/>
    <w:rsid w:val="001D1622"/>
    <w:rsid w:val="001D1917"/>
    <w:rsid w:val="001D1B6E"/>
    <w:rsid w:val="001D1E1F"/>
    <w:rsid w:val="001D1F75"/>
    <w:rsid w:val="001D21AD"/>
    <w:rsid w:val="001D2207"/>
    <w:rsid w:val="001D2621"/>
    <w:rsid w:val="001D26A8"/>
    <w:rsid w:val="001D274F"/>
    <w:rsid w:val="001D2771"/>
    <w:rsid w:val="001D27DC"/>
    <w:rsid w:val="001D2962"/>
    <w:rsid w:val="001D29F6"/>
    <w:rsid w:val="001D2C6B"/>
    <w:rsid w:val="001D2CD9"/>
    <w:rsid w:val="001D2CEA"/>
    <w:rsid w:val="001D2E54"/>
    <w:rsid w:val="001D2E9F"/>
    <w:rsid w:val="001D2EC7"/>
    <w:rsid w:val="001D3780"/>
    <w:rsid w:val="001D387A"/>
    <w:rsid w:val="001D3E76"/>
    <w:rsid w:val="001D44F5"/>
    <w:rsid w:val="001D4623"/>
    <w:rsid w:val="001D4819"/>
    <w:rsid w:val="001D4906"/>
    <w:rsid w:val="001D49C0"/>
    <w:rsid w:val="001D4D8D"/>
    <w:rsid w:val="001D4F1E"/>
    <w:rsid w:val="001D4FFE"/>
    <w:rsid w:val="001D506A"/>
    <w:rsid w:val="001D54E5"/>
    <w:rsid w:val="001D5718"/>
    <w:rsid w:val="001D58AD"/>
    <w:rsid w:val="001D5C79"/>
    <w:rsid w:val="001D5CE0"/>
    <w:rsid w:val="001D5DD6"/>
    <w:rsid w:val="001D62F0"/>
    <w:rsid w:val="001D683D"/>
    <w:rsid w:val="001D6864"/>
    <w:rsid w:val="001D69F2"/>
    <w:rsid w:val="001D6B9F"/>
    <w:rsid w:val="001D6C00"/>
    <w:rsid w:val="001D7045"/>
    <w:rsid w:val="001D7267"/>
    <w:rsid w:val="001D73A7"/>
    <w:rsid w:val="001D7432"/>
    <w:rsid w:val="001D75D0"/>
    <w:rsid w:val="001D774F"/>
    <w:rsid w:val="001D784E"/>
    <w:rsid w:val="001D7A74"/>
    <w:rsid w:val="001D7CA7"/>
    <w:rsid w:val="001D7D97"/>
    <w:rsid w:val="001D7E60"/>
    <w:rsid w:val="001E011B"/>
    <w:rsid w:val="001E030C"/>
    <w:rsid w:val="001E0323"/>
    <w:rsid w:val="001E0A36"/>
    <w:rsid w:val="001E101C"/>
    <w:rsid w:val="001E153B"/>
    <w:rsid w:val="001E1694"/>
    <w:rsid w:val="001E179B"/>
    <w:rsid w:val="001E183B"/>
    <w:rsid w:val="001E191C"/>
    <w:rsid w:val="001E1A5C"/>
    <w:rsid w:val="001E1A88"/>
    <w:rsid w:val="001E1B03"/>
    <w:rsid w:val="001E1F5F"/>
    <w:rsid w:val="001E2291"/>
    <w:rsid w:val="001E2C31"/>
    <w:rsid w:val="001E2EA4"/>
    <w:rsid w:val="001E300D"/>
    <w:rsid w:val="001E303C"/>
    <w:rsid w:val="001E31D9"/>
    <w:rsid w:val="001E3727"/>
    <w:rsid w:val="001E3863"/>
    <w:rsid w:val="001E3E6E"/>
    <w:rsid w:val="001E41B2"/>
    <w:rsid w:val="001E42E5"/>
    <w:rsid w:val="001E431A"/>
    <w:rsid w:val="001E431C"/>
    <w:rsid w:val="001E4B8F"/>
    <w:rsid w:val="001E4D6A"/>
    <w:rsid w:val="001E4DE0"/>
    <w:rsid w:val="001E4E62"/>
    <w:rsid w:val="001E500A"/>
    <w:rsid w:val="001E501D"/>
    <w:rsid w:val="001E50C7"/>
    <w:rsid w:val="001E5472"/>
    <w:rsid w:val="001E560E"/>
    <w:rsid w:val="001E5824"/>
    <w:rsid w:val="001E5BA2"/>
    <w:rsid w:val="001E60E7"/>
    <w:rsid w:val="001E651B"/>
    <w:rsid w:val="001E65B0"/>
    <w:rsid w:val="001E6681"/>
    <w:rsid w:val="001E6776"/>
    <w:rsid w:val="001E6BA5"/>
    <w:rsid w:val="001E6C76"/>
    <w:rsid w:val="001E6C96"/>
    <w:rsid w:val="001E6CCB"/>
    <w:rsid w:val="001E6F94"/>
    <w:rsid w:val="001E717C"/>
    <w:rsid w:val="001E72D9"/>
    <w:rsid w:val="001E75C4"/>
    <w:rsid w:val="001E76BE"/>
    <w:rsid w:val="001E775F"/>
    <w:rsid w:val="001E776B"/>
    <w:rsid w:val="001E777C"/>
    <w:rsid w:val="001E779D"/>
    <w:rsid w:val="001E77A5"/>
    <w:rsid w:val="001E787D"/>
    <w:rsid w:val="001E7BAA"/>
    <w:rsid w:val="001E7DDF"/>
    <w:rsid w:val="001F02DC"/>
    <w:rsid w:val="001F03B8"/>
    <w:rsid w:val="001F04F7"/>
    <w:rsid w:val="001F050E"/>
    <w:rsid w:val="001F0C79"/>
    <w:rsid w:val="001F1202"/>
    <w:rsid w:val="001F1220"/>
    <w:rsid w:val="001F1301"/>
    <w:rsid w:val="001F1329"/>
    <w:rsid w:val="001F15C2"/>
    <w:rsid w:val="001F16B1"/>
    <w:rsid w:val="001F18CD"/>
    <w:rsid w:val="001F1E12"/>
    <w:rsid w:val="001F1F16"/>
    <w:rsid w:val="001F2208"/>
    <w:rsid w:val="001F27D0"/>
    <w:rsid w:val="001F28B0"/>
    <w:rsid w:val="001F2989"/>
    <w:rsid w:val="001F2AB6"/>
    <w:rsid w:val="001F2D0A"/>
    <w:rsid w:val="001F2DCF"/>
    <w:rsid w:val="001F2EB0"/>
    <w:rsid w:val="001F2ECE"/>
    <w:rsid w:val="001F2FA8"/>
    <w:rsid w:val="001F3053"/>
    <w:rsid w:val="001F308A"/>
    <w:rsid w:val="001F3189"/>
    <w:rsid w:val="001F3202"/>
    <w:rsid w:val="001F3340"/>
    <w:rsid w:val="001F3506"/>
    <w:rsid w:val="001F3799"/>
    <w:rsid w:val="001F387A"/>
    <w:rsid w:val="001F391F"/>
    <w:rsid w:val="001F3CC2"/>
    <w:rsid w:val="001F3CF2"/>
    <w:rsid w:val="001F3F3D"/>
    <w:rsid w:val="001F3FE5"/>
    <w:rsid w:val="001F407C"/>
    <w:rsid w:val="001F4160"/>
    <w:rsid w:val="001F41E6"/>
    <w:rsid w:val="001F4214"/>
    <w:rsid w:val="001F4346"/>
    <w:rsid w:val="001F43D1"/>
    <w:rsid w:val="001F47C1"/>
    <w:rsid w:val="001F4C29"/>
    <w:rsid w:val="001F4D2D"/>
    <w:rsid w:val="001F4D57"/>
    <w:rsid w:val="001F4DC2"/>
    <w:rsid w:val="001F4F7D"/>
    <w:rsid w:val="001F52E7"/>
    <w:rsid w:val="001F5597"/>
    <w:rsid w:val="001F55D8"/>
    <w:rsid w:val="001F55E4"/>
    <w:rsid w:val="001F565B"/>
    <w:rsid w:val="001F573D"/>
    <w:rsid w:val="001F579A"/>
    <w:rsid w:val="001F5855"/>
    <w:rsid w:val="001F5A14"/>
    <w:rsid w:val="001F5A45"/>
    <w:rsid w:val="001F5D5F"/>
    <w:rsid w:val="001F5E34"/>
    <w:rsid w:val="001F5E7D"/>
    <w:rsid w:val="001F61A0"/>
    <w:rsid w:val="001F62BB"/>
    <w:rsid w:val="001F62D4"/>
    <w:rsid w:val="001F6639"/>
    <w:rsid w:val="001F69D9"/>
    <w:rsid w:val="001F6B17"/>
    <w:rsid w:val="001F70B7"/>
    <w:rsid w:val="001F72F2"/>
    <w:rsid w:val="001F745A"/>
    <w:rsid w:val="001F7544"/>
    <w:rsid w:val="001F75F4"/>
    <w:rsid w:val="001F7768"/>
    <w:rsid w:val="001F78E6"/>
    <w:rsid w:val="001F7C16"/>
    <w:rsid w:val="001F7D18"/>
    <w:rsid w:val="001F7DED"/>
    <w:rsid w:val="001F7FCA"/>
    <w:rsid w:val="00200455"/>
    <w:rsid w:val="002009EE"/>
    <w:rsid w:val="00200C81"/>
    <w:rsid w:val="00200D8B"/>
    <w:rsid w:val="00200DA7"/>
    <w:rsid w:val="00200E68"/>
    <w:rsid w:val="00200F47"/>
    <w:rsid w:val="0020170C"/>
    <w:rsid w:val="00201864"/>
    <w:rsid w:val="00201AA3"/>
    <w:rsid w:val="00201C30"/>
    <w:rsid w:val="00201D77"/>
    <w:rsid w:val="0020232D"/>
    <w:rsid w:val="00202675"/>
    <w:rsid w:val="002027ED"/>
    <w:rsid w:val="00202D8D"/>
    <w:rsid w:val="00202D97"/>
    <w:rsid w:val="00203015"/>
    <w:rsid w:val="002032CD"/>
    <w:rsid w:val="00203363"/>
    <w:rsid w:val="00203386"/>
    <w:rsid w:val="00203807"/>
    <w:rsid w:val="00203AA8"/>
    <w:rsid w:val="00203EA2"/>
    <w:rsid w:val="00204099"/>
    <w:rsid w:val="00204136"/>
    <w:rsid w:val="002043B8"/>
    <w:rsid w:val="00204467"/>
    <w:rsid w:val="0020477C"/>
    <w:rsid w:val="002048B7"/>
    <w:rsid w:val="002051CF"/>
    <w:rsid w:val="00205252"/>
    <w:rsid w:val="00205334"/>
    <w:rsid w:val="00205342"/>
    <w:rsid w:val="002054A8"/>
    <w:rsid w:val="00205788"/>
    <w:rsid w:val="00205907"/>
    <w:rsid w:val="00205A9B"/>
    <w:rsid w:val="00205BA4"/>
    <w:rsid w:val="0020620C"/>
    <w:rsid w:val="002062E3"/>
    <w:rsid w:val="002063A8"/>
    <w:rsid w:val="0020699E"/>
    <w:rsid w:val="00206B16"/>
    <w:rsid w:val="00206C74"/>
    <w:rsid w:val="00206EA6"/>
    <w:rsid w:val="00206FA2"/>
    <w:rsid w:val="00207141"/>
    <w:rsid w:val="002075A9"/>
    <w:rsid w:val="0020771D"/>
    <w:rsid w:val="00207856"/>
    <w:rsid w:val="002079E5"/>
    <w:rsid w:val="00207F33"/>
    <w:rsid w:val="00210250"/>
    <w:rsid w:val="0021027B"/>
    <w:rsid w:val="002103B2"/>
    <w:rsid w:val="0021070E"/>
    <w:rsid w:val="002107DC"/>
    <w:rsid w:val="00210819"/>
    <w:rsid w:val="00210878"/>
    <w:rsid w:val="0021095E"/>
    <w:rsid w:val="002109AE"/>
    <w:rsid w:val="00210ABB"/>
    <w:rsid w:val="00210B00"/>
    <w:rsid w:val="00210B35"/>
    <w:rsid w:val="00210C8F"/>
    <w:rsid w:val="00210CC9"/>
    <w:rsid w:val="00210DC1"/>
    <w:rsid w:val="002110EC"/>
    <w:rsid w:val="002114B9"/>
    <w:rsid w:val="002115C1"/>
    <w:rsid w:val="0021187E"/>
    <w:rsid w:val="00211913"/>
    <w:rsid w:val="002119C6"/>
    <w:rsid w:val="00211D13"/>
    <w:rsid w:val="00211E0A"/>
    <w:rsid w:val="00211F5D"/>
    <w:rsid w:val="002123B7"/>
    <w:rsid w:val="00212827"/>
    <w:rsid w:val="00212893"/>
    <w:rsid w:val="0021296C"/>
    <w:rsid w:val="00212A69"/>
    <w:rsid w:val="00212C64"/>
    <w:rsid w:val="00212CC9"/>
    <w:rsid w:val="00212E38"/>
    <w:rsid w:val="002130D7"/>
    <w:rsid w:val="00213634"/>
    <w:rsid w:val="002137DB"/>
    <w:rsid w:val="00213882"/>
    <w:rsid w:val="00213CDB"/>
    <w:rsid w:val="0021419C"/>
    <w:rsid w:val="0021430D"/>
    <w:rsid w:val="00214311"/>
    <w:rsid w:val="0021468C"/>
    <w:rsid w:val="00214837"/>
    <w:rsid w:val="002148DF"/>
    <w:rsid w:val="00214A8C"/>
    <w:rsid w:val="00214B5A"/>
    <w:rsid w:val="00214D99"/>
    <w:rsid w:val="0021506E"/>
    <w:rsid w:val="002150C8"/>
    <w:rsid w:val="002150CB"/>
    <w:rsid w:val="002150E9"/>
    <w:rsid w:val="002151C3"/>
    <w:rsid w:val="00215971"/>
    <w:rsid w:val="00215A47"/>
    <w:rsid w:val="00215E22"/>
    <w:rsid w:val="00216045"/>
    <w:rsid w:val="00216090"/>
    <w:rsid w:val="002163BF"/>
    <w:rsid w:val="0021652F"/>
    <w:rsid w:val="002165A6"/>
    <w:rsid w:val="00216A24"/>
    <w:rsid w:val="00216A33"/>
    <w:rsid w:val="00216BED"/>
    <w:rsid w:val="00216C2B"/>
    <w:rsid w:val="00216D2A"/>
    <w:rsid w:val="00216E06"/>
    <w:rsid w:val="00216F56"/>
    <w:rsid w:val="00216F88"/>
    <w:rsid w:val="00216FC2"/>
    <w:rsid w:val="0021714D"/>
    <w:rsid w:val="00217196"/>
    <w:rsid w:val="002174B3"/>
    <w:rsid w:val="0021751E"/>
    <w:rsid w:val="00217523"/>
    <w:rsid w:val="00217616"/>
    <w:rsid w:val="00217918"/>
    <w:rsid w:val="00217DCE"/>
    <w:rsid w:val="00217DDB"/>
    <w:rsid w:val="00217E76"/>
    <w:rsid w:val="002200E5"/>
    <w:rsid w:val="002207B7"/>
    <w:rsid w:val="00220825"/>
    <w:rsid w:val="00220827"/>
    <w:rsid w:val="002209C2"/>
    <w:rsid w:val="00220CF8"/>
    <w:rsid w:val="0022101E"/>
    <w:rsid w:val="002211DB"/>
    <w:rsid w:val="00221279"/>
    <w:rsid w:val="002212BB"/>
    <w:rsid w:val="0022147C"/>
    <w:rsid w:val="00221ABA"/>
    <w:rsid w:val="00221BC5"/>
    <w:rsid w:val="00221BF0"/>
    <w:rsid w:val="00221D10"/>
    <w:rsid w:val="00221ECE"/>
    <w:rsid w:val="00221EE9"/>
    <w:rsid w:val="00221FB7"/>
    <w:rsid w:val="0022205D"/>
    <w:rsid w:val="0022232F"/>
    <w:rsid w:val="002224A1"/>
    <w:rsid w:val="00222525"/>
    <w:rsid w:val="00222AE6"/>
    <w:rsid w:val="002232A7"/>
    <w:rsid w:val="00223353"/>
    <w:rsid w:val="002233A7"/>
    <w:rsid w:val="002233E1"/>
    <w:rsid w:val="00223593"/>
    <w:rsid w:val="00223600"/>
    <w:rsid w:val="00223604"/>
    <w:rsid w:val="0022363A"/>
    <w:rsid w:val="00223C19"/>
    <w:rsid w:val="00223C27"/>
    <w:rsid w:val="002241C2"/>
    <w:rsid w:val="00224633"/>
    <w:rsid w:val="0022472D"/>
    <w:rsid w:val="00224859"/>
    <w:rsid w:val="00224BEF"/>
    <w:rsid w:val="00225171"/>
    <w:rsid w:val="002252EF"/>
    <w:rsid w:val="0022551D"/>
    <w:rsid w:val="00225737"/>
    <w:rsid w:val="0022575F"/>
    <w:rsid w:val="00225827"/>
    <w:rsid w:val="00225853"/>
    <w:rsid w:val="002258F3"/>
    <w:rsid w:val="00225DCF"/>
    <w:rsid w:val="00226041"/>
    <w:rsid w:val="0022604D"/>
    <w:rsid w:val="002261B6"/>
    <w:rsid w:val="002268E0"/>
    <w:rsid w:val="00226BD2"/>
    <w:rsid w:val="00226CCF"/>
    <w:rsid w:val="00226CD8"/>
    <w:rsid w:val="00226E48"/>
    <w:rsid w:val="00226EBC"/>
    <w:rsid w:val="00226EC6"/>
    <w:rsid w:val="0022731B"/>
    <w:rsid w:val="0022748F"/>
    <w:rsid w:val="0022766E"/>
    <w:rsid w:val="002276C8"/>
    <w:rsid w:val="00227983"/>
    <w:rsid w:val="002279EB"/>
    <w:rsid w:val="00227A33"/>
    <w:rsid w:val="00227AC6"/>
    <w:rsid w:val="00227B0A"/>
    <w:rsid w:val="00227EAB"/>
    <w:rsid w:val="002300F1"/>
    <w:rsid w:val="002301CA"/>
    <w:rsid w:val="002305F3"/>
    <w:rsid w:val="00230645"/>
    <w:rsid w:val="0023066A"/>
    <w:rsid w:val="00230899"/>
    <w:rsid w:val="00230C67"/>
    <w:rsid w:val="00230D6A"/>
    <w:rsid w:val="002312EE"/>
    <w:rsid w:val="002316EF"/>
    <w:rsid w:val="002318C1"/>
    <w:rsid w:val="002318D0"/>
    <w:rsid w:val="00231A91"/>
    <w:rsid w:val="00231BD1"/>
    <w:rsid w:val="00231F30"/>
    <w:rsid w:val="00231F9D"/>
    <w:rsid w:val="0023215D"/>
    <w:rsid w:val="0023242C"/>
    <w:rsid w:val="0023265E"/>
    <w:rsid w:val="00232733"/>
    <w:rsid w:val="00232824"/>
    <w:rsid w:val="002329BB"/>
    <w:rsid w:val="00232A8E"/>
    <w:rsid w:val="00233098"/>
    <w:rsid w:val="0023334A"/>
    <w:rsid w:val="002333D7"/>
    <w:rsid w:val="002334F8"/>
    <w:rsid w:val="002335CB"/>
    <w:rsid w:val="00233BEB"/>
    <w:rsid w:val="00233CAD"/>
    <w:rsid w:val="00233DA7"/>
    <w:rsid w:val="00233DC7"/>
    <w:rsid w:val="00233EC8"/>
    <w:rsid w:val="00233F5F"/>
    <w:rsid w:val="00234054"/>
    <w:rsid w:val="00234107"/>
    <w:rsid w:val="00234367"/>
    <w:rsid w:val="002343DC"/>
    <w:rsid w:val="00234480"/>
    <w:rsid w:val="00234749"/>
    <w:rsid w:val="00234890"/>
    <w:rsid w:val="002348C4"/>
    <w:rsid w:val="00234A3B"/>
    <w:rsid w:val="00234E6A"/>
    <w:rsid w:val="00234EA8"/>
    <w:rsid w:val="002354FC"/>
    <w:rsid w:val="00235539"/>
    <w:rsid w:val="002357AA"/>
    <w:rsid w:val="002358FC"/>
    <w:rsid w:val="002359AD"/>
    <w:rsid w:val="00235A9F"/>
    <w:rsid w:val="0023610A"/>
    <w:rsid w:val="002361D4"/>
    <w:rsid w:val="00236D58"/>
    <w:rsid w:val="00236D77"/>
    <w:rsid w:val="00236F4C"/>
    <w:rsid w:val="00237216"/>
    <w:rsid w:val="00237219"/>
    <w:rsid w:val="002373D4"/>
    <w:rsid w:val="00237520"/>
    <w:rsid w:val="0023776F"/>
    <w:rsid w:val="00237E21"/>
    <w:rsid w:val="00237E3B"/>
    <w:rsid w:val="00237EEA"/>
    <w:rsid w:val="00237F05"/>
    <w:rsid w:val="00237FC8"/>
    <w:rsid w:val="0024014E"/>
    <w:rsid w:val="0024018F"/>
    <w:rsid w:val="0024025D"/>
    <w:rsid w:val="00240485"/>
    <w:rsid w:val="002405C3"/>
    <w:rsid w:val="00240795"/>
    <w:rsid w:val="00240B78"/>
    <w:rsid w:val="00240C2E"/>
    <w:rsid w:val="00240FAE"/>
    <w:rsid w:val="00240FF8"/>
    <w:rsid w:val="00241831"/>
    <w:rsid w:val="002418DD"/>
    <w:rsid w:val="002419B0"/>
    <w:rsid w:val="00241CBE"/>
    <w:rsid w:val="00241D80"/>
    <w:rsid w:val="00242423"/>
    <w:rsid w:val="002424A7"/>
    <w:rsid w:val="002428BF"/>
    <w:rsid w:val="0024298B"/>
    <w:rsid w:val="00242CCA"/>
    <w:rsid w:val="00242D99"/>
    <w:rsid w:val="002430DD"/>
    <w:rsid w:val="0024327B"/>
    <w:rsid w:val="002433B9"/>
    <w:rsid w:val="0024357B"/>
    <w:rsid w:val="00243ABD"/>
    <w:rsid w:val="00243C45"/>
    <w:rsid w:val="00243C54"/>
    <w:rsid w:val="00243D0F"/>
    <w:rsid w:val="00243D17"/>
    <w:rsid w:val="00243DD1"/>
    <w:rsid w:val="00243E45"/>
    <w:rsid w:val="00244017"/>
    <w:rsid w:val="002440B0"/>
    <w:rsid w:val="00244310"/>
    <w:rsid w:val="00244415"/>
    <w:rsid w:val="00244479"/>
    <w:rsid w:val="00244CDC"/>
    <w:rsid w:val="0024534C"/>
    <w:rsid w:val="002459F2"/>
    <w:rsid w:val="00245A15"/>
    <w:rsid w:val="00245C70"/>
    <w:rsid w:val="00245E4B"/>
    <w:rsid w:val="002460B8"/>
    <w:rsid w:val="002460CC"/>
    <w:rsid w:val="00246192"/>
    <w:rsid w:val="00246279"/>
    <w:rsid w:val="002463F8"/>
    <w:rsid w:val="0024669B"/>
    <w:rsid w:val="00246885"/>
    <w:rsid w:val="002469E1"/>
    <w:rsid w:val="00246B56"/>
    <w:rsid w:val="00246BE8"/>
    <w:rsid w:val="00246E70"/>
    <w:rsid w:val="00246E83"/>
    <w:rsid w:val="0024722A"/>
    <w:rsid w:val="00247508"/>
    <w:rsid w:val="002476D2"/>
    <w:rsid w:val="002476F9"/>
    <w:rsid w:val="0024772C"/>
    <w:rsid w:val="00247779"/>
    <w:rsid w:val="002478A0"/>
    <w:rsid w:val="0024796A"/>
    <w:rsid w:val="00247A6D"/>
    <w:rsid w:val="00247DC5"/>
    <w:rsid w:val="00247E33"/>
    <w:rsid w:val="00250275"/>
    <w:rsid w:val="002503F9"/>
    <w:rsid w:val="002504B7"/>
    <w:rsid w:val="00250538"/>
    <w:rsid w:val="00250680"/>
    <w:rsid w:val="002507CF"/>
    <w:rsid w:val="00250CB1"/>
    <w:rsid w:val="00250CC6"/>
    <w:rsid w:val="0025121D"/>
    <w:rsid w:val="00251255"/>
    <w:rsid w:val="00251385"/>
    <w:rsid w:val="00251697"/>
    <w:rsid w:val="00251840"/>
    <w:rsid w:val="0025191F"/>
    <w:rsid w:val="00251A30"/>
    <w:rsid w:val="00251EA7"/>
    <w:rsid w:val="00251F02"/>
    <w:rsid w:val="00251F20"/>
    <w:rsid w:val="00251F83"/>
    <w:rsid w:val="002522C0"/>
    <w:rsid w:val="0025234D"/>
    <w:rsid w:val="002524F8"/>
    <w:rsid w:val="00252733"/>
    <w:rsid w:val="002528F0"/>
    <w:rsid w:val="00252AAA"/>
    <w:rsid w:val="00252AF9"/>
    <w:rsid w:val="00252BB7"/>
    <w:rsid w:val="00252C54"/>
    <w:rsid w:val="00252D66"/>
    <w:rsid w:val="002530EB"/>
    <w:rsid w:val="002531C9"/>
    <w:rsid w:val="002532F6"/>
    <w:rsid w:val="002537C9"/>
    <w:rsid w:val="00253969"/>
    <w:rsid w:val="00253990"/>
    <w:rsid w:val="00253A99"/>
    <w:rsid w:val="00253EAF"/>
    <w:rsid w:val="002543F9"/>
    <w:rsid w:val="0025453D"/>
    <w:rsid w:val="00254AD0"/>
    <w:rsid w:val="00254B66"/>
    <w:rsid w:val="0025520B"/>
    <w:rsid w:val="002554D5"/>
    <w:rsid w:val="0025577A"/>
    <w:rsid w:val="002558EA"/>
    <w:rsid w:val="00255A4F"/>
    <w:rsid w:val="00255B20"/>
    <w:rsid w:val="00255C06"/>
    <w:rsid w:val="00255D86"/>
    <w:rsid w:val="00255DDB"/>
    <w:rsid w:val="00255F4F"/>
    <w:rsid w:val="00256183"/>
    <w:rsid w:val="002563DE"/>
    <w:rsid w:val="00256952"/>
    <w:rsid w:val="00256AD4"/>
    <w:rsid w:val="00256B69"/>
    <w:rsid w:val="00256D8E"/>
    <w:rsid w:val="00256DC5"/>
    <w:rsid w:val="00256F6B"/>
    <w:rsid w:val="0025717C"/>
    <w:rsid w:val="002572A5"/>
    <w:rsid w:val="002572F3"/>
    <w:rsid w:val="002573A3"/>
    <w:rsid w:val="0025797E"/>
    <w:rsid w:val="002579C8"/>
    <w:rsid w:val="00257A4C"/>
    <w:rsid w:val="00257A6D"/>
    <w:rsid w:val="00257E1C"/>
    <w:rsid w:val="00257E9D"/>
    <w:rsid w:val="00257FB6"/>
    <w:rsid w:val="00260173"/>
    <w:rsid w:val="002601E8"/>
    <w:rsid w:val="00260414"/>
    <w:rsid w:val="00260698"/>
    <w:rsid w:val="002606D3"/>
    <w:rsid w:val="00260C36"/>
    <w:rsid w:val="00260D17"/>
    <w:rsid w:val="00260DE2"/>
    <w:rsid w:val="002610B3"/>
    <w:rsid w:val="00261138"/>
    <w:rsid w:val="0026134E"/>
    <w:rsid w:val="002614BD"/>
    <w:rsid w:val="002614EF"/>
    <w:rsid w:val="0026155E"/>
    <w:rsid w:val="00261582"/>
    <w:rsid w:val="00261599"/>
    <w:rsid w:val="00261653"/>
    <w:rsid w:val="0026168E"/>
    <w:rsid w:val="00261736"/>
    <w:rsid w:val="00261844"/>
    <w:rsid w:val="002618F5"/>
    <w:rsid w:val="002619A1"/>
    <w:rsid w:val="00261C2B"/>
    <w:rsid w:val="00261DFA"/>
    <w:rsid w:val="00262400"/>
    <w:rsid w:val="00262620"/>
    <w:rsid w:val="002628D5"/>
    <w:rsid w:val="002628F7"/>
    <w:rsid w:val="00262C69"/>
    <w:rsid w:val="00262F84"/>
    <w:rsid w:val="002630E5"/>
    <w:rsid w:val="00263127"/>
    <w:rsid w:val="0026328D"/>
    <w:rsid w:val="0026373D"/>
    <w:rsid w:val="00263A1E"/>
    <w:rsid w:val="00263B98"/>
    <w:rsid w:val="00263C61"/>
    <w:rsid w:val="00263D14"/>
    <w:rsid w:val="00263E81"/>
    <w:rsid w:val="002642DB"/>
    <w:rsid w:val="0026434A"/>
    <w:rsid w:val="00264367"/>
    <w:rsid w:val="002643BE"/>
    <w:rsid w:val="0026478E"/>
    <w:rsid w:val="00264837"/>
    <w:rsid w:val="00264AE0"/>
    <w:rsid w:val="00264C4A"/>
    <w:rsid w:val="00264D6E"/>
    <w:rsid w:val="00264F8D"/>
    <w:rsid w:val="0026507F"/>
    <w:rsid w:val="002653BD"/>
    <w:rsid w:val="002654EE"/>
    <w:rsid w:val="00265A11"/>
    <w:rsid w:val="00265A31"/>
    <w:rsid w:val="00265A33"/>
    <w:rsid w:val="00265B8D"/>
    <w:rsid w:val="00265DB8"/>
    <w:rsid w:val="00266213"/>
    <w:rsid w:val="002663AB"/>
    <w:rsid w:val="002667F3"/>
    <w:rsid w:val="00266921"/>
    <w:rsid w:val="00266A0D"/>
    <w:rsid w:val="00266B99"/>
    <w:rsid w:val="00266D97"/>
    <w:rsid w:val="00267286"/>
    <w:rsid w:val="00267304"/>
    <w:rsid w:val="00267A12"/>
    <w:rsid w:val="00270195"/>
    <w:rsid w:val="002701BE"/>
    <w:rsid w:val="002701D0"/>
    <w:rsid w:val="00270316"/>
    <w:rsid w:val="00270326"/>
    <w:rsid w:val="00270413"/>
    <w:rsid w:val="00270683"/>
    <w:rsid w:val="002707F8"/>
    <w:rsid w:val="00270B33"/>
    <w:rsid w:val="00270BC0"/>
    <w:rsid w:val="0027108D"/>
    <w:rsid w:val="002712F7"/>
    <w:rsid w:val="002714E6"/>
    <w:rsid w:val="002715E2"/>
    <w:rsid w:val="00271803"/>
    <w:rsid w:val="00271810"/>
    <w:rsid w:val="00271A80"/>
    <w:rsid w:val="00271B3A"/>
    <w:rsid w:val="002720B7"/>
    <w:rsid w:val="0027216D"/>
    <w:rsid w:val="00272530"/>
    <w:rsid w:val="002725DE"/>
    <w:rsid w:val="002726F8"/>
    <w:rsid w:val="002728E6"/>
    <w:rsid w:val="00272BB7"/>
    <w:rsid w:val="00272C8D"/>
    <w:rsid w:val="00273039"/>
    <w:rsid w:val="002730DE"/>
    <w:rsid w:val="00273143"/>
    <w:rsid w:val="00273235"/>
    <w:rsid w:val="00273439"/>
    <w:rsid w:val="00273489"/>
    <w:rsid w:val="00273570"/>
    <w:rsid w:val="00273594"/>
    <w:rsid w:val="002735BC"/>
    <w:rsid w:val="00273781"/>
    <w:rsid w:val="002737D1"/>
    <w:rsid w:val="00273B45"/>
    <w:rsid w:val="00273D4A"/>
    <w:rsid w:val="00273EC0"/>
    <w:rsid w:val="00273EC2"/>
    <w:rsid w:val="00273F26"/>
    <w:rsid w:val="00273FA1"/>
    <w:rsid w:val="00274022"/>
    <w:rsid w:val="0027422F"/>
    <w:rsid w:val="00274319"/>
    <w:rsid w:val="0027455B"/>
    <w:rsid w:val="00274B15"/>
    <w:rsid w:val="00274BE1"/>
    <w:rsid w:val="00274DE3"/>
    <w:rsid w:val="00274E42"/>
    <w:rsid w:val="00275244"/>
    <w:rsid w:val="002754DC"/>
    <w:rsid w:val="0027556E"/>
    <w:rsid w:val="002757B4"/>
    <w:rsid w:val="002758FE"/>
    <w:rsid w:val="00275B3F"/>
    <w:rsid w:val="00275DFF"/>
    <w:rsid w:val="00275EAE"/>
    <w:rsid w:val="00275F55"/>
    <w:rsid w:val="002760D9"/>
    <w:rsid w:val="00276204"/>
    <w:rsid w:val="00276468"/>
    <w:rsid w:val="0027672B"/>
    <w:rsid w:val="00276928"/>
    <w:rsid w:val="00276940"/>
    <w:rsid w:val="00276C0D"/>
    <w:rsid w:val="00276C76"/>
    <w:rsid w:val="00276DD9"/>
    <w:rsid w:val="002774E7"/>
    <w:rsid w:val="00277571"/>
    <w:rsid w:val="0027777F"/>
    <w:rsid w:val="002778FD"/>
    <w:rsid w:val="002779AD"/>
    <w:rsid w:val="00277C51"/>
    <w:rsid w:val="00277E8B"/>
    <w:rsid w:val="00280141"/>
    <w:rsid w:val="00280186"/>
    <w:rsid w:val="0028019D"/>
    <w:rsid w:val="002802A5"/>
    <w:rsid w:val="00280393"/>
    <w:rsid w:val="002807D2"/>
    <w:rsid w:val="00280E81"/>
    <w:rsid w:val="00280F55"/>
    <w:rsid w:val="00280FE5"/>
    <w:rsid w:val="00281075"/>
    <w:rsid w:val="002810B6"/>
    <w:rsid w:val="002813A9"/>
    <w:rsid w:val="0028161F"/>
    <w:rsid w:val="00281701"/>
    <w:rsid w:val="0028170B"/>
    <w:rsid w:val="002817C3"/>
    <w:rsid w:val="002818A4"/>
    <w:rsid w:val="002818C2"/>
    <w:rsid w:val="00281A99"/>
    <w:rsid w:val="00281AAB"/>
    <w:rsid w:val="00281ECA"/>
    <w:rsid w:val="00281ECE"/>
    <w:rsid w:val="0028203D"/>
    <w:rsid w:val="00282098"/>
    <w:rsid w:val="002825D1"/>
    <w:rsid w:val="0028285A"/>
    <w:rsid w:val="002829A0"/>
    <w:rsid w:val="002829A1"/>
    <w:rsid w:val="00282B18"/>
    <w:rsid w:val="00282C75"/>
    <w:rsid w:val="00282C88"/>
    <w:rsid w:val="00282F33"/>
    <w:rsid w:val="00283002"/>
    <w:rsid w:val="0028321D"/>
    <w:rsid w:val="002832B9"/>
    <w:rsid w:val="00283494"/>
    <w:rsid w:val="002834C1"/>
    <w:rsid w:val="00283502"/>
    <w:rsid w:val="0028369F"/>
    <w:rsid w:val="002836B9"/>
    <w:rsid w:val="00283841"/>
    <w:rsid w:val="00283E55"/>
    <w:rsid w:val="00284135"/>
    <w:rsid w:val="00284355"/>
    <w:rsid w:val="002843DA"/>
    <w:rsid w:val="002843E7"/>
    <w:rsid w:val="0028464C"/>
    <w:rsid w:val="00284879"/>
    <w:rsid w:val="002849BF"/>
    <w:rsid w:val="00284C99"/>
    <w:rsid w:val="00284D3A"/>
    <w:rsid w:val="002852C3"/>
    <w:rsid w:val="0028553C"/>
    <w:rsid w:val="00285AF2"/>
    <w:rsid w:val="00285BEE"/>
    <w:rsid w:val="00285C83"/>
    <w:rsid w:val="00285CFF"/>
    <w:rsid w:val="00285D34"/>
    <w:rsid w:val="00286039"/>
    <w:rsid w:val="0028603F"/>
    <w:rsid w:val="002860A6"/>
    <w:rsid w:val="002860CE"/>
    <w:rsid w:val="002860E2"/>
    <w:rsid w:val="00286371"/>
    <w:rsid w:val="002865D2"/>
    <w:rsid w:val="00286709"/>
    <w:rsid w:val="00286A2F"/>
    <w:rsid w:val="00286AE3"/>
    <w:rsid w:val="00286CE8"/>
    <w:rsid w:val="00286DC2"/>
    <w:rsid w:val="00286E0D"/>
    <w:rsid w:val="0028722A"/>
    <w:rsid w:val="0028722B"/>
    <w:rsid w:val="002873DD"/>
    <w:rsid w:val="002873F4"/>
    <w:rsid w:val="00287416"/>
    <w:rsid w:val="002876AF"/>
    <w:rsid w:val="00287823"/>
    <w:rsid w:val="00287A97"/>
    <w:rsid w:val="00287B2C"/>
    <w:rsid w:val="00287D52"/>
    <w:rsid w:val="00287E6C"/>
    <w:rsid w:val="002908E0"/>
    <w:rsid w:val="00290A9B"/>
    <w:rsid w:val="00290B44"/>
    <w:rsid w:val="00290C90"/>
    <w:rsid w:val="00290E14"/>
    <w:rsid w:val="00290FD7"/>
    <w:rsid w:val="00290FE8"/>
    <w:rsid w:val="0029130A"/>
    <w:rsid w:val="0029134F"/>
    <w:rsid w:val="002913F7"/>
    <w:rsid w:val="002915B3"/>
    <w:rsid w:val="00291696"/>
    <w:rsid w:val="00291996"/>
    <w:rsid w:val="00291A46"/>
    <w:rsid w:val="00291F4D"/>
    <w:rsid w:val="0029200A"/>
    <w:rsid w:val="00292496"/>
    <w:rsid w:val="002926E0"/>
    <w:rsid w:val="002926E6"/>
    <w:rsid w:val="00292819"/>
    <w:rsid w:val="0029284A"/>
    <w:rsid w:val="00292988"/>
    <w:rsid w:val="00292B91"/>
    <w:rsid w:val="00292D15"/>
    <w:rsid w:val="00292F8D"/>
    <w:rsid w:val="00293523"/>
    <w:rsid w:val="002937FB"/>
    <w:rsid w:val="002938E4"/>
    <w:rsid w:val="002939E2"/>
    <w:rsid w:val="00293A13"/>
    <w:rsid w:val="00293BCE"/>
    <w:rsid w:val="00293C05"/>
    <w:rsid w:val="00293F14"/>
    <w:rsid w:val="002940E4"/>
    <w:rsid w:val="00294273"/>
    <w:rsid w:val="00294447"/>
    <w:rsid w:val="002946F0"/>
    <w:rsid w:val="002946F3"/>
    <w:rsid w:val="002947EA"/>
    <w:rsid w:val="00294814"/>
    <w:rsid w:val="00294B4D"/>
    <w:rsid w:val="00294D9C"/>
    <w:rsid w:val="00294F6F"/>
    <w:rsid w:val="0029519A"/>
    <w:rsid w:val="00295239"/>
    <w:rsid w:val="0029533F"/>
    <w:rsid w:val="00295529"/>
    <w:rsid w:val="00295820"/>
    <w:rsid w:val="0029585B"/>
    <w:rsid w:val="00295A74"/>
    <w:rsid w:val="00295DFF"/>
    <w:rsid w:val="00295E57"/>
    <w:rsid w:val="00295E5E"/>
    <w:rsid w:val="0029663A"/>
    <w:rsid w:val="00296895"/>
    <w:rsid w:val="002968A7"/>
    <w:rsid w:val="002969D0"/>
    <w:rsid w:val="00296AC6"/>
    <w:rsid w:val="0029733C"/>
    <w:rsid w:val="002976F4"/>
    <w:rsid w:val="0029771C"/>
    <w:rsid w:val="002977B4"/>
    <w:rsid w:val="002978CB"/>
    <w:rsid w:val="002978FB"/>
    <w:rsid w:val="00297964"/>
    <w:rsid w:val="00297A43"/>
    <w:rsid w:val="00297B16"/>
    <w:rsid w:val="00297EF9"/>
    <w:rsid w:val="002A0042"/>
    <w:rsid w:val="002A0301"/>
    <w:rsid w:val="002A0CE7"/>
    <w:rsid w:val="002A10A8"/>
    <w:rsid w:val="002A11BA"/>
    <w:rsid w:val="002A1279"/>
    <w:rsid w:val="002A1731"/>
    <w:rsid w:val="002A1893"/>
    <w:rsid w:val="002A1951"/>
    <w:rsid w:val="002A1C2A"/>
    <w:rsid w:val="002A1D63"/>
    <w:rsid w:val="002A1DC3"/>
    <w:rsid w:val="002A1E87"/>
    <w:rsid w:val="002A21EE"/>
    <w:rsid w:val="002A244B"/>
    <w:rsid w:val="002A247A"/>
    <w:rsid w:val="002A2628"/>
    <w:rsid w:val="002A2879"/>
    <w:rsid w:val="002A2AF3"/>
    <w:rsid w:val="002A2BE0"/>
    <w:rsid w:val="002A2D7D"/>
    <w:rsid w:val="002A3015"/>
    <w:rsid w:val="002A30D4"/>
    <w:rsid w:val="002A3269"/>
    <w:rsid w:val="002A38B0"/>
    <w:rsid w:val="002A3ABE"/>
    <w:rsid w:val="002A3B09"/>
    <w:rsid w:val="002A3BCA"/>
    <w:rsid w:val="002A3D9B"/>
    <w:rsid w:val="002A3DC8"/>
    <w:rsid w:val="002A3F54"/>
    <w:rsid w:val="002A40D6"/>
    <w:rsid w:val="002A420C"/>
    <w:rsid w:val="002A420E"/>
    <w:rsid w:val="002A437D"/>
    <w:rsid w:val="002A43E5"/>
    <w:rsid w:val="002A45C8"/>
    <w:rsid w:val="002A4609"/>
    <w:rsid w:val="002A478D"/>
    <w:rsid w:val="002A4C4C"/>
    <w:rsid w:val="002A4C7C"/>
    <w:rsid w:val="002A4F74"/>
    <w:rsid w:val="002A5047"/>
    <w:rsid w:val="002A5153"/>
    <w:rsid w:val="002A523A"/>
    <w:rsid w:val="002A54BD"/>
    <w:rsid w:val="002A56F6"/>
    <w:rsid w:val="002A589D"/>
    <w:rsid w:val="002A59B1"/>
    <w:rsid w:val="002A5AF3"/>
    <w:rsid w:val="002A5D0E"/>
    <w:rsid w:val="002A5DD3"/>
    <w:rsid w:val="002A5DE3"/>
    <w:rsid w:val="002A5EEE"/>
    <w:rsid w:val="002A62B2"/>
    <w:rsid w:val="002A67AF"/>
    <w:rsid w:val="002A697C"/>
    <w:rsid w:val="002A699C"/>
    <w:rsid w:val="002A69B8"/>
    <w:rsid w:val="002A6EF2"/>
    <w:rsid w:val="002A6F29"/>
    <w:rsid w:val="002A71F2"/>
    <w:rsid w:val="002A7438"/>
    <w:rsid w:val="002A757D"/>
    <w:rsid w:val="002A787F"/>
    <w:rsid w:val="002A795E"/>
    <w:rsid w:val="002A7B77"/>
    <w:rsid w:val="002A7D73"/>
    <w:rsid w:val="002A7DEA"/>
    <w:rsid w:val="002A7FD0"/>
    <w:rsid w:val="002B007A"/>
    <w:rsid w:val="002B02C2"/>
    <w:rsid w:val="002B02F5"/>
    <w:rsid w:val="002B063B"/>
    <w:rsid w:val="002B0CC9"/>
    <w:rsid w:val="002B0E0D"/>
    <w:rsid w:val="002B103D"/>
    <w:rsid w:val="002B10B4"/>
    <w:rsid w:val="002B11D6"/>
    <w:rsid w:val="002B1238"/>
    <w:rsid w:val="002B1401"/>
    <w:rsid w:val="002B1688"/>
    <w:rsid w:val="002B1898"/>
    <w:rsid w:val="002B1A95"/>
    <w:rsid w:val="002B1CDF"/>
    <w:rsid w:val="002B1D57"/>
    <w:rsid w:val="002B1E73"/>
    <w:rsid w:val="002B1F10"/>
    <w:rsid w:val="002B274B"/>
    <w:rsid w:val="002B28AC"/>
    <w:rsid w:val="002B2958"/>
    <w:rsid w:val="002B2E34"/>
    <w:rsid w:val="002B3067"/>
    <w:rsid w:val="002B30AF"/>
    <w:rsid w:val="002B350B"/>
    <w:rsid w:val="002B357C"/>
    <w:rsid w:val="002B37E9"/>
    <w:rsid w:val="002B386E"/>
    <w:rsid w:val="002B38F1"/>
    <w:rsid w:val="002B3945"/>
    <w:rsid w:val="002B3ACF"/>
    <w:rsid w:val="002B3D01"/>
    <w:rsid w:val="002B3F5A"/>
    <w:rsid w:val="002B3FF4"/>
    <w:rsid w:val="002B4399"/>
    <w:rsid w:val="002B453E"/>
    <w:rsid w:val="002B45D8"/>
    <w:rsid w:val="002B4A0A"/>
    <w:rsid w:val="002B4A50"/>
    <w:rsid w:val="002B5332"/>
    <w:rsid w:val="002B5B2C"/>
    <w:rsid w:val="002B61D2"/>
    <w:rsid w:val="002B64CA"/>
    <w:rsid w:val="002B7082"/>
    <w:rsid w:val="002B77D0"/>
    <w:rsid w:val="002B7F5D"/>
    <w:rsid w:val="002C02E7"/>
    <w:rsid w:val="002C0679"/>
    <w:rsid w:val="002C080B"/>
    <w:rsid w:val="002C0B04"/>
    <w:rsid w:val="002C0DCA"/>
    <w:rsid w:val="002C0EFF"/>
    <w:rsid w:val="002C12CF"/>
    <w:rsid w:val="002C131F"/>
    <w:rsid w:val="002C13EA"/>
    <w:rsid w:val="002C165C"/>
    <w:rsid w:val="002C215F"/>
    <w:rsid w:val="002C2162"/>
    <w:rsid w:val="002C2224"/>
    <w:rsid w:val="002C22CC"/>
    <w:rsid w:val="002C230D"/>
    <w:rsid w:val="002C24C6"/>
    <w:rsid w:val="002C2682"/>
    <w:rsid w:val="002C274A"/>
    <w:rsid w:val="002C2894"/>
    <w:rsid w:val="002C293E"/>
    <w:rsid w:val="002C2AA3"/>
    <w:rsid w:val="002C2B0F"/>
    <w:rsid w:val="002C2BF1"/>
    <w:rsid w:val="002C2DE3"/>
    <w:rsid w:val="002C326E"/>
    <w:rsid w:val="002C32C1"/>
    <w:rsid w:val="002C33F9"/>
    <w:rsid w:val="002C3484"/>
    <w:rsid w:val="002C35A0"/>
    <w:rsid w:val="002C371A"/>
    <w:rsid w:val="002C37CE"/>
    <w:rsid w:val="002C39F6"/>
    <w:rsid w:val="002C3D92"/>
    <w:rsid w:val="002C3FD7"/>
    <w:rsid w:val="002C41C6"/>
    <w:rsid w:val="002C42D1"/>
    <w:rsid w:val="002C43B6"/>
    <w:rsid w:val="002C4948"/>
    <w:rsid w:val="002C4BA7"/>
    <w:rsid w:val="002C4D27"/>
    <w:rsid w:val="002C4F41"/>
    <w:rsid w:val="002C539B"/>
    <w:rsid w:val="002C5741"/>
    <w:rsid w:val="002C591C"/>
    <w:rsid w:val="002C5D01"/>
    <w:rsid w:val="002C5DAF"/>
    <w:rsid w:val="002C609F"/>
    <w:rsid w:val="002C60A9"/>
    <w:rsid w:val="002C636A"/>
    <w:rsid w:val="002C63B2"/>
    <w:rsid w:val="002C644E"/>
    <w:rsid w:val="002C66AC"/>
    <w:rsid w:val="002C6ABD"/>
    <w:rsid w:val="002C7317"/>
    <w:rsid w:val="002C756D"/>
    <w:rsid w:val="002C75C8"/>
    <w:rsid w:val="002C78BF"/>
    <w:rsid w:val="002C7959"/>
    <w:rsid w:val="002C7ED4"/>
    <w:rsid w:val="002D004B"/>
    <w:rsid w:val="002D0127"/>
    <w:rsid w:val="002D0623"/>
    <w:rsid w:val="002D071F"/>
    <w:rsid w:val="002D0806"/>
    <w:rsid w:val="002D08ED"/>
    <w:rsid w:val="002D090C"/>
    <w:rsid w:val="002D09DC"/>
    <w:rsid w:val="002D0A78"/>
    <w:rsid w:val="002D0B59"/>
    <w:rsid w:val="002D0BCB"/>
    <w:rsid w:val="002D0EFC"/>
    <w:rsid w:val="002D105C"/>
    <w:rsid w:val="002D13FF"/>
    <w:rsid w:val="002D1412"/>
    <w:rsid w:val="002D1425"/>
    <w:rsid w:val="002D14EF"/>
    <w:rsid w:val="002D1B0B"/>
    <w:rsid w:val="002D1D9F"/>
    <w:rsid w:val="002D1DB5"/>
    <w:rsid w:val="002D1E93"/>
    <w:rsid w:val="002D1E9C"/>
    <w:rsid w:val="002D23E8"/>
    <w:rsid w:val="002D2516"/>
    <w:rsid w:val="002D28C0"/>
    <w:rsid w:val="002D2BA3"/>
    <w:rsid w:val="002D2D14"/>
    <w:rsid w:val="002D2D93"/>
    <w:rsid w:val="002D3244"/>
    <w:rsid w:val="002D329F"/>
    <w:rsid w:val="002D346C"/>
    <w:rsid w:val="002D3482"/>
    <w:rsid w:val="002D348B"/>
    <w:rsid w:val="002D374C"/>
    <w:rsid w:val="002D38F9"/>
    <w:rsid w:val="002D3980"/>
    <w:rsid w:val="002D3D8D"/>
    <w:rsid w:val="002D3DE3"/>
    <w:rsid w:val="002D3F49"/>
    <w:rsid w:val="002D4091"/>
    <w:rsid w:val="002D43E1"/>
    <w:rsid w:val="002D475C"/>
    <w:rsid w:val="002D4828"/>
    <w:rsid w:val="002D4841"/>
    <w:rsid w:val="002D4AB6"/>
    <w:rsid w:val="002D4BCB"/>
    <w:rsid w:val="002D4F44"/>
    <w:rsid w:val="002D4F82"/>
    <w:rsid w:val="002D551D"/>
    <w:rsid w:val="002D5578"/>
    <w:rsid w:val="002D5691"/>
    <w:rsid w:val="002D5716"/>
    <w:rsid w:val="002D589C"/>
    <w:rsid w:val="002D593E"/>
    <w:rsid w:val="002D5A6E"/>
    <w:rsid w:val="002D5EF3"/>
    <w:rsid w:val="002D6013"/>
    <w:rsid w:val="002D613A"/>
    <w:rsid w:val="002D626F"/>
    <w:rsid w:val="002D62AB"/>
    <w:rsid w:val="002D63A1"/>
    <w:rsid w:val="002D63B3"/>
    <w:rsid w:val="002D6B2F"/>
    <w:rsid w:val="002D6B46"/>
    <w:rsid w:val="002D6B79"/>
    <w:rsid w:val="002D6C54"/>
    <w:rsid w:val="002D6C87"/>
    <w:rsid w:val="002D6D24"/>
    <w:rsid w:val="002D6F04"/>
    <w:rsid w:val="002D7191"/>
    <w:rsid w:val="002D759E"/>
    <w:rsid w:val="002D76E2"/>
    <w:rsid w:val="002D78AC"/>
    <w:rsid w:val="002D7A08"/>
    <w:rsid w:val="002D7B16"/>
    <w:rsid w:val="002D7BCC"/>
    <w:rsid w:val="002D7D6C"/>
    <w:rsid w:val="002E0472"/>
    <w:rsid w:val="002E0588"/>
    <w:rsid w:val="002E0785"/>
    <w:rsid w:val="002E0793"/>
    <w:rsid w:val="002E08AE"/>
    <w:rsid w:val="002E097F"/>
    <w:rsid w:val="002E0999"/>
    <w:rsid w:val="002E09A4"/>
    <w:rsid w:val="002E0A3F"/>
    <w:rsid w:val="002E0BE9"/>
    <w:rsid w:val="002E117C"/>
    <w:rsid w:val="002E13B0"/>
    <w:rsid w:val="002E140E"/>
    <w:rsid w:val="002E1513"/>
    <w:rsid w:val="002E15F9"/>
    <w:rsid w:val="002E1606"/>
    <w:rsid w:val="002E179B"/>
    <w:rsid w:val="002E1993"/>
    <w:rsid w:val="002E1A12"/>
    <w:rsid w:val="002E1ADF"/>
    <w:rsid w:val="002E1B23"/>
    <w:rsid w:val="002E1CC0"/>
    <w:rsid w:val="002E1DC6"/>
    <w:rsid w:val="002E1E1E"/>
    <w:rsid w:val="002E1F33"/>
    <w:rsid w:val="002E1FC3"/>
    <w:rsid w:val="002E1FD0"/>
    <w:rsid w:val="002E20CC"/>
    <w:rsid w:val="002E254B"/>
    <w:rsid w:val="002E2587"/>
    <w:rsid w:val="002E25AD"/>
    <w:rsid w:val="002E26F1"/>
    <w:rsid w:val="002E2986"/>
    <w:rsid w:val="002E2B0D"/>
    <w:rsid w:val="002E2F3D"/>
    <w:rsid w:val="002E301D"/>
    <w:rsid w:val="002E3067"/>
    <w:rsid w:val="002E30BA"/>
    <w:rsid w:val="002E31E6"/>
    <w:rsid w:val="002E34F5"/>
    <w:rsid w:val="002E35BC"/>
    <w:rsid w:val="002E3A40"/>
    <w:rsid w:val="002E3A4A"/>
    <w:rsid w:val="002E3AEE"/>
    <w:rsid w:val="002E3BE3"/>
    <w:rsid w:val="002E3C90"/>
    <w:rsid w:val="002E3DFD"/>
    <w:rsid w:val="002E41A6"/>
    <w:rsid w:val="002E41B2"/>
    <w:rsid w:val="002E41D6"/>
    <w:rsid w:val="002E477B"/>
    <w:rsid w:val="002E47D6"/>
    <w:rsid w:val="002E482B"/>
    <w:rsid w:val="002E4BB8"/>
    <w:rsid w:val="002E4C1D"/>
    <w:rsid w:val="002E4F24"/>
    <w:rsid w:val="002E4F55"/>
    <w:rsid w:val="002E5103"/>
    <w:rsid w:val="002E53AC"/>
    <w:rsid w:val="002E53C0"/>
    <w:rsid w:val="002E5621"/>
    <w:rsid w:val="002E584A"/>
    <w:rsid w:val="002E59B4"/>
    <w:rsid w:val="002E5AA1"/>
    <w:rsid w:val="002E5B8E"/>
    <w:rsid w:val="002E5C6F"/>
    <w:rsid w:val="002E5D90"/>
    <w:rsid w:val="002E5E18"/>
    <w:rsid w:val="002E5E34"/>
    <w:rsid w:val="002E5E97"/>
    <w:rsid w:val="002E5F6E"/>
    <w:rsid w:val="002E623F"/>
    <w:rsid w:val="002E66FC"/>
    <w:rsid w:val="002E67F2"/>
    <w:rsid w:val="002E684C"/>
    <w:rsid w:val="002E6A59"/>
    <w:rsid w:val="002E6BA4"/>
    <w:rsid w:val="002E6C9F"/>
    <w:rsid w:val="002E6FA9"/>
    <w:rsid w:val="002E704E"/>
    <w:rsid w:val="002E72B8"/>
    <w:rsid w:val="002E740B"/>
    <w:rsid w:val="002E7436"/>
    <w:rsid w:val="002E74C2"/>
    <w:rsid w:val="002E7543"/>
    <w:rsid w:val="002E763E"/>
    <w:rsid w:val="002E7767"/>
    <w:rsid w:val="002E78BB"/>
    <w:rsid w:val="002E795C"/>
    <w:rsid w:val="002E7AE2"/>
    <w:rsid w:val="002E7B87"/>
    <w:rsid w:val="002E7DE0"/>
    <w:rsid w:val="002E7E1D"/>
    <w:rsid w:val="002F0125"/>
    <w:rsid w:val="002F0184"/>
    <w:rsid w:val="002F0766"/>
    <w:rsid w:val="002F0AA7"/>
    <w:rsid w:val="002F0BE0"/>
    <w:rsid w:val="002F0F49"/>
    <w:rsid w:val="002F1778"/>
    <w:rsid w:val="002F180B"/>
    <w:rsid w:val="002F1A5C"/>
    <w:rsid w:val="002F1B7E"/>
    <w:rsid w:val="002F1D03"/>
    <w:rsid w:val="002F1F53"/>
    <w:rsid w:val="002F2154"/>
    <w:rsid w:val="002F2209"/>
    <w:rsid w:val="002F2377"/>
    <w:rsid w:val="002F23E6"/>
    <w:rsid w:val="002F2653"/>
    <w:rsid w:val="002F26BA"/>
    <w:rsid w:val="002F280F"/>
    <w:rsid w:val="002F289B"/>
    <w:rsid w:val="002F295A"/>
    <w:rsid w:val="002F29A2"/>
    <w:rsid w:val="002F2C32"/>
    <w:rsid w:val="002F2D66"/>
    <w:rsid w:val="002F2DA4"/>
    <w:rsid w:val="002F302D"/>
    <w:rsid w:val="002F3055"/>
    <w:rsid w:val="002F3412"/>
    <w:rsid w:val="002F356B"/>
    <w:rsid w:val="002F360F"/>
    <w:rsid w:val="002F39D4"/>
    <w:rsid w:val="002F3A21"/>
    <w:rsid w:val="002F3AF6"/>
    <w:rsid w:val="002F3B5E"/>
    <w:rsid w:val="002F3B8D"/>
    <w:rsid w:val="002F3E3E"/>
    <w:rsid w:val="002F431E"/>
    <w:rsid w:val="002F45A6"/>
    <w:rsid w:val="002F4759"/>
    <w:rsid w:val="002F4BFF"/>
    <w:rsid w:val="002F4E42"/>
    <w:rsid w:val="002F5035"/>
    <w:rsid w:val="002F53A7"/>
    <w:rsid w:val="002F5561"/>
    <w:rsid w:val="002F56E7"/>
    <w:rsid w:val="002F5963"/>
    <w:rsid w:val="002F5981"/>
    <w:rsid w:val="002F5A92"/>
    <w:rsid w:val="002F5AF7"/>
    <w:rsid w:val="002F628A"/>
    <w:rsid w:val="002F6775"/>
    <w:rsid w:val="002F6862"/>
    <w:rsid w:val="002F693E"/>
    <w:rsid w:val="002F69E8"/>
    <w:rsid w:val="002F6FAA"/>
    <w:rsid w:val="002F71CC"/>
    <w:rsid w:val="002F7261"/>
    <w:rsid w:val="002F729D"/>
    <w:rsid w:val="002F757A"/>
    <w:rsid w:val="002F75BC"/>
    <w:rsid w:val="002F788A"/>
    <w:rsid w:val="002F78B5"/>
    <w:rsid w:val="002F7AC2"/>
    <w:rsid w:val="002F7AFC"/>
    <w:rsid w:val="002F7CF1"/>
    <w:rsid w:val="002F7DAB"/>
    <w:rsid w:val="002F7E71"/>
    <w:rsid w:val="0030019D"/>
    <w:rsid w:val="00300210"/>
    <w:rsid w:val="00300238"/>
    <w:rsid w:val="00300272"/>
    <w:rsid w:val="00300287"/>
    <w:rsid w:val="003002C4"/>
    <w:rsid w:val="00300B37"/>
    <w:rsid w:val="00300B9E"/>
    <w:rsid w:val="00300BB5"/>
    <w:rsid w:val="00300BCB"/>
    <w:rsid w:val="00300DD2"/>
    <w:rsid w:val="00300E2D"/>
    <w:rsid w:val="0030109E"/>
    <w:rsid w:val="003010B8"/>
    <w:rsid w:val="0030124D"/>
    <w:rsid w:val="003012BC"/>
    <w:rsid w:val="00301453"/>
    <w:rsid w:val="003014F0"/>
    <w:rsid w:val="00301617"/>
    <w:rsid w:val="00301B23"/>
    <w:rsid w:val="00301C1D"/>
    <w:rsid w:val="00301F32"/>
    <w:rsid w:val="00301FF1"/>
    <w:rsid w:val="003020C7"/>
    <w:rsid w:val="003024CB"/>
    <w:rsid w:val="00302BDD"/>
    <w:rsid w:val="00302EB5"/>
    <w:rsid w:val="00303168"/>
    <w:rsid w:val="00303501"/>
    <w:rsid w:val="003035D4"/>
    <w:rsid w:val="003036C5"/>
    <w:rsid w:val="00303B70"/>
    <w:rsid w:val="003040E6"/>
    <w:rsid w:val="00304299"/>
    <w:rsid w:val="003042D4"/>
    <w:rsid w:val="003042E1"/>
    <w:rsid w:val="00304374"/>
    <w:rsid w:val="00304406"/>
    <w:rsid w:val="0030475C"/>
    <w:rsid w:val="003049A3"/>
    <w:rsid w:val="00304A46"/>
    <w:rsid w:val="00304CA8"/>
    <w:rsid w:val="00304EFA"/>
    <w:rsid w:val="00304F81"/>
    <w:rsid w:val="00305268"/>
    <w:rsid w:val="0030530C"/>
    <w:rsid w:val="0030534B"/>
    <w:rsid w:val="0030537A"/>
    <w:rsid w:val="003056DA"/>
    <w:rsid w:val="00305982"/>
    <w:rsid w:val="00305D82"/>
    <w:rsid w:val="00305DD5"/>
    <w:rsid w:val="00306004"/>
    <w:rsid w:val="003060AA"/>
    <w:rsid w:val="003066EC"/>
    <w:rsid w:val="00306946"/>
    <w:rsid w:val="003069AB"/>
    <w:rsid w:val="00306A04"/>
    <w:rsid w:val="00306A29"/>
    <w:rsid w:val="00306EB8"/>
    <w:rsid w:val="003071F7"/>
    <w:rsid w:val="00307342"/>
    <w:rsid w:val="0030744F"/>
    <w:rsid w:val="0030745F"/>
    <w:rsid w:val="003075EC"/>
    <w:rsid w:val="00307DBB"/>
    <w:rsid w:val="00307E0C"/>
    <w:rsid w:val="00310655"/>
    <w:rsid w:val="003106DD"/>
    <w:rsid w:val="003106F3"/>
    <w:rsid w:val="0031087E"/>
    <w:rsid w:val="00310C49"/>
    <w:rsid w:val="00310D05"/>
    <w:rsid w:val="00310F6F"/>
    <w:rsid w:val="003110E2"/>
    <w:rsid w:val="003113A2"/>
    <w:rsid w:val="003115C3"/>
    <w:rsid w:val="0031161A"/>
    <w:rsid w:val="00311A8B"/>
    <w:rsid w:val="00311AA4"/>
    <w:rsid w:val="00311F66"/>
    <w:rsid w:val="00311F96"/>
    <w:rsid w:val="00312023"/>
    <w:rsid w:val="00312441"/>
    <w:rsid w:val="00312478"/>
    <w:rsid w:val="00312597"/>
    <w:rsid w:val="00312857"/>
    <w:rsid w:val="003128C1"/>
    <w:rsid w:val="00312A6D"/>
    <w:rsid w:val="00312D12"/>
    <w:rsid w:val="00312D3D"/>
    <w:rsid w:val="00312F24"/>
    <w:rsid w:val="00312F35"/>
    <w:rsid w:val="0031315C"/>
    <w:rsid w:val="00313363"/>
    <w:rsid w:val="00313431"/>
    <w:rsid w:val="0031344E"/>
    <w:rsid w:val="0031361B"/>
    <w:rsid w:val="00313754"/>
    <w:rsid w:val="0031387F"/>
    <w:rsid w:val="00313FB5"/>
    <w:rsid w:val="003140A0"/>
    <w:rsid w:val="0031413C"/>
    <w:rsid w:val="003141EA"/>
    <w:rsid w:val="003143D1"/>
    <w:rsid w:val="0031478E"/>
    <w:rsid w:val="003149AC"/>
    <w:rsid w:val="00314B76"/>
    <w:rsid w:val="00314BF8"/>
    <w:rsid w:val="00314D02"/>
    <w:rsid w:val="00314D08"/>
    <w:rsid w:val="00314E49"/>
    <w:rsid w:val="00314F3E"/>
    <w:rsid w:val="00314F53"/>
    <w:rsid w:val="003150C5"/>
    <w:rsid w:val="00315110"/>
    <w:rsid w:val="0031549B"/>
    <w:rsid w:val="00315B52"/>
    <w:rsid w:val="00315C35"/>
    <w:rsid w:val="00315CE1"/>
    <w:rsid w:val="0031614E"/>
    <w:rsid w:val="00316B78"/>
    <w:rsid w:val="0031706A"/>
    <w:rsid w:val="003170CC"/>
    <w:rsid w:val="003172BE"/>
    <w:rsid w:val="00317336"/>
    <w:rsid w:val="00317495"/>
    <w:rsid w:val="0031790C"/>
    <w:rsid w:val="00317BF7"/>
    <w:rsid w:val="00317C55"/>
    <w:rsid w:val="0032022D"/>
    <w:rsid w:val="00320467"/>
    <w:rsid w:val="00320523"/>
    <w:rsid w:val="0032065A"/>
    <w:rsid w:val="003207D4"/>
    <w:rsid w:val="00320915"/>
    <w:rsid w:val="0032099C"/>
    <w:rsid w:val="00320ADD"/>
    <w:rsid w:val="00320B78"/>
    <w:rsid w:val="00320C02"/>
    <w:rsid w:val="00320C92"/>
    <w:rsid w:val="00320DAA"/>
    <w:rsid w:val="00320F50"/>
    <w:rsid w:val="0032115B"/>
    <w:rsid w:val="0032139E"/>
    <w:rsid w:val="00321434"/>
    <w:rsid w:val="00321744"/>
    <w:rsid w:val="003217CE"/>
    <w:rsid w:val="00321AC6"/>
    <w:rsid w:val="00321ACD"/>
    <w:rsid w:val="00321BD2"/>
    <w:rsid w:val="00321CF7"/>
    <w:rsid w:val="00322014"/>
    <w:rsid w:val="003220E7"/>
    <w:rsid w:val="003225EA"/>
    <w:rsid w:val="003225F7"/>
    <w:rsid w:val="00322619"/>
    <w:rsid w:val="003226F7"/>
    <w:rsid w:val="00322797"/>
    <w:rsid w:val="003231C0"/>
    <w:rsid w:val="0032321C"/>
    <w:rsid w:val="0032342E"/>
    <w:rsid w:val="0032361C"/>
    <w:rsid w:val="00323C02"/>
    <w:rsid w:val="00323DA6"/>
    <w:rsid w:val="00323DAE"/>
    <w:rsid w:val="00323E42"/>
    <w:rsid w:val="00324056"/>
    <w:rsid w:val="0032420E"/>
    <w:rsid w:val="003242C0"/>
    <w:rsid w:val="0032440E"/>
    <w:rsid w:val="00324715"/>
    <w:rsid w:val="003247D5"/>
    <w:rsid w:val="003249B9"/>
    <w:rsid w:val="00324A82"/>
    <w:rsid w:val="00324B2C"/>
    <w:rsid w:val="00324C3B"/>
    <w:rsid w:val="00324C45"/>
    <w:rsid w:val="00325095"/>
    <w:rsid w:val="003250C9"/>
    <w:rsid w:val="00325252"/>
    <w:rsid w:val="0032551B"/>
    <w:rsid w:val="00325628"/>
    <w:rsid w:val="003258F5"/>
    <w:rsid w:val="00325C5E"/>
    <w:rsid w:val="00325E58"/>
    <w:rsid w:val="00325F43"/>
    <w:rsid w:val="003261E0"/>
    <w:rsid w:val="0032622F"/>
    <w:rsid w:val="0032627B"/>
    <w:rsid w:val="003262A5"/>
    <w:rsid w:val="003262D9"/>
    <w:rsid w:val="003262E9"/>
    <w:rsid w:val="003264AA"/>
    <w:rsid w:val="0032662D"/>
    <w:rsid w:val="003266C2"/>
    <w:rsid w:val="00326807"/>
    <w:rsid w:val="00326D55"/>
    <w:rsid w:val="00326EAA"/>
    <w:rsid w:val="00327442"/>
    <w:rsid w:val="003275A9"/>
    <w:rsid w:val="003276FD"/>
    <w:rsid w:val="00327949"/>
    <w:rsid w:val="003279F1"/>
    <w:rsid w:val="00327BDF"/>
    <w:rsid w:val="00327C7B"/>
    <w:rsid w:val="00327D11"/>
    <w:rsid w:val="00327F49"/>
    <w:rsid w:val="0033009B"/>
    <w:rsid w:val="00330566"/>
    <w:rsid w:val="00330569"/>
    <w:rsid w:val="00330829"/>
    <w:rsid w:val="0033086D"/>
    <w:rsid w:val="00330D1A"/>
    <w:rsid w:val="003311E1"/>
    <w:rsid w:val="00331457"/>
    <w:rsid w:val="00331515"/>
    <w:rsid w:val="003315D2"/>
    <w:rsid w:val="00331665"/>
    <w:rsid w:val="00331673"/>
    <w:rsid w:val="00331936"/>
    <w:rsid w:val="00331F88"/>
    <w:rsid w:val="00332046"/>
    <w:rsid w:val="00332226"/>
    <w:rsid w:val="003323C0"/>
    <w:rsid w:val="0033253F"/>
    <w:rsid w:val="003328E6"/>
    <w:rsid w:val="00332A17"/>
    <w:rsid w:val="00332AFB"/>
    <w:rsid w:val="00332B39"/>
    <w:rsid w:val="00332C63"/>
    <w:rsid w:val="00332FE8"/>
    <w:rsid w:val="00333065"/>
    <w:rsid w:val="0033335D"/>
    <w:rsid w:val="003333D9"/>
    <w:rsid w:val="0033344A"/>
    <w:rsid w:val="00333495"/>
    <w:rsid w:val="003334C6"/>
    <w:rsid w:val="003336D3"/>
    <w:rsid w:val="003337FF"/>
    <w:rsid w:val="00333839"/>
    <w:rsid w:val="00333AD6"/>
    <w:rsid w:val="00333EF6"/>
    <w:rsid w:val="00333F87"/>
    <w:rsid w:val="0033417D"/>
    <w:rsid w:val="00334412"/>
    <w:rsid w:val="00334870"/>
    <w:rsid w:val="003349B4"/>
    <w:rsid w:val="00334A1F"/>
    <w:rsid w:val="00334F08"/>
    <w:rsid w:val="003350F0"/>
    <w:rsid w:val="00335124"/>
    <w:rsid w:val="0033520D"/>
    <w:rsid w:val="0033532B"/>
    <w:rsid w:val="003354E3"/>
    <w:rsid w:val="003356C8"/>
    <w:rsid w:val="0033579E"/>
    <w:rsid w:val="00335B93"/>
    <w:rsid w:val="00335BB2"/>
    <w:rsid w:val="00335C67"/>
    <w:rsid w:val="00335E53"/>
    <w:rsid w:val="003361FD"/>
    <w:rsid w:val="003364AB"/>
    <w:rsid w:val="003364F9"/>
    <w:rsid w:val="003365E1"/>
    <w:rsid w:val="0033661A"/>
    <w:rsid w:val="003367D1"/>
    <w:rsid w:val="00336812"/>
    <w:rsid w:val="0033681A"/>
    <w:rsid w:val="003370B2"/>
    <w:rsid w:val="0033766C"/>
    <w:rsid w:val="003376B7"/>
    <w:rsid w:val="00337E54"/>
    <w:rsid w:val="003400F4"/>
    <w:rsid w:val="0034051B"/>
    <w:rsid w:val="003406F1"/>
    <w:rsid w:val="003407EB"/>
    <w:rsid w:val="003407FB"/>
    <w:rsid w:val="00340818"/>
    <w:rsid w:val="00340B13"/>
    <w:rsid w:val="00340C16"/>
    <w:rsid w:val="00340CB7"/>
    <w:rsid w:val="00340E7D"/>
    <w:rsid w:val="003411DF"/>
    <w:rsid w:val="00341237"/>
    <w:rsid w:val="00341368"/>
    <w:rsid w:val="00341855"/>
    <w:rsid w:val="00341981"/>
    <w:rsid w:val="00341C5E"/>
    <w:rsid w:val="00341F8F"/>
    <w:rsid w:val="00341FE3"/>
    <w:rsid w:val="0034267C"/>
    <w:rsid w:val="0034281C"/>
    <w:rsid w:val="00342BC1"/>
    <w:rsid w:val="00342ED7"/>
    <w:rsid w:val="0034320F"/>
    <w:rsid w:val="00343215"/>
    <w:rsid w:val="003434FC"/>
    <w:rsid w:val="003437C4"/>
    <w:rsid w:val="003439EA"/>
    <w:rsid w:val="00343AF3"/>
    <w:rsid w:val="00344681"/>
    <w:rsid w:val="00344784"/>
    <w:rsid w:val="0034490A"/>
    <w:rsid w:val="00344957"/>
    <w:rsid w:val="00344C24"/>
    <w:rsid w:val="00344DE5"/>
    <w:rsid w:val="0034510D"/>
    <w:rsid w:val="00345862"/>
    <w:rsid w:val="0034598A"/>
    <w:rsid w:val="003459D9"/>
    <w:rsid w:val="00345BC0"/>
    <w:rsid w:val="00345CBF"/>
    <w:rsid w:val="00345F3B"/>
    <w:rsid w:val="00345FE2"/>
    <w:rsid w:val="003460B1"/>
    <w:rsid w:val="003461AE"/>
    <w:rsid w:val="0034633B"/>
    <w:rsid w:val="00346415"/>
    <w:rsid w:val="00346608"/>
    <w:rsid w:val="0034671A"/>
    <w:rsid w:val="00346BC6"/>
    <w:rsid w:val="00346C7D"/>
    <w:rsid w:val="00346E2E"/>
    <w:rsid w:val="003473F2"/>
    <w:rsid w:val="00347465"/>
    <w:rsid w:val="00347522"/>
    <w:rsid w:val="00347B83"/>
    <w:rsid w:val="00347C9C"/>
    <w:rsid w:val="0035002C"/>
    <w:rsid w:val="00350208"/>
    <w:rsid w:val="003502F3"/>
    <w:rsid w:val="00350F09"/>
    <w:rsid w:val="00350FAC"/>
    <w:rsid w:val="00351134"/>
    <w:rsid w:val="003513C8"/>
    <w:rsid w:val="003515CD"/>
    <w:rsid w:val="00351650"/>
    <w:rsid w:val="00351674"/>
    <w:rsid w:val="0035170F"/>
    <w:rsid w:val="00351D9C"/>
    <w:rsid w:val="00351F49"/>
    <w:rsid w:val="003523CF"/>
    <w:rsid w:val="00352F22"/>
    <w:rsid w:val="00352F62"/>
    <w:rsid w:val="00353118"/>
    <w:rsid w:val="003536B8"/>
    <w:rsid w:val="003538E9"/>
    <w:rsid w:val="00353A2B"/>
    <w:rsid w:val="00353AD4"/>
    <w:rsid w:val="00353BA4"/>
    <w:rsid w:val="00353E62"/>
    <w:rsid w:val="00354322"/>
    <w:rsid w:val="003543FF"/>
    <w:rsid w:val="0035457C"/>
    <w:rsid w:val="00354588"/>
    <w:rsid w:val="00354599"/>
    <w:rsid w:val="00354893"/>
    <w:rsid w:val="00354899"/>
    <w:rsid w:val="0035496F"/>
    <w:rsid w:val="00354C73"/>
    <w:rsid w:val="003551C7"/>
    <w:rsid w:val="003552E0"/>
    <w:rsid w:val="00355623"/>
    <w:rsid w:val="003557AD"/>
    <w:rsid w:val="00355866"/>
    <w:rsid w:val="0035587C"/>
    <w:rsid w:val="0035599E"/>
    <w:rsid w:val="00355FD0"/>
    <w:rsid w:val="003560A9"/>
    <w:rsid w:val="00356148"/>
    <w:rsid w:val="00356172"/>
    <w:rsid w:val="003561AD"/>
    <w:rsid w:val="003562FD"/>
    <w:rsid w:val="0035634D"/>
    <w:rsid w:val="00356652"/>
    <w:rsid w:val="00356711"/>
    <w:rsid w:val="00356A1A"/>
    <w:rsid w:val="00356D10"/>
    <w:rsid w:val="003570CC"/>
    <w:rsid w:val="00357660"/>
    <w:rsid w:val="00357E1C"/>
    <w:rsid w:val="003600C5"/>
    <w:rsid w:val="0036019B"/>
    <w:rsid w:val="003602C8"/>
    <w:rsid w:val="00360478"/>
    <w:rsid w:val="00360730"/>
    <w:rsid w:val="00360763"/>
    <w:rsid w:val="003608B7"/>
    <w:rsid w:val="00360A8B"/>
    <w:rsid w:val="00360D7D"/>
    <w:rsid w:val="003610EB"/>
    <w:rsid w:val="003613AE"/>
    <w:rsid w:val="00361436"/>
    <w:rsid w:val="00361475"/>
    <w:rsid w:val="00361674"/>
    <w:rsid w:val="00361955"/>
    <w:rsid w:val="00361A0C"/>
    <w:rsid w:val="00361D77"/>
    <w:rsid w:val="00361E23"/>
    <w:rsid w:val="00361E32"/>
    <w:rsid w:val="003621E7"/>
    <w:rsid w:val="0036233D"/>
    <w:rsid w:val="0036246D"/>
    <w:rsid w:val="0036280B"/>
    <w:rsid w:val="0036281C"/>
    <w:rsid w:val="003628F6"/>
    <w:rsid w:val="00362AA9"/>
    <w:rsid w:val="00362B2F"/>
    <w:rsid w:val="00362D6C"/>
    <w:rsid w:val="00362FB7"/>
    <w:rsid w:val="00363190"/>
    <w:rsid w:val="003631B0"/>
    <w:rsid w:val="003633FF"/>
    <w:rsid w:val="00363634"/>
    <w:rsid w:val="00363BB3"/>
    <w:rsid w:val="00363C33"/>
    <w:rsid w:val="00363D4D"/>
    <w:rsid w:val="0036428A"/>
    <w:rsid w:val="0036443F"/>
    <w:rsid w:val="003644FE"/>
    <w:rsid w:val="00364725"/>
    <w:rsid w:val="003648F7"/>
    <w:rsid w:val="003649F0"/>
    <w:rsid w:val="00364B62"/>
    <w:rsid w:val="003653AA"/>
    <w:rsid w:val="00365478"/>
    <w:rsid w:val="00365506"/>
    <w:rsid w:val="003655FD"/>
    <w:rsid w:val="00365660"/>
    <w:rsid w:val="003656A5"/>
    <w:rsid w:val="00365C95"/>
    <w:rsid w:val="00366729"/>
    <w:rsid w:val="00366B88"/>
    <w:rsid w:val="00366C8F"/>
    <w:rsid w:val="00366E12"/>
    <w:rsid w:val="00366E63"/>
    <w:rsid w:val="00366E86"/>
    <w:rsid w:val="00366F7E"/>
    <w:rsid w:val="003670B5"/>
    <w:rsid w:val="00367173"/>
    <w:rsid w:val="00367265"/>
    <w:rsid w:val="003672A3"/>
    <w:rsid w:val="0036746F"/>
    <w:rsid w:val="00367845"/>
    <w:rsid w:val="00367A8A"/>
    <w:rsid w:val="00370053"/>
    <w:rsid w:val="00370155"/>
    <w:rsid w:val="00370375"/>
    <w:rsid w:val="003706C6"/>
    <w:rsid w:val="0037074E"/>
    <w:rsid w:val="003707B3"/>
    <w:rsid w:val="00370E82"/>
    <w:rsid w:val="00370F42"/>
    <w:rsid w:val="00371141"/>
    <w:rsid w:val="00371188"/>
    <w:rsid w:val="00371400"/>
    <w:rsid w:val="00371412"/>
    <w:rsid w:val="0037151E"/>
    <w:rsid w:val="00371538"/>
    <w:rsid w:val="003716C7"/>
    <w:rsid w:val="00371725"/>
    <w:rsid w:val="003719F5"/>
    <w:rsid w:val="003720F4"/>
    <w:rsid w:val="00372605"/>
    <w:rsid w:val="00372614"/>
    <w:rsid w:val="00372695"/>
    <w:rsid w:val="00372CA5"/>
    <w:rsid w:val="00372E1C"/>
    <w:rsid w:val="00372E4A"/>
    <w:rsid w:val="003730A5"/>
    <w:rsid w:val="0037314C"/>
    <w:rsid w:val="003734EB"/>
    <w:rsid w:val="003735A9"/>
    <w:rsid w:val="003735BC"/>
    <w:rsid w:val="003735F9"/>
    <w:rsid w:val="003739C1"/>
    <w:rsid w:val="00373F54"/>
    <w:rsid w:val="00374217"/>
    <w:rsid w:val="0037424C"/>
    <w:rsid w:val="0037428F"/>
    <w:rsid w:val="003742EB"/>
    <w:rsid w:val="003744D1"/>
    <w:rsid w:val="00374607"/>
    <w:rsid w:val="003755FE"/>
    <w:rsid w:val="00375787"/>
    <w:rsid w:val="003757E9"/>
    <w:rsid w:val="0037584A"/>
    <w:rsid w:val="0037595D"/>
    <w:rsid w:val="00375A22"/>
    <w:rsid w:val="00375ED3"/>
    <w:rsid w:val="00375F8B"/>
    <w:rsid w:val="003761C3"/>
    <w:rsid w:val="00376381"/>
    <w:rsid w:val="003764C0"/>
    <w:rsid w:val="003767A8"/>
    <w:rsid w:val="00376816"/>
    <w:rsid w:val="003768FF"/>
    <w:rsid w:val="00376B17"/>
    <w:rsid w:val="00376B3F"/>
    <w:rsid w:val="00376C99"/>
    <w:rsid w:val="00376D0F"/>
    <w:rsid w:val="00376FA5"/>
    <w:rsid w:val="00376FBE"/>
    <w:rsid w:val="0037719C"/>
    <w:rsid w:val="00377322"/>
    <w:rsid w:val="0037784D"/>
    <w:rsid w:val="00377A74"/>
    <w:rsid w:val="00380025"/>
    <w:rsid w:val="003802B0"/>
    <w:rsid w:val="00380377"/>
    <w:rsid w:val="003803C5"/>
    <w:rsid w:val="00380488"/>
    <w:rsid w:val="00380539"/>
    <w:rsid w:val="00380739"/>
    <w:rsid w:val="00380793"/>
    <w:rsid w:val="003809DF"/>
    <w:rsid w:val="00380B8A"/>
    <w:rsid w:val="00380CDF"/>
    <w:rsid w:val="00380FF7"/>
    <w:rsid w:val="00381002"/>
    <w:rsid w:val="00381032"/>
    <w:rsid w:val="00381147"/>
    <w:rsid w:val="003815BB"/>
    <w:rsid w:val="003815F7"/>
    <w:rsid w:val="00381A13"/>
    <w:rsid w:val="00381BDD"/>
    <w:rsid w:val="00381DEA"/>
    <w:rsid w:val="00381F12"/>
    <w:rsid w:val="00381F4E"/>
    <w:rsid w:val="00382068"/>
    <w:rsid w:val="00382184"/>
    <w:rsid w:val="003821AA"/>
    <w:rsid w:val="0038228E"/>
    <w:rsid w:val="003823D5"/>
    <w:rsid w:val="00382B3F"/>
    <w:rsid w:val="00382CAC"/>
    <w:rsid w:val="00382DE5"/>
    <w:rsid w:val="00382EE5"/>
    <w:rsid w:val="0038324F"/>
    <w:rsid w:val="00383386"/>
    <w:rsid w:val="0038340A"/>
    <w:rsid w:val="0038369D"/>
    <w:rsid w:val="00383A13"/>
    <w:rsid w:val="00383A82"/>
    <w:rsid w:val="00383B1E"/>
    <w:rsid w:val="00383F23"/>
    <w:rsid w:val="00383F41"/>
    <w:rsid w:val="00384056"/>
    <w:rsid w:val="003842CB"/>
    <w:rsid w:val="0038475F"/>
    <w:rsid w:val="0038483F"/>
    <w:rsid w:val="0038489C"/>
    <w:rsid w:val="00384A94"/>
    <w:rsid w:val="00384DF9"/>
    <w:rsid w:val="00384E69"/>
    <w:rsid w:val="00384F4D"/>
    <w:rsid w:val="00385082"/>
    <w:rsid w:val="003850CF"/>
    <w:rsid w:val="0038534B"/>
    <w:rsid w:val="00385610"/>
    <w:rsid w:val="003858DE"/>
    <w:rsid w:val="00385E78"/>
    <w:rsid w:val="003865F5"/>
    <w:rsid w:val="003866A4"/>
    <w:rsid w:val="00386BBD"/>
    <w:rsid w:val="00386CFA"/>
    <w:rsid w:val="00386D1B"/>
    <w:rsid w:val="00386D3E"/>
    <w:rsid w:val="003870DD"/>
    <w:rsid w:val="003872E4"/>
    <w:rsid w:val="0038731F"/>
    <w:rsid w:val="003874DD"/>
    <w:rsid w:val="00387583"/>
    <w:rsid w:val="0038767D"/>
    <w:rsid w:val="0038769A"/>
    <w:rsid w:val="00387834"/>
    <w:rsid w:val="00387B3C"/>
    <w:rsid w:val="00387B5F"/>
    <w:rsid w:val="00387C61"/>
    <w:rsid w:val="003901FA"/>
    <w:rsid w:val="00390290"/>
    <w:rsid w:val="003902BA"/>
    <w:rsid w:val="0039039E"/>
    <w:rsid w:val="0039055E"/>
    <w:rsid w:val="00390689"/>
    <w:rsid w:val="003906B8"/>
    <w:rsid w:val="003907BD"/>
    <w:rsid w:val="00390913"/>
    <w:rsid w:val="00390B18"/>
    <w:rsid w:val="00390F07"/>
    <w:rsid w:val="00391222"/>
    <w:rsid w:val="0039131F"/>
    <w:rsid w:val="00391634"/>
    <w:rsid w:val="00391B7A"/>
    <w:rsid w:val="0039200F"/>
    <w:rsid w:val="003922B7"/>
    <w:rsid w:val="003925A2"/>
    <w:rsid w:val="0039282D"/>
    <w:rsid w:val="003929B6"/>
    <w:rsid w:val="00392B2A"/>
    <w:rsid w:val="00392E11"/>
    <w:rsid w:val="00392F91"/>
    <w:rsid w:val="003938AA"/>
    <w:rsid w:val="003938AC"/>
    <w:rsid w:val="00393E8A"/>
    <w:rsid w:val="00393EED"/>
    <w:rsid w:val="00394193"/>
    <w:rsid w:val="003941B8"/>
    <w:rsid w:val="00394248"/>
    <w:rsid w:val="003942B4"/>
    <w:rsid w:val="00394522"/>
    <w:rsid w:val="00394794"/>
    <w:rsid w:val="0039495E"/>
    <w:rsid w:val="00394A1E"/>
    <w:rsid w:val="00395140"/>
    <w:rsid w:val="003951F2"/>
    <w:rsid w:val="003952AC"/>
    <w:rsid w:val="003953ED"/>
    <w:rsid w:val="00395429"/>
    <w:rsid w:val="0039550D"/>
    <w:rsid w:val="00395575"/>
    <w:rsid w:val="003959D3"/>
    <w:rsid w:val="00395A55"/>
    <w:rsid w:val="00395A9D"/>
    <w:rsid w:val="00395C32"/>
    <w:rsid w:val="00395C8A"/>
    <w:rsid w:val="00395F42"/>
    <w:rsid w:val="003960B5"/>
    <w:rsid w:val="00396226"/>
    <w:rsid w:val="00396348"/>
    <w:rsid w:val="0039674C"/>
    <w:rsid w:val="00396778"/>
    <w:rsid w:val="0039686C"/>
    <w:rsid w:val="00396A35"/>
    <w:rsid w:val="00396B8C"/>
    <w:rsid w:val="00396C25"/>
    <w:rsid w:val="00396C5C"/>
    <w:rsid w:val="00396D1A"/>
    <w:rsid w:val="00397124"/>
    <w:rsid w:val="003973A6"/>
    <w:rsid w:val="0039742C"/>
    <w:rsid w:val="003974EF"/>
    <w:rsid w:val="003978F1"/>
    <w:rsid w:val="00397957"/>
    <w:rsid w:val="00397CED"/>
    <w:rsid w:val="00397D1B"/>
    <w:rsid w:val="003A018D"/>
    <w:rsid w:val="003A03B0"/>
    <w:rsid w:val="003A03B2"/>
    <w:rsid w:val="003A053A"/>
    <w:rsid w:val="003A06F2"/>
    <w:rsid w:val="003A072B"/>
    <w:rsid w:val="003A07F1"/>
    <w:rsid w:val="003A0807"/>
    <w:rsid w:val="003A08EF"/>
    <w:rsid w:val="003A0A56"/>
    <w:rsid w:val="003A0B09"/>
    <w:rsid w:val="003A0DE1"/>
    <w:rsid w:val="003A0EA7"/>
    <w:rsid w:val="003A101A"/>
    <w:rsid w:val="003A1023"/>
    <w:rsid w:val="003A148B"/>
    <w:rsid w:val="003A15DC"/>
    <w:rsid w:val="003A16B3"/>
    <w:rsid w:val="003A1AF5"/>
    <w:rsid w:val="003A1B50"/>
    <w:rsid w:val="003A1BE3"/>
    <w:rsid w:val="003A1CDC"/>
    <w:rsid w:val="003A1E57"/>
    <w:rsid w:val="003A20B1"/>
    <w:rsid w:val="003A20F6"/>
    <w:rsid w:val="003A22C6"/>
    <w:rsid w:val="003A23EE"/>
    <w:rsid w:val="003A25E5"/>
    <w:rsid w:val="003A2842"/>
    <w:rsid w:val="003A2A20"/>
    <w:rsid w:val="003A2CD7"/>
    <w:rsid w:val="003A2E1B"/>
    <w:rsid w:val="003A3132"/>
    <w:rsid w:val="003A31DB"/>
    <w:rsid w:val="003A3225"/>
    <w:rsid w:val="003A34E9"/>
    <w:rsid w:val="003A37EF"/>
    <w:rsid w:val="003A3843"/>
    <w:rsid w:val="003A38BB"/>
    <w:rsid w:val="003A3CAC"/>
    <w:rsid w:val="003A3D32"/>
    <w:rsid w:val="003A3F5E"/>
    <w:rsid w:val="003A40F9"/>
    <w:rsid w:val="003A4123"/>
    <w:rsid w:val="003A42AE"/>
    <w:rsid w:val="003A43C4"/>
    <w:rsid w:val="003A4449"/>
    <w:rsid w:val="003A4A16"/>
    <w:rsid w:val="003A4C98"/>
    <w:rsid w:val="003A5059"/>
    <w:rsid w:val="003A52A3"/>
    <w:rsid w:val="003A5473"/>
    <w:rsid w:val="003A54CA"/>
    <w:rsid w:val="003A58CF"/>
    <w:rsid w:val="003A5C7C"/>
    <w:rsid w:val="003A5EAE"/>
    <w:rsid w:val="003A5F3B"/>
    <w:rsid w:val="003A6010"/>
    <w:rsid w:val="003A60BF"/>
    <w:rsid w:val="003A671B"/>
    <w:rsid w:val="003A6B07"/>
    <w:rsid w:val="003A6D08"/>
    <w:rsid w:val="003A6E2C"/>
    <w:rsid w:val="003A6E2F"/>
    <w:rsid w:val="003A7576"/>
    <w:rsid w:val="003A7587"/>
    <w:rsid w:val="003A75E8"/>
    <w:rsid w:val="003A7975"/>
    <w:rsid w:val="003A7E66"/>
    <w:rsid w:val="003B006D"/>
    <w:rsid w:val="003B0287"/>
    <w:rsid w:val="003B0419"/>
    <w:rsid w:val="003B0643"/>
    <w:rsid w:val="003B064D"/>
    <w:rsid w:val="003B0927"/>
    <w:rsid w:val="003B097B"/>
    <w:rsid w:val="003B0991"/>
    <w:rsid w:val="003B0DA5"/>
    <w:rsid w:val="003B124A"/>
    <w:rsid w:val="003B1586"/>
    <w:rsid w:val="003B159C"/>
    <w:rsid w:val="003B1A97"/>
    <w:rsid w:val="003B1AE2"/>
    <w:rsid w:val="003B23ED"/>
    <w:rsid w:val="003B23F1"/>
    <w:rsid w:val="003B2419"/>
    <w:rsid w:val="003B242D"/>
    <w:rsid w:val="003B26CB"/>
    <w:rsid w:val="003B2731"/>
    <w:rsid w:val="003B28A6"/>
    <w:rsid w:val="003B29F6"/>
    <w:rsid w:val="003B2A67"/>
    <w:rsid w:val="003B2A93"/>
    <w:rsid w:val="003B2D84"/>
    <w:rsid w:val="003B2F7D"/>
    <w:rsid w:val="003B305C"/>
    <w:rsid w:val="003B314F"/>
    <w:rsid w:val="003B3515"/>
    <w:rsid w:val="003B3615"/>
    <w:rsid w:val="003B3A99"/>
    <w:rsid w:val="003B3AF1"/>
    <w:rsid w:val="003B3B68"/>
    <w:rsid w:val="003B3BF5"/>
    <w:rsid w:val="003B3C3A"/>
    <w:rsid w:val="003B3DF4"/>
    <w:rsid w:val="003B3FFA"/>
    <w:rsid w:val="003B408E"/>
    <w:rsid w:val="003B413B"/>
    <w:rsid w:val="003B448D"/>
    <w:rsid w:val="003B44B6"/>
    <w:rsid w:val="003B483D"/>
    <w:rsid w:val="003B4883"/>
    <w:rsid w:val="003B4E8B"/>
    <w:rsid w:val="003B4EE3"/>
    <w:rsid w:val="003B4F49"/>
    <w:rsid w:val="003B4FD1"/>
    <w:rsid w:val="003B500E"/>
    <w:rsid w:val="003B503A"/>
    <w:rsid w:val="003B50D3"/>
    <w:rsid w:val="003B524B"/>
    <w:rsid w:val="003B53FF"/>
    <w:rsid w:val="003B5429"/>
    <w:rsid w:val="003B57A2"/>
    <w:rsid w:val="003B5A0D"/>
    <w:rsid w:val="003B5AAD"/>
    <w:rsid w:val="003B5C17"/>
    <w:rsid w:val="003B5C96"/>
    <w:rsid w:val="003B6125"/>
    <w:rsid w:val="003B6159"/>
    <w:rsid w:val="003B6276"/>
    <w:rsid w:val="003B629A"/>
    <w:rsid w:val="003B64E8"/>
    <w:rsid w:val="003B6927"/>
    <w:rsid w:val="003B69DB"/>
    <w:rsid w:val="003B6E95"/>
    <w:rsid w:val="003B6EF7"/>
    <w:rsid w:val="003B70C7"/>
    <w:rsid w:val="003B720E"/>
    <w:rsid w:val="003B7251"/>
    <w:rsid w:val="003B7528"/>
    <w:rsid w:val="003B7850"/>
    <w:rsid w:val="003B7882"/>
    <w:rsid w:val="003B79A1"/>
    <w:rsid w:val="003B7AD3"/>
    <w:rsid w:val="003B7B3C"/>
    <w:rsid w:val="003B7C72"/>
    <w:rsid w:val="003B7D58"/>
    <w:rsid w:val="003B7D5E"/>
    <w:rsid w:val="003C00F5"/>
    <w:rsid w:val="003C02DB"/>
    <w:rsid w:val="003C02E6"/>
    <w:rsid w:val="003C0424"/>
    <w:rsid w:val="003C096F"/>
    <w:rsid w:val="003C0AF4"/>
    <w:rsid w:val="003C0DAB"/>
    <w:rsid w:val="003C0E91"/>
    <w:rsid w:val="003C0EF4"/>
    <w:rsid w:val="003C0F19"/>
    <w:rsid w:val="003C1062"/>
    <w:rsid w:val="003C1497"/>
    <w:rsid w:val="003C15AE"/>
    <w:rsid w:val="003C180D"/>
    <w:rsid w:val="003C1865"/>
    <w:rsid w:val="003C1977"/>
    <w:rsid w:val="003C1B2F"/>
    <w:rsid w:val="003C1BC8"/>
    <w:rsid w:val="003C1C8D"/>
    <w:rsid w:val="003C1E80"/>
    <w:rsid w:val="003C1FC7"/>
    <w:rsid w:val="003C2197"/>
    <w:rsid w:val="003C23CC"/>
    <w:rsid w:val="003C23ED"/>
    <w:rsid w:val="003C2453"/>
    <w:rsid w:val="003C2471"/>
    <w:rsid w:val="003C2712"/>
    <w:rsid w:val="003C2783"/>
    <w:rsid w:val="003C27AB"/>
    <w:rsid w:val="003C2A0B"/>
    <w:rsid w:val="003C2A9F"/>
    <w:rsid w:val="003C2B43"/>
    <w:rsid w:val="003C2C95"/>
    <w:rsid w:val="003C2DD6"/>
    <w:rsid w:val="003C30A0"/>
    <w:rsid w:val="003C31B2"/>
    <w:rsid w:val="003C33A5"/>
    <w:rsid w:val="003C35C7"/>
    <w:rsid w:val="003C3637"/>
    <w:rsid w:val="003C363E"/>
    <w:rsid w:val="003C3709"/>
    <w:rsid w:val="003C3AB6"/>
    <w:rsid w:val="003C4000"/>
    <w:rsid w:val="003C40AC"/>
    <w:rsid w:val="003C429B"/>
    <w:rsid w:val="003C468D"/>
    <w:rsid w:val="003C4750"/>
    <w:rsid w:val="003C4902"/>
    <w:rsid w:val="003C497A"/>
    <w:rsid w:val="003C4A29"/>
    <w:rsid w:val="003C4B01"/>
    <w:rsid w:val="003C4E7E"/>
    <w:rsid w:val="003C4EC4"/>
    <w:rsid w:val="003C5182"/>
    <w:rsid w:val="003C5367"/>
    <w:rsid w:val="003C57B8"/>
    <w:rsid w:val="003C5A52"/>
    <w:rsid w:val="003C5B5D"/>
    <w:rsid w:val="003C5CCE"/>
    <w:rsid w:val="003C61AE"/>
    <w:rsid w:val="003C6338"/>
    <w:rsid w:val="003C67D1"/>
    <w:rsid w:val="003C6877"/>
    <w:rsid w:val="003C69FF"/>
    <w:rsid w:val="003C6B6D"/>
    <w:rsid w:val="003C6C3C"/>
    <w:rsid w:val="003C6CF5"/>
    <w:rsid w:val="003C6DB7"/>
    <w:rsid w:val="003C6E5D"/>
    <w:rsid w:val="003C7385"/>
    <w:rsid w:val="003C740E"/>
    <w:rsid w:val="003C74E5"/>
    <w:rsid w:val="003C787D"/>
    <w:rsid w:val="003C7C59"/>
    <w:rsid w:val="003C7E3C"/>
    <w:rsid w:val="003C7EC8"/>
    <w:rsid w:val="003D0061"/>
    <w:rsid w:val="003D0251"/>
    <w:rsid w:val="003D0297"/>
    <w:rsid w:val="003D036D"/>
    <w:rsid w:val="003D0408"/>
    <w:rsid w:val="003D061F"/>
    <w:rsid w:val="003D07E5"/>
    <w:rsid w:val="003D0867"/>
    <w:rsid w:val="003D0A26"/>
    <w:rsid w:val="003D0A7F"/>
    <w:rsid w:val="003D0D94"/>
    <w:rsid w:val="003D0E5D"/>
    <w:rsid w:val="003D104A"/>
    <w:rsid w:val="003D10AF"/>
    <w:rsid w:val="003D1220"/>
    <w:rsid w:val="003D1268"/>
    <w:rsid w:val="003D12AB"/>
    <w:rsid w:val="003D12FA"/>
    <w:rsid w:val="003D1891"/>
    <w:rsid w:val="003D1913"/>
    <w:rsid w:val="003D1B9D"/>
    <w:rsid w:val="003D1DB4"/>
    <w:rsid w:val="003D1DCF"/>
    <w:rsid w:val="003D258F"/>
    <w:rsid w:val="003D26EA"/>
    <w:rsid w:val="003D2F15"/>
    <w:rsid w:val="003D31F9"/>
    <w:rsid w:val="003D326F"/>
    <w:rsid w:val="003D391A"/>
    <w:rsid w:val="003D3B5C"/>
    <w:rsid w:val="003D3ED7"/>
    <w:rsid w:val="003D41F4"/>
    <w:rsid w:val="003D429B"/>
    <w:rsid w:val="003D42F0"/>
    <w:rsid w:val="003D473D"/>
    <w:rsid w:val="003D47A3"/>
    <w:rsid w:val="003D4A64"/>
    <w:rsid w:val="003D4EBB"/>
    <w:rsid w:val="003D4F1B"/>
    <w:rsid w:val="003D4FD5"/>
    <w:rsid w:val="003D5161"/>
    <w:rsid w:val="003D5365"/>
    <w:rsid w:val="003D5BC2"/>
    <w:rsid w:val="003D5BE7"/>
    <w:rsid w:val="003D60C1"/>
    <w:rsid w:val="003D6110"/>
    <w:rsid w:val="003D61AD"/>
    <w:rsid w:val="003D6205"/>
    <w:rsid w:val="003D690C"/>
    <w:rsid w:val="003D75AC"/>
    <w:rsid w:val="003D7872"/>
    <w:rsid w:val="003D7962"/>
    <w:rsid w:val="003D7ADD"/>
    <w:rsid w:val="003E05FC"/>
    <w:rsid w:val="003E06D6"/>
    <w:rsid w:val="003E070C"/>
    <w:rsid w:val="003E0923"/>
    <w:rsid w:val="003E0954"/>
    <w:rsid w:val="003E0A3E"/>
    <w:rsid w:val="003E0D1C"/>
    <w:rsid w:val="003E1018"/>
    <w:rsid w:val="003E1111"/>
    <w:rsid w:val="003E11D2"/>
    <w:rsid w:val="003E12DE"/>
    <w:rsid w:val="003E1348"/>
    <w:rsid w:val="003E1437"/>
    <w:rsid w:val="003E1626"/>
    <w:rsid w:val="003E19CF"/>
    <w:rsid w:val="003E1E45"/>
    <w:rsid w:val="003E24F5"/>
    <w:rsid w:val="003E27DD"/>
    <w:rsid w:val="003E2869"/>
    <w:rsid w:val="003E2904"/>
    <w:rsid w:val="003E2AD6"/>
    <w:rsid w:val="003E2B1A"/>
    <w:rsid w:val="003E2B45"/>
    <w:rsid w:val="003E2B66"/>
    <w:rsid w:val="003E2C5C"/>
    <w:rsid w:val="003E2DC9"/>
    <w:rsid w:val="003E2E28"/>
    <w:rsid w:val="003E306F"/>
    <w:rsid w:val="003E3159"/>
    <w:rsid w:val="003E320E"/>
    <w:rsid w:val="003E38C0"/>
    <w:rsid w:val="003E3951"/>
    <w:rsid w:val="003E3B80"/>
    <w:rsid w:val="003E3BF8"/>
    <w:rsid w:val="003E3C5B"/>
    <w:rsid w:val="003E3DB2"/>
    <w:rsid w:val="003E4125"/>
    <w:rsid w:val="003E41AD"/>
    <w:rsid w:val="003E436E"/>
    <w:rsid w:val="003E47AC"/>
    <w:rsid w:val="003E4D21"/>
    <w:rsid w:val="003E4D42"/>
    <w:rsid w:val="003E4D5A"/>
    <w:rsid w:val="003E5A1D"/>
    <w:rsid w:val="003E5D0B"/>
    <w:rsid w:val="003E5F4A"/>
    <w:rsid w:val="003E5FDA"/>
    <w:rsid w:val="003E5FE5"/>
    <w:rsid w:val="003E6020"/>
    <w:rsid w:val="003E60B7"/>
    <w:rsid w:val="003E61C7"/>
    <w:rsid w:val="003E621E"/>
    <w:rsid w:val="003E652D"/>
    <w:rsid w:val="003E66EB"/>
    <w:rsid w:val="003E68F1"/>
    <w:rsid w:val="003E6A58"/>
    <w:rsid w:val="003E6B81"/>
    <w:rsid w:val="003E6C00"/>
    <w:rsid w:val="003E6F15"/>
    <w:rsid w:val="003E70E7"/>
    <w:rsid w:val="003E7484"/>
    <w:rsid w:val="003E75F6"/>
    <w:rsid w:val="003E76C7"/>
    <w:rsid w:val="003E77B2"/>
    <w:rsid w:val="003E7F13"/>
    <w:rsid w:val="003F0835"/>
    <w:rsid w:val="003F0860"/>
    <w:rsid w:val="003F10B2"/>
    <w:rsid w:val="003F12D7"/>
    <w:rsid w:val="003F141F"/>
    <w:rsid w:val="003F1EA1"/>
    <w:rsid w:val="003F1FA2"/>
    <w:rsid w:val="003F2093"/>
    <w:rsid w:val="003F2206"/>
    <w:rsid w:val="003F22CB"/>
    <w:rsid w:val="003F28A1"/>
    <w:rsid w:val="003F29DF"/>
    <w:rsid w:val="003F2B1C"/>
    <w:rsid w:val="003F2CC3"/>
    <w:rsid w:val="003F2D0C"/>
    <w:rsid w:val="003F2E48"/>
    <w:rsid w:val="003F31E5"/>
    <w:rsid w:val="003F33DF"/>
    <w:rsid w:val="003F3442"/>
    <w:rsid w:val="003F3583"/>
    <w:rsid w:val="003F3924"/>
    <w:rsid w:val="003F3B60"/>
    <w:rsid w:val="003F3B90"/>
    <w:rsid w:val="003F3C6A"/>
    <w:rsid w:val="003F3D25"/>
    <w:rsid w:val="003F3E86"/>
    <w:rsid w:val="003F4066"/>
    <w:rsid w:val="003F4079"/>
    <w:rsid w:val="003F43B5"/>
    <w:rsid w:val="003F43DE"/>
    <w:rsid w:val="003F4604"/>
    <w:rsid w:val="003F46A1"/>
    <w:rsid w:val="003F472E"/>
    <w:rsid w:val="003F499D"/>
    <w:rsid w:val="003F4A17"/>
    <w:rsid w:val="003F4B0E"/>
    <w:rsid w:val="003F4B7B"/>
    <w:rsid w:val="003F4C78"/>
    <w:rsid w:val="003F4DE6"/>
    <w:rsid w:val="003F4F2F"/>
    <w:rsid w:val="003F4FC2"/>
    <w:rsid w:val="003F503A"/>
    <w:rsid w:val="003F51FE"/>
    <w:rsid w:val="003F5239"/>
    <w:rsid w:val="003F53D2"/>
    <w:rsid w:val="003F53DD"/>
    <w:rsid w:val="003F56CC"/>
    <w:rsid w:val="003F5A0E"/>
    <w:rsid w:val="003F5F06"/>
    <w:rsid w:val="003F62C5"/>
    <w:rsid w:val="003F62E5"/>
    <w:rsid w:val="003F646A"/>
    <w:rsid w:val="003F6551"/>
    <w:rsid w:val="003F66BF"/>
    <w:rsid w:val="003F68F7"/>
    <w:rsid w:val="003F6BC3"/>
    <w:rsid w:val="003F6D2C"/>
    <w:rsid w:val="003F6F04"/>
    <w:rsid w:val="003F6F39"/>
    <w:rsid w:val="003F718C"/>
    <w:rsid w:val="003F7541"/>
    <w:rsid w:val="003F7559"/>
    <w:rsid w:val="003F7621"/>
    <w:rsid w:val="003F767A"/>
    <w:rsid w:val="003F793D"/>
    <w:rsid w:val="003F7A44"/>
    <w:rsid w:val="003F7AAF"/>
    <w:rsid w:val="003F7EC1"/>
    <w:rsid w:val="00400726"/>
    <w:rsid w:val="00400980"/>
    <w:rsid w:val="004009F9"/>
    <w:rsid w:val="00400A84"/>
    <w:rsid w:val="00400ACF"/>
    <w:rsid w:val="00400AF8"/>
    <w:rsid w:val="00400C3C"/>
    <w:rsid w:val="00400D6E"/>
    <w:rsid w:val="00400EDD"/>
    <w:rsid w:val="00400F2C"/>
    <w:rsid w:val="00400FC2"/>
    <w:rsid w:val="004010B5"/>
    <w:rsid w:val="0040140C"/>
    <w:rsid w:val="0040144B"/>
    <w:rsid w:val="004015E9"/>
    <w:rsid w:val="00401749"/>
    <w:rsid w:val="004018D8"/>
    <w:rsid w:val="004019A3"/>
    <w:rsid w:val="00401D75"/>
    <w:rsid w:val="00401E11"/>
    <w:rsid w:val="004023C1"/>
    <w:rsid w:val="004023C6"/>
    <w:rsid w:val="004025AB"/>
    <w:rsid w:val="00402B41"/>
    <w:rsid w:val="00402D95"/>
    <w:rsid w:val="00402FF5"/>
    <w:rsid w:val="004031BE"/>
    <w:rsid w:val="00403275"/>
    <w:rsid w:val="0040334B"/>
    <w:rsid w:val="0040369C"/>
    <w:rsid w:val="004039D4"/>
    <w:rsid w:val="00403A0E"/>
    <w:rsid w:val="00403ADB"/>
    <w:rsid w:val="00403D48"/>
    <w:rsid w:val="004040EF"/>
    <w:rsid w:val="00404195"/>
    <w:rsid w:val="004041E9"/>
    <w:rsid w:val="0040433F"/>
    <w:rsid w:val="0040474A"/>
    <w:rsid w:val="004047D7"/>
    <w:rsid w:val="00404854"/>
    <w:rsid w:val="00404CD0"/>
    <w:rsid w:val="0040502E"/>
    <w:rsid w:val="004050C6"/>
    <w:rsid w:val="004055C4"/>
    <w:rsid w:val="0040568A"/>
    <w:rsid w:val="004058F1"/>
    <w:rsid w:val="00405C3A"/>
    <w:rsid w:val="00406124"/>
    <w:rsid w:val="004061B5"/>
    <w:rsid w:val="0040628A"/>
    <w:rsid w:val="0040678C"/>
    <w:rsid w:val="00406956"/>
    <w:rsid w:val="004069B0"/>
    <w:rsid w:val="00406A25"/>
    <w:rsid w:val="00406ACF"/>
    <w:rsid w:val="00406C5B"/>
    <w:rsid w:val="00406C9D"/>
    <w:rsid w:val="00406CDF"/>
    <w:rsid w:val="00406D06"/>
    <w:rsid w:val="00406DF6"/>
    <w:rsid w:val="00406E6F"/>
    <w:rsid w:val="00407038"/>
    <w:rsid w:val="004070C6"/>
    <w:rsid w:val="00407138"/>
    <w:rsid w:val="00407149"/>
    <w:rsid w:val="0040771E"/>
    <w:rsid w:val="0040782F"/>
    <w:rsid w:val="00407906"/>
    <w:rsid w:val="00407B7C"/>
    <w:rsid w:val="00407F24"/>
    <w:rsid w:val="00410078"/>
    <w:rsid w:val="0041065D"/>
    <w:rsid w:val="00410676"/>
    <w:rsid w:val="00410878"/>
    <w:rsid w:val="0041087A"/>
    <w:rsid w:val="00410942"/>
    <w:rsid w:val="0041095C"/>
    <w:rsid w:val="0041098E"/>
    <w:rsid w:val="00410BB1"/>
    <w:rsid w:val="00410D84"/>
    <w:rsid w:val="00410E0D"/>
    <w:rsid w:val="00410FF7"/>
    <w:rsid w:val="004112E1"/>
    <w:rsid w:val="00411868"/>
    <w:rsid w:val="004118D2"/>
    <w:rsid w:val="0041195C"/>
    <w:rsid w:val="00411AF6"/>
    <w:rsid w:val="004120A4"/>
    <w:rsid w:val="004120CF"/>
    <w:rsid w:val="00412354"/>
    <w:rsid w:val="004125A6"/>
    <w:rsid w:val="0041262C"/>
    <w:rsid w:val="00412856"/>
    <w:rsid w:val="00412C51"/>
    <w:rsid w:val="00412DFC"/>
    <w:rsid w:val="00412F3A"/>
    <w:rsid w:val="00412FE7"/>
    <w:rsid w:val="0041322A"/>
    <w:rsid w:val="00413240"/>
    <w:rsid w:val="004134D3"/>
    <w:rsid w:val="00413683"/>
    <w:rsid w:val="0041380A"/>
    <w:rsid w:val="0041390C"/>
    <w:rsid w:val="00413913"/>
    <w:rsid w:val="0041394A"/>
    <w:rsid w:val="00413ADF"/>
    <w:rsid w:val="00413AE8"/>
    <w:rsid w:val="00413C5A"/>
    <w:rsid w:val="00413F3A"/>
    <w:rsid w:val="00413FB6"/>
    <w:rsid w:val="004142EB"/>
    <w:rsid w:val="004145A9"/>
    <w:rsid w:val="004145FC"/>
    <w:rsid w:val="004146AB"/>
    <w:rsid w:val="0041499F"/>
    <w:rsid w:val="00414A1E"/>
    <w:rsid w:val="00414AE1"/>
    <w:rsid w:val="00414D1B"/>
    <w:rsid w:val="00414DFB"/>
    <w:rsid w:val="00415140"/>
    <w:rsid w:val="004155BC"/>
    <w:rsid w:val="00415750"/>
    <w:rsid w:val="0041586E"/>
    <w:rsid w:val="00415AC9"/>
    <w:rsid w:val="00415D51"/>
    <w:rsid w:val="00415EAB"/>
    <w:rsid w:val="00415FB8"/>
    <w:rsid w:val="00416015"/>
    <w:rsid w:val="0041611C"/>
    <w:rsid w:val="00416159"/>
    <w:rsid w:val="004163DE"/>
    <w:rsid w:val="004168B7"/>
    <w:rsid w:val="004169CD"/>
    <w:rsid w:val="00416AC5"/>
    <w:rsid w:val="00416C95"/>
    <w:rsid w:val="00416DD9"/>
    <w:rsid w:val="00416E84"/>
    <w:rsid w:val="004170F3"/>
    <w:rsid w:val="00417872"/>
    <w:rsid w:val="00417E21"/>
    <w:rsid w:val="00417E34"/>
    <w:rsid w:val="00417ED0"/>
    <w:rsid w:val="0042003C"/>
    <w:rsid w:val="0042021F"/>
    <w:rsid w:val="004202BE"/>
    <w:rsid w:val="004208F1"/>
    <w:rsid w:val="00420914"/>
    <w:rsid w:val="00420D5A"/>
    <w:rsid w:val="00420E19"/>
    <w:rsid w:val="00421054"/>
    <w:rsid w:val="004210B4"/>
    <w:rsid w:val="00421389"/>
    <w:rsid w:val="00421BFD"/>
    <w:rsid w:val="00421E70"/>
    <w:rsid w:val="0042205E"/>
    <w:rsid w:val="004220F5"/>
    <w:rsid w:val="00422389"/>
    <w:rsid w:val="00422509"/>
    <w:rsid w:val="00422667"/>
    <w:rsid w:val="004226E3"/>
    <w:rsid w:val="0042293B"/>
    <w:rsid w:val="00422C2A"/>
    <w:rsid w:val="00422C5E"/>
    <w:rsid w:val="00422C66"/>
    <w:rsid w:val="00422CA3"/>
    <w:rsid w:val="00422DDC"/>
    <w:rsid w:val="00423421"/>
    <w:rsid w:val="004237EE"/>
    <w:rsid w:val="004238C5"/>
    <w:rsid w:val="00423A7F"/>
    <w:rsid w:val="00423B05"/>
    <w:rsid w:val="00423CB1"/>
    <w:rsid w:val="0042420D"/>
    <w:rsid w:val="0042438A"/>
    <w:rsid w:val="004243CE"/>
    <w:rsid w:val="004246B8"/>
    <w:rsid w:val="0042488C"/>
    <w:rsid w:val="00424984"/>
    <w:rsid w:val="00424991"/>
    <w:rsid w:val="00424AD5"/>
    <w:rsid w:val="00424C90"/>
    <w:rsid w:val="00424CC1"/>
    <w:rsid w:val="0042505E"/>
    <w:rsid w:val="004253B1"/>
    <w:rsid w:val="004253C1"/>
    <w:rsid w:val="0042544D"/>
    <w:rsid w:val="004257B8"/>
    <w:rsid w:val="00425C7E"/>
    <w:rsid w:val="00425D58"/>
    <w:rsid w:val="004263F6"/>
    <w:rsid w:val="0042648E"/>
    <w:rsid w:val="0042653E"/>
    <w:rsid w:val="004265B6"/>
    <w:rsid w:val="00426684"/>
    <w:rsid w:val="004267FC"/>
    <w:rsid w:val="00426A55"/>
    <w:rsid w:val="00426B02"/>
    <w:rsid w:val="00426B68"/>
    <w:rsid w:val="00426C3A"/>
    <w:rsid w:val="00426C94"/>
    <w:rsid w:val="00426DB5"/>
    <w:rsid w:val="00426E13"/>
    <w:rsid w:val="00427165"/>
    <w:rsid w:val="00427223"/>
    <w:rsid w:val="00427405"/>
    <w:rsid w:val="00427419"/>
    <w:rsid w:val="004274C3"/>
    <w:rsid w:val="00427712"/>
    <w:rsid w:val="00427D79"/>
    <w:rsid w:val="00427FE7"/>
    <w:rsid w:val="004302F5"/>
    <w:rsid w:val="00430713"/>
    <w:rsid w:val="0043086D"/>
    <w:rsid w:val="0043086F"/>
    <w:rsid w:val="004308D0"/>
    <w:rsid w:val="0043092A"/>
    <w:rsid w:val="00430AD2"/>
    <w:rsid w:val="00430D74"/>
    <w:rsid w:val="00430EBD"/>
    <w:rsid w:val="00430F94"/>
    <w:rsid w:val="00430F9F"/>
    <w:rsid w:val="004313C6"/>
    <w:rsid w:val="00431766"/>
    <w:rsid w:val="0043188D"/>
    <w:rsid w:val="0043197F"/>
    <w:rsid w:val="00431A9E"/>
    <w:rsid w:val="00431C4A"/>
    <w:rsid w:val="00431CA1"/>
    <w:rsid w:val="00431DC0"/>
    <w:rsid w:val="00431ED7"/>
    <w:rsid w:val="00431F65"/>
    <w:rsid w:val="00431FEF"/>
    <w:rsid w:val="00432034"/>
    <w:rsid w:val="00432528"/>
    <w:rsid w:val="0043258A"/>
    <w:rsid w:val="00432CDF"/>
    <w:rsid w:val="00432F91"/>
    <w:rsid w:val="00432FEF"/>
    <w:rsid w:val="00433168"/>
    <w:rsid w:val="004332DF"/>
    <w:rsid w:val="004333D9"/>
    <w:rsid w:val="00433B40"/>
    <w:rsid w:val="00433B74"/>
    <w:rsid w:val="00433CD5"/>
    <w:rsid w:val="00433E39"/>
    <w:rsid w:val="00433E4B"/>
    <w:rsid w:val="00433E7B"/>
    <w:rsid w:val="004341F0"/>
    <w:rsid w:val="004344C8"/>
    <w:rsid w:val="004348D9"/>
    <w:rsid w:val="00434919"/>
    <w:rsid w:val="004349B6"/>
    <w:rsid w:val="00434F5F"/>
    <w:rsid w:val="00434F6B"/>
    <w:rsid w:val="004351CA"/>
    <w:rsid w:val="0043537B"/>
    <w:rsid w:val="004353A7"/>
    <w:rsid w:val="004355A4"/>
    <w:rsid w:val="004356A3"/>
    <w:rsid w:val="0043584D"/>
    <w:rsid w:val="00435941"/>
    <w:rsid w:val="00435F00"/>
    <w:rsid w:val="00435F04"/>
    <w:rsid w:val="004361F3"/>
    <w:rsid w:val="0043625F"/>
    <w:rsid w:val="004362C6"/>
    <w:rsid w:val="004362CF"/>
    <w:rsid w:val="00436452"/>
    <w:rsid w:val="00436470"/>
    <w:rsid w:val="00436528"/>
    <w:rsid w:val="00436619"/>
    <w:rsid w:val="004369B2"/>
    <w:rsid w:val="00436B2C"/>
    <w:rsid w:val="00436B87"/>
    <w:rsid w:val="004371FC"/>
    <w:rsid w:val="00437213"/>
    <w:rsid w:val="00437E18"/>
    <w:rsid w:val="00437E7C"/>
    <w:rsid w:val="00437EEC"/>
    <w:rsid w:val="00437F9C"/>
    <w:rsid w:val="004400D1"/>
    <w:rsid w:val="0044013D"/>
    <w:rsid w:val="0044058F"/>
    <w:rsid w:val="004407EE"/>
    <w:rsid w:val="004409F5"/>
    <w:rsid w:val="00440AC7"/>
    <w:rsid w:val="00440BFB"/>
    <w:rsid w:val="00440D5D"/>
    <w:rsid w:val="00440E48"/>
    <w:rsid w:val="00440F39"/>
    <w:rsid w:val="0044112F"/>
    <w:rsid w:val="00441367"/>
    <w:rsid w:val="0044145C"/>
    <w:rsid w:val="004416B1"/>
    <w:rsid w:val="0044179E"/>
    <w:rsid w:val="00441B1E"/>
    <w:rsid w:val="00441FFE"/>
    <w:rsid w:val="004421D2"/>
    <w:rsid w:val="004425E1"/>
    <w:rsid w:val="00442695"/>
    <w:rsid w:val="004426DC"/>
    <w:rsid w:val="0044278B"/>
    <w:rsid w:val="0044286F"/>
    <w:rsid w:val="00442B29"/>
    <w:rsid w:val="00442D4E"/>
    <w:rsid w:val="00442E17"/>
    <w:rsid w:val="00442F5F"/>
    <w:rsid w:val="00442FC3"/>
    <w:rsid w:val="0044308E"/>
    <w:rsid w:val="0044369A"/>
    <w:rsid w:val="00443850"/>
    <w:rsid w:val="004438B8"/>
    <w:rsid w:val="00443A40"/>
    <w:rsid w:val="00443BFD"/>
    <w:rsid w:val="00443E9B"/>
    <w:rsid w:val="00444188"/>
    <w:rsid w:val="004449D8"/>
    <w:rsid w:val="00444A3B"/>
    <w:rsid w:val="00444B58"/>
    <w:rsid w:val="00444F00"/>
    <w:rsid w:val="00444F2D"/>
    <w:rsid w:val="0044508A"/>
    <w:rsid w:val="004450B9"/>
    <w:rsid w:val="004451CC"/>
    <w:rsid w:val="004451F9"/>
    <w:rsid w:val="0044522A"/>
    <w:rsid w:val="00445334"/>
    <w:rsid w:val="00445553"/>
    <w:rsid w:val="004458B6"/>
    <w:rsid w:val="00445ACE"/>
    <w:rsid w:val="00445AEE"/>
    <w:rsid w:val="00445FC0"/>
    <w:rsid w:val="00446059"/>
    <w:rsid w:val="004462D1"/>
    <w:rsid w:val="0044634E"/>
    <w:rsid w:val="00446468"/>
    <w:rsid w:val="0044666C"/>
    <w:rsid w:val="00446791"/>
    <w:rsid w:val="004469C7"/>
    <w:rsid w:val="0044723A"/>
    <w:rsid w:val="004472E5"/>
    <w:rsid w:val="00447307"/>
    <w:rsid w:val="004473C1"/>
    <w:rsid w:val="0044752E"/>
    <w:rsid w:val="0044769D"/>
    <w:rsid w:val="004479F1"/>
    <w:rsid w:val="00447F14"/>
    <w:rsid w:val="00450186"/>
    <w:rsid w:val="00450294"/>
    <w:rsid w:val="00450702"/>
    <w:rsid w:val="00450B94"/>
    <w:rsid w:val="00450DBB"/>
    <w:rsid w:val="00450E5D"/>
    <w:rsid w:val="00450E9A"/>
    <w:rsid w:val="0045118B"/>
    <w:rsid w:val="0045145D"/>
    <w:rsid w:val="00451514"/>
    <w:rsid w:val="0045152B"/>
    <w:rsid w:val="00451570"/>
    <w:rsid w:val="0045191F"/>
    <w:rsid w:val="00451E8B"/>
    <w:rsid w:val="00451F47"/>
    <w:rsid w:val="004520EC"/>
    <w:rsid w:val="00452112"/>
    <w:rsid w:val="0045230E"/>
    <w:rsid w:val="004523E8"/>
    <w:rsid w:val="004525DA"/>
    <w:rsid w:val="00452684"/>
    <w:rsid w:val="00452AB7"/>
    <w:rsid w:val="00452E75"/>
    <w:rsid w:val="00452F02"/>
    <w:rsid w:val="00453187"/>
    <w:rsid w:val="004532F3"/>
    <w:rsid w:val="00453776"/>
    <w:rsid w:val="00453957"/>
    <w:rsid w:val="0045397E"/>
    <w:rsid w:val="00453CA9"/>
    <w:rsid w:val="0045406E"/>
    <w:rsid w:val="0045421E"/>
    <w:rsid w:val="00454398"/>
    <w:rsid w:val="004544CF"/>
    <w:rsid w:val="0045478C"/>
    <w:rsid w:val="004548A6"/>
    <w:rsid w:val="00454A4A"/>
    <w:rsid w:val="00454D3C"/>
    <w:rsid w:val="00454D9B"/>
    <w:rsid w:val="00454E78"/>
    <w:rsid w:val="00454EB6"/>
    <w:rsid w:val="00454ED3"/>
    <w:rsid w:val="00454F2F"/>
    <w:rsid w:val="00455396"/>
    <w:rsid w:val="004553F4"/>
    <w:rsid w:val="004554D3"/>
    <w:rsid w:val="004556EC"/>
    <w:rsid w:val="004557E1"/>
    <w:rsid w:val="00455881"/>
    <w:rsid w:val="0045596F"/>
    <w:rsid w:val="00455A00"/>
    <w:rsid w:val="00455A6E"/>
    <w:rsid w:val="00455B61"/>
    <w:rsid w:val="00455BE1"/>
    <w:rsid w:val="00455C26"/>
    <w:rsid w:val="00455D6D"/>
    <w:rsid w:val="00455DF4"/>
    <w:rsid w:val="00455DFB"/>
    <w:rsid w:val="00455E61"/>
    <w:rsid w:val="004560E6"/>
    <w:rsid w:val="00456128"/>
    <w:rsid w:val="00456219"/>
    <w:rsid w:val="0045637E"/>
    <w:rsid w:val="00456F29"/>
    <w:rsid w:val="0045703C"/>
    <w:rsid w:val="004570AD"/>
    <w:rsid w:val="0045721B"/>
    <w:rsid w:val="0045732C"/>
    <w:rsid w:val="00457549"/>
    <w:rsid w:val="00457661"/>
    <w:rsid w:val="00457798"/>
    <w:rsid w:val="00457A50"/>
    <w:rsid w:val="00457BBE"/>
    <w:rsid w:val="00457BDA"/>
    <w:rsid w:val="00460060"/>
    <w:rsid w:val="00460073"/>
    <w:rsid w:val="00460269"/>
    <w:rsid w:val="004602FF"/>
    <w:rsid w:val="00460B60"/>
    <w:rsid w:val="00460D31"/>
    <w:rsid w:val="00461053"/>
    <w:rsid w:val="0046105D"/>
    <w:rsid w:val="004613FF"/>
    <w:rsid w:val="004618C4"/>
    <w:rsid w:val="004619CF"/>
    <w:rsid w:val="00461BFB"/>
    <w:rsid w:val="00461CA9"/>
    <w:rsid w:val="00461DAF"/>
    <w:rsid w:val="004620DA"/>
    <w:rsid w:val="00462260"/>
    <w:rsid w:val="0046228F"/>
    <w:rsid w:val="004627C4"/>
    <w:rsid w:val="004628B4"/>
    <w:rsid w:val="004629C6"/>
    <w:rsid w:val="00462B27"/>
    <w:rsid w:val="00462D0D"/>
    <w:rsid w:val="004631FD"/>
    <w:rsid w:val="0046350D"/>
    <w:rsid w:val="00463814"/>
    <w:rsid w:val="00463873"/>
    <w:rsid w:val="00463B60"/>
    <w:rsid w:val="00463EA6"/>
    <w:rsid w:val="00463F8D"/>
    <w:rsid w:val="004641C0"/>
    <w:rsid w:val="0046458E"/>
    <w:rsid w:val="00464664"/>
    <w:rsid w:val="004646A2"/>
    <w:rsid w:val="004647E0"/>
    <w:rsid w:val="00464B2B"/>
    <w:rsid w:val="00464B40"/>
    <w:rsid w:val="00464D56"/>
    <w:rsid w:val="0046503E"/>
    <w:rsid w:val="00465200"/>
    <w:rsid w:val="00465351"/>
    <w:rsid w:val="004654FB"/>
    <w:rsid w:val="00465890"/>
    <w:rsid w:val="00465B61"/>
    <w:rsid w:val="00465C39"/>
    <w:rsid w:val="004660E0"/>
    <w:rsid w:val="00466218"/>
    <w:rsid w:val="004662E4"/>
    <w:rsid w:val="0046641A"/>
    <w:rsid w:val="004665BC"/>
    <w:rsid w:val="00466714"/>
    <w:rsid w:val="00466A27"/>
    <w:rsid w:val="00466A4A"/>
    <w:rsid w:val="00466BCD"/>
    <w:rsid w:val="00466BEE"/>
    <w:rsid w:val="00466CC0"/>
    <w:rsid w:val="00466DE2"/>
    <w:rsid w:val="00466FC4"/>
    <w:rsid w:val="0046731F"/>
    <w:rsid w:val="00467ADB"/>
    <w:rsid w:val="00467D54"/>
    <w:rsid w:val="00470041"/>
    <w:rsid w:val="00470106"/>
    <w:rsid w:val="0047025C"/>
    <w:rsid w:val="004703D6"/>
    <w:rsid w:val="004703FB"/>
    <w:rsid w:val="00470893"/>
    <w:rsid w:val="004708B8"/>
    <w:rsid w:val="00470CC1"/>
    <w:rsid w:val="00470CC5"/>
    <w:rsid w:val="00470D12"/>
    <w:rsid w:val="00470FDD"/>
    <w:rsid w:val="0047101C"/>
    <w:rsid w:val="00471059"/>
    <w:rsid w:val="004710F8"/>
    <w:rsid w:val="004711E2"/>
    <w:rsid w:val="0047130E"/>
    <w:rsid w:val="00471334"/>
    <w:rsid w:val="004713BC"/>
    <w:rsid w:val="004716F2"/>
    <w:rsid w:val="00471A13"/>
    <w:rsid w:val="00471AF7"/>
    <w:rsid w:val="00471F1D"/>
    <w:rsid w:val="00471FCD"/>
    <w:rsid w:val="00472010"/>
    <w:rsid w:val="00472184"/>
    <w:rsid w:val="0047230B"/>
    <w:rsid w:val="0047239E"/>
    <w:rsid w:val="004723B1"/>
    <w:rsid w:val="00472644"/>
    <w:rsid w:val="00472695"/>
    <w:rsid w:val="00472B20"/>
    <w:rsid w:val="00472CFB"/>
    <w:rsid w:val="00472E9A"/>
    <w:rsid w:val="0047311A"/>
    <w:rsid w:val="004732A9"/>
    <w:rsid w:val="004735E7"/>
    <w:rsid w:val="004737B6"/>
    <w:rsid w:val="00473E3F"/>
    <w:rsid w:val="00474029"/>
    <w:rsid w:val="004740CD"/>
    <w:rsid w:val="004741EC"/>
    <w:rsid w:val="004741F1"/>
    <w:rsid w:val="00474349"/>
    <w:rsid w:val="004743D0"/>
    <w:rsid w:val="00474776"/>
    <w:rsid w:val="004749C2"/>
    <w:rsid w:val="00474A17"/>
    <w:rsid w:val="00474BB0"/>
    <w:rsid w:val="00474D58"/>
    <w:rsid w:val="00474E13"/>
    <w:rsid w:val="00475041"/>
    <w:rsid w:val="004752AD"/>
    <w:rsid w:val="004752FB"/>
    <w:rsid w:val="0047558D"/>
    <w:rsid w:val="0047590A"/>
    <w:rsid w:val="00475A88"/>
    <w:rsid w:val="00475B04"/>
    <w:rsid w:val="00475CD8"/>
    <w:rsid w:val="00475D7D"/>
    <w:rsid w:val="00476327"/>
    <w:rsid w:val="00476655"/>
    <w:rsid w:val="004767A6"/>
    <w:rsid w:val="00476813"/>
    <w:rsid w:val="004768B0"/>
    <w:rsid w:val="004769CC"/>
    <w:rsid w:val="00476B61"/>
    <w:rsid w:val="00476F85"/>
    <w:rsid w:val="0047708D"/>
    <w:rsid w:val="004770FA"/>
    <w:rsid w:val="00477205"/>
    <w:rsid w:val="00477384"/>
    <w:rsid w:val="00477415"/>
    <w:rsid w:val="00477EC4"/>
    <w:rsid w:val="00477EF2"/>
    <w:rsid w:val="00480366"/>
    <w:rsid w:val="00480528"/>
    <w:rsid w:val="0048054D"/>
    <w:rsid w:val="0048098F"/>
    <w:rsid w:val="004809FA"/>
    <w:rsid w:val="00480E77"/>
    <w:rsid w:val="00480E92"/>
    <w:rsid w:val="00480FBE"/>
    <w:rsid w:val="004810A6"/>
    <w:rsid w:val="00481282"/>
    <w:rsid w:val="004814C8"/>
    <w:rsid w:val="00481612"/>
    <w:rsid w:val="00481688"/>
    <w:rsid w:val="004816BD"/>
    <w:rsid w:val="0048189E"/>
    <w:rsid w:val="00481B2F"/>
    <w:rsid w:val="00481D35"/>
    <w:rsid w:val="00481ED4"/>
    <w:rsid w:val="00482360"/>
    <w:rsid w:val="00482385"/>
    <w:rsid w:val="004824AC"/>
    <w:rsid w:val="00482695"/>
    <w:rsid w:val="004828A9"/>
    <w:rsid w:val="00482956"/>
    <w:rsid w:val="0048296A"/>
    <w:rsid w:val="00482D8D"/>
    <w:rsid w:val="00483287"/>
    <w:rsid w:val="00483377"/>
    <w:rsid w:val="004835AE"/>
    <w:rsid w:val="00483614"/>
    <w:rsid w:val="004836AA"/>
    <w:rsid w:val="00483871"/>
    <w:rsid w:val="00483AE0"/>
    <w:rsid w:val="00483B65"/>
    <w:rsid w:val="00483C10"/>
    <w:rsid w:val="004843BA"/>
    <w:rsid w:val="00484703"/>
    <w:rsid w:val="00484713"/>
    <w:rsid w:val="00484BB9"/>
    <w:rsid w:val="00484C5D"/>
    <w:rsid w:val="00484D3D"/>
    <w:rsid w:val="004851EA"/>
    <w:rsid w:val="004854A7"/>
    <w:rsid w:val="00485921"/>
    <w:rsid w:val="004859AB"/>
    <w:rsid w:val="00485F9A"/>
    <w:rsid w:val="00486573"/>
    <w:rsid w:val="004866F1"/>
    <w:rsid w:val="004869FD"/>
    <w:rsid w:val="00486C97"/>
    <w:rsid w:val="00486E65"/>
    <w:rsid w:val="004871E8"/>
    <w:rsid w:val="004873F3"/>
    <w:rsid w:val="00487651"/>
    <w:rsid w:val="0048783C"/>
    <w:rsid w:val="00487A96"/>
    <w:rsid w:val="00487BD7"/>
    <w:rsid w:val="00487C0B"/>
    <w:rsid w:val="00487D75"/>
    <w:rsid w:val="00487D9B"/>
    <w:rsid w:val="00487E47"/>
    <w:rsid w:val="00490235"/>
    <w:rsid w:val="0049046A"/>
    <w:rsid w:val="004904AB"/>
    <w:rsid w:val="004904BB"/>
    <w:rsid w:val="00490659"/>
    <w:rsid w:val="004907F2"/>
    <w:rsid w:val="004907F9"/>
    <w:rsid w:val="00490942"/>
    <w:rsid w:val="00490A88"/>
    <w:rsid w:val="00490C1C"/>
    <w:rsid w:val="00490D68"/>
    <w:rsid w:val="00490EF1"/>
    <w:rsid w:val="0049137F"/>
    <w:rsid w:val="0049180D"/>
    <w:rsid w:val="00491A48"/>
    <w:rsid w:val="00491BB4"/>
    <w:rsid w:val="00491BB5"/>
    <w:rsid w:val="00491C63"/>
    <w:rsid w:val="00491CD3"/>
    <w:rsid w:val="00491D55"/>
    <w:rsid w:val="00491E24"/>
    <w:rsid w:val="00492146"/>
    <w:rsid w:val="004922A5"/>
    <w:rsid w:val="00492426"/>
    <w:rsid w:val="00492536"/>
    <w:rsid w:val="00492C57"/>
    <w:rsid w:val="00492DDF"/>
    <w:rsid w:val="00492F9D"/>
    <w:rsid w:val="004935F1"/>
    <w:rsid w:val="0049366D"/>
    <w:rsid w:val="004936D2"/>
    <w:rsid w:val="00493719"/>
    <w:rsid w:val="00493760"/>
    <w:rsid w:val="0049385C"/>
    <w:rsid w:val="0049391F"/>
    <w:rsid w:val="00493995"/>
    <w:rsid w:val="004939D7"/>
    <w:rsid w:val="00493D8B"/>
    <w:rsid w:val="00493DBF"/>
    <w:rsid w:val="0049438D"/>
    <w:rsid w:val="004943B0"/>
    <w:rsid w:val="004944CD"/>
    <w:rsid w:val="00494514"/>
    <w:rsid w:val="004946BA"/>
    <w:rsid w:val="00494745"/>
    <w:rsid w:val="00494991"/>
    <w:rsid w:val="00494992"/>
    <w:rsid w:val="00494C08"/>
    <w:rsid w:val="00494DAE"/>
    <w:rsid w:val="00494FAA"/>
    <w:rsid w:val="0049550D"/>
    <w:rsid w:val="00495614"/>
    <w:rsid w:val="00495948"/>
    <w:rsid w:val="00495DB0"/>
    <w:rsid w:val="00495E30"/>
    <w:rsid w:val="004960D8"/>
    <w:rsid w:val="00496375"/>
    <w:rsid w:val="00496574"/>
    <w:rsid w:val="00496666"/>
    <w:rsid w:val="0049685E"/>
    <w:rsid w:val="00496A4B"/>
    <w:rsid w:val="00496A69"/>
    <w:rsid w:val="00496B48"/>
    <w:rsid w:val="00496CC9"/>
    <w:rsid w:val="00496D3B"/>
    <w:rsid w:val="00497190"/>
    <w:rsid w:val="004971B3"/>
    <w:rsid w:val="0049750E"/>
    <w:rsid w:val="004977B0"/>
    <w:rsid w:val="0049796A"/>
    <w:rsid w:val="00497D4A"/>
    <w:rsid w:val="00497DCB"/>
    <w:rsid w:val="004A008A"/>
    <w:rsid w:val="004A00B6"/>
    <w:rsid w:val="004A0125"/>
    <w:rsid w:val="004A0147"/>
    <w:rsid w:val="004A0349"/>
    <w:rsid w:val="004A0470"/>
    <w:rsid w:val="004A04A2"/>
    <w:rsid w:val="004A052B"/>
    <w:rsid w:val="004A058B"/>
    <w:rsid w:val="004A0656"/>
    <w:rsid w:val="004A0657"/>
    <w:rsid w:val="004A0711"/>
    <w:rsid w:val="004A0960"/>
    <w:rsid w:val="004A0A0E"/>
    <w:rsid w:val="004A0C8D"/>
    <w:rsid w:val="004A0D02"/>
    <w:rsid w:val="004A0D12"/>
    <w:rsid w:val="004A12EE"/>
    <w:rsid w:val="004A155E"/>
    <w:rsid w:val="004A1666"/>
    <w:rsid w:val="004A1838"/>
    <w:rsid w:val="004A1BCF"/>
    <w:rsid w:val="004A1BDB"/>
    <w:rsid w:val="004A1DAE"/>
    <w:rsid w:val="004A1E39"/>
    <w:rsid w:val="004A2231"/>
    <w:rsid w:val="004A224F"/>
    <w:rsid w:val="004A24B5"/>
    <w:rsid w:val="004A260F"/>
    <w:rsid w:val="004A29E2"/>
    <w:rsid w:val="004A2BD2"/>
    <w:rsid w:val="004A2E7E"/>
    <w:rsid w:val="004A3076"/>
    <w:rsid w:val="004A30B2"/>
    <w:rsid w:val="004A332E"/>
    <w:rsid w:val="004A392A"/>
    <w:rsid w:val="004A3A9A"/>
    <w:rsid w:val="004A3C8A"/>
    <w:rsid w:val="004A3E8D"/>
    <w:rsid w:val="004A4130"/>
    <w:rsid w:val="004A4160"/>
    <w:rsid w:val="004A4390"/>
    <w:rsid w:val="004A4466"/>
    <w:rsid w:val="004A46B1"/>
    <w:rsid w:val="004A49D6"/>
    <w:rsid w:val="004A4B54"/>
    <w:rsid w:val="004A50C6"/>
    <w:rsid w:val="004A5216"/>
    <w:rsid w:val="004A54BA"/>
    <w:rsid w:val="004A55E0"/>
    <w:rsid w:val="004A5670"/>
    <w:rsid w:val="004A5956"/>
    <w:rsid w:val="004A59B3"/>
    <w:rsid w:val="004A59CD"/>
    <w:rsid w:val="004A5C09"/>
    <w:rsid w:val="004A61AC"/>
    <w:rsid w:val="004A6205"/>
    <w:rsid w:val="004A639D"/>
    <w:rsid w:val="004A63D6"/>
    <w:rsid w:val="004A64D1"/>
    <w:rsid w:val="004A667E"/>
    <w:rsid w:val="004A68A4"/>
    <w:rsid w:val="004A6B27"/>
    <w:rsid w:val="004A6BC9"/>
    <w:rsid w:val="004A6D59"/>
    <w:rsid w:val="004A72F2"/>
    <w:rsid w:val="004A73EC"/>
    <w:rsid w:val="004A7491"/>
    <w:rsid w:val="004A765E"/>
    <w:rsid w:val="004A7683"/>
    <w:rsid w:val="004A7695"/>
    <w:rsid w:val="004A78C6"/>
    <w:rsid w:val="004A7CE2"/>
    <w:rsid w:val="004B00B1"/>
    <w:rsid w:val="004B01E7"/>
    <w:rsid w:val="004B0326"/>
    <w:rsid w:val="004B0478"/>
    <w:rsid w:val="004B049A"/>
    <w:rsid w:val="004B0576"/>
    <w:rsid w:val="004B07BA"/>
    <w:rsid w:val="004B0A1F"/>
    <w:rsid w:val="004B0D42"/>
    <w:rsid w:val="004B1134"/>
    <w:rsid w:val="004B1178"/>
    <w:rsid w:val="004B144F"/>
    <w:rsid w:val="004B15F7"/>
    <w:rsid w:val="004B184D"/>
    <w:rsid w:val="004B1B67"/>
    <w:rsid w:val="004B20DD"/>
    <w:rsid w:val="004B24E7"/>
    <w:rsid w:val="004B2513"/>
    <w:rsid w:val="004B2642"/>
    <w:rsid w:val="004B2674"/>
    <w:rsid w:val="004B268B"/>
    <w:rsid w:val="004B27E3"/>
    <w:rsid w:val="004B2F10"/>
    <w:rsid w:val="004B3267"/>
    <w:rsid w:val="004B3476"/>
    <w:rsid w:val="004B35B7"/>
    <w:rsid w:val="004B3890"/>
    <w:rsid w:val="004B38E5"/>
    <w:rsid w:val="004B3A8F"/>
    <w:rsid w:val="004B3BE8"/>
    <w:rsid w:val="004B3BF2"/>
    <w:rsid w:val="004B3C66"/>
    <w:rsid w:val="004B3F46"/>
    <w:rsid w:val="004B3FA8"/>
    <w:rsid w:val="004B41D7"/>
    <w:rsid w:val="004B4241"/>
    <w:rsid w:val="004B4502"/>
    <w:rsid w:val="004B451B"/>
    <w:rsid w:val="004B4648"/>
    <w:rsid w:val="004B46E6"/>
    <w:rsid w:val="004B47E9"/>
    <w:rsid w:val="004B481F"/>
    <w:rsid w:val="004B4A9C"/>
    <w:rsid w:val="004B4DA6"/>
    <w:rsid w:val="004B4F8A"/>
    <w:rsid w:val="004B4FD8"/>
    <w:rsid w:val="004B519B"/>
    <w:rsid w:val="004B525D"/>
    <w:rsid w:val="004B52C8"/>
    <w:rsid w:val="004B54B4"/>
    <w:rsid w:val="004B5706"/>
    <w:rsid w:val="004B57E2"/>
    <w:rsid w:val="004B5904"/>
    <w:rsid w:val="004B5C20"/>
    <w:rsid w:val="004B5EEC"/>
    <w:rsid w:val="004B60F7"/>
    <w:rsid w:val="004B6781"/>
    <w:rsid w:val="004B6855"/>
    <w:rsid w:val="004B6B6F"/>
    <w:rsid w:val="004B6E35"/>
    <w:rsid w:val="004B7380"/>
    <w:rsid w:val="004B75A7"/>
    <w:rsid w:val="004B76AC"/>
    <w:rsid w:val="004B78BD"/>
    <w:rsid w:val="004B79B2"/>
    <w:rsid w:val="004B7B4A"/>
    <w:rsid w:val="004B7D04"/>
    <w:rsid w:val="004B7D14"/>
    <w:rsid w:val="004B7F7C"/>
    <w:rsid w:val="004C015E"/>
    <w:rsid w:val="004C0202"/>
    <w:rsid w:val="004C0676"/>
    <w:rsid w:val="004C06AA"/>
    <w:rsid w:val="004C0855"/>
    <w:rsid w:val="004C08C3"/>
    <w:rsid w:val="004C08DE"/>
    <w:rsid w:val="004C0B7C"/>
    <w:rsid w:val="004C1012"/>
    <w:rsid w:val="004C1838"/>
    <w:rsid w:val="004C1947"/>
    <w:rsid w:val="004C1986"/>
    <w:rsid w:val="004C1A73"/>
    <w:rsid w:val="004C1B02"/>
    <w:rsid w:val="004C1BCB"/>
    <w:rsid w:val="004C1BFF"/>
    <w:rsid w:val="004C1CEC"/>
    <w:rsid w:val="004C1EDF"/>
    <w:rsid w:val="004C2140"/>
    <w:rsid w:val="004C23A2"/>
    <w:rsid w:val="004C2CB8"/>
    <w:rsid w:val="004C362C"/>
    <w:rsid w:val="004C3BC4"/>
    <w:rsid w:val="004C3CC9"/>
    <w:rsid w:val="004C3DB5"/>
    <w:rsid w:val="004C4008"/>
    <w:rsid w:val="004C4083"/>
    <w:rsid w:val="004C4203"/>
    <w:rsid w:val="004C4277"/>
    <w:rsid w:val="004C4448"/>
    <w:rsid w:val="004C4994"/>
    <w:rsid w:val="004C4B55"/>
    <w:rsid w:val="004C4CF9"/>
    <w:rsid w:val="004C4D04"/>
    <w:rsid w:val="004C4F99"/>
    <w:rsid w:val="004C5136"/>
    <w:rsid w:val="004C516F"/>
    <w:rsid w:val="004C531E"/>
    <w:rsid w:val="004C5464"/>
    <w:rsid w:val="004C5675"/>
    <w:rsid w:val="004C58C6"/>
    <w:rsid w:val="004C5A40"/>
    <w:rsid w:val="004C5D46"/>
    <w:rsid w:val="004C5F0A"/>
    <w:rsid w:val="004C6043"/>
    <w:rsid w:val="004C6713"/>
    <w:rsid w:val="004C697D"/>
    <w:rsid w:val="004C6C89"/>
    <w:rsid w:val="004C6C9F"/>
    <w:rsid w:val="004C6F36"/>
    <w:rsid w:val="004C72E7"/>
    <w:rsid w:val="004C7334"/>
    <w:rsid w:val="004C7447"/>
    <w:rsid w:val="004C75C0"/>
    <w:rsid w:val="004C75CC"/>
    <w:rsid w:val="004C7716"/>
    <w:rsid w:val="004C793C"/>
    <w:rsid w:val="004C7A35"/>
    <w:rsid w:val="004C7B68"/>
    <w:rsid w:val="004C7D03"/>
    <w:rsid w:val="004C7D5D"/>
    <w:rsid w:val="004C7D73"/>
    <w:rsid w:val="004C7EA5"/>
    <w:rsid w:val="004D006F"/>
    <w:rsid w:val="004D048F"/>
    <w:rsid w:val="004D04F6"/>
    <w:rsid w:val="004D071F"/>
    <w:rsid w:val="004D073B"/>
    <w:rsid w:val="004D0744"/>
    <w:rsid w:val="004D0778"/>
    <w:rsid w:val="004D0855"/>
    <w:rsid w:val="004D0A08"/>
    <w:rsid w:val="004D0BA4"/>
    <w:rsid w:val="004D0C92"/>
    <w:rsid w:val="004D13EC"/>
    <w:rsid w:val="004D14DF"/>
    <w:rsid w:val="004D1534"/>
    <w:rsid w:val="004D1763"/>
    <w:rsid w:val="004D1A18"/>
    <w:rsid w:val="004D1A45"/>
    <w:rsid w:val="004D1BA7"/>
    <w:rsid w:val="004D1CC8"/>
    <w:rsid w:val="004D1DE4"/>
    <w:rsid w:val="004D2385"/>
    <w:rsid w:val="004D242B"/>
    <w:rsid w:val="004D25EF"/>
    <w:rsid w:val="004D295A"/>
    <w:rsid w:val="004D312B"/>
    <w:rsid w:val="004D3190"/>
    <w:rsid w:val="004D31E4"/>
    <w:rsid w:val="004D3493"/>
    <w:rsid w:val="004D36D2"/>
    <w:rsid w:val="004D372C"/>
    <w:rsid w:val="004D3CA9"/>
    <w:rsid w:val="004D3DB0"/>
    <w:rsid w:val="004D410E"/>
    <w:rsid w:val="004D43A0"/>
    <w:rsid w:val="004D4619"/>
    <w:rsid w:val="004D49E3"/>
    <w:rsid w:val="004D4D6F"/>
    <w:rsid w:val="004D4D82"/>
    <w:rsid w:val="004D4E91"/>
    <w:rsid w:val="004D4FB1"/>
    <w:rsid w:val="004D5A4A"/>
    <w:rsid w:val="004D5A5B"/>
    <w:rsid w:val="004D5B24"/>
    <w:rsid w:val="004D5D2C"/>
    <w:rsid w:val="004D61E2"/>
    <w:rsid w:val="004D6482"/>
    <w:rsid w:val="004D651D"/>
    <w:rsid w:val="004D68EF"/>
    <w:rsid w:val="004D69DB"/>
    <w:rsid w:val="004D6C87"/>
    <w:rsid w:val="004D6DBB"/>
    <w:rsid w:val="004D6F42"/>
    <w:rsid w:val="004D6FE6"/>
    <w:rsid w:val="004D705B"/>
    <w:rsid w:val="004D7268"/>
    <w:rsid w:val="004D75F2"/>
    <w:rsid w:val="004D767F"/>
    <w:rsid w:val="004D7866"/>
    <w:rsid w:val="004E01FC"/>
    <w:rsid w:val="004E08F8"/>
    <w:rsid w:val="004E0DA6"/>
    <w:rsid w:val="004E0F3D"/>
    <w:rsid w:val="004E0F5F"/>
    <w:rsid w:val="004E0FE1"/>
    <w:rsid w:val="004E11A7"/>
    <w:rsid w:val="004E11BA"/>
    <w:rsid w:val="004E1253"/>
    <w:rsid w:val="004E12AE"/>
    <w:rsid w:val="004E1334"/>
    <w:rsid w:val="004E167C"/>
    <w:rsid w:val="004E183D"/>
    <w:rsid w:val="004E1848"/>
    <w:rsid w:val="004E1C8E"/>
    <w:rsid w:val="004E1CDD"/>
    <w:rsid w:val="004E1D4D"/>
    <w:rsid w:val="004E1EF6"/>
    <w:rsid w:val="004E22B5"/>
    <w:rsid w:val="004E261B"/>
    <w:rsid w:val="004E2901"/>
    <w:rsid w:val="004E2E3C"/>
    <w:rsid w:val="004E2EB4"/>
    <w:rsid w:val="004E2F50"/>
    <w:rsid w:val="004E2FD8"/>
    <w:rsid w:val="004E2FDC"/>
    <w:rsid w:val="004E3383"/>
    <w:rsid w:val="004E345B"/>
    <w:rsid w:val="004E34A4"/>
    <w:rsid w:val="004E3664"/>
    <w:rsid w:val="004E36B2"/>
    <w:rsid w:val="004E36C5"/>
    <w:rsid w:val="004E3829"/>
    <w:rsid w:val="004E3943"/>
    <w:rsid w:val="004E3980"/>
    <w:rsid w:val="004E39CF"/>
    <w:rsid w:val="004E3A6F"/>
    <w:rsid w:val="004E437B"/>
    <w:rsid w:val="004E4526"/>
    <w:rsid w:val="004E45D6"/>
    <w:rsid w:val="004E466E"/>
    <w:rsid w:val="004E4792"/>
    <w:rsid w:val="004E4B85"/>
    <w:rsid w:val="004E4BDE"/>
    <w:rsid w:val="004E4C88"/>
    <w:rsid w:val="004E50D1"/>
    <w:rsid w:val="004E517C"/>
    <w:rsid w:val="004E5343"/>
    <w:rsid w:val="004E535E"/>
    <w:rsid w:val="004E541D"/>
    <w:rsid w:val="004E5A6B"/>
    <w:rsid w:val="004E5CB2"/>
    <w:rsid w:val="004E5DD5"/>
    <w:rsid w:val="004E6181"/>
    <w:rsid w:val="004E6252"/>
    <w:rsid w:val="004E62BB"/>
    <w:rsid w:val="004E644D"/>
    <w:rsid w:val="004E688C"/>
    <w:rsid w:val="004E68C8"/>
    <w:rsid w:val="004E6D0F"/>
    <w:rsid w:val="004E7248"/>
    <w:rsid w:val="004E7716"/>
    <w:rsid w:val="004E7B00"/>
    <w:rsid w:val="004F04C2"/>
    <w:rsid w:val="004F07D4"/>
    <w:rsid w:val="004F0E60"/>
    <w:rsid w:val="004F1046"/>
    <w:rsid w:val="004F10E3"/>
    <w:rsid w:val="004F12EF"/>
    <w:rsid w:val="004F171D"/>
    <w:rsid w:val="004F1777"/>
    <w:rsid w:val="004F18F1"/>
    <w:rsid w:val="004F1903"/>
    <w:rsid w:val="004F1A00"/>
    <w:rsid w:val="004F1CFA"/>
    <w:rsid w:val="004F1F07"/>
    <w:rsid w:val="004F2562"/>
    <w:rsid w:val="004F2C6B"/>
    <w:rsid w:val="004F2D59"/>
    <w:rsid w:val="004F2FF3"/>
    <w:rsid w:val="004F3192"/>
    <w:rsid w:val="004F31A8"/>
    <w:rsid w:val="004F31FE"/>
    <w:rsid w:val="004F34C0"/>
    <w:rsid w:val="004F3843"/>
    <w:rsid w:val="004F3A2C"/>
    <w:rsid w:val="004F3A44"/>
    <w:rsid w:val="004F3C7A"/>
    <w:rsid w:val="004F3C96"/>
    <w:rsid w:val="004F3E9C"/>
    <w:rsid w:val="004F40D2"/>
    <w:rsid w:val="004F4799"/>
    <w:rsid w:val="004F4848"/>
    <w:rsid w:val="004F496E"/>
    <w:rsid w:val="004F4A06"/>
    <w:rsid w:val="004F4AE7"/>
    <w:rsid w:val="004F4C8A"/>
    <w:rsid w:val="004F4CC1"/>
    <w:rsid w:val="004F4CEA"/>
    <w:rsid w:val="004F4D04"/>
    <w:rsid w:val="004F5152"/>
    <w:rsid w:val="004F516F"/>
    <w:rsid w:val="004F5313"/>
    <w:rsid w:val="004F53AA"/>
    <w:rsid w:val="004F54B9"/>
    <w:rsid w:val="004F5935"/>
    <w:rsid w:val="004F5AB3"/>
    <w:rsid w:val="004F5B2A"/>
    <w:rsid w:val="004F5E6E"/>
    <w:rsid w:val="004F5E9B"/>
    <w:rsid w:val="004F5F76"/>
    <w:rsid w:val="004F640E"/>
    <w:rsid w:val="004F658B"/>
    <w:rsid w:val="004F658C"/>
    <w:rsid w:val="004F665A"/>
    <w:rsid w:val="004F66A3"/>
    <w:rsid w:val="004F69D2"/>
    <w:rsid w:val="004F6C6B"/>
    <w:rsid w:val="004F6D44"/>
    <w:rsid w:val="004F6D4F"/>
    <w:rsid w:val="004F6F04"/>
    <w:rsid w:val="004F7096"/>
    <w:rsid w:val="004F72F2"/>
    <w:rsid w:val="004F73C3"/>
    <w:rsid w:val="004F748B"/>
    <w:rsid w:val="004F756C"/>
    <w:rsid w:val="004F75EE"/>
    <w:rsid w:val="004F75FE"/>
    <w:rsid w:val="004F79D9"/>
    <w:rsid w:val="004F7ACE"/>
    <w:rsid w:val="004F7F76"/>
    <w:rsid w:val="00500179"/>
    <w:rsid w:val="005007C8"/>
    <w:rsid w:val="005007D3"/>
    <w:rsid w:val="00500985"/>
    <w:rsid w:val="005009EB"/>
    <w:rsid w:val="00500A10"/>
    <w:rsid w:val="00500A12"/>
    <w:rsid w:val="00500B1A"/>
    <w:rsid w:val="00500D7D"/>
    <w:rsid w:val="00500E26"/>
    <w:rsid w:val="00501092"/>
    <w:rsid w:val="005010C6"/>
    <w:rsid w:val="00501289"/>
    <w:rsid w:val="005012FD"/>
    <w:rsid w:val="0050140F"/>
    <w:rsid w:val="005016F5"/>
    <w:rsid w:val="005017C9"/>
    <w:rsid w:val="005017F8"/>
    <w:rsid w:val="00501959"/>
    <w:rsid w:val="00501FB2"/>
    <w:rsid w:val="00502033"/>
    <w:rsid w:val="00502236"/>
    <w:rsid w:val="005026B2"/>
    <w:rsid w:val="005026CB"/>
    <w:rsid w:val="005026F6"/>
    <w:rsid w:val="005027A6"/>
    <w:rsid w:val="005027AC"/>
    <w:rsid w:val="00502901"/>
    <w:rsid w:val="00502A6F"/>
    <w:rsid w:val="00502AFE"/>
    <w:rsid w:val="00502B84"/>
    <w:rsid w:val="00502C89"/>
    <w:rsid w:val="00502D30"/>
    <w:rsid w:val="005030C3"/>
    <w:rsid w:val="005030D7"/>
    <w:rsid w:val="005032B5"/>
    <w:rsid w:val="0050342F"/>
    <w:rsid w:val="00503B50"/>
    <w:rsid w:val="00503EF7"/>
    <w:rsid w:val="0050458C"/>
    <w:rsid w:val="005045FC"/>
    <w:rsid w:val="005049B6"/>
    <w:rsid w:val="005049EA"/>
    <w:rsid w:val="00504C94"/>
    <w:rsid w:val="00504CF8"/>
    <w:rsid w:val="00504DAC"/>
    <w:rsid w:val="00504E75"/>
    <w:rsid w:val="00504EAB"/>
    <w:rsid w:val="00504EE8"/>
    <w:rsid w:val="00504F9D"/>
    <w:rsid w:val="0050509D"/>
    <w:rsid w:val="005050A2"/>
    <w:rsid w:val="005051A3"/>
    <w:rsid w:val="005051C3"/>
    <w:rsid w:val="00505536"/>
    <w:rsid w:val="005056E4"/>
    <w:rsid w:val="00505794"/>
    <w:rsid w:val="00505889"/>
    <w:rsid w:val="00505924"/>
    <w:rsid w:val="00505A22"/>
    <w:rsid w:val="00505AFD"/>
    <w:rsid w:val="00505D23"/>
    <w:rsid w:val="00505D40"/>
    <w:rsid w:val="00505E51"/>
    <w:rsid w:val="0050607F"/>
    <w:rsid w:val="005060FC"/>
    <w:rsid w:val="0050621C"/>
    <w:rsid w:val="005063E9"/>
    <w:rsid w:val="00506435"/>
    <w:rsid w:val="00506596"/>
    <w:rsid w:val="00506637"/>
    <w:rsid w:val="005066AE"/>
    <w:rsid w:val="00506853"/>
    <w:rsid w:val="00506F0F"/>
    <w:rsid w:val="00506F3C"/>
    <w:rsid w:val="00506FC4"/>
    <w:rsid w:val="005071F3"/>
    <w:rsid w:val="00507325"/>
    <w:rsid w:val="005073AA"/>
    <w:rsid w:val="005073E1"/>
    <w:rsid w:val="005075AA"/>
    <w:rsid w:val="00507688"/>
    <w:rsid w:val="00507A7E"/>
    <w:rsid w:val="00507AB9"/>
    <w:rsid w:val="00507D5D"/>
    <w:rsid w:val="00507FC7"/>
    <w:rsid w:val="00510105"/>
    <w:rsid w:val="00510190"/>
    <w:rsid w:val="005106B2"/>
    <w:rsid w:val="0051074B"/>
    <w:rsid w:val="005109B4"/>
    <w:rsid w:val="00510BB8"/>
    <w:rsid w:val="00510EAA"/>
    <w:rsid w:val="0051114F"/>
    <w:rsid w:val="005112F3"/>
    <w:rsid w:val="00511435"/>
    <w:rsid w:val="00511524"/>
    <w:rsid w:val="00511534"/>
    <w:rsid w:val="00511795"/>
    <w:rsid w:val="00511ACA"/>
    <w:rsid w:val="00511BFB"/>
    <w:rsid w:val="00511CFB"/>
    <w:rsid w:val="0051204E"/>
    <w:rsid w:val="005120D5"/>
    <w:rsid w:val="0051231F"/>
    <w:rsid w:val="005123A2"/>
    <w:rsid w:val="00512759"/>
    <w:rsid w:val="00512A7F"/>
    <w:rsid w:val="00512AE5"/>
    <w:rsid w:val="00512C00"/>
    <w:rsid w:val="00513544"/>
    <w:rsid w:val="005137FD"/>
    <w:rsid w:val="0051397A"/>
    <w:rsid w:val="00513E6D"/>
    <w:rsid w:val="00513FA0"/>
    <w:rsid w:val="00514374"/>
    <w:rsid w:val="00514554"/>
    <w:rsid w:val="00514766"/>
    <w:rsid w:val="00514851"/>
    <w:rsid w:val="00514930"/>
    <w:rsid w:val="00514AA1"/>
    <w:rsid w:val="00514B7B"/>
    <w:rsid w:val="00514C7C"/>
    <w:rsid w:val="00515197"/>
    <w:rsid w:val="005151ED"/>
    <w:rsid w:val="0051559A"/>
    <w:rsid w:val="00515797"/>
    <w:rsid w:val="005158ED"/>
    <w:rsid w:val="00515A90"/>
    <w:rsid w:val="00515D14"/>
    <w:rsid w:val="00515E1C"/>
    <w:rsid w:val="00516048"/>
    <w:rsid w:val="00516131"/>
    <w:rsid w:val="00516276"/>
    <w:rsid w:val="005165E5"/>
    <w:rsid w:val="0051678D"/>
    <w:rsid w:val="005167BF"/>
    <w:rsid w:val="005167E5"/>
    <w:rsid w:val="0051699B"/>
    <w:rsid w:val="00516A8E"/>
    <w:rsid w:val="00516AC9"/>
    <w:rsid w:val="00516B9F"/>
    <w:rsid w:val="00516DAC"/>
    <w:rsid w:val="00516F39"/>
    <w:rsid w:val="0051710E"/>
    <w:rsid w:val="00517225"/>
    <w:rsid w:val="005173C2"/>
    <w:rsid w:val="0051742C"/>
    <w:rsid w:val="0051750A"/>
    <w:rsid w:val="0051791B"/>
    <w:rsid w:val="00517991"/>
    <w:rsid w:val="00517B0E"/>
    <w:rsid w:val="00517BC2"/>
    <w:rsid w:val="00517F22"/>
    <w:rsid w:val="005201E9"/>
    <w:rsid w:val="005202A3"/>
    <w:rsid w:val="0052035D"/>
    <w:rsid w:val="005206D4"/>
    <w:rsid w:val="005207EC"/>
    <w:rsid w:val="0052099E"/>
    <w:rsid w:val="00520ADE"/>
    <w:rsid w:val="00520E94"/>
    <w:rsid w:val="005210B0"/>
    <w:rsid w:val="0052159B"/>
    <w:rsid w:val="005215FC"/>
    <w:rsid w:val="00521AD5"/>
    <w:rsid w:val="00521BE7"/>
    <w:rsid w:val="00521CA5"/>
    <w:rsid w:val="00521FC8"/>
    <w:rsid w:val="00522076"/>
    <w:rsid w:val="005220BF"/>
    <w:rsid w:val="005222E9"/>
    <w:rsid w:val="00522371"/>
    <w:rsid w:val="0052254D"/>
    <w:rsid w:val="0052256C"/>
    <w:rsid w:val="005226A0"/>
    <w:rsid w:val="0052288F"/>
    <w:rsid w:val="00522911"/>
    <w:rsid w:val="0052291B"/>
    <w:rsid w:val="00522F2F"/>
    <w:rsid w:val="00522F5A"/>
    <w:rsid w:val="00523038"/>
    <w:rsid w:val="00523040"/>
    <w:rsid w:val="0052316C"/>
    <w:rsid w:val="00523326"/>
    <w:rsid w:val="0052380F"/>
    <w:rsid w:val="00523BB1"/>
    <w:rsid w:val="00523BE8"/>
    <w:rsid w:val="00523E02"/>
    <w:rsid w:val="00523E81"/>
    <w:rsid w:val="005240F1"/>
    <w:rsid w:val="00524160"/>
    <w:rsid w:val="00524163"/>
    <w:rsid w:val="00524708"/>
    <w:rsid w:val="00524745"/>
    <w:rsid w:val="00524E4C"/>
    <w:rsid w:val="00524E74"/>
    <w:rsid w:val="0052506D"/>
    <w:rsid w:val="0052522A"/>
    <w:rsid w:val="005254B9"/>
    <w:rsid w:val="005254C6"/>
    <w:rsid w:val="0052553C"/>
    <w:rsid w:val="0052593F"/>
    <w:rsid w:val="00525B17"/>
    <w:rsid w:val="00525D72"/>
    <w:rsid w:val="00525F6E"/>
    <w:rsid w:val="005262D8"/>
    <w:rsid w:val="00526342"/>
    <w:rsid w:val="00526364"/>
    <w:rsid w:val="0052698C"/>
    <w:rsid w:val="00526A95"/>
    <w:rsid w:val="00526BA0"/>
    <w:rsid w:val="00526C5D"/>
    <w:rsid w:val="00526DA8"/>
    <w:rsid w:val="00526E3F"/>
    <w:rsid w:val="00526FC6"/>
    <w:rsid w:val="005270FE"/>
    <w:rsid w:val="00527335"/>
    <w:rsid w:val="00527452"/>
    <w:rsid w:val="00527573"/>
    <w:rsid w:val="00527595"/>
    <w:rsid w:val="00527824"/>
    <w:rsid w:val="00527A00"/>
    <w:rsid w:val="00527D07"/>
    <w:rsid w:val="00527D98"/>
    <w:rsid w:val="00530225"/>
    <w:rsid w:val="00530727"/>
    <w:rsid w:val="00530749"/>
    <w:rsid w:val="0053094C"/>
    <w:rsid w:val="00530D64"/>
    <w:rsid w:val="00530DFE"/>
    <w:rsid w:val="00530FA4"/>
    <w:rsid w:val="0053117F"/>
    <w:rsid w:val="00531804"/>
    <w:rsid w:val="00531874"/>
    <w:rsid w:val="00531A6D"/>
    <w:rsid w:val="00531CBF"/>
    <w:rsid w:val="00531D2F"/>
    <w:rsid w:val="00531E42"/>
    <w:rsid w:val="00531F82"/>
    <w:rsid w:val="005320E5"/>
    <w:rsid w:val="0053260E"/>
    <w:rsid w:val="005326A5"/>
    <w:rsid w:val="00532B0D"/>
    <w:rsid w:val="00532BEF"/>
    <w:rsid w:val="00532C9D"/>
    <w:rsid w:val="00533100"/>
    <w:rsid w:val="005331D4"/>
    <w:rsid w:val="005334C4"/>
    <w:rsid w:val="005334DE"/>
    <w:rsid w:val="005334E9"/>
    <w:rsid w:val="005335BB"/>
    <w:rsid w:val="00533672"/>
    <w:rsid w:val="00533785"/>
    <w:rsid w:val="00533849"/>
    <w:rsid w:val="005342D3"/>
    <w:rsid w:val="0053432E"/>
    <w:rsid w:val="00534502"/>
    <w:rsid w:val="00534550"/>
    <w:rsid w:val="00534B67"/>
    <w:rsid w:val="00534B82"/>
    <w:rsid w:val="00534C27"/>
    <w:rsid w:val="00535145"/>
    <w:rsid w:val="0053571C"/>
    <w:rsid w:val="0053572C"/>
    <w:rsid w:val="00535752"/>
    <w:rsid w:val="0053589A"/>
    <w:rsid w:val="00535B13"/>
    <w:rsid w:val="00535C70"/>
    <w:rsid w:val="00535F39"/>
    <w:rsid w:val="00535F8A"/>
    <w:rsid w:val="0053648F"/>
    <w:rsid w:val="005367F1"/>
    <w:rsid w:val="0053681C"/>
    <w:rsid w:val="00536931"/>
    <w:rsid w:val="0053694B"/>
    <w:rsid w:val="00536A28"/>
    <w:rsid w:val="00536A65"/>
    <w:rsid w:val="00536D11"/>
    <w:rsid w:val="00536DCA"/>
    <w:rsid w:val="00536FAB"/>
    <w:rsid w:val="00537368"/>
    <w:rsid w:val="005379EE"/>
    <w:rsid w:val="00537B25"/>
    <w:rsid w:val="00537BE1"/>
    <w:rsid w:val="00537CB8"/>
    <w:rsid w:val="0053A998"/>
    <w:rsid w:val="005405A8"/>
    <w:rsid w:val="005405C5"/>
    <w:rsid w:val="00540923"/>
    <w:rsid w:val="00540BBD"/>
    <w:rsid w:val="00540DD5"/>
    <w:rsid w:val="00540E58"/>
    <w:rsid w:val="0054110C"/>
    <w:rsid w:val="00541181"/>
    <w:rsid w:val="005412F9"/>
    <w:rsid w:val="00541306"/>
    <w:rsid w:val="005413D3"/>
    <w:rsid w:val="005414AB"/>
    <w:rsid w:val="0054150B"/>
    <w:rsid w:val="005417A6"/>
    <w:rsid w:val="00541B3B"/>
    <w:rsid w:val="00541C02"/>
    <w:rsid w:val="00541FF1"/>
    <w:rsid w:val="00542431"/>
    <w:rsid w:val="0054245D"/>
    <w:rsid w:val="005424A4"/>
    <w:rsid w:val="0054280A"/>
    <w:rsid w:val="00542EDC"/>
    <w:rsid w:val="00542F19"/>
    <w:rsid w:val="00542F86"/>
    <w:rsid w:val="00542FD6"/>
    <w:rsid w:val="00543143"/>
    <w:rsid w:val="005435DF"/>
    <w:rsid w:val="005436A5"/>
    <w:rsid w:val="0054391C"/>
    <w:rsid w:val="0054396C"/>
    <w:rsid w:val="00543A37"/>
    <w:rsid w:val="00543BEE"/>
    <w:rsid w:val="00543DB9"/>
    <w:rsid w:val="00543DC8"/>
    <w:rsid w:val="00543FCB"/>
    <w:rsid w:val="0054417F"/>
    <w:rsid w:val="00544317"/>
    <w:rsid w:val="0054434D"/>
    <w:rsid w:val="005444BF"/>
    <w:rsid w:val="00544526"/>
    <w:rsid w:val="00544580"/>
    <w:rsid w:val="00544634"/>
    <w:rsid w:val="005449E9"/>
    <w:rsid w:val="00544B72"/>
    <w:rsid w:val="00544C10"/>
    <w:rsid w:val="00544C12"/>
    <w:rsid w:val="00544C61"/>
    <w:rsid w:val="00544DB0"/>
    <w:rsid w:val="00545051"/>
    <w:rsid w:val="00545376"/>
    <w:rsid w:val="005453C5"/>
    <w:rsid w:val="00545429"/>
    <w:rsid w:val="0054548D"/>
    <w:rsid w:val="0054560B"/>
    <w:rsid w:val="00545665"/>
    <w:rsid w:val="005457FD"/>
    <w:rsid w:val="00545828"/>
    <w:rsid w:val="00545874"/>
    <w:rsid w:val="00545906"/>
    <w:rsid w:val="00545AF2"/>
    <w:rsid w:val="00545DB2"/>
    <w:rsid w:val="00545E60"/>
    <w:rsid w:val="00545F1A"/>
    <w:rsid w:val="00545F8E"/>
    <w:rsid w:val="00546046"/>
    <w:rsid w:val="005462BA"/>
    <w:rsid w:val="005463A0"/>
    <w:rsid w:val="005466C8"/>
    <w:rsid w:val="005467DB"/>
    <w:rsid w:val="00546C56"/>
    <w:rsid w:val="00546CAE"/>
    <w:rsid w:val="00546D41"/>
    <w:rsid w:val="00546DA0"/>
    <w:rsid w:val="00546E3E"/>
    <w:rsid w:val="00546E46"/>
    <w:rsid w:val="00546EE4"/>
    <w:rsid w:val="00546FBA"/>
    <w:rsid w:val="0054713B"/>
    <w:rsid w:val="00547187"/>
    <w:rsid w:val="005471C8"/>
    <w:rsid w:val="005473BD"/>
    <w:rsid w:val="0054782B"/>
    <w:rsid w:val="00547B22"/>
    <w:rsid w:val="00547EFC"/>
    <w:rsid w:val="00547FA9"/>
    <w:rsid w:val="0055003D"/>
    <w:rsid w:val="005500E9"/>
    <w:rsid w:val="0055017E"/>
    <w:rsid w:val="005501ED"/>
    <w:rsid w:val="00550272"/>
    <w:rsid w:val="00550285"/>
    <w:rsid w:val="005503C0"/>
    <w:rsid w:val="005504C6"/>
    <w:rsid w:val="00550799"/>
    <w:rsid w:val="00550981"/>
    <w:rsid w:val="00550D84"/>
    <w:rsid w:val="00550DC5"/>
    <w:rsid w:val="00550F12"/>
    <w:rsid w:val="00551269"/>
    <w:rsid w:val="00551328"/>
    <w:rsid w:val="0055164C"/>
    <w:rsid w:val="00551A0A"/>
    <w:rsid w:val="00551B41"/>
    <w:rsid w:val="00551C34"/>
    <w:rsid w:val="00551ED3"/>
    <w:rsid w:val="00551F46"/>
    <w:rsid w:val="00551F9E"/>
    <w:rsid w:val="005522CB"/>
    <w:rsid w:val="005522CD"/>
    <w:rsid w:val="00552487"/>
    <w:rsid w:val="0055250E"/>
    <w:rsid w:val="00552844"/>
    <w:rsid w:val="0055286C"/>
    <w:rsid w:val="00552874"/>
    <w:rsid w:val="0055291E"/>
    <w:rsid w:val="00552B0E"/>
    <w:rsid w:val="00552B2C"/>
    <w:rsid w:val="00552B33"/>
    <w:rsid w:val="00552FFF"/>
    <w:rsid w:val="0055310B"/>
    <w:rsid w:val="00553156"/>
    <w:rsid w:val="005531A5"/>
    <w:rsid w:val="0055329D"/>
    <w:rsid w:val="005534D6"/>
    <w:rsid w:val="00553755"/>
    <w:rsid w:val="00553A94"/>
    <w:rsid w:val="00553ACB"/>
    <w:rsid w:val="00553CF9"/>
    <w:rsid w:val="00553DC1"/>
    <w:rsid w:val="005541FE"/>
    <w:rsid w:val="0055421C"/>
    <w:rsid w:val="0055449F"/>
    <w:rsid w:val="005544D9"/>
    <w:rsid w:val="00554671"/>
    <w:rsid w:val="00554D39"/>
    <w:rsid w:val="00554DD7"/>
    <w:rsid w:val="00554EBC"/>
    <w:rsid w:val="005555C2"/>
    <w:rsid w:val="0055588A"/>
    <w:rsid w:val="00555ADB"/>
    <w:rsid w:val="00555C99"/>
    <w:rsid w:val="0055639E"/>
    <w:rsid w:val="005564AC"/>
    <w:rsid w:val="00556718"/>
    <w:rsid w:val="00556949"/>
    <w:rsid w:val="00556CAF"/>
    <w:rsid w:val="0055716E"/>
    <w:rsid w:val="00557312"/>
    <w:rsid w:val="0055740F"/>
    <w:rsid w:val="00557722"/>
    <w:rsid w:val="005577C5"/>
    <w:rsid w:val="005577E5"/>
    <w:rsid w:val="00557933"/>
    <w:rsid w:val="00557A5C"/>
    <w:rsid w:val="00560132"/>
    <w:rsid w:val="00560183"/>
    <w:rsid w:val="0056033E"/>
    <w:rsid w:val="005607BC"/>
    <w:rsid w:val="00560AC7"/>
    <w:rsid w:val="00560C1D"/>
    <w:rsid w:val="00560C93"/>
    <w:rsid w:val="00560D87"/>
    <w:rsid w:val="00560F99"/>
    <w:rsid w:val="005611CB"/>
    <w:rsid w:val="0056153A"/>
    <w:rsid w:val="005615F7"/>
    <w:rsid w:val="005619E8"/>
    <w:rsid w:val="005619FD"/>
    <w:rsid w:val="00561C20"/>
    <w:rsid w:val="00562105"/>
    <w:rsid w:val="00562664"/>
    <w:rsid w:val="0056297D"/>
    <w:rsid w:val="00562A7D"/>
    <w:rsid w:val="005634EB"/>
    <w:rsid w:val="0056362B"/>
    <w:rsid w:val="00563C94"/>
    <w:rsid w:val="00563CD4"/>
    <w:rsid w:val="00563ED5"/>
    <w:rsid w:val="00563F85"/>
    <w:rsid w:val="0056400F"/>
    <w:rsid w:val="00564101"/>
    <w:rsid w:val="005649E3"/>
    <w:rsid w:val="00564FDB"/>
    <w:rsid w:val="00565081"/>
    <w:rsid w:val="00565146"/>
    <w:rsid w:val="00565563"/>
    <w:rsid w:val="00565886"/>
    <w:rsid w:val="0056591A"/>
    <w:rsid w:val="00565AC5"/>
    <w:rsid w:val="00566339"/>
    <w:rsid w:val="00566777"/>
    <w:rsid w:val="00566B4D"/>
    <w:rsid w:val="00566BB6"/>
    <w:rsid w:val="00566CAD"/>
    <w:rsid w:val="005673A0"/>
    <w:rsid w:val="005673F7"/>
    <w:rsid w:val="005674A2"/>
    <w:rsid w:val="0056772B"/>
    <w:rsid w:val="00567E2C"/>
    <w:rsid w:val="00567FBA"/>
    <w:rsid w:val="005700DC"/>
    <w:rsid w:val="005701DB"/>
    <w:rsid w:val="00570293"/>
    <w:rsid w:val="00570409"/>
    <w:rsid w:val="005705F7"/>
    <w:rsid w:val="00570770"/>
    <w:rsid w:val="00570787"/>
    <w:rsid w:val="00570B11"/>
    <w:rsid w:val="00570C1C"/>
    <w:rsid w:val="00570D07"/>
    <w:rsid w:val="00570D83"/>
    <w:rsid w:val="005710A1"/>
    <w:rsid w:val="005710B5"/>
    <w:rsid w:val="0057110B"/>
    <w:rsid w:val="00571254"/>
    <w:rsid w:val="00571388"/>
    <w:rsid w:val="005715D8"/>
    <w:rsid w:val="005715F0"/>
    <w:rsid w:val="0057161E"/>
    <w:rsid w:val="00571802"/>
    <w:rsid w:val="00571878"/>
    <w:rsid w:val="00571D12"/>
    <w:rsid w:val="00571DD4"/>
    <w:rsid w:val="0057244B"/>
    <w:rsid w:val="00572976"/>
    <w:rsid w:val="00572E59"/>
    <w:rsid w:val="00573421"/>
    <w:rsid w:val="005734CE"/>
    <w:rsid w:val="00573AD0"/>
    <w:rsid w:val="00573BCB"/>
    <w:rsid w:val="00573BE2"/>
    <w:rsid w:val="00573CA8"/>
    <w:rsid w:val="00573FAB"/>
    <w:rsid w:val="00574669"/>
    <w:rsid w:val="00574768"/>
    <w:rsid w:val="005748EC"/>
    <w:rsid w:val="00574AAD"/>
    <w:rsid w:val="00574B93"/>
    <w:rsid w:val="00574CAE"/>
    <w:rsid w:val="00574D66"/>
    <w:rsid w:val="00574DF5"/>
    <w:rsid w:val="00574E81"/>
    <w:rsid w:val="00575041"/>
    <w:rsid w:val="00575154"/>
    <w:rsid w:val="00575511"/>
    <w:rsid w:val="00575650"/>
    <w:rsid w:val="00575DD0"/>
    <w:rsid w:val="00576783"/>
    <w:rsid w:val="005768AF"/>
    <w:rsid w:val="005768B9"/>
    <w:rsid w:val="0057696E"/>
    <w:rsid w:val="005770EA"/>
    <w:rsid w:val="00577351"/>
    <w:rsid w:val="005775CD"/>
    <w:rsid w:val="00577631"/>
    <w:rsid w:val="00577698"/>
    <w:rsid w:val="005777D4"/>
    <w:rsid w:val="005777E3"/>
    <w:rsid w:val="00577D06"/>
    <w:rsid w:val="00577D95"/>
    <w:rsid w:val="00577DD0"/>
    <w:rsid w:val="00580318"/>
    <w:rsid w:val="005805FA"/>
    <w:rsid w:val="00580886"/>
    <w:rsid w:val="00580901"/>
    <w:rsid w:val="00580910"/>
    <w:rsid w:val="00580AA7"/>
    <w:rsid w:val="00580D30"/>
    <w:rsid w:val="00580E20"/>
    <w:rsid w:val="00581080"/>
    <w:rsid w:val="005811F3"/>
    <w:rsid w:val="00581358"/>
    <w:rsid w:val="005813FE"/>
    <w:rsid w:val="005814B6"/>
    <w:rsid w:val="00581633"/>
    <w:rsid w:val="00581657"/>
    <w:rsid w:val="00581BBC"/>
    <w:rsid w:val="0058214F"/>
    <w:rsid w:val="00582419"/>
    <w:rsid w:val="00582681"/>
    <w:rsid w:val="005828EC"/>
    <w:rsid w:val="00582AC2"/>
    <w:rsid w:val="00582D80"/>
    <w:rsid w:val="00582DC7"/>
    <w:rsid w:val="00583366"/>
    <w:rsid w:val="00583499"/>
    <w:rsid w:val="0058349A"/>
    <w:rsid w:val="005836F0"/>
    <w:rsid w:val="0058387F"/>
    <w:rsid w:val="00583897"/>
    <w:rsid w:val="00583C5A"/>
    <w:rsid w:val="00583CFF"/>
    <w:rsid w:val="00583F68"/>
    <w:rsid w:val="00584188"/>
    <w:rsid w:val="005844AB"/>
    <w:rsid w:val="005844EF"/>
    <w:rsid w:val="00584653"/>
    <w:rsid w:val="00584715"/>
    <w:rsid w:val="00584879"/>
    <w:rsid w:val="0058497D"/>
    <w:rsid w:val="00584AB0"/>
    <w:rsid w:val="00584B93"/>
    <w:rsid w:val="00584E70"/>
    <w:rsid w:val="00585011"/>
    <w:rsid w:val="005850BB"/>
    <w:rsid w:val="0058532A"/>
    <w:rsid w:val="00585452"/>
    <w:rsid w:val="00585711"/>
    <w:rsid w:val="00585B33"/>
    <w:rsid w:val="005860F1"/>
    <w:rsid w:val="00586343"/>
    <w:rsid w:val="00586711"/>
    <w:rsid w:val="00586A74"/>
    <w:rsid w:val="00586BE8"/>
    <w:rsid w:val="00586C87"/>
    <w:rsid w:val="00586CB4"/>
    <w:rsid w:val="00586CB5"/>
    <w:rsid w:val="00586CF4"/>
    <w:rsid w:val="00586E13"/>
    <w:rsid w:val="00586FBC"/>
    <w:rsid w:val="00587079"/>
    <w:rsid w:val="00587488"/>
    <w:rsid w:val="0058749C"/>
    <w:rsid w:val="0058758A"/>
    <w:rsid w:val="005875BE"/>
    <w:rsid w:val="00587BA5"/>
    <w:rsid w:val="00587D20"/>
    <w:rsid w:val="0059014B"/>
    <w:rsid w:val="005901BE"/>
    <w:rsid w:val="005902F0"/>
    <w:rsid w:val="005904CA"/>
    <w:rsid w:val="00590586"/>
    <w:rsid w:val="00590621"/>
    <w:rsid w:val="0059068E"/>
    <w:rsid w:val="00590697"/>
    <w:rsid w:val="005908CA"/>
    <w:rsid w:val="00590997"/>
    <w:rsid w:val="00590A1F"/>
    <w:rsid w:val="00590A45"/>
    <w:rsid w:val="00590CCA"/>
    <w:rsid w:val="00590DEF"/>
    <w:rsid w:val="00590E8E"/>
    <w:rsid w:val="00590EEB"/>
    <w:rsid w:val="00590FC7"/>
    <w:rsid w:val="00590FCD"/>
    <w:rsid w:val="00590FEE"/>
    <w:rsid w:val="005911AB"/>
    <w:rsid w:val="0059123D"/>
    <w:rsid w:val="005914BA"/>
    <w:rsid w:val="00591578"/>
    <w:rsid w:val="00591587"/>
    <w:rsid w:val="00591685"/>
    <w:rsid w:val="0059171F"/>
    <w:rsid w:val="0059181F"/>
    <w:rsid w:val="00591A7D"/>
    <w:rsid w:val="0059210E"/>
    <w:rsid w:val="005922D8"/>
    <w:rsid w:val="005924CB"/>
    <w:rsid w:val="005925BF"/>
    <w:rsid w:val="005927F2"/>
    <w:rsid w:val="00592843"/>
    <w:rsid w:val="00592867"/>
    <w:rsid w:val="00592AE1"/>
    <w:rsid w:val="00592C0D"/>
    <w:rsid w:val="005930A4"/>
    <w:rsid w:val="005931B7"/>
    <w:rsid w:val="005932C9"/>
    <w:rsid w:val="00593694"/>
    <w:rsid w:val="00593A3F"/>
    <w:rsid w:val="0059414C"/>
    <w:rsid w:val="005946E3"/>
    <w:rsid w:val="00594818"/>
    <w:rsid w:val="00594AA9"/>
    <w:rsid w:val="00594FFE"/>
    <w:rsid w:val="005951AA"/>
    <w:rsid w:val="0059573E"/>
    <w:rsid w:val="0059582C"/>
    <w:rsid w:val="00595B45"/>
    <w:rsid w:val="00595DDD"/>
    <w:rsid w:val="00595EC4"/>
    <w:rsid w:val="00595FB9"/>
    <w:rsid w:val="005960C8"/>
    <w:rsid w:val="00596458"/>
    <w:rsid w:val="00596540"/>
    <w:rsid w:val="00596B54"/>
    <w:rsid w:val="00596E74"/>
    <w:rsid w:val="00596ED8"/>
    <w:rsid w:val="00596F9C"/>
    <w:rsid w:val="00597208"/>
    <w:rsid w:val="00597432"/>
    <w:rsid w:val="00597810"/>
    <w:rsid w:val="0059781B"/>
    <w:rsid w:val="00597954"/>
    <w:rsid w:val="00597AC5"/>
    <w:rsid w:val="00597DC7"/>
    <w:rsid w:val="00597ED2"/>
    <w:rsid w:val="005A067F"/>
    <w:rsid w:val="005A06A3"/>
    <w:rsid w:val="005A07AD"/>
    <w:rsid w:val="005A0C10"/>
    <w:rsid w:val="005A0FD0"/>
    <w:rsid w:val="005A1071"/>
    <w:rsid w:val="005A10E6"/>
    <w:rsid w:val="005A14DB"/>
    <w:rsid w:val="005A175B"/>
    <w:rsid w:val="005A18F3"/>
    <w:rsid w:val="005A1A70"/>
    <w:rsid w:val="005A1E80"/>
    <w:rsid w:val="005A1E9E"/>
    <w:rsid w:val="005A1EE8"/>
    <w:rsid w:val="005A2298"/>
    <w:rsid w:val="005A2384"/>
    <w:rsid w:val="005A2435"/>
    <w:rsid w:val="005A24D2"/>
    <w:rsid w:val="005A2880"/>
    <w:rsid w:val="005A2A4E"/>
    <w:rsid w:val="005A2BB5"/>
    <w:rsid w:val="005A2C87"/>
    <w:rsid w:val="005A370E"/>
    <w:rsid w:val="005A373F"/>
    <w:rsid w:val="005A3748"/>
    <w:rsid w:val="005A3870"/>
    <w:rsid w:val="005A3905"/>
    <w:rsid w:val="005A3983"/>
    <w:rsid w:val="005A3E61"/>
    <w:rsid w:val="005A40A7"/>
    <w:rsid w:val="005A463C"/>
    <w:rsid w:val="005A474B"/>
    <w:rsid w:val="005A4836"/>
    <w:rsid w:val="005A4D49"/>
    <w:rsid w:val="005A4D51"/>
    <w:rsid w:val="005A4D9F"/>
    <w:rsid w:val="005A52BF"/>
    <w:rsid w:val="005A562F"/>
    <w:rsid w:val="005A570D"/>
    <w:rsid w:val="005A577A"/>
    <w:rsid w:val="005A585C"/>
    <w:rsid w:val="005A5AB8"/>
    <w:rsid w:val="005A60B6"/>
    <w:rsid w:val="005A6228"/>
    <w:rsid w:val="005A6394"/>
    <w:rsid w:val="005A6C77"/>
    <w:rsid w:val="005A6E21"/>
    <w:rsid w:val="005A6E4C"/>
    <w:rsid w:val="005A6EBF"/>
    <w:rsid w:val="005A6FA2"/>
    <w:rsid w:val="005A716C"/>
    <w:rsid w:val="005A7594"/>
    <w:rsid w:val="005A76A3"/>
    <w:rsid w:val="005A76D1"/>
    <w:rsid w:val="005A786E"/>
    <w:rsid w:val="005A79DA"/>
    <w:rsid w:val="005A7A78"/>
    <w:rsid w:val="005A7B32"/>
    <w:rsid w:val="005A7BAE"/>
    <w:rsid w:val="005B05BB"/>
    <w:rsid w:val="005B093C"/>
    <w:rsid w:val="005B0B52"/>
    <w:rsid w:val="005B0BB8"/>
    <w:rsid w:val="005B0EFD"/>
    <w:rsid w:val="005B0EFF"/>
    <w:rsid w:val="005B0F30"/>
    <w:rsid w:val="005B1069"/>
    <w:rsid w:val="005B1231"/>
    <w:rsid w:val="005B1EB6"/>
    <w:rsid w:val="005B21A7"/>
    <w:rsid w:val="005B22F8"/>
    <w:rsid w:val="005B2BB0"/>
    <w:rsid w:val="005B2E10"/>
    <w:rsid w:val="005B30D4"/>
    <w:rsid w:val="005B35A7"/>
    <w:rsid w:val="005B3AAB"/>
    <w:rsid w:val="005B3B6B"/>
    <w:rsid w:val="005B3BF5"/>
    <w:rsid w:val="005B3C04"/>
    <w:rsid w:val="005B3C6A"/>
    <w:rsid w:val="005B3DBF"/>
    <w:rsid w:val="005B3E03"/>
    <w:rsid w:val="005B4002"/>
    <w:rsid w:val="005B411C"/>
    <w:rsid w:val="005B435D"/>
    <w:rsid w:val="005B43CC"/>
    <w:rsid w:val="005B4474"/>
    <w:rsid w:val="005B4543"/>
    <w:rsid w:val="005B45D9"/>
    <w:rsid w:val="005B47DC"/>
    <w:rsid w:val="005B4F15"/>
    <w:rsid w:val="005B4FEF"/>
    <w:rsid w:val="005B5378"/>
    <w:rsid w:val="005B5387"/>
    <w:rsid w:val="005B53CB"/>
    <w:rsid w:val="005B54E7"/>
    <w:rsid w:val="005B5806"/>
    <w:rsid w:val="005B5996"/>
    <w:rsid w:val="005B5ABE"/>
    <w:rsid w:val="005B5BD4"/>
    <w:rsid w:val="005B5EC0"/>
    <w:rsid w:val="005B5FA1"/>
    <w:rsid w:val="005B6032"/>
    <w:rsid w:val="005B61CC"/>
    <w:rsid w:val="005B6358"/>
    <w:rsid w:val="005B646D"/>
    <w:rsid w:val="005B65C3"/>
    <w:rsid w:val="005B668F"/>
    <w:rsid w:val="005B6810"/>
    <w:rsid w:val="005B69D8"/>
    <w:rsid w:val="005B6A77"/>
    <w:rsid w:val="005B6BDC"/>
    <w:rsid w:val="005B6CF2"/>
    <w:rsid w:val="005B6EE4"/>
    <w:rsid w:val="005B71B7"/>
    <w:rsid w:val="005B754F"/>
    <w:rsid w:val="005B7734"/>
    <w:rsid w:val="005B7799"/>
    <w:rsid w:val="005B7951"/>
    <w:rsid w:val="005B79F7"/>
    <w:rsid w:val="005C0211"/>
    <w:rsid w:val="005C0220"/>
    <w:rsid w:val="005C04C5"/>
    <w:rsid w:val="005C0514"/>
    <w:rsid w:val="005C0632"/>
    <w:rsid w:val="005C0850"/>
    <w:rsid w:val="005C085B"/>
    <w:rsid w:val="005C0A48"/>
    <w:rsid w:val="005C0B69"/>
    <w:rsid w:val="005C0D25"/>
    <w:rsid w:val="005C0D9E"/>
    <w:rsid w:val="005C0DCA"/>
    <w:rsid w:val="005C0E73"/>
    <w:rsid w:val="005C108C"/>
    <w:rsid w:val="005C108F"/>
    <w:rsid w:val="005C14C6"/>
    <w:rsid w:val="005C1642"/>
    <w:rsid w:val="005C1CA1"/>
    <w:rsid w:val="005C1CD3"/>
    <w:rsid w:val="005C1FDD"/>
    <w:rsid w:val="005C2008"/>
    <w:rsid w:val="005C207E"/>
    <w:rsid w:val="005C2244"/>
    <w:rsid w:val="005C22FB"/>
    <w:rsid w:val="005C2404"/>
    <w:rsid w:val="005C2849"/>
    <w:rsid w:val="005C2B50"/>
    <w:rsid w:val="005C2BCB"/>
    <w:rsid w:val="005C2C24"/>
    <w:rsid w:val="005C2CFE"/>
    <w:rsid w:val="005C2EC4"/>
    <w:rsid w:val="005C2FE8"/>
    <w:rsid w:val="005C36E5"/>
    <w:rsid w:val="005C37D0"/>
    <w:rsid w:val="005C3815"/>
    <w:rsid w:val="005C383B"/>
    <w:rsid w:val="005C3A3A"/>
    <w:rsid w:val="005C3B90"/>
    <w:rsid w:val="005C3DB3"/>
    <w:rsid w:val="005C4058"/>
    <w:rsid w:val="005C4201"/>
    <w:rsid w:val="005C420A"/>
    <w:rsid w:val="005C4391"/>
    <w:rsid w:val="005C443E"/>
    <w:rsid w:val="005C4526"/>
    <w:rsid w:val="005C4878"/>
    <w:rsid w:val="005C4936"/>
    <w:rsid w:val="005C5211"/>
    <w:rsid w:val="005C52D0"/>
    <w:rsid w:val="005C5A3C"/>
    <w:rsid w:val="005C5C87"/>
    <w:rsid w:val="005C5CAC"/>
    <w:rsid w:val="005C5E98"/>
    <w:rsid w:val="005C5EA0"/>
    <w:rsid w:val="005C5F5D"/>
    <w:rsid w:val="005C6175"/>
    <w:rsid w:val="005C618F"/>
    <w:rsid w:val="005C6525"/>
    <w:rsid w:val="005C6566"/>
    <w:rsid w:val="005C67A5"/>
    <w:rsid w:val="005C6999"/>
    <w:rsid w:val="005C6A6B"/>
    <w:rsid w:val="005C6B97"/>
    <w:rsid w:val="005C6DE5"/>
    <w:rsid w:val="005C6F1E"/>
    <w:rsid w:val="005C7014"/>
    <w:rsid w:val="005C70D5"/>
    <w:rsid w:val="005C70D7"/>
    <w:rsid w:val="005C787E"/>
    <w:rsid w:val="005C7B15"/>
    <w:rsid w:val="005C7CC2"/>
    <w:rsid w:val="005C7D29"/>
    <w:rsid w:val="005C7FED"/>
    <w:rsid w:val="005D0597"/>
    <w:rsid w:val="005D0850"/>
    <w:rsid w:val="005D0B8D"/>
    <w:rsid w:val="005D0F78"/>
    <w:rsid w:val="005D1446"/>
    <w:rsid w:val="005D190E"/>
    <w:rsid w:val="005D1913"/>
    <w:rsid w:val="005D194B"/>
    <w:rsid w:val="005D1A12"/>
    <w:rsid w:val="005D1A82"/>
    <w:rsid w:val="005D1AF2"/>
    <w:rsid w:val="005D1C97"/>
    <w:rsid w:val="005D1F00"/>
    <w:rsid w:val="005D1F90"/>
    <w:rsid w:val="005D2180"/>
    <w:rsid w:val="005D2854"/>
    <w:rsid w:val="005D291F"/>
    <w:rsid w:val="005D2AA0"/>
    <w:rsid w:val="005D2C05"/>
    <w:rsid w:val="005D2D8A"/>
    <w:rsid w:val="005D2DFF"/>
    <w:rsid w:val="005D3350"/>
    <w:rsid w:val="005D33B7"/>
    <w:rsid w:val="005D3734"/>
    <w:rsid w:val="005D37D3"/>
    <w:rsid w:val="005D38A4"/>
    <w:rsid w:val="005D3974"/>
    <w:rsid w:val="005D3AC0"/>
    <w:rsid w:val="005D3B0D"/>
    <w:rsid w:val="005D3EEC"/>
    <w:rsid w:val="005D3FDC"/>
    <w:rsid w:val="005D4063"/>
    <w:rsid w:val="005D45AB"/>
    <w:rsid w:val="005D4723"/>
    <w:rsid w:val="005D48CF"/>
    <w:rsid w:val="005D494D"/>
    <w:rsid w:val="005D4D6C"/>
    <w:rsid w:val="005D51D2"/>
    <w:rsid w:val="005D52FC"/>
    <w:rsid w:val="005D535F"/>
    <w:rsid w:val="005D540B"/>
    <w:rsid w:val="005D540E"/>
    <w:rsid w:val="005D54DC"/>
    <w:rsid w:val="005D5539"/>
    <w:rsid w:val="005D5583"/>
    <w:rsid w:val="005D5924"/>
    <w:rsid w:val="005D599C"/>
    <w:rsid w:val="005D5D91"/>
    <w:rsid w:val="005D5DC7"/>
    <w:rsid w:val="005D5FC9"/>
    <w:rsid w:val="005D6310"/>
    <w:rsid w:val="005D65A0"/>
    <w:rsid w:val="005D673A"/>
    <w:rsid w:val="005D685F"/>
    <w:rsid w:val="005D68B4"/>
    <w:rsid w:val="005D6C9E"/>
    <w:rsid w:val="005D6E3F"/>
    <w:rsid w:val="005D6FCC"/>
    <w:rsid w:val="005D7223"/>
    <w:rsid w:val="005D738F"/>
    <w:rsid w:val="005D778C"/>
    <w:rsid w:val="005D782C"/>
    <w:rsid w:val="005D7A0A"/>
    <w:rsid w:val="005D7A41"/>
    <w:rsid w:val="005D7B08"/>
    <w:rsid w:val="005D7DFC"/>
    <w:rsid w:val="005D7F5A"/>
    <w:rsid w:val="005D7F61"/>
    <w:rsid w:val="005E0267"/>
    <w:rsid w:val="005E0280"/>
    <w:rsid w:val="005E035D"/>
    <w:rsid w:val="005E045C"/>
    <w:rsid w:val="005E06A8"/>
    <w:rsid w:val="005E06D3"/>
    <w:rsid w:val="005E0795"/>
    <w:rsid w:val="005E0982"/>
    <w:rsid w:val="005E0F3A"/>
    <w:rsid w:val="005E0F98"/>
    <w:rsid w:val="005E0FF0"/>
    <w:rsid w:val="005E1137"/>
    <w:rsid w:val="005E1206"/>
    <w:rsid w:val="005E145D"/>
    <w:rsid w:val="005E15E1"/>
    <w:rsid w:val="005E15E8"/>
    <w:rsid w:val="005E163B"/>
    <w:rsid w:val="005E16B8"/>
    <w:rsid w:val="005E174C"/>
    <w:rsid w:val="005E1864"/>
    <w:rsid w:val="005E18DD"/>
    <w:rsid w:val="005E1A39"/>
    <w:rsid w:val="005E1BAB"/>
    <w:rsid w:val="005E1D97"/>
    <w:rsid w:val="005E1F3C"/>
    <w:rsid w:val="005E2054"/>
    <w:rsid w:val="005E2286"/>
    <w:rsid w:val="005E230C"/>
    <w:rsid w:val="005E2350"/>
    <w:rsid w:val="005E2405"/>
    <w:rsid w:val="005E241C"/>
    <w:rsid w:val="005E2B39"/>
    <w:rsid w:val="005E2B93"/>
    <w:rsid w:val="005E2CE5"/>
    <w:rsid w:val="005E2D6E"/>
    <w:rsid w:val="005E2DEF"/>
    <w:rsid w:val="005E319F"/>
    <w:rsid w:val="005E323D"/>
    <w:rsid w:val="005E3400"/>
    <w:rsid w:val="005E35F6"/>
    <w:rsid w:val="005E36B3"/>
    <w:rsid w:val="005E381D"/>
    <w:rsid w:val="005E3B00"/>
    <w:rsid w:val="005E3D29"/>
    <w:rsid w:val="005E3DB3"/>
    <w:rsid w:val="005E3E4B"/>
    <w:rsid w:val="005E41E5"/>
    <w:rsid w:val="005E4296"/>
    <w:rsid w:val="005E4299"/>
    <w:rsid w:val="005E4328"/>
    <w:rsid w:val="005E449F"/>
    <w:rsid w:val="005E457C"/>
    <w:rsid w:val="005E492C"/>
    <w:rsid w:val="005E4A4C"/>
    <w:rsid w:val="005E4AC9"/>
    <w:rsid w:val="005E4DDD"/>
    <w:rsid w:val="005E5163"/>
    <w:rsid w:val="005E5248"/>
    <w:rsid w:val="005E549F"/>
    <w:rsid w:val="005E550E"/>
    <w:rsid w:val="005E565B"/>
    <w:rsid w:val="005E5688"/>
    <w:rsid w:val="005E591A"/>
    <w:rsid w:val="005E5C5E"/>
    <w:rsid w:val="005E5CC7"/>
    <w:rsid w:val="005E5EC5"/>
    <w:rsid w:val="005E61BB"/>
    <w:rsid w:val="005E63A6"/>
    <w:rsid w:val="005E67FB"/>
    <w:rsid w:val="005E6945"/>
    <w:rsid w:val="005E6D52"/>
    <w:rsid w:val="005E6DA8"/>
    <w:rsid w:val="005E6E12"/>
    <w:rsid w:val="005E71BD"/>
    <w:rsid w:val="005E72AA"/>
    <w:rsid w:val="005E74DA"/>
    <w:rsid w:val="005E752F"/>
    <w:rsid w:val="005E76DA"/>
    <w:rsid w:val="005E7C69"/>
    <w:rsid w:val="005E7D8D"/>
    <w:rsid w:val="005E7EF6"/>
    <w:rsid w:val="005F015E"/>
    <w:rsid w:val="005F0220"/>
    <w:rsid w:val="005F05A3"/>
    <w:rsid w:val="005F0700"/>
    <w:rsid w:val="005F0C3C"/>
    <w:rsid w:val="005F111D"/>
    <w:rsid w:val="005F1404"/>
    <w:rsid w:val="005F17CF"/>
    <w:rsid w:val="005F17EC"/>
    <w:rsid w:val="005F1BE1"/>
    <w:rsid w:val="005F1C2F"/>
    <w:rsid w:val="005F1C4F"/>
    <w:rsid w:val="005F1D9E"/>
    <w:rsid w:val="005F1DD3"/>
    <w:rsid w:val="005F1F0A"/>
    <w:rsid w:val="005F1F0F"/>
    <w:rsid w:val="005F2080"/>
    <w:rsid w:val="005F2402"/>
    <w:rsid w:val="005F241D"/>
    <w:rsid w:val="005F2449"/>
    <w:rsid w:val="005F25AC"/>
    <w:rsid w:val="005F25F8"/>
    <w:rsid w:val="005F276A"/>
    <w:rsid w:val="005F2C27"/>
    <w:rsid w:val="005F2C39"/>
    <w:rsid w:val="005F2C9C"/>
    <w:rsid w:val="005F3175"/>
    <w:rsid w:val="005F3267"/>
    <w:rsid w:val="005F3415"/>
    <w:rsid w:val="005F349F"/>
    <w:rsid w:val="005F34BC"/>
    <w:rsid w:val="005F36FC"/>
    <w:rsid w:val="005F3A24"/>
    <w:rsid w:val="005F3B08"/>
    <w:rsid w:val="005F3E88"/>
    <w:rsid w:val="005F3FCB"/>
    <w:rsid w:val="005F4234"/>
    <w:rsid w:val="005F425F"/>
    <w:rsid w:val="005F4638"/>
    <w:rsid w:val="005F4677"/>
    <w:rsid w:val="005F486A"/>
    <w:rsid w:val="005F4A72"/>
    <w:rsid w:val="005F4C59"/>
    <w:rsid w:val="005F4C72"/>
    <w:rsid w:val="005F4CDE"/>
    <w:rsid w:val="005F4DBC"/>
    <w:rsid w:val="005F5059"/>
    <w:rsid w:val="005F505C"/>
    <w:rsid w:val="005F5345"/>
    <w:rsid w:val="005F551F"/>
    <w:rsid w:val="005F5522"/>
    <w:rsid w:val="005F56D6"/>
    <w:rsid w:val="005F57FC"/>
    <w:rsid w:val="005F59BF"/>
    <w:rsid w:val="005F5CBA"/>
    <w:rsid w:val="005F5DDD"/>
    <w:rsid w:val="005F606C"/>
    <w:rsid w:val="005F626E"/>
    <w:rsid w:val="005F6560"/>
    <w:rsid w:val="005F673D"/>
    <w:rsid w:val="005F68E3"/>
    <w:rsid w:val="005F68FD"/>
    <w:rsid w:val="005F69B6"/>
    <w:rsid w:val="005F6A0D"/>
    <w:rsid w:val="005F6B6F"/>
    <w:rsid w:val="005F6FF2"/>
    <w:rsid w:val="005F71A3"/>
    <w:rsid w:val="005F71B3"/>
    <w:rsid w:val="005F72A5"/>
    <w:rsid w:val="005F782E"/>
    <w:rsid w:val="005F79F7"/>
    <w:rsid w:val="005F7D10"/>
    <w:rsid w:val="006004F3"/>
    <w:rsid w:val="006006DC"/>
    <w:rsid w:val="0060072A"/>
    <w:rsid w:val="00600A82"/>
    <w:rsid w:val="00600AD2"/>
    <w:rsid w:val="00600ED6"/>
    <w:rsid w:val="00600F3F"/>
    <w:rsid w:val="00601253"/>
    <w:rsid w:val="00601381"/>
    <w:rsid w:val="0060152E"/>
    <w:rsid w:val="006016A4"/>
    <w:rsid w:val="006018BC"/>
    <w:rsid w:val="006019FD"/>
    <w:rsid w:val="00601F7A"/>
    <w:rsid w:val="006020DA"/>
    <w:rsid w:val="0060250B"/>
    <w:rsid w:val="00602A59"/>
    <w:rsid w:val="00602C81"/>
    <w:rsid w:val="00602F0C"/>
    <w:rsid w:val="00602F83"/>
    <w:rsid w:val="00602FE0"/>
    <w:rsid w:val="00603158"/>
    <w:rsid w:val="00603371"/>
    <w:rsid w:val="0060369D"/>
    <w:rsid w:val="006037C2"/>
    <w:rsid w:val="006038A1"/>
    <w:rsid w:val="00603AC5"/>
    <w:rsid w:val="00603EF0"/>
    <w:rsid w:val="006040A8"/>
    <w:rsid w:val="0060417E"/>
    <w:rsid w:val="006041E5"/>
    <w:rsid w:val="00604274"/>
    <w:rsid w:val="006043EE"/>
    <w:rsid w:val="0060463B"/>
    <w:rsid w:val="00604687"/>
    <w:rsid w:val="0060476D"/>
    <w:rsid w:val="006049C8"/>
    <w:rsid w:val="00604BE2"/>
    <w:rsid w:val="00604D02"/>
    <w:rsid w:val="00604FA5"/>
    <w:rsid w:val="006050AC"/>
    <w:rsid w:val="00605200"/>
    <w:rsid w:val="00605499"/>
    <w:rsid w:val="006056E3"/>
    <w:rsid w:val="00605A7F"/>
    <w:rsid w:val="00605C34"/>
    <w:rsid w:val="0060601B"/>
    <w:rsid w:val="006062E5"/>
    <w:rsid w:val="00606599"/>
    <w:rsid w:val="00606DD7"/>
    <w:rsid w:val="00607423"/>
    <w:rsid w:val="00607716"/>
    <w:rsid w:val="00607857"/>
    <w:rsid w:val="00607880"/>
    <w:rsid w:val="006078F2"/>
    <w:rsid w:val="006078FB"/>
    <w:rsid w:val="00607BEF"/>
    <w:rsid w:val="00607D9F"/>
    <w:rsid w:val="00610185"/>
    <w:rsid w:val="006107DB"/>
    <w:rsid w:val="006108B4"/>
    <w:rsid w:val="00611019"/>
    <w:rsid w:val="0061144B"/>
    <w:rsid w:val="006116F2"/>
    <w:rsid w:val="006116FA"/>
    <w:rsid w:val="00611BEC"/>
    <w:rsid w:val="00612431"/>
    <w:rsid w:val="006128E5"/>
    <w:rsid w:val="0061293D"/>
    <w:rsid w:val="00612AE1"/>
    <w:rsid w:val="00612B57"/>
    <w:rsid w:val="00612C4E"/>
    <w:rsid w:val="00612E84"/>
    <w:rsid w:val="006130B9"/>
    <w:rsid w:val="0061329C"/>
    <w:rsid w:val="006132FD"/>
    <w:rsid w:val="00613666"/>
    <w:rsid w:val="006138D8"/>
    <w:rsid w:val="00613AD6"/>
    <w:rsid w:val="00613E99"/>
    <w:rsid w:val="006146C8"/>
    <w:rsid w:val="006149D2"/>
    <w:rsid w:val="00614C3B"/>
    <w:rsid w:val="00614C4D"/>
    <w:rsid w:val="00614C96"/>
    <w:rsid w:val="00614ECB"/>
    <w:rsid w:val="00615161"/>
    <w:rsid w:val="00615752"/>
    <w:rsid w:val="00615FC0"/>
    <w:rsid w:val="0061613C"/>
    <w:rsid w:val="00616368"/>
    <w:rsid w:val="0061636B"/>
    <w:rsid w:val="0061653B"/>
    <w:rsid w:val="00616671"/>
    <w:rsid w:val="00616AE0"/>
    <w:rsid w:val="00616D26"/>
    <w:rsid w:val="00616DA6"/>
    <w:rsid w:val="00616DCF"/>
    <w:rsid w:val="00616F21"/>
    <w:rsid w:val="00616F6C"/>
    <w:rsid w:val="00616F97"/>
    <w:rsid w:val="00617182"/>
    <w:rsid w:val="00617332"/>
    <w:rsid w:val="00617351"/>
    <w:rsid w:val="0061744A"/>
    <w:rsid w:val="00617840"/>
    <w:rsid w:val="0061784C"/>
    <w:rsid w:val="00617C7A"/>
    <w:rsid w:val="00617E7F"/>
    <w:rsid w:val="00617FBD"/>
    <w:rsid w:val="0062003B"/>
    <w:rsid w:val="0062033A"/>
    <w:rsid w:val="006203B9"/>
    <w:rsid w:val="00620468"/>
    <w:rsid w:val="0062066C"/>
    <w:rsid w:val="006206E2"/>
    <w:rsid w:val="00620702"/>
    <w:rsid w:val="006207C9"/>
    <w:rsid w:val="00620901"/>
    <w:rsid w:val="00620984"/>
    <w:rsid w:val="0062099D"/>
    <w:rsid w:val="00620B0C"/>
    <w:rsid w:val="00620BCD"/>
    <w:rsid w:val="00620CDE"/>
    <w:rsid w:val="00620D6A"/>
    <w:rsid w:val="00620ECB"/>
    <w:rsid w:val="00620ED0"/>
    <w:rsid w:val="00621218"/>
    <w:rsid w:val="00621301"/>
    <w:rsid w:val="00621521"/>
    <w:rsid w:val="00621776"/>
    <w:rsid w:val="00621F62"/>
    <w:rsid w:val="00622316"/>
    <w:rsid w:val="00622358"/>
    <w:rsid w:val="0062259C"/>
    <w:rsid w:val="00622808"/>
    <w:rsid w:val="0062284B"/>
    <w:rsid w:val="00622912"/>
    <w:rsid w:val="00622C36"/>
    <w:rsid w:val="00622CE6"/>
    <w:rsid w:val="00622D62"/>
    <w:rsid w:val="00622F78"/>
    <w:rsid w:val="006236A8"/>
    <w:rsid w:val="00623796"/>
    <w:rsid w:val="00623B61"/>
    <w:rsid w:val="00623BF9"/>
    <w:rsid w:val="00623DF4"/>
    <w:rsid w:val="00623EDA"/>
    <w:rsid w:val="00623F42"/>
    <w:rsid w:val="00623FC2"/>
    <w:rsid w:val="00624124"/>
    <w:rsid w:val="00624271"/>
    <w:rsid w:val="00624458"/>
    <w:rsid w:val="00624A61"/>
    <w:rsid w:val="00624AD8"/>
    <w:rsid w:val="00624B25"/>
    <w:rsid w:val="0062519F"/>
    <w:rsid w:val="00625D38"/>
    <w:rsid w:val="00625ECB"/>
    <w:rsid w:val="006260A5"/>
    <w:rsid w:val="006261AC"/>
    <w:rsid w:val="006262B1"/>
    <w:rsid w:val="00626369"/>
    <w:rsid w:val="006266BB"/>
    <w:rsid w:val="0062691F"/>
    <w:rsid w:val="00626AEE"/>
    <w:rsid w:val="00626CE5"/>
    <w:rsid w:val="00626D1A"/>
    <w:rsid w:val="00626D29"/>
    <w:rsid w:val="00626E72"/>
    <w:rsid w:val="00626E7B"/>
    <w:rsid w:val="00626FD7"/>
    <w:rsid w:val="00626FEF"/>
    <w:rsid w:val="006270C0"/>
    <w:rsid w:val="0062728A"/>
    <w:rsid w:val="006274AD"/>
    <w:rsid w:val="0062759B"/>
    <w:rsid w:val="00627657"/>
    <w:rsid w:val="0062772B"/>
    <w:rsid w:val="00627989"/>
    <w:rsid w:val="00627A21"/>
    <w:rsid w:val="00627ED4"/>
    <w:rsid w:val="00627FB8"/>
    <w:rsid w:val="00630214"/>
    <w:rsid w:val="006302B6"/>
    <w:rsid w:val="00630368"/>
    <w:rsid w:val="0063037A"/>
    <w:rsid w:val="00630661"/>
    <w:rsid w:val="006307EA"/>
    <w:rsid w:val="00630C1F"/>
    <w:rsid w:val="00630D5B"/>
    <w:rsid w:val="0063110C"/>
    <w:rsid w:val="0063121F"/>
    <w:rsid w:val="00631AF8"/>
    <w:rsid w:val="00631D8B"/>
    <w:rsid w:val="006321EC"/>
    <w:rsid w:val="00632308"/>
    <w:rsid w:val="00632856"/>
    <w:rsid w:val="00632873"/>
    <w:rsid w:val="00632944"/>
    <w:rsid w:val="0063295D"/>
    <w:rsid w:val="00632BAB"/>
    <w:rsid w:val="00632CF3"/>
    <w:rsid w:val="00632D05"/>
    <w:rsid w:val="00632F4E"/>
    <w:rsid w:val="00632F6F"/>
    <w:rsid w:val="0063303C"/>
    <w:rsid w:val="0063348A"/>
    <w:rsid w:val="006334F9"/>
    <w:rsid w:val="00633715"/>
    <w:rsid w:val="006339C1"/>
    <w:rsid w:val="00633B6D"/>
    <w:rsid w:val="00633C8F"/>
    <w:rsid w:val="00633D93"/>
    <w:rsid w:val="00633F1A"/>
    <w:rsid w:val="0063411F"/>
    <w:rsid w:val="00634224"/>
    <w:rsid w:val="00634360"/>
    <w:rsid w:val="00634619"/>
    <w:rsid w:val="00634CCF"/>
    <w:rsid w:val="00634CFF"/>
    <w:rsid w:val="00635036"/>
    <w:rsid w:val="00635439"/>
    <w:rsid w:val="0063557B"/>
    <w:rsid w:val="0063561B"/>
    <w:rsid w:val="00635723"/>
    <w:rsid w:val="00635762"/>
    <w:rsid w:val="006359C9"/>
    <w:rsid w:val="00635CAE"/>
    <w:rsid w:val="00635DD5"/>
    <w:rsid w:val="0063641E"/>
    <w:rsid w:val="006364B3"/>
    <w:rsid w:val="00636CBF"/>
    <w:rsid w:val="00636D08"/>
    <w:rsid w:val="00636D41"/>
    <w:rsid w:val="00636F68"/>
    <w:rsid w:val="006371CB"/>
    <w:rsid w:val="006374C2"/>
    <w:rsid w:val="006379D7"/>
    <w:rsid w:val="00637A9C"/>
    <w:rsid w:val="00637AA3"/>
    <w:rsid w:val="00637B06"/>
    <w:rsid w:val="00637B7F"/>
    <w:rsid w:val="00637C07"/>
    <w:rsid w:val="00637E72"/>
    <w:rsid w:val="00637FC6"/>
    <w:rsid w:val="00637FE4"/>
    <w:rsid w:val="00640160"/>
    <w:rsid w:val="0064040B"/>
    <w:rsid w:val="0064045B"/>
    <w:rsid w:val="0064069F"/>
    <w:rsid w:val="00640732"/>
    <w:rsid w:val="00640773"/>
    <w:rsid w:val="0064094D"/>
    <w:rsid w:val="0064099D"/>
    <w:rsid w:val="006409A0"/>
    <w:rsid w:val="00640A88"/>
    <w:rsid w:val="00640C7C"/>
    <w:rsid w:val="00641026"/>
    <w:rsid w:val="006411E1"/>
    <w:rsid w:val="00641A61"/>
    <w:rsid w:val="00641A93"/>
    <w:rsid w:val="00641AF0"/>
    <w:rsid w:val="00641E2C"/>
    <w:rsid w:val="00641FAE"/>
    <w:rsid w:val="006420AA"/>
    <w:rsid w:val="00642269"/>
    <w:rsid w:val="0064229A"/>
    <w:rsid w:val="0064249D"/>
    <w:rsid w:val="00642626"/>
    <w:rsid w:val="00642753"/>
    <w:rsid w:val="0064284A"/>
    <w:rsid w:val="006429A9"/>
    <w:rsid w:val="00642A30"/>
    <w:rsid w:val="00642B5C"/>
    <w:rsid w:val="00642C4E"/>
    <w:rsid w:val="00642D07"/>
    <w:rsid w:val="00642D0F"/>
    <w:rsid w:val="00642D3D"/>
    <w:rsid w:val="0064306A"/>
    <w:rsid w:val="0064312B"/>
    <w:rsid w:val="00643342"/>
    <w:rsid w:val="006434E7"/>
    <w:rsid w:val="00643687"/>
    <w:rsid w:val="006438A7"/>
    <w:rsid w:val="0064397B"/>
    <w:rsid w:val="00643AAB"/>
    <w:rsid w:val="00643B63"/>
    <w:rsid w:val="00643BCD"/>
    <w:rsid w:val="00643CFB"/>
    <w:rsid w:val="00643DF3"/>
    <w:rsid w:val="00644281"/>
    <w:rsid w:val="0064465D"/>
    <w:rsid w:val="00644BF5"/>
    <w:rsid w:val="00644C9F"/>
    <w:rsid w:val="006450CB"/>
    <w:rsid w:val="006452D7"/>
    <w:rsid w:val="00645428"/>
    <w:rsid w:val="006454C5"/>
    <w:rsid w:val="0064573B"/>
    <w:rsid w:val="00645763"/>
    <w:rsid w:val="006458EF"/>
    <w:rsid w:val="00645BA9"/>
    <w:rsid w:val="00645DC6"/>
    <w:rsid w:val="00646193"/>
    <w:rsid w:val="006461B5"/>
    <w:rsid w:val="00646704"/>
    <w:rsid w:val="006467D1"/>
    <w:rsid w:val="00646952"/>
    <w:rsid w:val="00646AE8"/>
    <w:rsid w:val="00646CD6"/>
    <w:rsid w:val="006473F2"/>
    <w:rsid w:val="0064747D"/>
    <w:rsid w:val="0064752F"/>
    <w:rsid w:val="0064758A"/>
    <w:rsid w:val="00647606"/>
    <w:rsid w:val="0064779E"/>
    <w:rsid w:val="0064790A"/>
    <w:rsid w:val="00647B7A"/>
    <w:rsid w:val="00647C14"/>
    <w:rsid w:val="006502AB"/>
    <w:rsid w:val="0065033A"/>
    <w:rsid w:val="006503B7"/>
    <w:rsid w:val="006504B6"/>
    <w:rsid w:val="0065056F"/>
    <w:rsid w:val="006506DD"/>
    <w:rsid w:val="0065075D"/>
    <w:rsid w:val="00650822"/>
    <w:rsid w:val="006509C5"/>
    <w:rsid w:val="00650AD7"/>
    <w:rsid w:val="00650B97"/>
    <w:rsid w:val="00650D4C"/>
    <w:rsid w:val="00650D7B"/>
    <w:rsid w:val="00650DEA"/>
    <w:rsid w:val="006511D3"/>
    <w:rsid w:val="0065125B"/>
    <w:rsid w:val="00651387"/>
    <w:rsid w:val="006514AE"/>
    <w:rsid w:val="00651662"/>
    <w:rsid w:val="006518E8"/>
    <w:rsid w:val="00651C84"/>
    <w:rsid w:val="00651DE7"/>
    <w:rsid w:val="00651FDB"/>
    <w:rsid w:val="00651FFA"/>
    <w:rsid w:val="00652012"/>
    <w:rsid w:val="0065204B"/>
    <w:rsid w:val="0065205E"/>
    <w:rsid w:val="006521E5"/>
    <w:rsid w:val="006521F5"/>
    <w:rsid w:val="006523E8"/>
    <w:rsid w:val="0065285F"/>
    <w:rsid w:val="00652CD4"/>
    <w:rsid w:val="00652D0D"/>
    <w:rsid w:val="00652D60"/>
    <w:rsid w:val="00652D6D"/>
    <w:rsid w:val="00652DD8"/>
    <w:rsid w:val="00652EFB"/>
    <w:rsid w:val="00652F61"/>
    <w:rsid w:val="00653009"/>
    <w:rsid w:val="00653046"/>
    <w:rsid w:val="00653245"/>
    <w:rsid w:val="00653279"/>
    <w:rsid w:val="0065335D"/>
    <w:rsid w:val="006534BB"/>
    <w:rsid w:val="006538D8"/>
    <w:rsid w:val="00653CCA"/>
    <w:rsid w:val="00653D7B"/>
    <w:rsid w:val="00653F33"/>
    <w:rsid w:val="00654020"/>
    <w:rsid w:val="00654158"/>
    <w:rsid w:val="006541FC"/>
    <w:rsid w:val="00654259"/>
    <w:rsid w:val="00654696"/>
    <w:rsid w:val="0065499E"/>
    <w:rsid w:val="00654ACA"/>
    <w:rsid w:val="00654E02"/>
    <w:rsid w:val="006554B9"/>
    <w:rsid w:val="006556B2"/>
    <w:rsid w:val="006559C0"/>
    <w:rsid w:val="00655AF6"/>
    <w:rsid w:val="00655D9E"/>
    <w:rsid w:val="00655EB6"/>
    <w:rsid w:val="006561EC"/>
    <w:rsid w:val="006566F6"/>
    <w:rsid w:val="00656929"/>
    <w:rsid w:val="00656967"/>
    <w:rsid w:val="00656D26"/>
    <w:rsid w:val="00656DB5"/>
    <w:rsid w:val="00656DD5"/>
    <w:rsid w:val="00657199"/>
    <w:rsid w:val="006571EC"/>
    <w:rsid w:val="0065741C"/>
    <w:rsid w:val="00657534"/>
    <w:rsid w:val="006576C3"/>
    <w:rsid w:val="00657715"/>
    <w:rsid w:val="006578AF"/>
    <w:rsid w:val="006579A4"/>
    <w:rsid w:val="00657B66"/>
    <w:rsid w:val="00657B9C"/>
    <w:rsid w:val="00657C19"/>
    <w:rsid w:val="00657CE0"/>
    <w:rsid w:val="0066005E"/>
    <w:rsid w:val="006600F4"/>
    <w:rsid w:val="00660223"/>
    <w:rsid w:val="00660343"/>
    <w:rsid w:val="00660345"/>
    <w:rsid w:val="00660374"/>
    <w:rsid w:val="006603BE"/>
    <w:rsid w:val="0066041A"/>
    <w:rsid w:val="00660635"/>
    <w:rsid w:val="006606D0"/>
    <w:rsid w:val="00660938"/>
    <w:rsid w:val="00660D7B"/>
    <w:rsid w:val="00660E2F"/>
    <w:rsid w:val="0066138C"/>
    <w:rsid w:val="00661576"/>
    <w:rsid w:val="006617E5"/>
    <w:rsid w:val="0066182F"/>
    <w:rsid w:val="00661A21"/>
    <w:rsid w:val="00661A32"/>
    <w:rsid w:val="00661F7D"/>
    <w:rsid w:val="006622FA"/>
    <w:rsid w:val="0066276A"/>
    <w:rsid w:val="00662B55"/>
    <w:rsid w:val="00662CCF"/>
    <w:rsid w:val="00662CD5"/>
    <w:rsid w:val="00662E25"/>
    <w:rsid w:val="00662E4D"/>
    <w:rsid w:val="006634C8"/>
    <w:rsid w:val="006636BA"/>
    <w:rsid w:val="006637A6"/>
    <w:rsid w:val="006638A7"/>
    <w:rsid w:val="00663E50"/>
    <w:rsid w:val="00663F35"/>
    <w:rsid w:val="00663F73"/>
    <w:rsid w:val="00663F94"/>
    <w:rsid w:val="00664442"/>
    <w:rsid w:val="0066448F"/>
    <w:rsid w:val="006644E3"/>
    <w:rsid w:val="0066451C"/>
    <w:rsid w:val="00664683"/>
    <w:rsid w:val="0066496B"/>
    <w:rsid w:val="00664BA9"/>
    <w:rsid w:val="00664CB0"/>
    <w:rsid w:val="00664EB4"/>
    <w:rsid w:val="00664EEE"/>
    <w:rsid w:val="0066520C"/>
    <w:rsid w:val="00665569"/>
    <w:rsid w:val="006658D4"/>
    <w:rsid w:val="00665C12"/>
    <w:rsid w:val="00665C84"/>
    <w:rsid w:val="00665CDF"/>
    <w:rsid w:val="00665F64"/>
    <w:rsid w:val="006660CF"/>
    <w:rsid w:val="006660DF"/>
    <w:rsid w:val="0066638F"/>
    <w:rsid w:val="00666782"/>
    <w:rsid w:val="00666804"/>
    <w:rsid w:val="00666863"/>
    <w:rsid w:val="00666C6E"/>
    <w:rsid w:val="00666E19"/>
    <w:rsid w:val="00666F1F"/>
    <w:rsid w:val="00667092"/>
    <w:rsid w:val="006677B2"/>
    <w:rsid w:val="00667B5A"/>
    <w:rsid w:val="00667C05"/>
    <w:rsid w:val="00667D51"/>
    <w:rsid w:val="00667DDC"/>
    <w:rsid w:val="00667DF4"/>
    <w:rsid w:val="00667E3A"/>
    <w:rsid w:val="00667F7C"/>
    <w:rsid w:val="00667F87"/>
    <w:rsid w:val="0067020D"/>
    <w:rsid w:val="0067035E"/>
    <w:rsid w:val="0067079C"/>
    <w:rsid w:val="0067081B"/>
    <w:rsid w:val="00670B16"/>
    <w:rsid w:val="00670D1C"/>
    <w:rsid w:val="00670D33"/>
    <w:rsid w:val="00670DF2"/>
    <w:rsid w:val="00670F3D"/>
    <w:rsid w:val="00671064"/>
    <w:rsid w:val="006710F5"/>
    <w:rsid w:val="006712F5"/>
    <w:rsid w:val="00671380"/>
    <w:rsid w:val="006715E2"/>
    <w:rsid w:val="006718D4"/>
    <w:rsid w:val="00671955"/>
    <w:rsid w:val="00671A08"/>
    <w:rsid w:val="00671BAC"/>
    <w:rsid w:val="00671D7B"/>
    <w:rsid w:val="0067225E"/>
    <w:rsid w:val="0067226F"/>
    <w:rsid w:val="00672521"/>
    <w:rsid w:val="006725F2"/>
    <w:rsid w:val="0067274B"/>
    <w:rsid w:val="00672869"/>
    <w:rsid w:val="00672A6D"/>
    <w:rsid w:val="00672AA8"/>
    <w:rsid w:val="00672EAB"/>
    <w:rsid w:val="00672F6B"/>
    <w:rsid w:val="00672FC5"/>
    <w:rsid w:val="0067313A"/>
    <w:rsid w:val="00673163"/>
    <w:rsid w:val="00673229"/>
    <w:rsid w:val="0067327F"/>
    <w:rsid w:val="006736A5"/>
    <w:rsid w:val="00673A5A"/>
    <w:rsid w:val="00673AD8"/>
    <w:rsid w:val="00673D70"/>
    <w:rsid w:val="00673EAE"/>
    <w:rsid w:val="0067416F"/>
    <w:rsid w:val="006747BD"/>
    <w:rsid w:val="006748A0"/>
    <w:rsid w:val="006748A7"/>
    <w:rsid w:val="00674D6A"/>
    <w:rsid w:val="0067511D"/>
    <w:rsid w:val="006751BA"/>
    <w:rsid w:val="006752A2"/>
    <w:rsid w:val="0067563F"/>
    <w:rsid w:val="006756B0"/>
    <w:rsid w:val="006756C7"/>
    <w:rsid w:val="006758BC"/>
    <w:rsid w:val="0067594D"/>
    <w:rsid w:val="006759DD"/>
    <w:rsid w:val="00675C2F"/>
    <w:rsid w:val="00675C70"/>
    <w:rsid w:val="00675EA2"/>
    <w:rsid w:val="00676105"/>
    <w:rsid w:val="00676114"/>
    <w:rsid w:val="006763BB"/>
    <w:rsid w:val="006764C6"/>
    <w:rsid w:val="006766E7"/>
    <w:rsid w:val="00676A34"/>
    <w:rsid w:val="00676A70"/>
    <w:rsid w:val="00676D9F"/>
    <w:rsid w:val="00676FA6"/>
    <w:rsid w:val="0067708D"/>
    <w:rsid w:val="00677838"/>
    <w:rsid w:val="00677ABD"/>
    <w:rsid w:val="00677BD0"/>
    <w:rsid w:val="00677EC5"/>
    <w:rsid w:val="00677EC7"/>
    <w:rsid w:val="00677F0B"/>
    <w:rsid w:val="0068002A"/>
    <w:rsid w:val="00680323"/>
    <w:rsid w:val="0068047B"/>
    <w:rsid w:val="006807E1"/>
    <w:rsid w:val="00680BD7"/>
    <w:rsid w:val="00681209"/>
    <w:rsid w:val="006812CF"/>
    <w:rsid w:val="006812FC"/>
    <w:rsid w:val="006815A9"/>
    <w:rsid w:val="00681791"/>
    <w:rsid w:val="00681869"/>
    <w:rsid w:val="00681B19"/>
    <w:rsid w:val="00681B80"/>
    <w:rsid w:val="00681C9D"/>
    <w:rsid w:val="00681D65"/>
    <w:rsid w:val="00682433"/>
    <w:rsid w:val="00682644"/>
    <w:rsid w:val="0068278D"/>
    <w:rsid w:val="00682823"/>
    <w:rsid w:val="00682995"/>
    <w:rsid w:val="006829E3"/>
    <w:rsid w:val="00682ADD"/>
    <w:rsid w:val="00682B54"/>
    <w:rsid w:val="00682E58"/>
    <w:rsid w:val="00683030"/>
    <w:rsid w:val="0068308F"/>
    <w:rsid w:val="00683127"/>
    <w:rsid w:val="0068314F"/>
    <w:rsid w:val="006831AB"/>
    <w:rsid w:val="006831B1"/>
    <w:rsid w:val="006831FA"/>
    <w:rsid w:val="0068321F"/>
    <w:rsid w:val="0068339B"/>
    <w:rsid w:val="006834D6"/>
    <w:rsid w:val="0068388F"/>
    <w:rsid w:val="00683AAF"/>
    <w:rsid w:val="00683B2A"/>
    <w:rsid w:val="00683D0E"/>
    <w:rsid w:val="00683F02"/>
    <w:rsid w:val="00683F6D"/>
    <w:rsid w:val="00684918"/>
    <w:rsid w:val="00684B38"/>
    <w:rsid w:val="00684C86"/>
    <w:rsid w:val="00684E34"/>
    <w:rsid w:val="00684E87"/>
    <w:rsid w:val="00684ECE"/>
    <w:rsid w:val="00684FEA"/>
    <w:rsid w:val="0068504C"/>
    <w:rsid w:val="0068515D"/>
    <w:rsid w:val="006851B6"/>
    <w:rsid w:val="006851F2"/>
    <w:rsid w:val="006857E7"/>
    <w:rsid w:val="00685899"/>
    <w:rsid w:val="00685B33"/>
    <w:rsid w:val="00685C64"/>
    <w:rsid w:val="00685D4A"/>
    <w:rsid w:val="00685E55"/>
    <w:rsid w:val="00686693"/>
    <w:rsid w:val="00686867"/>
    <w:rsid w:val="00686B67"/>
    <w:rsid w:val="00686C4F"/>
    <w:rsid w:val="00686CB0"/>
    <w:rsid w:val="00687492"/>
    <w:rsid w:val="00687AF5"/>
    <w:rsid w:val="00687CE1"/>
    <w:rsid w:val="00687E73"/>
    <w:rsid w:val="0069006A"/>
    <w:rsid w:val="006901C0"/>
    <w:rsid w:val="006901C5"/>
    <w:rsid w:val="00690359"/>
    <w:rsid w:val="00690437"/>
    <w:rsid w:val="0069043B"/>
    <w:rsid w:val="006904AC"/>
    <w:rsid w:val="00690A0C"/>
    <w:rsid w:val="00690B91"/>
    <w:rsid w:val="00690C78"/>
    <w:rsid w:val="00690E06"/>
    <w:rsid w:val="00690F22"/>
    <w:rsid w:val="00690F7D"/>
    <w:rsid w:val="006913D8"/>
    <w:rsid w:val="00691432"/>
    <w:rsid w:val="006919D4"/>
    <w:rsid w:val="00691D3E"/>
    <w:rsid w:val="00691DB4"/>
    <w:rsid w:val="00691DE9"/>
    <w:rsid w:val="00692194"/>
    <w:rsid w:val="00692390"/>
    <w:rsid w:val="00692443"/>
    <w:rsid w:val="0069253A"/>
    <w:rsid w:val="006928EF"/>
    <w:rsid w:val="006929C3"/>
    <w:rsid w:val="00692B1A"/>
    <w:rsid w:val="00692CC1"/>
    <w:rsid w:val="00692CC7"/>
    <w:rsid w:val="00692E3F"/>
    <w:rsid w:val="00693223"/>
    <w:rsid w:val="00693879"/>
    <w:rsid w:val="00693E29"/>
    <w:rsid w:val="00693E98"/>
    <w:rsid w:val="00693F8A"/>
    <w:rsid w:val="00693FB8"/>
    <w:rsid w:val="0069415E"/>
    <w:rsid w:val="006942FC"/>
    <w:rsid w:val="0069456B"/>
    <w:rsid w:val="0069469A"/>
    <w:rsid w:val="0069474B"/>
    <w:rsid w:val="0069485E"/>
    <w:rsid w:val="006948A1"/>
    <w:rsid w:val="006949C5"/>
    <w:rsid w:val="00694ADF"/>
    <w:rsid w:val="00694B7D"/>
    <w:rsid w:val="00694BE2"/>
    <w:rsid w:val="00694D99"/>
    <w:rsid w:val="006952E6"/>
    <w:rsid w:val="006955DA"/>
    <w:rsid w:val="00695689"/>
    <w:rsid w:val="0069571B"/>
    <w:rsid w:val="00695AE3"/>
    <w:rsid w:val="00695DFD"/>
    <w:rsid w:val="00695E45"/>
    <w:rsid w:val="006960B0"/>
    <w:rsid w:val="006960C4"/>
    <w:rsid w:val="006967BE"/>
    <w:rsid w:val="00696C9E"/>
    <w:rsid w:val="00696F9B"/>
    <w:rsid w:val="00697164"/>
    <w:rsid w:val="00697184"/>
    <w:rsid w:val="00697865"/>
    <w:rsid w:val="00697ABE"/>
    <w:rsid w:val="00697C57"/>
    <w:rsid w:val="00697C8A"/>
    <w:rsid w:val="00697D65"/>
    <w:rsid w:val="00697F0B"/>
    <w:rsid w:val="006A001E"/>
    <w:rsid w:val="006A0320"/>
    <w:rsid w:val="006A036A"/>
    <w:rsid w:val="006A038C"/>
    <w:rsid w:val="006A0895"/>
    <w:rsid w:val="006A0BB0"/>
    <w:rsid w:val="006A0DE6"/>
    <w:rsid w:val="006A1016"/>
    <w:rsid w:val="006A1235"/>
    <w:rsid w:val="006A128F"/>
    <w:rsid w:val="006A1563"/>
    <w:rsid w:val="006A1812"/>
    <w:rsid w:val="006A18D2"/>
    <w:rsid w:val="006A1937"/>
    <w:rsid w:val="006A1ABD"/>
    <w:rsid w:val="006A1C63"/>
    <w:rsid w:val="006A1E12"/>
    <w:rsid w:val="006A2083"/>
    <w:rsid w:val="006A245C"/>
    <w:rsid w:val="006A2601"/>
    <w:rsid w:val="006A261B"/>
    <w:rsid w:val="006A27C9"/>
    <w:rsid w:val="006A2986"/>
    <w:rsid w:val="006A2A2F"/>
    <w:rsid w:val="006A2B8D"/>
    <w:rsid w:val="006A2CBB"/>
    <w:rsid w:val="006A2DFA"/>
    <w:rsid w:val="006A2E28"/>
    <w:rsid w:val="006A3026"/>
    <w:rsid w:val="006A3493"/>
    <w:rsid w:val="006A36E8"/>
    <w:rsid w:val="006A3701"/>
    <w:rsid w:val="006A37DE"/>
    <w:rsid w:val="006A38EF"/>
    <w:rsid w:val="006A3A4C"/>
    <w:rsid w:val="006A3B33"/>
    <w:rsid w:val="006A3DCB"/>
    <w:rsid w:val="006A40F0"/>
    <w:rsid w:val="006A4101"/>
    <w:rsid w:val="006A4109"/>
    <w:rsid w:val="006A4DD2"/>
    <w:rsid w:val="006A4E4E"/>
    <w:rsid w:val="006A51FE"/>
    <w:rsid w:val="006A5A58"/>
    <w:rsid w:val="006A5A7D"/>
    <w:rsid w:val="006A5AC2"/>
    <w:rsid w:val="006A5B09"/>
    <w:rsid w:val="006A5C2C"/>
    <w:rsid w:val="006A5EC2"/>
    <w:rsid w:val="006A5F08"/>
    <w:rsid w:val="006A614B"/>
    <w:rsid w:val="006A6412"/>
    <w:rsid w:val="006A667B"/>
    <w:rsid w:val="006A66CD"/>
    <w:rsid w:val="006A67B4"/>
    <w:rsid w:val="006A689A"/>
    <w:rsid w:val="006A6932"/>
    <w:rsid w:val="006A6A1C"/>
    <w:rsid w:val="006A6B5E"/>
    <w:rsid w:val="006A7073"/>
    <w:rsid w:val="006A7284"/>
    <w:rsid w:val="006A733C"/>
    <w:rsid w:val="006A7349"/>
    <w:rsid w:val="006A73D5"/>
    <w:rsid w:val="006A746F"/>
    <w:rsid w:val="006A7492"/>
    <w:rsid w:val="006A74A8"/>
    <w:rsid w:val="006A77D1"/>
    <w:rsid w:val="006A7875"/>
    <w:rsid w:val="006A793D"/>
    <w:rsid w:val="006A7B5B"/>
    <w:rsid w:val="006A7C2A"/>
    <w:rsid w:val="006A7D5F"/>
    <w:rsid w:val="006A7D98"/>
    <w:rsid w:val="006A7DC6"/>
    <w:rsid w:val="006A7E12"/>
    <w:rsid w:val="006A7E4D"/>
    <w:rsid w:val="006A7ED1"/>
    <w:rsid w:val="006B0185"/>
    <w:rsid w:val="006B0277"/>
    <w:rsid w:val="006B02E9"/>
    <w:rsid w:val="006B0609"/>
    <w:rsid w:val="006B060F"/>
    <w:rsid w:val="006B0A53"/>
    <w:rsid w:val="006B0CFB"/>
    <w:rsid w:val="006B0D71"/>
    <w:rsid w:val="006B0D8A"/>
    <w:rsid w:val="006B126C"/>
    <w:rsid w:val="006B1320"/>
    <w:rsid w:val="006B14E8"/>
    <w:rsid w:val="006B1524"/>
    <w:rsid w:val="006B1B44"/>
    <w:rsid w:val="006B1C2E"/>
    <w:rsid w:val="006B1D0E"/>
    <w:rsid w:val="006B1D12"/>
    <w:rsid w:val="006B23B2"/>
    <w:rsid w:val="006B243C"/>
    <w:rsid w:val="006B2574"/>
    <w:rsid w:val="006B2767"/>
    <w:rsid w:val="006B2A89"/>
    <w:rsid w:val="006B2D3F"/>
    <w:rsid w:val="006B2D60"/>
    <w:rsid w:val="006B2FC1"/>
    <w:rsid w:val="006B36B9"/>
    <w:rsid w:val="006B3B3E"/>
    <w:rsid w:val="006B3D55"/>
    <w:rsid w:val="006B3EAA"/>
    <w:rsid w:val="006B458E"/>
    <w:rsid w:val="006B4664"/>
    <w:rsid w:val="006B469F"/>
    <w:rsid w:val="006B49BC"/>
    <w:rsid w:val="006B4A98"/>
    <w:rsid w:val="006B4C67"/>
    <w:rsid w:val="006B4C79"/>
    <w:rsid w:val="006B4D5D"/>
    <w:rsid w:val="006B4E18"/>
    <w:rsid w:val="006B4FD7"/>
    <w:rsid w:val="006B51D9"/>
    <w:rsid w:val="006B5299"/>
    <w:rsid w:val="006B54C5"/>
    <w:rsid w:val="006B552D"/>
    <w:rsid w:val="006B555B"/>
    <w:rsid w:val="006B5AD9"/>
    <w:rsid w:val="006B5CC5"/>
    <w:rsid w:val="006B5DE8"/>
    <w:rsid w:val="006B5E52"/>
    <w:rsid w:val="006B60CE"/>
    <w:rsid w:val="006B6303"/>
    <w:rsid w:val="006B6379"/>
    <w:rsid w:val="006B6513"/>
    <w:rsid w:val="006B661A"/>
    <w:rsid w:val="006B699D"/>
    <w:rsid w:val="006B69B6"/>
    <w:rsid w:val="006B6AF9"/>
    <w:rsid w:val="006B6AFE"/>
    <w:rsid w:val="006B6B3D"/>
    <w:rsid w:val="006B70B9"/>
    <w:rsid w:val="006B71F3"/>
    <w:rsid w:val="006B73AF"/>
    <w:rsid w:val="006B753A"/>
    <w:rsid w:val="006B77FD"/>
    <w:rsid w:val="006B7819"/>
    <w:rsid w:val="006B791C"/>
    <w:rsid w:val="006B793D"/>
    <w:rsid w:val="006B79B6"/>
    <w:rsid w:val="006B7A5D"/>
    <w:rsid w:val="006B7B8E"/>
    <w:rsid w:val="006B7CB3"/>
    <w:rsid w:val="006B7F1A"/>
    <w:rsid w:val="006C000B"/>
    <w:rsid w:val="006C00D3"/>
    <w:rsid w:val="006C01B9"/>
    <w:rsid w:val="006C01D2"/>
    <w:rsid w:val="006C04D9"/>
    <w:rsid w:val="006C076C"/>
    <w:rsid w:val="006C08CC"/>
    <w:rsid w:val="006C0974"/>
    <w:rsid w:val="006C0A2F"/>
    <w:rsid w:val="006C0A33"/>
    <w:rsid w:val="006C0B8E"/>
    <w:rsid w:val="006C0B9C"/>
    <w:rsid w:val="006C0C9B"/>
    <w:rsid w:val="006C0F77"/>
    <w:rsid w:val="006C0F98"/>
    <w:rsid w:val="006C0F9A"/>
    <w:rsid w:val="006C0FA4"/>
    <w:rsid w:val="006C111C"/>
    <w:rsid w:val="006C1293"/>
    <w:rsid w:val="006C12CB"/>
    <w:rsid w:val="006C1576"/>
    <w:rsid w:val="006C18B0"/>
    <w:rsid w:val="006C18CE"/>
    <w:rsid w:val="006C1A37"/>
    <w:rsid w:val="006C1C1B"/>
    <w:rsid w:val="006C1DA9"/>
    <w:rsid w:val="006C1EE4"/>
    <w:rsid w:val="006C1F26"/>
    <w:rsid w:val="006C211B"/>
    <w:rsid w:val="006C2150"/>
    <w:rsid w:val="006C21C6"/>
    <w:rsid w:val="006C224D"/>
    <w:rsid w:val="006C2407"/>
    <w:rsid w:val="006C24BB"/>
    <w:rsid w:val="006C259D"/>
    <w:rsid w:val="006C2758"/>
    <w:rsid w:val="006C295F"/>
    <w:rsid w:val="006C2AC3"/>
    <w:rsid w:val="006C3E0F"/>
    <w:rsid w:val="006C3EFA"/>
    <w:rsid w:val="006C3F3B"/>
    <w:rsid w:val="006C3F46"/>
    <w:rsid w:val="006C41A1"/>
    <w:rsid w:val="006C43A9"/>
    <w:rsid w:val="006C4621"/>
    <w:rsid w:val="006C486D"/>
    <w:rsid w:val="006C4893"/>
    <w:rsid w:val="006C4925"/>
    <w:rsid w:val="006C4A15"/>
    <w:rsid w:val="006C4AB5"/>
    <w:rsid w:val="006C4C6C"/>
    <w:rsid w:val="006C4E50"/>
    <w:rsid w:val="006C5342"/>
    <w:rsid w:val="006C54DF"/>
    <w:rsid w:val="006C56A6"/>
    <w:rsid w:val="006C5829"/>
    <w:rsid w:val="006C5B08"/>
    <w:rsid w:val="006C5FC5"/>
    <w:rsid w:val="006C6134"/>
    <w:rsid w:val="006C61B6"/>
    <w:rsid w:val="006C653E"/>
    <w:rsid w:val="006C6669"/>
    <w:rsid w:val="006C6903"/>
    <w:rsid w:val="006C6A18"/>
    <w:rsid w:val="006C6E63"/>
    <w:rsid w:val="006C6EDB"/>
    <w:rsid w:val="006C6F89"/>
    <w:rsid w:val="006C7083"/>
    <w:rsid w:val="006C72BA"/>
    <w:rsid w:val="006C72EC"/>
    <w:rsid w:val="006C744D"/>
    <w:rsid w:val="006C78C5"/>
    <w:rsid w:val="006C79C3"/>
    <w:rsid w:val="006C7B0C"/>
    <w:rsid w:val="006C7BCD"/>
    <w:rsid w:val="006C7C62"/>
    <w:rsid w:val="006C7F9E"/>
    <w:rsid w:val="006D001B"/>
    <w:rsid w:val="006D0031"/>
    <w:rsid w:val="006D0082"/>
    <w:rsid w:val="006D0581"/>
    <w:rsid w:val="006D06AC"/>
    <w:rsid w:val="006D07F8"/>
    <w:rsid w:val="006D09D0"/>
    <w:rsid w:val="006D09E5"/>
    <w:rsid w:val="006D0B23"/>
    <w:rsid w:val="006D0BF3"/>
    <w:rsid w:val="006D0F97"/>
    <w:rsid w:val="006D103D"/>
    <w:rsid w:val="006D11CF"/>
    <w:rsid w:val="006D1459"/>
    <w:rsid w:val="006D163C"/>
    <w:rsid w:val="006D1A48"/>
    <w:rsid w:val="006D1B70"/>
    <w:rsid w:val="006D1C2D"/>
    <w:rsid w:val="006D20DC"/>
    <w:rsid w:val="006D2229"/>
    <w:rsid w:val="006D2288"/>
    <w:rsid w:val="006D2512"/>
    <w:rsid w:val="006D2B38"/>
    <w:rsid w:val="006D2C4E"/>
    <w:rsid w:val="006D2CE3"/>
    <w:rsid w:val="006D2D0E"/>
    <w:rsid w:val="006D2E7D"/>
    <w:rsid w:val="006D3793"/>
    <w:rsid w:val="006D3A45"/>
    <w:rsid w:val="006D3B35"/>
    <w:rsid w:val="006D3C3B"/>
    <w:rsid w:val="006D3C7F"/>
    <w:rsid w:val="006D3ED8"/>
    <w:rsid w:val="006D3FDD"/>
    <w:rsid w:val="006D41B7"/>
    <w:rsid w:val="006D4979"/>
    <w:rsid w:val="006D4A2E"/>
    <w:rsid w:val="006D4E23"/>
    <w:rsid w:val="006D5182"/>
    <w:rsid w:val="006D51B2"/>
    <w:rsid w:val="006D551D"/>
    <w:rsid w:val="006D567D"/>
    <w:rsid w:val="006D6044"/>
    <w:rsid w:val="006D60E7"/>
    <w:rsid w:val="006D6373"/>
    <w:rsid w:val="006D6435"/>
    <w:rsid w:val="006D6513"/>
    <w:rsid w:val="006D657B"/>
    <w:rsid w:val="006D6619"/>
    <w:rsid w:val="006D66AF"/>
    <w:rsid w:val="006D680B"/>
    <w:rsid w:val="006D6870"/>
    <w:rsid w:val="006D6A63"/>
    <w:rsid w:val="006D6AAC"/>
    <w:rsid w:val="006D6B78"/>
    <w:rsid w:val="006D6D81"/>
    <w:rsid w:val="006D6F35"/>
    <w:rsid w:val="006D6F4F"/>
    <w:rsid w:val="006D6F50"/>
    <w:rsid w:val="006D6F73"/>
    <w:rsid w:val="006D76F2"/>
    <w:rsid w:val="006D78B8"/>
    <w:rsid w:val="006D79E3"/>
    <w:rsid w:val="006D7EE9"/>
    <w:rsid w:val="006D7EF4"/>
    <w:rsid w:val="006E0009"/>
    <w:rsid w:val="006E00A8"/>
    <w:rsid w:val="006E04E8"/>
    <w:rsid w:val="006E0637"/>
    <w:rsid w:val="006E0763"/>
    <w:rsid w:val="006E084C"/>
    <w:rsid w:val="006E087B"/>
    <w:rsid w:val="006E0BA7"/>
    <w:rsid w:val="006E0FBC"/>
    <w:rsid w:val="006E1AA3"/>
    <w:rsid w:val="006E1ACD"/>
    <w:rsid w:val="006E1AFD"/>
    <w:rsid w:val="006E20A5"/>
    <w:rsid w:val="006E2141"/>
    <w:rsid w:val="006E238E"/>
    <w:rsid w:val="006E23FC"/>
    <w:rsid w:val="006E250C"/>
    <w:rsid w:val="006E2640"/>
    <w:rsid w:val="006E2FFE"/>
    <w:rsid w:val="006E315B"/>
    <w:rsid w:val="006E3860"/>
    <w:rsid w:val="006E38F9"/>
    <w:rsid w:val="006E3946"/>
    <w:rsid w:val="006E3A42"/>
    <w:rsid w:val="006E3AF1"/>
    <w:rsid w:val="006E3EDD"/>
    <w:rsid w:val="006E4114"/>
    <w:rsid w:val="006E479D"/>
    <w:rsid w:val="006E47E3"/>
    <w:rsid w:val="006E480D"/>
    <w:rsid w:val="006E49C3"/>
    <w:rsid w:val="006E4AFF"/>
    <w:rsid w:val="006E4B8F"/>
    <w:rsid w:val="006E4BEA"/>
    <w:rsid w:val="006E4D18"/>
    <w:rsid w:val="006E589E"/>
    <w:rsid w:val="006E59A2"/>
    <w:rsid w:val="006E60EA"/>
    <w:rsid w:val="006E6163"/>
    <w:rsid w:val="006E61B2"/>
    <w:rsid w:val="006E6225"/>
    <w:rsid w:val="006E63FA"/>
    <w:rsid w:val="006E6584"/>
    <w:rsid w:val="006E65E0"/>
    <w:rsid w:val="006E6697"/>
    <w:rsid w:val="006E6870"/>
    <w:rsid w:val="006E6A84"/>
    <w:rsid w:val="006E7149"/>
    <w:rsid w:val="006E7157"/>
    <w:rsid w:val="006E716D"/>
    <w:rsid w:val="006E7227"/>
    <w:rsid w:val="006E7382"/>
    <w:rsid w:val="006E758E"/>
    <w:rsid w:val="006E77B1"/>
    <w:rsid w:val="006E7840"/>
    <w:rsid w:val="006E786D"/>
    <w:rsid w:val="006E789E"/>
    <w:rsid w:val="006E7902"/>
    <w:rsid w:val="006E7C0D"/>
    <w:rsid w:val="006E7D20"/>
    <w:rsid w:val="006E7E5F"/>
    <w:rsid w:val="006F00C1"/>
    <w:rsid w:val="006F00DE"/>
    <w:rsid w:val="006F00F1"/>
    <w:rsid w:val="006F023A"/>
    <w:rsid w:val="006F0ED9"/>
    <w:rsid w:val="006F0F0C"/>
    <w:rsid w:val="006F0F92"/>
    <w:rsid w:val="006F119B"/>
    <w:rsid w:val="006F11E4"/>
    <w:rsid w:val="006F12D8"/>
    <w:rsid w:val="006F14AD"/>
    <w:rsid w:val="006F150A"/>
    <w:rsid w:val="006F1651"/>
    <w:rsid w:val="006F16FD"/>
    <w:rsid w:val="006F1B45"/>
    <w:rsid w:val="006F1ECE"/>
    <w:rsid w:val="006F22E6"/>
    <w:rsid w:val="006F230E"/>
    <w:rsid w:val="006F2390"/>
    <w:rsid w:val="006F25FD"/>
    <w:rsid w:val="006F2638"/>
    <w:rsid w:val="006F267B"/>
    <w:rsid w:val="006F267E"/>
    <w:rsid w:val="006F2CDA"/>
    <w:rsid w:val="006F2D3D"/>
    <w:rsid w:val="006F2D44"/>
    <w:rsid w:val="006F2D68"/>
    <w:rsid w:val="006F2E2C"/>
    <w:rsid w:val="006F2F5C"/>
    <w:rsid w:val="006F312A"/>
    <w:rsid w:val="006F31EE"/>
    <w:rsid w:val="006F3340"/>
    <w:rsid w:val="006F3401"/>
    <w:rsid w:val="006F344E"/>
    <w:rsid w:val="006F3509"/>
    <w:rsid w:val="006F369C"/>
    <w:rsid w:val="006F3877"/>
    <w:rsid w:val="006F393A"/>
    <w:rsid w:val="006F3A3B"/>
    <w:rsid w:val="006F3A66"/>
    <w:rsid w:val="006F3D40"/>
    <w:rsid w:val="006F3E6D"/>
    <w:rsid w:val="006F3E7D"/>
    <w:rsid w:val="006F3FBD"/>
    <w:rsid w:val="006F405A"/>
    <w:rsid w:val="006F44A0"/>
    <w:rsid w:val="006F45F1"/>
    <w:rsid w:val="006F4771"/>
    <w:rsid w:val="006F4A69"/>
    <w:rsid w:val="006F4B84"/>
    <w:rsid w:val="006F4D04"/>
    <w:rsid w:val="006F4D53"/>
    <w:rsid w:val="006F4DD4"/>
    <w:rsid w:val="006F4EAF"/>
    <w:rsid w:val="006F50AC"/>
    <w:rsid w:val="006F5202"/>
    <w:rsid w:val="006F5240"/>
    <w:rsid w:val="006F5381"/>
    <w:rsid w:val="006F540C"/>
    <w:rsid w:val="006F546E"/>
    <w:rsid w:val="006F56EA"/>
    <w:rsid w:val="006F58B1"/>
    <w:rsid w:val="006F5903"/>
    <w:rsid w:val="006F5942"/>
    <w:rsid w:val="006F5965"/>
    <w:rsid w:val="006F5992"/>
    <w:rsid w:val="006F59DC"/>
    <w:rsid w:val="006F5C04"/>
    <w:rsid w:val="006F5C16"/>
    <w:rsid w:val="006F5C6A"/>
    <w:rsid w:val="006F5DD6"/>
    <w:rsid w:val="006F5F85"/>
    <w:rsid w:val="006F656D"/>
    <w:rsid w:val="006F6661"/>
    <w:rsid w:val="006F6CE1"/>
    <w:rsid w:val="006F70EB"/>
    <w:rsid w:val="006F71D6"/>
    <w:rsid w:val="006F7215"/>
    <w:rsid w:val="006F727F"/>
    <w:rsid w:val="006F72AD"/>
    <w:rsid w:val="006F72D8"/>
    <w:rsid w:val="006F7581"/>
    <w:rsid w:val="006F75AA"/>
    <w:rsid w:val="006F7709"/>
    <w:rsid w:val="006F77BB"/>
    <w:rsid w:val="006F7863"/>
    <w:rsid w:val="006F7892"/>
    <w:rsid w:val="006F7D84"/>
    <w:rsid w:val="006F7D96"/>
    <w:rsid w:val="006F7EFB"/>
    <w:rsid w:val="00700233"/>
    <w:rsid w:val="007002BE"/>
    <w:rsid w:val="007002DA"/>
    <w:rsid w:val="007005E7"/>
    <w:rsid w:val="007006AA"/>
    <w:rsid w:val="00700741"/>
    <w:rsid w:val="00700EDB"/>
    <w:rsid w:val="00700FC6"/>
    <w:rsid w:val="00701068"/>
    <w:rsid w:val="0070139D"/>
    <w:rsid w:val="007013F1"/>
    <w:rsid w:val="00701751"/>
    <w:rsid w:val="0070182C"/>
    <w:rsid w:val="00701A21"/>
    <w:rsid w:val="00701B56"/>
    <w:rsid w:val="00701C17"/>
    <w:rsid w:val="00701E55"/>
    <w:rsid w:val="00702157"/>
    <w:rsid w:val="0070284D"/>
    <w:rsid w:val="00702975"/>
    <w:rsid w:val="00702A30"/>
    <w:rsid w:val="00703305"/>
    <w:rsid w:val="007034CB"/>
    <w:rsid w:val="0070357D"/>
    <w:rsid w:val="007035D7"/>
    <w:rsid w:val="0070360F"/>
    <w:rsid w:val="00703904"/>
    <w:rsid w:val="00703931"/>
    <w:rsid w:val="00703985"/>
    <w:rsid w:val="00703994"/>
    <w:rsid w:val="00703ABA"/>
    <w:rsid w:val="00703D5A"/>
    <w:rsid w:val="00704599"/>
    <w:rsid w:val="00704B6F"/>
    <w:rsid w:val="00704BB8"/>
    <w:rsid w:val="00704F9F"/>
    <w:rsid w:val="00705218"/>
    <w:rsid w:val="00705461"/>
    <w:rsid w:val="0070549B"/>
    <w:rsid w:val="00705547"/>
    <w:rsid w:val="0070599D"/>
    <w:rsid w:val="00705D72"/>
    <w:rsid w:val="00705EF8"/>
    <w:rsid w:val="007062DE"/>
    <w:rsid w:val="0070653E"/>
    <w:rsid w:val="00706732"/>
    <w:rsid w:val="00706AB5"/>
    <w:rsid w:val="00706B65"/>
    <w:rsid w:val="00706D75"/>
    <w:rsid w:val="00706E4C"/>
    <w:rsid w:val="00706E4D"/>
    <w:rsid w:val="00707196"/>
    <w:rsid w:val="007072B5"/>
    <w:rsid w:val="0070730C"/>
    <w:rsid w:val="007074B0"/>
    <w:rsid w:val="007074E2"/>
    <w:rsid w:val="007078FB"/>
    <w:rsid w:val="00707CD1"/>
    <w:rsid w:val="00707EF7"/>
    <w:rsid w:val="00710044"/>
    <w:rsid w:val="00710105"/>
    <w:rsid w:val="0071021C"/>
    <w:rsid w:val="007104D4"/>
    <w:rsid w:val="0071084E"/>
    <w:rsid w:val="007108DB"/>
    <w:rsid w:val="007109BD"/>
    <w:rsid w:val="007109C2"/>
    <w:rsid w:val="00710A36"/>
    <w:rsid w:val="00710B7A"/>
    <w:rsid w:val="00710D4F"/>
    <w:rsid w:val="00710DBE"/>
    <w:rsid w:val="00710E0E"/>
    <w:rsid w:val="00710F38"/>
    <w:rsid w:val="00710F63"/>
    <w:rsid w:val="00710F9D"/>
    <w:rsid w:val="00711030"/>
    <w:rsid w:val="007112F4"/>
    <w:rsid w:val="00711457"/>
    <w:rsid w:val="00711546"/>
    <w:rsid w:val="0071164F"/>
    <w:rsid w:val="0071173D"/>
    <w:rsid w:val="00711971"/>
    <w:rsid w:val="00712197"/>
    <w:rsid w:val="0071255B"/>
    <w:rsid w:val="00712696"/>
    <w:rsid w:val="007126C0"/>
    <w:rsid w:val="00712826"/>
    <w:rsid w:val="00712A48"/>
    <w:rsid w:val="00712AD2"/>
    <w:rsid w:val="00712CD2"/>
    <w:rsid w:val="00712E90"/>
    <w:rsid w:val="007132FA"/>
    <w:rsid w:val="0071341A"/>
    <w:rsid w:val="007135C0"/>
    <w:rsid w:val="00713B2E"/>
    <w:rsid w:val="00713D52"/>
    <w:rsid w:val="00713D62"/>
    <w:rsid w:val="00713E14"/>
    <w:rsid w:val="00713F53"/>
    <w:rsid w:val="00713FFE"/>
    <w:rsid w:val="00714183"/>
    <w:rsid w:val="007142EE"/>
    <w:rsid w:val="0071449E"/>
    <w:rsid w:val="007149A3"/>
    <w:rsid w:val="00714B2E"/>
    <w:rsid w:val="00714EEE"/>
    <w:rsid w:val="00714F11"/>
    <w:rsid w:val="007156A3"/>
    <w:rsid w:val="007160A7"/>
    <w:rsid w:val="0071615A"/>
    <w:rsid w:val="007161D0"/>
    <w:rsid w:val="00716368"/>
    <w:rsid w:val="00716574"/>
    <w:rsid w:val="007167DD"/>
    <w:rsid w:val="00716966"/>
    <w:rsid w:val="00716D8A"/>
    <w:rsid w:val="007172A1"/>
    <w:rsid w:val="00717333"/>
    <w:rsid w:val="00717681"/>
    <w:rsid w:val="007176C9"/>
    <w:rsid w:val="007176E1"/>
    <w:rsid w:val="00717790"/>
    <w:rsid w:val="007178D5"/>
    <w:rsid w:val="007179F3"/>
    <w:rsid w:val="00717A07"/>
    <w:rsid w:val="0072024A"/>
    <w:rsid w:val="0072026D"/>
    <w:rsid w:val="00720271"/>
    <w:rsid w:val="007202EA"/>
    <w:rsid w:val="00720336"/>
    <w:rsid w:val="007203F3"/>
    <w:rsid w:val="00720665"/>
    <w:rsid w:val="0072067F"/>
    <w:rsid w:val="007207E6"/>
    <w:rsid w:val="007207E9"/>
    <w:rsid w:val="00720857"/>
    <w:rsid w:val="007208AD"/>
    <w:rsid w:val="00720B84"/>
    <w:rsid w:val="00721149"/>
    <w:rsid w:val="00721226"/>
    <w:rsid w:val="007213A1"/>
    <w:rsid w:val="007219AE"/>
    <w:rsid w:val="00721D98"/>
    <w:rsid w:val="00721E27"/>
    <w:rsid w:val="007220ED"/>
    <w:rsid w:val="00722257"/>
    <w:rsid w:val="00722657"/>
    <w:rsid w:val="00722694"/>
    <w:rsid w:val="0072296E"/>
    <w:rsid w:val="00722AEA"/>
    <w:rsid w:val="00722B53"/>
    <w:rsid w:val="00722D08"/>
    <w:rsid w:val="00722EB5"/>
    <w:rsid w:val="0072303E"/>
    <w:rsid w:val="007230DD"/>
    <w:rsid w:val="0072355F"/>
    <w:rsid w:val="00723560"/>
    <w:rsid w:val="007237B7"/>
    <w:rsid w:val="00723954"/>
    <w:rsid w:val="00723FB1"/>
    <w:rsid w:val="00723FCF"/>
    <w:rsid w:val="007240A9"/>
    <w:rsid w:val="007240AD"/>
    <w:rsid w:val="007242CA"/>
    <w:rsid w:val="007242F9"/>
    <w:rsid w:val="0072436F"/>
    <w:rsid w:val="00724397"/>
    <w:rsid w:val="0072450E"/>
    <w:rsid w:val="00724594"/>
    <w:rsid w:val="00724736"/>
    <w:rsid w:val="00724737"/>
    <w:rsid w:val="0072488E"/>
    <w:rsid w:val="00724B0A"/>
    <w:rsid w:val="00724C42"/>
    <w:rsid w:val="00724CF3"/>
    <w:rsid w:val="00724DC2"/>
    <w:rsid w:val="00724F55"/>
    <w:rsid w:val="0072520C"/>
    <w:rsid w:val="007252CD"/>
    <w:rsid w:val="00725997"/>
    <w:rsid w:val="00725B24"/>
    <w:rsid w:val="00725C0D"/>
    <w:rsid w:val="00725C32"/>
    <w:rsid w:val="00725FB6"/>
    <w:rsid w:val="0072632B"/>
    <w:rsid w:val="00726363"/>
    <w:rsid w:val="0072636F"/>
    <w:rsid w:val="007265A8"/>
    <w:rsid w:val="0072664E"/>
    <w:rsid w:val="007266E9"/>
    <w:rsid w:val="00726969"/>
    <w:rsid w:val="00726B83"/>
    <w:rsid w:val="00726BBF"/>
    <w:rsid w:val="00726F59"/>
    <w:rsid w:val="007270DB"/>
    <w:rsid w:val="0072735C"/>
    <w:rsid w:val="00727382"/>
    <w:rsid w:val="00727677"/>
    <w:rsid w:val="00727EDA"/>
    <w:rsid w:val="00727F19"/>
    <w:rsid w:val="0073017D"/>
    <w:rsid w:val="0073018B"/>
    <w:rsid w:val="00730325"/>
    <w:rsid w:val="00730378"/>
    <w:rsid w:val="00730492"/>
    <w:rsid w:val="00730642"/>
    <w:rsid w:val="00730CB1"/>
    <w:rsid w:val="00730CCE"/>
    <w:rsid w:val="00730F94"/>
    <w:rsid w:val="007310A7"/>
    <w:rsid w:val="007310CB"/>
    <w:rsid w:val="0073122F"/>
    <w:rsid w:val="00731330"/>
    <w:rsid w:val="00731627"/>
    <w:rsid w:val="00731AE4"/>
    <w:rsid w:val="00731B6C"/>
    <w:rsid w:val="00731C2A"/>
    <w:rsid w:val="00731F02"/>
    <w:rsid w:val="00731F42"/>
    <w:rsid w:val="0073207A"/>
    <w:rsid w:val="00732174"/>
    <w:rsid w:val="007322F7"/>
    <w:rsid w:val="00732490"/>
    <w:rsid w:val="007324CB"/>
    <w:rsid w:val="00732652"/>
    <w:rsid w:val="007326CA"/>
    <w:rsid w:val="00732919"/>
    <w:rsid w:val="007329A7"/>
    <w:rsid w:val="00732C7E"/>
    <w:rsid w:val="00732D25"/>
    <w:rsid w:val="007331BD"/>
    <w:rsid w:val="0073335A"/>
    <w:rsid w:val="00733526"/>
    <w:rsid w:val="00733587"/>
    <w:rsid w:val="007338E7"/>
    <w:rsid w:val="00733AB2"/>
    <w:rsid w:val="00733D15"/>
    <w:rsid w:val="00733D26"/>
    <w:rsid w:val="00733F0C"/>
    <w:rsid w:val="00733F57"/>
    <w:rsid w:val="00733F6C"/>
    <w:rsid w:val="00734121"/>
    <w:rsid w:val="00734248"/>
    <w:rsid w:val="007343E8"/>
    <w:rsid w:val="0073445E"/>
    <w:rsid w:val="0073446E"/>
    <w:rsid w:val="007344BE"/>
    <w:rsid w:val="0073472A"/>
    <w:rsid w:val="00734D05"/>
    <w:rsid w:val="00734D29"/>
    <w:rsid w:val="00734DD7"/>
    <w:rsid w:val="00735ABA"/>
    <w:rsid w:val="00735D34"/>
    <w:rsid w:val="00736097"/>
    <w:rsid w:val="007360C0"/>
    <w:rsid w:val="00736792"/>
    <w:rsid w:val="00736824"/>
    <w:rsid w:val="007368A8"/>
    <w:rsid w:val="00736A47"/>
    <w:rsid w:val="00736A90"/>
    <w:rsid w:val="00736FBD"/>
    <w:rsid w:val="0073709F"/>
    <w:rsid w:val="0073714B"/>
    <w:rsid w:val="007373C2"/>
    <w:rsid w:val="00737412"/>
    <w:rsid w:val="0073761E"/>
    <w:rsid w:val="00737821"/>
    <w:rsid w:val="00737B8A"/>
    <w:rsid w:val="00737BC0"/>
    <w:rsid w:val="00737C26"/>
    <w:rsid w:val="00737DAB"/>
    <w:rsid w:val="00737F4D"/>
    <w:rsid w:val="00737FA7"/>
    <w:rsid w:val="00740340"/>
    <w:rsid w:val="00740494"/>
    <w:rsid w:val="007404DF"/>
    <w:rsid w:val="00740588"/>
    <w:rsid w:val="00740951"/>
    <w:rsid w:val="00741198"/>
    <w:rsid w:val="00741535"/>
    <w:rsid w:val="00741630"/>
    <w:rsid w:val="00741655"/>
    <w:rsid w:val="00741696"/>
    <w:rsid w:val="00741723"/>
    <w:rsid w:val="00742096"/>
    <w:rsid w:val="00742296"/>
    <w:rsid w:val="00742351"/>
    <w:rsid w:val="00742683"/>
    <w:rsid w:val="007427BB"/>
    <w:rsid w:val="007429E8"/>
    <w:rsid w:val="00742BA7"/>
    <w:rsid w:val="00742C30"/>
    <w:rsid w:val="007432E7"/>
    <w:rsid w:val="00743366"/>
    <w:rsid w:val="0074357A"/>
    <w:rsid w:val="00743666"/>
    <w:rsid w:val="00743A06"/>
    <w:rsid w:val="00743A38"/>
    <w:rsid w:val="00743DD3"/>
    <w:rsid w:val="00743F4E"/>
    <w:rsid w:val="0074437F"/>
    <w:rsid w:val="00744402"/>
    <w:rsid w:val="00744494"/>
    <w:rsid w:val="00744802"/>
    <w:rsid w:val="00744C1D"/>
    <w:rsid w:val="00744C25"/>
    <w:rsid w:val="0074527C"/>
    <w:rsid w:val="00745469"/>
    <w:rsid w:val="007455F3"/>
    <w:rsid w:val="007455FD"/>
    <w:rsid w:val="00745849"/>
    <w:rsid w:val="007458E1"/>
    <w:rsid w:val="00745B54"/>
    <w:rsid w:val="00745C5C"/>
    <w:rsid w:val="00745D05"/>
    <w:rsid w:val="00745E76"/>
    <w:rsid w:val="00745F0C"/>
    <w:rsid w:val="00745F29"/>
    <w:rsid w:val="00746189"/>
    <w:rsid w:val="0074680B"/>
    <w:rsid w:val="00746934"/>
    <w:rsid w:val="00746B0B"/>
    <w:rsid w:val="00746D57"/>
    <w:rsid w:val="00746F00"/>
    <w:rsid w:val="00747008"/>
    <w:rsid w:val="00747076"/>
    <w:rsid w:val="007474A6"/>
    <w:rsid w:val="007476D4"/>
    <w:rsid w:val="0074774C"/>
    <w:rsid w:val="007477D5"/>
    <w:rsid w:val="007477FD"/>
    <w:rsid w:val="00747A00"/>
    <w:rsid w:val="00747A29"/>
    <w:rsid w:val="00747B1F"/>
    <w:rsid w:val="00747DC4"/>
    <w:rsid w:val="00747FDF"/>
    <w:rsid w:val="007502AF"/>
    <w:rsid w:val="00750416"/>
    <w:rsid w:val="00750552"/>
    <w:rsid w:val="007507CC"/>
    <w:rsid w:val="00750F33"/>
    <w:rsid w:val="007510A7"/>
    <w:rsid w:val="00751108"/>
    <w:rsid w:val="007512F9"/>
    <w:rsid w:val="007515F1"/>
    <w:rsid w:val="00751747"/>
    <w:rsid w:val="0075178C"/>
    <w:rsid w:val="00751828"/>
    <w:rsid w:val="00751B63"/>
    <w:rsid w:val="00751D01"/>
    <w:rsid w:val="00751D5F"/>
    <w:rsid w:val="00751E57"/>
    <w:rsid w:val="00752052"/>
    <w:rsid w:val="007520E9"/>
    <w:rsid w:val="00752299"/>
    <w:rsid w:val="00752848"/>
    <w:rsid w:val="00752900"/>
    <w:rsid w:val="0075294B"/>
    <w:rsid w:val="00752A3E"/>
    <w:rsid w:val="00752CC3"/>
    <w:rsid w:val="00752CEC"/>
    <w:rsid w:val="00752DE1"/>
    <w:rsid w:val="00752E1C"/>
    <w:rsid w:val="00752FF1"/>
    <w:rsid w:val="00753168"/>
    <w:rsid w:val="007531BB"/>
    <w:rsid w:val="00753253"/>
    <w:rsid w:val="00753294"/>
    <w:rsid w:val="0075355C"/>
    <w:rsid w:val="00753778"/>
    <w:rsid w:val="0075394B"/>
    <w:rsid w:val="00753B3C"/>
    <w:rsid w:val="00753D64"/>
    <w:rsid w:val="00753D86"/>
    <w:rsid w:val="00753E3B"/>
    <w:rsid w:val="007542ED"/>
    <w:rsid w:val="00754304"/>
    <w:rsid w:val="00754545"/>
    <w:rsid w:val="00754844"/>
    <w:rsid w:val="00754864"/>
    <w:rsid w:val="00754AAC"/>
    <w:rsid w:val="00754BC8"/>
    <w:rsid w:val="00754D03"/>
    <w:rsid w:val="00754FD8"/>
    <w:rsid w:val="0075506E"/>
    <w:rsid w:val="00755559"/>
    <w:rsid w:val="0075570E"/>
    <w:rsid w:val="007557C0"/>
    <w:rsid w:val="0075585C"/>
    <w:rsid w:val="0075589C"/>
    <w:rsid w:val="007558E9"/>
    <w:rsid w:val="00755AB3"/>
    <w:rsid w:val="00755DE0"/>
    <w:rsid w:val="00755DFA"/>
    <w:rsid w:val="00755F3B"/>
    <w:rsid w:val="0075607B"/>
    <w:rsid w:val="00756252"/>
    <w:rsid w:val="007564BA"/>
    <w:rsid w:val="00756616"/>
    <w:rsid w:val="00756D50"/>
    <w:rsid w:val="00756D66"/>
    <w:rsid w:val="00756FEF"/>
    <w:rsid w:val="0075701C"/>
    <w:rsid w:val="00757221"/>
    <w:rsid w:val="00757275"/>
    <w:rsid w:val="00757DA2"/>
    <w:rsid w:val="00760414"/>
    <w:rsid w:val="0076053C"/>
    <w:rsid w:val="0076064B"/>
    <w:rsid w:val="00760878"/>
    <w:rsid w:val="007609C5"/>
    <w:rsid w:val="00760AE0"/>
    <w:rsid w:val="00760C3A"/>
    <w:rsid w:val="00760F1F"/>
    <w:rsid w:val="00761038"/>
    <w:rsid w:val="007610CA"/>
    <w:rsid w:val="0076113F"/>
    <w:rsid w:val="007612C5"/>
    <w:rsid w:val="0076148F"/>
    <w:rsid w:val="00761735"/>
    <w:rsid w:val="007617D8"/>
    <w:rsid w:val="0076191D"/>
    <w:rsid w:val="00761C2E"/>
    <w:rsid w:val="00761E7B"/>
    <w:rsid w:val="00761FA8"/>
    <w:rsid w:val="007621AE"/>
    <w:rsid w:val="0076223F"/>
    <w:rsid w:val="00762473"/>
    <w:rsid w:val="007626D3"/>
    <w:rsid w:val="007627B5"/>
    <w:rsid w:val="00762864"/>
    <w:rsid w:val="0076298A"/>
    <w:rsid w:val="00762BC9"/>
    <w:rsid w:val="00762CBF"/>
    <w:rsid w:val="00763187"/>
    <w:rsid w:val="0076332A"/>
    <w:rsid w:val="00763691"/>
    <w:rsid w:val="00763749"/>
    <w:rsid w:val="00763768"/>
    <w:rsid w:val="00763CE0"/>
    <w:rsid w:val="00763D44"/>
    <w:rsid w:val="00763E0F"/>
    <w:rsid w:val="00763E89"/>
    <w:rsid w:val="00764053"/>
    <w:rsid w:val="007641E4"/>
    <w:rsid w:val="00764312"/>
    <w:rsid w:val="00764414"/>
    <w:rsid w:val="00764439"/>
    <w:rsid w:val="00764707"/>
    <w:rsid w:val="0076473C"/>
    <w:rsid w:val="00764804"/>
    <w:rsid w:val="0076488B"/>
    <w:rsid w:val="00764939"/>
    <w:rsid w:val="007649D2"/>
    <w:rsid w:val="007649FE"/>
    <w:rsid w:val="00764AD9"/>
    <w:rsid w:val="00764BCB"/>
    <w:rsid w:val="00764C03"/>
    <w:rsid w:val="007651E8"/>
    <w:rsid w:val="00765513"/>
    <w:rsid w:val="007656DB"/>
    <w:rsid w:val="007656E2"/>
    <w:rsid w:val="0076578F"/>
    <w:rsid w:val="00765796"/>
    <w:rsid w:val="0076594B"/>
    <w:rsid w:val="00765A71"/>
    <w:rsid w:val="00765C02"/>
    <w:rsid w:val="00765C8E"/>
    <w:rsid w:val="00765D51"/>
    <w:rsid w:val="007660F6"/>
    <w:rsid w:val="007661BE"/>
    <w:rsid w:val="00766330"/>
    <w:rsid w:val="007664A2"/>
    <w:rsid w:val="00766D2A"/>
    <w:rsid w:val="00766E1F"/>
    <w:rsid w:val="00766F5B"/>
    <w:rsid w:val="007675FB"/>
    <w:rsid w:val="00767665"/>
    <w:rsid w:val="0076774D"/>
    <w:rsid w:val="007677A7"/>
    <w:rsid w:val="007679FC"/>
    <w:rsid w:val="00767B3E"/>
    <w:rsid w:val="00767C9D"/>
    <w:rsid w:val="00767FEE"/>
    <w:rsid w:val="007708C1"/>
    <w:rsid w:val="00770C6A"/>
    <w:rsid w:val="00770F3A"/>
    <w:rsid w:val="007710E7"/>
    <w:rsid w:val="0077118A"/>
    <w:rsid w:val="00771825"/>
    <w:rsid w:val="00771C78"/>
    <w:rsid w:val="00772265"/>
    <w:rsid w:val="007723C8"/>
    <w:rsid w:val="007725A7"/>
    <w:rsid w:val="0077264B"/>
    <w:rsid w:val="007727C1"/>
    <w:rsid w:val="0077293B"/>
    <w:rsid w:val="00772C96"/>
    <w:rsid w:val="00773031"/>
    <w:rsid w:val="0077319D"/>
    <w:rsid w:val="00773312"/>
    <w:rsid w:val="0077331C"/>
    <w:rsid w:val="00773331"/>
    <w:rsid w:val="0077358A"/>
    <w:rsid w:val="0077375A"/>
    <w:rsid w:val="00773BA1"/>
    <w:rsid w:val="00773F7E"/>
    <w:rsid w:val="007741E1"/>
    <w:rsid w:val="00774247"/>
    <w:rsid w:val="007744B8"/>
    <w:rsid w:val="00774729"/>
    <w:rsid w:val="0077477E"/>
    <w:rsid w:val="0077483E"/>
    <w:rsid w:val="00774862"/>
    <w:rsid w:val="007748C4"/>
    <w:rsid w:val="00774A68"/>
    <w:rsid w:val="00774BF2"/>
    <w:rsid w:val="00774D1D"/>
    <w:rsid w:val="00774E2B"/>
    <w:rsid w:val="00774E45"/>
    <w:rsid w:val="0077527E"/>
    <w:rsid w:val="0077544B"/>
    <w:rsid w:val="0077555A"/>
    <w:rsid w:val="00775723"/>
    <w:rsid w:val="00775951"/>
    <w:rsid w:val="0077595C"/>
    <w:rsid w:val="00775986"/>
    <w:rsid w:val="00775A35"/>
    <w:rsid w:val="00775C89"/>
    <w:rsid w:val="00775DC6"/>
    <w:rsid w:val="00776148"/>
    <w:rsid w:val="007761AA"/>
    <w:rsid w:val="00776253"/>
    <w:rsid w:val="0077678E"/>
    <w:rsid w:val="007767EE"/>
    <w:rsid w:val="00776B94"/>
    <w:rsid w:val="00776E63"/>
    <w:rsid w:val="00776EAE"/>
    <w:rsid w:val="0077712A"/>
    <w:rsid w:val="00777370"/>
    <w:rsid w:val="00777679"/>
    <w:rsid w:val="00777A95"/>
    <w:rsid w:val="00777BCA"/>
    <w:rsid w:val="00777CF4"/>
    <w:rsid w:val="00777EAB"/>
    <w:rsid w:val="0078008E"/>
    <w:rsid w:val="0078029B"/>
    <w:rsid w:val="007805CF"/>
    <w:rsid w:val="0078074B"/>
    <w:rsid w:val="0078076F"/>
    <w:rsid w:val="0078083D"/>
    <w:rsid w:val="0078094D"/>
    <w:rsid w:val="007809F1"/>
    <w:rsid w:val="00780B52"/>
    <w:rsid w:val="00780D58"/>
    <w:rsid w:val="0078107B"/>
    <w:rsid w:val="0078108A"/>
    <w:rsid w:val="007811C5"/>
    <w:rsid w:val="007812BD"/>
    <w:rsid w:val="007814F2"/>
    <w:rsid w:val="007817BA"/>
    <w:rsid w:val="00781C28"/>
    <w:rsid w:val="00781D23"/>
    <w:rsid w:val="00782128"/>
    <w:rsid w:val="007821FD"/>
    <w:rsid w:val="00782778"/>
    <w:rsid w:val="007827AB"/>
    <w:rsid w:val="0078282E"/>
    <w:rsid w:val="00782929"/>
    <w:rsid w:val="00782AD7"/>
    <w:rsid w:val="00782B73"/>
    <w:rsid w:val="00782C13"/>
    <w:rsid w:val="00782E43"/>
    <w:rsid w:val="00783110"/>
    <w:rsid w:val="00783570"/>
    <w:rsid w:val="007838C9"/>
    <w:rsid w:val="007839BD"/>
    <w:rsid w:val="00783AC9"/>
    <w:rsid w:val="00783D1D"/>
    <w:rsid w:val="0078445E"/>
    <w:rsid w:val="0078467E"/>
    <w:rsid w:val="00784806"/>
    <w:rsid w:val="0078482B"/>
    <w:rsid w:val="0078498F"/>
    <w:rsid w:val="00784C71"/>
    <w:rsid w:val="00784E0E"/>
    <w:rsid w:val="00785028"/>
    <w:rsid w:val="00785569"/>
    <w:rsid w:val="00785670"/>
    <w:rsid w:val="00785726"/>
    <w:rsid w:val="007859B0"/>
    <w:rsid w:val="007859B8"/>
    <w:rsid w:val="00785DBC"/>
    <w:rsid w:val="00785F50"/>
    <w:rsid w:val="00785FB2"/>
    <w:rsid w:val="00786295"/>
    <w:rsid w:val="00786349"/>
    <w:rsid w:val="0078679C"/>
    <w:rsid w:val="007868C4"/>
    <w:rsid w:val="00786931"/>
    <w:rsid w:val="00786986"/>
    <w:rsid w:val="00786994"/>
    <w:rsid w:val="00786A56"/>
    <w:rsid w:val="00786BEE"/>
    <w:rsid w:val="00786D32"/>
    <w:rsid w:val="00786D52"/>
    <w:rsid w:val="00786DD1"/>
    <w:rsid w:val="00786EDC"/>
    <w:rsid w:val="00786FFA"/>
    <w:rsid w:val="00787448"/>
    <w:rsid w:val="00787454"/>
    <w:rsid w:val="007877A8"/>
    <w:rsid w:val="00787897"/>
    <w:rsid w:val="00787A38"/>
    <w:rsid w:val="00787DD6"/>
    <w:rsid w:val="00787E93"/>
    <w:rsid w:val="00787EA4"/>
    <w:rsid w:val="00787F3D"/>
    <w:rsid w:val="007900A4"/>
    <w:rsid w:val="007902AB"/>
    <w:rsid w:val="0079036B"/>
    <w:rsid w:val="007903A3"/>
    <w:rsid w:val="007907AE"/>
    <w:rsid w:val="00790BFE"/>
    <w:rsid w:val="00791074"/>
    <w:rsid w:val="0079110A"/>
    <w:rsid w:val="007914B2"/>
    <w:rsid w:val="0079158A"/>
    <w:rsid w:val="00791909"/>
    <w:rsid w:val="00791AB4"/>
    <w:rsid w:val="00791C2D"/>
    <w:rsid w:val="00791F12"/>
    <w:rsid w:val="007925CA"/>
    <w:rsid w:val="007927C3"/>
    <w:rsid w:val="007927DC"/>
    <w:rsid w:val="007928DA"/>
    <w:rsid w:val="00792B4D"/>
    <w:rsid w:val="00792C07"/>
    <w:rsid w:val="00792C7D"/>
    <w:rsid w:val="00792DAF"/>
    <w:rsid w:val="00792FC0"/>
    <w:rsid w:val="00793005"/>
    <w:rsid w:val="007930A4"/>
    <w:rsid w:val="007930D7"/>
    <w:rsid w:val="007932EF"/>
    <w:rsid w:val="007932F7"/>
    <w:rsid w:val="007934C2"/>
    <w:rsid w:val="007935A8"/>
    <w:rsid w:val="0079360F"/>
    <w:rsid w:val="00793957"/>
    <w:rsid w:val="00793A40"/>
    <w:rsid w:val="00793B20"/>
    <w:rsid w:val="007940D7"/>
    <w:rsid w:val="0079496E"/>
    <w:rsid w:val="00794A3A"/>
    <w:rsid w:val="00794ADE"/>
    <w:rsid w:val="00794C8A"/>
    <w:rsid w:val="00794CFE"/>
    <w:rsid w:val="00794DBE"/>
    <w:rsid w:val="00794E24"/>
    <w:rsid w:val="00794F14"/>
    <w:rsid w:val="00794F53"/>
    <w:rsid w:val="007950FB"/>
    <w:rsid w:val="007951CD"/>
    <w:rsid w:val="00795274"/>
    <w:rsid w:val="00795568"/>
    <w:rsid w:val="0079567F"/>
    <w:rsid w:val="00795739"/>
    <w:rsid w:val="007957DB"/>
    <w:rsid w:val="00795A3C"/>
    <w:rsid w:val="00795A9E"/>
    <w:rsid w:val="00795ADA"/>
    <w:rsid w:val="00795C14"/>
    <w:rsid w:val="00795FA1"/>
    <w:rsid w:val="00796165"/>
    <w:rsid w:val="00796242"/>
    <w:rsid w:val="007962A5"/>
    <w:rsid w:val="00796667"/>
    <w:rsid w:val="0079688C"/>
    <w:rsid w:val="00796904"/>
    <w:rsid w:val="00796AB2"/>
    <w:rsid w:val="00796C26"/>
    <w:rsid w:val="00796DD4"/>
    <w:rsid w:val="00796E11"/>
    <w:rsid w:val="00796E41"/>
    <w:rsid w:val="0079750E"/>
    <w:rsid w:val="0079754D"/>
    <w:rsid w:val="00797766"/>
    <w:rsid w:val="007979C2"/>
    <w:rsid w:val="00797A3F"/>
    <w:rsid w:val="00797A71"/>
    <w:rsid w:val="00797AFA"/>
    <w:rsid w:val="00797D1E"/>
    <w:rsid w:val="007A01A9"/>
    <w:rsid w:val="007A0316"/>
    <w:rsid w:val="007A0352"/>
    <w:rsid w:val="007A05CD"/>
    <w:rsid w:val="007A0811"/>
    <w:rsid w:val="007A091C"/>
    <w:rsid w:val="007A0B9A"/>
    <w:rsid w:val="007A0C59"/>
    <w:rsid w:val="007A0D1E"/>
    <w:rsid w:val="007A0F4D"/>
    <w:rsid w:val="007A1082"/>
    <w:rsid w:val="007A10CF"/>
    <w:rsid w:val="007A11E3"/>
    <w:rsid w:val="007A1241"/>
    <w:rsid w:val="007A1405"/>
    <w:rsid w:val="007A1513"/>
    <w:rsid w:val="007A2203"/>
    <w:rsid w:val="007A232B"/>
    <w:rsid w:val="007A24C8"/>
    <w:rsid w:val="007A26CE"/>
    <w:rsid w:val="007A2971"/>
    <w:rsid w:val="007A2ECB"/>
    <w:rsid w:val="007A2F3B"/>
    <w:rsid w:val="007A3478"/>
    <w:rsid w:val="007A37BD"/>
    <w:rsid w:val="007A3892"/>
    <w:rsid w:val="007A38A2"/>
    <w:rsid w:val="007A38D4"/>
    <w:rsid w:val="007A39BF"/>
    <w:rsid w:val="007A40B7"/>
    <w:rsid w:val="007A446C"/>
    <w:rsid w:val="007A44FB"/>
    <w:rsid w:val="007A4720"/>
    <w:rsid w:val="007A48E1"/>
    <w:rsid w:val="007A48FD"/>
    <w:rsid w:val="007A4AA3"/>
    <w:rsid w:val="007A4E69"/>
    <w:rsid w:val="007A4E93"/>
    <w:rsid w:val="007A5009"/>
    <w:rsid w:val="007A510E"/>
    <w:rsid w:val="007A53C8"/>
    <w:rsid w:val="007A54D1"/>
    <w:rsid w:val="007A5782"/>
    <w:rsid w:val="007A581A"/>
    <w:rsid w:val="007A5AD8"/>
    <w:rsid w:val="007A5CEA"/>
    <w:rsid w:val="007A5D1F"/>
    <w:rsid w:val="007A630B"/>
    <w:rsid w:val="007A63C8"/>
    <w:rsid w:val="007A644E"/>
    <w:rsid w:val="007A6A44"/>
    <w:rsid w:val="007A6A8C"/>
    <w:rsid w:val="007A6B2F"/>
    <w:rsid w:val="007A6FB7"/>
    <w:rsid w:val="007A70F5"/>
    <w:rsid w:val="007A733D"/>
    <w:rsid w:val="007A753E"/>
    <w:rsid w:val="007A7A35"/>
    <w:rsid w:val="007A7B38"/>
    <w:rsid w:val="007A7D09"/>
    <w:rsid w:val="007A7D9F"/>
    <w:rsid w:val="007A7DAB"/>
    <w:rsid w:val="007B004B"/>
    <w:rsid w:val="007B02BF"/>
    <w:rsid w:val="007B040A"/>
    <w:rsid w:val="007B0783"/>
    <w:rsid w:val="007B08CD"/>
    <w:rsid w:val="007B08E6"/>
    <w:rsid w:val="007B09CA"/>
    <w:rsid w:val="007B0AAC"/>
    <w:rsid w:val="007B0B66"/>
    <w:rsid w:val="007B0C2E"/>
    <w:rsid w:val="007B0DE4"/>
    <w:rsid w:val="007B0F45"/>
    <w:rsid w:val="007B0F75"/>
    <w:rsid w:val="007B1096"/>
    <w:rsid w:val="007B15EA"/>
    <w:rsid w:val="007B1810"/>
    <w:rsid w:val="007B19DC"/>
    <w:rsid w:val="007B1B4F"/>
    <w:rsid w:val="007B1C8B"/>
    <w:rsid w:val="007B1DA4"/>
    <w:rsid w:val="007B220B"/>
    <w:rsid w:val="007B24B2"/>
    <w:rsid w:val="007B26B4"/>
    <w:rsid w:val="007B26E9"/>
    <w:rsid w:val="007B273F"/>
    <w:rsid w:val="007B2902"/>
    <w:rsid w:val="007B2A58"/>
    <w:rsid w:val="007B2AB3"/>
    <w:rsid w:val="007B2BA0"/>
    <w:rsid w:val="007B2CEB"/>
    <w:rsid w:val="007B2D63"/>
    <w:rsid w:val="007B334D"/>
    <w:rsid w:val="007B3433"/>
    <w:rsid w:val="007B3442"/>
    <w:rsid w:val="007B3493"/>
    <w:rsid w:val="007B3880"/>
    <w:rsid w:val="007B3961"/>
    <w:rsid w:val="007B3C59"/>
    <w:rsid w:val="007B3CC1"/>
    <w:rsid w:val="007B3D25"/>
    <w:rsid w:val="007B3DD2"/>
    <w:rsid w:val="007B3F9A"/>
    <w:rsid w:val="007B48A0"/>
    <w:rsid w:val="007B48D9"/>
    <w:rsid w:val="007B4966"/>
    <w:rsid w:val="007B4E3F"/>
    <w:rsid w:val="007B4F30"/>
    <w:rsid w:val="007B5309"/>
    <w:rsid w:val="007B542A"/>
    <w:rsid w:val="007B5499"/>
    <w:rsid w:val="007B5B10"/>
    <w:rsid w:val="007B5B3E"/>
    <w:rsid w:val="007B5B8E"/>
    <w:rsid w:val="007B5CBE"/>
    <w:rsid w:val="007B5E38"/>
    <w:rsid w:val="007B5E73"/>
    <w:rsid w:val="007B5EED"/>
    <w:rsid w:val="007B5F1A"/>
    <w:rsid w:val="007B66B8"/>
    <w:rsid w:val="007B6AEF"/>
    <w:rsid w:val="007B6BD7"/>
    <w:rsid w:val="007B6BDE"/>
    <w:rsid w:val="007B6BE3"/>
    <w:rsid w:val="007B6F5C"/>
    <w:rsid w:val="007B6FAB"/>
    <w:rsid w:val="007B7C76"/>
    <w:rsid w:val="007B7F21"/>
    <w:rsid w:val="007C0045"/>
    <w:rsid w:val="007C0318"/>
    <w:rsid w:val="007C04E2"/>
    <w:rsid w:val="007C08C4"/>
    <w:rsid w:val="007C0B68"/>
    <w:rsid w:val="007C0C21"/>
    <w:rsid w:val="007C0FBA"/>
    <w:rsid w:val="007C115D"/>
    <w:rsid w:val="007C12E6"/>
    <w:rsid w:val="007C13ED"/>
    <w:rsid w:val="007C1616"/>
    <w:rsid w:val="007C16AD"/>
    <w:rsid w:val="007C16FE"/>
    <w:rsid w:val="007C1751"/>
    <w:rsid w:val="007C1A61"/>
    <w:rsid w:val="007C2159"/>
    <w:rsid w:val="007C21EB"/>
    <w:rsid w:val="007C2444"/>
    <w:rsid w:val="007C25F4"/>
    <w:rsid w:val="007C2685"/>
    <w:rsid w:val="007C29E2"/>
    <w:rsid w:val="007C29E6"/>
    <w:rsid w:val="007C2A60"/>
    <w:rsid w:val="007C2B2F"/>
    <w:rsid w:val="007C2C58"/>
    <w:rsid w:val="007C2C9B"/>
    <w:rsid w:val="007C2D90"/>
    <w:rsid w:val="007C3076"/>
    <w:rsid w:val="007C33B8"/>
    <w:rsid w:val="007C33C4"/>
    <w:rsid w:val="007C34E2"/>
    <w:rsid w:val="007C35D4"/>
    <w:rsid w:val="007C36D1"/>
    <w:rsid w:val="007C3B93"/>
    <w:rsid w:val="007C3E92"/>
    <w:rsid w:val="007C4385"/>
    <w:rsid w:val="007C47FE"/>
    <w:rsid w:val="007C4BA8"/>
    <w:rsid w:val="007C4F45"/>
    <w:rsid w:val="007C5202"/>
    <w:rsid w:val="007C527B"/>
    <w:rsid w:val="007C543A"/>
    <w:rsid w:val="007C5529"/>
    <w:rsid w:val="007C557C"/>
    <w:rsid w:val="007C5968"/>
    <w:rsid w:val="007C59B9"/>
    <w:rsid w:val="007C5B08"/>
    <w:rsid w:val="007C5B82"/>
    <w:rsid w:val="007C5C1D"/>
    <w:rsid w:val="007C5C79"/>
    <w:rsid w:val="007C5C98"/>
    <w:rsid w:val="007C5E77"/>
    <w:rsid w:val="007C689A"/>
    <w:rsid w:val="007C68D0"/>
    <w:rsid w:val="007C6B27"/>
    <w:rsid w:val="007C7238"/>
    <w:rsid w:val="007C7502"/>
    <w:rsid w:val="007C7A13"/>
    <w:rsid w:val="007C7A4F"/>
    <w:rsid w:val="007C7B54"/>
    <w:rsid w:val="007C7DBD"/>
    <w:rsid w:val="007C7F13"/>
    <w:rsid w:val="007C7F79"/>
    <w:rsid w:val="007D0012"/>
    <w:rsid w:val="007D0101"/>
    <w:rsid w:val="007D01AA"/>
    <w:rsid w:val="007D02DE"/>
    <w:rsid w:val="007D0406"/>
    <w:rsid w:val="007D05B2"/>
    <w:rsid w:val="007D062B"/>
    <w:rsid w:val="007D07A1"/>
    <w:rsid w:val="007D0B04"/>
    <w:rsid w:val="007D0C81"/>
    <w:rsid w:val="007D0D25"/>
    <w:rsid w:val="007D0DFD"/>
    <w:rsid w:val="007D1047"/>
    <w:rsid w:val="007D1385"/>
    <w:rsid w:val="007D162B"/>
    <w:rsid w:val="007D1B23"/>
    <w:rsid w:val="007D1BEF"/>
    <w:rsid w:val="007D1BFC"/>
    <w:rsid w:val="007D1C61"/>
    <w:rsid w:val="007D1CAE"/>
    <w:rsid w:val="007D1E1F"/>
    <w:rsid w:val="007D1FBB"/>
    <w:rsid w:val="007D2020"/>
    <w:rsid w:val="007D22C7"/>
    <w:rsid w:val="007D256C"/>
    <w:rsid w:val="007D2582"/>
    <w:rsid w:val="007D25C2"/>
    <w:rsid w:val="007D2608"/>
    <w:rsid w:val="007D2852"/>
    <w:rsid w:val="007D2B0D"/>
    <w:rsid w:val="007D2BF7"/>
    <w:rsid w:val="007D30A6"/>
    <w:rsid w:val="007D3275"/>
    <w:rsid w:val="007D339E"/>
    <w:rsid w:val="007D34FC"/>
    <w:rsid w:val="007D36F2"/>
    <w:rsid w:val="007D3790"/>
    <w:rsid w:val="007D38F3"/>
    <w:rsid w:val="007D38F9"/>
    <w:rsid w:val="007D3B2F"/>
    <w:rsid w:val="007D3BD0"/>
    <w:rsid w:val="007D3BF2"/>
    <w:rsid w:val="007D3E9B"/>
    <w:rsid w:val="007D3F0F"/>
    <w:rsid w:val="007D3FC7"/>
    <w:rsid w:val="007D4009"/>
    <w:rsid w:val="007D40C5"/>
    <w:rsid w:val="007D431B"/>
    <w:rsid w:val="007D4386"/>
    <w:rsid w:val="007D4747"/>
    <w:rsid w:val="007D4989"/>
    <w:rsid w:val="007D5110"/>
    <w:rsid w:val="007D5126"/>
    <w:rsid w:val="007D569A"/>
    <w:rsid w:val="007D5B62"/>
    <w:rsid w:val="007D5E7D"/>
    <w:rsid w:val="007D601F"/>
    <w:rsid w:val="007D6628"/>
    <w:rsid w:val="007D6675"/>
    <w:rsid w:val="007D68E3"/>
    <w:rsid w:val="007D69EF"/>
    <w:rsid w:val="007D6A68"/>
    <w:rsid w:val="007D731D"/>
    <w:rsid w:val="007D7400"/>
    <w:rsid w:val="007D752B"/>
    <w:rsid w:val="007D798F"/>
    <w:rsid w:val="007D7A5E"/>
    <w:rsid w:val="007D7B5C"/>
    <w:rsid w:val="007D7B95"/>
    <w:rsid w:val="007D7BC9"/>
    <w:rsid w:val="007D7BDD"/>
    <w:rsid w:val="007D7DF8"/>
    <w:rsid w:val="007D7E69"/>
    <w:rsid w:val="007E0049"/>
    <w:rsid w:val="007E0051"/>
    <w:rsid w:val="007E024D"/>
    <w:rsid w:val="007E03F1"/>
    <w:rsid w:val="007E04F9"/>
    <w:rsid w:val="007E05B0"/>
    <w:rsid w:val="007E079B"/>
    <w:rsid w:val="007E080F"/>
    <w:rsid w:val="007E0AA8"/>
    <w:rsid w:val="007E0C32"/>
    <w:rsid w:val="007E0F42"/>
    <w:rsid w:val="007E0F65"/>
    <w:rsid w:val="007E12E5"/>
    <w:rsid w:val="007E1301"/>
    <w:rsid w:val="007E1478"/>
    <w:rsid w:val="007E1623"/>
    <w:rsid w:val="007E18FA"/>
    <w:rsid w:val="007E1A48"/>
    <w:rsid w:val="007E1B77"/>
    <w:rsid w:val="007E1C1A"/>
    <w:rsid w:val="007E1C9B"/>
    <w:rsid w:val="007E1F28"/>
    <w:rsid w:val="007E1FD7"/>
    <w:rsid w:val="007E20AA"/>
    <w:rsid w:val="007E27C1"/>
    <w:rsid w:val="007E2848"/>
    <w:rsid w:val="007E28A8"/>
    <w:rsid w:val="007E296C"/>
    <w:rsid w:val="007E2B61"/>
    <w:rsid w:val="007E3074"/>
    <w:rsid w:val="007E30BA"/>
    <w:rsid w:val="007E3304"/>
    <w:rsid w:val="007E33F2"/>
    <w:rsid w:val="007E3889"/>
    <w:rsid w:val="007E3C33"/>
    <w:rsid w:val="007E3CF5"/>
    <w:rsid w:val="007E40D5"/>
    <w:rsid w:val="007E41CA"/>
    <w:rsid w:val="007E446F"/>
    <w:rsid w:val="007E44E1"/>
    <w:rsid w:val="007E46D1"/>
    <w:rsid w:val="007E472E"/>
    <w:rsid w:val="007E4B6C"/>
    <w:rsid w:val="007E4B82"/>
    <w:rsid w:val="007E4BE1"/>
    <w:rsid w:val="007E4DEB"/>
    <w:rsid w:val="007E4E2E"/>
    <w:rsid w:val="007E5060"/>
    <w:rsid w:val="007E51D8"/>
    <w:rsid w:val="007E52A8"/>
    <w:rsid w:val="007E5340"/>
    <w:rsid w:val="007E5379"/>
    <w:rsid w:val="007E57F8"/>
    <w:rsid w:val="007E5A05"/>
    <w:rsid w:val="007E5AA9"/>
    <w:rsid w:val="007E5B4D"/>
    <w:rsid w:val="007E5B6C"/>
    <w:rsid w:val="007E5B98"/>
    <w:rsid w:val="007E5E8B"/>
    <w:rsid w:val="007E6108"/>
    <w:rsid w:val="007E630D"/>
    <w:rsid w:val="007E66B9"/>
    <w:rsid w:val="007E6986"/>
    <w:rsid w:val="007E6A1C"/>
    <w:rsid w:val="007E6A44"/>
    <w:rsid w:val="007E6AB3"/>
    <w:rsid w:val="007E6BDE"/>
    <w:rsid w:val="007E6FB9"/>
    <w:rsid w:val="007E7134"/>
    <w:rsid w:val="007E739B"/>
    <w:rsid w:val="007E740B"/>
    <w:rsid w:val="007E7593"/>
    <w:rsid w:val="007E78C8"/>
    <w:rsid w:val="007E7A62"/>
    <w:rsid w:val="007E7B16"/>
    <w:rsid w:val="007E7DEB"/>
    <w:rsid w:val="007E7EB3"/>
    <w:rsid w:val="007F01E1"/>
    <w:rsid w:val="007F054A"/>
    <w:rsid w:val="007F0631"/>
    <w:rsid w:val="007F0A68"/>
    <w:rsid w:val="007F0A81"/>
    <w:rsid w:val="007F0C4C"/>
    <w:rsid w:val="007F0F32"/>
    <w:rsid w:val="007F1222"/>
    <w:rsid w:val="007F1594"/>
    <w:rsid w:val="007F15C1"/>
    <w:rsid w:val="007F1856"/>
    <w:rsid w:val="007F1A88"/>
    <w:rsid w:val="007F1BF4"/>
    <w:rsid w:val="007F1CF5"/>
    <w:rsid w:val="007F1EC7"/>
    <w:rsid w:val="007F24D3"/>
    <w:rsid w:val="007F26B2"/>
    <w:rsid w:val="007F2915"/>
    <w:rsid w:val="007F2A41"/>
    <w:rsid w:val="007F30CB"/>
    <w:rsid w:val="007F3266"/>
    <w:rsid w:val="007F3509"/>
    <w:rsid w:val="007F354E"/>
    <w:rsid w:val="007F3A32"/>
    <w:rsid w:val="007F3FEE"/>
    <w:rsid w:val="007F486B"/>
    <w:rsid w:val="007F4B7B"/>
    <w:rsid w:val="007F4E15"/>
    <w:rsid w:val="007F4E75"/>
    <w:rsid w:val="007F4FF7"/>
    <w:rsid w:val="007F5196"/>
    <w:rsid w:val="007F5534"/>
    <w:rsid w:val="007F555D"/>
    <w:rsid w:val="007F57E6"/>
    <w:rsid w:val="007F59AB"/>
    <w:rsid w:val="007F5F0C"/>
    <w:rsid w:val="007F61F9"/>
    <w:rsid w:val="007F627C"/>
    <w:rsid w:val="007F6459"/>
    <w:rsid w:val="007F6B16"/>
    <w:rsid w:val="007F6B3F"/>
    <w:rsid w:val="007F6F42"/>
    <w:rsid w:val="007F72E1"/>
    <w:rsid w:val="007F74D8"/>
    <w:rsid w:val="007F7807"/>
    <w:rsid w:val="007F7964"/>
    <w:rsid w:val="007F7C12"/>
    <w:rsid w:val="007F7CAE"/>
    <w:rsid w:val="007F7F98"/>
    <w:rsid w:val="008002B0"/>
    <w:rsid w:val="008003BF"/>
    <w:rsid w:val="0080051B"/>
    <w:rsid w:val="008007FB"/>
    <w:rsid w:val="00800B6D"/>
    <w:rsid w:val="00800B7E"/>
    <w:rsid w:val="00800C43"/>
    <w:rsid w:val="00800FF8"/>
    <w:rsid w:val="0080114B"/>
    <w:rsid w:val="00801255"/>
    <w:rsid w:val="008012F7"/>
    <w:rsid w:val="00801732"/>
    <w:rsid w:val="00801990"/>
    <w:rsid w:val="00801BBC"/>
    <w:rsid w:val="00801C36"/>
    <w:rsid w:val="008023B2"/>
    <w:rsid w:val="008024A5"/>
    <w:rsid w:val="00802612"/>
    <w:rsid w:val="008026B6"/>
    <w:rsid w:val="008026C4"/>
    <w:rsid w:val="008029DF"/>
    <w:rsid w:val="00802A73"/>
    <w:rsid w:val="00802B29"/>
    <w:rsid w:val="00802BFC"/>
    <w:rsid w:val="00802D5B"/>
    <w:rsid w:val="00802E3C"/>
    <w:rsid w:val="00802E49"/>
    <w:rsid w:val="008030CB"/>
    <w:rsid w:val="00803662"/>
    <w:rsid w:val="00803760"/>
    <w:rsid w:val="00803829"/>
    <w:rsid w:val="008038F4"/>
    <w:rsid w:val="00803A84"/>
    <w:rsid w:val="00803BA6"/>
    <w:rsid w:val="00803DFD"/>
    <w:rsid w:val="00803FD7"/>
    <w:rsid w:val="008040AB"/>
    <w:rsid w:val="008041E8"/>
    <w:rsid w:val="0080432A"/>
    <w:rsid w:val="0080459C"/>
    <w:rsid w:val="008045A6"/>
    <w:rsid w:val="00804A05"/>
    <w:rsid w:val="00804BDD"/>
    <w:rsid w:val="00804CB1"/>
    <w:rsid w:val="00805475"/>
    <w:rsid w:val="008054FF"/>
    <w:rsid w:val="008056A5"/>
    <w:rsid w:val="00805A91"/>
    <w:rsid w:val="00805B1B"/>
    <w:rsid w:val="00805D61"/>
    <w:rsid w:val="008060E8"/>
    <w:rsid w:val="0080638E"/>
    <w:rsid w:val="008063E6"/>
    <w:rsid w:val="00806818"/>
    <w:rsid w:val="00806920"/>
    <w:rsid w:val="00806A8B"/>
    <w:rsid w:val="00806B42"/>
    <w:rsid w:val="00806D4C"/>
    <w:rsid w:val="00806F10"/>
    <w:rsid w:val="00806F92"/>
    <w:rsid w:val="008071E0"/>
    <w:rsid w:val="0080726E"/>
    <w:rsid w:val="008073CD"/>
    <w:rsid w:val="0080749D"/>
    <w:rsid w:val="0080767D"/>
    <w:rsid w:val="00807995"/>
    <w:rsid w:val="00807E02"/>
    <w:rsid w:val="00807F85"/>
    <w:rsid w:val="0081031F"/>
    <w:rsid w:val="00810379"/>
    <w:rsid w:val="00810396"/>
    <w:rsid w:val="00810545"/>
    <w:rsid w:val="00810665"/>
    <w:rsid w:val="0081070D"/>
    <w:rsid w:val="008107AB"/>
    <w:rsid w:val="008108D7"/>
    <w:rsid w:val="008109A9"/>
    <w:rsid w:val="00810B13"/>
    <w:rsid w:val="00811157"/>
    <w:rsid w:val="00811334"/>
    <w:rsid w:val="00811336"/>
    <w:rsid w:val="0081196A"/>
    <w:rsid w:val="00811A9E"/>
    <w:rsid w:val="00811D37"/>
    <w:rsid w:val="00811E92"/>
    <w:rsid w:val="00811EC2"/>
    <w:rsid w:val="00811EF6"/>
    <w:rsid w:val="00811FD2"/>
    <w:rsid w:val="00812642"/>
    <w:rsid w:val="00812707"/>
    <w:rsid w:val="008127D8"/>
    <w:rsid w:val="00812984"/>
    <w:rsid w:val="00812AD6"/>
    <w:rsid w:val="00812B91"/>
    <w:rsid w:val="00812DEF"/>
    <w:rsid w:val="00812E18"/>
    <w:rsid w:val="0081301A"/>
    <w:rsid w:val="00813133"/>
    <w:rsid w:val="0081336C"/>
    <w:rsid w:val="0081375B"/>
    <w:rsid w:val="008137CF"/>
    <w:rsid w:val="00813CFE"/>
    <w:rsid w:val="00813E79"/>
    <w:rsid w:val="00813E9E"/>
    <w:rsid w:val="00813F10"/>
    <w:rsid w:val="00814063"/>
    <w:rsid w:val="00814190"/>
    <w:rsid w:val="0081423B"/>
    <w:rsid w:val="008142B2"/>
    <w:rsid w:val="00814378"/>
    <w:rsid w:val="00814500"/>
    <w:rsid w:val="008146EA"/>
    <w:rsid w:val="00814762"/>
    <w:rsid w:val="00814884"/>
    <w:rsid w:val="008149F5"/>
    <w:rsid w:val="00814BF5"/>
    <w:rsid w:val="00814D91"/>
    <w:rsid w:val="008153AE"/>
    <w:rsid w:val="008154CB"/>
    <w:rsid w:val="00815611"/>
    <w:rsid w:val="008156A3"/>
    <w:rsid w:val="00815BC6"/>
    <w:rsid w:val="00816542"/>
    <w:rsid w:val="00816551"/>
    <w:rsid w:val="00816681"/>
    <w:rsid w:val="008167BE"/>
    <w:rsid w:val="008168B7"/>
    <w:rsid w:val="008168E2"/>
    <w:rsid w:val="008169FF"/>
    <w:rsid w:val="00816AD2"/>
    <w:rsid w:val="00816AF3"/>
    <w:rsid w:val="00816D95"/>
    <w:rsid w:val="00816E85"/>
    <w:rsid w:val="00816FB0"/>
    <w:rsid w:val="008172C2"/>
    <w:rsid w:val="008172E7"/>
    <w:rsid w:val="00817473"/>
    <w:rsid w:val="00817581"/>
    <w:rsid w:val="00817603"/>
    <w:rsid w:val="0081772D"/>
    <w:rsid w:val="00817926"/>
    <w:rsid w:val="00817DD8"/>
    <w:rsid w:val="0082007B"/>
    <w:rsid w:val="00820126"/>
    <w:rsid w:val="0082013B"/>
    <w:rsid w:val="00820184"/>
    <w:rsid w:val="008202D0"/>
    <w:rsid w:val="008203C4"/>
    <w:rsid w:val="00820694"/>
    <w:rsid w:val="00820737"/>
    <w:rsid w:val="00820A0E"/>
    <w:rsid w:val="00820AE4"/>
    <w:rsid w:val="00820D8E"/>
    <w:rsid w:val="00821051"/>
    <w:rsid w:val="0082114D"/>
    <w:rsid w:val="008212CD"/>
    <w:rsid w:val="00821355"/>
    <w:rsid w:val="00821613"/>
    <w:rsid w:val="0082169A"/>
    <w:rsid w:val="00821E56"/>
    <w:rsid w:val="00821E76"/>
    <w:rsid w:val="00821E82"/>
    <w:rsid w:val="00821F73"/>
    <w:rsid w:val="00821F80"/>
    <w:rsid w:val="00822848"/>
    <w:rsid w:val="0082289C"/>
    <w:rsid w:val="00822975"/>
    <w:rsid w:val="00822BFA"/>
    <w:rsid w:val="00822D2E"/>
    <w:rsid w:val="00822E2F"/>
    <w:rsid w:val="00822F8A"/>
    <w:rsid w:val="00822F9D"/>
    <w:rsid w:val="0082319B"/>
    <w:rsid w:val="0082348A"/>
    <w:rsid w:val="008237EE"/>
    <w:rsid w:val="0082396E"/>
    <w:rsid w:val="00823E44"/>
    <w:rsid w:val="00823F30"/>
    <w:rsid w:val="00824126"/>
    <w:rsid w:val="008241BC"/>
    <w:rsid w:val="008243A2"/>
    <w:rsid w:val="008243D8"/>
    <w:rsid w:val="0082452A"/>
    <w:rsid w:val="00824873"/>
    <w:rsid w:val="00824AF7"/>
    <w:rsid w:val="00824CAD"/>
    <w:rsid w:val="00824DF1"/>
    <w:rsid w:val="00824EBE"/>
    <w:rsid w:val="0082510D"/>
    <w:rsid w:val="00825787"/>
    <w:rsid w:val="00825875"/>
    <w:rsid w:val="0082589A"/>
    <w:rsid w:val="00825ADD"/>
    <w:rsid w:val="00825E96"/>
    <w:rsid w:val="00826018"/>
    <w:rsid w:val="008260BA"/>
    <w:rsid w:val="008260DB"/>
    <w:rsid w:val="008261B1"/>
    <w:rsid w:val="008262D9"/>
    <w:rsid w:val="00826355"/>
    <w:rsid w:val="008263A8"/>
    <w:rsid w:val="008263D9"/>
    <w:rsid w:val="008263DE"/>
    <w:rsid w:val="008263FC"/>
    <w:rsid w:val="00826CF6"/>
    <w:rsid w:val="00826D37"/>
    <w:rsid w:val="00826E05"/>
    <w:rsid w:val="008271EC"/>
    <w:rsid w:val="00827200"/>
    <w:rsid w:val="0082736B"/>
    <w:rsid w:val="00827427"/>
    <w:rsid w:val="008277B7"/>
    <w:rsid w:val="0082789A"/>
    <w:rsid w:val="00827BE1"/>
    <w:rsid w:val="00827E67"/>
    <w:rsid w:val="00827ED3"/>
    <w:rsid w:val="008300EF"/>
    <w:rsid w:val="00830292"/>
    <w:rsid w:val="0083031E"/>
    <w:rsid w:val="008307D6"/>
    <w:rsid w:val="00830A50"/>
    <w:rsid w:val="00830B9C"/>
    <w:rsid w:val="00830BAA"/>
    <w:rsid w:val="00830C0B"/>
    <w:rsid w:val="00830F8A"/>
    <w:rsid w:val="00831104"/>
    <w:rsid w:val="0083110D"/>
    <w:rsid w:val="008311DD"/>
    <w:rsid w:val="00831572"/>
    <w:rsid w:val="0083163A"/>
    <w:rsid w:val="00831807"/>
    <w:rsid w:val="00831A30"/>
    <w:rsid w:val="0083211D"/>
    <w:rsid w:val="00832193"/>
    <w:rsid w:val="008322F6"/>
    <w:rsid w:val="0083248D"/>
    <w:rsid w:val="008326FC"/>
    <w:rsid w:val="0083289D"/>
    <w:rsid w:val="00832983"/>
    <w:rsid w:val="00832AE1"/>
    <w:rsid w:val="00832DA7"/>
    <w:rsid w:val="00833674"/>
    <w:rsid w:val="00833696"/>
    <w:rsid w:val="008338A3"/>
    <w:rsid w:val="00833969"/>
    <w:rsid w:val="00833FFB"/>
    <w:rsid w:val="00834194"/>
    <w:rsid w:val="008344A5"/>
    <w:rsid w:val="0083451B"/>
    <w:rsid w:val="00834554"/>
    <w:rsid w:val="00834609"/>
    <w:rsid w:val="00834625"/>
    <w:rsid w:val="0083472E"/>
    <w:rsid w:val="0083478E"/>
    <w:rsid w:val="008348CE"/>
    <w:rsid w:val="008349B4"/>
    <w:rsid w:val="00834A69"/>
    <w:rsid w:val="00834AB1"/>
    <w:rsid w:val="00834ED9"/>
    <w:rsid w:val="00834FAD"/>
    <w:rsid w:val="008353DF"/>
    <w:rsid w:val="008354BF"/>
    <w:rsid w:val="008356A1"/>
    <w:rsid w:val="0083571F"/>
    <w:rsid w:val="00835BDD"/>
    <w:rsid w:val="00835C26"/>
    <w:rsid w:val="00835F33"/>
    <w:rsid w:val="00835FCE"/>
    <w:rsid w:val="00836001"/>
    <w:rsid w:val="00836307"/>
    <w:rsid w:val="0083642E"/>
    <w:rsid w:val="008364D8"/>
    <w:rsid w:val="00836644"/>
    <w:rsid w:val="008368A9"/>
    <w:rsid w:val="00836B55"/>
    <w:rsid w:val="00836DD0"/>
    <w:rsid w:val="00836F50"/>
    <w:rsid w:val="00837700"/>
    <w:rsid w:val="0083780C"/>
    <w:rsid w:val="00837C31"/>
    <w:rsid w:val="00837F53"/>
    <w:rsid w:val="0084007E"/>
    <w:rsid w:val="008400C3"/>
    <w:rsid w:val="00840104"/>
    <w:rsid w:val="00840214"/>
    <w:rsid w:val="008406BE"/>
    <w:rsid w:val="0084079F"/>
    <w:rsid w:val="008407A4"/>
    <w:rsid w:val="00840B47"/>
    <w:rsid w:val="00840B7C"/>
    <w:rsid w:val="00840DD8"/>
    <w:rsid w:val="00841257"/>
    <w:rsid w:val="00841521"/>
    <w:rsid w:val="00841759"/>
    <w:rsid w:val="00841AD5"/>
    <w:rsid w:val="00841E52"/>
    <w:rsid w:val="008420C7"/>
    <w:rsid w:val="0084237A"/>
    <w:rsid w:val="00842540"/>
    <w:rsid w:val="0084254C"/>
    <w:rsid w:val="00842964"/>
    <w:rsid w:val="00843312"/>
    <w:rsid w:val="00843CDF"/>
    <w:rsid w:val="00843DBE"/>
    <w:rsid w:val="00843E04"/>
    <w:rsid w:val="00843E89"/>
    <w:rsid w:val="00843EC5"/>
    <w:rsid w:val="00844718"/>
    <w:rsid w:val="00844755"/>
    <w:rsid w:val="00844843"/>
    <w:rsid w:val="008448D9"/>
    <w:rsid w:val="00844AAB"/>
    <w:rsid w:val="0084509B"/>
    <w:rsid w:val="00845347"/>
    <w:rsid w:val="0084569F"/>
    <w:rsid w:val="00845923"/>
    <w:rsid w:val="00845951"/>
    <w:rsid w:val="00845F94"/>
    <w:rsid w:val="00845FB3"/>
    <w:rsid w:val="008463DA"/>
    <w:rsid w:val="008467FB"/>
    <w:rsid w:val="00846939"/>
    <w:rsid w:val="008469C9"/>
    <w:rsid w:val="00846A34"/>
    <w:rsid w:val="00846BAD"/>
    <w:rsid w:val="00846CB2"/>
    <w:rsid w:val="00846DAD"/>
    <w:rsid w:val="00846EAA"/>
    <w:rsid w:val="008470DE"/>
    <w:rsid w:val="00847120"/>
    <w:rsid w:val="0084716D"/>
    <w:rsid w:val="008472D3"/>
    <w:rsid w:val="0084744C"/>
    <w:rsid w:val="008474CF"/>
    <w:rsid w:val="0084754C"/>
    <w:rsid w:val="0084760C"/>
    <w:rsid w:val="008479C5"/>
    <w:rsid w:val="00847B19"/>
    <w:rsid w:val="00847EFD"/>
    <w:rsid w:val="00850021"/>
    <w:rsid w:val="00850127"/>
    <w:rsid w:val="0085018A"/>
    <w:rsid w:val="00850197"/>
    <w:rsid w:val="00850329"/>
    <w:rsid w:val="00850358"/>
    <w:rsid w:val="0085073D"/>
    <w:rsid w:val="008507A1"/>
    <w:rsid w:val="00850A01"/>
    <w:rsid w:val="00850C75"/>
    <w:rsid w:val="00850D01"/>
    <w:rsid w:val="008510BD"/>
    <w:rsid w:val="0085115E"/>
    <w:rsid w:val="008512A1"/>
    <w:rsid w:val="008516FA"/>
    <w:rsid w:val="0085178A"/>
    <w:rsid w:val="00851D57"/>
    <w:rsid w:val="00851F78"/>
    <w:rsid w:val="0085234F"/>
    <w:rsid w:val="00852629"/>
    <w:rsid w:val="0085312B"/>
    <w:rsid w:val="00853629"/>
    <w:rsid w:val="008538B6"/>
    <w:rsid w:val="00853966"/>
    <w:rsid w:val="00853B12"/>
    <w:rsid w:val="00853BD1"/>
    <w:rsid w:val="00853BF4"/>
    <w:rsid w:val="00853C46"/>
    <w:rsid w:val="00853C61"/>
    <w:rsid w:val="00853DEE"/>
    <w:rsid w:val="00853E1E"/>
    <w:rsid w:val="00853F9A"/>
    <w:rsid w:val="008540E2"/>
    <w:rsid w:val="008542E5"/>
    <w:rsid w:val="008546EE"/>
    <w:rsid w:val="00854773"/>
    <w:rsid w:val="00854D04"/>
    <w:rsid w:val="00854F31"/>
    <w:rsid w:val="0085581E"/>
    <w:rsid w:val="0085582F"/>
    <w:rsid w:val="0085598F"/>
    <w:rsid w:val="00855A3A"/>
    <w:rsid w:val="00855DF7"/>
    <w:rsid w:val="00855FF0"/>
    <w:rsid w:val="00855FFA"/>
    <w:rsid w:val="008560AC"/>
    <w:rsid w:val="008560BD"/>
    <w:rsid w:val="008561D7"/>
    <w:rsid w:val="00856257"/>
    <w:rsid w:val="00856386"/>
    <w:rsid w:val="008564F2"/>
    <w:rsid w:val="00856616"/>
    <w:rsid w:val="0085667E"/>
    <w:rsid w:val="00856835"/>
    <w:rsid w:val="008568F2"/>
    <w:rsid w:val="00856900"/>
    <w:rsid w:val="00856C81"/>
    <w:rsid w:val="00856D81"/>
    <w:rsid w:val="00856F4A"/>
    <w:rsid w:val="008570DF"/>
    <w:rsid w:val="00857325"/>
    <w:rsid w:val="0085745B"/>
    <w:rsid w:val="0085755B"/>
    <w:rsid w:val="008575B9"/>
    <w:rsid w:val="00857640"/>
    <w:rsid w:val="008578F9"/>
    <w:rsid w:val="00857AD6"/>
    <w:rsid w:val="00857BF1"/>
    <w:rsid w:val="00857CA6"/>
    <w:rsid w:val="00857CDA"/>
    <w:rsid w:val="00857F6C"/>
    <w:rsid w:val="0086029E"/>
    <w:rsid w:val="00860352"/>
    <w:rsid w:val="0086062B"/>
    <w:rsid w:val="00860777"/>
    <w:rsid w:val="00860DC5"/>
    <w:rsid w:val="008610D2"/>
    <w:rsid w:val="00861115"/>
    <w:rsid w:val="0086121F"/>
    <w:rsid w:val="00861386"/>
    <w:rsid w:val="00861469"/>
    <w:rsid w:val="0086154C"/>
    <w:rsid w:val="0086172C"/>
    <w:rsid w:val="008617B3"/>
    <w:rsid w:val="008618F7"/>
    <w:rsid w:val="008619BE"/>
    <w:rsid w:val="00861B50"/>
    <w:rsid w:val="00861B88"/>
    <w:rsid w:val="00861CE9"/>
    <w:rsid w:val="008621D9"/>
    <w:rsid w:val="0086228D"/>
    <w:rsid w:val="00862437"/>
    <w:rsid w:val="00862471"/>
    <w:rsid w:val="008625F8"/>
    <w:rsid w:val="00862AAE"/>
    <w:rsid w:val="00862B28"/>
    <w:rsid w:val="00862C5E"/>
    <w:rsid w:val="00862DD6"/>
    <w:rsid w:val="00862EE1"/>
    <w:rsid w:val="008633ED"/>
    <w:rsid w:val="00863796"/>
    <w:rsid w:val="008638BC"/>
    <w:rsid w:val="00863A31"/>
    <w:rsid w:val="00863AE3"/>
    <w:rsid w:val="00863E9E"/>
    <w:rsid w:val="00863F62"/>
    <w:rsid w:val="00863F7C"/>
    <w:rsid w:val="0086407E"/>
    <w:rsid w:val="00864147"/>
    <w:rsid w:val="008643D0"/>
    <w:rsid w:val="0086460C"/>
    <w:rsid w:val="00864928"/>
    <w:rsid w:val="00864A8E"/>
    <w:rsid w:val="00864BC9"/>
    <w:rsid w:val="00865399"/>
    <w:rsid w:val="008655EC"/>
    <w:rsid w:val="00865933"/>
    <w:rsid w:val="00865A9E"/>
    <w:rsid w:val="00865CDA"/>
    <w:rsid w:val="00865DD4"/>
    <w:rsid w:val="00865E32"/>
    <w:rsid w:val="008662E6"/>
    <w:rsid w:val="00866445"/>
    <w:rsid w:val="008664EB"/>
    <w:rsid w:val="008665A2"/>
    <w:rsid w:val="00866665"/>
    <w:rsid w:val="00866684"/>
    <w:rsid w:val="008667EA"/>
    <w:rsid w:val="00866953"/>
    <w:rsid w:val="00866E0D"/>
    <w:rsid w:val="00866FA3"/>
    <w:rsid w:val="00866FBB"/>
    <w:rsid w:val="00867106"/>
    <w:rsid w:val="00867108"/>
    <w:rsid w:val="0086726E"/>
    <w:rsid w:val="0086735C"/>
    <w:rsid w:val="0086749F"/>
    <w:rsid w:val="00867888"/>
    <w:rsid w:val="00867BF4"/>
    <w:rsid w:val="00867BF7"/>
    <w:rsid w:val="00867D9B"/>
    <w:rsid w:val="00867DD7"/>
    <w:rsid w:val="00870258"/>
    <w:rsid w:val="008705FF"/>
    <w:rsid w:val="00870A7E"/>
    <w:rsid w:val="00870B3B"/>
    <w:rsid w:val="00870B95"/>
    <w:rsid w:val="00870C2F"/>
    <w:rsid w:val="00870D71"/>
    <w:rsid w:val="00870F5E"/>
    <w:rsid w:val="00871124"/>
    <w:rsid w:val="00871267"/>
    <w:rsid w:val="008712BB"/>
    <w:rsid w:val="0087130F"/>
    <w:rsid w:val="008714B6"/>
    <w:rsid w:val="008716C8"/>
    <w:rsid w:val="00871ACD"/>
    <w:rsid w:val="00871BE0"/>
    <w:rsid w:val="00871BFE"/>
    <w:rsid w:val="00871F17"/>
    <w:rsid w:val="00871F1E"/>
    <w:rsid w:val="00872035"/>
    <w:rsid w:val="00872123"/>
    <w:rsid w:val="008722F3"/>
    <w:rsid w:val="0087236E"/>
    <w:rsid w:val="00872486"/>
    <w:rsid w:val="00872488"/>
    <w:rsid w:val="008729FE"/>
    <w:rsid w:val="00872BCA"/>
    <w:rsid w:val="00872D50"/>
    <w:rsid w:val="00872DAE"/>
    <w:rsid w:val="00873326"/>
    <w:rsid w:val="00873438"/>
    <w:rsid w:val="008735BA"/>
    <w:rsid w:val="00873711"/>
    <w:rsid w:val="0087374F"/>
    <w:rsid w:val="00873859"/>
    <w:rsid w:val="00873AFF"/>
    <w:rsid w:val="00873B12"/>
    <w:rsid w:val="00873CAF"/>
    <w:rsid w:val="008740AA"/>
    <w:rsid w:val="00874115"/>
    <w:rsid w:val="00874341"/>
    <w:rsid w:val="00874449"/>
    <w:rsid w:val="008744E3"/>
    <w:rsid w:val="00874512"/>
    <w:rsid w:val="00874845"/>
    <w:rsid w:val="00874B88"/>
    <w:rsid w:val="00874C03"/>
    <w:rsid w:val="00874D22"/>
    <w:rsid w:val="00874E01"/>
    <w:rsid w:val="00874E0D"/>
    <w:rsid w:val="00874F25"/>
    <w:rsid w:val="00875164"/>
    <w:rsid w:val="0087524F"/>
    <w:rsid w:val="0087552D"/>
    <w:rsid w:val="0087560D"/>
    <w:rsid w:val="00875A61"/>
    <w:rsid w:val="00875B3A"/>
    <w:rsid w:val="00875CA9"/>
    <w:rsid w:val="00875E09"/>
    <w:rsid w:val="00875E36"/>
    <w:rsid w:val="00875E3D"/>
    <w:rsid w:val="00876031"/>
    <w:rsid w:val="0087606B"/>
    <w:rsid w:val="00876163"/>
    <w:rsid w:val="0087626E"/>
    <w:rsid w:val="008762D3"/>
    <w:rsid w:val="0087631F"/>
    <w:rsid w:val="00876448"/>
    <w:rsid w:val="00876A7D"/>
    <w:rsid w:val="00876AA3"/>
    <w:rsid w:val="00876F83"/>
    <w:rsid w:val="00877060"/>
    <w:rsid w:val="008773BC"/>
    <w:rsid w:val="0087741E"/>
    <w:rsid w:val="00877712"/>
    <w:rsid w:val="008779D3"/>
    <w:rsid w:val="00877B1A"/>
    <w:rsid w:val="00877CEC"/>
    <w:rsid w:val="00877E89"/>
    <w:rsid w:val="00877F16"/>
    <w:rsid w:val="00880065"/>
    <w:rsid w:val="00880079"/>
    <w:rsid w:val="0088027A"/>
    <w:rsid w:val="0088050D"/>
    <w:rsid w:val="008806E5"/>
    <w:rsid w:val="0088076A"/>
    <w:rsid w:val="00880924"/>
    <w:rsid w:val="0088096A"/>
    <w:rsid w:val="00880D2F"/>
    <w:rsid w:val="00880E41"/>
    <w:rsid w:val="0088118D"/>
    <w:rsid w:val="0088127D"/>
    <w:rsid w:val="0088135A"/>
    <w:rsid w:val="008815AA"/>
    <w:rsid w:val="008818A2"/>
    <w:rsid w:val="008819CB"/>
    <w:rsid w:val="00881B4C"/>
    <w:rsid w:val="00882094"/>
    <w:rsid w:val="00882098"/>
    <w:rsid w:val="008820B1"/>
    <w:rsid w:val="008821A3"/>
    <w:rsid w:val="00882292"/>
    <w:rsid w:val="0088253A"/>
    <w:rsid w:val="00882597"/>
    <w:rsid w:val="0088273B"/>
    <w:rsid w:val="0088280B"/>
    <w:rsid w:val="00882838"/>
    <w:rsid w:val="00882956"/>
    <w:rsid w:val="00882C93"/>
    <w:rsid w:val="00882D1D"/>
    <w:rsid w:val="00882D7F"/>
    <w:rsid w:val="008830A6"/>
    <w:rsid w:val="008831AF"/>
    <w:rsid w:val="00883238"/>
    <w:rsid w:val="00883395"/>
    <w:rsid w:val="008833DA"/>
    <w:rsid w:val="008834BA"/>
    <w:rsid w:val="00883555"/>
    <w:rsid w:val="00883657"/>
    <w:rsid w:val="008837E7"/>
    <w:rsid w:val="008838A7"/>
    <w:rsid w:val="00883E96"/>
    <w:rsid w:val="00883F4E"/>
    <w:rsid w:val="00883FF5"/>
    <w:rsid w:val="00883FF9"/>
    <w:rsid w:val="00884169"/>
    <w:rsid w:val="008841FA"/>
    <w:rsid w:val="00884242"/>
    <w:rsid w:val="00884305"/>
    <w:rsid w:val="00884799"/>
    <w:rsid w:val="00884F2E"/>
    <w:rsid w:val="00884F52"/>
    <w:rsid w:val="008850EC"/>
    <w:rsid w:val="008852DE"/>
    <w:rsid w:val="00885305"/>
    <w:rsid w:val="008854FF"/>
    <w:rsid w:val="00885B1D"/>
    <w:rsid w:val="00885BA6"/>
    <w:rsid w:val="00885C2F"/>
    <w:rsid w:val="00885F3C"/>
    <w:rsid w:val="0088611D"/>
    <w:rsid w:val="008865C5"/>
    <w:rsid w:val="0088668E"/>
    <w:rsid w:val="0088678A"/>
    <w:rsid w:val="0088689D"/>
    <w:rsid w:val="00886AE3"/>
    <w:rsid w:val="00886B51"/>
    <w:rsid w:val="00886B98"/>
    <w:rsid w:val="00886CE0"/>
    <w:rsid w:val="008871E2"/>
    <w:rsid w:val="00887347"/>
    <w:rsid w:val="008873D6"/>
    <w:rsid w:val="00887409"/>
    <w:rsid w:val="0088755E"/>
    <w:rsid w:val="00887598"/>
    <w:rsid w:val="0088774F"/>
    <w:rsid w:val="008877CC"/>
    <w:rsid w:val="00887862"/>
    <w:rsid w:val="00887C3E"/>
    <w:rsid w:val="00887C6D"/>
    <w:rsid w:val="00887FA3"/>
    <w:rsid w:val="00887FE0"/>
    <w:rsid w:val="00890207"/>
    <w:rsid w:val="00890B0D"/>
    <w:rsid w:val="00890E36"/>
    <w:rsid w:val="00890FDC"/>
    <w:rsid w:val="00891018"/>
    <w:rsid w:val="0089108D"/>
    <w:rsid w:val="008915BC"/>
    <w:rsid w:val="0089189D"/>
    <w:rsid w:val="008918CF"/>
    <w:rsid w:val="00891B8A"/>
    <w:rsid w:val="00891B98"/>
    <w:rsid w:val="00891C63"/>
    <w:rsid w:val="00891D1E"/>
    <w:rsid w:val="00891DFB"/>
    <w:rsid w:val="00892259"/>
    <w:rsid w:val="00892354"/>
    <w:rsid w:val="0089248E"/>
    <w:rsid w:val="008925F7"/>
    <w:rsid w:val="00892678"/>
    <w:rsid w:val="00892951"/>
    <w:rsid w:val="00893436"/>
    <w:rsid w:val="00893569"/>
    <w:rsid w:val="0089368B"/>
    <w:rsid w:val="008936F7"/>
    <w:rsid w:val="008937B0"/>
    <w:rsid w:val="00893854"/>
    <w:rsid w:val="008938C8"/>
    <w:rsid w:val="00893CBF"/>
    <w:rsid w:val="0089422C"/>
    <w:rsid w:val="008946E2"/>
    <w:rsid w:val="0089476D"/>
    <w:rsid w:val="00894AB4"/>
    <w:rsid w:val="00894B3B"/>
    <w:rsid w:val="00894EFA"/>
    <w:rsid w:val="00895259"/>
    <w:rsid w:val="00895448"/>
    <w:rsid w:val="008957B1"/>
    <w:rsid w:val="008957B2"/>
    <w:rsid w:val="00895940"/>
    <w:rsid w:val="00895DA2"/>
    <w:rsid w:val="00895DC7"/>
    <w:rsid w:val="00895FBB"/>
    <w:rsid w:val="0089631A"/>
    <w:rsid w:val="008963A3"/>
    <w:rsid w:val="00896435"/>
    <w:rsid w:val="008969D1"/>
    <w:rsid w:val="00896A89"/>
    <w:rsid w:val="00896B54"/>
    <w:rsid w:val="00896CB2"/>
    <w:rsid w:val="00897261"/>
    <w:rsid w:val="008973D2"/>
    <w:rsid w:val="00897753"/>
    <w:rsid w:val="00897882"/>
    <w:rsid w:val="00897CAE"/>
    <w:rsid w:val="008A027B"/>
    <w:rsid w:val="008A0496"/>
    <w:rsid w:val="008A0746"/>
    <w:rsid w:val="008A0788"/>
    <w:rsid w:val="008A07E0"/>
    <w:rsid w:val="008A0829"/>
    <w:rsid w:val="008A083F"/>
    <w:rsid w:val="008A15FA"/>
    <w:rsid w:val="008A17E7"/>
    <w:rsid w:val="008A19F6"/>
    <w:rsid w:val="008A1A64"/>
    <w:rsid w:val="008A1AB7"/>
    <w:rsid w:val="008A1D90"/>
    <w:rsid w:val="008A22EA"/>
    <w:rsid w:val="008A23B5"/>
    <w:rsid w:val="008A2402"/>
    <w:rsid w:val="008A2428"/>
    <w:rsid w:val="008A2544"/>
    <w:rsid w:val="008A288F"/>
    <w:rsid w:val="008A2914"/>
    <w:rsid w:val="008A29AB"/>
    <w:rsid w:val="008A29B3"/>
    <w:rsid w:val="008A2ABC"/>
    <w:rsid w:val="008A2AE8"/>
    <w:rsid w:val="008A2BBE"/>
    <w:rsid w:val="008A2C15"/>
    <w:rsid w:val="008A2C51"/>
    <w:rsid w:val="008A2C63"/>
    <w:rsid w:val="008A2EAD"/>
    <w:rsid w:val="008A2F09"/>
    <w:rsid w:val="008A2F91"/>
    <w:rsid w:val="008A3131"/>
    <w:rsid w:val="008A32F7"/>
    <w:rsid w:val="008A38EF"/>
    <w:rsid w:val="008A4180"/>
    <w:rsid w:val="008A427D"/>
    <w:rsid w:val="008A4435"/>
    <w:rsid w:val="008A474A"/>
    <w:rsid w:val="008A47E9"/>
    <w:rsid w:val="008A48D8"/>
    <w:rsid w:val="008A4ADE"/>
    <w:rsid w:val="008A531E"/>
    <w:rsid w:val="008A534B"/>
    <w:rsid w:val="008A566B"/>
    <w:rsid w:val="008A58AF"/>
    <w:rsid w:val="008A5A40"/>
    <w:rsid w:val="008A630E"/>
    <w:rsid w:val="008A64CA"/>
    <w:rsid w:val="008A695E"/>
    <w:rsid w:val="008A6A78"/>
    <w:rsid w:val="008A6D70"/>
    <w:rsid w:val="008A6D77"/>
    <w:rsid w:val="008A6F27"/>
    <w:rsid w:val="008A7014"/>
    <w:rsid w:val="008A70C8"/>
    <w:rsid w:val="008A71BF"/>
    <w:rsid w:val="008A71E1"/>
    <w:rsid w:val="008A71E2"/>
    <w:rsid w:val="008A7344"/>
    <w:rsid w:val="008A7501"/>
    <w:rsid w:val="008A7737"/>
    <w:rsid w:val="008A7908"/>
    <w:rsid w:val="008A79F8"/>
    <w:rsid w:val="008A7B3C"/>
    <w:rsid w:val="008A7C53"/>
    <w:rsid w:val="008B0596"/>
    <w:rsid w:val="008B06AF"/>
    <w:rsid w:val="008B0761"/>
    <w:rsid w:val="008B081D"/>
    <w:rsid w:val="008B08EF"/>
    <w:rsid w:val="008B09AE"/>
    <w:rsid w:val="008B0AFB"/>
    <w:rsid w:val="008B0AFC"/>
    <w:rsid w:val="008B192D"/>
    <w:rsid w:val="008B1E01"/>
    <w:rsid w:val="008B1F53"/>
    <w:rsid w:val="008B1F84"/>
    <w:rsid w:val="008B28F9"/>
    <w:rsid w:val="008B2AEA"/>
    <w:rsid w:val="008B2BF8"/>
    <w:rsid w:val="008B2C8F"/>
    <w:rsid w:val="008B3062"/>
    <w:rsid w:val="008B3172"/>
    <w:rsid w:val="008B334F"/>
    <w:rsid w:val="008B35B1"/>
    <w:rsid w:val="008B35BE"/>
    <w:rsid w:val="008B35D2"/>
    <w:rsid w:val="008B3902"/>
    <w:rsid w:val="008B3B44"/>
    <w:rsid w:val="008B3DE4"/>
    <w:rsid w:val="008B3F2F"/>
    <w:rsid w:val="008B40BE"/>
    <w:rsid w:val="008B4336"/>
    <w:rsid w:val="008B4365"/>
    <w:rsid w:val="008B4394"/>
    <w:rsid w:val="008B4524"/>
    <w:rsid w:val="008B4819"/>
    <w:rsid w:val="008B4B9E"/>
    <w:rsid w:val="008B4BBF"/>
    <w:rsid w:val="008B4CC8"/>
    <w:rsid w:val="008B4D7B"/>
    <w:rsid w:val="008B551F"/>
    <w:rsid w:val="008B57BB"/>
    <w:rsid w:val="008B582B"/>
    <w:rsid w:val="008B59C5"/>
    <w:rsid w:val="008B5BB2"/>
    <w:rsid w:val="008B5CDB"/>
    <w:rsid w:val="008B6059"/>
    <w:rsid w:val="008B6B06"/>
    <w:rsid w:val="008B6BE5"/>
    <w:rsid w:val="008B6C2A"/>
    <w:rsid w:val="008B6D1A"/>
    <w:rsid w:val="008B6E0A"/>
    <w:rsid w:val="008B6E12"/>
    <w:rsid w:val="008B71AF"/>
    <w:rsid w:val="008B75F1"/>
    <w:rsid w:val="008C0692"/>
    <w:rsid w:val="008C08B6"/>
    <w:rsid w:val="008C0F67"/>
    <w:rsid w:val="008C0FCC"/>
    <w:rsid w:val="008C122D"/>
    <w:rsid w:val="008C19D8"/>
    <w:rsid w:val="008C1B20"/>
    <w:rsid w:val="008C1D32"/>
    <w:rsid w:val="008C1E5F"/>
    <w:rsid w:val="008C1E78"/>
    <w:rsid w:val="008C1F6B"/>
    <w:rsid w:val="008C21E2"/>
    <w:rsid w:val="008C22EB"/>
    <w:rsid w:val="008C243A"/>
    <w:rsid w:val="008C2488"/>
    <w:rsid w:val="008C24E9"/>
    <w:rsid w:val="008C2750"/>
    <w:rsid w:val="008C2A86"/>
    <w:rsid w:val="008C2C96"/>
    <w:rsid w:val="008C2D2A"/>
    <w:rsid w:val="008C3059"/>
    <w:rsid w:val="008C30C8"/>
    <w:rsid w:val="008C32C0"/>
    <w:rsid w:val="008C3341"/>
    <w:rsid w:val="008C351D"/>
    <w:rsid w:val="008C3840"/>
    <w:rsid w:val="008C38A8"/>
    <w:rsid w:val="008C3A78"/>
    <w:rsid w:val="008C3D0F"/>
    <w:rsid w:val="008C3F2E"/>
    <w:rsid w:val="008C41C2"/>
    <w:rsid w:val="008C425C"/>
    <w:rsid w:val="008C43F4"/>
    <w:rsid w:val="008C4541"/>
    <w:rsid w:val="008C4769"/>
    <w:rsid w:val="008C4993"/>
    <w:rsid w:val="008C49E8"/>
    <w:rsid w:val="008C4AB3"/>
    <w:rsid w:val="008C4BB5"/>
    <w:rsid w:val="008C4C0C"/>
    <w:rsid w:val="008C4C2C"/>
    <w:rsid w:val="008C4EB8"/>
    <w:rsid w:val="008C4FA1"/>
    <w:rsid w:val="008C5043"/>
    <w:rsid w:val="008C52C1"/>
    <w:rsid w:val="008C531A"/>
    <w:rsid w:val="008C5329"/>
    <w:rsid w:val="008C5397"/>
    <w:rsid w:val="008C53A0"/>
    <w:rsid w:val="008C53BF"/>
    <w:rsid w:val="008C5F37"/>
    <w:rsid w:val="008C649B"/>
    <w:rsid w:val="008C64C1"/>
    <w:rsid w:val="008C6705"/>
    <w:rsid w:val="008C6DCF"/>
    <w:rsid w:val="008C6E04"/>
    <w:rsid w:val="008C6EF6"/>
    <w:rsid w:val="008C70FF"/>
    <w:rsid w:val="008C7613"/>
    <w:rsid w:val="008C76CC"/>
    <w:rsid w:val="008C7902"/>
    <w:rsid w:val="008C7FC1"/>
    <w:rsid w:val="008D0024"/>
    <w:rsid w:val="008D0058"/>
    <w:rsid w:val="008D03DB"/>
    <w:rsid w:val="008D065C"/>
    <w:rsid w:val="008D0813"/>
    <w:rsid w:val="008D0C82"/>
    <w:rsid w:val="008D0E26"/>
    <w:rsid w:val="008D0EE9"/>
    <w:rsid w:val="008D0F94"/>
    <w:rsid w:val="008D1030"/>
    <w:rsid w:val="008D119C"/>
    <w:rsid w:val="008D1299"/>
    <w:rsid w:val="008D1620"/>
    <w:rsid w:val="008D17BB"/>
    <w:rsid w:val="008D1A6E"/>
    <w:rsid w:val="008D1DDD"/>
    <w:rsid w:val="008D1FB4"/>
    <w:rsid w:val="008D2122"/>
    <w:rsid w:val="008D237E"/>
    <w:rsid w:val="008D2A57"/>
    <w:rsid w:val="008D2CC9"/>
    <w:rsid w:val="008D3041"/>
    <w:rsid w:val="008D319F"/>
    <w:rsid w:val="008D333F"/>
    <w:rsid w:val="008D3398"/>
    <w:rsid w:val="008D3416"/>
    <w:rsid w:val="008D37B4"/>
    <w:rsid w:val="008D38CF"/>
    <w:rsid w:val="008D39FC"/>
    <w:rsid w:val="008D3C61"/>
    <w:rsid w:val="008D3E29"/>
    <w:rsid w:val="008D3E47"/>
    <w:rsid w:val="008D3ECF"/>
    <w:rsid w:val="008D400D"/>
    <w:rsid w:val="008D43FA"/>
    <w:rsid w:val="008D4517"/>
    <w:rsid w:val="008D4582"/>
    <w:rsid w:val="008D4789"/>
    <w:rsid w:val="008D4866"/>
    <w:rsid w:val="008D4C56"/>
    <w:rsid w:val="008D4D28"/>
    <w:rsid w:val="008D50ED"/>
    <w:rsid w:val="008D51B5"/>
    <w:rsid w:val="008D5E3B"/>
    <w:rsid w:val="008D5EEA"/>
    <w:rsid w:val="008D5F5D"/>
    <w:rsid w:val="008D6093"/>
    <w:rsid w:val="008D61B9"/>
    <w:rsid w:val="008D63A9"/>
    <w:rsid w:val="008D6570"/>
    <w:rsid w:val="008D6791"/>
    <w:rsid w:val="008D6831"/>
    <w:rsid w:val="008D6874"/>
    <w:rsid w:val="008D691A"/>
    <w:rsid w:val="008D6AE3"/>
    <w:rsid w:val="008D6C0D"/>
    <w:rsid w:val="008D6D0D"/>
    <w:rsid w:val="008D6E96"/>
    <w:rsid w:val="008D6F5D"/>
    <w:rsid w:val="008D7050"/>
    <w:rsid w:val="008D70AF"/>
    <w:rsid w:val="008D711B"/>
    <w:rsid w:val="008D72CE"/>
    <w:rsid w:val="008D7335"/>
    <w:rsid w:val="008D790D"/>
    <w:rsid w:val="008D7B8E"/>
    <w:rsid w:val="008D7BE2"/>
    <w:rsid w:val="008D7D95"/>
    <w:rsid w:val="008D7E57"/>
    <w:rsid w:val="008D7EB3"/>
    <w:rsid w:val="008E0447"/>
    <w:rsid w:val="008E0506"/>
    <w:rsid w:val="008E065E"/>
    <w:rsid w:val="008E06C4"/>
    <w:rsid w:val="008E06E1"/>
    <w:rsid w:val="008E0AE8"/>
    <w:rsid w:val="008E0CCF"/>
    <w:rsid w:val="008E0D6F"/>
    <w:rsid w:val="008E0F46"/>
    <w:rsid w:val="008E0FE0"/>
    <w:rsid w:val="008E11AC"/>
    <w:rsid w:val="008E156A"/>
    <w:rsid w:val="008E158A"/>
    <w:rsid w:val="008E166B"/>
    <w:rsid w:val="008E17FE"/>
    <w:rsid w:val="008E2663"/>
    <w:rsid w:val="008E2687"/>
    <w:rsid w:val="008E2709"/>
    <w:rsid w:val="008E2740"/>
    <w:rsid w:val="008E27F0"/>
    <w:rsid w:val="008E2CAA"/>
    <w:rsid w:val="008E2FA6"/>
    <w:rsid w:val="008E3009"/>
    <w:rsid w:val="008E3189"/>
    <w:rsid w:val="008E31D3"/>
    <w:rsid w:val="008E3368"/>
    <w:rsid w:val="008E3A31"/>
    <w:rsid w:val="008E3A4A"/>
    <w:rsid w:val="008E3DAB"/>
    <w:rsid w:val="008E3FCD"/>
    <w:rsid w:val="008E4061"/>
    <w:rsid w:val="008E40C5"/>
    <w:rsid w:val="008E421A"/>
    <w:rsid w:val="008E4298"/>
    <w:rsid w:val="008E4419"/>
    <w:rsid w:val="008E4462"/>
    <w:rsid w:val="008E45FA"/>
    <w:rsid w:val="008E47EB"/>
    <w:rsid w:val="008E4807"/>
    <w:rsid w:val="008E4A0A"/>
    <w:rsid w:val="008E4A85"/>
    <w:rsid w:val="008E4B7F"/>
    <w:rsid w:val="008E4D8E"/>
    <w:rsid w:val="008E5049"/>
    <w:rsid w:val="008E50D6"/>
    <w:rsid w:val="008E5108"/>
    <w:rsid w:val="008E5132"/>
    <w:rsid w:val="008E54EA"/>
    <w:rsid w:val="008E566B"/>
    <w:rsid w:val="008E569B"/>
    <w:rsid w:val="008E5891"/>
    <w:rsid w:val="008E59F2"/>
    <w:rsid w:val="008E5BED"/>
    <w:rsid w:val="008E5C4A"/>
    <w:rsid w:val="008E5CEE"/>
    <w:rsid w:val="008E5E22"/>
    <w:rsid w:val="008E5FE3"/>
    <w:rsid w:val="008E60F1"/>
    <w:rsid w:val="008E62AE"/>
    <w:rsid w:val="008E65E2"/>
    <w:rsid w:val="008E6820"/>
    <w:rsid w:val="008E6B4F"/>
    <w:rsid w:val="008E70A5"/>
    <w:rsid w:val="008E713A"/>
    <w:rsid w:val="008E72C1"/>
    <w:rsid w:val="008E7368"/>
    <w:rsid w:val="008E7610"/>
    <w:rsid w:val="008E76CD"/>
    <w:rsid w:val="008E775D"/>
    <w:rsid w:val="008E77B0"/>
    <w:rsid w:val="008E77EF"/>
    <w:rsid w:val="008E790B"/>
    <w:rsid w:val="008E79C9"/>
    <w:rsid w:val="008E7AE4"/>
    <w:rsid w:val="008E7B9C"/>
    <w:rsid w:val="008E7BB1"/>
    <w:rsid w:val="008E7D28"/>
    <w:rsid w:val="008F016D"/>
    <w:rsid w:val="008F019B"/>
    <w:rsid w:val="008F0317"/>
    <w:rsid w:val="008F06E6"/>
    <w:rsid w:val="008F07C3"/>
    <w:rsid w:val="008F0844"/>
    <w:rsid w:val="008F09A0"/>
    <w:rsid w:val="008F09E7"/>
    <w:rsid w:val="008F0DAB"/>
    <w:rsid w:val="008F0F9F"/>
    <w:rsid w:val="008F1075"/>
    <w:rsid w:val="008F1214"/>
    <w:rsid w:val="008F135C"/>
    <w:rsid w:val="008F137F"/>
    <w:rsid w:val="008F14C1"/>
    <w:rsid w:val="008F1572"/>
    <w:rsid w:val="008F163E"/>
    <w:rsid w:val="008F170E"/>
    <w:rsid w:val="008F172E"/>
    <w:rsid w:val="008F197C"/>
    <w:rsid w:val="008F1D8F"/>
    <w:rsid w:val="008F22BC"/>
    <w:rsid w:val="008F231E"/>
    <w:rsid w:val="008F2455"/>
    <w:rsid w:val="008F24E5"/>
    <w:rsid w:val="008F2515"/>
    <w:rsid w:val="008F253E"/>
    <w:rsid w:val="008F2754"/>
    <w:rsid w:val="008F28F2"/>
    <w:rsid w:val="008F2A4C"/>
    <w:rsid w:val="008F2B10"/>
    <w:rsid w:val="008F2EA4"/>
    <w:rsid w:val="008F2F6F"/>
    <w:rsid w:val="008F3024"/>
    <w:rsid w:val="008F306D"/>
    <w:rsid w:val="008F31BD"/>
    <w:rsid w:val="008F366B"/>
    <w:rsid w:val="008F3771"/>
    <w:rsid w:val="008F3A1E"/>
    <w:rsid w:val="008F410B"/>
    <w:rsid w:val="008F4244"/>
    <w:rsid w:val="008F4664"/>
    <w:rsid w:val="008F4693"/>
    <w:rsid w:val="008F4700"/>
    <w:rsid w:val="008F4709"/>
    <w:rsid w:val="008F486B"/>
    <w:rsid w:val="008F490D"/>
    <w:rsid w:val="008F4A9F"/>
    <w:rsid w:val="008F4DFE"/>
    <w:rsid w:val="008F4F37"/>
    <w:rsid w:val="008F50F9"/>
    <w:rsid w:val="008F5757"/>
    <w:rsid w:val="008F5C5D"/>
    <w:rsid w:val="008F5C8A"/>
    <w:rsid w:val="008F5E3A"/>
    <w:rsid w:val="008F5FC1"/>
    <w:rsid w:val="008F616A"/>
    <w:rsid w:val="008F6182"/>
    <w:rsid w:val="008F6276"/>
    <w:rsid w:val="008F675D"/>
    <w:rsid w:val="008F67DD"/>
    <w:rsid w:val="008F69F4"/>
    <w:rsid w:val="008F6C01"/>
    <w:rsid w:val="008F6C08"/>
    <w:rsid w:val="008F6C99"/>
    <w:rsid w:val="008F6F83"/>
    <w:rsid w:val="008F72CD"/>
    <w:rsid w:val="008F764E"/>
    <w:rsid w:val="008F7753"/>
    <w:rsid w:val="008F7EEA"/>
    <w:rsid w:val="008F7F98"/>
    <w:rsid w:val="00900503"/>
    <w:rsid w:val="009008BB"/>
    <w:rsid w:val="00900923"/>
    <w:rsid w:val="00900C1E"/>
    <w:rsid w:val="0090102C"/>
    <w:rsid w:val="0090107D"/>
    <w:rsid w:val="009010BE"/>
    <w:rsid w:val="0090144C"/>
    <w:rsid w:val="0090148C"/>
    <w:rsid w:val="00901671"/>
    <w:rsid w:val="0090173C"/>
    <w:rsid w:val="00901758"/>
    <w:rsid w:val="009018F7"/>
    <w:rsid w:val="00901CD6"/>
    <w:rsid w:val="00901D06"/>
    <w:rsid w:val="009024FE"/>
    <w:rsid w:val="00902627"/>
    <w:rsid w:val="0090267D"/>
    <w:rsid w:val="009028D4"/>
    <w:rsid w:val="00902A27"/>
    <w:rsid w:val="00902B6A"/>
    <w:rsid w:val="00902BD2"/>
    <w:rsid w:val="00902FDC"/>
    <w:rsid w:val="00903161"/>
    <w:rsid w:val="00903215"/>
    <w:rsid w:val="009033A9"/>
    <w:rsid w:val="009035F4"/>
    <w:rsid w:val="00903730"/>
    <w:rsid w:val="009038B4"/>
    <w:rsid w:val="009038CA"/>
    <w:rsid w:val="00903959"/>
    <w:rsid w:val="00903A19"/>
    <w:rsid w:val="00903D76"/>
    <w:rsid w:val="00903FC4"/>
    <w:rsid w:val="009041A9"/>
    <w:rsid w:val="009046D3"/>
    <w:rsid w:val="00904940"/>
    <w:rsid w:val="00904BA8"/>
    <w:rsid w:val="00904D48"/>
    <w:rsid w:val="00904F4D"/>
    <w:rsid w:val="00904F89"/>
    <w:rsid w:val="00905434"/>
    <w:rsid w:val="0090556D"/>
    <w:rsid w:val="009055E2"/>
    <w:rsid w:val="00905F27"/>
    <w:rsid w:val="009067A1"/>
    <w:rsid w:val="009068F2"/>
    <w:rsid w:val="00906D57"/>
    <w:rsid w:val="00906E72"/>
    <w:rsid w:val="00906E91"/>
    <w:rsid w:val="0090700F"/>
    <w:rsid w:val="009071F7"/>
    <w:rsid w:val="009074B2"/>
    <w:rsid w:val="00907A05"/>
    <w:rsid w:val="00907BB2"/>
    <w:rsid w:val="00907DF9"/>
    <w:rsid w:val="009101A5"/>
    <w:rsid w:val="00910515"/>
    <w:rsid w:val="009107B8"/>
    <w:rsid w:val="00910913"/>
    <w:rsid w:val="0091093E"/>
    <w:rsid w:val="00910AB6"/>
    <w:rsid w:val="00910B8E"/>
    <w:rsid w:val="00910D3A"/>
    <w:rsid w:val="00910F8D"/>
    <w:rsid w:val="0091101D"/>
    <w:rsid w:val="009110DF"/>
    <w:rsid w:val="0091119B"/>
    <w:rsid w:val="00911239"/>
    <w:rsid w:val="00911304"/>
    <w:rsid w:val="00911635"/>
    <w:rsid w:val="009117BB"/>
    <w:rsid w:val="009118D6"/>
    <w:rsid w:val="00911A69"/>
    <w:rsid w:val="00911BEF"/>
    <w:rsid w:val="00911C25"/>
    <w:rsid w:val="00911E43"/>
    <w:rsid w:val="0091208F"/>
    <w:rsid w:val="009120DF"/>
    <w:rsid w:val="00912356"/>
    <w:rsid w:val="00912480"/>
    <w:rsid w:val="0091257F"/>
    <w:rsid w:val="009126DE"/>
    <w:rsid w:val="00912717"/>
    <w:rsid w:val="00912946"/>
    <w:rsid w:val="00912B52"/>
    <w:rsid w:val="00912BFC"/>
    <w:rsid w:val="00912D57"/>
    <w:rsid w:val="00912F0C"/>
    <w:rsid w:val="00912F35"/>
    <w:rsid w:val="00913089"/>
    <w:rsid w:val="00913178"/>
    <w:rsid w:val="009131FC"/>
    <w:rsid w:val="0091340F"/>
    <w:rsid w:val="0091353E"/>
    <w:rsid w:val="00913613"/>
    <w:rsid w:val="0091387D"/>
    <w:rsid w:val="009139D9"/>
    <w:rsid w:val="00913A56"/>
    <w:rsid w:val="00913F54"/>
    <w:rsid w:val="0091476A"/>
    <w:rsid w:val="00914B2F"/>
    <w:rsid w:val="00914BB0"/>
    <w:rsid w:val="00914EED"/>
    <w:rsid w:val="009153CD"/>
    <w:rsid w:val="0091542C"/>
    <w:rsid w:val="009154E7"/>
    <w:rsid w:val="00915743"/>
    <w:rsid w:val="009157F0"/>
    <w:rsid w:val="00915A58"/>
    <w:rsid w:val="009160D9"/>
    <w:rsid w:val="0091644D"/>
    <w:rsid w:val="009165AC"/>
    <w:rsid w:val="00916695"/>
    <w:rsid w:val="009167D1"/>
    <w:rsid w:val="00916A33"/>
    <w:rsid w:val="00916F87"/>
    <w:rsid w:val="009174CA"/>
    <w:rsid w:val="0091757F"/>
    <w:rsid w:val="009175AA"/>
    <w:rsid w:val="00917ABC"/>
    <w:rsid w:val="00917AE5"/>
    <w:rsid w:val="00917B15"/>
    <w:rsid w:val="00917C5F"/>
    <w:rsid w:val="00917C88"/>
    <w:rsid w:val="00917D27"/>
    <w:rsid w:val="00917EE9"/>
    <w:rsid w:val="00920546"/>
    <w:rsid w:val="009207CB"/>
    <w:rsid w:val="00920AA3"/>
    <w:rsid w:val="00920C81"/>
    <w:rsid w:val="00920D14"/>
    <w:rsid w:val="00920D31"/>
    <w:rsid w:val="00921074"/>
    <w:rsid w:val="009211FF"/>
    <w:rsid w:val="00921560"/>
    <w:rsid w:val="009216E5"/>
    <w:rsid w:val="0092179B"/>
    <w:rsid w:val="00921ABA"/>
    <w:rsid w:val="00921B76"/>
    <w:rsid w:val="00921F0F"/>
    <w:rsid w:val="00922095"/>
    <w:rsid w:val="00922149"/>
    <w:rsid w:val="00922216"/>
    <w:rsid w:val="009226E8"/>
    <w:rsid w:val="00922A5C"/>
    <w:rsid w:val="00922FCF"/>
    <w:rsid w:val="009230AF"/>
    <w:rsid w:val="00923394"/>
    <w:rsid w:val="009237EC"/>
    <w:rsid w:val="009239AA"/>
    <w:rsid w:val="00923A10"/>
    <w:rsid w:val="00923BC6"/>
    <w:rsid w:val="00923D15"/>
    <w:rsid w:val="00923E77"/>
    <w:rsid w:val="00923EA8"/>
    <w:rsid w:val="00924021"/>
    <w:rsid w:val="00924234"/>
    <w:rsid w:val="009242B8"/>
    <w:rsid w:val="009243BC"/>
    <w:rsid w:val="009244B2"/>
    <w:rsid w:val="00924507"/>
    <w:rsid w:val="0092461A"/>
    <w:rsid w:val="0092476A"/>
    <w:rsid w:val="00924805"/>
    <w:rsid w:val="0092491F"/>
    <w:rsid w:val="0092535F"/>
    <w:rsid w:val="00925381"/>
    <w:rsid w:val="00925460"/>
    <w:rsid w:val="009255CE"/>
    <w:rsid w:val="00925845"/>
    <w:rsid w:val="0092585D"/>
    <w:rsid w:val="009258B4"/>
    <w:rsid w:val="00925944"/>
    <w:rsid w:val="00925A28"/>
    <w:rsid w:val="00925ADD"/>
    <w:rsid w:val="00925C04"/>
    <w:rsid w:val="00925E7A"/>
    <w:rsid w:val="00926005"/>
    <w:rsid w:val="0092603D"/>
    <w:rsid w:val="00926274"/>
    <w:rsid w:val="00926548"/>
    <w:rsid w:val="00926903"/>
    <w:rsid w:val="00926E12"/>
    <w:rsid w:val="00926E37"/>
    <w:rsid w:val="00926FAA"/>
    <w:rsid w:val="00926FE2"/>
    <w:rsid w:val="0092757E"/>
    <w:rsid w:val="009276EB"/>
    <w:rsid w:val="0092786A"/>
    <w:rsid w:val="009278DC"/>
    <w:rsid w:val="00927C97"/>
    <w:rsid w:val="00927CDE"/>
    <w:rsid w:val="00927D71"/>
    <w:rsid w:val="00927EC9"/>
    <w:rsid w:val="00927F56"/>
    <w:rsid w:val="00930251"/>
    <w:rsid w:val="00930281"/>
    <w:rsid w:val="009305D5"/>
    <w:rsid w:val="009307E5"/>
    <w:rsid w:val="00930A0C"/>
    <w:rsid w:val="00931734"/>
    <w:rsid w:val="0093186A"/>
    <w:rsid w:val="00931C10"/>
    <w:rsid w:val="0093216C"/>
    <w:rsid w:val="0093248E"/>
    <w:rsid w:val="00932650"/>
    <w:rsid w:val="00932726"/>
    <w:rsid w:val="00932926"/>
    <w:rsid w:val="00932935"/>
    <w:rsid w:val="00932EA0"/>
    <w:rsid w:val="00933464"/>
    <w:rsid w:val="009335A1"/>
    <w:rsid w:val="00933800"/>
    <w:rsid w:val="00933851"/>
    <w:rsid w:val="0093389D"/>
    <w:rsid w:val="009338C3"/>
    <w:rsid w:val="00933CC5"/>
    <w:rsid w:val="00933D4B"/>
    <w:rsid w:val="00933E02"/>
    <w:rsid w:val="00933F94"/>
    <w:rsid w:val="00933FF7"/>
    <w:rsid w:val="009340AC"/>
    <w:rsid w:val="009340D8"/>
    <w:rsid w:val="00934122"/>
    <w:rsid w:val="00934316"/>
    <w:rsid w:val="00934409"/>
    <w:rsid w:val="00934E12"/>
    <w:rsid w:val="0093519F"/>
    <w:rsid w:val="0093526C"/>
    <w:rsid w:val="009353B5"/>
    <w:rsid w:val="00935406"/>
    <w:rsid w:val="0093578B"/>
    <w:rsid w:val="009357B9"/>
    <w:rsid w:val="00935A75"/>
    <w:rsid w:val="00935B5E"/>
    <w:rsid w:val="00935BE8"/>
    <w:rsid w:val="00935DC0"/>
    <w:rsid w:val="0093618A"/>
    <w:rsid w:val="0093627F"/>
    <w:rsid w:val="009362A1"/>
    <w:rsid w:val="009362BB"/>
    <w:rsid w:val="0093633D"/>
    <w:rsid w:val="00936740"/>
    <w:rsid w:val="009367C7"/>
    <w:rsid w:val="0093694C"/>
    <w:rsid w:val="00936D4C"/>
    <w:rsid w:val="00936D79"/>
    <w:rsid w:val="00936DAB"/>
    <w:rsid w:val="009371F7"/>
    <w:rsid w:val="00937688"/>
    <w:rsid w:val="00937732"/>
    <w:rsid w:val="00937743"/>
    <w:rsid w:val="00937D21"/>
    <w:rsid w:val="00937F13"/>
    <w:rsid w:val="00940372"/>
    <w:rsid w:val="009404B8"/>
    <w:rsid w:val="00940765"/>
    <w:rsid w:val="0094079D"/>
    <w:rsid w:val="009407E2"/>
    <w:rsid w:val="00940A46"/>
    <w:rsid w:val="00940AFD"/>
    <w:rsid w:val="00941302"/>
    <w:rsid w:val="00941627"/>
    <w:rsid w:val="00941775"/>
    <w:rsid w:val="00941906"/>
    <w:rsid w:val="00941952"/>
    <w:rsid w:val="00941CE0"/>
    <w:rsid w:val="00941D66"/>
    <w:rsid w:val="0094224A"/>
    <w:rsid w:val="00942364"/>
    <w:rsid w:val="00942443"/>
    <w:rsid w:val="009424A3"/>
    <w:rsid w:val="00942870"/>
    <w:rsid w:val="00942A2B"/>
    <w:rsid w:val="00942A3D"/>
    <w:rsid w:val="00942BB0"/>
    <w:rsid w:val="00942C53"/>
    <w:rsid w:val="009431E5"/>
    <w:rsid w:val="0094323F"/>
    <w:rsid w:val="00943563"/>
    <w:rsid w:val="00943755"/>
    <w:rsid w:val="00943824"/>
    <w:rsid w:val="0094399B"/>
    <w:rsid w:val="00943BC5"/>
    <w:rsid w:val="00943C79"/>
    <w:rsid w:val="00943DDF"/>
    <w:rsid w:val="00944050"/>
    <w:rsid w:val="0094437A"/>
    <w:rsid w:val="00944653"/>
    <w:rsid w:val="009449B9"/>
    <w:rsid w:val="00944B93"/>
    <w:rsid w:val="00944D1D"/>
    <w:rsid w:val="00944F61"/>
    <w:rsid w:val="0094512C"/>
    <w:rsid w:val="00945138"/>
    <w:rsid w:val="0094543B"/>
    <w:rsid w:val="009455A0"/>
    <w:rsid w:val="00945768"/>
    <w:rsid w:val="00945780"/>
    <w:rsid w:val="009459E9"/>
    <w:rsid w:val="00945F0E"/>
    <w:rsid w:val="00946134"/>
    <w:rsid w:val="0094623E"/>
    <w:rsid w:val="0094638C"/>
    <w:rsid w:val="009463A7"/>
    <w:rsid w:val="009463B3"/>
    <w:rsid w:val="00946594"/>
    <w:rsid w:val="009466A9"/>
    <w:rsid w:val="0094671D"/>
    <w:rsid w:val="00946AAE"/>
    <w:rsid w:val="00946C07"/>
    <w:rsid w:val="00946CBB"/>
    <w:rsid w:val="00946F03"/>
    <w:rsid w:val="009470D3"/>
    <w:rsid w:val="00947115"/>
    <w:rsid w:val="009472B0"/>
    <w:rsid w:val="0094734F"/>
    <w:rsid w:val="00947447"/>
    <w:rsid w:val="00947903"/>
    <w:rsid w:val="00947A23"/>
    <w:rsid w:val="00947B95"/>
    <w:rsid w:val="00947CA6"/>
    <w:rsid w:val="00947CC6"/>
    <w:rsid w:val="009503E6"/>
    <w:rsid w:val="00950551"/>
    <w:rsid w:val="0095064B"/>
    <w:rsid w:val="009506D7"/>
    <w:rsid w:val="00950767"/>
    <w:rsid w:val="00950795"/>
    <w:rsid w:val="00950976"/>
    <w:rsid w:val="00950C6D"/>
    <w:rsid w:val="00950CB0"/>
    <w:rsid w:val="00950DE6"/>
    <w:rsid w:val="009510D3"/>
    <w:rsid w:val="009511E1"/>
    <w:rsid w:val="0095136C"/>
    <w:rsid w:val="00951389"/>
    <w:rsid w:val="009514A2"/>
    <w:rsid w:val="00951573"/>
    <w:rsid w:val="00951658"/>
    <w:rsid w:val="0095195E"/>
    <w:rsid w:val="0095196F"/>
    <w:rsid w:val="00951A6A"/>
    <w:rsid w:val="00951B6D"/>
    <w:rsid w:val="00951C2C"/>
    <w:rsid w:val="00951C7C"/>
    <w:rsid w:val="00951F25"/>
    <w:rsid w:val="00951F4C"/>
    <w:rsid w:val="00951FB5"/>
    <w:rsid w:val="00952073"/>
    <w:rsid w:val="009522E4"/>
    <w:rsid w:val="00952544"/>
    <w:rsid w:val="0095267A"/>
    <w:rsid w:val="009529C3"/>
    <w:rsid w:val="00952AFC"/>
    <w:rsid w:val="00952B4E"/>
    <w:rsid w:val="00952CBE"/>
    <w:rsid w:val="00952DC1"/>
    <w:rsid w:val="00952DF7"/>
    <w:rsid w:val="00952F4A"/>
    <w:rsid w:val="0095320A"/>
    <w:rsid w:val="00953594"/>
    <w:rsid w:val="009536A2"/>
    <w:rsid w:val="00953CE0"/>
    <w:rsid w:val="00953D6A"/>
    <w:rsid w:val="00954273"/>
    <w:rsid w:val="00954425"/>
    <w:rsid w:val="0095447B"/>
    <w:rsid w:val="009546EC"/>
    <w:rsid w:val="009548CD"/>
    <w:rsid w:val="00954906"/>
    <w:rsid w:val="00954951"/>
    <w:rsid w:val="00954AAE"/>
    <w:rsid w:val="00954B38"/>
    <w:rsid w:val="00954BE0"/>
    <w:rsid w:val="00954D8F"/>
    <w:rsid w:val="00955008"/>
    <w:rsid w:val="00955052"/>
    <w:rsid w:val="009551A7"/>
    <w:rsid w:val="00955212"/>
    <w:rsid w:val="0095567A"/>
    <w:rsid w:val="0095571C"/>
    <w:rsid w:val="0095579B"/>
    <w:rsid w:val="00955B98"/>
    <w:rsid w:val="00955E25"/>
    <w:rsid w:val="00955EB7"/>
    <w:rsid w:val="00955F09"/>
    <w:rsid w:val="00955F54"/>
    <w:rsid w:val="00956397"/>
    <w:rsid w:val="00956451"/>
    <w:rsid w:val="009564D5"/>
    <w:rsid w:val="009566D0"/>
    <w:rsid w:val="00956703"/>
    <w:rsid w:val="009567AE"/>
    <w:rsid w:val="00956B75"/>
    <w:rsid w:val="00956B88"/>
    <w:rsid w:val="00956C1F"/>
    <w:rsid w:val="00957341"/>
    <w:rsid w:val="00957769"/>
    <w:rsid w:val="009577D9"/>
    <w:rsid w:val="00957ACE"/>
    <w:rsid w:val="00957C88"/>
    <w:rsid w:val="00957CF6"/>
    <w:rsid w:val="00960389"/>
    <w:rsid w:val="00960495"/>
    <w:rsid w:val="009606DC"/>
    <w:rsid w:val="00960709"/>
    <w:rsid w:val="00960995"/>
    <w:rsid w:val="00960BFF"/>
    <w:rsid w:val="00960C76"/>
    <w:rsid w:val="00960D90"/>
    <w:rsid w:val="009610D3"/>
    <w:rsid w:val="009612DA"/>
    <w:rsid w:val="009614FC"/>
    <w:rsid w:val="009616BC"/>
    <w:rsid w:val="00961ABF"/>
    <w:rsid w:val="00961AF3"/>
    <w:rsid w:val="00961D99"/>
    <w:rsid w:val="00962019"/>
    <w:rsid w:val="00962024"/>
    <w:rsid w:val="009621C3"/>
    <w:rsid w:val="009625B8"/>
    <w:rsid w:val="009625CE"/>
    <w:rsid w:val="00962733"/>
    <w:rsid w:val="00962CAB"/>
    <w:rsid w:val="00962DBA"/>
    <w:rsid w:val="0096300B"/>
    <w:rsid w:val="00963031"/>
    <w:rsid w:val="009632E5"/>
    <w:rsid w:val="00963993"/>
    <w:rsid w:val="00963F88"/>
    <w:rsid w:val="00964087"/>
    <w:rsid w:val="0096408C"/>
    <w:rsid w:val="009640D0"/>
    <w:rsid w:val="00964300"/>
    <w:rsid w:val="009643AA"/>
    <w:rsid w:val="0096454A"/>
    <w:rsid w:val="009645CE"/>
    <w:rsid w:val="0096479C"/>
    <w:rsid w:val="009647CB"/>
    <w:rsid w:val="00964E94"/>
    <w:rsid w:val="00964F34"/>
    <w:rsid w:val="00964F55"/>
    <w:rsid w:val="00965099"/>
    <w:rsid w:val="009654E1"/>
    <w:rsid w:val="00965622"/>
    <w:rsid w:val="00965805"/>
    <w:rsid w:val="00965AD2"/>
    <w:rsid w:val="00965C0C"/>
    <w:rsid w:val="00965CD0"/>
    <w:rsid w:val="00966303"/>
    <w:rsid w:val="0096654D"/>
    <w:rsid w:val="009665FA"/>
    <w:rsid w:val="00966814"/>
    <w:rsid w:val="0096681E"/>
    <w:rsid w:val="00966A51"/>
    <w:rsid w:val="00966BF8"/>
    <w:rsid w:val="009672E3"/>
    <w:rsid w:val="00967358"/>
    <w:rsid w:val="009674BA"/>
    <w:rsid w:val="009674E2"/>
    <w:rsid w:val="00967548"/>
    <w:rsid w:val="00967781"/>
    <w:rsid w:val="00967BDD"/>
    <w:rsid w:val="00967F31"/>
    <w:rsid w:val="009700D0"/>
    <w:rsid w:val="00970210"/>
    <w:rsid w:val="00970214"/>
    <w:rsid w:val="0097054B"/>
    <w:rsid w:val="00970573"/>
    <w:rsid w:val="00970595"/>
    <w:rsid w:val="0097070F"/>
    <w:rsid w:val="00970A3E"/>
    <w:rsid w:val="00970AF8"/>
    <w:rsid w:val="00970B98"/>
    <w:rsid w:val="0097106E"/>
    <w:rsid w:val="00971157"/>
    <w:rsid w:val="00971400"/>
    <w:rsid w:val="00971463"/>
    <w:rsid w:val="009714E1"/>
    <w:rsid w:val="00971588"/>
    <w:rsid w:val="009715D5"/>
    <w:rsid w:val="00971AD5"/>
    <w:rsid w:val="00971B75"/>
    <w:rsid w:val="00971CA0"/>
    <w:rsid w:val="00971CAF"/>
    <w:rsid w:val="00971EA7"/>
    <w:rsid w:val="00972396"/>
    <w:rsid w:val="00972729"/>
    <w:rsid w:val="009728C5"/>
    <w:rsid w:val="00972955"/>
    <w:rsid w:val="00972C26"/>
    <w:rsid w:val="00972CF4"/>
    <w:rsid w:val="00972E9D"/>
    <w:rsid w:val="00972F8C"/>
    <w:rsid w:val="0097343E"/>
    <w:rsid w:val="00973510"/>
    <w:rsid w:val="00973521"/>
    <w:rsid w:val="0097371C"/>
    <w:rsid w:val="00973856"/>
    <w:rsid w:val="00973BE5"/>
    <w:rsid w:val="00973D1F"/>
    <w:rsid w:val="00973FAA"/>
    <w:rsid w:val="009741A9"/>
    <w:rsid w:val="00974225"/>
    <w:rsid w:val="00974389"/>
    <w:rsid w:val="0097458A"/>
    <w:rsid w:val="009745B6"/>
    <w:rsid w:val="0097466B"/>
    <w:rsid w:val="00974735"/>
    <w:rsid w:val="00974B2D"/>
    <w:rsid w:val="00974BE9"/>
    <w:rsid w:val="00974D9E"/>
    <w:rsid w:val="00974E65"/>
    <w:rsid w:val="0097511B"/>
    <w:rsid w:val="009754B3"/>
    <w:rsid w:val="00975576"/>
    <w:rsid w:val="009756A2"/>
    <w:rsid w:val="009757B7"/>
    <w:rsid w:val="0097585B"/>
    <w:rsid w:val="009759D1"/>
    <w:rsid w:val="00975B46"/>
    <w:rsid w:val="00975B88"/>
    <w:rsid w:val="00975F87"/>
    <w:rsid w:val="0097606D"/>
    <w:rsid w:val="0097620E"/>
    <w:rsid w:val="009762E9"/>
    <w:rsid w:val="009766B8"/>
    <w:rsid w:val="00976711"/>
    <w:rsid w:val="009767F0"/>
    <w:rsid w:val="00976847"/>
    <w:rsid w:val="00976C64"/>
    <w:rsid w:val="0097716E"/>
    <w:rsid w:val="00977220"/>
    <w:rsid w:val="00977313"/>
    <w:rsid w:val="00977318"/>
    <w:rsid w:val="009775D8"/>
    <w:rsid w:val="009775F9"/>
    <w:rsid w:val="009775FC"/>
    <w:rsid w:val="00977646"/>
    <w:rsid w:val="0097775D"/>
    <w:rsid w:val="00977826"/>
    <w:rsid w:val="009778EF"/>
    <w:rsid w:val="00977A35"/>
    <w:rsid w:val="00977D69"/>
    <w:rsid w:val="00980178"/>
    <w:rsid w:val="00980297"/>
    <w:rsid w:val="0098031D"/>
    <w:rsid w:val="009804C8"/>
    <w:rsid w:val="009806B5"/>
    <w:rsid w:val="009807EC"/>
    <w:rsid w:val="00980BD9"/>
    <w:rsid w:val="00980D36"/>
    <w:rsid w:val="00980F99"/>
    <w:rsid w:val="00981100"/>
    <w:rsid w:val="009812AE"/>
    <w:rsid w:val="0098156C"/>
    <w:rsid w:val="00981A9A"/>
    <w:rsid w:val="00982432"/>
    <w:rsid w:val="009825DC"/>
    <w:rsid w:val="0098280B"/>
    <w:rsid w:val="00982B91"/>
    <w:rsid w:val="00982CD1"/>
    <w:rsid w:val="00982F43"/>
    <w:rsid w:val="009830AD"/>
    <w:rsid w:val="0098322E"/>
    <w:rsid w:val="00983563"/>
    <w:rsid w:val="009835D2"/>
    <w:rsid w:val="009836DF"/>
    <w:rsid w:val="009836E7"/>
    <w:rsid w:val="00983764"/>
    <w:rsid w:val="009838F7"/>
    <w:rsid w:val="00983A13"/>
    <w:rsid w:val="00983A64"/>
    <w:rsid w:val="00983C6C"/>
    <w:rsid w:val="00983ECB"/>
    <w:rsid w:val="00984038"/>
    <w:rsid w:val="00984155"/>
    <w:rsid w:val="009844B5"/>
    <w:rsid w:val="00984532"/>
    <w:rsid w:val="009845FF"/>
    <w:rsid w:val="009849B8"/>
    <w:rsid w:val="00984A4B"/>
    <w:rsid w:val="00984D35"/>
    <w:rsid w:val="00984E7E"/>
    <w:rsid w:val="00984F18"/>
    <w:rsid w:val="009851E2"/>
    <w:rsid w:val="00985205"/>
    <w:rsid w:val="0098551D"/>
    <w:rsid w:val="009855BE"/>
    <w:rsid w:val="00985791"/>
    <w:rsid w:val="00985858"/>
    <w:rsid w:val="00985AD9"/>
    <w:rsid w:val="00985CAF"/>
    <w:rsid w:val="00985E62"/>
    <w:rsid w:val="00985F18"/>
    <w:rsid w:val="0098601B"/>
    <w:rsid w:val="00986573"/>
    <w:rsid w:val="009865FA"/>
    <w:rsid w:val="009868BC"/>
    <w:rsid w:val="00986916"/>
    <w:rsid w:val="00986A21"/>
    <w:rsid w:val="00986C8E"/>
    <w:rsid w:val="00986D49"/>
    <w:rsid w:val="00986E0E"/>
    <w:rsid w:val="00986FE4"/>
    <w:rsid w:val="0098718E"/>
    <w:rsid w:val="0098734E"/>
    <w:rsid w:val="00987367"/>
    <w:rsid w:val="00987783"/>
    <w:rsid w:val="00987CF3"/>
    <w:rsid w:val="00987D0D"/>
    <w:rsid w:val="0099022F"/>
    <w:rsid w:val="00990518"/>
    <w:rsid w:val="00990704"/>
    <w:rsid w:val="00990769"/>
    <w:rsid w:val="00990AB2"/>
    <w:rsid w:val="00990B3F"/>
    <w:rsid w:val="00990DC5"/>
    <w:rsid w:val="00990F29"/>
    <w:rsid w:val="00990F7E"/>
    <w:rsid w:val="0099123B"/>
    <w:rsid w:val="00991320"/>
    <w:rsid w:val="0099141C"/>
    <w:rsid w:val="00991A35"/>
    <w:rsid w:val="00991A92"/>
    <w:rsid w:val="00991C12"/>
    <w:rsid w:val="00991C77"/>
    <w:rsid w:val="00991D06"/>
    <w:rsid w:val="00991E60"/>
    <w:rsid w:val="00991E96"/>
    <w:rsid w:val="00991EE4"/>
    <w:rsid w:val="0099234D"/>
    <w:rsid w:val="00992364"/>
    <w:rsid w:val="00992399"/>
    <w:rsid w:val="009923F1"/>
    <w:rsid w:val="0099240A"/>
    <w:rsid w:val="009925AC"/>
    <w:rsid w:val="009928DC"/>
    <w:rsid w:val="00992932"/>
    <w:rsid w:val="009935B9"/>
    <w:rsid w:val="00993AA3"/>
    <w:rsid w:val="00993EF5"/>
    <w:rsid w:val="009940F4"/>
    <w:rsid w:val="0099449A"/>
    <w:rsid w:val="00994CC3"/>
    <w:rsid w:val="00994D4D"/>
    <w:rsid w:val="00994FA5"/>
    <w:rsid w:val="0099518E"/>
    <w:rsid w:val="0099533E"/>
    <w:rsid w:val="00995389"/>
    <w:rsid w:val="0099583B"/>
    <w:rsid w:val="00995AC4"/>
    <w:rsid w:val="00995B33"/>
    <w:rsid w:val="00995B64"/>
    <w:rsid w:val="00995DDC"/>
    <w:rsid w:val="00995ECD"/>
    <w:rsid w:val="009960A5"/>
    <w:rsid w:val="0099618B"/>
    <w:rsid w:val="009961A7"/>
    <w:rsid w:val="00996482"/>
    <w:rsid w:val="009967D1"/>
    <w:rsid w:val="009967E7"/>
    <w:rsid w:val="009967F5"/>
    <w:rsid w:val="0099684E"/>
    <w:rsid w:val="009968DD"/>
    <w:rsid w:val="00996E4C"/>
    <w:rsid w:val="00996F45"/>
    <w:rsid w:val="0099715A"/>
    <w:rsid w:val="00997162"/>
    <w:rsid w:val="00997243"/>
    <w:rsid w:val="00997329"/>
    <w:rsid w:val="009974B3"/>
    <w:rsid w:val="00997A85"/>
    <w:rsid w:val="00997DEC"/>
    <w:rsid w:val="009A0332"/>
    <w:rsid w:val="009A04E5"/>
    <w:rsid w:val="009A05ED"/>
    <w:rsid w:val="009A0D29"/>
    <w:rsid w:val="009A0F6B"/>
    <w:rsid w:val="009A1223"/>
    <w:rsid w:val="009A130C"/>
    <w:rsid w:val="009A1383"/>
    <w:rsid w:val="009A142D"/>
    <w:rsid w:val="009A15B7"/>
    <w:rsid w:val="009A18E9"/>
    <w:rsid w:val="009A1A38"/>
    <w:rsid w:val="009A1B56"/>
    <w:rsid w:val="009A1BBA"/>
    <w:rsid w:val="009A1C48"/>
    <w:rsid w:val="009A1EDD"/>
    <w:rsid w:val="009A1F7C"/>
    <w:rsid w:val="009A2088"/>
    <w:rsid w:val="009A20A6"/>
    <w:rsid w:val="009A20E4"/>
    <w:rsid w:val="009A21E9"/>
    <w:rsid w:val="009A22FD"/>
    <w:rsid w:val="009A24C3"/>
    <w:rsid w:val="009A2A18"/>
    <w:rsid w:val="009A2A1E"/>
    <w:rsid w:val="009A2ACC"/>
    <w:rsid w:val="009A2B0D"/>
    <w:rsid w:val="009A2B4E"/>
    <w:rsid w:val="009A2F0B"/>
    <w:rsid w:val="009A3259"/>
    <w:rsid w:val="009A33F6"/>
    <w:rsid w:val="009A35CB"/>
    <w:rsid w:val="009A3E13"/>
    <w:rsid w:val="009A3E46"/>
    <w:rsid w:val="009A4151"/>
    <w:rsid w:val="009A4154"/>
    <w:rsid w:val="009A4448"/>
    <w:rsid w:val="009A4456"/>
    <w:rsid w:val="009A449F"/>
    <w:rsid w:val="009A4584"/>
    <w:rsid w:val="009A472C"/>
    <w:rsid w:val="009A490D"/>
    <w:rsid w:val="009A49BE"/>
    <w:rsid w:val="009A4CCB"/>
    <w:rsid w:val="009A4D06"/>
    <w:rsid w:val="009A51D6"/>
    <w:rsid w:val="009A546C"/>
    <w:rsid w:val="009A559A"/>
    <w:rsid w:val="009A58B1"/>
    <w:rsid w:val="009A5C45"/>
    <w:rsid w:val="009A5D56"/>
    <w:rsid w:val="009A5E3F"/>
    <w:rsid w:val="009A5E51"/>
    <w:rsid w:val="009A61B8"/>
    <w:rsid w:val="009A635E"/>
    <w:rsid w:val="009A637D"/>
    <w:rsid w:val="009A63B2"/>
    <w:rsid w:val="009A65B3"/>
    <w:rsid w:val="009A6606"/>
    <w:rsid w:val="009A6FAB"/>
    <w:rsid w:val="009A6FCE"/>
    <w:rsid w:val="009A73B3"/>
    <w:rsid w:val="009A7663"/>
    <w:rsid w:val="009A76BB"/>
    <w:rsid w:val="009A77E2"/>
    <w:rsid w:val="009A7BDC"/>
    <w:rsid w:val="009A7C86"/>
    <w:rsid w:val="009A7CC4"/>
    <w:rsid w:val="009A7EAB"/>
    <w:rsid w:val="009B03BF"/>
    <w:rsid w:val="009B0AC4"/>
    <w:rsid w:val="009B0D8A"/>
    <w:rsid w:val="009B0EEB"/>
    <w:rsid w:val="009B1145"/>
    <w:rsid w:val="009B14D3"/>
    <w:rsid w:val="009B16F8"/>
    <w:rsid w:val="009B1AC4"/>
    <w:rsid w:val="009B1EF5"/>
    <w:rsid w:val="009B228E"/>
    <w:rsid w:val="009B22B3"/>
    <w:rsid w:val="009B2300"/>
    <w:rsid w:val="009B23B8"/>
    <w:rsid w:val="009B26B8"/>
    <w:rsid w:val="009B29D1"/>
    <w:rsid w:val="009B2C76"/>
    <w:rsid w:val="009B2E5B"/>
    <w:rsid w:val="009B2F87"/>
    <w:rsid w:val="009B3069"/>
    <w:rsid w:val="009B3362"/>
    <w:rsid w:val="009B3564"/>
    <w:rsid w:val="009B35E5"/>
    <w:rsid w:val="009B37C2"/>
    <w:rsid w:val="009B3B57"/>
    <w:rsid w:val="009B3F1F"/>
    <w:rsid w:val="009B4226"/>
    <w:rsid w:val="009B42EA"/>
    <w:rsid w:val="009B44C3"/>
    <w:rsid w:val="009B4552"/>
    <w:rsid w:val="009B4789"/>
    <w:rsid w:val="009B48E6"/>
    <w:rsid w:val="009B4A2E"/>
    <w:rsid w:val="009B4BDD"/>
    <w:rsid w:val="009B4EC7"/>
    <w:rsid w:val="009B558C"/>
    <w:rsid w:val="009B559A"/>
    <w:rsid w:val="009B5A25"/>
    <w:rsid w:val="009B5ABB"/>
    <w:rsid w:val="009B5AD1"/>
    <w:rsid w:val="009B5AE1"/>
    <w:rsid w:val="009B5CEE"/>
    <w:rsid w:val="009B5D50"/>
    <w:rsid w:val="009B5DA4"/>
    <w:rsid w:val="009B5EA4"/>
    <w:rsid w:val="009B5FA8"/>
    <w:rsid w:val="009B6154"/>
    <w:rsid w:val="009B6D40"/>
    <w:rsid w:val="009B6D81"/>
    <w:rsid w:val="009B6E0D"/>
    <w:rsid w:val="009B7067"/>
    <w:rsid w:val="009B70F8"/>
    <w:rsid w:val="009B7414"/>
    <w:rsid w:val="009B776E"/>
    <w:rsid w:val="009B7922"/>
    <w:rsid w:val="009B797C"/>
    <w:rsid w:val="009B7AC6"/>
    <w:rsid w:val="009B7C4B"/>
    <w:rsid w:val="009B7D17"/>
    <w:rsid w:val="009C014C"/>
    <w:rsid w:val="009C070F"/>
    <w:rsid w:val="009C0D39"/>
    <w:rsid w:val="009C0DCF"/>
    <w:rsid w:val="009C0DFC"/>
    <w:rsid w:val="009C1766"/>
    <w:rsid w:val="009C19C1"/>
    <w:rsid w:val="009C1A75"/>
    <w:rsid w:val="009C1AF0"/>
    <w:rsid w:val="009C1B23"/>
    <w:rsid w:val="009C1CE2"/>
    <w:rsid w:val="009C1EF5"/>
    <w:rsid w:val="009C21F8"/>
    <w:rsid w:val="009C2458"/>
    <w:rsid w:val="009C2789"/>
    <w:rsid w:val="009C2797"/>
    <w:rsid w:val="009C2DFD"/>
    <w:rsid w:val="009C34B7"/>
    <w:rsid w:val="009C35E2"/>
    <w:rsid w:val="009C376A"/>
    <w:rsid w:val="009C3809"/>
    <w:rsid w:val="009C432E"/>
    <w:rsid w:val="009C443E"/>
    <w:rsid w:val="009C4502"/>
    <w:rsid w:val="009C49E8"/>
    <w:rsid w:val="009C4CC2"/>
    <w:rsid w:val="009C51BD"/>
    <w:rsid w:val="009C5280"/>
    <w:rsid w:val="009C52E7"/>
    <w:rsid w:val="009C571C"/>
    <w:rsid w:val="009C58EF"/>
    <w:rsid w:val="009C5AAE"/>
    <w:rsid w:val="009C5AB6"/>
    <w:rsid w:val="009C5C8E"/>
    <w:rsid w:val="009C5CE9"/>
    <w:rsid w:val="009C5FCE"/>
    <w:rsid w:val="009C5FDE"/>
    <w:rsid w:val="009C610C"/>
    <w:rsid w:val="009C63BA"/>
    <w:rsid w:val="009C68D1"/>
    <w:rsid w:val="009C6ABF"/>
    <w:rsid w:val="009C6C1A"/>
    <w:rsid w:val="009C6FCB"/>
    <w:rsid w:val="009C728B"/>
    <w:rsid w:val="009C7735"/>
    <w:rsid w:val="009C7794"/>
    <w:rsid w:val="009C77E0"/>
    <w:rsid w:val="009C7849"/>
    <w:rsid w:val="009C78BD"/>
    <w:rsid w:val="009C79D3"/>
    <w:rsid w:val="009C7FD1"/>
    <w:rsid w:val="009D0074"/>
    <w:rsid w:val="009D020C"/>
    <w:rsid w:val="009D041B"/>
    <w:rsid w:val="009D0476"/>
    <w:rsid w:val="009D047C"/>
    <w:rsid w:val="009D0513"/>
    <w:rsid w:val="009D0637"/>
    <w:rsid w:val="009D0687"/>
    <w:rsid w:val="009D077F"/>
    <w:rsid w:val="009D098D"/>
    <w:rsid w:val="009D0A3C"/>
    <w:rsid w:val="009D0C90"/>
    <w:rsid w:val="009D1047"/>
    <w:rsid w:val="009D12FF"/>
    <w:rsid w:val="009D1406"/>
    <w:rsid w:val="009D1698"/>
    <w:rsid w:val="009D1736"/>
    <w:rsid w:val="009D18AB"/>
    <w:rsid w:val="009D1A0E"/>
    <w:rsid w:val="009D1B4B"/>
    <w:rsid w:val="009D2277"/>
    <w:rsid w:val="009D247B"/>
    <w:rsid w:val="009D2507"/>
    <w:rsid w:val="009D26EE"/>
    <w:rsid w:val="009D27A3"/>
    <w:rsid w:val="009D285B"/>
    <w:rsid w:val="009D2A89"/>
    <w:rsid w:val="009D2DEF"/>
    <w:rsid w:val="009D2FB7"/>
    <w:rsid w:val="009D30FE"/>
    <w:rsid w:val="009D338E"/>
    <w:rsid w:val="009D35E6"/>
    <w:rsid w:val="009D364A"/>
    <w:rsid w:val="009D370B"/>
    <w:rsid w:val="009D37E9"/>
    <w:rsid w:val="009D38BD"/>
    <w:rsid w:val="009D3CAA"/>
    <w:rsid w:val="009D3EDE"/>
    <w:rsid w:val="009D3FD8"/>
    <w:rsid w:val="009D408C"/>
    <w:rsid w:val="009D42E6"/>
    <w:rsid w:val="009D46E0"/>
    <w:rsid w:val="009D47B9"/>
    <w:rsid w:val="009D492B"/>
    <w:rsid w:val="009D4CD1"/>
    <w:rsid w:val="009D4D90"/>
    <w:rsid w:val="009D4DE9"/>
    <w:rsid w:val="009D51C4"/>
    <w:rsid w:val="009D5280"/>
    <w:rsid w:val="009D52EF"/>
    <w:rsid w:val="009D5759"/>
    <w:rsid w:val="009D59E0"/>
    <w:rsid w:val="009D59F9"/>
    <w:rsid w:val="009D5A9D"/>
    <w:rsid w:val="009D5BB0"/>
    <w:rsid w:val="009D6031"/>
    <w:rsid w:val="009D6510"/>
    <w:rsid w:val="009D66EC"/>
    <w:rsid w:val="009D6777"/>
    <w:rsid w:val="009D688B"/>
    <w:rsid w:val="009D6A1B"/>
    <w:rsid w:val="009D6AB2"/>
    <w:rsid w:val="009D6B66"/>
    <w:rsid w:val="009D6C21"/>
    <w:rsid w:val="009D7585"/>
    <w:rsid w:val="009D7B6D"/>
    <w:rsid w:val="009D7BE8"/>
    <w:rsid w:val="009D7C9E"/>
    <w:rsid w:val="009D7DA0"/>
    <w:rsid w:val="009E00BA"/>
    <w:rsid w:val="009E020C"/>
    <w:rsid w:val="009E0221"/>
    <w:rsid w:val="009E02D1"/>
    <w:rsid w:val="009E04B3"/>
    <w:rsid w:val="009E09BD"/>
    <w:rsid w:val="009E0A3E"/>
    <w:rsid w:val="009E0DDD"/>
    <w:rsid w:val="009E0E04"/>
    <w:rsid w:val="009E0FE0"/>
    <w:rsid w:val="009E1156"/>
    <w:rsid w:val="009E160B"/>
    <w:rsid w:val="009E163D"/>
    <w:rsid w:val="009E18A7"/>
    <w:rsid w:val="009E1A78"/>
    <w:rsid w:val="009E1B0B"/>
    <w:rsid w:val="009E202A"/>
    <w:rsid w:val="009E2049"/>
    <w:rsid w:val="009E216B"/>
    <w:rsid w:val="009E21E9"/>
    <w:rsid w:val="009E23E1"/>
    <w:rsid w:val="009E2484"/>
    <w:rsid w:val="009E2555"/>
    <w:rsid w:val="009E2610"/>
    <w:rsid w:val="009E28DD"/>
    <w:rsid w:val="009E2A75"/>
    <w:rsid w:val="009E2CB7"/>
    <w:rsid w:val="009E2CE2"/>
    <w:rsid w:val="009E2EA8"/>
    <w:rsid w:val="009E3432"/>
    <w:rsid w:val="009E3816"/>
    <w:rsid w:val="009E420C"/>
    <w:rsid w:val="009E4270"/>
    <w:rsid w:val="009E4381"/>
    <w:rsid w:val="009E4545"/>
    <w:rsid w:val="009E4677"/>
    <w:rsid w:val="009E4913"/>
    <w:rsid w:val="009E4950"/>
    <w:rsid w:val="009E4A6A"/>
    <w:rsid w:val="009E4AFC"/>
    <w:rsid w:val="009E4F72"/>
    <w:rsid w:val="009E553F"/>
    <w:rsid w:val="009E5595"/>
    <w:rsid w:val="009E574E"/>
    <w:rsid w:val="009E58EB"/>
    <w:rsid w:val="009E5968"/>
    <w:rsid w:val="009E5AB1"/>
    <w:rsid w:val="009E5AD4"/>
    <w:rsid w:val="009E5B40"/>
    <w:rsid w:val="009E5CF4"/>
    <w:rsid w:val="009E5D08"/>
    <w:rsid w:val="009E5D29"/>
    <w:rsid w:val="009E5D4A"/>
    <w:rsid w:val="009E5DFA"/>
    <w:rsid w:val="009E5F61"/>
    <w:rsid w:val="009E5F82"/>
    <w:rsid w:val="009E60F2"/>
    <w:rsid w:val="009E62DF"/>
    <w:rsid w:val="009E62FF"/>
    <w:rsid w:val="009E6311"/>
    <w:rsid w:val="009E63B4"/>
    <w:rsid w:val="009E65B1"/>
    <w:rsid w:val="009E65F2"/>
    <w:rsid w:val="009E6611"/>
    <w:rsid w:val="009E67F4"/>
    <w:rsid w:val="009E6802"/>
    <w:rsid w:val="009E6A59"/>
    <w:rsid w:val="009E6BF3"/>
    <w:rsid w:val="009E6C44"/>
    <w:rsid w:val="009E6DC7"/>
    <w:rsid w:val="009E701B"/>
    <w:rsid w:val="009E7567"/>
    <w:rsid w:val="009E7621"/>
    <w:rsid w:val="009E769D"/>
    <w:rsid w:val="009E7E23"/>
    <w:rsid w:val="009F0303"/>
    <w:rsid w:val="009F0597"/>
    <w:rsid w:val="009F068D"/>
    <w:rsid w:val="009F07B6"/>
    <w:rsid w:val="009F0A04"/>
    <w:rsid w:val="009F0D52"/>
    <w:rsid w:val="009F0DFD"/>
    <w:rsid w:val="009F0E51"/>
    <w:rsid w:val="009F1034"/>
    <w:rsid w:val="009F114C"/>
    <w:rsid w:val="009F1262"/>
    <w:rsid w:val="009F1431"/>
    <w:rsid w:val="009F1507"/>
    <w:rsid w:val="009F1596"/>
    <w:rsid w:val="009F15AC"/>
    <w:rsid w:val="009F1707"/>
    <w:rsid w:val="009F17FC"/>
    <w:rsid w:val="009F1853"/>
    <w:rsid w:val="009F1869"/>
    <w:rsid w:val="009F1CE8"/>
    <w:rsid w:val="009F1DDB"/>
    <w:rsid w:val="009F1EDF"/>
    <w:rsid w:val="009F2870"/>
    <w:rsid w:val="009F2F46"/>
    <w:rsid w:val="009F30FE"/>
    <w:rsid w:val="009F33A5"/>
    <w:rsid w:val="009F34BF"/>
    <w:rsid w:val="009F3769"/>
    <w:rsid w:val="009F37F0"/>
    <w:rsid w:val="009F3C27"/>
    <w:rsid w:val="009F3F23"/>
    <w:rsid w:val="009F3F5A"/>
    <w:rsid w:val="009F4292"/>
    <w:rsid w:val="009F45DA"/>
    <w:rsid w:val="009F483B"/>
    <w:rsid w:val="009F4A38"/>
    <w:rsid w:val="009F4BD6"/>
    <w:rsid w:val="009F4D02"/>
    <w:rsid w:val="009F4D1B"/>
    <w:rsid w:val="009F4E22"/>
    <w:rsid w:val="009F53E6"/>
    <w:rsid w:val="009F5623"/>
    <w:rsid w:val="009F56C7"/>
    <w:rsid w:val="009F5773"/>
    <w:rsid w:val="009F57A4"/>
    <w:rsid w:val="009F5BB3"/>
    <w:rsid w:val="009F5C44"/>
    <w:rsid w:val="009F5CC2"/>
    <w:rsid w:val="009F5E0F"/>
    <w:rsid w:val="009F5EEA"/>
    <w:rsid w:val="009F63D5"/>
    <w:rsid w:val="009F641F"/>
    <w:rsid w:val="009F6432"/>
    <w:rsid w:val="009F6916"/>
    <w:rsid w:val="009F697D"/>
    <w:rsid w:val="009F69B0"/>
    <w:rsid w:val="009F69E7"/>
    <w:rsid w:val="009F69F9"/>
    <w:rsid w:val="009F6B45"/>
    <w:rsid w:val="009F6D25"/>
    <w:rsid w:val="009F6D63"/>
    <w:rsid w:val="009F73DF"/>
    <w:rsid w:val="009F7692"/>
    <w:rsid w:val="009F76D1"/>
    <w:rsid w:val="009F78F2"/>
    <w:rsid w:val="009F78F5"/>
    <w:rsid w:val="009F7BDD"/>
    <w:rsid w:val="009F7D97"/>
    <w:rsid w:val="009F7DD9"/>
    <w:rsid w:val="009F7F37"/>
    <w:rsid w:val="00A00013"/>
    <w:rsid w:val="00A00141"/>
    <w:rsid w:val="00A00746"/>
    <w:rsid w:val="00A0097B"/>
    <w:rsid w:val="00A00A44"/>
    <w:rsid w:val="00A00A9D"/>
    <w:rsid w:val="00A00AE6"/>
    <w:rsid w:val="00A00CB4"/>
    <w:rsid w:val="00A00E1B"/>
    <w:rsid w:val="00A00F8E"/>
    <w:rsid w:val="00A01087"/>
    <w:rsid w:val="00A014AE"/>
    <w:rsid w:val="00A01500"/>
    <w:rsid w:val="00A01609"/>
    <w:rsid w:val="00A017CF"/>
    <w:rsid w:val="00A01ABF"/>
    <w:rsid w:val="00A01E0F"/>
    <w:rsid w:val="00A02653"/>
    <w:rsid w:val="00A0274B"/>
    <w:rsid w:val="00A02819"/>
    <w:rsid w:val="00A02948"/>
    <w:rsid w:val="00A02E78"/>
    <w:rsid w:val="00A02F46"/>
    <w:rsid w:val="00A02FD1"/>
    <w:rsid w:val="00A02FE5"/>
    <w:rsid w:val="00A03090"/>
    <w:rsid w:val="00A030FD"/>
    <w:rsid w:val="00A03201"/>
    <w:rsid w:val="00A03205"/>
    <w:rsid w:val="00A0324C"/>
    <w:rsid w:val="00A033E6"/>
    <w:rsid w:val="00A03628"/>
    <w:rsid w:val="00A03A94"/>
    <w:rsid w:val="00A03B23"/>
    <w:rsid w:val="00A03C18"/>
    <w:rsid w:val="00A03DC8"/>
    <w:rsid w:val="00A03E39"/>
    <w:rsid w:val="00A03E5C"/>
    <w:rsid w:val="00A03F51"/>
    <w:rsid w:val="00A04200"/>
    <w:rsid w:val="00A042E1"/>
    <w:rsid w:val="00A043DF"/>
    <w:rsid w:val="00A0442B"/>
    <w:rsid w:val="00A0445E"/>
    <w:rsid w:val="00A044CF"/>
    <w:rsid w:val="00A04585"/>
    <w:rsid w:val="00A04DB3"/>
    <w:rsid w:val="00A051DA"/>
    <w:rsid w:val="00A05277"/>
    <w:rsid w:val="00A0531C"/>
    <w:rsid w:val="00A057FA"/>
    <w:rsid w:val="00A05A8A"/>
    <w:rsid w:val="00A05B0A"/>
    <w:rsid w:val="00A05D7D"/>
    <w:rsid w:val="00A05E3F"/>
    <w:rsid w:val="00A05F56"/>
    <w:rsid w:val="00A05FA6"/>
    <w:rsid w:val="00A06102"/>
    <w:rsid w:val="00A06462"/>
    <w:rsid w:val="00A06694"/>
    <w:rsid w:val="00A067EF"/>
    <w:rsid w:val="00A06B5E"/>
    <w:rsid w:val="00A06C6D"/>
    <w:rsid w:val="00A0755C"/>
    <w:rsid w:val="00A075F2"/>
    <w:rsid w:val="00A07735"/>
    <w:rsid w:val="00A07ACB"/>
    <w:rsid w:val="00A07B2B"/>
    <w:rsid w:val="00A07DCB"/>
    <w:rsid w:val="00A07E37"/>
    <w:rsid w:val="00A10092"/>
    <w:rsid w:val="00A10284"/>
    <w:rsid w:val="00A10334"/>
    <w:rsid w:val="00A10393"/>
    <w:rsid w:val="00A103BF"/>
    <w:rsid w:val="00A108E0"/>
    <w:rsid w:val="00A108F8"/>
    <w:rsid w:val="00A112C3"/>
    <w:rsid w:val="00A113A4"/>
    <w:rsid w:val="00A1157F"/>
    <w:rsid w:val="00A11597"/>
    <w:rsid w:val="00A11723"/>
    <w:rsid w:val="00A1174C"/>
    <w:rsid w:val="00A117C4"/>
    <w:rsid w:val="00A1196E"/>
    <w:rsid w:val="00A1197D"/>
    <w:rsid w:val="00A11B31"/>
    <w:rsid w:val="00A11DE2"/>
    <w:rsid w:val="00A1237F"/>
    <w:rsid w:val="00A1253D"/>
    <w:rsid w:val="00A1286E"/>
    <w:rsid w:val="00A1296D"/>
    <w:rsid w:val="00A12A31"/>
    <w:rsid w:val="00A12CF9"/>
    <w:rsid w:val="00A13096"/>
    <w:rsid w:val="00A1320A"/>
    <w:rsid w:val="00A1331D"/>
    <w:rsid w:val="00A1349B"/>
    <w:rsid w:val="00A13642"/>
    <w:rsid w:val="00A13682"/>
    <w:rsid w:val="00A138FC"/>
    <w:rsid w:val="00A13C5C"/>
    <w:rsid w:val="00A13C81"/>
    <w:rsid w:val="00A13F1F"/>
    <w:rsid w:val="00A13F67"/>
    <w:rsid w:val="00A13FB5"/>
    <w:rsid w:val="00A14133"/>
    <w:rsid w:val="00A14137"/>
    <w:rsid w:val="00A14376"/>
    <w:rsid w:val="00A146A7"/>
    <w:rsid w:val="00A146D4"/>
    <w:rsid w:val="00A1488D"/>
    <w:rsid w:val="00A14913"/>
    <w:rsid w:val="00A14A72"/>
    <w:rsid w:val="00A14D98"/>
    <w:rsid w:val="00A14E57"/>
    <w:rsid w:val="00A14E89"/>
    <w:rsid w:val="00A14F29"/>
    <w:rsid w:val="00A14F65"/>
    <w:rsid w:val="00A14FE8"/>
    <w:rsid w:val="00A15143"/>
    <w:rsid w:val="00A153CF"/>
    <w:rsid w:val="00A15590"/>
    <w:rsid w:val="00A156B5"/>
    <w:rsid w:val="00A15772"/>
    <w:rsid w:val="00A157EE"/>
    <w:rsid w:val="00A1594F"/>
    <w:rsid w:val="00A15BC2"/>
    <w:rsid w:val="00A15C43"/>
    <w:rsid w:val="00A15D89"/>
    <w:rsid w:val="00A15DC0"/>
    <w:rsid w:val="00A15F85"/>
    <w:rsid w:val="00A1616B"/>
    <w:rsid w:val="00A161A3"/>
    <w:rsid w:val="00A161BC"/>
    <w:rsid w:val="00A161C1"/>
    <w:rsid w:val="00A1651C"/>
    <w:rsid w:val="00A166C2"/>
    <w:rsid w:val="00A1698C"/>
    <w:rsid w:val="00A16E39"/>
    <w:rsid w:val="00A172B1"/>
    <w:rsid w:val="00A1752B"/>
    <w:rsid w:val="00A17643"/>
    <w:rsid w:val="00A1777C"/>
    <w:rsid w:val="00A178AA"/>
    <w:rsid w:val="00A178FD"/>
    <w:rsid w:val="00A17A75"/>
    <w:rsid w:val="00A17C27"/>
    <w:rsid w:val="00A17D17"/>
    <w:rsid w:val="00A17F9B"/>
    <w:rsid w:val="00A20554"/>
    <w:rsid w:val="00A205F1"/>
    <w:rsid w:val="00A20A6E"/>
    <w:rsid w:val="00A21392"/>
    <w:rsid w:val="00A21561"/>
    <w:rsid w:val="00A21750"/>
    <w:rsid w:val="00A21B99"/>
    <w:rsid w:val="00A21C62"/>
    <w:rsid w:val="00A21E0E"/>
    <w:rsid w:val="00A21FC6"/>
    <w:rsid w:val="00A2209D"/>
    <w:rsid w:val="00A220A7"/>
    <w:rsid w:val="00A224C6"/>
    <w:rsid w:val="00A22601"/>
    <w:rsid w:val="00A22656"/>
    <w:rsid w:val="00A227BB"/>
    <w:rsid w:val="00A2297D"/>
    <w:rsid w:val="00A22E7B"/>
    <w:rsid w:val="00A22E9F"/>
    <w:rsid w:val="00A22F4A"/>
    <w:rsid w:val="00A23056"/>
    <w:rsid w:val="00A230AA"/>
    <w:rsid w:val="00A2362B"/>
    <w:rsid w:val="00A239CE"/>
    <w:rsid w:val="00A23F36"/>
    <w:rsid w:val="00A23F84"/>
    <w:rsid w:val="00A23F8B"/>
    <w:rsid w:val="00A240F8"/>
    <w:rsid w:val="00A24359"/>
    <w:rsid w:val="00A24968"/>
    <w:rsid w:val="00A2497B"/>
    <w:rsid w:val="00A24B50"/>
    <w:rsid w:val="00A24EB7"/>
    <w:rsid w:val="00A24EC8"/>
    <w:rsid w:val="00A25112"/>
    <w:rsid w:val="00A25389"/>
    <w:rsid w:val="00A254CA"/>
    <w:rsid w:val="00A25519"/>
    <w:rsid w:val="00A2597C"/>
    <w:rsid w:val="00A25BAC"/>
    <w:rsid w:val="00A25C39"/>
    <w:rsid w:val="00A26311"/>
    <w:rsid w:val="00A26530"/>
    <w:rsid w:val="00A26567"/>
    <w:rsid w:val="00A265E2"/>
    <w:rsid w:val="00A26618"/>
    <w:rsid w:val="00A2669D"/>
    <w:rsid w:val="00A26BEA"/>
    <w:rsid w:val="00A26FB8"/>
    <w:rsid w:val="00A275B3"/>
    <w:rsid w:val="00A27A32"/>
    <w:rsid w:val="00A27B9C"/>
    <w:rsid w:val="00A27BFC"/>
    <w:rsid w:val="00A27E34"/>
    <w:rsid w:val="00A27EBF"/>
    <w:rsid w:val="00A30132"/>
    <w:rsid w:val="00A3029A"/>
    <w:rsid w:val="00A302C6"/>
    <w:rsid w:val="00A303AC"/>
    <w:rsid w:val="00A304E5"/>
    <w:rsid w:val="00A30551"/>
    <w:rsid w:val="00A30724"/>
    <w:rsid w:val="00A307FC"/>
    <w:rsid w:val="00A3082A"/>
    <w:rsid w:val="00A30878"/>
    <w:rsid w:val="00A3088F"/>
    <w:rsid w:val="00A308E5"/>
    <w:rsid w:val="00A30AC9"/>
    <w:rsid w:val="00A30B28"/>
    <w:rsid w:val="00A30B50"/>
    <w:rsid w:val="00A30BD8"/>
    <w:rsid w:val="00A31666"/>
    <w:rsid w:val="00A31699"/>
    <w:rsid w:val="00A317E9"/>
    <w:rsid w:val="00A318F6"/>
    <w:rsid w:val="00A31B1E"/>
    <w:rsid w:val="00A31BBB"/>
    <w:rsid w:val="00A31C0A"/>
    <w:rsid w:val="00A31F87"/>
    <w:rsid w:val="00A320EF"/>
    <w:rsid w:val="00A324AF"/>
    <w:rsid w:val="00A324C8"/>
    <w:rsid w:val="00A324DA"/>
    <w:rsid w:val="00A3259F"/>
    <w:rsid w:val="00A32659"/>
    <w:rsid w:val="00A328A9"/>
    <w:rsid w:val="00A32907"/>
    <w:rsid w:val="00A3290C"/>
    <w:rsid w:val="00A330F0"/>
    <w:rsid w:val="00A3315F"/>
    <w:rsid w:val="00A33692"/>
    <w:rsid w:val="00A33BFC"/>
    <w:rsid w:val="00A33F8C"/>
    <w:rsid w:val="00A34033"/>
    <w:rsid w:val="00A34427"/>
    <w:rsid w:val="00A34448"/>
    <w:rsid w:val="00A348C2"/>
    <w:rsid w:val="00A3495B"/>
    <w:rsid w:val="00A34CBB"/>
    <w:rsid w:val="00A35053"/>
    <w:rsid w:val="00A35230"/>
    <w:rsid w:val="00A3534B"/>
    <w:rsid w:val="00A35719"/>
    <w:rsid w:val="00A3595A"/>
    <w:rsid w:val="00A35999"/>
    <w:rsid w:val="00A35B2B"/>
    <w:rsid w:val="00A35FD4"/>
    <w:rsid w:val="00A36264"/>
    <w:rsid w:val="00A362E8"/>
    <w:rsid w:val="00A364B0"/>
    <w:rsid w:val="00A36653"/>
    <w:rsid w:val="00A36E9F"/>
    <w:rsid w:val="00A36EB9"/>
    <w:rsid w:val="00A3706A"/>
    <w:rsid w:val="00A370D5"/>
    <w:rsid w:val="00A3748A"/>
    <w:rsid w:val="00A375C4"/>
    <w:rsid w:val="00A375F1"/>
    <w:rsid w:val="00A37C74"/>
    <w:rsid w:val="00A37C8E"/>
    <w:rsid w:val="00A40101"/>
    <w:rsid w:val="00A40128"/>
    <w:rsid w:val="00A403FE"/>
    <w:rsid w:val="00A40699"/>
    <w:rsid w:val="00A406F0"/>
    <w:rsid w:val="00A40706"/>
    <w:rsid w:val="00A407F2"/>
    <w:rsid w:val="00A40A79"/>
    <w:rsid w:val="00A40EA3"/>
    <w:rsid w:val="00A4116C"/>
    <w:rsid w:val="00A41289"/>
    <w:rsid w:val="00A41343"/>
    <w:rsid w:val="00A416EA"/>
    <w:rsid w:val="00A41BAE"/>
    <w:rsid w:val="00A41BB9"/>
    <w:rsid w:val="00A41C12"/>
    <w:rsid w:val="00A41D1C"/>
    <w:rsid w:val="00A41F05"/>
    <w:rsid w:val="00A42016"/>
    <w:rsid w:val="00A4205B"/>
    <w:rsid w:val="00A420AA"/>
    <w:rsid w:val="00A42476"/>
    <w:rsid w:val="00A4252B"/>
    <w:rsid w:val="00A425B1"/>
    <w:rsid w:val="00A425FC"/>
    <w:rsid w:val="00A4261A"/>
    <w:rsid w:val="00A42B4B"/>
    <w:rsid w:val="00A42BCB"/>
    <w:rsid w:val="00A42C64"/>
    <w:rsid w:val="00A42CDC"/>
    <w:rsid w:val="00A42CEA"/>
    <w:rsid w:val="00A433FF"/>
    <w:rsid w:val="00A434BF"/>
    <w:rsid w:val="00A43583"/>
    <w:rsid w:val="00A435F2"/>
    <w:rsid w:val="00A43672"/>
    <w:rsid w:val="00A436DC"/>
    <w:rsid w:val="00A436DE"/>
    <w:rsid w:val="00A43701"/>
    <w:rsid w:val="00A43D2D"/>
    <w:rsid w:val="00A43F9C"/>
    <w:rsid w:val="00A4436E"/>
    <w:rsid w:val="00A4465D"/>
    <w:rsid w:val="00A4469D"/>
    <w:rsid w:val="00A44AE8"/>
    <w:rsid w:val="00A44D49"/>
    <w:rsid w:val="00A44EB0"/>
    <w:rsid w:val="00A44F6C"/>
    <w:rsid w:val="00A44F93"/>
    <w:rsid w:val="00A455F2"/>
    <w:rsid w:val="00A45613"/>
    <w:rsid w:val="00A458EE"/>
    <w:rsid w:val="00A45AFD"/>
    <w:rsid w:val="00A45BE5"/>
    <w:rsid w:val="00A45BFD"/>
    <w:rsid w:val="00A45D12"/>
    <w:rsid w:val="00A45E6A"/>
    <w:rsid w:val="00A45EAF"/>
    <w:rsid w:val="00A45F45"/>
    <w:rsid w:val="00A4609C"/>
    <w:rsid w:val="00A46104"/>
    <w:rsid w:val="00A463C1"/>
    <w:rsid w:val="00A468FC"/>
    <w:rsid w:val="00A46A9D"/>
    <w:rsid w:val="00A46AF1"/>
    <w:rsid w:val="00A46C89"/>
    <w:rsid w:val="00A46CF4"/>
    <w:rsid w:val="00A46D7D"/>
    <w:rsid w:val="00A46EEA"/>
    <w:rsid w:val="00A47007"/>
    <w:rsid w:val="00A47050"/>
    <w:rsid w:val="00A47106"/>
    <w:rsid w:val="00A47113"/>
    <w:rsid w:val="00A4728B"/>
    <w:rsid w:val="00A472D0"/>
    <w:rsid w:val="00A47382"/>
    <w:rsid w:val="00A47585"/>
    <w:rsid w:val="00A475E5"/>
    <w:rsid w:val="00A47646"/>
    <w:rsid w:val="00A47684"/>
    <w:rsid w:val="00A47748"/>
    <w:rsid w:val="00A477C6"/>
    <w:rsid w:val="00A47B0A"/>
    <w:rsid w:val="00A47BC0"/>
    <w:rsid w:val="00A47DD5"/>
    <w:rsid w:val="00A47ED1"/>
    <w:rsid w:val="00A50100"/>
    <w:rsid w:val="00A507A7"/>
    <w:rsid w:val="00A50836"/>
    <w:rsid w:val="00A50A67"/>
    <w:rsid w:val="00A50ACB"/>
    <w:rsid w:val="00A50BC9"/>
    <w:rsid w:val="00A50D11"/>
    <w:rsid w:val="00A50D2D"/>
    <w:rsid w:val="00A50E56"/>
    <w:rsid w:val="00A50E99"/>
    <w:rsid w:val="00A50ECC"/>
    <w:rsid w:val="00A50FD4"/>
    <w:rsid w:val="00A5131D"/>
    <w:rsid w:val="00A51417"/>
    <w:rsid w:val="00A514F7"/>
    <w:rsid w:val="00A51596"/>
    <w:rsid w:val="00A518DB"/>
    <w:rsid w:val="00A51ABC"/>
    <w:rsid w:val="00A51B3C"/>
    <w:rsid w:val="00A52097"/>
    <w:rsid w:val="00A52130"/>
    <w:rsid w:val="00A522A4"/>
    <w:rsid w:val="00A522F1"/>
    <w:rsid w:val="00A522F6"/>
    <w:rsid w:val="00A52736"/>
    <w:rsid w:val="00A52868"/>
    <w:rsid w:val="00A528B0"/>
    <w:rsid w:val="00A528B4"/>
    <w:rsid w:val="00A529BF"/>
    <w:rsid w:val="00A52CFA"/>
    <w:rsid w:val="00A53100"/>
    <w:rsid w:val="00A534EE"/>
    <w:rsid w:val="00A53502"/>
    <w:rsid w:val="00A53507"/>
    <w:rsid w:val="00A53ACE"/>
    <w:rsid w:val="00A53DB6"/>
    <w:rsid w:val="00A54127"/>
    <w:rsid w:val="00A541C4"/>
    <w:rsid w:val="00A5424F"/>
    <w:rsid w:val="00A545E2"/>
    <w:rsid w:val="00A546A4"/>
    <w:rsid w:val="00A54969"/>
    <w:rsid w:val="00A54AC3"/>
    <w:rsid w:val="00A54BF0"/>
    <w:rsid w:val="00A54DB0"/>
    <w:rsid w:val="00A54F47"/>
    <w:rsid w:val="00A55022"/>
    <w:rsid w:val="00A55109"/>
    <w:rsid w:val="00A55200"/>
    <w:rsid w:val="00A5532F"/>
    <w:rsid w:val="00A554CE"/>
    <w:rsid w:val="00A55505"/>
    <w:rsid w:val="00A55A20"/>
    <w:rsid w:val="00A55AA1"/>
    <w:rsid w:val="00A55BCE"/>
    <w:rsid w:val="00A55FAC"/>
    <w:rsid w:val="00A5608B"/>
    <w:rsid w:val="00A5664E"/>
    <w:rsid w:val="00A56815"/>
    <w:rsid w:val="00A56BD7"/>
    <w:rsid w:val="00A56C43"/>
    <w:rsid w:val="00A56D37"/>
    <w:rsid w:val="00A56D8D"/>
    <w:rsid w:val="00A56E38"/>
    <w:rsid w:val="00A56EBB"/>
    <w:rsid w:val="00A56FA5"/>
    <w:rsid w:val="00A57125"/>
    <w:rsid w:val="00A57281"/>
    <w:rsid w:val="00A5733F"/>
    <w:rsid w:val="00A57438"/>
    <w:rsid w:val="00A57515"/>
    <w:rsid w:val="00A57A9A"/>
    <w:rsid w:val="00A57E7B"/>
    <w:rsid w:val="00A60172"/>
    <w:rsid w:val="00A601C2"/>
    <w:rsid w:val="00A603DC"/>
    <w:rsid w:val="00A6057D"/>
    <w:rsid w:val="00A607CC"/>
    <w:rsid w:val="00A60AFD"/>
    <w:rsid w:val="00A60B52"/>
    <w:rsid w:val="00A60BA9"/>
    <w:rsid w:val="00A60BFF"/>
    <w:rsid w:val="00A60D00"/>
    <w:rsid w:val="00A60DC0"/>
    <w:rsid w:val="00A60E6D"/>
    <w:rsid w:val="00A60E88"/>
    <w:rsid w:val="00A60E9F"/>
    <w:rsid w:val="00A60F5E"/>
    <w:rsid w:val="00A61017"/>
    <w:rsid w:val="00A61206"/>
    <w:rsid w:val="00A6125D"/>
    <w:rsid w:val="00A61620"/>
    <w:rsid w:val="00A617D4"/>
    <w:rsid w:val="00A618F2"/>
    <w:rsid w:val="00A61BD2"/>
    <w:rsid w:val="00A61D51"/>
    <w:rsid w:val="00A61E45"/>
    <w:rsid w:val="00A62252"/>
    <w:rsid w:val="00A6227C"/>
    <w:rsid w:val="00A62487"/>
    <w:rsid w:val="00A6263B"/>
    <w:rsid w:val="00A626AA"/>
    <w:rsid w:val="00A62A09"/>
    <w:rsid w:val="00A62A4A"/>
    <w:rsid w:val="00A62B7A"/>
    <w:rsid w:val="00A62D2D"/>
    <w:rsid w:val="00A63225"/>
    <w:rsid w:val="00A632D5"/>
    <w:rsid w:val="00A638DE"/>
    <w:rsid w:val="00A638EF"/>
    <w:rsid w:val="00A6394F"/>
    <w:rsid w:val="00A63CDB"/>
    <w:rsid w:val="00A63E6E"/>
    <w:rsid w:val="00A641FA"/>
    <w:rsid w:val="00A64350"/>
    <w:rsid w:val="00A6476D"/>
    <w:rsid w:val="00A64999"/>
    <w:rsid w:val="00A649EE"/>
    <w:rsid w:val="00A65156"/>
    <w:rsid w:val="00A6544D"/>
    <w:rsid w:val="00A65615"/>
    <w:rsid w:val="00A65873"/>
    <w:rsid w:val="00A658C6"/>
    <w:rsid w:val="00A65B22"/>
    <w:rsid w:val="00A65D05"/>
    <w:rsid w:val="00A6627B"/>
    <w:rsid w:val="00A667D7"/>
    <w:rsid w:val="00A669FA"/>
    <w:rsid w:val="00A66A46"/>
    <w:rsid w:val="00A66D1D"/>
    <w:rsid w:val="00A67058"/>
    <w:rsid w:val="00A67073"/>
    <w:rsid w:val="00A6708D"/>
    <w:rsid w:val="00A67534"/>
    <w:rsid w:val="00A67636"/>
    <w:rsid w:val="00A6773B"/>
    <w:rsid w:val="00A6787C"/>
    <w:rsid w:val="00A678DA"/>
    <w:rsid w:val="00A67970"/>
    <w:rsid w:val="00A67B8D"/>
    <w:rsid w:val="00A67C0F"/>
    <w:rsid w:val="00A67CFA"/>
    <w:rsid w:val="00A67E56"/>
    <w:rsid w:val="00A67EC1"/>
    <w:rsid w:val="00A67FB3"/>
    <w:rsid w:val="00A67FD6"/>
    <w:rsid w:val="00A7002B"/>
    <w:rsid w:val="00A7015E"/>
    <w:rsid w:val="00A703F8"/>
    <w:rsid w:val="00A703FF"/>
    <w:rsid w:val="00A7066F"/>
    <w:rsid w:val="00A7073D"/>
    <w:rsid w:val="00A70B29"/>
    <w:rsid w:val="00A70C4D"/>
    <w:rsid w:val="00A70CD0"/>
    <w:rsid w:val="00A70E60"/>
    <w:rsid w:val="00A70F3D"/>
    <w:rsid w:val="00A70FBF"/>
    <w:rsid w:val="00A71097"/>
    <w:rsid w:val="00A710BF"/>
    <w:rsid w:val="00A715B4"/>
    <w:rsid w:val="00A716C5"/>
    <w:rsid w:val="00A7177F"/>
    <w:rsid w:val="00A718F9"/>
    <w:rsid w:val="00A71A68"/>
    <w:rsid w:val="00A71B45"/>
    <w:rsid w:val="00A71B7D"/>
    <w:rsid w:val="00A71F49"/>
    <w:rsid w:val="00A72022"/>
    <w:rsid w:val="00A72088"/>
    <w:rsid w:val="00A72327"/>
    <w:rsid w:val="00A72361"/>
    <w:rsid w:val="00A7249B"/>
    <w:rsid w:val="00A725ED"/>
    <w:rsid w:val="00A72890"/>
    <w:rsid w:val="00A72A2E"/>
    <w:rsid w:val="00A72D9A"/>
    <w:rsid w:val="00A72FD9"/>
    <w:rsid w:val="00A73097"/>
    <w:rsid w:val="00A7364C"/>
    <w:rsid w:val="00A7373C"/>
    <w:rsid w:val="00A737A6"/>
    <w:rsid w:val="00A737D4"/>
    <w:rsid w:val="00A73955"/>
    <w:rsid w:val="00A73A18"/>
    <w:rsid w:val="00A73B42"/>
    <w:rsid w:val="00A73D9A"/>
    <w:rsid w:val="00A74238"/>
    <w:rsid w:val="00A74308"/>
    <w:rsid w:val="00A744FB"/>
    <w:rsid w:val="00A7454C"/>
    <w:rsid w:val="00A745E5"/>
    <w:rsid w:val="00A74995"/>
    <w:rsid w:val="00A74DFC"/>
    <w:rsid w:val="00A74EF6"/>
    <w:rsid w:val="00A74FD4"/>
    <w:rsid w:val="00A75328"/>
    <w:rsid w:val="00A753C6"/>
    <w:rsid w:val="00A755BD"/>
    <w:rsid w:val="00A7578B"/>
    <w:rsid w:val="00A757D8"/>
    <w:rsid w:val="00A7588C"/>
    <w:rsid w:val="00A75C13"/>
    <w:rsid w:val="00A75E02"/>
    <w:rsid w:val="00A75E98"/>
    <w:rsid w:val="00A76268"/>
    <w:rsid w:val="00A762FC"/>
    <w:rsid w:val="00A763A7"/>
    <w:rsid w:val="00A76629"/>
    <w:rsid w:val="00A76955"/>
    <w:rsid w:val="00A76ACD"/>
    <w:rsid w:val="00A76C76"/>
    <w:rsid w:val="00A76FC2"/>
    <w:rsid w:val="00A76FC3"/>
    <w:rsid w:val="00A77077"/>
    <w:rsid w:val="00A77191"/>
    <w:rsid w:val="00A77310"/>
    <w:rsid w:val="00A7740A"/>
    <w:rsid w:val="00A7745F"/>
    <w:rsid w:val="00A77539"/>
    <w:rsid w:val="00A77AC2"/>
    <w:rsid w:val="00A77C56"/>
    <w:rsid w:val="00A77C8A"/>
    <w:rsid w:val="00A77D42"/>
    <w:rsid w:val="00A8040A"/>
    <w:rsid w:val="00A80485"/>
    <w:rsid w:val="00A80522"/>
    <w:rsid w:val="00A80533"/>
    <w:rsid w:val="00A8093A"/>
    <w:rsid w:val="00A8099C"/>
    <w:rsid w:val="00A8099E"/>
    <w:rsid w:val="00A80AF3"/>
    <w:rsid w:val="00A80C19"/>
    <w:rsid w:val="00A80EBE"/>
    <w:rsid w:val="00A80F49"/>
    <w:rsid w:val="00A814CF"/>
    <w:rsid w:val="00A81AA2"/>
    <w:rsid w:val="00A81C28"/>
    <w:rsid w:val="00A81CC2"/>
    <w:rsid w:val="00A81CF1"/>
    <w:rsid w:val="00A81D86"/>
    <w:rsid w:val="00A823BB"/>
    <w:rsid w:val="00A823F1"/>
    <w:rsid w:val="00A82562"/>
    <w:rsid w:val="00A82686"/>
    <w:rsid w:val="00A8290A"/>
    <w:rsid w:val="00A82D28"/>
    <w:rsid w:val="00A82E0D"/>
    <w:rsid w:val="00A82EB6"/>
    <w:rsid w:val="00A83190"/>
    <w:rsid w:val="00A831B7"/>
    <w:rsid w:val="00A836F4"/>
    <w:rsid w:val="00A838D1"/>
    <w:rsid w:val="00A838F2"/>
    <w:rsid w:val="00A840BE"/>
    <w:rsid w:val="00A84132"/>
    <w:rsid w:val="00A84414"/>
    <w:rsid w:val="00A84448"/>
    <w:rsid w:val="00A8464C"/>
    <w:rsid w:val="00A847C8"/>
    <w:rsid w:val="00A848A9"/>
    <w:rsid w:val="00A84ABA"/>
    <w:rsid w:val="00A84DCB"/>
    <w:rsid w:val="00A84E1F"/>
    <w:rsid w:val="00A853C2"/>
    <w:rsid w:val="00A8553A"/>
    <w:rsid w:val="00A85832"/>
    <w:rsid w:val="00A85844"/>
    <w:rsid w:val="00A85D81"/>
    <w:rsid w:val="00A85DF3"/>
    <w:rsid w:val="00A85E6B"/>
    <w:rsid w:val="00A85FD5"/>
    <w:rsid w:val="00A85FDD"/>
    <w:rsid w:val="00A86174"/>
    <w:rsid w:val="00A8654E"/>
    <w:rsid w:val="00A865B3"/>
    <w:rsid w:val="00A8660C"/>
    <w:rsid w:val="00A86814"/>
    <w:rsid w:val="00A8699B"/>
    <w:rsid w:val="00A86C2F"/>
    <w:rsid w:val="00A86C42"/>
    <w:rsid w:val="00A86DD3"/>
    <w:rsid w:val="00A8708E"/>
    <w:rsid w:val="00A872A3"/>
    <w:rsid w:val="00A87531"/>
    <w:rsid w:val="00A879EA"/>
    <w:rsid w:val="00A87AD5"/>
    <w:rsid w:val="00A87C1B"/>
    <w:rsid w:val="00A87C96"/>
    <w:rsid w:val="00A87DC0"/>
    <w:rsid w:val="00A87FE1"/>
    <w:rsid w:val="00A90171"/>
    <w:rsid w:val="00A901F8"/>
    <w:rsid w:val="00A90268"/>
    <w:rsid w:val="00A902DE"/>
    <w:rsid w:val="00A906BA"/>
    <w:rsid w:val="00A90A9B"/>
    <w:rsid w:val="00A90AD7"/>
    <w:rsid w:val="00A90CF1"/>
    <w:rsid w:val="00A90EB9"/>
    <w:rsid w:val="00A90F17"/>
    <w:rsid w:val="00A90F2A"/>
    <w:rsid w:val="00A90F51"/>
    <w:rsid w:val="00A912B7"/>
    <w:rsid w:val="00A913C9"/>
    <w:rsid w:val="00A913FD"/>
    <w:rsid w:val="00A914F3"/>
    <w:rsid w:val="00A915CF"/>
    <w:rsid w:val="00A91635"/>
    <w:rsid w:val="00A91804"/>
    <w:rsid w:val="00A91809"/>
    <w:rsid w:val="00A9190F"/>
    <w:rsid w:val="00A91D1A"/>
    <w:rsid w:val="00A91D2E"/>
    <w:rsid w:val="00A91F0F"/>
    <w:rsid w:val="00A91F7E"/>
    <w:rsid w:val="00A91F80"/>
    <w:rsid w:val="00A922F4"/>
    <w:rsid w:val="00A92808"/>
    <w:rsid w:val="00A92879"/>
    <w:rsid w:val="00A929E3"/>
    <w:rsid w:val="00A92C2F"/>
    <w:rsid w:val="00A92EBC"/>
    <w:rsid w:val="00A93284"/>
    <w:rsid w:val="00A932B7"/>
    <w:rsid w:val="00A93581"/>
    <w:rsid w:val="00A9364B"/>
    <w:rsid w:val="00A93799"/>
    <w:rsid w:val="00A938D1"/>
    <w:rsid w:val="00A93AA1"/>
    <w:rsid w:val="00A93AA7"/>
    <w:rsid w:val="00A93C5C"/>
    <w:rsid w:val="00A93CF4"/>
    <w:rsid w:val="00A93D93"/>
    <w:rsid w:val="00A93F78"/>
    <w:rsid w:val="00A93FC5"/>
    <w:rsid w:val="00A93FD4"/>
    <w:rsid w:val="00A940FE"/>
    <w:rsid w:val="00A9427B"/>
    <w:rsid w:val="00A944A1"/>
    <w:rsid w:val="00A94563"/>
    <w:rsid w:val="00A9491B"/>
    <w:rsid w:val="00A94962"/>
    <w:rsid w:val="00A949E2"/>
    <w:rsid w:val="00A94B5D"/>
    <w:rsid w:val="00A94C05"/>
    <w:rsid w:val="00A94CDD"/>
    <w:rsid w:val="00A94E95"/>
    <w:rsid w:val="00A94FD0"/>
    <w:rsid w:val="00A951BB"/>
    <w:rsid w:val="00A951E3"/>
    <w:rsid w:val="00A954F9"/>
    <w:rsid w:val="00A956CF"/>
    <w:rsid w:val="00A957B8"/>
    <w:rsid w:val="00A95CB7"/>
    <w:rsid w:val="00A95F47"/>
    <w:rsid w:val="00A95F5E"/>
    <w:rsid w:val="00A961E6"/>
    <w:rsid w:val="00A96495"/>
    <w:rsid w:val="00A96857"/>
    <w:rsid w:val="00A96980"/>
    <w:rsid w:val="00A969B2"/>
    <w:rsid w:val="00A96C84"/>
    <w:rsid w:val="00A9705E"/>
    <w:rsid w:val="00A971FB"/>
    <w:rsid w:val="00A974F1"/>
    <w:rsid w:val="00A97503"/>
    <w:rsid w:val="00A975CF"/>
    <w:rsid w:val="00A9768A"/>
    <w:rsid w:val="00A97842"/>
    <w:rsid w:val="00A978B9"/>
    <w:rsid w:val="00A97A3C"/>
    <w:rsid w:val="00AA01BF"/>
    <w:rsid w:val="00AA03D5"/>
    <w:rsid w:val="00AA0570"/>
    <w:rsid w:val="00AA06CC"/>
    <w:rsid w:val="00AA07AA"/>
    <w:rsid w:val="00AA0E22"/>
    <w:rsid w:val="00AA1081"/>
    <w:rsid w:val="00AA11BD"/>
    <w:rsid w:val="00AA1508"/>
    <w:rsid w:val="00AA164C"/>
    <w:rsid w:val="00AA1970"/>
    <w:rsid w:val="00AA19AC"/>
    <w:rsid w:val="00AA1BD2"/>
    <w:rsid w:val="00AA1ECB"/>
    <w:rsid w:val="00AA1EF3"/>
    <w:rsid w:val="00AA2088"/>
    <w:rsid w:val="00AA2252"/>
    <w:rsid w:val="00AA225A"/>
    <w:rsid w:val="00AA235E"/>
    <w:rsid w:val="00AA257F"/>
    <w:rsid w:val="00AA25F3"/>
    <w:rsid w:val="00AA2710"/>
    <w:rsid w:val="00AA2750"/>
    <w:rsid w:val="00AA2A1C"/>
    <w:rsid w:val="00AA2B75"/>
    <w:rsid w:val="00AA2DA0"/>
    <w:rsid w:val="00AA2DB5"/>
    <w:rsid w:val="00AA2EF9"/>
    <w:rsid w:val="00AA2F59"/>
    <w:rsid w:val="00AA3280"/>
    <w:rsid w:val="00AA3354"/>
    <w:rsid w:val="00AA38BA"/>
    <w:rsid w:val="00AA3ABC"/>
    <w:rsid w:val="00AA3B9D"/>
    <w:rsid w:val="00AA3BBF"/>
    <w:rsid w:val="00AA3E2E"/>
    <w:rsid w:val="00AA3F0B"/>
    <w:rsid w:val="00AA3FF2"/>
    <w:rsid w:val="00AA40E8"/>
    <w:rsid w:val="00AA412C"/>
    <w:rsid w:val="00AA4527"/>
    <w:rsid w:val="00AA458F"/>
    <w:rsid w:val="00AA4629"/>
    <w:rsid w:val="00AA46E7"/>
    <w:rsid w:val="00AA47C7"/>
    <w:rsid w:val="00AA4E25"/>
    <w:rsid w:val="00AA4F50"/>
    <w:rsid w:val="00AA4FBE"/>
    <w:rsid w:val="00AA517A"/>
    <w:rsid w:val="00AA536F"/>
    <w:rsid w:val="00AA567C"/>
    <w:rsid w:val="00AA5732"/>
    <w:rsid w:val="00AA5950"/>
    <w:rsid w:val="00AA5953"/>
    <w:rsid w:val="00AA5981"/>
    <w:rsid w:val="00AA5B3B"/>
    <w:rsid w:val="00AA6401"/>
    <w:rsid w:val="00AA64E0"/>
    <w:rsid w:val="00AA64E5"/>
    <w:rsid w:val="00AA65C0"/>
    <w:rsid w:val="00AA6618"/>
    <w:rsid w:val="00AA6645"/>
    <w:rsid w:val="00AA67EF"/>
    <w:rsid w:val="00AA683E"/>
    <w:rsid w:val="00AA68FF"/>
    <w:rsid w:val="00AA699D"/>
    <w:rsid w:val="00AA6A49"/>
    <w:rsid w:val="00AA6BBB"/>
    <w:rsid w:val="00AA6C28"/>
    <w:rsid w:val="00AA6ED9"/>
    <w:rsid w:val="00AA7653"/>
    <w:rsid w:val="00AA7768"/>
    <w:rsid w:val="00AA78D1"/>
    <w:rsid w:val="00AA78DF"/>
    <w:rsid w:val="00AA790D"/>
    <w:rsid w:val="00AA7A92"/>
    <w:rsid w:val="00AA7ADE"/>
    <w:rsid w:val="00AA7AF1"/>
    <w:rsid w:val="00AA7BA7"/>
    <w:rsid w:val="00AA7C7F"/>
    <w:rsid w:val="00AA7E27"/>
    <w:rsid w:val="00AA7E6B"/>
    <w:rsid w:val="00AA7F46"/>
    <w:rsid w:val="00AB016C"/>
    <w:rsid w:val="00AB0553"/>
    <w:rsid w:val="00AB05E9"/>
    <w:rsid w:val="00AB068E"/>
    <w:rsid w:val="00AB06EB"/>
    <w:rsid w:val="00AB07F8"/>
    <w:rsid w:val="00AB0872"/>
    <w:rsid w:val="00AB09DA"/>
    <w:rsid w:val="00AB0B5D"/>
    <w:rsid w:val="00AB0D67"/>
    <w:rsid w:val="00AB0DFF"/>
    <w:rsid w:val="00AB0EB3"/>
    <w:rsid w:val="00AB0F0F"/>
    <w:rsid w:val="00AB165A"/>
    <w:rsid w:val="00AB16EB"/>
    <w:rsid w:val="00AB1AB1"/>
    <w:rsid w:val="00AB1E38"/>
    <w:rsid w:val="00AB20EA"/>
    <w:rsid w:val="00AB2331"/>
    <w:rsid w:val="00AB258A"/>
    <w:rsid w:val="00AB2777"/>
    <w:rsid w:val="00AB2B7E"/>
    <w:rsid w:val="00AB2D42"/>
    <w:rsid w:val="00AB2D84"/>
    <w:rsid w:val="00AB3408"/>
    <w:rsid w:val="00AB347F"/>
    <w:rsid w:val="00AB3720"/>
    <w:rsid w:val="00AB37CC"/>
    <w:rsid w:val="00AB37EB"/>
    <w:rsid w:val="00AB3805"/>
    <w:rsid w:val="00AB3878"/>
    <w:rsid w:val="00AB3C5A"/>
    <w:rsid w:val="00AB3F34"/>
    <w:rsid w:val="00AB462D"/>
    <w:rsid w:val="00AB48B2"/>
    <w:rsid w:val="00AB4BFB"/>
    <w:rsid w:val="00AB4D2F"/>
    <w:rsid w:val="00AB4EE3"/>
    <w:rsid w:val="00AB4F2C"/>
    <w:rsid w:val="00AB4FCD"/>
    <w:rsid w:val="00AB515B"/>
    <w:rsid w:val="00AB518E"/>
    <w:rsid w:val="00AB51B7"/>
    <w:rsid w:val="00AB51CE"/>
    <w:rsid w:val="00AB54BF"/>
    <w:rsid w:val="00AB5546"/>
    <w:rsid w:val="00AB57D4"/>
    <w:rsid w:val="00AB59E6"/>
    <w:rsid w:val="00AB5CD5"/>
    <w:rsid w:val="00AB5EC1"/>
    <w:rsid w:val="00AB5F54"/>
    <w:rsid w:val="00AB60BE"/>
    <w:rsid w:val="00AB649B"/>
    <w:rsid w:val="00AB64FE"/>
    <w:rsid w:val="00AB655F"/>
    <w:rsid w:val="00AB6795"/>
    <w:rsid w:val="00AB6C0A"/>
    <w:rsid w:val="00AB6D4D"/>
    <w:rsid w:val="00AB6DA1"/>
    <w:rsid w:val="00AB6EA3"/>
    <w:rsid w:val="00AB702C"/>
    <w:rsid w:val="00AB724A"/>
    <w:rsid w:val="00AB753E"/>
    <w:rsid w:val="00AB7669"/>
    <w:rsid w:val="00AB795F"/>
    <w:rsid w:val="00AB7C13"/>
    <w:rsid w:val="00AB7C6E"/>
    <w:rsid w:val="00AB7D32"/>
    <w:rsid w:val="00AB7DC6"/>
    <w:rsid w:val="00AB7F87"/>
    <w:rsid w:val="00AC011E"/>
    <w:rsid w:val="00AC0398"/>
    <w:rsid w:val="00AC04B7"/>
    <w:rsid w:val="00AC06F6"/>
    <w:rsid w:val="00AC0A46"/>
    <w:rsid w:val="00AC0B51"/>
    <w:rsid w:val="00AC0BAD"/>
    <w:rsid w:val="00AC0BC6"/>
    <w:rsid w:val="00AC0E35"/>
    <w:rsid w:val="00AC0E40"/>
    <w:rsid w:val="00AC0EAD"/>
    <w:rsid w:val="00AC1728"/>
    <w:rsid w:val="00AC17F8"/>
    <w:rsid w:val="00AC188F"/>
    <w:rsid w:val="00AC191E"/>
    <w:rsid w:val="00AC1966"/>
    <w:rsid w:val="00AC1A37"/>
    <w:rsid w:val="00AC1AF3"/>
    <w:rsid w:val="00AC2321"/>
    <w:rsid w:val="00AC252D"/>
    <w:rsid w:val="00AC2E39"/>
    <w:rsid w:val="00AC2F0F"/>
    <w:rsid w:val="00AC2F8F"/>
    <w:rsid w:val="00AC327B"/>
    <w:rsid w:val="00AC347C"/>
    <w:rsid w:val="00AC382B"/>
    <w:rsid w:val="00AC3F02"/>
    <w:rsid w:val="00AC4120"/>
    <w:rsid w:val="00AC4234"/>
    <w:rsid w:val="00AC4260"/>
    <w:rsid w:val="00AC4266"/>
    <w:rsid w:val="00AC4746"/>
    <w:rsid w:val="00AC48FB"/>
    <w:rsid w:val="00AC4A71"/>
    <w:rsid w:val="00AC4C89"/>
    <w:rsid w:val="00AC4F35"/>
    <w:rsid w:val="00AC509C"/>
    <w:rsid w:val="00AC5137"/>
    <w:rsid w:val="00AC5540"/>
    <w:rsid w:val="00AC59F2"/>
    <w:rsid w:val="00AC5CC8"/>
    <w:rsid w:val="00AC5D04"/>
    <w:rsid w:val="00AC5E88"/>
    <w:rsid w:val="00AC5F2E"/>
    <w:rsid w:val="00AC61EC"/>
    <w:rsid w:val="00AC62FF"/>
    <w:rsid w:val="00AC69BD"/>
    <w:rsid w:val="00AC6B2F"/>
    <w:rsid w:val="00AC6BF2"/>
    <w:rsid w:val="00AC7042"/>
    <w:rsid w:val="00AC707A"/>
    <w:rsid w:val="00AC708A"/>
    <w:rsid w:val="00AC78D4"/>
    <w:rsid w:val="00AC79F8"/>
    <w:rsid w:val="00AC7A16"/>
    <w:rsid w:val="00AD00AB"/>
    <w:rsid w:val="00AD01A1"/>
    <w:rsid w:val="00AD02CE"/>
    <w:rsid w:val="00AD0344"/>
    <w:rsid w:val="00AD038D"/>
    <w:rsid w:val="00AD073D"/>
    <w:rsid w:val="00AD0743"/>
    <w:rsid w:val="00AD0900"/>
    <w:rsid w:val="00AD09A1"/>
    <w:rsid w:val="00AD0CB3"/>
    <w:rsid w:val="00AD0D34"/>
    <w:rsid w:val="00AD0EAD"/>
    <w:rsid w:val="00AD0F96"/>
    <w:rsid w:val="00AD12D8"/>
    <w:rsid w:val="00AD16D3"/>
    <w:rsid w:val="00AD1888"/>
    <w:rsid w:val="00AD195F"/>
    <w:rsid w:val="00AD207D"/>
    <w:rsid w:val="00AD2125"/>
    <w:rsid w:val="00AD21F1"/>
    <w:rsid w:val="00AD228E"/>
    <w:rsid w:val="00AD249C"/>
    <w:rsid w:val="00AD24BC"/>
    <w:rsid w:val="00AD2599"/>
    <w:rsid w:val="00AD2A17"/>
    <w:rsid w:val="00AD2A9B"/>
    <w:rsid w:val="00AD2AD2"/>
    <w:rsid w:val="00AD2C34"/>
    <w:rsid w:val="00AD2CBA"/>
    <w:rsid w:val="00AD2E98"/>
    <w:rsid w:val="00AD2FEC"/>
    <w:rsid w:val="00AD30B0"/>
    <w:rsid w:val="00AD30F9"/>
    <w:rsid w:val="00AD31D5"/>
    <w:rsid w:val="00AD335D"/>
    <w:rsid w:val="00AD38DD"/>
    <w:rsid w:val="00AD3B68"/>
    <w:rsid w:val="00AD3C36"/>
    <w:rsid w:val="00AD3C70"/>
    <w:rsid w:val="00AD3E5C"/>
    <w:rsid w:val="00AD3F9E"/>
    <w:rsid w:val="00AD40E7"/>
    <w:rsid w:val="00AD472F"/>
    <w:rsid w:val="00AD4CF5"/>
    <w:rsid w:val="00AD4D30"/>
    <w:rsid w:val="00AD5010"/>
    <w:rsid w:val="00AD506C"/>
    <w:rsid w:val="00AD5458"/>
    <w:rsid w:val="00AD54E2"/>
    <w:rsid w:val="00AD5B81"/>
    <w:rsid w:val="00AD60B1"/>
    <w:rsid w:val="00AD6107"/>
    <w:rsid w:val="00AD65AA"/>
    <w:rsid w:val="00AD6A3B"/>
    <w:rsid w:val="00AD6F32"/>
    <w:rsid w:val="00AD7158"/>
    <w:rsid w:val="00AD7311"/>
    <w:rsid w:val="00AD7368"/>
    <w:rsid w:val="00AD738C"/>
    <w:rsid w:val="00AD7472"/>
    <w:rsid w:val="00AD750F"/>
    <w:rsid w:val="00AD7865"/>
    <w:rsid w:val="00AD7AB0"/>
    <w:rsid w:val="00AD7AF3"/>
    <w:rsid w:val="00AD7C37"/>
    <w:rsid w:val="00AD7F50"/>
    <w:rsid w:val="00AD7F7D"/>
    <w:rsid w:val="00AD7FA3"/>
    <w:rsid w:val="00AE0127"/>
    <w:rsid w:val="00AE0186"/>
    <w:rsid w:val="00AE0497"/>
    <w:rsid w:val="00AE0A2A"/>
    <w:rsid w:val="00AE0B55"/>
    <w:rsid w:val="00AE0CDD"/>
    <w:rsid w:val="00AE10DE"/>
    <w:rsid w:val="00AE11D1"/>
    <w:rsid w:val="00AE135A"/>
    <w:rsid w:val="00AE1540"/>
    <w:rsid w:val="00AE1812"/>
    <w:rsid w:val="00AE1824"/>
    <w:rsid w:val="00AE1A30"/>
    <w:rsid w:val="00AE1B7E"/>
    <w:rsid w:val="00AE1B94"/>
    <w:rsid w:val="00AE1E9E"/>
    <w:rsid w:val="00AE27F2"/>
    <w:rsid w:val="00AE2BE3"/>
    <w:rsid w:val="00AE2EAC"/>
    <w:rsid w:val="00AE31DD"/>
    <w:rsid w:val="00AE3602"/>
    <w:rsid w:val="00AE3670"/>
    <w:rsid w:val="00AE387B"/>
    <w:rsid w:val="00AE39FE"/>
    <w:rsid w:val="00AE3E06"/>
    <w:rsid w:val="00AE3E35"/>
    <w:rsid w:val="00AE40C5"/>
    <w:rsid w:val="00AE40DF"/>
    <w:rsid w:val="00AE417C"/>
    <w:rsid w:val="00AE4381"/>
    <w:rsid w:val="00AE4812"/>
    <w:rsid w:val="00AE4AC3"/>
    <w:rsid w:val="00AE4ADC"/>
    <w:rsid w:val="00AE4B7F"/>
    <w:rsid w:val="00AE4EAB"/>
    <w:rsid w:val="00AE4EC2"/>
    <w:rsid w:val="00AE511B"/>
    <w:rsid w:val="00AE513D"/>
    <w:rsid w:val="00AE5159"/>
    <w:rsid w:val="00AE51D8"/>
    <w:rsid w:val="00AE520E"/>
    <w:rsid w:val="00AE56F2"/>
    <w:rsid w:val="00AE5737"/>
    <w:rsid w:val="00AE5777"/>
    <w:rsid w:val="00AE57CC"/>
    <w:rsid w:val="00AE59BF"/>
    <w:rsid w:val="00AE5A02"/>
    <w:rsid w:val="00AE5A99"/>
    <w:rsid w:val="00AE5B86"/>
    <w:rsid w:val="00AE5E47"/>
    <w:rsid w:val="00AE636A"/>
    <w:rsid w:val="00AE63D3"/>
    <w:rsid w:val="00AE64CC"/>
    <w:rsid w:val="00AE67C3"/>
    <w:rsid w:val="00AE6897"/>
    <w:rsid w:val="00AE69DF"/>
    <w:rsid w:val="00AE6B92"/>
    <w:rsid w:val="00AE6F4A"/>
    <w:rsid w:val="00AE70A3"/>
    <w:rsid w:val="00AE7317"/>
    <w:rsid w:val="00AE736C"/>
    <w:rsid w:val="00AE7550"/>
    <w:rsid w:val="00AE7756"/>
    <w:rsid w:val="00AE7DAD"/>
    <w:rsid w:val="00AF002D"/>
    <w:rsid w:val="00AF0428"/>
    <w:rsid w:val="00AF0F12"/>
    <w:rsid w:val="00AF1644"/>
    <w:rsid w:val="00AF1695"/>
    <w:rsid w:val="00AF1780"/>
    <w:rsid w:val="00AF178B"/>
    <w:rsid w:val="00AF2B0B"/>
    <w:rsid w:val="00AF2EA4"/>
    <w:rsid w:val="00AF2EB0"/>
    <w:rsid w:val="00AF319A"/>
    <w:rsid w:val="00AF32D3"/>
    <w:rsid w:val="00AF358B"/>
    <w:rsid w:val="00AF35A3"/>
    <w:rsid w:val="00AF38F6"/>
    <w:rsid w:val="00AF3BE7"/>
    <w:rsid w:val="00AF3E67"/>
    <w:rsid w:val="00AF40BC"/>
    <w:rsid w:val="00AF41A4"/>
    <w:rsid w:val="00AF41BA"/>
    <w:rsid w:val="00AF4492"/>
    <w:rsid w:val="00AF47CE"/>
    <w:rsid w:val="00AF4871"/>
    <w:rsid w:val="00AF4BC0"/>
    <w:rsid w:val="00AF4BDA"/>
    <w:rsid w:val="00AF4D5A"/>
    <w:rsid w:val="00AF5798"/>
    <w:rsid w:val="00AF57DE"/>
    <w:rsid w:val="00AF5B51"/>
    <w:rsid w:val="00AF5DCD"/>
    <w:rsid w:val="00AF5E97"/>
    <w:rsid w:val="00AF6085"/>
    <w:rsid w:val="00AF60DC"/>
    <w:rsid w:val="00AF6136"/>
    <w:rsid w:val="00AF618E"/>
    <w:rsid w:val="00AF64BB"/>
    <w:rsid w:val="00AF667E"/>
    <w:rsid w:val="00AF66C0"/>
    <w:rsid w:val="00AF6823"/>
    <w:rsid w:val="00AF6892"/>
    <w:rsid w:val="00AF6B96"/>
    <w:rsid w:val="00AF6BD9"/>
    <w:rsid w:val="00AF6CC5"/>
    <w:rsid w:val="00AF6D09"/>
    <w:rsid w:val="00AF6EAB"/>
    <w:rsid w:val="00AF6F09"/>
    <w:rsid w:val="00AF6FCE"/>
    <w:rsid w:val="00AF7321"/>
    <w:rsid w:val="00AF750C"/>
    <w:rsid w:val="00AF78DD"/>
    <w:rsid w:val="00AF794E"/>
    <w:rsid w:val="00AF79FF"/>
    <w:rsid w:val="00AF7A97"/>
    <w:rsid w:val="00AF7BDD"/>
    <w:rsid w:val="00B00007"/>
    <w:rsid w:val="00B0000C"/>
    <w:rsid w:val="00B0031E"/>
    <w:rsid w:val="00B0039C"/>
    <w:rsid w:val="00B0076F"/>
    <w:rsid w:val="00B0093B"/>
    <w:rsid w:val="00B00C86"/>
    <w:rsid w:val="00B011DF"/>
    <w:rsid w:val="00B01222"/>
    <w:rsid w:val="00B0142F"/>
    <w:rsid w:val="00B015CC"/>
    <w:rsid w:val="00B0170B"/>
    <w:rsid w:val="00B017D3"/>
    <w:rsid w:val="00B017E3"/>
    <w:rsid w:val="00B01C5E"/>
    <w:rsid w:val="00B01D24"/>
    <w:rsid w:val="00B01E02"/>
    <w:rsid w:val="00B01F61"/>
    <w:rsid w:val="00B01F66"/>
    <w:rsid w:val="00B024E1"/>
    <w:rsid w:val="00B0288F"/>
    <w:rsid w:val="00B029E6"/>
    <w:rsid w:val="00B02A45"/>
    <w:rsid w:val="00B02A65"/>
    <w:rsid w:val="00B02D81"/>
    <w:rsid w:val="00B02DFF"/>
    <w:rsid w:val="00B03102"/>
    <w:rsid w:val="00B031A2"/>
    <w:rsid w:val="00B03230"/>
    <w:rsid w:val="00B03268"/>
    <w:rsid w:val="00B032E9"/>
    <w:rsid w:val="00B034D8"/>
    <w:rsid w:val="00B03627"/>
    <w:rsid w:val="00B039E1"/>
    <w:rsid w:val="00B03B09"/>
    <w:rsid w:val="00B03B13"/>
    <w:rsid w:val="00B03BA3"/>
    <w:rsid w:val="00B03C6B"/>
    <w:rsid w:val="00B03D62"/>
    <w:rsid w:val="00B03DE0"/>
    <w:rsid w:val="00B03F19"/>
    <w:rsid w:val="00B040B1"/>
    <w:rsid w:val="00B040CD"/>
    <w:rsid w:val="00B044BF"/>
    <w:rsid w:val="00B04593"/>
    <w:rsid w:val="00B0460F"/>
    <w:rsid w:val="00B04850"/>
    <w:rsid w:val="00B04852"/>
    <w:rsid w:val="00B04867"/>
    <w:rsid w:val="00B04D8C"/>
    <w:rsid w:val="00B04F33"/>
    <w:rsid w:val="00B050CF"/>
    <w:rsid w:val="00B052C0"/>
    <w:rsid w:val="00B05394"/>
    <w:rsid w:val="00B0575B"/>
    <w:rsid w:val="00B05973"/>
    <w:rsid w:val="00B05C4F"/>
    <w:rsid w:val="00B05D56"/>
    <w:rsid w:val="00B05D5B"/>
    <w:rsid w:val="00B05E64"/>
    <w:rsid w:val="00B05FC2"/>
    <w:rsid w:val="00B0619C"/>
    <w:rsid w:val="00B0630E"/>
    <w:rsid w:val="00B065E4"/>
    <w:rsid w:val="00B06706"/>
    <w:rsid w:val="00B06BA7"/>
    <w:rsid w:val="00B06C86"/>
    <w:rsid w:val="00B06D9F"/>
    <w:rsid w:val="00B06FBB"/>
    <w:rsid w:val="00B0709F"/>
    <w:rsid w:val="00B071DA"/>
    <w:rsid w:val="00B072AB"/>
    <w:rsid w:val="00B073BF"/>
    <w:rsid w:val="00B079E5"/>
    <w:rsid w:val="00B07DBB"/>
    <w:rsid w:val="00B1008F"/>
    <w:rsid w:val="00B10370"/>
    <w:rsid w:val="00B1045A"/>
    <w:rsid w:val="00B104AE"/>
    <w:rsid w:val="00B1056A"/>
    <w:rsid w:val="00B10651"/>
    <w:rsid w:val="00B1077E"/>
    <w:rsid w:val="00B107A1"/>
    <w:rsid w:val="00B10870"/>
    <w:rsid w:val="00B10A1D"/>
    <w:rsid w:val="00B10BEA"/>
    <w:rsid w:val="00B11435"/>
    <w:rsid w:val="00B11439"/>
    <w:rsid w:val="00B1151B"/>
    <w:rsid w:val="00B11550"/>
    <w:rsid w:val="00B1188E"/>
    <w:rsid w:val="00B11990"/>
    <w:rsid w:val="00B11BA4"/>
    <w:rsid w:val="00B11D09"/>
    <w:rsid w:val="00B11EE6"/>
    <w:rsid w:val="00B11FA1"/>
    <w:rsid w:val="00B12287"/>
    <w:rsid w:val="00B123DF"/>
    <w:rsid w:val="00B12787"/>
    <w:rsid w:val="00B128C7"/>
    <w:rsid w:val="00B12A5B"/>
    <w:rsid w:val="00B12AD2"/>
    <w:rsid w:val="00B12ADC"/>
    <w:rsid w:val="00B12C30"/>
    <w:rsid w:val="00B12C9E"/>
    <w:rsid w:val="00B12CAA"/>
    <w:rsid w:val="00B12DC7"/>
    <w:rsid w:val="00B12EAF"/>
    <w:rsid w:val="00B12EB0"/>
    <w:rsid w:val="00B12FF1"/>
    <w:rsid w:val="00B1352D"/>
    <w:rsid w:val="00B13BF8"/>
    <w:rsid w:val="00B13BFD"/>
    <w:rsid w:val="00B13D9C"/>
    <w:rsid w:val="00B14131"/>
    <w:rsid w:val="00B1423D"/>
    <w:rsid w:val="00B1428F"/>
    <w:rsid w:val="00B145E9"/>
    <w:rsid w:val="00B14769"/>
    <w:rsid w:val="00B14C1B"/>
    <w:rsid w:val="00B14C5B"/>
    <w:rsid w:val="00B14C71"/>
    <w:rsid w:val="00B15181"/>
    <w:rsid w:val="00B152B7"/>
    <w:rsid w:val="00B1530A"/>
    <w:rsid w:val="00B1537F"/>
    <w:rsid w:val="00B1545E"/>
    <w:rsid w:val="00B15636"/>
    <w:rsid w:val="00B156E2"/>
    <w:rsid w:val="00B15739"/>
    <w:rsid w:val="00B15EDA"/>
    <w:rsid w:val="00B15FE4"/>
    <w:rsid w:val="00B16124"/>
    <w:rsid w:val="00B1632D"/>
    <w:rsid w:val="00B16334"/>
    <w:rsid w:val="00B163F5"/>
    <w:rsid w:val="00B16733"/>
    <w:rsid w:val="00B16BC2"/>
    <w:rsid w:val="00B16C4A"/>
    <w:rsid w:val="00B16C84"/>
    <w:rsid w:val="00B16FD2"/>
    <w:rsid w:val="00B1738A"/>
    <w:rsid w:val="00B1751C"/>
    <w:rsid w:val="00B1757C"/>
    <w:rsid w:val="00B17583"/>
    <w:rsid w:val="00B17682"/>
    <w:rsid w:val="00B1770D"/>
    <w:rsid w:val="00B1784A"/>
    <w:rsid w:val="00B17D2E"/>
    <w:rsid w:val="00B17D38"/>
    <w:rsid w:val="00B17D9E"/>
    <w:rsid w:val="00B17E31"/>
    <w:rsid w:val="00B17F6A"/>
    <w:rsid w:val="00B17FAB"/>
    <w:rsid w:val="00B200B8"/>
    <w:rsid w:val="00B20930"/>
    <w:rsid w:val="00B20B05"/>
    <w:rsid w:val="00B20B64"/>
    <w:rsid w:val="00B20BDD"/>
    <w:rsid w:val="00B20DAE"/>
    <w:rsid w:val="00B20F08"/>
    <w:rsid w:val="00B20F73"/>
    <w:rsid w:val="00B21014"/>
    <w:rsid w:val="00B210D5"/>
    <w:rsid w:val="00B210FB"/>
    <w:rsid w:val="00B21168"/>
    <w:rsid w:val="00B21273"/>
    <w:rsid w:val="00B2135B"/>
    <w:rsid w:val="00B213B7"/>
    <w:rsid w:val="00B21735"/>
    <w:rsid w:val="00B21805"/>
    <w:rsid w:val="00B218A2"/>
    <w:rsid w:val="00B218E8"/>
    <w:rsid w:val="00B21C97"/>
    <w:rsid w:val="00B21DBF"/>
    <w:rsid w:val="00B2247A"/>
    <w:rsid w:val="00B2297B"/>
    <w:rsid w:val="00B2298A"/>
    <w:rsid w:val="00B2299E"/>
    <w:rsid w:val="00B22A40"/>
    <w:rsid w:val="00B22BCC"/>
    <w:rsid w:val="00B22DA6"/>
    <w:rsid w:val="00B23038"/>
    <w:rsid w:val="00B23093"/>
    <w:rsid w:val="00B231EC"/>
    <w:rsid w:val="00B2324D"/>
    <w:rsid w:val="00B23316"/>
    <w:rsid w:val="00B234C2"/>
    <w:rsid w:val="00B23520"/>
    <w:rsid w:val="00B236AD"/>
    <w:rsid w:val="00B236BD"/>
    <w:rsid w:val="00B23753"/>
    <w:rsid w:val="00B23935"/>
    <w:rsid w:val="00B23CC6"/>
    <w:rsid w:val="00B24153"/>
    <w:rsid w:val="00B2415C"/>
    <w:rsid w:val="00B24392"/>
    <w:rsid w:val="00B24505"/>
    <w:rsid w:val="00B2469F"/>
    <w:rsid w:val="00B249E8"/>
    <w:rsid w:val="00B24AEE"/>
    <w:rsid w:val="00B24BAF"/>
    <w:rsid w:val="00B24BE9"/>
    <w:rsid w:val="00B24CBC"/>
    <w:rsid w:val="00B24E19"/>
    <w:rsid w:val="00B24EF9"/>
    <w:rsid w:val="00B25059"/>
    <w:rsid w:val="00B250EC"/>
    <w:rsid w:val="00B25110"/>
    <w:rsid w:val="00B257B5"/>
    <w:rsid w:val="00B2591E"/>
    <w:rsid w:val="00B25A31"/>
    <w:rsid w:val="00B25BBA"/>
    <w:rsid w:val="00B26538"/>
    <w:rsid w:val="00B26730"/>
    <w:rsid w:val="00B26AA9"/>
    <w:rsid w:val="00B26C60"/>
    <w:rsid w:val="00B26C63"/>
    <w:rsid w:val="00B26DAD"/>
    <w:rsid w:val="00B27045"/>
    <w:rsid w:val="00B270E0"/>
    <w:rsid w:val="00B2710E"/>
    <w:rsid w:val="00B271C0"/>
    <w:rsid w:val="00B272F6"/>
    <w:rsid w:val="00B27357"/>
    <w:rsid w:val="00B2747B"/>
    <w:rsid w:val="00B278F8"/>
    <w:rsid w:val="00B27A2B"/>
    <w:rsid w:val="00B27B45"/>
    <w:rsid w:val="00B27C94"/>
    <w:rsid w:val="00B27DFA"/>
    <w:rsid w:val="00B30273"/>
    <w:rsid w:val="00B303B3"/>
    <w:rsid w:val="00B30637"/>
    <w:rsid w:val="00B308D0"/>
    <w:rsid w:val="00B30DBD"/>
    <w:rsid w:val="00B30F5E"/>
    <w:rsid w:val="00B30FE4"/>
    <w:rsid w:val="00B3108E"/>
    <w:rsid w:val="00B312C6"/>
    <w:rsid w:val="00B319ED"/>
    <w:rsid w:val="00B31A04"/>
    <w:rsid w:val="00B31A33"/>
    <w:rsid w:val="00B31DCA"/>
    <w:rsid w:val="00B31F57"/>
    <w:rsid w:val="00B3220C"/>
    <w:rsid w:val="00B322AB"/>
    <w:rsid w:val="00B32415"/>
    <w:rsid w:val="00B32543"/>
    <w:rsid w:val="00B3257B"/>
    <w:rsid w:val="00B32681"/>
    <w:rsid w:val="00B32C40"/>
    <w:rsid w:val="00B32E7C"/>
    <w:rsid w:val="00B32F43"/>
    <w:rsid w:val="00B331B2"/>
    <w:rsid w:val="00B331B8"/>
    <w:rsid w:val="00B3333B"/>
    <w:rsid w:val="00B33362"/>
    <w:rsid w:val="00B3395E"/>
    <w:rsid w:val="00B33AA3"/>
    <w:rsid w:val="00B33B5E"/>
    <w:rsid w:val="00B33BE9"/>
    <w:rsid w:val="00B33D87"/>
    <w:rsid w:val="00B33FDF"/>
    <w:rsid w:val="00B341AA"/>
    <w:rsid w:val="00B34363"/>
    <w:rsid w:val="00B34428"/>
    <w:rsid w:val="00B34457"/>
    <w:rsid w:val="00B344BB"/>
    <w:rsid w:val="00B345D8"/>
    <w:rsid w:val="00B34659"/>
    <w:rsid w:val="00B348DF"/>
    <w:rsid w:val="00B3492E"/>
    <w:rsid w:val="00B349AF"/>
    <w:rsid w:val="00B34C31"/>
    <w:rsid w:val="00B3511E"/>
    <w:rsid w:val="00B351C9"/>
    <w:rsid w:val="00B3522C"/>
    <w:rsid w:val="00B35923"/>
    <w:rsid w:val="00B35A20"/>
    <w:rsid w:val="00B35BDA"/>
    <w:rsid w:val="00B35ECF"/>
    <w:rsid w:val="00B35FA8"/>
    <w:rsid w:val="00B35FD7"/>
    <w:rsid w:val="00B36275"/>
    <w:rsid w:val="00B36769"/>
    <w:rsid w:val="00B36A60"/>
    <w:rsid w:val="00B36B50"/>
    <w:rsid w:val="00B36D0F"/>
    <w:rsid w:val="00B370DC"/>
    <w:rsid w:val="00B3710D"/>
    <w:rsid w:val="00B371D0"/>
    <w:rsid w:val="00B37257"/>
    <w:rsid w:val="00B37452"/>
    <w:rsid w:val="00B37533"/>
    <w:rsid w:val="00B3784D"/>
    <w:rsid w:val="00B3793D"/>
    <w:rsid w:val="00B379E4"/>
    <w:rsid w:val="00B37C2F"/>
    <w:rsid w:val="00B37D9C"/>
    <w:rsid w:val="00B37EFC"/>
    <w:rsid w:val="00B37F38"/>
    <w:rsid w:val="00B37FC8"/>
    <w:rsid w:val="00B40002"/>
    <w:rsid w:val="00B4004C"/>
    <w:rsid w:val="00B40118"/>
    <w:rsid w:val="00B404E8"/>
    <w:rsid w:val="00B4069B"/>
    <w:rsid w:val="00B406F8"/>
    <w:rsid w:val="00B406FF"/>
    <w:rsid w:val="00B40B70"/>
    <w:rsid w:val="00B40EA7"/>
    <w:rsid w:val="00B40F17"/>
    <w:rsid w:val="00B40F6F"/>
    <w:rsid w:val="00B41063"/>
    <w:rsid w:val="00B410F2"/>
    <w:rsid w:val="00B4156E"/>
    <w:rsid w:val="00B41762"/>
    <w:rsid w:val="00B41861"/>
    <w:rsid w:val="00B41955"/>
    <w:rsid w:val="00B419F3"/>
    <w:rsid w:val="00B41CAB"/>
    <w:rsid w:val="00B4201F"/>
    <w:rsid w:val="00B4203B"/>
    <w:rsid w:val="00B420D0"/>
    <w:rsid w:val="00B4273F"/>
    <w:rsid w:val="00B42E31"/>
    <w:rsid w:val="00B43199"/>
    <w:rsid w:val="00B43289"/>
    <w:rsid w:val="00B43373"/>
    <w:rsid w:val="00B43381"/>
    <w:rsid w:val="00B435BA"/>
    <w:rsid w:val="00B4367F"/>
    <w:rsid w:val="00B43786"/>
    <w:rsid w:val="00B438F1"/>
    <w:rsid w:val="00B43ED0"/>
    <w:rsid w:val="00B43F25"/>
    <w:rsid w:val="00B440B6"/>
    <w:rsid w:val="00B44230"/>
    <w:rsid w:val="00B4450F"/>
    <w:rsid w:val="00B44519"/>
    <w:rsid w:val="00B4464E"/>
    <w:rsid w:val="00B446BE"/>
    <w:rsid w:val="00B44969"/>
    <w:rsid w:val="00B44A74"/>
    <w:rsid w:val="00B44B91"/>
    <w:rsid w:val="00B44C3C"/>
    <w:rsid w:val="00B44CE2"/>
    <w:rsid w:val="00B45326"/>
    <w:rsid w:val="00B45373"/>
    <w:rsid w:val="00B453A5"/>
    <w:rsid w:val="00B453EC"/>
    <w:rsid w:val="00B454A9"/>
    <w:rsid w:val="00B4552A"/>
    <w:rsid w:val="00B45578"/>
    <w:rsid w:val="00B4564C"/>
    <w:rsid w:val="00B45796"/>
    <w:rsid w:val="00B459D8"/>
    <w:rsid w:val="00B45CEA"/>
    <w:rsid w:val="00B45D0A"/>
    <w:rsid w:val="00B4627F"/>
    <w:rsid w:val="00B463C5"/>
    <w:rsid w:val="00B4646B"/>
    <w:rsid w:val="00B464E7"/>
    <w:rsid w:val="00B465B4"/>
    <w:rsid w:val="00B46ECB"/>
    <w:rsid w:val="00B47159"/>
    <w:rsid w:val="00B47228"/>
    <w:rsid w:val="00B47395"/>
    <w:rsid w:val="00B474DC"/>
    <w:rsid w:val="00B4768D"/>
    <w:rsid w:val="00B47798"/>
    <w:rsid w:val="00B47870"/>
    <w:rsid w:val="00B47C72"/>
    <w:rsid w:val="00B47D8D"/>
    <w:rsid w:val="00B47DE3"/>
    <w:rsid w:val="00B501C5"/>
    <w:rsid w:val="00B50320"/>
    <w:rsid w:val="00B5095C"/>
    <w:rsid w:val="00B50B89"/>
    <w:rsid w:val="00B50CC3"/>
    <w:rsid w:val="00B50CFA"/>
    <w:rsid w:val="00B50EF6"/>
    <w:rsid w:val="00B50F30"/>
    <w:rsid w:val="00B51382"/>
    <w:rsid w:val="00B5147D"/>
    <w:rsid w:val="00B51542"/>
    <w:rsid w:val="00B51791"/>
    <w:rsid w:val="00B5180B"/>
    <w:rsid w:val="00B51A3E"/>
    <w:rsid w:val="00B51A4F"/>
    <w:rsid w:val="00B51AED"/>
    <w:rsid w:val="00B51BDE"/>
    <w:rsid w:val="00B51D8B"/>
    <w:rsid w:val="00B51EEE"/>
    <w:rsid w:val="00B51FB1"/>
    <w:rsid w:val="00B52074"/>
    <w:rsid w:val="00B520CC"/>
    <w:rsid w:val="00B5210C"/>
    <w:rsid w:val="00B521AC"/>
    <w:rsid w:val="00B522D5"/>
    <w:rsid w:val="00B5259F"/>
    <w:rsid w:val="00B526D5"/>
    <w:rsid w:val="00B527C1"/>
    <w:rsid w:val="00B528B0"/>
    <w:rsid w:val="00B52950"/>
    <w:rsid w:val="00B52E0A"/>
    <w:rsid w:val="00B531C7"/>
    <w:rsid w:val="00B531FD"/>
    <w:rsid w:val="00B5332E"/>
    <w:rsid w:val="00B53842"/>
    <w:rsid w:val="00B53AEB"/>
    <w:rsid w:val="00B53BEC"/>
    <w:rsid w:val="00B53BF1"/>
    <w:rsid w:val="00B53EEF"/>
    <w:rsid w:val="00B53F0C"/>
    <w:rsid w:val="00B53F87"/>
    <w:rsid w:val="00B540B7"/>
    <w:rsid w:val="00B540CD"/>
    <w:rsid w:val="00B541C3"/>
    <w:rsid w:val="00B542E4"/>
    <w:rsid w:val="00B543E8"/>
    <w:rsid w:val="00B543E9"/>
    <w:rsid w:val="00B5466A"/>
    <w:rsid w:val="00B54939"/>
    <w:rsid w:val="00B549B1"/>
    <w:rsid w:val="00B54EC4"/>
    <w:rsid w:val="00B55044"/>
    <w:rsid w:val="00B5512C"/>
    <w:rsid w:val="00B55302"/>
    <w:rsid w:val="00B553E4"/>
    <w:rsid w:val="00B556A1"/>
    <w:rsid w:val="00B55953"/>
    <w:rsid w:val="00B55956"/>
    <w:rsid w:val="00B55DBD"/>
    <w:rsid w:val="00B55EA2"/>
    <w:rsid w:val="00B55F6D"/>
    <w:rsid w:val="00B560D1"/>
    <w:rsid w:val="00B560E6"/>
    <w:rsid w:val="00B563D7"/>
    <w:rsid w:val="00B563F3"/>
    <w:rsid w:val="00B565FC"/>
    <w:rsid w:val="00B567C6"/>
    <w:rsid w:val="00B56B67"/>
    <w:rsid w:val="00B56D18"/>
    <w:rsid w:val="00B56D2A"/>
    <w:rsid w:val="00B56D52"/>
    <w:rsid w:val="00B56E57"/>
    <w:rsid w:val="00B57014"/>
    <w:rsid w:val="00B57023"/>
    <w:rsid w:val="00B57119"/>
    <w:rsid w:val="00B57199"/>
    <w:rsid w:val="00B571F5"/>
    <w:rsid w:val="00B572AD"/>
    <w:rsid w:val="00B5749C"/>
    <w:rsid w:val="00B57816"/>
    <w:rsid w:val="00B57965"/>
    <w:rsid w:val="00B57C28"/>
    <w:rsid w:val="00B57D09"/>
    <w:rsid w:val="00B6036D"/>
    <w:rsid w:val="00B603B7"/>
    <w:rsid w:val="00B60491"/>
    <w:rsid w:val="00B6061C"/>
    <w:rsid w:val="00B60A44"/>
    <w:rsid w:val="00B60C74"/>
    <w:rsid w:val="00B60D9C"/>
    <w:rsid w:val="00B6101D"/>
    <w:rsid w:val="00B611CB"/>
    <w:rsid w:val="00B614BC"/>
    <w:rsid w:val="00B616D0"/>
    <w:rsid w:val="00B619BD"/>
    <w:rsid w:val="00B61D0C"/>
    <w:rsid w:val="00B61DC0"/>
    <w:rsid w:val="00B6202D"/>
    <w:rsid w:val="00B620A6"/>
    <w:rsid w:val="00B620C1"/>
    <w:rsid w:val="00B623B9"/>
    <w:rsid w:val="00B62511"/>
    <w:rsid w:val="00B6253A"/>
    <w:rsid w:val="00B627BE"/>
    <w:rsid w:val="00B627DF"/>
    <w:rsid w:val="00B6294E"/>
    <w:rsid w:val="00B62B5E"/>
    <w:rsid w:val="00B62B74"/>
    <w:rsid w:val="00B62BBF"/>
    <w:rsid w:val="00B62CAA"/>
    <w:rsid w:val="00B62DA0"/>
    <w:rsid w:val="00B62F45"/>
    <w:rsid w:val="00B63016"/>
    <w:rsid w:val="00B630F4"/>
    <w:rsid w:val="00B636DD"/>
    <w:rsid w:val="00B637C8"/>
    <w:rsid w:val="00B63854"/>
    <w:rsid w:val="00B6386C"/>
    <w:rsid w:val="00B63A5D"/>
    <w:rsid w:val="00B63DC6"/>
    <w:rsid w:val="00B63FF3"/>
    <w:rsid w:val="00B64245"/>
    <w:rsid w:val="00B64605"/>
    <w:rsid w:val="00B64B4C"/>
    <w:rsid w:val="00B64CDE"/>
    <w:rsid w:val="00B64D26"/>
    <w:rsid w:val="00B64E03"/>
    <w:rsid w:val="00B650D2"/>
    <w:rsid w:val="00B65113"/>
    <w:rsid w:val="00B65431"/>
    <w:rsid w:val="00B65CC3"/>
    <w:rsid w:val="00B65E3D"/>
    <w:rsid w:val="00B65EA4"/>
    <w:rsid w:val="00B65FAD"/>
    <w:rsid w:val="00B6602F"/>
    <w:rsid w:val="00B66077"/>
    <w:rsid w:val="00B660BE"/>
    <w:rsid w:val="00B6613A"/>
    <w:rsid w:val="00B665E2"/>
    <w:rsid w:val="00B6669C"/>
    <w:rsid w:val="00B666F3"/>
    <w:rsid w:val="00B66918"/>
    <w:rsid w:val="00B669EE"/>
    <w:rsid w:val="00B66A46"/>
    <w:rsid w:val="00B66ADD"/>
    <w:rsid w:val="00B66C88"/>
    <w:rsid w:val="00B66D89"/>
    <w:rsid w:val="00B66E82"/>
    <w:rsid w:val="00B66FCE"/>
    <w:rsid w:val="00B67001"/>
    <w:rsid w:val="00B67235"/>
    <w:rsid w:val="00B67407"/>
    <w:rsid w:val="00B67754"/>
    <w:rsid w:val="00B67C20"/>
    <w:rsid w:val="00B67DFC"/>
    <w:rsid w:val="00B67E8E"/>
    <w:rsid w:val="00B67EED"/>
    <w:rsid w:val="00B7043B"/>
    <w:rsid w:val="00B7095C"/>
    <w:rsid w:val="00B709DE"/>
    <w:rsid w:val="00B70D65"/>
    <w:rsid w:val="00B70E88"/>
    <w:rsid w:val="00B7152D"/>
    <w:rsid w:val="00B7169A"/>
    <w:rsid w:val="00B71740"/>
    <w:rsid w:val="00B71838"/>
    <w:rsid w:val="00B718B5"/>
    <w:rsid w:val="00B71C2F"/>
    <w:rsid w:val="00B71CCB"/>
    <w:rsid w:val="00B71D2C"/>
    <w:rsid w:val="00B71E61"/>
    <w:rsid w:val="00B72034"/>
    <w:rsid w:val="00B72123"/>
    <w:rsid w:val="00B72210"/>
    <w:rsid w:val="00B7234B"/>
    <w:rsid w:val="00B72366"/>
    <w:rsid w:val="00B725A1"/>
    <w:rsid w:val="00B7266A"/>
    <w:rsid w:val="00B727AF"/>
    <w:rsid w:val="00B727FF"/>
    <w:rsid w:val="00B732C7"/>
    <w:rsid w:val="00B733C9"/>
    <w:rsid w:val="00B73708"/>
    <w:rsid w:val="00B73891"/>
    <w:rsid w:val="00B73926"/>
    <w:rsid w:val="00B739BC"/>
    <w:rsid w:val="00B73C63"/>
    <w:rsid w:val="00B73DF3"/>
    <w:rsid w:val="00B73FA0"/>
    <w:rsid w:val="00B741A5"/>
    <w:rsid w:val="00B74840"/>
    <w:rsid w:val="00B748B1"/>
    <w:rsid w:val="00B7491C"/>
    <w:rsid w:val="00B7499E"/>
    <w:rsid w:val="00B74AA8"/>
    <w:rsid w:val="00B74B44"/>
    <w:rsid w:val="00B74B72"/>
    <w:rsid w:val="00B75119"/>
    <w:rsid w:val="00B75417"/>
    <w:rsid w:val="00B75465"/>
    <w:rsid w:val="00B7568A"/>
    <w:rsid w:val="00B758B3"/>
    <w:rsid w:val="00B75ADA"/>
    <w:rsid w:val="00B7658B"/>
    <w:rsid w:val="00B76734"/>
    <w:rsid w:val="00B767A6"/>
    <w:rsid w:val="00B76803"/>
    <w:rsid w:val="00B76983"/>
    <w:rsid w:val="00B76D0D"/>
    <w:rsid w:val="00B76D8E"/>
    <w:rsid w:val="00B76E17"/>
    <w:rsid w:val="00B76F72"/>
    <w:rsid w:val="00B76FD7"/>
    <w:rsid w:val="00B772BA"/>
    <w:rsid w:val="00B772DE"/>
    <w:rsid w:val="00B7757B"/>
    <w:rsid w:val="00B776B1"/>
    <w:rsid w:val="00B777DA"/>
    <w:rsid w:val="00B778CB"/>
    <w:rsid w:val="00B779E7"/>
    <w:rsid w:val="00B77E89"/>
    <w:rsid w:val="00B77F53"/>
    <w:rsid w:val="00B8000D"/>
    <w:rsid w:val="00B802B6"/>
    <w:rsid w:val="00B80538"/>
    <w:rsid w:val="00B8093A"/>
    <w:rsid w:val="00B80A0E"/>
    <w:rsid w:val="00B80A2E"/>
    <w:rsid w:val="00B80A94"/>
    <w:rsid w:val="00B810BE"/>
    <w:rsid w:val="00B81192"/>
    <w:rsid w:val="00B81390"/>
    <w:rsid w:val="00B8144E"/>
    <w:rsid w:val="00B81677"/>
    <w:rsid w:val="00B81BB4"/>
    <w:rsid w:val="00B81E9B"/>
    <w:rsid w:val="00B81FCD"/>
    <w:rsid w:val="00B82193"/>
    <w:rsid w:val="00B825C7"/>
    <w:rsid w:val="00B825E1"/>
    <w:rsid w:val="00B82A5C"/>
    <w:rsid w:val="00B82BCB"/>
    <w:rsid w:val="00B82C88"/>
    <w:rsid w:val="00B82FBF"/>
    <w:rsid w:val="00B8310B"/>
    <w:rsid w:val="00B83178"/>
    <w:rsid w:val="00B832CF"/>
    <w:rsid w:val="00B83363"/>
    <w:rsid w:val="00B8353F"/>
    <w:rsid w:val="00B836B5"/>
    <w:rsid w:val="00B836CB"/>
    <w:rsid w:val="00B83ACD"/>
    <w:rsid w:val="00B83B31"/>
    <w:rsid w:val="00B83C2F"/>
    <w:rsid w:val="00B83E8D"/>
    <w:rsid w:val="00B8404B"/>
    <w:rsid w:val="00B841C5"/>
    <w:rsid w:val="00B846DF"/>
    <w:rsid w:val="00B847B6"/>
    <w:rsid w:val="00B847FA"/>
    <w:rsid w:val="00B84981"/>
    <w:rsid w:val="00B84CE2"/>
    <w:rsid w:val="00B84CFD"/>
    <w:rsid w:val="00B84F46"/>
    <w:rsid w:val="00B84F6A"/>
    <w:rsid w:val="00B84FF8"/>
    <w:rsid w:val="00B85146"/>
    <w:rsid w:val="00B851A2"/>
    <w:rsid w:val="00B8524C"/>
    <w:rsid w:val="00B855F2"/>
    <w:rsid w:val="00B85895"/>
    <w:rsid w:val="00B8593D"/>
    <w:rsid w:val="00B85B85"/>
    <w:rsid w:val="00B85D9C"/>
    <w:rsid w:val="00B85E81"/>
    <w:rsid w:val="00B85F7D"/>
    <w:rsid w:val="00B86167"/>
    <w:rsid w:val="00B862D5"/>
    <w:rsid w:val="00B86310"/>
    <w:rsid w:val="00B86400"/>
    <w:rsid w:val="00B864C5"/>
    <w:rsid w:val="00B86584"/>
    <w:rsid w:val="00B865DD"/>
    <w:rsid w:val="00B8686F"/>
    <w:rsid w:val="00B86923"/>
    <w:rsid w:val="00B86950"/>
    <w:rsid w:val="00B869BF"/>
    <w:rsid w:val="00B86A92"/>
    <w:rsid w:val="00B86E06"/>
    <w:rsid w:val="00B86FB5"/>
    <w:rsid w:val="00B8797E"/>
    <w:rsid w:val="00B87F93"/>
    <w:rsid w:val="00B900A9"/>
    <w:rsid w:val="00B90192"/>
    <w:rsid w:val="00B9028E"/>
    <w:rsid w:val="00B9071A"/>
    <w:rsid w:val="00B90760"/>
    <w:rsid w:val="00B909C7"/>
    <w:rsid w:val="00B90C78"/>
    <w:rsid w:val="00B90F88"/>
    <w:rsid w:val="00B91288"/>
    <w:rsid w:val="00B912F8"/>
    <w:rsid w:val="00B9154D"/>
    <w:rsid w:val="00B91690"/>
    <w:rsid w:val="00B91903"/>
    <w:rsid w:val="00B91BEB"/>
    <w:rsid w:val="00B920D9"/>
    <w:rsid w:val="00B923AC"/>
    <w:rsid w:val="00B9245D"/>
    <w:rsid w:val="00B9270E"/>
    <w:rsid w:val="00B92859"/>
    <w:rsid w:val="00B92AD8"/>
    <w:rsid w:val="00B931AA"/>
    <w:rsid w:val="00B9322F"/>
    <w:rsid w:val="00B93455"/>
    <w:rsid w:val="00B934CD"/>
    <w:rsid w:val="00B93685"/>
    <w:rsid w:val="00B937D8"/>
    <w:rsid w:val="00B93998"/>
    <w:rsid w:val="00B93CB7"/>
    <w:rsid w:val="00B93F3C"/>
    <w:rsid w:val="00B93F9A"/>
    <w:rsid w:val="00B942D0"/>
    <w:rsid w:val="00B94489"/>
    <w:rsid w:val="00B944C5"/>
    <w:rsid w:val="00B944D1"/>
    <w:rsid w:val="00B94916"/>
    <w:rsid w:val="00B94ED4"/>
    <w:rsid w:val="00B94FB0"/>
    <w:rsid w:val="00B95028"/>
    <w:rsid w:val="00B95029"/>
    <w:rsid w:val="00B95039"/>
    <w:rsid w:val="00B95347"/>
    <w:rsid w:val="00B954C8"/>
    <w:rsid w:val="00B957CC"/>
    <w:rsid w:val="00B95AA0"/>
    <w:rsid w:val="00B95BEA"/>
    <w:rsid w:val="00B95D5F"/>
    <w:rsid w:val="00B95DBC"/>
    <w:rsid w:val="00B95FB2"/>
    <w:rsid w:val="00B96103"/>
    <w:rsid w:val="00B9612B"/>
    <w:rsid w:val="00B96234"/>
    <w:rsid w:val="00B964F3"/>
    <w:rsid w:val="00B96747"/>
    <w:rsid w:val="00B969B1"/>
    <w:rsid w:val="00B96E50"/>
    <w:rsid w:val="00B97090"/>
    <w:rsid w:val="00B97111"/>
    <w:rsid w:val="00B97125"/>
    <w:rsid w:val="00B97294"/>
    <w:rsid w:val="00B972DD"/>
    <w:rsid w:val="00B97459"/>
    <w:rsid w:val="00B975F1"/>
    <w:rsid w:val="00B978AD"/>
    <w:rsid w:val="00B978DB"/>
    <w:rsid w:val="00B978EF"/>
    <w:rsid w:val="00B978F5"/>
    <w:rsid w:val="00B9790D"/>
    <w:rsid w:val="00B97C79"/>
    <w:rsid w:val="00B97CA3"/>
    <w:rsid w:val="00B97D04"/>
    <w:rsid w:val="00B97D08"/>
    <w:rsid w:val="00B97D6D"/>
    <w:rsid w:val="00B97EE8"/>
    <w:rsid w:val="00BA0035"/>
    <w:rsid w:val="00BA022F"/>
    <w:rsid w:val="00BA043A"/>
    <w:rsid w:val="00BA08D9"/>
    <w:rsid w:val="00BA09C2"/>
    <w:rsid w:val="00BA0A22"/>
    <w:rsid w:val="00BA0BB9"/>
    <w:rsid w:val="00BA0DEF"/>
    <w:rsid w:val="00BA0F93"/>
    <w:rsid w:val="00BA1298"/>
    <w:rsid w:val="00BA1B84"/>
    <w:rsid w:val="00BA1C9A"/>
    <w:rsid w:val="00BA2131"/>
    <w:rsid w:val="00BA227B"/>
    <w:rsid w:val="00BA2937"/>
    <w:rsid w:val="00BA296F"/>
    <w:rsid w:val="00BA2F21"/>
    <w:rsid w:val="00BA2F51"/>
    <w:rsid w:val="00BA30F5"/>
    <w:rsid w:val="00BA31BE"/>
    <w:rsid w:val="00BA32D7"/>
    <w:rsid w:val="00BA3514"/>
    <w:rsid w:val="00BA37BC"/>
    <w:rsid w:val="00BA3982"/>
    <w:rsid w:val="00BA489F"/>
    <w:rsid w:val="00BA4BAA"/>
    <w:rsid w:val="00BA4EEF"/>
    <w:rsid w:val="00BA5095"/>
    <w:rsid w:val="00BA52B8"/>
    <w:rsid w:val="00BA5594"/>
    <w:rsid w:val="00BA5617"/>
    <w:rsid w:val="00BA577E"/>
    <w:rsid w:val="00BA5C67"/>
    <w:rsid w:val="00BA5CF6"/>
    <w:rsid w:val="00BA5D1F"/>
    <w:rsid w:val="00BA5E55"/>
    <w:rsid w:val="00BA5FB9"/>
    <w:rsid w:val="00BA60A6"/>
    <w:rsid w:val="00BA6249"/>
    <w:rsid w:val="00BA64A6"/>
    <w:rsid w:val="00BA6785"/>
    <w:rsid w:val="00BA6835"/>
    <w:rsid w:val="00BA69E6"/>
    <w:rsid w:val="00BA6DDE"/>
    <w:rsid w:val="00BA6F83"/>
    <w:rsid w:val="00BA6FA1"/>
    <w:rsid w:val="00BA7112"/>
    <w:rsid w:val="00BA712A"/>
    <w:rsid w:val="00BA7278"/>
    <w:rsid w:val="00BA7387"/>
    <w:rsid w:val="00BA7562"/>
    <w:rsid w:val="00BA75BA"/>
    <w:rsid w:val="00BA766F"/>
    <w:rsid w:val="00BA7865"/>
    <w:rsid w:val="00BA788A"/>
    <w:rsid w:val="00BA7BA5"/>
    <w:rsid w:val="00BA7D0C"/>
    <w:rsid w:val="00BA7DC0"/>
    <w:rsid w:val="00BA7DCB"/>
    <w:rsid w:val="00BA7F5A"/>
    <w:rsid w:val="00BB00FA"/>
    <w:rsid w:val="00BB0328"/>
    <w:rsid w:val="00BB0697"/>
    <w:rsid w:val="00BB0710"/>
    <w:rsid w:val="00BB0730"/>
    <w:rsid w:val="00BB0810"/>
    <w:rsid w:val="00BB092D"/>
    <w:rsid w:val="00BB0AED"/>
    <w:rsid w:val="00BB0C94"/>
    <w:rsid w:val="00BB0DE5"/>
    <w:rsid w:val="00BB0FE8"/>
    <w:rsid w:val="00BB105C"/>
    <w:rsid w:val="00BB10DF"/>
    <w:rsid w:val="00BB1191"/>
    <w:rsid w:val="00BB1224"/>
    <w:rsid w:val="00BB1379"/>
    <w:rsid w:val="00BB14B9"/>
    <w:rsid w:val="00BB15CD"/>
    <w:rsid w:val="00BB18DF"/>
    <w:rsid w:val="00BB1920"/>
    <w:rsid w:val="00BB1A09"/>
    <w:rsid w:val="00BB1CF5"/>
    <w:rsid w:val="00BB1F06"/>
    <w:rsid w:val="00BB1FB9"/>
    <w:rsid w:val="00BB2003"/>
    <w:rsid w:val="00BB2101"/>
    <w:rsid w:val="00BB213B"/>
    <w:rsid w:val="00BB2357"/>
    <w:rsid w:val="00BB267F"/>
    <w:rsid w:val="00BB2A07"/>
    <w:rsid w:val="00BB2D00"/>
    <w:rsid w:val="00BB2E09"/>
    <w:rsid w:val="00BB2EC2"/>
    <w:rsid w:val="00BB2F59"/>
    <w:rsid w:val="00BB32E6"/>
    <w:rsid w:val="00BB33D0"/>
    <w:rsid w:val="00BB3412"/>
    <w:rsid w:val="00BB349B"/>
    <w:rsid w:val="00BB34F7"/>
    <w:rsid w:val="00BB3663"/>
    <w:rsid w:val="00BB3691"/>
    <w:rsid w:val="00BB3692"/>
    <w:rsid w:val="00BB37D3"/>
    <w:rsid w:val="00BB3D3D"/>
    <w:rsid w:val="00BB3F2A"/>
    <w:rsid w:val="00BB3FE0"/>
    <w:rsid w:val="00BB400E"/>
    <w:rsid w:val="00BB426C"/>
    <w:rsid w:val="00BB43AA"/>
    <w:rsid w:val="00BB4504"/>
    <w:rsid w:val="00BB47E4"/>
    <w:rsid w:val="00BB480C"/>
    <w:rsid w:val="00BB484A"/>
    <w:rsid w:val="00BB4B17"/>
    <w:rsid w:val="00BB5048"/>
    <w:rsid w:val="00BB5179"/>
    <w:rsid w:val="00BB5208"/>
    <w:rsid w:val="00BB5329"/>
    <w:rsid w:val="00BB53B1"/>
    <w:rsid w:val="00BB54CD"/>
    <w:rsid w:val="00BB55CA"/>
    <w:rsid w:val="00BB57A2"/>
    <w:rsid w:val="00BB5ADC"/>
    <w:rsid w:val="00BB5BCC"/>
    <w:rsid w:val="00BB5E8D"/>
    <w:rsid w:val="00BB5F45"/>
    <w:rsid w:val="00BB6285"/>
    <w:rsid w:val="00BB65F1"/>
    <w:rsid w:val="00BB6B3C"/>
    <w:rsid w:val="00BB6B89"/>
    <w:rsid w:val="00BB6C15"/>
    <w:rsid w:val="00BB6D46"/>
    <w:rsid w:val="00BB6F65"/>
    <w:rsid w:val="00BB726F"/>
    <w:rsid w:val="00BB72D0"/>
    <w:rsid w:val="00BB737E"/>
    <w:rsid w:val="00BB73E4"/>
    <w:rsid w:val="00BB74E1"/>
    <w:rsid w:val="00BB77A9"/>
    <w:rsid w:val="00BB7862"/>
    <w:rsid w:val="00BB7D6C"/>
    <w:rsid w:val="00BC0216"/>
    <w:rsid w:val="00BC06FF"/>
    <w:rsid w:val="00BC08ED"/>
    <w:rsid w:val="00BC092C"/>
    <w:rsid w:val="00BC0964"/>
    <w:rsid w:val="00BC0A14"/>
    <w:rsid w:val="00BC0E00"/>
    <w:rsid w:val="00BC11AD"/>
    <w:rsid w:val="00BC11DC"/>
    <w:rsid w:val="00BC129F"/>
    <w:rsid w:val="00BC156A"/>
    <w:rsid w:val="00BC15E0"/>
    <w:rsid w:val="00BC17D9"/>
    <w:rsid w:val="00BC1847"/>
    <w:rsid w:val="00BC1967"/>
    <w:rsid w:val="00BC1AAC"/>
    <w:rsid w:val="00BC1B17"/>
    <w:rsid w:val="00BC1B7D"/>
    <w:rsid w:val="00BC1E7A"/>
    <w:rsid w:val="00BC219A"/>
    <w:rsid w:val="00BC222E"/>
    <w:rsid w:val="00BC22A6"/>
    <w:rsid w:val="00BC23B0"/>
    <w:rsid w:val="00BC24A0"/>
    <w:rsid w:val="00BC2669"/>
    <w:rsid w:val="00BC2882"/>
    <w:rsid w:val="00BC2980"/>
    <w:rsid w:val="00BC2BD9"/>
    <w:rsid w:val="00BC2D1F"/>
    <w:rsid w:val="00BC2DA2"/>
    <w:rsid w:val="00BC2DE6"/>
    <w:rsid w:val="00BC314C"/>
    <w:rsid w:val="00BC3285"/>
    <w:rsid w:val="00BC32C7"/>
    <w:rsid w:val="00BC3343"/>
    <w:rsid w:val="00BC3486"/>
    <w:rsid w:val="00BC354C"/>
    <w:rsid w:val="00BC3680"/>
    <w:rsid w:val="00BC3734"/>
    <w:rsid w:val="00BC384E"/>
    <w:rsid w:val="00BC38FC"/>
    <w:rsid w:val="00BC39BD"/>
    <w:rsid w:val="00BC3A5E"/>
    <w:rsid w:val="00BC3CF6"/>
    <w:rsid w:val="00BC3F28"/>
    <w:rsid w:val="00BC3FBC"/>
    <w:rsid w:val="00BC4177"/>
    <w:rsid w:val="00BC41C8"/>
    <w:rsid w:val="00BC41F6"/>
    <w:rsid w:val="00BC43D6"/>
    <w:rsid w:val="00BC4A76"/>
    <w:rsid w:val="00BC4A77"/>
    <w:rsid w:val="00BC4C06"/>
    <w:rsid w:val="00BC4D51"/>
    <w:rsid w:val="00BC510F"/>
    <w:rsid w:val="00BC5145"/>
    <w:rsid w:val="00BC516C"/>
    <w:rsid w:val="00BC52A3"/>
    <w:rsid w:val="00BC5465"/>
    <w:rsid w:val="00BC59E4"/>
    <w:rsid w:val="00BC5A1A"/>
    <w:rsid w:val="00BC5B51"/>
    <w:rsid w:val="00BC5C5E"/>
    <w:rsid w:val="00BC5C81"/>
    <w:rsid w:val="00BC5DB1"/>
    <w:rsid w:val="00BC605D"/>
    <w:rsid w:val="00BC60AA"/>
    <w:rsid w:val="00BC6453"/>
    <w:rsid w:val="00BC67E9"/>
    <w:rsid w:val="00BC69F0"/>
    <w:rsid w:val="00BC6A55"/>
    <w:rsid w:val="00BC6E49"/>
    <w:rsid w:val="00BC715D"/>
    <w:rsid w:val="00BC7509"/>
    <w:rsid w:val="00BC7585"/>
    <w:rsid w:val="00BC777E"/>
    <w:rsid w:val="00BC7960"/>
    <w:rsid w:val="00BC7D40"/>
    <w:rsid w:val="00BD0246"/>
    <w:rsid w:val="00BD0708"/>
    <w:rsid w:val="00BD071D"/>
    <w:rsid w:val="00BD0AEC"/>
    <w:rsid w:val="00BD0B7F"/>
    <w:rsid w:val="00BD0B8E"/>
    <w:rsid w:val="00BD0D0B"/>
    <w:rsid w:val="00BD107C"/>
    <w:rsid w:val="00BD12F4"/>
    <w:rsid w:val="00BD15EF"/>
    <w:rsid w:val="00BD17B7"/>
    <w:rsid w:val="00BD17EA"/>
    <w:rsid w:val="00BD181F"/>
    <w:rsid w:val="00BD19C0"/>
    <w:rsid w:val="00BD1A7B"/>
    <w:rsid w:val="00BD1D6F"/>
    <w:rsid w:val="00BD1DBC"/>
    <w:rsid w:val="00BD1F9A"/>
    <w:rsid w:val="00BD1FD7"/>
    <w:rsid w:val="00BD227D"/>
    <w:rsid w:val="00BD2308"/>
    <w:rsid w:val="00BD234C"/>
    <w:rsid w:val="00BD253C"/>
    <w:rsid w:val="00BD274E"/>
    <w:rsid w:val="00BD2753"/>
    <w:rsid w:val="00BD2ACD"/>
    <w:rsid w:val="00BD2B7C"/>
    <w:rsid w:val="00BD2BFD"/>
    <w:rsid w:val="00BD2DB6"/>
    <w:rsid w:val="00BD3680"/>
    <w:rsid w:val="00BD3C07"/>
    <w:rsid w:val="00BD3D75"/>
    <w:rsid w:val="00BD3DF2"/>
    <w:rsid w:val="00BD3E90"/>
    <w:rsid w:val="00BD3F4F"/>
    <w:rsid w:val="00BD403B"/>
    <w:rsid w:val="00BD42AA"/>
    <w:rsid w:val="00BD433A"/>
    <w:rsid w:val="00BD463B"/>
    <w:rsid w:val="00BD479D"/>
    <w:rsid w:val="00BD4A28"/>
    <w:rsid w:val="00BD4A64"/>
    <w:rsid w:val="00BD4B33"/>
    <w:rsid w:val="00BD4C5B"/>
    <w:rsid w:val="00BD4EF5"/>
    <w:rsid w:val="00BD53A9"/>
    <w:rsid w:val="00BD5518"/>
    <w:rsid w:val="00BD5A42"/>
    <w:rsid w:val="00BD5BCE"/>
    <w:rsid w:val="00BD5C1E"/>
    <w:rsid w:val="00BD5D86"/>
    <w:rsid w:val="00BD5DC9"/>
    <w:rsid w:val="00BD5E84"/>
    <w:rsid w:val="00BD6146"/>
    <w:rsid w:val="00BD622B"/>
    <w:rsid w:val="00BD66BD"/>
    <w:rsid w:val="00BD6755"/>
    <w:rsid w:val="00BD697F"/>
    <w:rsid w:val="00BD6A06"/>
    <w:rsid w:val="00BD6DC2"/>
    <w:rsid w:val="00BD6FB3"/>
    <w:rsid w:val="00BD7085"/>
    <w:rsid w:val="00BD74F3"/>
    <w:rsid w:val="00BD7612"/>
    <w:rsid w:val="00BD761C"/>
    <w:rsid w:val="00BD76A8"/>
    <w:rsid w:val="00BD776D"/>
    <w:rsid w:val="00BD79BD"/>
    <w:rsid w:val="00BD7A63"/>
    <w:rsid w:val="00BD7CB4"/>
    <w:rsid w:val="00BD7E2F"/>
    <w:rsid w:val="00BD7F05"/>
    <w:rsid w:val="00BD7FA4"/>
    <w:rsid w:val="00BE0000"/>
    <w:rsid w:val="00BE0128"/>
    <w:rsid w:val="00BE01B7"/>
    <w:rsid w:val="00BE01FD"/>
    <w:rsid w:val="00BE0657"/>
    <w:rsid w:val="00BE0925"/>
    <w:rsid w:val="00BE0941"/>
    <w:rsid w:val="00BE0951"/>
    <w:rsid w:val="00BE0BA0"/>
    <w:rsid w:val="00BE0BEC"/>
    <w:rsid w:val="00BE0C2C"/>
    <w:rsid w:val="00BE0D0A"/>
    <w:rsid w:val="00BE1162"/>
    <w:rsid w:val="00BE12A2"/>
    <w:rsid w:val="00BE1574"/>
    <w:rsid w:val="00BE16D2"/>
    <w:rsid w:val="00BE1D34"/>
    <w:rsid w:val="00BE1E98"/>
    <w:rsid w:val="00BE211B"/>
    <w:rsid w:val="00BE24A9"/>
    <w:rsid w:val="00BE2745"/>
    <w:rsid w:val="00BE2752"/>
    <w:rsid w:val="00BE294C"/>
    <w:rsid w:val="00BE2C05"/>
    <w:rsid w:val="00BE2C9A"/>
    <w:rsid w:val="00BE2D7D"/>
    <w:rsid w:val="00BE2ED2"/>
    <w:rsid w:val="00BE2F9A"/>
    <w:rsid w:val="00BE3587"/>
    <w:rsid w:val="00BE3788"/>
    <w:rsid w:val="00BE3994"/>
    <w:rsid w:val="00BE3A2A"/>
    <w:rsid w:val="00BE3AE0"/>
    <w:rsid w:val="00BE3D25"/>
    <w:rsid w:val="00BE3DF4"/>
    <w:rsid w:val="00BE3E80"/>
    <w:rsid w:val="00BE4191"/>
    <w:rsid w:val="00BE442A"/>
    <w:rsid w:val="00BE4574"/>
    <w:rsid w:val="00BE465C"/>
    <w:rsid w:val="00BE475D"/>
    <w:rsid w:val="00BE487F"/>
    <w:rsid w:val="00BE49BE"/>
    <w:rsid w:val="00BE49FF"/>
    <w:rsid w:val="00BE4A89"/>
    <w:rsid w:val="00BE4C53"/>
    <w:rsid w:val="00BE4D9E"/>
    <w:rsid w:val="00BE4F23"/>
    <w:rsid w:val="00BE4FAC"/>
    <w:rsid w:val="00BE4FB8"/>
    <w:rsid w:val="00BE514E"/>
    <w:rsid w:val="00BE51F9"/>
    <w:rsid w:val="00BE529E"/>
    <w:rsid w:val="00BE56BF"/>
    <w:rsid w:val="00BE578A"/>
    <w:rsid w:val="00BE59E2"/>
    <w:rsid w:val="00BE5CE1"/>
    <w:rsid w:val="00BE600D"/>
    <w:rsid w:val="00BE604F"/>
    <w:rsid w:val="00BE6099"/>
    <w:rsid w:val="00BE623F"/>
    <w:rsid w:val="00BE6747"/>
    <w:rsid w:val="00BE6748"/>
    <w:rsid w:val="00BE68D5"/>
    <w:rsid w:val="00BE6B0F"/>
    <w:rsid w:val="00BE6BE0"/>
    <w:rsid w:val="00BE6C4D"/>
    <w:rsid w:val="00BE6C58"/>
    <w:rsid w:val="00BE6CCE"/>
    <w:rsid w:val="00BE6D16"/>
    <w:rsid w:val="00BE6D66"/>
    <w:rsid w:val="00BE6D74"/>
    <w:rsid w:val="00BE797F"/>
    <w:rsid w:val="00BE7A29"/>
    <w:rsid w:val="00BE7C67"/>
    <w:rsid w:val="00BE7CAB"/>
    <w:rsid w:val="00BF005F"/>
    <w:rsid w:val="00BF0534"/>
    <w:rsid w:val="00BF107B"/>
    <w:rsid w:val="00BF1269"/>
    <w:rsid w:val="00BF12BE"/>
    <w:rsid w:val="00BF175F"/>
    <w:rsid w:val="00BF1A42"/>
    <w:rsid w:val="00BF1B09"/>
    <w:rsid w:val="00BF1D7D"/>
    <w:rsid w:val="00BF20CF"/>
    <w:rsid w:val="00BF219C"/>
    <w:rsid w:val="00BF2314"/>
    <w:rsid w:val="00BF23E8"/>
    <w:rsid w:val="00BF2420"/>
    <w:rsid w:val="00BF24D2"/>
    <w:rsid w:val="00BF25C5"/>
    <w:rsid w:val="00BF2603"/>
    <w:rsid w:val="00BF27EE"/>
    <w:rsid w:val="00BF327F"/>
    <w:rsid w:val="00BF3529"/>
    <w:rsid w:val="00BF35B6"/>
    <w:rsid w:val="00BF38C9"/>
    <w:rsid w:val="00BF39F8"/>
    <w:rsid w:val="00BF3AA4"/>
    <w:rsid w:val="00BF3BBE"/>
    <w:rsid w:val="00BF3EAF"/>
    <w:rsid w:val="00BF42F2"/>
    <w:rsid w:val="00BF43D7"/>
    <w:rsid w:val="00BF44A2"/>
    <w:rsid w:val="00BF4522"/>
    <w:rsid w:val="00BF46F9"/>
    <w:rsid w:val="00BF4C20"/>
    <w:rsid w:val="00BF4D92"/>
    <w:rsid w:val="00BF50B7"/>
    <w:rsid w:val="00BF516D"/>
    <w:rsid w:val="00BF53AD"/>
    <w:rsid w:val="00BF5410"/>
    <w:rsid w:val="00BF5922"/>
    <w:rsid w:val="00BF59BF"/>
    <w:rsid w:val="00BF5A64"/>
    <w:rsid w:val="00BF5FCB"/>
    <w:rsid w:val="00BF6239"/>
    <w:rsid w:val="00BF6263"/>
    <w:rsid w:val="00BF627C"/>
    <w:rsid w:val="00BF63ED"/>
    <w:rsid w:val="00BF69AF"/>
    <w:rsid w:val="00BF6A18"/>
    <w:rsid w:val="00BF6AEA"/>
    <w:rsid w:val="00BF6CEA"/>
    <w:rsid w:val="00BF700A"/>
    <w:rsid w:val="00BF7064"/>
    <w:rsid w:val="00BF72EE"/>
    <w:rsid w:val="00BF7387"/>
    <w:rsid w:val="00BF786C"/>
    <w:rsid w:val="00BF78BE"/>
    <w:rsid w:val="00BF7D3F"/>
    <w:rsid w:val="00BF7D7F"/>
    <w:rsid w:val="00C000B1"/>
    <w:rsid w:val="00C001ED"/>
    <w:rsid w:val="00C00205"/>
    <w:rsid w:val="00C00537"/>
    <w:rsid w:val="00C00791"/>
    <w:rsid w:val="00C00895"/>
    <w:rsid w:val="00C008C2"/>
    <w:rsid w:val="00C00906"/>
    <w:rsid w:val="00C00A91"/>
    <w:rsid w:val="00C00CB8"/>
    <w:rsid w:val="00C01162"/>
    <w:rsid w:val="00C01517"/>
    <w:rsid w:val="00C01677"/>
    <w:rsid w:val="00C01734"/>
    <w:rsid w:val="00C0191B"/>
    <w:rsid w:val="00C01BB4"/>
    <w:rsid w:val="00C01E50"/>
    <w:rsid w:val="00C022AA"/>
    <w:rsid w:val="00C02549"/>
    <w:rsid w:val="00C026C7"/>
    <w:rsid w:val="00C02BF5"/>
    <w:rsid w:val="00C02DDC"/>
    <w:rsid w:val="00C02F59"/>
    <w:rsid w:val="00C0305A"/>
    <w:rsid w:val="00C030C9"/>
    <w:rsid w:val="00C033E4"/>
    <w:rsid w:val="00C0341E"/>
    <w:rsid w:val="00C03587"/>
    <w:rsid w:val="00C03680"/>
    <w:rsid w:val="00C038F7"/>
    <w:rsid w:val="00C039EF"/>
    <w:rsid w:val="00C03E3F"/>
    <w:rsid w:val="00C03F4B"/>
    <w:rsid w:val="00C04153"/>
    <w:rsid w:val="00C04414"/>
    <w:rsid w:val="00C0461A"/>
    <w:rsid w:val="00C04696"/>
    <w:rsid w:val="00C04698"/>
    <w:rsid w:val="00C047B8"/>
    <w:rsid w:val="00C047DD"/>
    <w:rsid w:val="00C04E96"/>
    <w:rsid w:val="00C04F2D"/>
    <w:rsid w:val="00C0556C"/>
    <w:rsid w:val="00C06452"/>
    <w:rsid w:val="00C0665B"/>
    <w:rsid w:val="00C06672"/>
    <w:rsid w:val="00C06698"/>
    <w:rsid w:val="00C0672D"/>
    <w:rsid w:val="00C068BA"/>
    <w:rsid w:val="00C0729F"/>
    <w:rsid w:val="00C0743F"/>
    <w:rsid w:val="00C079C4"/>
    <w:rsid w:val="00C07B59"/>
    <w:rsid w:val="00C07BA8"/>
    <w:rsid w:val="00C07C43"/>
    <w:rsid w:val="00C07D1D"/>
    <w:rsid w:val="00C07E74"/>
    <w:rsid w:val="00C07F54"/>
    <w:rsid w:val="00C10318"/>
    <w:rsid w:val="00C1037E"/>
    <w:rsid w:val="00C105DB"/>
    <w:rsid w:val="00C10CDE"/>
    <w:rsid w:val="00C10DCD"/>
    <w:rsid w:val="00C110B1"/>
    <w:rsid w:val="00C110D2"/>
    <w:rsid w:val="00C110E8"/>
    <w:rsid w:val="00C11325"/>
    <w:rsid w:val="00C119DC"/>
    <w:rsid w:val="00C11B80"/>
    <w:rsid w:val="00C11E13"/>
    <w:rsid w:val="00C11FE4"/>
    <w:rsid w:val="00C12228"/>
    <w:rsid w:val="00C122B4"/>
    <w:rsid w:val="00C12301"/>
    <w:rsid w:val="00C1282F"/>
    <w:rsid w:val="00C1284F"/>
    <w:rsid w:val="00C12950"/>
    <w:rsid w:val="00C12B5A"/>
    <w:rsid w:val="00C12F77"/>
    <w:rsid w:val="00C130EF"/>
    <w:rsid w:val="00C13213"/>
    <w:rsid w:val="00C1325C"/>
    <w:rsid w:val="00C13443"/>
    <w:rsid w:val="00C1344A"/>
    <w:rsid w:val="00C134C3"/>
    <w:rsid w:val="00C13669"/>
    <w:rsid w:val="00C137D9"/>
    <w:rsid w:val="00C13973"/>
    <w:rsid w:val="00C13A9D"/>
    <w:rsid w:val="00C13BC4"/>
    <w:rsid w:val="00C13D49"/>
    <w:rsid w:val="00C13D52"/>
    <w:rsid w:val="00C145A9"/>
    <w:rsid w:val="00C14701"/>
    <w:rsid w:val="00C147BF"/>
    <w:rsid w:val="00C149C0"/>
    <w:rsid w:val="00C14BDD"/>
    <w:rsid w:val="00C14C1A"/>
    <w:rsid w:val="00C1507F"/>
    <w:rsid w:val="00C15504"/>
    <w:rsid w:val="00C15672"/>
    <w:rsid w:val="00C159C6"/>
    <w:rsid w:val="00C15A84"/>
    <w:rsid w:val="00C15D15"/>
    <w:rsid w:val="00C15D8C"/>
    <w:rsid w:val="00C15DB1"/>
    <w:rsid w:val="00C1620A"/>
    <w:rsid w:val="00C1637A"/>
    <w:rsid w:val="00C163A9"/>
    <w:rsid w:val="00C16758"/>
    <w:rsid w:val="00C16A47"/>
    <w:rsid w:val="00C16B61"/>
    <w:rsid w:val="00C16BAF"/>
    <w:rsid w:val="00C16DE6"/>
    <w:rsid w:val="00C1711C"/>
    <w:rsid w:val="00C176FC"/>
    <w:rsid w:val="00C17993"/>
    <w:rsid w:val="00C17ACA"/>
    <w:rsid w:val="00C17ACF"/>
    <w:rsid w:val="00C17B7D"/>
    <w:rsid w:val="00C17C8D"/>
    <w:rsid w:val="00C17C99"/>
    <w:rsid w:val="00C17D58"/>
    <w:rsid w:val="00C202DB"/>
    <w:rsid w:val="00C2078E"/>
    <w:rsid w:val="00C208E2"/>
    <w:rsid w:val="00C20AEC"/>
    <w:rsid w:val="00C20F02"/>
    <w:rsid w:val="00C21059"/>
    <w:rsid w:val="00C21195"/>
    <w:rsid w:val="00C2124C"/>
    <w:rsid w:val="00C21256"/>
    <w:rsid w:val="00C2161F"/>
    <w:rsid w:val="00C21BAB"/>
    <w:rsid w:val="00C21E53"/>
    <w:rsid w:val="00C220B9"/>
    <w:rsid w:val="00C221AC"/>
    <w:rsid w:val="00C2248E"/>
    <w:rsid w:val="00C224D9"/>
    <w:rsid w:val="00C22A2F"/>
    <w:rsid w:val="00C22AE5"/>
    <w:rsid w:val="00C22B4E"/>
    <w:rsid w:val="00C22B9D"/>
    <w:rsid w:val="00C22BF5"/>
    <w:rsid w:val="00C22C6D"/>
    <w:rsid w:val="00C22D55"/>
    <w:rsid w:val="00C23026"/>
    <w:rsid w:val="00C230CD"/>
    <w:rsid w:val="00C23158"/>
    <w:rsid w:val="00C2355C"/>
    <w:rsid w:val="00C235ED"/>
    <w:rsid w:val="00C23D93"/>
    <w:rsid w:val="00C240C5"/>
    <w:rsid w:val="00C245D3"/>
    <w:rsid w:val="00C245E1"/>
    <w:rsid w:val="00C24941"/>
    <w:rsid w:val="00C24AB7"/>
    <w:rsid w:val="00C24B58"/>
    <w:rsid w:val="00C24B99"/>
    <w:rsid w:val="00C24EFD"/>
    <w:rsid w:val="00C25296"/>
    <w:rsid w:val="00C2531C"/>
    <w:rsid w:val="00C255D0"/>
    <w:rsid w:val="00C25C55"/>
    <w:rsid w:val="00C25F58"/>
    <w:rsid w:val="00C260FC"/>
    <w:rsid w:val="00C2633F"/>
    <w:rsid w:val="00C266F2"/>
    <w:rsid w:val="00C267F2"/>
    <w:rsid w:val="00C26CC5"/>
    <w:rsid w:val="00C26DA6"/>
    <w:rsid w:val="00C2704D"/>
    <w:rsid w:val="00C27644"/>
    <w:rsid w:val="00C278FC"/>
    <w:rsid w:val="00C279B3"/>
    <w:rsid w:val="00C27A37"/>
    <w:rsid w:val="00C27D62"/>
    <w:rsid w:val="00C27DFE"/>
    <w:rsid w:val="00C303A8"/>
    <w:rsid w:val="00C303E3"/>
    <w:rsid w:val="00C30517"/>
    <w:rsid w:val="00C30613"/>
    <w:rsid w:val="00C30A45"/>
    <w:rsid w:val="00C30B31"/>
    <w:rsid w:val="00C30D11"/>
    <w:rsid w:val="00C30FA4"/>
    <w:rsid w:val="00C31005"/>
    <w:rsid w:val="00C311C1"/>
    <w:rsid w:val="00C312FC"/>
    <w:rsid w:val="00C316A1"/>
    <w:rsid w:val="00C31AEF"/>
    <w:rsid w:val="00C31C79"/>
    <w:rsid w:val="00C31C7B"/>
    <w:rsid w:val="00C3205F"/>
    <w:rsid w:val="00C32206"/>
    <w:rsid w:val="00C3235B"/>
    <w:rsid w:val="00C3242C"/>
    <w:rsid w:val="00C32765"/>
    <w:rsid w:val="00C3277F"/>
    <w:rsid w:val="00C32922"/>
    <w:rsid w:val="00C32B74"/>
    <w:rsid w:val="00C3312D"/>
    <w:rsid w:val="00C333F8"/>
    <w:rsid w:val="00C33B22"/>
    <w:rsid w:val="00C33D67"/>
    <w:rsid w:val="00C33F63"/>
    <w:rsid w:val="00C34037"/>
    <w:rsid w:val="00C34038"/>
    <w:rsid w:val="00C34115"/>
    <w:rsid w:val="00C34BD6"/>
    <w:rsid w:val="00C34C8D"/>
    <w:rsid w:val="00C34CFD"/>
    <w:rsid w:val="00C35014"/>
    <w:rsid w:val="00C35144"/>
    <w:rsid w:val="00C3523F"/>
    <w:rsid w:val="00C35340"/>
    <w:rsid w:val="00C35440"/>
    <w:rsid w:val="00C35958"/>
    <w:rsid w:val="00C3596A"/>
    <w:rsid w:val="00C35BA6"/>
    <w:rsid w:val="00C35D3D"/>
    <w:rsid w:val="00C35DB7"/>
    <w:rsid w:val="00C35E9A"/>
    <w:rsid w:val="00C35F5D"/>
    <w:rsid w:val="00C36001"/>
    <w:rsid w:val="00C3602E"/>
    <w:rsid w:val="00C364E0"/>
    <w:rsid w:val="00C36611"/>
    <w:rsid w:val="00C367B0"/>
    <w:rsid w:val="00C36EB3"/>
    <w:rsid w:val="00C37265"/>
    <w:rsid w:val="00C37355"/>
    <w:rsid w:val="00C375ED"/>
    <w:rsid w:val="00C377BC"/>
    <w:rsid w:val="00C377C0"/>
    <w:rsid w:val="00C37973"/>
    <w:rsid w:val="00C37B06"/>
    <w:rsid w:val="00C37C35"/>
    <w:rsid w:val="00C37E54"/>
    <w:rsid w:val="00C40015"/>
    <w:rsid w:val="00C4021F"/>
    <w:rsid w:val="00C40250"/>
    <w:rsid w:val="00C403B5"/>
    <w:rsid w:val="00C403E4"/>
    <w:rsid w:val="00C40723"/>
    <w:rsid w:val="00C40964"/>
    <w:rsid w:val="00C40A6F"/>
    <w:rsid w:val="00C40FAB"/>
    <w:rsid w:val="00C4110E"/>
    <w:rsid w:val="00C415C3"/>
    <w:rsid w:val="00C4193D"/>
    <w:rsid w:val="00C419A0"/>
    <w:rsid w:val="00C41AC9"/>
    <w:rsid w:val="00C41C66"/>
    <w:rsid w:val="00C41CEA"/>
    <w:rsid w:val="00C42018"/>
    <w:rsid w:val="00C42271"/>
    <w:rsid w:val="00C42A69"/>
    <w:rsid w:val="00C42BA9"/>
    <w:rsid w:val="00C42E7B"/>
    <w:rsid w:val="00C430D0"/>
    <w:rsid w:val="00C43200"/>
    <w:rsid w:val="00C43E4A"/>
    <w:rsid w:val="00C43E74"/>
    <w:rsid w:val="00C43E75"/>
    <w:rsid w:val="00C44256"/>
    <w:rsid w:val="00C442DF"/>
    <w:rsid w:val="00C44451"/>
    <w:rsid w:val="00C44511"/>
    <w:rsid w:val="00C44570"/>
    <w:rsid w:val="00C446FA"/>
    <w:rsid w:val="00C44784"/>
    <w:rsid w:val="00C447E4"/>
    <w:rsid w:val="00C449DA"/>
    <w:rsid w:val="00C44B6D"/>
    <w:rsid w:val="00C44EE5"/>
    <w:rsid w:val="00C45219"/>
    <w:rsid w:val="00C4522A"/>
    <w:rsid w:val="00C45313"/>
    <w:rsid w:val="00C45590"/>
    <w:rsid w:val="00C456F0"/>
    <w:rsid w:val="00C45868"/>
    <w:rsid w:val="00C45995"/>
    <w:rsid w:val="00C45B85"/>
    <w:rsid w:val="00C45BBD"/>
    <w:rsid w:val="00C45BF3"/>
    <w:rsid w:val="00C45C6A"/>
    <w:rsid w:val="00C46412"/>
    <w:rsid w:val="00C466F4"/>
    <w:rsid w:val="00C467A5"/>
    <w:rsid w:val="00C4686D"/>
    <w:rsid w:val="00C46D6D"/>
    <w:rsid w:val="00C46DC8"/>
    <w:rsid w:val="00C46E58"/>
    <w:rsid w:val="00C47E3C"/>
    <w:rsid w:val="00C47F29"/>
    <w:rsid w:val="00C5015B"/>
    <w:rsid w:val="00C502F4"/>
    <w:rsid w:val="00C5048B"/>
    <w:rsid w:val="00C50BE4"/>
    <w:rsid w:val="00C50BEE"/>
    <w:rsid w:val="00C50E0E"/>
    <w:rsid w:val="00C50ED7"/>
    <w:rsid w:val="00C50FBA"/>
    <w:rsid w:val="00C5108A"/>
    <w:rsid w:val="00C51181"/>
    <w:rsid w:val="00C51329"/>
    <w:rsid w:val="00C51370"/>
    <w:rsid w:val="00C514CA"/>
    <w:rsid w:val="00C5152D"/>
    <w:rsid w:val="00C51959"/>
    <w:rsid w:val="00C51D79"/>
    <w:rsid w:val="00C5213C"/>
    <w:rsid w:val="00C52196"/>
    <w:rsid w:val="00C5219B"/>
    <w:rsid w:val="00C5269D"/>
    <w:rsid w:val="00C527BF"/>
    <w:rsid w:val="00C52931"/>
    <w:rsid w:val="00C52A1A"/>
    <w:rsid w:val="00C52BE9"/>
    <w:rsid w:val="00C53086"/>
    <w:rsid w:val="00C531EA"/>
    <w:rsid w:val="00C533D8"/>
    <w:rsid w:val="00C534A0"/>
    <w:rsid w:val="00C53619"/>
    <w:rsid w:val="00C537AB"/>
    <w:rsid w:val="00C53B53"/>
    <w:rsid w:val="00C53D90"/>
    <w:rsid w:val="00C54325"/>
    <w:rsid w:val="00C54391"/>
    <w:rsid w:val="00C54451"/>
    <w:rsid w:val="00C5478D"/>
    <w:rsid w:val="00C547B7"/>
    <w:rsid w:val="00C54979"/>
    <w:rsid w:val="00C54AFD"/>
    <w:rsid w:val="00C54D12"/>
    <w:rsid w:val="00C54F0D"/>
    <w:rsid w:val="00C5513E"/>
    <w:rsid w:val="00C552E2"/>
    <w:rsid w:val="00C55B76"/>
    <w:rsid w:val="00C55B99"/>
    <w:rsid w:val="00C55C24"/>
    <w:rsid w:val="00C56390"/>
    <w:rsid w:val="00C5663A"/>
    <w:rsid w:val="00C569BA"/>
    <w:rsid w:val="00C56B86"/>
    <w:rsid w:val="00C57017"/>
    <w:rsid w:val="00C574B7"/>
    <w:rsid w:val="00C578AE"/>
    <w:rsid w:val="00C57B10"/>
    <w:rsid w:val="00C57D3D"/>
    <w:rsid w:val="00C57DC2"/>
    <w:rsid w:val="00C57F39"/>
    <w:rsid w:val="00C57F5D"/>
    <w:rsid w:val="00C600E0"/>
    <w:rsid w:val="00C6013B"/>
    <w:rsid w:val="00C6036D"/>
    <w:rsid w:val="00C604D7"/>
    <w:rsid w:val="00C606A0"/>
    <w:rsid w:val="00C6093D"/>
    <w:rsid w:val="00C60B0A"/>
    <w:rsid w:val="00C60CC4"/>
    <w:rsid w:val="00C60FE4"/>
    <w:rsid w:val="00C61055"/>
    <w:rsid w:val="00C6111F"/>
    <w:rsid w:val="00C612D8"/>
    <w:rsid w:val="00C61503"/>
    <w:rsid w:val="00C6154F"/>
    <w:rsid w:val="00C618F2"/>
    <w:rsid w:val="00C61923"/>
    <w:rsid w:val="00C619DE"/>
    <w:rsid w:val="00C61BAF"/>
    <w:rsid w:val="00C61BC9"/>
    <w:rsid w:val="00C61D45"/>
    <w:rsid w:val="00C61E56"/>
    <w:rsid w:val="00C620AF"/>
    <w:rsid w:val="00C621DE"/>
    <w:rsid w:val="00C62294"/>
    <w:rsid w:val="00C622C0"/>
    <w:rsid w:val="00C624F9"/>
    <w:rsid w:val="00C62706"/>
    <w:rsid w:val="00C62772"/>
    <w:rsid w:val="00C629E3"/>
    <w:rsid w:val="00C62A18"/>
    <w:rsid w:val="00C62AFF"/>
    <w:rsid w:val="00C62D92"/>
    <w:rsid w:val="00C62DF5"/>
    <w:rsid w:val="00C63085"/>
    <w:rsid w:val="00C6328B"/>
    <w:rsid w:val="00C63385"/>
    <w:rsid w:val="00C633BE"/>
    <w:rsid w:val="00C633EF"/>
    <w:rsid w:val="00C63593"/>
    <w:rsid w:val="00C635AA"/>
    <w:rsid w:val="00C63A0E"/>
    <w:rsid w:val="00C63D63"/>
    <w:rsid w:val="00C6439E"/>
    <w:rsid w:val="00C643EC"/>
    <w:rsid w:val="00C64409"/>
    <w:rsid w:val="00C644F1"/>
    <w:rsid w:val="00C64794"/>
    <w:rsid w:val="00C649A1"/>
    <w:rsid w:val="00C64FF5"/>
    <w:rsid w:val="00C65141"/>
    <w:rsid w:val="00C6544D"/>
    <w:rsid w:val="00C6562A"/>
    <w:rsid w:val="00C656E1"/>
    <w:rsid w:val="00C65A6B"/>
    <w:rsid w:val="00C66028"/>
    <w:rsid w:val="00C660CA"/>
    <w:rsid w:val="00C66123"/>
    <w:rsid w:val="00C662BA"/>
    <w:rsid w:val="00C662CB"/>
    <w:rsid w:val="00C66376"/>
    <w:rsid w:val="00C663CB"/>
    <w:rsid w:val="00C6668F"/>
    <w:rsid w:val="00C667C2"/>
    <w:rsid w:val="00C66917"/>
    <w:rsid w:val="00C669C2"/>
    <w:rsid w:val="00C669CB"/>
    <w:rsid w:val="00C66B18"/>
    <w:rsid w:val="00C66BB2"/>
    <w:rsid w:val="00C66EE4"/>
    <w:rsid w:val="00C672BA"/>
    <w:rsid w:val="00C67342"/>
    <w:rsid w:val="00C676BE"/>
    <w:rsid w:val="00C67760"/>
    <w:rsid w:val="00C67772"/>
    <w:rsid w:val="00C67BA9"/>
    <w:rsid w:val="00C67C87"/>
    <w:rsid w:val="00C67E1F"/>
    <w:rsid w:val="00C67E22"/>
    <w:rsid w:val="00C67E9B"/>
    <w:rsid w:val="00C67FE9"/>
    <w:rsid w:val="00C700A2"/>
    <w:rsid w:val="00C70221"/>
    <w:rsid w:val="00C703AA"/>
    <w:rsid w:val="00C70444"/>
    <w:rsid w:val="00C70884"/>
    <w:rsid w:val="00C70C41"/>
    <w:rsid w:val="00C70C8A"/>
    <w:rsid w:val="00C71025"/>
    <w:rsid w:val="00C711A2"/>
    <w:rsid w:val="00C7123C"/>
    <w:rsid w:val="00C713EE"/>
    <w:rsid w:val="00C7161D"/>
    <w:rsid w:val="00C7167F"/>
    <w:rsid w:val="00C71870"/>
    <w:rsid w:val="00C71A28"/>
    <w:rsid w:val="00C71A65"/>
    <w:rsid w:val="00C720DA"/>
    <w:rsid w:val="00C7216C"/>
    <w:rsid w:val="00C721AF"/>
    <w:rsid w:val="00C72322"/>
    <w:rsid w:val="00C723B2"/>
    <w:rsid w:val="00C723D8"/>
    <w:rsid w:val="00C726B8"/>
    <w:rsid w:val="00C726E3"/>
    <w:rsid w:val="00C7280C"/>
    <w:rsid w:val="00C72CE6"/>
    <w:rsid w:val="00C72CED"/>
    <w:rsid w:val="00C73019"/>
    <w:rsid w:val="00C7304E"/>
    <w:rsid w:val="00C7320D"/>
    <w:rsid w:val="00C73385"/>
    <w:rsid w:val="00C735AB"/>
    <w:rsid w:val="00C7367D"/>
    <w:rsid w:val="00C73921"/>
    <w:rsid w:val="00C73AE8"/>
    <w:rsid w:val="00C73C3B"/>
    <w:rsid w:val="00C73CB3"/>
    <w:rsid w:val="00C73EED"/>
    <w:rsid w:val="00C73F3A"/>
    <w:rsid w:val="00C740C6"/>
    <w:rsid w:val="00C740EC"/>
    <w:rsid w:val="00C74284"/>
    <w:rsid w:val="00C7465B"/>
    <w:rsid w:val="00C7478E"/>
    <w:rsid w:val="00C7482F"/>
    <w:rsid w:val="00C74CD2"/>
    <w:rsid w:val="00C75369"/>
    <w:rsid w:val="00C753A5"/>
    <w:rsid w:val="00C75486"/>
    <w:rsid w:val="00C75554"/>
    <w:rsid w:val="00C75873"/>
    <w:rsid w:val="00C758FB"/>
    <w:rsid w:val="00C75AA2"/>
    <w:rsid w:val="00C75D57"/>
    <w:rsid w:val="00C75EDA"/>
    <w:rsid w:val="00C75F30"/>
    <w:rsid w:val="00C75F5D"/>
    <w:rsid w:val="00C76071"/>
    <w:rsid w:val="00C763E7"/>
    <w:rsid w:val="00C76981"/>
    <w:rsid w:val="00C76AAE"/>
    <w:rsid w:val="00C76AF3"/>
    <w:rsid w:val="00C76CFB"/>
    <w:rsid w:val="00C76E9B"/>
    <w:rsid w:val="00C77015"/>
    <w:rsid w:val="00C77135"/>
    <w:rsid w:val="00C779BD"/>
    <w:rsid w:val="00C77ABC"/>
    <w:rsid w:val="00C77B71"/>
    <w:rsid w:val="00C77BAB"/>
    <w:rsid w:val="00C77C53"/>
    <w:rsid w:val="00C8001B"/>
    <w:rsid w:val="00C800B0"/>
    <w:rsid w:val="00C802ED"/>
    <w:rsid w:val="00C80377"/>
    <w:rsid w:val="00C8055D"/>
    <w:rsid w:val="00C805EE"/>
    <w:rsid w:val="00C808B3"/>
    <w:rsid w:val="00C808CB"/>
    <w:rsid w:val="00C80D47"/>
    <w:rsid w:val="00C80DBC"/>
    <w:rsid w:val="00C80E8D"/>
    <w:rsid w:val="00C81036"/>
    <w:rsid w:val="00C8109B"/>
    <w:rsid w:val="00C812B6"/>
    <w:rsid w:val="00C81516"/>
    <w:rsid w:val="00C81607"/>
    <w:rsid w:val="00C819BD"/>
    <w:rsid w:val="00C81CAE"/>
    <w:rsid w:val="00C81E6D"/>
    <w:rsid w:val="00C81F40"/>
    <w:rsid w:val="00C82077"/>
    <w:rsid w:val="00C82119"/>
    <w:rsid w:val="00C82328"/>
    <w:rsid w:val="00C8270C"/>
    <w:rsid w:val="00C8296D"/>
    <w:rsid w:val="00C82B9B"/>
    <w:rsid w:val="00C82E14"/>
    <w:rsid w:val="00C8337D"/>
    <w:rsid w:val="00C833E9"/>
    <w:rsid w:val="00C83427"/>
    <w:rsid w:val="00C8342B"/>
    <w:rsid w:val="00C83572"/>
    <w:rsid w:val="00C8363B"/>
    <w:rsid w:val="00C836A3"/>
    <w:rsid w:val="00C83847"/>
    <w:rsid w:val="00C83B24"/>
    <w:rsid w:val="00C83CBC"/>
    <w:rsid w:val="00C83F6A"/>
    <w:rsid w:val="00C84109"/>
    <w:rsid w:val="00C8432B"/>
    <w:rsid w:val="00C844B1"/>
    <w:rsid w:val="00C847F7"/>
    <w:rsid w:val="00C84AC5"/>
    <w:rsid w:val="00C84DD6"/>
    <w:rsid w:val="00C8570E"/>
    <w:rsid w:val="00C85828"/>
    <w:rsid w:val="00C85891"/>
    <w:rsid w:val="00C8597D"/>
    <w:rsid w:val="00C85E07"/>
    <w:rsid w:val="00C86061"/>
    <w:rsid w:val="00C8608D"/>
    <w:rsid w:val="00C86329"/>
    <w:rsid w:val="00C8663D"/>
    <w:rsid w:val="00C86AE6"/>
    <w:rsid w:val="00C86C94"/>
    <w:rsid w:val="00C86D75"/>
    <w:rsid w:val="00C870AB"/>
    <w:rsid w:val="00C87409"/>
    <w:rsid w:val="00C8745B"/>
    <w:rsid w:val="00C87525"/>
    <w:rsid w:val="00C87535"/>
    <w:rsid w:val="00C876C8"/>
    <w:rsid w:val="00C879E3"/>
    <w:rsid w:val="00C87B94"/>
    <w:rsid w:val="00C87FE4"/>
    <w:rsid w:val="00C9006C"/>
    <w:rsid w:val="00C90259"/>
    <w:rsid w:val="00C90390"/>
    <w:rsid w:val="00C909B5"/>
    <w:rsid w:val="00C90BF2"/>
    <w:rsid w:val="00C91074"/>
    <w:rsid w:val="00C9130A"/>
    <w:rsid w:val="00C914FE"/>
    <w:rsid w:val="00C91506"/>
    <w:rsid w:val="00C918B1"/>
    <w:rsid w:val="00C91AEA"/>
    <w:rsid w:val="00C91E39"/>
    <w:rsid w:val="00C91E76"/>
    <w:rsid w:val="00C92047"/>
    <w:rsid w:val="00C92176"/>
    <w:rsid w:val="00C92277"/>
    <w:rsid w:val="00C924EF"/>
    <w:rsid w:val="00C9258A"/>
    <w:rsid w:val="00C9267F"/>
    <w:rsid w:val="00C92B41"/>
    <w:rsid w:val="00C92C0A"/>
    <w:rsid w:val="00C92C6A"/>
    <w:rsid w:val="00C92C6E"/>
    <w:rsid w:val="00C93159"/>
    <w:rsid w:val="00C9315E"/>
    <w:rsid w:val="00C931C1"/>
    <w:rsid w:val="00C937B9"/>
    <w:rsid w:val="00C93AFD"/>
    <w:rsid w:val="00C93C28"/>
    <w:rsid w:val="00C93DC3"/>
    <w:rsid w:val="00C940C3"/>
    <w:rsid w:val="00C9411B"/>
    <w:rsid w:val="00C941EE"/>
    <w:rsid w:val="00C9463B"/>
    <w:rsid w:val="00C94CE9"/>
    <w:rsid w:val="00C94E81"/>
    <w:rsid w:val="00C94F21"/>
    <w:rsid w:val="00C94FF7"/>
    <w:rsid w:val="00C950FD"/>
    <w:rsid w:val="00C95163"/>
    <w:rsid w:val="00C9518E"/>
    <w:rsid w:val="00C95224"/>
    <w:rsid w:val="00C95384"/>
    <w:rsid w:val="00C953EC"/>
    <w:rsid w:val="00C95E80"/>
    <w:rsid w:val="00C96016"/>
    <w:rsid w:val="00C96099"/>
    <w:rsid w:val="00C96393"/>
    <w:rsid w:val="00C96404"/>
    <w:rsid w:val="00C96428"/>
    <w:rsid w:val="00C9697B"/>
    <w:rsid w:val="00C96D5C"/>
    <w:rsid w:val="00C972D0"/>
    <w:rsid w:val="00C97401"/>
    <w:rsid w:val="00C975AE"/>
    <w:rsid w:val="00C9783D"/>
    <w:rsid w:val="00C97A3E"/>
    <w:rsid w:val="00C97AFB"/>
    <w:rsid w:val="00CA024F"/>
    <w:rsid w:val="00CA04DF"/>
    <w:rsid w:val="00CA055E"/>
    <w:rsid w:val="00CA0682"/>
    <w:rsid w:val="00CA075F"/>
    <w:rsid w:val="00CA0873"/>
    <w:rsid w:val="00CA0A7E"/>
    <w:rsid w:val="00CA0D9A"/>
    <w:rsid w:val="00CA10E8"/>
    <w:rsid w:val="00CA1340"/>
    <w:rsid w:val="00CA15AB"/>
    <w:rsid w:val="00CA1637"/>
    <w:rsid w:val="00CA167E"/>
    <w:rsid w:val="00CA169B"/>
    <w:rsid w:val="00CA185A"/>
    <w:rsid w:val="00CA185C"/>
    <w:rsid w:val="00CA18C0"/>
    <w:rsid w:val="00CA19E9"/>
    <w:rsid w:val="00CA1C5B"/>
    <w:rsid w:val="00CA1C74"/>
    <w:rsid w:val="00CA1F06"/>
    <w:rsid w:val="00CA2260"/>
    <w:rsid w:val="00CA2605"/>
    <w:rsid w:val="00CA282E"/>
    <w:rsid w:val="00CA29E0"/>
    <w:rsid w:val="00CA3071"/>
    <w:rsid w:val="00CA35EA"/>
    <w:rsid w:val="00CA3645"/>
    <w:rsid w:val="00CA3664"/>
    <w:rsid w:val="00CA3717"/>
    <w:rsid w:val="00CA3917"/>
    <w:rsid w:val="00CA3A10"/>
    <w:rsid w:val="00CA3A60"/>
    <w:rsid w:val="00CA3EED"/>
    <w:rsid w:val="00CA4069"/>
    <w:rsid w:val="00CA4084"/>
    <w:rsid w:val="00CA436E"/>
    <w:rsid w:val="00CA4607"/>
    <w:rsid w:val="00CA472E"/>
    <w:rsid w:val="00CA4734"/>
    <w:rsid w:val="00CA4923"/>
    <w:rsid w:val="00CA4AF4"/>
    <w:rsid w:val="00CA52C4"/>
    <w:rsid w:val="00CA539F"/>
    <w:rsid w:val="00CA57B7"/>
    <w:rsid w:val="00CA5AFE"/>
    <w:rsid w:val="00CA607C"/>
    <w:rsid w:val="00CA637A"/>
    <w:rsid w:val="00CA6456"/>
    <w:rsid w:val="00CA6690"/>
    <w:rsid w:val="00CA6D13"/>
    <w:rsid w:val="00CA7321"/>
    <w:rsid w:val="00CA7434"/>
    <w:rsid w:val="00CA7464"/>
    <w:rsid w:val="00CA7AFB"/>
    <w:rsid w:val="00CB01E5"/>
    <w:rsid w:val="00CB02E7"/>
    <w:rsid w:val="00CB03C4"/>
    <w:rsid w:val="00CB07FA"/>
    <w:rsid w:val="00CB0C1A"/>
    <w:rsid w:val="00CB1205"/>
    <w:rsid w:val="00CB16AA"/>
    <w:rsid w:val="00CB1798"/>
    <w:rsid w:val="00CB186E"/>
    <w:rsid w:val="00CB1959"/>
    <w:rsid w:val="00CB1B6A"/>
    <w:rsid w:val="00CB202C"/>
    <w:rsid w:val="00CB217F"/>
    <w:rsid w:val="00CB2368"/>
    <w:rsid w:val="00CB26D4"/>
    <w:rsid w:val="00CB279E"/>
    <w:rsid w:val="00CB27CD"/>
    <w:rsid w:val="00CB2A99"/>
    <w:rsid w:val="00CB2C37"/>
    <w:rsid w:val="00CB2D95"/>
    <w:rsid w:val="00CB2DFF"/>
    <w:rsid w:val="00CB2EA2"/>
    <w:rsid w:val="00CB354B"/>
    <w:rsid w:val="00CB35A3"/>
    <w:rsid w:val="00CB379E"/>
    <w:rsid w:val="00CB3CAB"/>
    <w:rsid w:val="00CB4550"/>
    <w:rsid w:val="00CB4571"/>
    <w:rsid w:val="00CB4896"/>
    <w:rsid w:val="00CB4B63"/>
    <w:rsid w:val="00CB4CFB"/>
    <w:rsid w:val="00CB4DBC"/>
    <w:rsid w:val="00CB4ED9"/>
    <w:rsid w:val="00CB50E2"/>
    <w:rsid w:val="00CB5111"/>
    <w:rsid w:val="00CB53DB"/>
    <w:rsid w:val="00CB5920"/>
    <w:rsid w:val="00CB5AE0"/>
    <w:rsid w:val="00CB5BA2"/>
    <w:rsid w:val="00CB5BC5"/>
    <w:rsid w:val="00CB5C3A"/>
    <w:rsid w:val="00CB5EEE"/>
    <w:rsid w:val="00CB5F1E"/>
    <w:rsid w:val="00CB5FD3"/>
    <w:rsid w:val="00CB6207"/>
    <w:rsid w:val="00CB63CE"/>
    <w:rsid w:val="00CB6640"/>
    <w:rsid w:val="00CB688F"/>
    <w:rsid w:val="00CB69B1"/>
    <w:rsid w:val="00CB6A6E"/>
    <w:rsid w:val="00CB6B20"/>
    <w:rsid w:val="00CB6ED6"/>
    <w:rsid w:val="00CB725D"/>
    <w:rsid w:val="00CB74C3"/>
    <w:rsid w:val="00CB74E9"/>
    <w:rsid w:val="00CB75E0"/>
    <w:rsid w:val="00CB7949"/>
    <w:rsid w:val="00CB7A00"/>
    <w:rsid w:val="00CB7B43"/>
    <w:rsid w:val="00CB7C66"/>
    <w:rsid w:val="00CB7DA6"/>
    <w:rsid w:val="00CB7FCB"/>
    <w:rsid w:val="00CC0289"/>
    <w:rsid w:val="00CC0322"/>
    <w:rsid w:val="00CC037F"/>
    <w:rsid w:val="00CC03D9"/>
    <w:rsid w:val="00CC06A3"/>
    <w:rsid w:val="00CC071A"/>
    <w:rsid w:val="00CC0FCD"/>
    <w:rsid w:val="00CC1204"/>
    <w:rsid w:val="00CC1308"/>
    <w:rsid w:val="00CC18EF"/>
    <w:rsid w:val="00CC1D7D"/>
    <w:rsid w:val="00CC1F75"/>
    <w:rsid w:val="00CC223B"/>
    <w:rsid w:val="00CC24CC"/>
    <w:rsid w:val="00CC277C"/>
    <w:rsid w:val="00CC283D"/>
    <w:rsid w:val="00CC2D92"/>
    <w:rsid w:val="00CC2F0E"/>
    <w:rsid w:val="00CC30B7"/>
    <w:rsid w:val="00CC324B"/>
    <w:rsid w:val="00CC3270"/>
    <w:rsid w:val="00CC3349"/>
    <w:rsid w:val="00CC3503"/>
    <w:rsid w:val="00CC35C8"/>
    <w:rsid w:val="00CC3632"/>
    <w:rsid w:val="00CC374F"/>
    <w:rsid w:val="00CC3E32"/>
    <w:rsid w:val="00CC3EE0"/>
    <w:rsid w:val="00CC3F87"/>
    <w:rsid w:val="00CC3F94"/>
    <w:rsid w:val="00CC3FFC"/>
    <w:rsid w:val="00CC423D"/>
    <w:rsid w:val="00CC4570"/>
    <w:rsid w:val="00CC4581"/>
    <w:rsid w:val="00CC4908"/>
    <w:rsid w:val="00CC4A7C"/>
    <w:rsid w:val="00CC4ADF"/>
    <w:rsid w:val="00CC4BDD"/>
    <w:rsid w:val="00CC4CA3"/>
    <w:rsid w:val="00CC4EFC"/>
    <w:rsid w:val="00CC4FBB"/>
    <w:rsid w:val="00CC5214"/>
    <w:rsid w:val="00CC52F0"/>
    <w:rsid w:val="00CC557E"/>
    <w:rsid w:val="00CC55B5"/>
    <w:rsid w:val="00CC56B9"/>
    <w:rsid w:val="00CC593A"/>
    <w:rsid w:val="00CC5C5B"/>
    <w:rsid w:val="00CC5CA9"/>
    <w:rsid w:val="00CC5ED3"/>
    <w:rsid w:val="00CC5EFF"/>
    <w:rsid w:val="00CC6279"/>
    <w:rsid w:val="00CC63DA"/>
    <w:rsid w:val="00CC6905"/>
    <w:rsid w:val="00CC6F43"/>
    <w:rsid w:val="00CC6FF4"/>
    <w:rsid w:val="00CC7320"/>
    <w:rsid w:val="00CC76AE"/>
    <w:rsid w:val="00CC7719"/>
    <w:rsid w:val="00CC79EC"/>
    <w:rsid w:val="00CC7AFB"/>
    <w:rsid w:val="00CC7D12"/>
    <w:rsid w:val="00CC7E3A"/>
    <w:rsid w:val="00CC7F73"/>
    <w:rsid w:val="00CD00D7"/>
    <w:rsid w:val="00CD010E"/>
    <w:rsid w:val="00CD027B"/>
    <w:rsid w:val="00CD03E7"/>
    <w:rsid w:val="00CD04CF"/>
    <w:rsid w:val="00CD0512"/>
    <w:rsid w:val="00CD05EA"/>
    <w:rsid w:val="00CD0AAF"/>
    <w:rsid w:val="00CD0AC6"/>
    <w:rsid w:val="00CD0BA9"/>
    <w:rsid w:val="00CD0BF5"/>
    <w:rsid w:val="00CD0C40"/>
    <w:rsid w:val="00CD12A1"/>
    <w:rsid w:val="00CD14B0"/>
    <w:rsid w:val="00CD16F0"/>
    <w:rsid w:val="00CD1720"/>
    <w:rsid w:val="00CD181D"/>
    <w:rsid w:val="00CD1CCE"/>
    <w:rsid w:val="00CD1D7F"/>
    <w:rsid w:val="00CD1EAC"/>
    <w:rsid w:val="00CD2055"/>
    <w:rsid w:val="00CD2113"/>
    <w:rsid w:val="00CD2143"/>
    <w:rsid w:val="00CD259B"/>
    <w:rsid w:val="00CD25A5"/>
    <w:rsid w:val="00CD2724"/>
    <w:rsid w:val="00CD2A64"/>
    <w:rsid w:val="00CD2A70"/>
    <w:rsid w:val="00CD2B37"/>
    <w:rsid w:val="00CD2B43"/>
    <w:rsid w:val="00CD2FC4"/>
    <w:rsid w:val="00CD3216"/>
    <w:rsid w:val="00CD345F"/>
    <w:rsid w:val="00CD35D1"/>
    <w:rsid w:val="00CD367F"/>
    <w:rsid w:val="00CD3953"/>
    <w:rsid w:val="00CD3A3D"/>
    <w:rsid w:val="00CD3ACD"/>
    <w:rsid w:val="00CD3B80"/>
    <w:rsid w:val="00CD3CD9"/>
    <w:rsid w:val="00CD3F05"/>
    <w:rsid w:val="00CD4099"/>
    <w:rsid w:val="00CD414C"/>
    <w:rsid w:val="00CD44B0"/>
    <w:rsid w:val="00CD4CC2"/>
    <w:rsid w:val="00CD4DF4"/>
    <w:rsid w:val="00CD4F02"/>
    <w:rsid w:val="00CD4F24"/>
    <w:rsid w:val="00CD4F54"/>
    <w:rsid w:val="00CD4FC7"/>
    <w:rsid w:val="00CD50A3"/>
    <w:rsid w:val="00CD50D0"/>
    <w:rsid w:val="00CD50FA"/>
    <w:rsid w:val="00CD5156"/>
    <w:rsid w:val="00CD5250"/>
    <w:rsid w:val="00CD5578"/>
    <w:rsid w:val="00CD5690"/>
    <w:rsid w:val="00CD59AE"/>
    <w:rsid w:val="00CD5D8C"/>
    <w:rsid w:val="00CD5E21"/>
    <w:rsid w:val="00CD5F62"/>
    <w:rsid w:val="00CD5F9E"/>
    <w:rsid w:val="00CD6488"/>
    <w:rsid w:val="00CD6723"/>
    <w:rsid w:val="00CD68D3"/>
    <w:rsid w:val="00CD6A3D"/>
    <w:rsid w:val="00CD6BA7"/>
    <w:rsid w:val="00CD6EE9"/>
    <w:rsid w:val="00CD7164"/>
    <w:rsid w:val="00CD71AF"/>
    <w:rsid w:val="00CD71F9"/>
    <w:rsid w:val="00CD7249"/>
    <w:rsid w:val="00CD7370"/>
    <w:rsid w:val="00CD7E6B"/>
    <w:rsid w:val="00CD7EDA"/>
    <w:rsid w:val="00CE0071"/>
    <w:rsid w:val="00CE00A5"/>
    <w:rsid w:val="00CE053B"/>
    <w:rsid w:val="00CE05BD"/>
    <w:rsid w:val="00CE08B4"/>
    <w:rsid w:val="00CE0B89"/>
    <w:rsid w:val="00CE0F9D"/>
    <w:rsid w:val="00CE1025"/>
    <w:rsid w:val="00CE145B"/>
    <w:rsid w:val="00CE1706"/>
    <w:rsid w:val="00CE1722"/>
    <w:rsid w:val="00CE19F0"/>
    <w:rsid w:val="00CE1C9F"/>
    <w:rsid w:val="00CE1E7D"/>
    <w:rsid w:val="00CE1E9F"/>
    <w:rsid w:val="00CE222C"/>
    <w:rsid w:val="00CE22D4"/>
    <w:rsid w:val="00CE2626"/>
    <w:rsid w:val="00CE2658"/>
    <w:rsid w:val="00CE2882"/>
    <w:rsid w:val="00CE2902"/>
    <w:rsid w:val="00CE2C05"/>
    <w:rsid w:val="00CE2EB7"/>
    <w:rsid w:val="00CE2F2C"/>
    <w:rsid w:val="00CE306A"/>
    <w:rsid w:val="00CE35FB"/>
    <w:rsid w:val="00CE3B34"/>
    <w:rsid w:val="00CE3BDA"/>
    <w:rsid w:val="00CE3F77"/>
    <w:rsid w:val="00CE40A8"/>
    <w:rsid w:val="00CE4105"/>
    <w:rsid w:val="00CE42C9"/>
    <w:rsid w:val="00CE475C"/>
    <w:rsid w:val="00CE4857"/>
    <w:rsid w:val="00CE48FF"/>
    <w:rsid w:val="00CE494E"/>
    <w:rsid w:val="00CE4BF4"/>
    <w:rsid w:val="00CE4CFC"/>
    <w:rsid w:val="00CE4D91"/>
    <w:rsid w:val="00CE4EF4"/>
    <w:rsid w:val="00CE50D1"/>
    <w:rsid w:val="00CE5163"/>
    <w:rsid w:val="00CE53DE"/>
    <w:rsid w:val="00CE54AF"/>
    <w:rsid w:val="00CE5631"/>
    <w:rsid w:val="00CE570A"/>
    <w:rsid w:val="00CE5979"/>
    <w:rsid w:val="00CE59AC"/>
    <w:rsid w:val="00CE5C2C"/>
    <w:rsid w:val="00CE60A1"/>
    <w:rsid w:val="00CE60D8"/>
    <w:rsid w:val="00CE62A4"/>
    <w:rsid w:val="00CE7581"/>
    <w:rsid w:val="00CE758C"/>
    <w:rsid w:val="00CE7A7D"/>
    <w:rsid w:val="00CE7ACE"/>
    <w:rsid w:val="00CE7B3A"/>
    <w:rsid w:val="00CE7B75"/>
    <w:rsid w:val="00CE7B7E"/>
    <w:rsid w:val="00CE7BCE"/>
    <w:rsid w:val="00CE7BE4"/>
    <w:rsid w:val="00CE7FC6"/>
    <w:rsid w:val="00CF03CF"/>
    <w:rsid w:val="00CF04A0"/>
    <w:rsid w:val="00CF052D"/>
    <w:rsid w:val="00CF05A2"/>
    <w:rsid w:val="00CF07BA"/>
    <w:rsid w:val="00CF0969"/>
    <w:rsid w:val="00CF0A45"/>
    <w:rsid w:val="00CF0E4E"/>
    <w:rsid w:val="00CF106F"/>
    <w:rsid w:val="00CF1194"/>
    <w:rsid w:val="00CF119C"/>
    <w:rsid w:val="00CF11BE"/>
    <w:rsid w:val="00CF11E4"/>
    <w:rsid w:val="00CF1200"/>
    <w:rsid w:val="00CF140B"/>
    <w:rsid w:val="00CF1565"/>
    <w:rsid w:val="00CF18E2"/>
    <w:rsid w:val="00CF1A4C"/>
    <w:rsid w:val="00CF1D33"/>
    <w:rsid w:val="00CF267F"/>
    <w:rsid w:val="00CF28DA"/>
    <w:rsid w:val="00CF2B14"/>
    <w:rsid w:val="00CF2B65"/>
    <w:rsid w:val="00CF31F6"/>
    <w:rsid w:val="00CF34E2"/>
    <w:rsid w:val="00CF36D8"/>
    <w:rsid w:val="00CF3880"/>
    <w:rsid w:val="00CF3BCD"/>
    <w:rsid w:val="00CF3CCD"/>
    <w:rsid w:val="00CF3CCF"/>
    <w:rsid w:val="00CF3D73"/>
    <w:rsid w:val="00CF3FC0"/>
    <w:rsid w:val="00CF40DD"/>
    <w:rsid w:val="00CF4137"/>
    <w:rsid w:val="00CF416C"/>
    <w:rsid w:val="00CF42B2"/>
    <w:rsid w:val="00CF42EA"/>
    <w:rsid w:val="00CF4886"/>
    <w:rsid w:val="00CF488A"/>
    <w:rsid w:val="00CF4BC6"/>
    <w:rsid w:val="00CF4BD5"/>
    <w:rsid w:val="00CF4CD3"/>
    <w:rsid w:val="00CF4DF9"/>
    <w:rsid w:val="00CF4F3F"/>
    <w:rsid w:val="00CF4FE7"/>
    <w:rsid w:val="00CF4FFA"/>
    <w:rsid w:val="00CF514D"/>
    <w:rsid w:val="00CF527E"/>
    <w:rsid w:val="00CF5305"/>
    <w:rsid w:val="00CF534D"/>
    <w:rsid w:val="00CF5DEA"/>
    <w:rsid w:val="00CF619D"/>
    <w:rsid w:val="00CF61DF"/>
    <w:rsid w:val="00CF6283"/>
    <w:rsid w:val="00CF6344"/>
    <w:rsid w:val="00CF68E7"/>
    <w:rsid w:val="00CF6A72"/>
    <w:rsid w:val="00CF6B87"/>
    <w:rsid w:val="00CF70F5"/>
    <w:rsid w:val="00CF71F2"/>
    <w:rsid w:val="00CF77D6"/>
    <w:rsid w:val="00CF7859"/>
    <w:rsid w:val="00CF78AE"/>
    <w:rsid w:val="00CF7B8D"/>
    <w:rsid w:val="00CF7E13"/>
    <w:rsid w:val="00D00011"/>
    <w:rsid w:val="00D00228"/>
    <w:rsid w:val="00D004BB"/>
    <w:rsid w:val="00D005EB"/>
    <w:rsid w:val="00D00841"/>
    <w:rsid w:val="00D00F4B"/>
    <w:rsid w:val="00D0139E"/>
    <w:rsid w:val="00D014A7"/>
    <w:rsid w:val="00D01844"/>
    <w:rsid w:val="00D019EE"/>
    <w:rsid w:val="00D01BB8"/>
    <w:rsid w:val="00D02013"/>
    <w:rsid w:val="00D0212C"/>
    <w:rsid w:val="00D0218F"/>
    <w:rsid w:val="00D02445"/>
    <w:rsid w:val="00D024F0"/>
    <w:rsid w:val="00D0299A"/>
    <w:rsid w:val="00D02EE4"/>
    <w:rsid w:val="00D030C1"/>
    <w:rsid w:val="00D03400"/>
    <w:rsid w:val="00D0346A"/>
    <w:rsid w:val="00D034D9"/>
    <w:rsid w:val="00D0350B"/>
    <w:rsid w:val="00D0351B"/>
    <w:rsid w:val="00D03606"/>
    <w:rsid w:val="00D03694"/>
    <w:rsid w:val="00D0371F"/>
    <w:rsid w:val="00D03EAE"/>
    <w:rsid w:val="00D03F49"/>
    <w:rsid w:val="00D03FD0"/>
    <w:rsid w:val="00D0485C"/>
    <w:rsid w:val="00D05267"/>
    <w:rsid w:val="00D058BA"/>
    <w:rsid w:val="00D05A6D"/>
    <w:rsid w:val="00D05D38"/>
    <w:rsid w:val="00D05DB2"/>
    <w:rsid w:val="00D06105"/>
    <w:rsid w:val="00D06236"/>
    <w:rsid w:val="00D0674A"/>
    <w:rsid w:val="00D0682D"/>
    <w:rsid w:val="00D06C1B"/>
    <w:rsid w:val="00D06E74"/>
    <w:rsid w:val="00D06F90"/>
    <w:rsid w:val="00D07150"/>
    <w:rsid w:val="00D071C5"/>
    <w:rsid w:val="00D07638"/>
    <w:rsid w:val="00D07963"/>
    <w:rsid w:val="00D0798B"/>
    <w:rsid w:val="00D07A91"/>
    <w:rsid w:val="00D07AAE"/>
    <w:rsid w:val="00D07B68"/>
    <w:rsid w:val="00D07E22"/>
    <w:rsid w:val="00D07E4D"/>
    <w:rsid w:val="00D102BD"/>
    <w:rsid w:val="00D102D4"/>
    <w:rsid w:val="00D102EA"/>
    <w:rsid w:val="00D10AE5"/>
    <w:rsid w:val="00D10BC5"/>
    <w:rsid w:val="00D10D00"/>
    <w:rsid w:val="00D11811"/>
    <w:rsid w:val="00D119E9"/>
    <w:rsid w:val="00D11C6F"/>
    <w:rsid w:val="00D12253"/>
    <w:rsid w:val="00D12291"/>
    <w:rsid w:val="00D12313"/>
    <w:rsid w:val="00D1259D"/>
    <w:rsid w:val="00D125B3"/>
    <w:rsid w:val="00D12605"/>
    <w:rsid w:val="00D12818"/>
    <w:rsid w:val="00D12868"/>
    <w:rsid w:val="00D129D4"/>
    <w:rsid w:val="00D12DAE"/>
    <w:rsid w:val="00D12DED"/>
    <w:rsid w:val="00D12EBE"/>
    <w:rsid w:val="00D12F86"/>
    <w:rsid w:val="00D13033"/>
    <w:rsid w:val="00D13509"/>
    <w:rsid w:val="00D1352B"/>
    <w:rsid w:val="00D135D2"/>
    <w:rsid w:val="00D13605"/>
    <w:rsid w:val="00D1360C"/>
    <w:rsid w:val="00D13681"/>
    <w:rsid w:val="00D13693"/>
    <w:rsid w:val="00D13B8C"/>
    <w:rsid w:val="00D13BD4"/>
    <w:rsid w:val="00D13D93"/>
    <w:rsid w:val="00D13E1E"/>
    <w:rsid w:val="00D13E53"/>
    <w:rsid w:val="00D13E6C"/>
    <w:rsid w:val="00D14125"/>
    <w:rsid w:val="00D14137"/>
    <w:rsid w:val="00D1429C"/>
    <w:rsid w:val="00D14422"/>
    <w:rsid w:val="00D144E9"/>
    <w:rsid w:val="00D14564"/>
    <w:rsid w:val="00D14DDE"/>
    <w:rsid w:val="00D15174"/>
    <w:rsid w:val="00D151A9"/>
    <w:rsid w:val="00D152EA"/>
    <w:rsid w:val="00D15460"/>
    <w:rsid w:val="00D155B1"/>
    <w:rsid w:val="00D15711"/>
    <w:rsid w:val="00D15BBA"/>
    <w:rsid w:val="00D15F3A"/>
    <w:rsid w:val="00D161A4"/>
    <w:rsid w:val="00D161A6"/>
    <w:rsid w:val="00D164C2"/>
    <w:rsid w:val="00D16A97"/>
    <w:rsid w:val="00D16CA2"/>
    <w:rsid w:val="00D16E4F"/>
    <w:rsid w:val="00D16FAD"/>
    <w:rsid w:val="00D17169"/>
    <w:rsid w:val="00D1738E"/>
    <w:rsid w:val="00D174F5"/>
    <w:rsid w:val="00D176B4"/>
    <w:rsid w:val="00D176EF"/>
    <w:rsid w:val="00D179DB"/>
    <w:rsid w:val="00D17A6F"/>
    <w:rsid w:val="00D17A9B"/>
    <w:rsid w:val="00D17D19"/>
    <w:rsid w:val="00D17D54"/>
    <w:rsid w:val="00D17E4C"/>
    <w:rsid w:val="00D20283"/>
    <w:rsid w:val="00D20381"/>
    <w:rsid w:val="00D203B8"/>
    <w:rsid w:val="00D20462"/>
    <w:rsid w:val="00D2071C"/>
    <w:rsid w:val="00D208B5"/>
    <w:rsid w:val="00D20A2D"/>
    <w:rsid w:val="00D20AE4"/>
    <w:rsid w:val="00D20CA0"/>
    <w:rsid w:val="00D20DF8"/>
    <w:rsid w:val="00D20F9E"/>
    <w:rsid w:val="00D2126C"/>
    <w:rsid w:val="00D21414"/>
    <w:rsid w:val="00D214BB"/>
    <w:rsid w:val="00D2172E"/>
    <w:rsid w:val="00D21917"/>
    <w:rsid w:val="00D21958"/>
    <w:rsid w:val="00D21A1F"/>
    <w:rsid w:val="00D21BCE"/>
    <w:rsid w:val="00D21C0A"/>
    <w:rsid w:val="00D21CEB"/>
    <w:rsid w:val="00D22314"/>
    <w:rsid w:val="00D22370"/>
    <w:rsid w:val="00D2247B"/>
    <w:rsid w:val="00D2269F"/>
    <w:rsid w:val="00D2270C"/>
    <w:rsid w:val="00D22713"/>
    <w:rsid w:val="00D2275E"/>
    <w:rsid w:val="00D2279F"/>
    <w:rsid w:val="00D22823"/>
    <w:rsid w:val="00D229D8"/>
    <w:rsid w:val="00D22A5A"/>
    <w:rsid w:val="00D22B4A"/>
    <w:rsid w:val="00D22D6A"/>
    <w:rsid w:val="00D22D6E"/>
    <w:rsid w:val="00D2320B"/>
    <w:rsid w:val="00D232C5"/>
    <w:rsid w:val="00D23386"/>
    <w:rsid w:val="00D2351A"/>
    <w:rsid w:val="00D2365E"/>
    <w:rsid w:val="00D23705"/>
    <w:rsid w:val="00D2374E"/>
    <w:rsid w:val="00D23757"/>
    <w:rsid w:val="00D23B94"/>
    <w:rsid w:val="00D23C36"/>
    <w:rsid w:val="00D24151"/>
    <w:rsid w:val="00D242B1"/>
    <w:rsid w:val="00D243BF"/>
    <w:rsid w:val="00D244BF"/>
    <w:rsid w:val="00D24727"/>
    <w:rsid w:val="00D248C2"/>
    <w:rsid w:val="00D24BB5"/>
    <w:rsid w:val="00D24C52"/>
    <w:rsid w:val="00D24C5E"/>
    <w:rsid w:val="00D24C60"/>
    <w:rsid w:val="00D24C9D"/>
    <w:rsid w:val="00D24D47"/>
    <w:rsid w:val="00D250DE"/>
    <w:rsid w:val="00D25434"/>
    <w:rsid w:val="00D25735"/>
    <w:rsid w:val="00D25B11"/>
    <w:rsid w:val="00D25B13"/>
    <w:rsid w:val="00D25BB9"/>
    <w:rsid w:val="00D25C5E"/>
    <w:rsid w:val="00D25D43"/>
    <w:rsid w:val="00D2607F"/>
    <w:rsid w:val="00D261FB"/>
    <w:rsid w:val="00D26280"/>
    <w:rsid w:val="00D269ED"/>
    <w:rsid w:val="00D26A64"/>
    <w:rsid w:val="00D26CCC"/>
    <w:rsid w:val="00D26D0C"/>
    <w:rsid w:val="00D26F0E"/>
    <w:rsid w:val="00D27045"/>
    <w:rsid w:val="00D27047"/>
    <w:rsid w:val="00D270F5"/>
    <w:rsid w:val="00D2747B"/>
    <w:rsid w:val="00D275BF"/>
    <w:rsid w:val="00D27628"/>
    <w:rsid w:val="00D2765E"/>
    <w:rsid w:val="00D276F5"/>
    <w:rsid w:val="00D27B4F"/>
    <w:rsid w:val="00D27E95"/>
    <w:rsid w:val="00D27EC2"/>
    <w:rsid w:val="00D27FE5"/>
    <w:rsid w:val="00D30289"/>
    <w:rsid w:val="00D304FB"/>
    <w:rsid w:val="00D30543"/>
    <w:rsid w:val="00D30917"/>
    <w:rsid w:val="00D309B6"/>
    <w:rsid w:val="00D30ED2"/>
    <w:rsid w:val="00D3113E"/>
    <w:rsid w:val="00D31386"/>
    <w:rsid w:val="00D314BD"/>
    <w:rsid w:val="00D31535"/>
    <w:rsid w:val="00D31666"/>
    <w:rsid w:val="00D31690"/>
    <w:rsid w:val="00D31713"/>
    <w:rsid w:val="00D317EC"/>
    <w:rsid w:val="00D31846"/>
    <w:rsid w:val="00D31CAA"/>
    <w:rsid w:val="00D320EC"/>
    <w:rsid w:val="00D32329"/>
    <w:rsid w:val="00D3237E"/>
    <w:rsid w:val="00D324F0"/>
    <w:rsid w:val="00D3272C"/>
    <w:rsid w:val="00D32A3B"/>
    <w:rsid w:val="00D32AA2"/>
    <w:rsid w:val="00D32CEE"/>
    <w:rsid w:val="00D32E17"/>
    <w:rsid w:val="00D32E4B"/>
    <w:rsid w:val="00D32EDB"/>
    <w:rsid w:val="00D32F4B"/>
    <w:rsid w:val="00D338B6"/>
    <w:rsid w:val="00D3390E"/>
    <w:rsid w:val="00D339A3"/>
    <w:rsid w:val="00D33E6E"/>
    <w:rsid w:val="00D33E9B"/>
    <w:rsid w:val="00D340DD"/>
    <w:rsid w:val="00D3412A"/>
    <w:rsid w:val="00D341BF"/>
    <w:rsid w:val="00D343F0"/>
    <w:rsid w:val="00D345D6"/>
    <w:rsid w:val="00D346CA"/>
    <w:rsid w:val="00D346D3"/>
    <w:rsid w:val="00D347A0"/>
    <w:rsid w:val="00D347CB"/>
    <w:rsid w:val="00D3490D"/>
    <w:rsid w:val="00D34B28"/>
    <w:rsid w:val="00D34CD6"/>
    <w:rsid w:val="00D34FDE"/>
    <w:rsid w:val="00D35031"/>
    <w:rsid w:val="00D350D4"/>
    <w:rsid w:val="00D35203"/>
    <w:rsid w:val="00D3543E"/>
    <w:rsid w:val="00D3577E"/>
    <w:rsid w:val="00D358AC"/>
    <w:rsid w:val="00D35A01"/>
    <w:rsid w:val="00D35A11"/>
    <w:rsid w:val="00D35CF3"/>
    <w:rsid w:val="00D35F8A"/>
    <w:rsid w:val="00D35FA9"/>
    <w:rsid w:val="00D3600B"/>
    <w:rsid w:val="00D3661A"/>
    <w:rsid w:val="00D36690"/>
    <w:rsid w:val="00D36743"/>
    <w:rsid w:val="00D36747"/>
    <w:rsid w:val="00D369A3"/>
    <w:rsid w:val="00D36F14"/>
    <w:rsid w:val="00D36FCC"/>
    <w:rsid w:val="00D370DF"/>
    <w:rsid w:val="00D37569"/>
    <w:rsid w:val="00D376DA"/>
    <w:rsid w:val="00D3788B"/>
    <w:rsid w:val="00D37CD8"/>
    <w:rsid w:val="00D37D70"/>
    <w:rsid w:val="00D4013C"/>
    <w:rsid w:val="00D40639"/>
    <w:rsid w:val="00D40A58"/>
    <w:rsid w:val="00D40B08"/>
    <w:rsid w:val="00D40E78"/>
    <w:rsid w:val="00D41132"/>
    <w:rsid w:val="00D41229"/>
    <w:rsid w:val="00D414C6"/>
    <w:rsid w:val="00D416C7"/>
    <w:rsid w:val="00D41846"/>
    <w:rsid w:val="00D41B88"/>
    <w:rsid w:val="00D41E20"/>
    <w:rsid w:val="00D41EE9"/>
    <w:rsid w:val="00D4210A"/>
    <w:rsid w:val="00D4212E"/>
    <w:rsid w:val="00D42247"/>
    <w:rsid w:val="00D42354"/>
    <w:rsid w:val="00D423BF"/>
    <w:rsid w:val="00D42802"/>
    <w:rsid w:val="00D42D37"/>
    <w:rsid w:val="00D42D96"/>
    <w:rsid w:val="00D43114"/>
    <w:rsid w:val="00D43369"/>
    <w:rsid w:val="00D433A5"/>
    <w:rsid w:val="00D434F7"/>
    <w:rsid w:val="00D434FB"/>
    <w:rsid w:val="00D43558"/>
    <w:rsid w:val="00D438B3"/>
    <w:rsid w:val="00D4393B"/>
    <w:rsid w:val="00D43FC6"/>
    <w:rsid w:val="00D4433E"/>
    <w:rsid w:val="00D44535"/>
    <w:rsid w:val="00D4462F"/>
    <w:rsid w:val="00D446D1"/>
    <w:rsid w:val="00D4483E"/>
    <w:rsid w:val="00D44996"/>
    <w:rsid w:val="00D449AD"/>
    <w:rsid w:val="00D44B0B"/>
    <w:rsid w:val="00D44D2E"/>
    <w:rsid w:val="00D44DAD"/>
    <w:rsid w:val="00D44F17"/>
    <w:rsid w:val="00D44FA4"/>
    <w:rsid w:val="00D450F9"/>
    <w:rsid w:val="00D453BB"/>
    <w:rsid w:val="00D4554D"/>
    <w:rsid w:val="00D457A5"/>
    <w:rsid w:val="00D457CA"/>
    <w:rsid w:val="00D45806"/>
    <w:rsid w:val="00D45894"/>
    <w:rsid w:val="00D45899"/>
    <w:rsid w:val="00D45CD3"/>
    <w:rsid w:val="00D45EA2"/>
    <w:rsid w:val="00D461B2"/>
    <w:rsid w:val="00D4645B"/>
    <w:rsid w:val="00D46520"/>
    <w:rsid w:val="00D46608"/>
    <w:rsid w:val="00D46806"/>
    <w:rsid w:val="00D46986"/>
    <w:rsid w:val="00D469EC"/>
    <w:rsid w:val="00D46B6E"/>
    <w:rsid w:val="00D46F11"/>
    <w:rsid w:val="00D47126"/>
    <w:rsid w:val="00D47181"/>
    <w:rsid w:val="00D47327"/>
    <w:rsid w:val="00D4779E"/>
    <w:rsid w:val="00D47922"/>
    <w:rsid w:val="00D47FDA"/>
    <w:rsid w:val="00D50015"/>
    <w:rsid w:val="00D5010D"/>
    <w:rsid w:val="00D5025F"/>
    <w:rsid w:val="00D50471"/>
    <w:rsid w:val="00D5050F"/>
    <w:rsid w:val="00D507A0"/>
    <w:rsid w:val="00D50931"/>
    <w:rsid w:val="00D509B9"/>
    <w:rsid w:val="00D50B06"/>
    <w:rsid w:val="00D50BE7"/>
    <w:rsid w:val="00D50FEE"/>
    <w:rsid w:val="00D5116E"/>
    <w:rsid w:val="00D51288"/>
    <w:rsid w:val="00D5133C"/>
    <w:rsid w:val="00D51573"/>
    <w:rsid w:val="00D51641"/>
    <w:rsid w:val="00D517B8"/>
    <w:rsid w:val="00D518C2"/>
    <w:rsid w:val="00D51906"/>
    <w:rsid w:val="00D51AAC"/>
    <w:rsid w:val="00D51DF8"/>
    <w:rsid w:val="00D51DFA"/>
    <w:rsid w:val="00D51ED1"/>
    <w:rsid w:val="00D51F64"/>
    <w:rsid w:val="00D51F65"/>
    <w:rsid w:val="00D5207D"/>
    <w:rsid w:val="00D5220C"/>
    <w:rsid w:val="00D5226A"/>
    <w:rsid w:val="00D522D8"/>
    <w:rsid w:val="00D5240D"/>
    <w:rsid w:val="00D52436"/>
    <w:rsid w:val="00D525F6"/>
    <w:rsid w:val="00D52AB3"/>
    <w:rsid w:val="00D52D9D"/>
    <w:rsid w:val="00D52DEA"/>
    <w:rsid w:val="00D532ED"/>
    <w:rsid w:val="00D533F5"/>
    <w:rsid w:val="00D537DE"/>
    <w:rsid w:val="00D53BD6"/>
    <w:rsid w:val="00D53C96"/>
    <w:rsid w:val="00D53E3A"/>
    <w:rsid w:val="00D541D5"/>
    <w:rsid w:val="00D54227"/>
    <w:rsid w:val="00D54294"/>
    <w:rsid w:val="00D542C0"/>
    <w:rsid w:val="00D54468"/>
    <w:rsid w:val="00D544DE"/>
    <w:rsid w:val="00D549A0"/>
    <w:rsid w:val="00D54A1D"/>
    <w:rsid w:val="00D54A7B"/>
    <w:rsid w:val="00D54B4A"/>
    <w:rsid w:val="00D54CAD"/>
    <w:rsid w:val="00D54D2D"/>
    <w:rsid w:val="00D55434"/>
    <w:rsid w:val="00D55672"/>
    <w:rsid w:val="00D55715"/>
    <w:rsid w:val="00D557F6"/>
    <w:rsid w:val="00D557FC"/>
    <w:rsid w:val="00D55C82"/>
    <w:rsid w:val="00D55EFC"/>
    <w:rsid w:val="00D5644C"/>
    <w:rsid w:val="00D56977"/>
    <w:rsid w:val="00D569C3"/>
    <w:rsid w:val="00D56A96"/>
    <w:rsid w:val="00D56B47"/>
    <w:rsid w:val="00D56B7D"/>
    <w:rsid w:val="00D56CF6"/>
    <w:rsid w:val="00D56E5D"/>
    <w:rsid w:val="00D56F31"/>
    <w:rsid w:val="00D56FC4"/>
    <w:rsid w:val="00D57031"/>
    <w:rsid w:val="00D57106"/>
    <w:rsid w:val="00D57624"/>
    <w:rsid w:val="00D5797B"/>
    <w:rsid w:val="00D57C17"/>
    <w:rsid w:val="00D57D16"/>
    <w:rsid w:val="00D602A4"/>
    <w:rsid w:val="00D6096D"/>
    <w:rsid w:val="00D60A01"/>
    <w:rsid w:val="00D60DB6"/>
    <w:rsid w:val="00D60EA9"/>
    <w:rsid w:val="00D60F0F"/>
    <w:rsid w:val="00D614A0"/>
    <w:rsid w:val="00D61527"/>
    <w:rsid w:val="00D617C2"/>
    <w:rsid w:val="00D61959"/>
    <w:rsid w:val="00D61BD1"/>
    <w:rsid w:val="00D61D62"/>
    <w:rsid w:val="00D61E21"/>
    <w:rsid w:val="00D6204C"/>
    <w:rsid w:val="00D620E4"/>
    <w:rsid w:val="00D62238"/>
    <w:rsid w:val="00D62364"/>
    <w:rsid w:val="00D62699"/>
    <w:rsid w:val="00D62867"/>
    <w:rsid w:val="00D628B2"/>
    <w:rsid w:val="00D62B6B"/>
    <w:rsid w:val="00D62C01"/>
    <w:rsid w:val="00D62C9F"/>
    <w:rsid w:val="00D62CEC"/>
    <w:rsid w:val="00D62F63"/>
    <w:rsid w:val="00D63175"/>
    <w:rsid w:val="00D6348F"/>
    <w:rsid w:val="00D635A6"/>
    <w:rsid w:val="00D637D4"/>
    <w:rsid w:val="00D6392D"/>
    <w:rsid w:val="00D63BF2"/>
    <w:rsid w:val="00D63C09"/>
    <w:rsid w:val="00D63DEB"/>
    <w:rsid w:val="00D63EAD"/>
    <w:rsid w:val="00D63EFA"/>
    <w:rsid w:val="00D64141"/>
    <w:rsid w:val="00D643A7"/>
    <w:rsid w:val="00D64671"/>
    <w:rsid w:val="00D647A3"/>
    <w:rsid w:val="00D64CAD"/>
    <w:rsid w:val="00D64D51"/>
    <w:rsid w:val="00D64EDA"/>
    <w:rsid w:val="00D65146"/>
    <w:rsid w:val="00D6515C"/>
    <w:rsid w:val="00D652AF"/>
    <w:rsid w:val="00D65616"/>
    <w:rsid w:val="00D65649"/>
    <w:rsid w:val="00D65B1B"/>
    <w:rsid w:val="00D6607C"/>
    <w:rsid w:val="00D663BD"/>
    <w:rsid w:val="00D6678E"/>
    <w:rsid w:val="00D668B8"/>
    <w:rsid w:val="00D66BC8"/>
    <w:rsid w:val="00D66D99"/>
    <w:rsid w:val="00D66DEB"/>
    <w:rsid w:val="00D671AC"/>
    <w:rsid w:val="00D67442"/>
    <w:rsid w:val="00D6754C"/>
    <w:rsid w:val="00D67681"/>
    <w:rsid w:val="00D678AE"/>
    <w:rsid w:val="00D678FA"/>
    <w:rsid w:val="00D6794E"/>
    <w:rsid w:val="00D67962"/>
    <w:rsid w:val="00D67D68"/>
    <w:rsid w:val="00D67E7E"/>
    <w:rsid w:val="00D67F66"/>
    <w:rsid w:val="00D70064"/>
    <w:rsid w:val="00D700DB"/>
    <w:rsid w:val="00D70951"/>
    <w:rsid w:val="00D70A54"/>
    <w:rsid w:val="00D70D25"/>
    <w:rsid w:val="00D70E80"/>
    <w:rsid w:val="00D71273"/>
    <w:rsid w:val="00D713AA"/>
    <w:rsid w:val="00D714F5"/>
    <w:rsid w:val="00D71729"/>
    <w:rsid w:val="00D71858"/>
    <w:rsid w:val="00D71B2C"/>
    <w:rsid w:val="00D71C85"/>
    <w:rsid w:val="00D71E60"/>
    <w:rsid w:val="00D7203F"/>
    <w:rsid w:val="00D720A3"/>
    <w:rsid w:val="00D720BA"/>
    <w:rsid w:val="00D72109"/>
    <w:rsid w:val="00D72390"/>
    <w:rsid w:val="00D723FE"/>
    <w:rsid w:val="00D7266C"/>
    <w:rsid w:val="00D727A7"/>
    <w:rsid w:val="00D727C2"/>
    <w:rsid w:val="00D72970"/>
    <w:rsid w:val="00D72D40"/>
    <w:rsid w:val="00D72ECC"/>
    <w:rsid w:val="00D72EFB"/>
    <w:rsid w:val="00D72FC1"/>
    <w:rsid w:val="00D733CA"/>
    <w:rsid w:val="00D73446"/>
    <w:rsid w:val="00D7352D"/>
    <w:rsid w:val="00D7352E"/>
    <w:rsid w:val="00D73918"/>
    <w:rsid w:val="00D73CE3"/>
    <w:rsid w:val="00D73E1B"/>
    <w:rsid w:val="00D73EE7"/>
    <w:rsid w:val="00D73FEF"/>
    <w:rsid w:val="00D740ED"/>
    <w:rsid w:val="00D7424F"/>
    <w:rsid w:val="00D748E2"/>
    <w:rsid w:val="00D74951"/>
    <w:rsid w:val="00D74A52"/>
    <w:rsid w:val="00D74DB9"/>
    <w:rsid w:val="00D74FD5"/>
    <w:rsid w:val="00D75101"/>
    <w:rsid w:val="00D751A0"/>
    <w:rsid w:val="00D75654"/>
    <w:rsid w:val="00D75BFE"/>
    <w:rsid w:val="00D75D15"/>
    <w:rsid w:val="00D75E88"/>
    <w:rsid w:val="00D761B3"/>
    <w:rsid w:val="00D7639D"/>
    <w:rsid w:val="00D76625"/>
    <w:rsid w:val="00D7680D"/>
    <w:rsid w:val="00D76AEB"/>
    <w:rsid w:val="00D76B85"/>
    <w:rsid w:val="00D76CA5"/>
    <w:rsid w:val="00D76CEE"/>
    <w:rsid w:val="00D76D71"/>
    <w:rsid w:val="00D76F24"/>
    <w:rsid w:val="00D76F33"/>
    <w:rsid w:val="00D7765B"/>
    <w:rsid w:val="00D77680"/>
    <w:rsid w:val="00D77955"/>
    <w:rsid w:val="00D77969"/>
    <w:rsid w:val="00D77AF5"/>
    <w:rsid w:val="00D77C9C"/>
    <w:rsid w:val="00D77E8A"/>
    <w:rsid w:val="00D77F1C"/>
    <w:rsid w:val="00D803BF"/>
    <w:rsid w:val="00D806F4"/>
    <w:rsid w:val="00D807F0"/>
    <w:rsid w:val="00D80B8F"/>
    <w:rsid w:val="00D80CCB"/>
    <w:rsid w:val="00D80F3D"/>
    <w:rsid w:val="00D80F4F"/>
    <w:rsid w:val="00D81680"/>
    <w:rsid w:val="00D816A4"/>
    <w:rsid w:val="00D81711"/>
    <w:rsid w:val="00D8175E"/>
    <w:rsid w:val="00D81A63"/>
    <w:rsid w:val="00D81CE2"/>
    <w:rsid w:val="00D81D31"/>
    <w:rsid w:val="00D81FFB"/>
    <w:rsid w:val="00D8201A"/>
    <w:rsid w:val="00D823A0"/>
    <w:rsid w:val="00D82679"/>
    <w:rsid w:val="00D82AB5"/>
    <w:rsid w:val="00D82D30"/>
    <w:rsid w:val="00D82E0A"/>
    <w:rsid w:val="00D82F25"/>
    <w:rsid w:val="00D8312B"/>
    <w:rsid w:val="00D837D8"/>
    <w:rsid w:val="00D84070"/>
    <w:rsid w:val="00D84843"/>
    <w:rsid w:val="00D84C1E"/>
    <w:rsid w:val="00D84F77"/>
    <w:rsid w:val="00D850D9"/>
    <w:rsid w:val="00D85363"/>
    <w:rsid w:val="00D853C9"/>
    <w:rsid w:val="00D8555E"/>
    <w:rsid w:val="00D855A5"/>
    <w:rsid w:val="00D8594A"/>
    <w:rsid w:val="00D859CE"/>
    <w:rsid w:val="00D859D0"/>
    <w:rsid w:val="00D85AC0"/>
    <w:rsid w:val="00D85ADF"/>
    <w:rsid w:val="00D85CF7"/>
    <w:rsid w:val="00D85E17"/>
    <w:rsid w:val="00D85F95"/>
    <w:rsid w:val="00D861A8"/>
    <w:rsid w:val="00D86205"/>
    <w:rsid w:val="00D86245"/>
    <w:rsid w:val="00D8625C"/>
    <w:rsid w:val="00D86398"/>
    <w:rsid w:val="00D8645F"/>
    <w:rsid w:val="00D864CF"/>
    <w:rsid w:val="00D86551"/>
    <w:rsid w:val="00D8659A"/>
    <w:rsid w:val="00D865A7"/>
    <w:rsid w:val="00D86B02"/>
    <w:rsid w:val="00D86B34"/>
    <w:rsid w:val="00D86CAB"/>
    <w:rsid w:val="00D86CB9"/>
    <w:rsid w:val="00D86EF0"/>
    <w:rsid w:val="00D871BA"/>
    <w:rsid w:val="00D87502"/>
    <w:rsid w:val="00D8774A"/>
    <w:rsid w:val="00D8778D"/>
    <w:rsid w:val="00D877FA"/>
    <w:rsid w:val="00D87873"/>
    <w:rsid w:val="00D87924"/>
    <w:rsid w:val="00D879F8"/>
    <w:rsid w:val="00D87ADD"/>
    <w:rsid w:val="00D87B97"/>
    <w:rsid w:val="00D87BFD"/>
    <w:rsid w:val="00D87D04"/>
    <w:rsid w:val="00D87DF7"/>
    <w:rsid w:val="00D90073"/>
    <w:rsid w:val="00D90110"/>
    <w:rsid w:val="00D90146"/>
    <w:rsid w:val="00D903A0"/>
    <w:rsid w:val="00D9049A"/>
    <w:rsid w:val="00D90789"/>
    <w:rsid w:val="00D90931"/>
    <w:rsid w:val="00D90B06"/>
    <w:rsid w:val="00D90C01"/>
    <w:rsid w:val="00D90D38"/>
    <w:rsid w:val="00D90D39"/>
    <w:rsid w:val="00D90E3F"/>
    <w:rsid w:val="00D91226"/>
    <w:rsid w:val="00D912B3"/>
    <w:rsid w:val="00D9166C"/>
    <w:rsid w:val="00D91695"/>
    <w:rsid w:val="00D91828"/>
    <w:rsid w:val="00D9182D"/>
    <w:rsid w:val="00D9183E"/>
    <w:rsid w:val="00D91C0F"/>
    <w:rsid w:val="00D91E10"/>
    <w:rsid w:val="00D91E25"/>
    <w:rsid w:val="00D921B4"/>
    <w:rsid w:val="00D927BF"/>
    <w:rsid w:val="00D9298A"/>
    <w:rsid w:val="00D92B2A"/>
    <w:rsid w:val="00D92CE9"/>
    <w:rsid w:val="00D92D5C"/>
    <w:rsid w:val="00D92EAE"/>
    <w:rsid w:val="00D931AE"/>
    <w:rsid w:val="00D9350D"/>
    <w:rsid w:val="00D93A3A"/>
    <w:rsid w:val="00D93C27"/>
    <w:rsid w:val="00D93D69"/>
    <w:rsid w:val="00D9400C"/>
    <w:rsid w:val="00D9411C"/>
    <w:rsid w:val="00D94160"/>
    <w:rsid w:val="00D947B6"/>
    <w:rsid w:val="00D94864"/>
    <w:rsid w:val="00D94A04"/>
    <w:rsid w:val="00D94A5C"/>
    <w:rsid w:val="00D94AEF"/>
    <w:rsid w:val="00D94D2E"/>
    <w:rsid w:val="00D94ED6"/>
    <w:rsid w:val="00D94EFD"/>
    <w:rsid w:val="00D94FE4"/>
    <w:rsid w:val="00D9509C"/>
    <w:rsid w:val="00D95BF7"/>
    <w:rsid w:val="00D95DD0"/>
    <w:rsid w:val="00D95FDB"/>
    <w:rsid w:val="00D96219"/>
    <w:rsid w:val="00D9638C"/>
    <w:rsid w:val="00D9639E"/>
    <w:rsid w:val="00D9642F"/>
    <w:rsid w:val="00D96B58"/>
    <w:rsid w:val="00D96CC7"/>
    <w:rsid w:val="00D972EC"/>
    <w:rsid w:val="00D979B9"/>
    <w:rsid w:val="00D97D82"/>
    <w:rsid w:val="00D97DD9"/>
    <w:rsid w:val="00D97FFE"/>
    <w:rsid w:val="00DA0047"/>
    <w:rsid w:val="00DA0094"/>
    <w:rsid w:val="00DA0339"/>
    <w:rsid w:val="00DA0348"/>
    <w:rsid w:val="00DA03B6"/>
    <w:rsid w:val="00DA0577"/>
    <w:rsid w:val="00DA06F4"/>
    <w:rsid w:val="00DA07A7"/>
    <w:rsid w:val="00DA0ABD"/>
    <w:rsid w:val="00DA0BC0"/>
    <w:rsid w:val="00DA1224"/>
    <w:rsid w:val="00DA1277"/>
    <w:rsid w:val="00DA12CC"/>
    <w:rsid w:val="00DA152C"/>
    <w:rsid w:val="00DA1709"/>
    <w:rsid w:val="00DA18C1"/>
    <w:rsid w:val="00DA1A1B"/>
    <w:rsid w:val="00DA1F48"/>
    <w:rsid w:val="00DA2200"/>
    <w:rsid w:val="00DA2224"/>
    <w:rsid w:val="00DA26C9"/>
    <w:rsid w:val="00DA2B03"/>
    <w:rsid w:val="00DA2B2D"/>
    <w:rsid w:val="00DA2CD7"/>
    <w:rsid w:val="00DA3138"/>
    <w:rsid w:val="00DA3529"/>
    <w:rsid w:val="00DA3695"/>
    <w:rsid w:val="00DA36D0"/>
    <w:rsid w:val="00DA376F"/>
    <w:rsid w:val="00DA39A3"/>
    <w:rsid w:val="00DA3C36"/>
    <w:rsid w:val="00DA3D10"/>
    <w:rsid w:val="00DA4232"/>
    <w:rsid w:val="00DA4471"/>
    <w:rsid w:val="00DA44B4"/>
    <w:rsid w:val="00DA44B9"/>
    <w:rsid w:val="00DA456B"/>
    <w:rsid w:val="00DA479B"/>
    <w:rsid w:val="00DA491F"/>
    <w:rsid w:val="00DA49B7"/>
    <w:rsid w:val="00DA4C35"/>
    <w:rsid w:val="00DA4D1A"/>
    <w:rsid w:val="00DA5107"/>
    <w:rsid w:val="00DA517A"/>
    <w:rsid w:val="00DA5196"/>
    <w:rsid w:val="00DA51D0"/>
    <w:rsid w:val="00DA5576"/>
    <w:rsid w:val="00DA5581"/>
    <w:rsid w:val="00DA55FC"/>
    <w:rsid w:val="00DA5615"/>
    <w:rsid w:val="00DA57A3"/>
    <w:rsid w:val="00DA57F5"/>
    <w:rsid w:val="00DA58A6"/>
    <w:rsid w:val="00DA594B"/>
    <w:rsid w:val="00DA59EE"/>
    <w:rsid w:val="00DA5B68"/>
    <w:rsid w:val="00DA5C58"/>
    <w:rsid w:val="00DA5C6F"/>
    <w:rsid w:val="00DA5D05"/>
    <w:rsid w:val="00DA5D3B"/>
    <w:rsid w:val="00DA648A"/>
    <w:rsid w:val="00DA674D"/>
    <w:rsid w:val="00DA6C28"/>
    <w:rsid w:val="00DA706A"/>
    <w:rsid w:val="00DA70D5"/>
    <w:rsid w:val="00DA70E3"/>
    <w:rsid w:val="00DA72B8"/>
    <w:rsid w:val="00DA759C"/>
    <w:rsid w:val="00DA7C0A"/>
    <w:rsid w:val="00DA7DDE"/>
    <w:rsid w:val="00DA7E88"/>
    <w:rsid w:val="00DA7FD4"/>
    <w:rsid w:val="00DB0049"/>
    <w:rsid w:val="00DB0589"/>
    <w:rsid w:val="00DB06EF"/>
    <w:rsid w:val="00DB0910"/>
    <w:rsid w:val="00DB10D4"/>
    <w:rsid w:val="00DB12A6"/>
    <w:rsid w:val="00DB159A"/>
    <w:rsid w:val="00DB16F5"/>
    <w:rsid w:val="00DB18E1"/>
    <w:rsid w:val="00DB1966"/>
    <w:rsid w:val="00DB1CA8"/>
    <w:rsid w:val="00DB1CE8"/>
    <w:rsid w:val="00DB1D1B"/>
    <w:rsid w:val="00DB1E46"/>
    <w:rsid w:val="00DB1F0A"/>
    <w:rsid w:val="00DB253D"/>
    <w:rsid w:val="00DB25B9"/>
    <w:rsid w:val="00DB2ACC"/>
    <w:rsid w:val="00DB2C88"/>
    <w:rsid w:val="00DB2DBE"/>
    <w:rsid w:val="00DB30AB"/>
    <w:rsid w:val="00DB30E3"/>
    <w:rsid w:val="00DB3600"/>
    <w:rsid w:val="00DB36C6"/>
    <w:rsid w:val="00DB3722"/>
    <w:rsid w:val="00DB3968"/>
    <w:rsid w:val="00DB3ADE"/>
    <w:rsid w:val="00DB3CB2"/>
    <w:rsid w:val="00DB3D92"/>
    <w:rsid w:val="00DB3E04"/>
    <w:rsid w:val="00DB42BF"/>
    <w:rsid w:val="00DB42FD"/>
    <w:rsid w:val="00DB4369"/>
    <w:rsid w:val="00DB479A"/>
    <w:rsid w:val="00DB4929"/>
    <w:rsid w:val="00DB4A66"/>
    <w:rsid w:val="00DB4C0C"/>
    <w:rsid w:val="00DB4CEB"/>
    <w:rsid w:val="00DB5041"/>
    <w:rsid w:val="00DB50A1"/>
    <w:rsid w:val="00DB50DB"/>
    <w:rsid w:val="00DB5111"/>
    <w:rsid w:val="00DB5115"/>
    <w:rsid w:val="00DB52E6"/>
    <w:rsid w:val="00DB5526"/>
    <w:rsid w:val="00DB5634"/>
    <w:rsid w:val="00DB5805"/>
    <w:rsid w:val="00DB5A39"/>
    <w:rsid w:val="00DB5AF1"/>
    <w:rsid w:val="00DB5D46"/>
    <w:rsid w:val="00DB6142"/>
    <w:rsid w:val="00DB6299"/>
    <w:rsid w:val="00DB6488"/>
    <w:rsid w:val="00DB6852"/>
    <w:rsid w:val="00DB6B27"/>
    <w:rsid w:val="00DB6C26"/>
    <w:rsid w:val="00DB6D6C"/>
    <w:rsid w:val="00DB6E01"/>
    <w:rsid w:val="00DB6E54"/>
    <w:rsid w:val="00DB7182"/>
    <w:rsid w:val="00DB723A"/>
    <w:rsid w:val="00DB72F5"/>
    <w:rsid w:val="00DB7A2B"/>
    <w:rsid w:val="00DB7BA0"/>
    <w:rsid w:val="00DB7C23"/>
    <w:rsid w:val="00DB7CAF"/>
    <w:rsid w:val="00DB7E28"/>
    <w:rsid w:val="00DB7E29"/>
    <w:rsid w:val="00DB7F4C"/>
    <w:rsid w:val="00DB7FAE"/>
    <w:rsid w:val="00DC0159"/>
    <w:rsid w:val="00DC02FE"/>
    <w:rsid w:val="00DC0443"/>
    <w:rsid w:val="00DC05DD"/>
    <w:rsid w:val="00DC0B43"/>
    <w:rsid w:val="00DC0D49"/>
    <w:rsid w:val="00DC0F10"/>
    <w:rsid w:val="00DC0F22"/>
    <w:rsid w:val="00DC0FA4"/>
    <w:rsid w:val="00DC1052"/>
    <w:rsid w:val="00DC1640"/>
    <w:rsid w:val="00DC1683"/>
    <w:rsid w:val="00DC16D7"/>
    <w:rsid w:val="00DC17F9"/>
    <w:rsid w:val="00DC1FC9"/>
    <w:rsid w:val="00DC217C"/>
    <w:rsid w:val="00DC21F7"/>
    <w:rsid w:val="00DC2406"/>
    <w:rsid w:val="00DC24CD"/>
    <w:rsid w:val="00DC24E4"/>
    <w:rsid w:val="00DC264B"/>
    <w:rsid w:val="00DC2A7D"/>
    <w:rsid w:val="00DC2BB4"/>
    <w:rsid w:val="00DC2EA9"/>
    <w:rsid w:val="00DC3035"/>
    <w:rsid w:val="00DC31B7"/>
    <w:rsid w:val="00DC353C"/>
    <w:rsid w:val="00DC3578"/>
    <w:rsid w:val="00DC37F9"/>
    <w:rsid w:val="00DC3D42"/>
    <w:rsid w:val="00DC3DEE"/>
    <w:rsid w:val="00DC3F26"/>
    <w:rsid w:val="00DC4168"/>
    <w:rsid w:val="00DC431B"/>
    <w:rsid w:val="00DC4555"/>
    <w:rsid w:val="00DC45E8"/>
    <w:rsid w:val="00DC4649"/>
    <w:rsid w:val="00DC46FF"/>
    <w:rsid w:val="00DC47A4"/>
    <w:rsid w:val="00DC47C0"/>
    <w:rsid w:val="00DC4813"/>
    <w:rsid w:val="00DC4C95"/>
    <w:rsid w:val="00DC546F"/>
    <w:rsid w:val="00DC5B7C"/>
    <w:rsid w:val="00DC5C8A"/>
    <w:rsid w:val="00DC620B"/>
    <w:rsid w:val="00DC62F6"/>
    <w:rsid w:val="00DC635B"/>
    <w:rsid w:val="00DC6475"/>
    <w:rsid w:val="00DC6546"/>
    <w:rsid w:val="00DC69FB"/>
    <w:rsid w:val="00DC6B47"/>
    <w:rsid w:val="00DC6D1E"/>
    <w:rsid w:val="00DC6F20"/>
    <w:rsid w:val="00DC7057"/>
    <w:rsid w:val="00DC71DE"/>
    <w:rsid w:val="00DC738E"/>
    <w:rsid w:val="00DC75C8"/>
    <w:rsid w:val="00DC762C"/>
    <w:rsid w:val="00DC7763"/>
    <w:rsid w:val="00DC7970"/>
    <w:rsid w:val="00DC7B3B"/>
    <w:rsid w:val="00DC7BFB"/>
    <w:rsid w:val="00DC7FCD"/>
    <w:rsid w:val="00DD0169"/>
    <w:rsid w:val="00DD06D7"/>
    <w:rsid w:val="00DD0829"/>
    <w:rsid w:val="00DD09E5"/>
    <w:rsid w:val="00DD0DAE"/>
    <w:rsid w:val="00DD0F4C"/>
    <w:rsid w:val="00DD1031"/>
    <w:rsid w:val="00DD109E"/>
    <w:rsid w:val="00DD10FA"/>
    <w:rsid w:val="00DD112B"/>
    <w:rsid w:val="00DD126E"/>
    <w:rsid w:val="00DD22EF"/>
    <w:rsid w:val="00DD269B"/>
    <w:rsid w:val="00DD2849"/>
    <w:rsid w:val="00DD2AE6"/>
    <w:rsid w:val="00DD30DD"/>
    <w:rsid w:val="00DD319A"/>
    <w:rsid w:val="00DD3345"/>
    <w:rsid w:val="00DD3372"/>
    <w:rsid w:val="00DD33C9"/>
    <w:rsid w:val="00DD363E"/>
    <w:rsid w:val="00DD3686"/>
    <w:rsid w:val="00DD38A7"/>
    <w:rsid w:val="00DD3A5E"/>
    <w:rsid w:val="00DD3BC5"/>
    <w:rsid w:val="00DD3CA7"/>
    <w:rsid w:val="00DD3DAF"/>
    <w:rsid w:val="00DD439D"/>
    <w:rsid w:val="00DD4448"/>
    <w:rsid w:val="00DD4AD7"/>
    <w:rsid w:val="00DD4BE8"/>
    <w:rsid w:val="00DD4C5C"/>
    <w:rsid w:val="00DD4E7D"/>
    <w:rsid w:val="00DD4EF9"/>
    <w:rsid w:val="00DD5299"/>
    <w:rsid w:val="00DD541A"/>
    <w:rsid w:val="00DD553A"/>
    <w:rsid w:val="00DD55FA"/>
    <w:rsid w:val="00DD6185"/>
    <w:rsid w:val="00DD62CA"/>
    <w:rsid w:val="00DD62F0"/>
    <w:rsid w:val="00DD6379"/>
    <w:rsid w:val="00DD64E2"/>
    <w:rsid w:val="00DD65B0"/>
    <w:rsid w:val="00DD66A7"/>
    <w:rsid w:val="00DD68A7"/>
    <w:rsid w:val="00DD68EC"/>
    <w:rsid w:val="00DD6E2E"/>
    <w:rsid w:val="00DD7112"/>
    <w:rsid w:val="00DD71E8"/>
    <w:rsid w:val="00DD74F7"/>
    <w:rsid w:val="00DD7602"/>
    <w:rsid w:val="00DD7A16"/>
    <w:rsid w:val="00DD7DB5"/>
    <w:rsid w:val="00DD7F1A"/>
    <w:rsid w:val="00DE0037"/>
    <w:rsid w:val="00DE05CE"/>
    <w:rsid w:val="00DE08DC"/>
    <w:rsid w:val="00DE09D7"/>
    <w:rsid w:val="00DE0A9C"/>
    <w:rsid w:val="00DE0C45"/>
    <w:rsid w:val="00DE0D99"/>
    <w:rsid w:val="00DE1019"/>
    <w:rsid w:val="00DE1388"/>
    <w:rsid w:val="00DE144D"/>
    <w:rsid w:val="00DE158B"/>
    <w:rsid w:val="00DE15E6"/>
    <w:rsid w:val="00DE167F"/>
    <w:rsid w:val="00DE1CD1"/>
    <w:rsid w:val="00DE1CF4"/>
    <w:rsid w:val="00DE1D38"/>
    <w:rsid w:val="00DE1F05"/>
    <w:rsid w:val="00DE2009"/>
    <w:rsid w:val="00DE22E7"/>
    <w:rsid w:val="00DE238E"/>
    <w:rsid w:val="00DE25A5"/>
    <w:rsid w:val="00DE25B2"/>
    <w:rsid w:val="00DE29E2"/>
    <w:rsid w:val="00DE2B02"/>
    <w:rsid w:val="00DE2B0F"/>
    <w:rsid w:val="00DE2B74"/>
    <w:rsid w:val="00DE32F4"/>
    <w:rsid w:val="00DE32F8"/>
    <w:rsid w:val="00DE3352"/>
    <w:rsid w:val="00DE3436"/>
    <w:rsid w:val="00DE37BF"/>
    <w:rsid w:val="00DE381B"/>
    <w:rsid w:val="00DE392F"/>
    <w:rsid w:val="00DE3B8C"/>
    <w:rsid w:val="00DE3BE2"/>
    <w:rsid w:val="00DE3E2D"/>
    <w:rsid w:val="00DE3EAE"/>
    <w:rsid w:val="00DE421F"/>
    <w:rsid w:val="00DE42DC"/>
    <w:rsid w:val="00DE4305"/>
    <w:rsid w:val="00DE43F0"/>
    <w:rsid w:val="00DE45F7"/>
    <w:rsid w:val="00DE4982"/>
    <w:rsid w:val="00DE4C91"/>
    <w:rsid w:val="00DE521E"/>
    <w:rsid w:val="00DE5249"/>
    <w:rsid w:val="00DE578B"/>
    <w:rsid w:val="00DE57C4"/>
    <w:rsid w:val="00DE58D4"/>
    <w:rsid w:val="00DE5C45"/>
    <w:rsid w:val="00DE5CC3"/>
    <w:rsid w:val="00DE5CFF"/>
    <w:rsid w:val="00DE5F25"/>
    <w:rsid w:val="00DE6212"/>
    <w:rsid w:val="00DE6336"/>
    <w:rsid w:val="00DE63F3"/>
    <w:rsid w:val="00DE64EA"/>
    <w:rsid w:val="00DE65C3"/>
    <w:rsid w:val="00DE6801"/>
    <w:rsid w:val="00DE6932"/>
    <w:rsid w:val="00DE6AC6"/>
    <w:rsid w:val="00DE6CB1"/>
    <w:rsid w:val="00DE74C1"/>
    <w:rsid w:val="00DE76FD"/>
    <w:rsid w:val="00DE7906"/>
    <w:rsid w:val="00DE7917"/>
    <w:rsid w:val="00DE7957"/>
    <w:rsid w:val="00DE79DF"/>
    <w:rsid w:val="00DE7A1E"/>
    <w:rsid w:val="00DE7D0F"/>
    <w:rsid w:val="00DE7E48"/>
    <w:rsid w:val="00DE7E64"/>
    <w:rsid w:val="00DF0055"/>
    <w:rsid w:val="00DF01B0"/>
    <w:rsid w:val="00DF046A"/>
    <w:rsid w:val="00DF0777"/>
    <w:rsid w:val="00DF07BA"/>
    <w:rsid w:val="00DF0984"/>
    <w:rsid w:val="00DF0B5A"/>
    <w:rsid w:val="00DF0B86"/>
    <w:rsid w:val="00DF0D04"/>
    <w:rsid w:val="00DF0DB3"/>
    <w:rsid w:val="00DF0EAF"/>
    <w:rsid w:val="00DF1148"/>
    <w:rsid w:val="00DF13F4"/>
    <w:rsid w:val="00DF146A"/>
    <w:rsid w:val="00DF14D7"/>
    <w:rsid w:val="00DF1563"/>
    <w:rsid w:val="00DF1AAF"/>
    <w:rsid w:val="00DF1BA5"/>
    <w:rsid w:val="00DF1BEF"/>
    <w:rsid w:val="00DF1EB4"/>
    <w:rsid w:val="00DF23FE"/>
    <w:rsid w:val="00DF26B3"/>
    <w:rsid w:val="00DF2741"/>
    <w:rsid w:val="00DF29D4"/>
    <w:rsid w:val="00DF2B9F"/>
    <w:rsid w:val="00DF2C7A"/>
    <w:rsid w:val="00DF2F5E"/>
    <w:rsid w:val="00DF315D"/>
    <w:rsid w:val="00DF34B1"/>
    <w:rsid w:val="00DF3519"/>
    <w:rsid w:val="00DF3924"/>
    <w:rsid w:val="00DF39D5"/>
    <w:rsid w:val="00DF3AA8"/>
    <w:rsid w:val="00DF3B54"/>
    <w:rsid w:val="00DF3CDC"/>
    <w:rsid w:val="00DF4092"/>
    <w:rsid w:val="00DF41A2"/>
    <w:rsid w:val="00DF43EC"/>
    <w:rsid w:val="00DF4560"/>
    <w:rsid w:val="00DF4B3D"/>
    <w:rsid w:val="00DF4BC5"/>
    <w:rsid w:val="00DF4C1E"/>
    <w:rsid w:val="00DF4CD2"/>
    <w:rsid w:val="00DF4DB3"/>
    <w:rsid w:val="00DF4ECF"/>
    <w:rsid w:val="00DF5050"/>
    <w:rsid w:val="00DF5804"/>
    <w:rsid w:val="00DF5811"/>
    <w:rsid w:val="00DF585E"/>
    <w:rsid w:val="00DF5AF8"/>
    <w:rsid w:val="00DF5B0A"/>
    <w:rsid w:val="00DF5B57"/>
    <w:rsid w:val="00DF5B8F"/>
    <w:rsid w:val="00DF5DDD"/>
    <w:rsid w:val="00DF5F20"/>
    <w:rsid w:val="00DF6095"/>
    <w:rsid w:val="00DF65F7"/>
    <w:rsid w:val="00DF67C6"/>
    <w:rsid w:val="00DF746B"/>
    <w:rsid w:val="00DF7553"/>
    <w:rsid w:val="00DF7898"/>
    <w:rsid w:val="00DF7E12"/>
    <w:rsid w:val="00DF7F9F"/>
    <w:rsid w:val="00E00538"/>
    <w:rsid w:val="00E0059D"/>
    <w:rsid w:val="00E00692"/>
    <w:rsid w:val="00E00B7F"/>
    <w:rsid w:val="00E00D8B"/>
    <w:rsid w:val="00E00DBA"/>
    <w:rsid w:val="00E01067"/>
    <w:rsid w:val="00E01679"/>
    <w:rsid w:val="00E01959"/>
    <w:rsid w:val="00E0198E"/>
    <w:rsid w:val="00E019F2"/>
    <w:rsid w:val="00E01B13"/>
    <w:rsid w:val="00E01D64"/>
    <w:rsid w:val="00E01E4F"/>
    <w:rsid w:val="00E01F3C"/>
    <w:rsid w:val="00E0218D"/>
    <w:rsid w:val="00E02207"/>
    <w:rsid w:val="00E0222E"/>
    <w:rsid w:val="00E02993"/>
    <w:rsid w:val="00E029D0"/>
    <w:rsid w:val="00E02A0C"/>
    <w:rsid w:val="00E02A11"/>
    <w:rsid w:val="00E02D9F"/>
    <w:rsid w:val="00E02DCD"/>
    <w:rsid w:val="00E02DE4"/>
    <w:rsid w:val="00E02DF4"/>
    <w:rsid w:val="00E02EBF"/>
    <w:rsid w:val="00E0314A"/>
    <w:rsid w:val="00E03159"/>
    <w:rsid w:val="00E0328E"/>
    <w:rsid w:val="00E0338C"/>
    <w:rsid w:val="00E033AA"/>
    <w:rsid w:val="00E0371E"/>
    <w:rsid w:val="00E037D8"/>
    <w:rsid w:val="00E03807"/>
    <w:rsid w:val="00E03BEC"/>
    <w:rsid w:val="00E03E6E"/>
    <w:rsid w:val="00E03F18"/>
    <w:rsid w:val="00E04077"/>
    <w:rsid w:val="00E0421D"/>
    <w:rsid w:val="00E04244"/>
    <w:rsid w:val="00E04268"/>
    <w:rsid w:val="00E0432F"/>
    <w:rsid w:val="00E04400"/>
    <w:rsid w:val="00E0444E"/>
    <w:rsid w:val="00E0455C"/>
    <w:rsid w:val="00E04634"/>
    <w:rsid w:val="00E046F4"/>
    <w:rsid w:val="00E04737"/>
    <w:rsid w:val="00E049AF"/>
    <w:rsid w:val="00E04A28"/>
    <w:rsid w:val="00E04BA4"/>
    <w:rsid w:val="00E04C62"/>
    <w:rsid w:val="00E04E53"/>
    <w:rsid w:val="00E04F8E"/>
    <w:rsid w:val="00E04FD3"/>
    <w:rsid w:val="00E05082"/>
    <w:rsid w:val="00E050AC"/>
    <w:rsid w:val="00E051CE"/>
    <w:rsid w:val="00E052C7"/>
    <w:rsid w:val="00E05390"/>
    <w:rsid w:val="00E053E4"/>
    <w:rsid w:val="00E05429"/>
    <w:rsid w:val="00E05469"/>
    <w:rsid w:val="00E056A4"/>
    <w:rsid w:val="00E059C9"/>
    <w:rsid w:val="00E059EB"/>
    <w:rsid w:val="00E05B17"/>
    <w:rsid w:val="00E05D79"/>
    <w:rsid w:val="00E05D85"/>
    <w:rsid w:val="00E05DD9"/>
    <w:rsid w:val="00E05E71"/>
    <w:rsid w:val="00E05EF8"/>
    <w:rsid w:val="00E05F2D"/>
    <w:rsid w:val="00E06071"/>
    <w:rsid w:val="00E06075"/>
    <w:rsid w:val="00E0615F"/>
    <w:rsid w:val="00E06419"/>
    <w:rsid w:val="00E065C0"/>
    <w:rsid w:val="00E065CE"/>
    <w:rsid w:val="00E06918"/>
    <w:rsid w:val="00E06D4A"/>
    <w:rsid w:val="00E06F6F"/>
    <w:rsid w:val="00E06FC6"/>
    <w:rsid w:val="00E070D8"/>
    <w:rsid w:val="00E071DB"/>
    <w:rsid w:val="00E07368"/>
    <w:rsid w:val="00E0774F"/>
    <w:rsid w:val="00E078AC"/>
    <w:rsid w:val="00E07CB4"/>
    <w:rsid w:val="00E07CC1"/>
    <w:rsid w:val="00E07CC6"/>
    <w:rsid w:val="00E07FDC"/>
    <w:rsid w:val="00E1006C"/>
    <w:rsid w:val="00E101E1"/>
    <w:rsid w:val="00E103F7"/>
    <w:rsid w:val="00E10455"/>
    <w:rsid w:val="00E106C0"/>
    <w:rsid w:val="00E10C3F"/>
    <w:rsid w:val="00E10C48"/>
    <w:rsid w:val="00E10D5D"/>
    <w:rsid w:val="00E10EDC"/>
    <w:rsid w:val="00E11171"/>
    <w:rsid w:val="00E11177"/>
    <w:rsid w:val="00E1142A"/>
    <w:rsid w:val="00E11ACD"/>
    <w:rsid w:val="00E11C1A"/>
    <w:rsid w:val="00E11C65"/>
    <w:rsid w:val="00E11E5D"/>
    <w:rsid w:val="00E11ECD"/>
    <w:rsid w:val="00E12026"/>
    <w:rsid w:val="00E12129"/>
    <w:rsid w:val="00E123B5"/>
    <w:rsid w:val="00E1297A"/>
    <w:rsid w:val="00E12E27"/>
    <w:rsid w:val="00E12E4C"/>
    <w:rsid w:val="00E133B6"/>
    <w:rsid w:val="00E13611"/>
    <w:rsid w:val="00E13772"/>
    <w:rsid w:val="00E1394D"/>
    <w:rsid w:val="00E13D0A"/>
    <w:rsid w:val="00E13D0F"/>
    <w:rsid w:val="00E140F6"/>
    <w:rsid w:val="00E14242"/>
    <w:rsid w:val="00E14525"/>
    <w:rsid w:val="00E1461D"/>
    <w:rsid w:val="00E1465A"/>
    <w:rsid w:val="00E1492F"/>
    <w:rsid w:val="00E14953"/>
    <w:rsid w:val="00E149E9"/>
    <w:rsid w:val="00E14A84"/>
    <w:rsid w:val="00E14FF1"/>
    <w:rsid w:val="00E151B6"/>
    <w:rsid w:val="00E15480"/>
    <w:rsid w:val="00E155B5"/>
    <w:rsid w:val="00E156C9"/>
    <w:rsid w:val="00E156D2"/>
    <w:rsid w:val="00E1574C"/>
    <w:rsid w:val="00E158B5"/>
    <w:rsid w:val="00E15A62"/>
    <w:rsid w:val="00E15D03"/>
    <w:rsid w:val="00E15DBB"/>
    <w:rsid w:val="00E160BD"/>
    <w:rsid w:val="00E16373"/>
    <w:rsid w:val="00E1675C"/>
    <w:rsid w:val="00E167DA"/>
    <w:rsid w:val="00E16831"/>
    <w:rsid w:val="00E16CA2"/>
    <w:rsid w:val="00E16D99"/>
    <w:rsid w:val="00E17BB8"/>
    <w:rsid w:val="00E17EB9"/>
    <w:rsid w:val="00E17F7F"/>
    <w:rsid w:val="00E20155"/>
    <w:rsid w:val="00E205C9"/>
    <w:rsid w:val="00E20A3F"/>
    <w:rsid w:val="00E212F5"/>
    <w:rsid w:val="00E215A0"/>
    <w:rsid w:val="00E218B6"/>
    <w:rsid w:val="00E21AFD"/>
    <w:rsid w:val="00E21F6B"/>
    <w:rsid w:val="00E21FBB"/>
    <w:rsid w:val="00E2246C"/>
    <w:rsid w:val="00E22580"/>
    <w:rsid w:val="00E2263B"/>
    <w:rsid w:val="00E228E3"/>
    <w:rsid w:val="00E229C6"/>
    <w:rsid w:val="00E22A8E"/>
    <w:rsid w:val="00E22CA8"/>
    <w:rsid w:val="00E22DB0"/>
    <w:rsid w:val="00E22F52"/>
    <w:rsid w:val="00E22F76"/>
    <w:rsid w:val="00E22FA3"/>
    <w:rsid w:val="00E23137"/>
    <w:rsid w:val="00E23152"/>
    <w:rsid w:val="00E23312"/>
    <w:rsid w:val="00E233D4"/>
    <w:rsid w:val="00E233E4"/>
    <w:rsid w:val="00E2366C"/>
    <w:rsid w:val="00E23761"/>
    <w:rsid w:val="00E2393E"/>
    <w:rsid w:val="00E23FDA"/>
    <w:rsid w:val="00E240BA"/>
    <w:rsid w:val="00E240D7"/>
    <w:rsid w:val="00E24132"/>
    <w:rsid w:val="00E24524"/>
    <w:rsid w:val="00E24538"/>
    <w:rsid w:val="00E24743"/>
    <w:rsid w:val="00E248BF"/>
    <w:rsid w:val="00E248D9"/>
    <w:rsid w:val="00E24AF4"/>
    <w:rsid w:val="00E24BCA"/>
    <w:rsid w:val="00E24C56"/>
    <w:rsid w:val="00E251BC"/>
    <w:rsid w:val="00E2523F"/>
    <w:rsid w:val="00E25633"/>
    <w:rsid w:val="00E259C4"/>
    <w:rsid w:val="00E25AB7"/>
    <w:rsid w:val="00E26137"/>
    <w:rsid w:val="00E2653F"/>
    <w:rsid w:val="00E2656A"/>
    <w:rsid w:val="00E2673C"/>
    <w:rsid w:val="00E267AF"/>
    <w:rsid w:val="00E26A37"/>
    <w:rsid w:val="00E26B5B"/>
    <w:rsid w:val="00E26C7A"/>
    <w:rsid w:val="00E26D35"/>
    <w:rsid w:val="00E26F3C"/>
    <w:rsid w:val="00E270A2"/>
    <w:rsid w:val="00E272B7"/>
    <w:rsid w:val="00E274DD"/>
    <w:rsid w:val="00E277C2"/>
    <w:rsid w:val="00E277C6"/>
    <w:rsid w:val="00E27828"/>
    <w:rsid w:val="00E27D73"/>
    <w:rsid w:val="00E27E54"/>
    <w:rsid w:val="00E27F34"/>
    <w:rsid w:val="00E300F3"/>
    <w:rsid w:val="00E30836"/>
    <w:rsid w:val="00E309F6"/>
    <w:rsid w:val="00E30CE0"/>
    <w:rsid w:val="00E30D5E"/>
    <w:rsid w:val="00E30E14"/>
    <w:rsid w:val="00E310D8"/>
    <w:rsid w:val="00E31D83"/>
    <w:rsid w:val="00E31DFD"/>
    <w:rsid w:val="00E3207D"/>
    <w:rsid w:val="00E320E3"/>
    <w:rsid w:val="00E32100"/>
    <w:rsid w:val="00E3262D"/>
    <w:rsid w:val="00E3275A"/>
    <w:rsid w:val="00E328D7"/>
    <w:rsid w:val="00E3299E"/>
    <w:rsid w:val="00E32A70"/>
    <w:rsid w:val="00E32D64"/>
    <w:rsid w:val="00E32D8D"/>
    <w:rsid w:val="00E32DAD"/>
    <w:rsid w:val="00E3317C"/>
    <w:rsid w:val="00E3327A"/>
    <w:rsid w:val="00E333E1"/>
    <w:rsid w:val="00E334B7"/>
    <w:rsid w:val="00E3368D"/>
    <w:rsid w:val="00E336DA"/>
    <w:rsid w:val="00E33734"/>
    <w:rsid w:val="00E33758"/>
    <w:rsid w:val="00E33B74"/>
    <w:rsid w:val="00E34138"/>
    <w:rsid w:val="00E341BC"/>
    <w:rsid w:val="00E346A3"/>
    <w:rsid w:val="00E34B51"/>
    <w:rsid w:val="00E34B95"/>
    <w:rsid w:val="00E34FC5"/>
    <w:rsid w:val="00E35084"/>
    <w:rsid w:val="00E357AC"/>
    <w:rsid w:val="00E35B1E"/>
    <w:rsid w:val="00E35B72"/>
    <w:rsid w:val="00E35FF4"/>
    <w:rsid w:val="00E361D1"/>
    <w:rsid w:val="00E3648A"/>
    <w:rsid w:val="00E366FD"/>
    <w:rsid w:val="00E36824"/>
    <w:rsid w:val="00E36909"/>
    <w:rsid w:val="00E3692D"/>
    <w:rsid w:val="00E36A91"/>
    <w:rsid w:val="00E36F63"/>
    <w:rsid w:val="00E37258"/>
    <w:rsid w:val="00E37282"/>
    <w:rsid w:val="00E37450"/>
    <w:rsid w:val="00E377EB"/>
    <w:rsid w:val="00E37CD4"/>
    <w:rsid w:val="00E37EB8"/>
    <w:rsid w:val="00E37F71"/>
    <w:rsid w:val="00E37FE1"/>
    <w:rsid w:val="00E40247"/>
    <w:rsid w:val="00E404CF"/>
    <w:rsid w:val="00E40836"/>
    <w:rsid w:val="00E40C81"/>
    <w:rsid w:val="00E40F27"/>
    <w:rsid w:val="00E41103"/>
    <w:rsid w:val="00E415F8"/>
    <w:rsid w:val="00E41A0F"/>
    <w:rsid w:val="00E41A6A"/>
    <w:rsid w:val="00E41B69"/>
    <w:rsid w:val="00E41BC2"/>
    <w:rsid w:val="00E41EEA"/>
    <w:rsid w:val="00E41FAB"/>
    <w:rsid w:val="00E4210B"/>
    <w:rsid w:val="00E42138"/>
    <w:rsid w:val="00E42176"/>
    <w:rsid w:val="00E421D1"/>
    <w:rsid w:val="00E4226E"/>
    <w:rsid w:val="00E4228C"/>
    <w:rsid w:val="00E4255B"/>
    <w:rsid w:val="00E4265D"/>
    <w:rsid w:val="00E42C3E"/>
    <w:rsid w:val="00E42F73"/>
    <w:rsid w:val="00E43030"/>
    <w:rsid w:val="00E433EF"/>
    <w:rsid w:val="00E43487"/>
    <w:rsid w:val="00E43729"/>
    <w:rsid w:val="00E437B1"/>
    <w:rsid w:val="00E43826"/>
    <w:rsid w:val="00E43C11"/>
    <w:rsid w:val="00E4409B"/>
    <w:rsid w:val="00E4455D"/>
    <w:rsid w:val="00E445C5"/>
    <w:rsid w:val="00E44B92"/>
    <w:rsid w:val="00E44C64"/>
    <w:rsid w:val="00E44DDE"/>
    <w:rsid w:val="00E44E9F"/>
    <w:rsid w:val="00E4515B"/>
    <w:rsid w:val="00E455D5"/>
    <w:rsid w:val="00E45705"/>
    <w:rsid w:val="00E4570C"/>
    <w:rsid w:val="00E457C7"/>
    <w:rsid w:val="00E45BEC"/>
    <w:rsid w:val="00E46093"/>
    <w:rsid w:val="00E461D4"/>
    <w:rsid w:val="00E462BE"/>
    <w:rsid w:val="00E46550"/>
    <w:rsid w:val="00E4656B"/>
    <w:rsid w:val="00E46C3C"/>
    <w:rsid w:val="00E46C98"/>
    <w:rsid w:val="00E46CE2"/>
    <w:rsid w:val="00E46CF5"/>
    <w:rsid w:val="00E46CF7"/>
    <w:rsid w:val="00E46D0C"/>
    <w:rsid w:val="00E46DBA"/>
    <w:rsid w:val="00E471A8"/>
    <w:rsid w:val="00E471D8"/>
    <w:rsid w:val="00E47612"/>
    <w:rsid w:val="00E476C2"/>
    <w:rsid w:val="00E47AAD"/>
    <w:rsid w:val="00E47D88"/>
    <w:rsid w:val="00E47DFA"/>
    <w:rsid w:val="00E50150"/>
    <w:rsid w:val="00E50409"/>
    <w:rsid w:val="00E50504"/>
    <w:rsid w:val="00E50636"/>
    <w:rsid w:val="00E50809"/>
    <w:rsid w:val="00E50983"/>
    <w:rsid w:val="00E50DD8"/>
    <w:rsid w:val="00E50DE1"/>
    <w:rsid w:val="00E51000"/>
    <w:rsid w:val="00E51004"/>
    <w:rsid w:val="00E5110D"/>
    <w:rsid w:val="00E5128E"/>
    <w:rsid w:val="00E5128F"/>
    <w:rsid w:val="00E5158A"/>
    <w:rsid w:val="00E515E2"/>
    <w:rsid w:val="00E516DC"/>
    <w:rsid w:val="00E518C0"/>
    <w:rsid w:val="00E51BCF"/>
    <w:rsid w:val="00E51D3C"/>
    <w:rsid w:val="00E51E0E"/>
    <w:rsid w:val="00E51EAF"/>
    <w:rsid w:val="00E51F8D"/>
    <w:rsid w:val="00E52091"/>
    <w:rsid w:val="00E52210"/>
    <w:rsid w:val="00E5269F"/>
    <w:rsid w:val="00E52781"/>
    <w:rsid w:val="00E52811"/>
    <w:rsid w:val="00E52BEA"/>
    <w:rsid w:val="00E52D67"/>
    <w:rsid w:val="00E52E16"/>
    <w:rsid w:val="00E52FCD"/>
    <w:rsid w:val="00E530C5"/>
    <w:rsid w:val="00E532A3"/>
    <w:rsid w:val="00E53777"/>
    <w:rsid w:val="00E539CA"/>
    <w:rsid w:val="00E53A22"/>
    <w:rsid w:val="00E53B57"/>
    <w:rsid w:val="00E53BD8"/>
    <w:rsid w:val="00E54697"/>
    <w:rsid w:val="00E54845"/>
    <w:rsid w:val="00E54931"/>
    <w:rsid w:val="00E549FB"/>
    <w:rsid w:val="00E54B8D"/>
    <w:rsid w:val="00E54C5B"/>
    <w:rsid w:val="00E54CA1"/>
    <w:rsid w:val="00E54DD8"/>
    <w:rsid w:val="00E54DDA"/>
    <w:rsid w:val="00E5500A"/>
    <w:rsid w:val="00E5516D"/>
    <w:rsid w:val="00E555A3"/>
    <w:rsid w:val="00E55B24"/>
    <w:rsid w:val="00E55B4F"/>
    <w:rsid w:val="00E56102"/>
    <w:rsid w:val="00E562D5"/>
    <w:rsid w:val="00E562FF"/>
    <w:rsid w:val="00E563AD"/>
    <w:rsid w:val="00E563B5"/>
    <w:rsid w:val="00E56434"/>
    <w:rsid w:val="00E56462"/>
    <w:rsid w:val="00E56548"/>
    <w:rsid w:val="00E56672"/>
    <w:rsid w:val="00E566A9"/>
    <w:rsid w:val="00E56715"/>
    <w:rsid w:val="00E56D09"/>
    <w:rsid w:val="00E56F05"/>
    <w:rsid w:val="00E56F20"/>
    <w:rsid w:val="00E56FAD"/>
    <w:rsid w:val="00E57069"/>
    <w:rsid w:val="00E5706C"/>
    <w:rsid w:val="00E57471"/>
    <w:rsid w:val="00E5762B"/>
    <w:rsid w:val="00E57ABE"/>
    <w:rsid w:val="00E57DF9"/>
    <w:rsid w:val="00E57EE3"/>
    <w:rsid w:val="00E60034"/>
    <w:rsid w:val="00E60074"/>
    <w:rsid w:val="00E60184"/>
    <w:rsid w:val="00E60188"/>
    <w:rsid w:val="00E60551"/>
    <w:rsid w:val="00E60917"/>
    <w:rsid w:val="00E60A94"/>
    <w:rsid w:val="00E60EBC"/>
    <w:rsid w:val="00E61109"/>
    <w:rsid w:val="00E613E4"/>
    <w:rsid w:val="00E61412"/>
    <w:rsid w:val="00E61474"/>
    <w:rsid w:val="00E61523"/>
    <w:rsid w:val="00E6197B"/>
    <w:rsid w:val="00E61AE7"/>
    <w:rsid w:val="00E61FC9"/>
    <w:rsid w:val="00E62041"/>
    <w:rsid w:val="00E62201"/>
    <w:rsid w:val="00E62217"/>
    <w:rsid w:val="00E62AE7"/>
    <w:rsid w:val="00E62CF2"/>
    <w:rsid w:val="00E62EBE"/>
    <w:rsid w:val="00E62F04"/>
    <w:rsid w:val="00E62FF6"/>
    <w:rsid w:val="00E63036"/>
    <w:rsid w:val="00E6307C"/>
    <w:rsid w:val="00E63166"/>
    <w:rsid w:val="00E6340C"/>
    <w:rsid w:val="00E63933"/>
    <w:rsid w:val="00E63AC9"/>
    <w:rsid w:val="00E63B22"/>
    <w:rsid w:val="00E63BEB"/>
    <w:rsid w:val="00E63D05"/>
    <w:rsid w:val="00E63E7D"/>
    <w:rsid w:val="00E63EAE"/>
    <w:rsid w:val="00E640E3"/>
    <w:rsid w:val="00E643E1"/>
    <w:rsid w:val="00E6449C"/>
    <w:rsid w:val="00E6480A"/>
    <w:rsid w:val="00E648F5"/>
    <w:rsid w:val="00E64A4A"/>
    <w:rsid w:val="00E64C9F"/>
    <w:rsid w:val="00E64D2A"/>
    <w:rsid w:val="00E64DD4"/>
    <w:rsid w:val="00E64F81"/>
    <w:rsid w:val="00E65060"/>
    <w:rsid w:val="00E650DA"/>
    <w:rsid w:val="00E65148"/>
    <w:rsid w:val="00E652EA"/>
    <w:rsid w:val="00E65476"/>
    <w:rsid w:val="00E658A2"/>
    <w:rsid w:val="00E65AF6"/>
    <w:rsid w:val="00E65C9C"/>
    <w:rsid w:val="00E66081"/>
    <w:rsid w:val="00E66135"/>
    <w:rsid w:val="00E664ED"/>
    <w:rsid w:val="00E66A3B"/>
    <w:rsid w:val="00E66B13"/>
    <w:rsid w:val="00E66BBC"/>
    <w:rsid w:val="00E66D63"/>
    <w:rsid w:val="00E6705A"/>
    <w:rsid w:val="00E6726B"/>
    <w:rsid w:val="00E67535"/>
    <w:rsid w:val="00E67561"/>
    <w:rsid w:val="00E67D3B"/>
    <w:rsid w:val="00E67D41"/>
    <w:rsid w:val="00E70392"/>
    <w:rsid w:val="00E70666"/>
    <w:rsid w:val="00E70723"/>
    <w:rsid w:val="00E70CB4"/>
    <w:rsid w:val="00E70E48"/>
    <w:rsid w:val="00E70F58"/>
    <w:rsid w:val="00E71128"/>
    <w:rsid w:val="00E712C6"/>
    <w:rsid w:val="00E712FA"/>
    <w:rsid w:val="00E71514"/>
    <w:rsid w:val="00E716EA"/>
    <w:rsid w:val="00E71A58"/>
    <w:rsid w:val="00E71DD7"/>
    <w:rsid w:val="00E72100"/>
    <w:rsid w:val="00E72193"/>
    <w:rsid w:val="00E723C6"/>
    <w:rsid w:val="00E727D9"/>
    <w:rsid w:val="00E7281C"/>
    <w:rsid w:val="00E72C12"/>
    <w:rsid w:val="00E72D41"/>
    <w:rsid w:val="00E72DF6"/>
    <w:rsid w:val="00E72F57"/>
    <w:rsid w:val="00E73050"/>
    <w:rsid w:val="00E731BF"/>
    <w:rsid w:val="00E7320C"/>
    <w:rsid w:val="00E73269"/>
    <w:rsid w:val="00E73274"/>
    <w:rsid w:val="00E73379"/>
    <w:rsid w:val="00E73425"/>
    <w:rsid w:val="00E734E0"/>
    <w:rsid w:val="00E734E7"/>
    <w:rsid w:val="00E736CB"/>
    <w:rsid w:val="00E73766"/>
    <w:rsid w:val="00E73B4A"/>
    <w:rsid w:val="00E73BD1"/>
    <w:rsid w:val="00E73C9B"/>
    <w:rsid w:val="00E73D24"/>
    <w:rsid w:val="00E74046"/>
    <w:rsid w:val="00E7413E"/>
    <w:rsid w:val="00E7416B"/>
    <w:rsid w:val="00E741CB"/>
    <w:rsid w:val="00E743AF"/>
    <w:rsid w:val="00E74477"/>
    <w:rsid w:val="00E74841"/>
    <w:rsid w:val="00E74988"/>
    <w:rsid w:val="00E74A0F"/>
    <w:rsid w:val="00E74AC7"/>
    <w:rsid w:val="00E74D5D"/>
    <w:rsid w:val="00E7515A"/>
    <w:rsid w:val="00E752BA"/>
    <w:rsid w:val="00E7544B"/>
    <w:rsid w:val="00E7562E"/>
    <w:rsid w:val="00E757FC"/>
    <w:rsid w:val="00E7582B"/>
    <w:rsid w:val="00E75974"/>
    <w:rsid w:val="00E759DA"/>
    <w:rsid w:val="00E75AA0"/>
    <w:rsid w:val="00E75BFC"/>
    <w:rsid w:val="00E75C19"/>
    <w:rsid w:val="00E75FA7"/>
    <w:rsid w:val="00E76191"/>
    <w:rsid w:val="00E76B03"/>
    <w:rsid w:val="00E76C7E"/>
    <w:rsid w:val="00E7727B"/>
    <w:rsid w:val="00E775C2"/>
    <w:rsid w:val="00E77715"/>
    <w:rsid w:val="00E777E4"/>
    <w:rsid w:val="00E77DEF"/>
    <w:rsid w:val="00E8001C"/>
    <w:rsid w:val="00E8001D"/>
    <w:rsid w:val="00E80032"/>
    <w:rsid w:val="00E80091"/>
    <w:rsid w:val="00E800E4"/>
    <w:rsid w:val="00E80224"/>
    <w:rsid w:val="00E802E1"/>
    <w:rsid w:val="00E80582"/>
    <w:rsid w:val="00E8063D"/>
    <w:rsid w:val="00E80650"/>
    <w:rsid w:val="00E806DC"/>
    <w:rsid w:val="00E80802"/>
    <w:rsid w:val="00E80AE4"/>
    <w:rsid w:val="00E80BB6"/>
    <w:rsid w:val="00E80DA4"/>
    <w:rsid w:val="00E812DF"/>
    <w:rsid w:val="00E8164C"/>
    <w:rsid w:val="00E81754"/>
    <w:rsid w:val="00E8179D"/>
    <w:rsid w:val="00E81901"/>
    <w:rsid w:val="00E81A02"/>
    <w:rsid w:val="00E81AB7"/>
    <w:rsid w:val="00E81C83"/>
    <w:rsid w:val="00E81CFA"/>
    <w:rsid w:val="00E81F5C"/>
    <w:rsid w:val="00E82190"/>
    <w:rsid w:val="00E82378"/>
    <w:rsid w:val="00E82431"/>
    <w:rsid w:val="00E824AE"/>
    <w:rsid w:val="00E82525"/>
    <w:rsid w:val="00E825B9"/>
    <w:rsid w:val="00E8262C"/>
    <w:rsid w:val="00E82C8B"/>
    <w:rsid w:val="00E82E25"/>
    <w:rsid w:val="00E82F4F"/>
    <w:rsid w:val="00E83573"/>
    <w:rsid w:val="00E835C5"/>
    <w:rsid w:val="00E8365F"/>
    <w:rsid w:val="00E83671"/>
    <w:rsid w:val="00E83759"/>
    <w:rsid w:val="00E837EB"/>
    <w:rsid w:val="00E83A6D"/>
    <w:rsid w:val="00E83B31"/>
    <w:rsid w:val="00E83D39"/>
    <w:rsid w:val="00E83D5C"/>
    <w:rsid w:val="00E83E9C"/>
    <w:rsid w:val="00E83EAF"/>
    <w:rsid w:val="00E83F7D"/>
    <w:rsid w:val="00E8416A"/>
    <w:rsid w:val="00E8442C"/>
    <w:rsid w:val="00E8450C"/>
    <w:rsid w:val="00E847A5"/>
    <w:rsid w:val="00E847BF"/>
    <w:rsid w:val="00E84CA9"/>
    <w:rsid w:val="00E84EED"/>
    <w:rsid w:val="00E854BA"/>
    <w:rsid w:val="00E8565A"/>
    <w:rsid w:val="00E8613D"/>
    <w:rsid w:val="00E864CA"/>
    <w:rsid w:val="00E86560"/>
    <w:rsid w:val="00E86669"/>
    <w:rsid w:val="00E86681"/>
    <w:rsid w:val="00E86715"/>
    <w:rsid w:val="00E86763"/>
    <w:rsid w:val="00E86C69"/>
    <w:rsid w:val="00E86EE6"/>
    <w:rsid w:val="00E86F3B"/>
    <w:rsid w:val="00E86F68"/>
    <w:rsid w:val="00E8706F"/>
    <w:rsid w:val="00E8711F"/>
    <w:rsid w:val="00E8721E"/>
    <w:rsid w:val="00E87359"/>
    <w:rsid w:val="00E87785"/>
    <w:rsid w:val="00E8780F"/>
    <w:rsid w:val="00E8783C"/>
    <w:rsid w:val="00E87C96"/>
    <w:rsid w:val="00E87D80"/>
    <w:rsid w:val="00E87DCD"/>
    <w:rsid w:val="00E87FE7"/>
    <w:rsid w:val="00E90065"/>
    <w:rsid w:val="00E900DF"/>
    <w:rsid w:val="00E90139"/>
    <w:rsid w:val="00E90396"/>
    <w:rsid w:val="00E9062C"/>
    <w:rsid w:val="00E9068C"/>
    <w:rsid w:val="00E90ACF"/>
    <w:rsid w:val="00E90B55"/>
    <w:rsid w:val="00E911A1"/>
    <w:rsid w:val="00E912E7"/>
    <w:rsid w:val="00E91311"/>
    <w:rsid w:val="00E91635"/>
    <w:rsid w:val="00E916A2"/>
    <w:rsid w:val="00E917AA"/>
    <w:rsid w:val="00E91DAF"/>
    <w:rsid w:val="00E91E4B"/>
    <w:rsid w:val="00E922A4"/>
    <w:rsid w:val="00E9249D"/>
    <w:rsid w:val="00E924A8"/>
    <w:rsid w:val="00E925A4"/>
    <w:rsid w:val="00E926BB"/>
    <w:rsid w:val="00E92C23"/>
    <w:rsid w:val="00E92C57"/>
    <w:rsid w:val="00E930F4"/>
    <w:rsid w:val="00E93AC2"/>
    <w:rsid w:val="00E93B16"/>
    <w:rsid w:val="00E93C0F"/>
    <w:rsid w:val="00E93CFD"/>
    <w:rsid w:val="00E93D37"/>
    <w:rsid w:val="00E94032"/>
    <w:rsid w:val="00E942DA"/>
    <w:rsid w:val="00E943C0"/>
    <w:rsid w:val="00E94523"/>
    <w:rsid w:val="00E9455D"/>
    <w:rsid w:val="00E9465C"/>
    <w:rsid w:val="00E94BE4"/>
    <w:rsid w:val="00E94C42"/>
    <w:rsid w:val="00E94D1A"/>
    <w:rsid w:val="00E94D1B"/>
    <w:rsid w:val="00E94F3D"/>
    <w:rsid w:val="00E95119"/>
    <w:rsid w:val="00E95261"/>
    <w:rsid w:val="00E953A8"/>
    <w:rsid w:val="00E95426"/>
    <w:rsid w:val="00E9557C"/>
    <w:rsid w:val="00E95B30"/>
    <w:rsid w:val="00E95B3E"/>
    <w:rsid w:val="00E95C57"/>
    <w:rsid w:val="00E95C5E"/>
    <w:rsid w:val="00E95E8B"/>
    <w:rsid w:val="00E9601A"/>
    <w:rsid w:val="00E961C7"/>
    <w:rsid w:val="00E96F5E"/>
    <w:rsid w:val="00E96FF1"/>
    <w:rsid w:val="00E97018"/>
    <w:rsid w:val="00E970C9"/>
    <w:rsid w:val="00E97156"/>
    <w:rsid w:val="00E976B1"/>
    <w:rsid w:val="00E97883"/>
    <w:rsid w:val="00E9798C"/>
    <w:rsid w:val="00E979CD"/>
    <w:rsid w:val="00E97C5D"/>
    <w:rsid w:val="00E97D0A"/>
    <w:rsid w:val="00EA0357"/>
    <w:rsid w:val="00EA0A06"/>
    <w:rsid w:val="00EA0CB4"/>
    <w:rsid w:val="00EA10A5"/>
    <w:rsid w:val="00EA11F7"/>
    <w:rsid w:val="00EA1209"/>
    <w:rsid w:val="00EA12E2"/>
    <w:rsid w:val="00EA19A0"/>
    <w:rsid w:val="00EA1A6D"/>
    <w:rsid w:val="00EA1C81"/>
    <w:rsid w:val="00EA21B4"/>
    <w:rsid w:val="00EA21F8"/>
    <w:rsid w:val="00EA2B4F"/>
    <w:rsid w:val="00EA2E26"/>
    <w:rsid w:val="00EA2EF2"/>
    <w:rsid w:val="00EA3723"/>
    <w:rsid w:val="00EA37A5"/>
    <w:rsid w:val="00EA389F"/>
    <w:rsid w:val="00EA3A45"/>
    <w:rsid w:val="00EA3A4E"/>
    <w:rsid w:val="00EA3C6F"/>
    <w:rsid w:val="00EA3DA1"/>
    <w:rsid w:val="00EA3FFF"/>
    <w:rsid w:val="00EA4213"/>
    <w:rsid w:val="00EA4639"/>
    <w:rsid w:val="00EA46C4"/>
    <w:rsid w:val="00EA4817"/>
    <w:rsid w:val="00EA48A8"/>
    <w:rsid w:val="00EA49AC"/>
    <w:rsid w:val="00EA4D61"/>
    <w:rsid w:val="00EA4F2E"/>
    <w:rsid w:val="00EA4F5C"/>
    <w:rsid w:val="00EA5062"/>
    <w:rsid w:val="00EA52E9"/>
    <w:rsid w:val="00EA5368"/>
    <w:rsid w:val="00EA5375"/>
    <w:rsid w:val="00EA542B"/>
    <w:rsid w:val="00EA54CB"/>
    <w:rsid w:val="00EA54D3"/>
    <w:rsid w:val="00EA5514"/>
    <w:rsid w:val="00EA55BF"/>
    <w:rsid w:val="00EA5AEC"/>
    <w:rsid w:val="00EA5B22"/>
    <w:rsid w:val="00EA5DEE"/>
    <w:rsid w:val="00EA5E10"/>
    <w:rsid w:val="00EA5E53"/>
    <w:rsid w:val="00EA5E6C"/>
    <w:rsid w:val="00EA5FD3"/>
    <w:rsid w:val="00EA60FD"/>
    <w:rsid w:val="00EA6151"/>
    <w:rsid w:val="00EA6EA6"/>
    <w:rsid w:val="00EA7213"/>
    <w:rsid w:val="00EA72EA"/>
    <w:rsid w:val="00EA7317"/>
    <w:rsid w:val="00EA758B"/>
    <w:rsid w:val="00EA7926"/>
    <w:rsid w:val="00EA7A37"/>
    <w:rsid w:val="00EA7C9B"/>
    <w:rsid w:val="00EA7DA2"/>
    <w:rsid w:val="00EA7EFB"/>
    <w:rsid w:val="00EB019C"/>
    <w:rsid w:val="00EB0382"/>
    <w:rsid w:val="00EB0D58"/>
    <w:rsid w:val="00EB0DD3"/>
    <w:rsid w:val="00EB15CD"/>
    <w:rsid w:val="00EB1696"/>
    <w:rsid w:val="00EB1766"/>
    <w:rsid w:val="00EB1B70"/>
    <w:rsid w:val="00EB1DA7"/>
    <w:rsid w:val="00EB1DD1"/>
    <w:rsid w:val="00EB1E05"/>
    <w:rsid w:val="00EB1F61"/>
    <w:rsid w:val="00EB1FE2"/>
    <w:rsid w:val="00EB1FFC"/>
    <w:rsid w:val="00EB2655"/>
    <w:rsid w:val="00EB28BF"/>
    <w:rsid w:val="00EB28E0"/>
    <w:rsid w:val="00EB2B7B"/>
    <w:rsid w:val="00EB2BB2"/>
    <w:rsid w:val="00EB2C66"/>
    <w:rsid w:val="00EB2CFB"/>
    <w:rsid w:val="00EB2D49"/>
    <w:rsid w:val="00EB2D71"/>
    <w:rsid w:val="00EB2F3A"/>
    <w:rsid w:val="00EB2FEF"/>
    <w:rsid w:val="00EB32EC"/>
    <w:rsid w:val="00EB3302"/>
    <w:rsid w:val="00EB344C"/>
    <w:rsid w:val="00EB34F9"/>
    <w:rsid w:val="00EB353B"/>
    <w:rsid w:val="00EB3C33"/>
    <w:rsid w:val="00EB3C72"/>
    <w:rsid w:val="00EB3D47"/>
    <w:rsid w:val="00EB3D9B"/>
    <w:rsid w:val="00EB3E5A"/>
    <w:rsid w:val="00EB3EB7"/>
    <w:rsid w:val="00EB3EC4"/>
    <w:rsid w:val="00EB410A"/>
    <w:rsid w:val="00EB41AE"/>
    <w:rsid w:val="00EB4763"/>
    <w:rsid w:val="00EB48AB"/>
    <w:rsid w:val="00EB492C"/>
    <w:rsid w:val="00EB4C27"/>
    <w:rsid w:val="00EB4E5D"/>
    <w:rsid w:val="00EB4E98"/>
    <w:rsid w:val="00EB51A7"/>
    <w:rsid w:val="00EB5471"/>
    <w:rsid w:val="00EB5532"/>
    <w:rsid w:val="00EB5599"/>
    <w:rsid w:val="00EB56BC"/>
    <w:rsid w:val="00EB5B56"/>
    <w:rsid w:val="00EB5DA9"/>
    <w:rsid w:val="00EB5FAC"/>
    <w:rsid w:val="00EB62BB"/>
    <w:rsid w:val="00EB6356"/>
    <w:rsid w:val="00EB684E"/>
    <w:rsid w:val="00EB691A"/>
    <w:rsid w:val="00EB6AB0"/>
    <w:rsid w:val="00EB6D00"/>
    <w:rsid w:val="00EB6F12"/>
    <w:rsid w:val="00EB6F9E"/>
    <w:rsid w:val="00EB7070"/>
    <w:rsid w:val="00EB76E5"/>
    <w:rsid w:val="00EB783C"/>
    <w:rsid w:val="00EB78B6"/>
    <w:rsid w:val="00EB7AF5"/>
    <w:rsid w:val="00EB7CAC"/>
    <w:rsid w:val="00EC019E"/>
    <w:rsid w:val="00EC043B"/>
    <w:rsid w:val="00EC06D4"/>
    <w:rsid w:val="00EC07E0"/>
    <w:rsid w:val="00EC09A4"/>
    <w:rsid w:val="00EC0BC0"/>
    <w:rsid w:val="00EC0C07"/>
    <w:rsid w:val="00EC0C0A"/>
    <w:rsid w:val="00EC0CA5"/>
    <w:rsid w:val="00EC0D64"/>
    <w:rsid w:val="00EC0E8D"/>
    <w:rsid w:val="00EC0F27"/>
    <w:rsid w:val="00EC0F96"/>
    <w:rsid w:val="00EC1195"/>
    <w:rsid w:val="00EC1396"/>
    <w:rsid w:val="00EC1547"/>
    <w:rsid w:val="00EC159D"/>
    <w:rsid w:val="00EC1758"/>
    <w:rsid w:val="00EC17F0"/>
    <w:rsid w:val="00EC181F"/>
    <w:rsid w:val="00EC1827"/>
    <w:rsid w:val="00EC1949"/>
    <w:rsid w:val="00EC1D6A"/>
    <w:rsid w:val="00EC1F29"/>
    <w:rsid w:val="00EC202D"/>
    <w:rsid w:val="00EC20DD"/>
    <w:rsid w:val="00EC20FE"/>
    <w:rsid w:val="00EC22B6"/>
    <w:rsid w:val="00EC232A"/>
    <w:rsid w:val="00EC2506"/>
    <w:rsid w:val="00EC25B5"/>
    <w:rsid w:val="00EC27CA"/>
    <w:rsid w:val="00EC290A"/>
    <w:rsid w:val="00EC2C1E"/>
    <w:rsid w:val="00EC2C3A"/>
    <w:rsid w:val="00EC30ED"/>
    <w:rsid w:val="00EC313B"/>
    <w:rsid w:val="00EC31FC"/>
    <w:rsid w:val="00EC32D4"/>
    <w:rsid w:val="00EC3343"/>
    <w:rsid w:val="00EC33DF"/>
    <w:rsid w:val="00EC3488"/>
    <w:rsid w:val="00EC395E"/>
    <w:rsid w:val="00EC3DD2"/>
    <w:rsid w:val="00EC3EC7"/>
    <w:rsid w:val="00EC3F99"/>
    <w:rsid w:val="00EC4123"/>
    <w:rsid w:val="00EC4381"/>
    <w:rsid w:val="00EC43C0"/>
    <w:rsid w:val="00EC4503"/>
    <w:rsid w:val="00EC466E"/>
    <w:rsid w:val="00EC4A99"/>
    <w:rsid w:val="00EC4B14"/>
    <w:rsid w:val="00EC4C37"/>
    <w:rsid w:val="00EC4DED"/>
    <w:rsid w:val="00EC4F3C"/>
    <w:rsid w:val="00EC4F55"/>
    <w:rsid w:val="00EC507D"/>
    <w:rsid w:val="00EC525A"/>
    <w:rsid w:val="00EC5262"/>
    <w:rsid w:val="00EC532C"/>
    <w:rsid w:val="00EC5394"/>
    <w:rsid w:val="00EC5429"/>
    <w:rsid w:val="00EC579D"/>
    <w:rsid w:val="00EC6039"/>
    <w:rsid w:val="00EC62F0"/>
    <w:rsid w:val="00EC63E7"/>
    <w:rsid w:val="00EC646C"/>
    <w:rsid w:val="00EC6572"/>
    <w:rsid w:val="00EC65A9"/>
    <w:rsid w:val="00EC65BB"/>
    <w:rsid w:val="00EC6653"/>
    <w:rsid w:val="00EC6AF0"/>
    <w:rsid w:val="00EC6E4E"/>
    <w:rsid w:val="00EC6E50"/>
    <w:rsid w:val="00EC6E8A"/>
    <w:rsid w:val="00EC6EBA"/>
    <w:rsid w:val="00EC6FD6"/>
    <w:rsid w:val="00EC73A7"/>
    <w:rsid w:val="00EC74B8"/>
    <w:rsid w:val="00EC7521"/>
    <w:rsid w:val="00EC76A1"/>
    <w:rsid w:val="00EC77FB"/>
    <w:rsid w:val="00EC79DA"/>
    <w:rsid w:val="00EC79E0"/>
    <w:rsid w:val="00EC7A5A"/>
    <w:rsid w:val="00EC7DDC"/>
    <w:rsid w:val="00ED016A"/>
    <w:rsid w:val="00ED0179"/>
    <w:rsid w:val="00ED01EF"/>
    <w:rsid w:val="00ED0435"/>
    <w:rsid w:val="00ED0497"/>
    <w:rsid w:val="00ED06A2"/>
    <w:rsid w:val="00ED0750"/>
    <w:rsid w:val="00ED095F"/>
    <w:rsid w:val="00ED0B34"/>
    <w:rsid w:val="00ED0C98"/>
    <w:rsid w:val="00ED0E21"/>
    <w:rsid w:val="00ED0F71"/>
    <w:rsid w:val="00ED0F7C"/>
    <w:rsid w:val="00ED100A"/>
    <w:rsid w:val="00ED1151"/>
    <w:rsid w:val="00ED1293"/>
    <w:rsid w:val="00ED1368"/>
    <w:rsid w:val="00ED13F9"/>
    <w:rsid w:val="00ED1416"/>
    <w:rsid w:val="00ED15A0"/>
    <w:rsid w:val="00ED1C94"/>
    <w:rsid w:val="00ED1E4D"/>
    <w:rsid w:val="00ED20F5"/>
    <w:rsid w:val="00ED219A"/>
    <w:rsid w:val="00ED234C"/>
    <w:rsid w:val="00ED2829"/>
    <w:rsid w:val="00ED2E4C"/>
    <w:rsid w:val="00ED3073"/>
    <w:rsid w:val="00ED325B"/>
    <w:rsid w:val="00ED33EC"/>
    <w:rsid w:val="00ED387A"/>
    <w:rsid w:val="00ED39FD"/>
    <w:rsid w:val="00ED3A56"/>
    <w:rsid w:val="00ED3CF4"/>
    <w:rsid w:val="00ED3D68"/>
    <w:rsid w:val="00ED407D"/>
    <w:rsid w:val="00ED4817"/>
    <w:rsid w:val="00ED490A"/>
    <w:rsid w:val="00ED4B32"/>
    <w:rsid w:val="00ED4C3B"/>
    <w:rsid w:val="00ED4E1F"/>
    <w:rsid w:val="00ED5776"/>
    <w:rsid w:val="00ED5897"/>
    <w:rsid w:val="00ED5995"/>
    <w:rsid w:val="00ED5999"/>
    <w:rsid w:val="00ED5AD5"/>
    <w:rsid w:val="00ED5D10"/>
    <w:rsid w:val="00ED652D"/>
    <w:rsid w:val="00ED6633"/>
    <w:rsid w:val="00ED67A8"/>
    <w:rsid w:val="00ED67D0"/>
    <w:rsid w:val="00ED69D6"/>
    <w:rsid w:val="00ED6DD3"/>
    <w:rsid w:val="00ED6F6E"/>
    <w:rsid w:val="00ED6FE5"/>
    <w:rsid w:val="00ED72A7"/>
    <w:rsid w:val="00ED744C"/>
    <w:rsid w:val="00ED74F0"/>
    <w:rsid w:val="00ED7505"/>
    <w:rsid w:val="00ED7527"/>
    <w:rsid w:val="00ED7BB9"/>
    <w:rsid w:val="00ED7C3A"/>
    <w:rsid w:val="00ED7C3B"/>
    <w:rsid w:val="00ED7C6F"/>
    <w:rsid w:val="00ED7DBC"/>
    <w:rsid w:val="00ED7EAA"/>
    <w:rsid w:val="00EE02F7"/>
    <w:rsid w:val="00EE0410"/>
    <w:rsid w:val="00EE04EF"/>
    <w:rsid w:val="00EE04FD"/>
    <w:rsid w:val="00EE056E"/>
    <w:rsid w:val="00EE0819"/>
    <w:rsid w:val="00EE0A28"/>
    <w:rsid w:val="00EE0BBB"/>
    <w:rsid w:val="00EE121A"/>
    <w:rsid w:val="00EE1376"/>
    <w:rsid w:val="00EE1444"/>
    <w:rsid w:val="00EE1459"/>
    <w:rsid w:val="00EE14D0"/>
    <w:rsid w:val="00EE1578"/>
    <w:rsid w:val="00EE1814"/>
    <w:rsid w:val="00EE1B51"/>
    <w:rsid w:val="00EE1B7F"/>
    <w:rsid w:val="00EE1E73"/>
    <w:rsid w:val="00EE1F21"/>
    <w:rsid w:val="00EE20B1"/>
    <w:rsid w:val="00EE20E0"/>
    <w:rsid w:val="00EE2185"/>
    <w:rsid w:val="00EE22BA"/>
    <w:rsid w:val="00EE24FD"/>
    <w:rsid w:val="00EE2592"/>
    <w:rsid w:val="00EE2640"/>
    <w:rsid w:val="00EE295F"/>
    <w:rsid w:val="00EE3217"/>
    <w:rsid w:val="00EE32A1"/>
    <w:rsid w:val="00EE33BF"/>
    <w:rsid w:val="00EE347E"/>
    <w:rsid w:val="00EE3601"/>
    <w:rsid w:val="00EE3811"/>
    <w:rsid w:val="00EE3858"/>
    <w:rsid w:val="00EE38B4"/>
    <w:rsid w:val="00EE392C"/>
    <w:rsid w:val="00EE3E4D"/>
    <w:rsid w:val="00EE3FEB"/>
    <w:rsid w:val="00EE416A"/>
    <w:rsid w:val="00EE43D6"/>
    <w:rsid w:val="00EE4B46"/>
    <w:rsid w:val="00EE4F06"/>
    <w:rsid w:val="00EE4F61"/>
    <w:rsid w:val="00EE50BB"/>
    <w:rsid w:val="00EE517B"/>
    <w:rsid w:val="00EE5183"/>
    <w:rsid w:val="00EE5349"/>
    <w:rsid w:val="00EE53E3"/>
    <w:rsid w:val="00EE54E2"/>
    <w:rsid w:val="00EE5508"/>
    <w:rsid w:val="00EE5575"/>
    <w:rsid w:val="00EE55EA"/>
    <w:rsid w:val="00EE56A4"/>
    <w:rsid w:val="00EE5AE5"/>
    <w:rsid w:val="00EE6173"/>
    <w:rsid w:val="00EE62F1"/>
    <w:rsid w:val="00EE6880"/>
    <w:rsid w:val="00EE6904"/>
    <w:rsid w:val="00EE6943"/>
    <w:rsid w:val="00EE6A90"/>
    <w:rsid w:val="00EE6F22"/>
    <w:rsid w:val="00EE732A"/>
    <w:rsid w:val="00EE73B2"/>
    <w:rsid w:val="00EE74E8"/>
    <w:rsid w:val="00EE770C"/>
    <w:rsid w:val="00EE7918"/>
    <w:rsid w:val="00EE7E20"/>
    <w:rsid w:val="00EE7E26"/>
    <w:rsid w:val="00EE7E51"/>
    <w:rsid w:val="00EE7F0A"/>
    <w:rsid w:val="00EF0143"/>
    <w:rsid w:val="00EF02CC"/>
    <w:rsid w:val="00EF0357"/>
    <w:rsid w:val="00EF0822"/>
    <w:rsid w:val="00EF0967"/>
    <w:rsid w:val="00EF0AA7"/>
    <w:rsid w:val="00EF0AF8"/>
    <w:rsid w:val="00EF0B93"/>
    <w:rsid w:val="00EF0DAF"/>
    <w:rsid w:val="00EF0DC9"/>
    <w:rsid w:val="00EF0F48"/>
    <w:rsid w:val="00EF173F"/>
    <w:rsid w:val="00EF1828"/>
    <w:rsid w:val="00EF190B"/>
    <w:rsid w:val="00EF1F78"/>
    <w:rsid w:val="00EF2059"/>
    <w:rsid w:val="00EF2322"/>
    <w:rsid w:val="00EF2561"/>
    <w:rsid w:val="00EF25D9"/>
    <w:rsid w:val="00EF2656"/>
    <w:rsid w:val="00EF26E3"/>
    <w:rsid w:val="00EF2871"/>
    <w:rsid w:val="00EF2879"/>
    <w:rsid w:val="00EF2958"/>
    <w:rsid w:val="00EF2B77"/>
    <w:rsid w:val="00EF347D"/>
    <w:rsid w:val="00EF3517"/>
    <w:rsid w:val="00EF36D7"/>
    <w:rsid w:val="00EF3710"/>
    <w:rsid w:val="00EF3765"/>
    <w:rsid w:val="00EF3815"/>
    <w:rsid w:val="00EF3CA6"/>
    <w:rsid w:val="00EF41A5"/>
    <w:rsid w:val="00EF4328"/>
    <w:rsid w:val="00EF4530"/>
    <w:rsid w:val="00EF45BF"/>
    <w:rsid w:val="00EF4691"/>
    <w:rsid w:val="00EF48D0"/>
    <w:rsid w:val="00EF4B43"/>
    <w:rsid w:val="00EF4C03"/>
    <w:rsid w:val="00EF4D7B"/>
    <w:rsid w:val="00EF4EB6"/>
    <w:rsid w:val="00EF503B"/>
    <w:rsid w:val="00EF51FC"/>
    <w:rsid w:val="00EF520A"/>
    <w:rsid w:val="00EF539F"/>
    <w:rsid w:val="00EF5439"/>
    <w:rsid w:val="00EF54E3"/>
    <w:rsid w:val="00EF567A"/>
    <w:rsid w:val="00EF57F0"/>
    <w:rsid w:val="00EF589A"/>
    <w:rsid w:val="00EF5B85"/>
    <w:rsid w:val="00EF5BAC"/>
    <w:rsid w:val="00EF5E14"/>
    <w:rsid w:val="00EF5E79"/>
    <w:rsid w:val="00EF613A"/>
    <w:rsid w:val="00EF6534"/>
    <w:rsid w:val="00EF66CA"/>
    <w:rsid w:val="00EF69D0"/>
    <w:rsid w:val="00EF6AA3"/>
    <w:rsid w:val="00EF6B2F"/>
    <w:rsid w:val="00EF6E29"/>
    <w:rsid w:val="00EF6E6A"/>
    <w:rsid w:val="00EF6E93"/>
    <w:rsid w:val="00EF702F"/>
    <w:rsid w:val="00EF71A9"/>
    <w:rsid w:val="00EF72F7"/>
    <w:rsid w:val="00EF736B"/>
    <w:rsid w:val="00EF7815"/>
    <w:rsid w:val="00EF7882"/>
    <w:rsid w:val="00EF7A7D"/>
    <w:rsid w:val="00EF7ADE"/>
    <w:rsid w:val="00EF7D44"/>
    <w:rsid w:val="00EF7E25"/>
    <w:rsid w:val="00EF7EC5"/>
    <w:rsid w:val="00F000C8"/>
    <w:rsid w:val="00F0014F"/>
    <w:rsid w:val="00F003F9"/>
    <w:rsid w:val="00F00447"/>
    <w:rsid w:val="00F004F7"/>
    <w:rsid w:val="00F00577"/>
    <w:rsid w:val="00F006CC"/>
    <w:rsid w:val="00F007F0"/>
    <w:rsid w:val="00F00C03"/>
    <w:rsid w:val="00F00CD9"/>
    <w:rsid w:val="00F00D83"/>
    <w:rsid w:val="00F00E8E"/>
    <w:rsid w:val="00F010E9"/>
    <w:rsid w:val="00F0127B"/>
    <w:rsid w:val="00F012FF"/>
    <w:rsid w:val="00F0133B"/>
    <w:rsid w:val="00F0135E"/>
    <w:rsid w:val="00F013E9"/>
    <w:rsid w:val="00F01509"/>
    <w:rsid w:val="00F0162A"/>
    <w:rsid w:val="00F016CE"/>
    <w:rsid w:val="00F01A7D"/>
    <w:rsid w:val="00F01B27"/>
    <w:rsid w:val="00F01CFA"/>
    <w:rsid w:val="00F01DB6"/>
    <w:rsid w:val="00F01F82"/>
    <w:rsid w:val="00F0219A"/>
    <w:rsid w:val="00F02329"/>
    <w:rsid w:val="00F0246C"/>
    <w:rsid w:val="00F025C3"/>
    <w:rsid w:val="00F02F20"/>
    <w:rsid w:val="00F03161"/>
    <w:rsid w:val="00F031F6"/>
    <w:rsid w:val="00F03213"/>
    <w:rsid w:val="00F032AF"/>
    <w:rsid w:val="00F036BE"/>
    <w:rsid w:val="00F03859"/>
    <w:rsid w:val="00F038BE"/>
    <w:rsid w:val="00F03979"/>
    <w:rsid w:val="00F03B21"/>
    <w:rsid w:val="00F03C2B"/>
    <w:rsid w:val="00F03D27"/>
    <w:rsid w:val="00F03D50"/>
    <w:rsid w:val="00F03F3A"/>
    <w:rsid w:val="00F03FA4"/>
    <w:rsid w:val="00F045CF"/>
    <w:rsid w:val="00F0473A"/>
    <w:rsid w:val="00F04902"/>
    <w:rsid w:val="00F04B05"/>
    <w:rsid w:val="00F04B97"/>
    <w:rsid w:val="00F057B5"/>
    <w:rsid w:val="00F0615C"/>
    <w:rsid w:val="00F0625F"/>
    <w:rsid w:val="00F0650A"/>
    <w:rsid w:val="00F065D7"/>
    <w:rsid w:val="00F0691F"/>
    <w:rsid w:val="00F06C2B"/>
    <w:rsid w:val="00F06CB1"/>
    <w:rsid w:val="00F06D31"/>
    <w:rsid w:val="00F06E98"/>
    <w:rsid w:val="00F070DB"/>
    <w:rsid w:val="00F0737F"/>
    <w:rsid w:val="00F07421"/>
    <w:rsid w:val="00F07860"/>
    <w:rsid w:val="00F078D3"/>
    <w:rsid w:val="00F07AC3"/>
    <w:rsid w:val="00F07BDB"/>
    <w:rsid w:val="00F07D05"/>
    <w:rsid w:val="00F10273"/>
    <w:rsid w:val="00F10489"/>
    <w:rsid w:val="00F1059B"/>
    <w:rsid w:val="00F10832"/>
    <w:rsid w:val="00F10CA6"/>
    <w:rsid w:val="00F10CCE"/>
    <w:rsid w:val="00F11046"/>
    <w:rsid w:val="00F112F4"/>
    <w:rsid w:val="00F114FD"/>
    <w:rsid w:val="00F11B84"/>
    <w:rsid w:val="00F11C71"/>
    <w:rsid w:val="00F11CBC"/>
    <w:rsid w:val="00F11D9B"/>
    <w:rsid w:val="00F12103"/>
    <w:rsid w:val="00F1219C"/>
    <w:rsid w:val="00F121AE"/>
    <w:rsid w:val="00F12225"/>
    <w:rsid w:val="00F1231B"/>
    <w:rsid w:val="00F124FB"/>
    <w:rsid w:val="00F12798"/>
    <w:rsid w:val="00F129BF"/>
    <w:rsid w:val="00F12AFE"/>
    <w:rsid w:val="00F12E58"/>
    <w:rsid w:val="00F12EDD"/>
    <w:rsid w:val="00F131A2"/>
    <w:rsid w:val="00F132C4"/>
    <w:rsid w:val="00F13595"/>
    <w:rsid w:val="00F139A2"/>
    <w:rsid w:val="00F13B4F"/>
    <w:rsid w:val="00F13E29"/>
    <w:rsid w:val="00F14327"/>
    <w:rsid w:val="00F14770"/>
    <w:rsid w:val="00F14830"/>
    <w:rsid w:val="00F14868"/>
    <w:rsid w:val="00F148AC"/>
    <w:rsid w:val="00F14A77"/>
    <w:rsid w:val="00F14EB1"/>
    <w:rsid w:val="00F14F64"/>
    <w:rsid w:val="00F14F7F"/>
    <w:rsid w:val="00F14FEA"/>
    <w:rsid w:val="00F15070"/>
    <w:rsid w:val="00F15166"/>
    <w:rsid w:val="00F1563B"/>
    <w:rsid w:val="00F1567D"/>
    <w:rsid w:val="00F15BE9"/>
    <w:rsid w:val="00F15C84"/>
    <w:rsid w:val="00F15CC9"/>
    <w:rsid w:val="00F15FF9"/>
    <w:rsid w:val="00F165BC"/>
    <w:rsid w:val="00F166B6"/>
    <w:rsid w:val="00F16879"/>
    <w:rsid w:val="00F16931"/>
    <w:rsid w:val="00F16962"/>
    <w:rsid w:val="00F16FDE"/>
    <w:rsid w:val="00F173C1"/>
    <w:rsid w:val="00F1778A"/>
    <w:rsid w:val="00F17A29"/>
    <w:rsid w:val="00F17AFC"/>
    <w:rsid w:val="00F17CD1"/>
    <w:rsid w:val="00F17F17"/>
    <w:rsid w:val="00F20297"/>
    <w:rsid w:val="00F204F9"/>
    <w:rsid w:val="00F2053B"/>
    <w:rsid w:val="00F20EEF"/>
    <w:rsid w:val="00F21281"/>
    <w:rsid w:val="00F215A3"/>
    <w:rsid w:val="00F215CD"/>
    <w:rsid w:val="00F215FD"/>
    <w:rsid w:val="00F21754"/>
    <w:rsid w:val="00F21A3A"/>
    <w:rsid w:val="00F21ABB"/>
    <w:rsid w:val="00F21C18"/>
    <w:rsid w:val="00F21ECE"/>
    <w:rsid w:val="00F2203A"/>
    <w:rsid w:val="00F2211A"/>
    <w:rsid w:val="00F22232"/>
    <w:rsid w:val="00F222EC"/>
    <w:rsid w:val="00F222FC"/>
    <w:rsid w:val="00F22457"/>
    <w:rsid w:val="00F22652"/>
    <w:rsid w:val="00F2271F"/>
    <w:rsid w:val="00F228D1"/>
    <w:rsid w:val="00F22A09"/>
    <w:rsid w:val="00F22B3F"/>
    <w:rsid w:val="00F22ECE"/>
    <w:rsid w:val="00F2322D"/>
    <w:rsid w:val="00F234B4"/>
    <w:rsid w:val="00F2380A"/>
    <w:rsid w:val="00F2382D"/>
    <w:rsid w:val="00F23A54"/>
    <w:rsid w:val="00F23ADB"/>
    <w:rsid w:val="00F23BBB"/>
    <w:rsid w:val="00F23D85"/>
    <w:rsid w:val="00F240DF"/>
    <w:rsid w:val="00F2444A"/>
    <w:rsid w:val="00F24583"/>
    <w:rsid w:val="00F2489A"/>
    <w:rsid w:val="00F2492C"/>
    <w:rsid w:val="00F2493E"/>
    <w:rsid w:val="00F2495B"/>
    <w:rsid w:val="00F25577"/>
    <w:rsid w:val="00F255AA"/>
    <w:rsid w:val="00F25AF1"/>
    <w:rsid w:val="00F25B16"/>
    <w:rsid w:val="00F25C0D"/>
    <w:rsid w:val="00F25D73"/>
    <w:rsid w:val="00F25F8A"/>
    <w:rsid w:val="00F26116"/>
    <w:rsid w:val="00F26273"/>
    <w:rsid w:val="00F2637E"/>
    <w:rsid w:val="00F2664D"/>
    <w:rsid w:val="00F26C46"/>
    <w:rsid w:val="00F26D3E"/>
    <w:rsid w:val="00F26D90"/>
    <w:rsid w:val="00F27240"/>
    <w:rsid w:val="00F272AB"/>
    <w:rsid w:val="00F272EA"/>
    <w:rsid w:val="00F27318"/>
    <w:rsid w:val="00F2739F"/>
    <w:rsid w:val="00F27442"/>
    <w:rsid w:val="00F2744C"/>
    <w:rsid w:val="00F301B5"/>
    <w:rsid w:val="00F302EC"/>
    <w:rsid w:val="00F303B5"/>
    <w:rsid w:val="00F306C2"/>
    <w:rsid w:val="00F3073A"/>
    <w:rsid w:val="00F30871"/>
    <w:rsid w:val="00F30A83"/>
    <w:rsid w:val="00F30C8B"/>
    <w:rsid w:val="00F30EA0"/>
    <w:rsid w:val="00F30ED6"/>
    <w:rsid w:val="00F3112A"/>
    <w:rsid w:val="00F31382"/>
    <w:rsid w:val="00F31422"/>
    <w:rsid w:val="00F319A9"/>
    <w:rsid w:val="00F31BD9"/>
    <w:rsid w:val="00F31BF3"/>
    <w:rsid w:val="00F31EB8"/>
    <w:rsid w:val="00F320C1"/>
    <w:rsid w:val="00F320E3"/>
    <w:rsid w:val="00F32211"/>
    <w:rsid w:val="00F323E5"/>
    <w:rsid w:val="00F3264F"/>
    <w:rsid w:val="00F326F8"/>
    <w:rsid w:val="00F328E2"/>
    <w:rsid w:val="00F32961"/>
    <w:rsid w:val="00F32988"/>
    <w:rsid w:val="00F32B05"/>
    <w:rsid w:val="00F32B39"/>
    <w:rsid w:val="00F32B6D"/>
    <w:rsid w:val="00F32C40"/>
    <w:rsid w:val="00F32DD3"/>
    <w:rsid w:val="00F32EE6"/>
    <w:rsid w:val="00F32FB6"/>
    <w:rsid w:val="00F33CFA"/>
    <w:rsid w:val="00F341ED"/>
    <w:rsid w:val="00F3433C"/>
    <w:rsid w:val="00F349B9"/>
    <w:rsid w:val="00F34A3E"/>
    <w:rsid w:val="00F34B33"/>
    <w:rsid w:val="00F34CAB"/>
    <w:rsid w:val="00F34E60"/>
    <w:rsid w:val="00F34F47"/>
    <w:rsid w:val="00F3565B"/>
    <w:rsid w:val="00F3582E"/>
    <w:rsid w:val="00F3588C"/>
    <w:rsid w:val="00F35905"/>
    <w:rsid w:val="00F35948"/>
    <w:rsid w:val="00F359A4"/>
    <w:rsid w:val="00F35B1A"/>
    <w:rsid w:val="00F35C0E"/>
    <w:rsid w:val="00F35D14"/>
    <w:rsid w:val="00F35D40"/>
    <w:rsid w:val="00F35E45"/>
    <w:rsid w:val="00F35E53"/>
    <w:rsid w:val="00F35E72"/>
    <w:rsid w:val="00F36000"/>
    <w:rsid w:val="00F36297"/>
    <w:rsid w:val="00F365CE"/>
    <w:rsid w:val="00F36782"/>
    <w:rsid w:val="00F3684F"/>
    <w:rsid w:val="00F369EF"/>
    <w:rsid w:val="00F36AD9"/>
    <w:rsid w:val="00F37013"/>
    <w:rsid w:val="00F370D1"/>
    <w:rsid w:val="00F37144"/>
    <w:rsid w:val="00F37211"/>
    <w:rsid w:val="00F37281"/>
    <w:rsid w:val="00F3730A"/>
    <w:rsid w:val="00F374AB"/>
    <w:rsid w:val="00F37E6A"/>
    <w:rsid w:val="00F40129"/>
    <w:rsid w:val="00F40167"/>
    <w:rsid w:val="00F401A5"/>
    <w:rsid w:val="00F40292"/>
    <w:rsid w:val="00F405FD"/>
    <w:rsid w:val="00F4079D"/>
    <w:rsid w:val="00F40876"/>
    <w:rsid w:val="00F40CA9"/>
    <w:rsid w:val="00F40E03"/>
    <w:rsid w:val="00F4121F"/>
    <w:rsid w:val="00F413A7"/>
    <w:rsid w:val="00F41421"/>
    <w:rsid w:val="00F41448"/>
    <w:rsid w:val="00F4144E"/>
    <w:rsid w:val="00F414EF"/>
    <w:rsid w:val="00F416BA"/>
    <w:rsid w:val="00F417D0"/>
    <w:rsid w:val="00F41867"/>
    <w:rsid w:val="00F4198D"/>
    <w:rsid w:val="00F41A10"/>
    <w:rsid w:val="00F41BAF"/>
    <w:rsid w:val="00F41CBD"/>
    <w:rsid w:val="00F41DB3"/>
    <w:rsid w:val="00F41E5C"/>
    <w:rsid w:val="00F41E66"/>
    <w:rsid w:val="00F41EEA"/>
    <w:rsid w:val="00F4203E"/>
    <w:rsid w:val="00F42140"/>
    <w:rsid w:val="00F422C3"/>
    <w:rsid w:val="00F423FB"/>
    <w:rsid w:val="00F4242B"/>
    <w:rsid w:val="00F426AE"/>
    <w:rsid w:val="00F42982"/>
    <w:rsid w:val="00F42A42"/>
    <w:rsid w:val="00F42A69"/>
    <w:rsid w:val="00F42AC2"/>
    <w:rsid w:val="00F42B93"/>
    <w:rsid w:val="00F42CC3"/>
    <w:rsid w:val="00F42D0F"/>
    <w:rsid w:val="00F43163"/>
    <w:rsid w:val="00F4347C"/>
    <w:rsid w:val="00F43586"/>
    <w:rsid w:val="00F435F3"/>
    <w:rsid w:val="00F43ABC"/>
    <w:rsid w:val="00F43BB4"/>
    <w:rsid w:val="00F43BFB"/>
    <w:rsid w:val="00F43D45"/>
    <w:rsid w:val="00F43DFF"/>
    <w:rsid w:val="00F44033"/>
    <w:rsid w:val="00F442EB"/>
    <w:rsid w:val="00F44306"/>
    <w:rsid w:val="00F44385"/>
    <w:rsid w:val="00F443AC"/>
    <w:rsid w:val="00F4477C"/>
    <w:rsid w:val="00F44A02"/>
    <w:rsid w:val="00F44A8A"/>
    <w:rsid w:val="00F44BBC"/>
    <w:rsid w:val="00F44F40"/>
    <w:rsid w:val="00F44FA3"/>
    <w:rsid w:val="00F4508F"/>
    <w:rsid w:val="00F45092"/>
    <w:rsid w:val="00F45284"/>
    <w:rsid w:val="00F45724"/>
    <w:rsid w:val="00F45998"/>
    <w:rsid w:val="00F45EC0"/>
    <w:rsid w:val="00F46334"/>
    <w:rsid w:val="00F46892"/>
    <w:rsid w:val="00F46AC7"/>
    <w:rsid w:val="00F46DC5"/>
    <w:rsid w:val="00F46F6F"/>
    <w:rsid w:val="00F472CA"/>
    <w:rsid w:val="00F47360"/>
    <w:rsid w:val="00F47470"/>
    <w:rsid w:val="00F47555"/>
    <w:rsid w:val="00F475E5"/>
    <w:rsid w:val="00F47724"/>
    <w:rsid w:val="00F4778C"/>
    <w:rsid w:val="00F47A0B"/>
    <w:rsid w:val="00F47A2B"/>
    <w:rsid w:val="00F47C1D"/>
    <w:rsid w:val="00F47DCF"/>
    <w:rsid w:val="00F47FBA"/>
    <w:rsid w:val="00F47FE4"/>
    <w:rsid w:val="00F5014C"/>
    <w:rsid w:val="00F5019A"/>
    <w:rsid w:val="00F501B3"/>
    <w:rsid w:val="00F502C9"/>
    <w:rsid w:val="00F5042D"/>
    <w:rsid w:val="00F5043F"/>
    <w:rsid w:val="00F50A8A"/>
    <w:rsid w:val="00F50FBC"/>
    <w:rsid w:val="00F51055"/>
    <w:rsid w:val="00F51535"/>
    <w:rsid w:val="00F51717"/>
    <w:rsid w:val="00F51A86"/>
    <w:rsid w:val="00F51AE3"/>
    <w:rsid w:val="00F51B1C"/>
    <w:rsid w:val="00F51B52"/>
    <w:rsid w:val="00F51CB1"/>
    <w:rsid w:val="00F51D5D"/>
    <w:rsid w:val="00F51F0F"/>
    <w:rsid w:val="00F52666"/>
    <w:rsid w:val="00F527C2"/>
    <w:rsid w:val="00F527E2"/>
    <w:rsid w:val="00F529C2"/>
    <w:rsid w:val="00F52D9F"/>
    <w:rsid w:val="00F5301B"/>
    <w:rsid w:val="00F532F7"/>
    <w:rsid w:val="00F53455"/>
    <w:rsid w:val="00F53473"/>
    <w:rsid w:val="00F53491"/>
    <w:rsid w:val="00F5397B"/>
    <w:rsid w:val="00F53996"/>
    <w:rsid w:val="00F53A21"/>
    <w:rsid w:val="00F53CD4"/>
    <w:rsid w:val="00F54023"/>
    <w:rsid w:val="00F543D8"/>
    <w:rsid w:val="00F54621"/>
    <w:rsid w:val="00F546A1"/>
    <w:rsid w:val="00F54852"/>
    <w:rsid w:val="00F54AE3"/>
    <w:rsid w:val="00F54C90"/>
    <w:rsid w:val="00F54F3D"/>
    <w:rsid w:val="00F552FD"/>
    <w:rsid w:val="00F5546C"/>
    <w:rsid w:val="00F55544"/>
    <w:rsid w:val="00F556B4"/>
    <w:rsid w:val="00F5571C"/>
    <w:rsid w:val="00F5576E"/>
    <w:rsid w:val="00F558BB"/>
    <w:rsid w:val="00F558C5"/>
    <w:rsid w:val="00F561A5"/>
    <w:rsid w:val="00F561CD"/>
    <w:rsid w:val="00F5644A"/>
    <w:rsid w:val="00F56A1C"/>
    <w:rsid w:val="00F56FA9"/>
    <w:rsid w:val="00F57216"/>
    <w:rsid w:val="00F57540"/>
    <w:rsid w:val="00F579D8"/>
    <w:rsid w:val="00F57C75"/>
    <w:rsid w:val="00F60005"/>
    <w:rsid w:val="00F60063"/>
    <w:rsid w:val="00F604C8"/>
    <w:rsid w:val="00F608D9"/>
    <w:rsid w:val="00F609AE"/>
    <w:rsid w:val="00F609D3"/>
    <w:rsid w:val="00F60A29"/>
    <w:rsid w:val="00F60D72"/>
    <w:rsid w:val="00F60F10"/>
    <w:rsid w:val="00F60F70"/>
    <w:rsid w:val="00F617A5"/>
    <w:rsid w:val="00F618BE"/>
    <w:rsid w:val="00F61ACF"/>
    <w:rsid w:val="00F61BD7"/>
    <w:rsid w:val="00F61DAA"/>
    <w:rsid w:val="00F61F14"/>
    <w:rsid w:val="00F624FB"/>
    <w:rsid w:val="00F62514"/>
    <w:rsid w:val="00F6256E"/>
    <w:rsid w:val="00F62649"/>
    <w:rsid w:val="00F6264B"/>
    <w:rsid w:val="00F62683"/>
    <w:rsid w:val="00F6290A"/>
    <w:rsid w:val="00F62A86"/>
    <w:rsid w:val="00F62BD1"/>
    <w:rsid w:val="00F62D41"/>
    <w:rsid w:val="00F62EE7"/>
    <w:rsid w:val="00F63094"/>
    <w:rsid w:val="00F632BE"/>
    <w:rsid w:val="00F63354"/>
    <w:rsid w:val="00F63376"/>
    <w:rsid w:val="00F634E5"/>
    <w:rsid w:val="00F637BC"/>
    <w:rsid w:val="00F637EC"/>
    <w:rsid w:val="00F6408D"/>
    <w:rsid w:val="00F6413C"/>
    <w:rsid w:val="00F64239"/>
    <w:rsid w:val="00F6428A"/>
    <w:rsid w:val="00F64397"/>
    <w:rsid w:val="00F643C4"/>
    <w:rsid w:val="00F644B9"/>
    <w:rsid w:val="00F64559"/>
    <w:rsid w:val="00F64C59"/>
    <w:rsid w:val="00F64C9A"/>
    <w:rsid w:val="00F64CD7"/>
    <w:rsid w:val="00F64D51"/>
    <w:rsid w:val="00F64E1C"/>
    <w:rsid w:val="00F65031"/>
    <w:rsid w:val="00F65094"/>
    <w:rsid w:val="00F651A9"/>
    <w:rsid w:val="00F653DC"/>
    <w:rsid w:val="00F65453"/>
    <w:rsid w:val="00F654BA"/>
    <w:rsid w:val="00F6550D"/>
    <w:rsid w:val="00F65718"/>
    <w:rsid w:val="00F6581A"/>
    <w:rsid w:val="00F65BC1"/>
    <w:rsid w:val="00F65D5C"/>
    <w:rsid w:val="00F65F75"/>
    <w:rsid w:val="00F660AC"/>
    <w:rsid w:val="00F66110"/>
    <w:rsid w:val="00F666A5"/>
    <w:rsid w:val="00F666C3"/>
    <w:rsid w:val="00F666CA"/>
    <w:rsid w:val="00F66940"/>
    <w:rsid w:val="00F66BA2"/>
    <w:rsid w:val="00F66DA4"/>
    <w:rsid w:val="00F66F12"/>
    <w:rsid w:val="00F67485"/>
    <w:rsid w:val="00F678A4"/>
    <w:rsid w:val="00F67A3E"/>
    <w:rsid w:val="00F67CD7"/>
    <w:rsid w:val="00F70430"/>
    <w:rsid w:val="00F70676"/>
    <w:rsid w:val="00F706AB"/>
    <w:rsid w:val="00F70D4B"/>
    <w:rsid w:val="00F70DA1"/>
    <w:rsid w:val="00F70EC2"/>
    <w:rsid w:val="00F70EC8"/>
    <w:rsid w:val="00F710B4"/>
    <w:rsid w:val="00F714E1"/>
    <w:rsid w:val="00F7158D"/>
    <w:rsid w:val="00F719F8"/>
    <w:rsid w:val="00F71B50"/>
    <w:rsid w:val="00F7223C"/>
    <w:rsid w:val="00F725E6"/>
    <w:rsid w:val="00F72970"/>
    <w:rsid w:val="00F72AEC"/>
    <w:rsid w:val="00F72B81"/>
    <w:rsid w:val="00F72DC4"/>
    <w:rsid w:val="00F730DD"/>
    <w:rsid w:val="00F730EB"/>
    <w:rsid w:val="00F73248"/>
    <w:rsid w:val="00F73398"/>
    <w:rsid w:val="00F73BFD"/>
    <w:rsid w:val="00F74061"/>
    <w:rsid w:val="00F7412A"/>
    <w:rsid w:val="00F743BE"/>
    <w:rsid w:val="00F7455D"/>
    <w:rsid w:val="00F74768"/>
    <w:rsid w:val="00F747EE"/>
    <w:rsid w:val="00F74EEC"/>
    <w:rsid w:val="00F750CD"/>
    <w:rsid w:val="00F75203"/>
    <w:rsid w:val="00F7537B"/>
    <w:rsid w:val="00F753EA"/>
    <w:rsid w:val="00F7543C"/>
    <w:rsid w:val="00F75517"/>
    <w:rsid w:val="00F757D4"/>
    <w:rsid w:val="00F758CA"/>
    <w:rsid w:val="00F75CA7"/>
    <w:rsid w:val="00F75D85"/>
    <w:rsid w:val="00F75E8D"/>
    <w:rsid w:val="00F75F47"/>
    <w:rsid w:val="00F76148"/>
    <w:rsid w:val="00F7614B"/>
    <w:rsid w:val="00F76196"/>
    <w:rsid w:val="00F76A7C"/>
    <w:rsid w:val="00F76B9D"/>
    <w:rsid w:val="00F76E0A"/>
    <w:rsid w:val="00F76E53"/>
    <w:rsid w:val="00F76E8A"/>
    <w:rsid w:val="00F771CE"/>
    <w:rsid w:val="00F77260"/>
    <w:rsid w:val="00F77779"/>
    <w:rsid w:val="00F77910"/>
    <w:rsid w:val="00F77A5F"/>
    <w:rsid w:val="00F77B12"/>
    <w:rsid w:val="00F77CC3"/>
    <w:rsid w:val="00F80051"/>
    <w:rsid w:val="00F80391"/>
    <w:rsid w:val="00F805AB"/>
    <w:rsid w:val="00F807D6"/>
    <w:rsid w:val="00F80912"/>
    <w:rsid w:val="00F80978"/>
    <w:rsid w:val="00F809B5"/>
    <w:rsid w:val="00F80B57"/>
    <w:rsid w:val="00F80E17"/>
    <w:rsid w:val="00F80E75"/>
    <w:rsid w:val="00F80E83"/>
    <w:rsid w:val="00F812B5"/>
    <w:rsid w:val="00F8135E"/>
    <w:rsid w:val="00F81687"/>
    <w:rsid w:val="00F8171F"/>
    <w:rsid w:val="00F81936"/>
    <w:rsid w:val="00F81B97"/>
    <w:rsid w:val="00F81BE0"/>
    <w:rsid w:val="00F81CD0"/>
    <w:rsid w:val="00F81DB1"/>
    <w:rsid w:val="00F821B4"/>
    <w:rsid w:val="00F823E7"/>
    <w:rsid w:val="00F82707"/>
    <w:rsid w:val="00F827AF"/>
    <w:rsid w:val="00F827C4"/>
    <w:rsid w:val="00F82A7B"/>
    <w:rsid w:val="00F82B86"/>
    <w:rsid w:val="00F82C4D"/>
    <w:rsid w:val="00F82C6A"/>
    <w:rsid w:val="00F82CEE"/>
    <w:rsid w:val="00F830DF"/>
    <w:rsid w:val="00F8316C"/>
    <w:rsid w:val="00F83266"/>
    <w:rsid w:val="00F83276"/>
    <w:rsid w:val="00F83311"/>
    <w:rsid w:val="00F83478"/>
    <w:rsid w:val="00F83522"/>
    <w:rsid w:val="00F835CA"/>
    <w:rsid w:val="00F83724"/>
    <w:rsid w:val="00F83797"/>
    <w:rsid w:val="00F83B7A"/>
    <w:rsid w:val="00F83DBA"/>
    <w:rsid w:val="00F841E4"/>
    <w:rsid w:val="00F843E6"/>
    <w:rsid w:val="00F848C1"/>
    <w:rsid w:val="00F848E7"/>
    <w:rsid w:val="00F84B5C"/>
    <w:rsid w:val="00F84C81"/>
    <w:rsid w:val="00F84CFB"/>
    <w:rsid w:val="00F850D0"/>
    <w:rsid w:val="00F851EE"/>
    <w:rsid w:val="00F85277"/>
    <w:rsid w:val="00F8534C"/>
    <w:rsid w:val="00F8540A"/>
    <w:rsid w:val="00F854BA"/>
    <w:rsid w:val="00F85530"/>
    <w:rsid w:val="00F8556C"/>
    <w:rsid w:val="00F858A3"/>
    <w:rsid w:val="00F85ABE"/>
    <w:rsid w:val="00F85AFD"/>
    <w:rsid w:val="00F85B4D"/>
    <w:rsid w:val="00F85FB0"/>
    <w:rsid w:val="00F8677E"/>
    <w:rsid w:val="00F8681D"/>
    <w:rsid w:val="00F868ED"/>
    <w:rsid w:val="00F86A59"/>
    <w:rsid w:val="00F86B29"/>
    <w:rsid w:val="00F86C70"/>
    <w:rsid w:val="00F86F14"/>
    <w:rsid w:val="00F87212"/>
    <w:rsid w:val="00F87307"/>
    <w:rsid w:val="00F87456"/>
    <w:rsid w:val="00F877E0"/>
    <w:rsid w:val="00F879C8"/>
    <w:rsid w:val="00F90101"/>
    <w:rsid w:val="00F901EA"/>
    <w:rsid w:val="00F90334"/>
    <w:rsid w:val="00F9053F"/>
    <w:rsid w:val="00F90544"/>
    <w:rsid w:val="00F905AD"/>
    <w:rsid w:val="00F9064D"/>
    <w:rsid w:val="00F906A0"/>
    <w:rsid w:val="00F90B6F"/>
    <w:rsid w:val="00F90CB3"/>
    <w:rsid w:val="00F90F74"/>
    <w:rsid w:val="00F91565"/>
    <w:rsid w:val="00F91A08"/>
    <w:rsid w:val="00F91B1A"/>
    <w:rsid w:val="00F91E10"/>
    <w:rsid w:val="00F920D0"/>
    <w:rsid w:val="00F922C3"/>
    <w:rsid w:val="00F922C6"/>
    <w:rsid w:val="00F923A0"/>
    <w:rsid w:val="00F9258C"/>
    <w:rsid w:val="00F92651"/>
    <w:rsid w:val="00F929C1"/>
    <w:rsid w:val="00F92B83"/>
    <w:rsid w:val="00F932CF"/>
    <w:rsid w:val="00F93399"/>
    <w:rsid w:val="00F9351D"/>
    <w:rsid w:val="00F93AE1"/>
    <w:rsid w:val="00F93B29"/>
    <w:rsid w:val="00F93BD7"/>
    <w:rsid w:val="00F93C43"/>
    <w:rsid w:val="00F93D7D"/>
    <w:rsid w:val="00F93DC9"/>
    <w:rsid w:val="00F944F1"/>
    <w:rsid w:val="00F9476C"/>
    <w:rsid w:val="00F94A70"/>
    <w:rsid w:val="00F94B01"/>
    <w:rsid w:val="00F94E34"/>
    <w:rsid w:val="00F94E43"/>
    <w:rsid w:val="00F952B8"/>
    <w:rsid w:val="00F95463"/>
    <w:rsid w:val="00F9566D"/>
    <w:rsid w:val="00F95892"/>
    <w:rsid w:val="00F95AD8"/>
    <w:rsid w:val="00F95B8B"/>
    <w:rsid w:val="00F962FE"/>
    <w:rsid w:val="00F96385"/>
    <w:rsid w:val="00F963AB"/>
    <w:rsid w:val="00F963F6"/>
    <w:rsid w:val="00F964C7"/>
    <w:rsid w:val="00F96F7F"/>
    <w:rsid w:val="00F970AA"/>
    <w:rsid w:val="00F97180"/>
    <w:rsid w:val="00F974AF"/>
    <w:rsid w:val="00F97845"/>
    <w:rsid w:val="00F978EE"/>
    <w:rsid w:val="00F979FF"/>
    <w:rsid w:val="00F97AA2"/>
    <w:rsid w:val="00F97C42"/>
    <w:rsid w:val="00F97CA4"/>
    <w:rsid w:val="00F97E9A"/>
    <w:rsid w:val="00FA001B"/>
    <w:rsid w:val="00FA0048"/>
    <w:rsid w:val="00FA037A"/>
    <w:rsid w:val="00FA0520"/>
    <w:rsid w:val="00FA0790"/>
    <w:rsid w:val="00FA0F29"/>
    <w:rsid w:val="00FA143C"/>
    <w:rsid w:val="00FA1550"/>
    <w:rsid w:val="00FA155D"/>
    <w:rsid w:val="00FA1586"/>
    <w:rsid w:val="00FA17BB"/>
    <w:rsid w:val="00FA1896"/>
    <w:rsid w:val="00FA1D16"/>
    <w:rsid w:val="00FA1D1D"/>
    <w:rsid w:val="00FA1D51"/>
    <w:rsid w:val="00FA2076"/>
    <w:rsid w:val="00FA22D7"/>
    <w:rsid w:val="00FA2367"/>
    <w:rsid w:val="00FA2388"/>
    <w:rsid w:val="00FA245E"/>
    <w:rsid w:val="00FA27F5"/>
    <w:rsid w:val="00FA2A90"/>
    <w:rsid w:val="00FA2E32"/>
    <w:rsid w:val="00FA3106"/>
    <w:rsid w:val="00FA3170"/>
    <w:rsid w:val="00FA3992"/>
    <w:rsid w:val="00FA3A33"/>
    <w:rsid w:val="00FA3B5B"/>
    <w:rsid w:val="00FA3C00"/>
    <w:rsid w:val="00FA3D38"/>
    <w:rsid w:val="00FA3D9B"/>
    <w:rsid w:val="00FA3DFB"/>
    <w:rsid w:val="00FA3F73"/>
    <w:rsid w:val="00FA44A8"/>
    <w:rsid w:val="00FA45C7"/>
    <w:rsid w:val="00FA4886"/>
    <w:rsid w:val="00FA4AA2"/>
    <w:rsid w:val="00FA4BBC"/>
    <w:rsid w:val="00FA52BD"/>
    <w:rsid w:val="00FA5477"/>
    <w:rsid w:val="00FA572A"/>
    <w:rsid w:val="00FA5CB0"/>
    <w:rsid w:val="00FA5D0C"/>
    <w:rsid w:val="00FA5D12"/>
    <w:rsid w:val="00FA5E12"/>
    <w:rsid w:val="00FA5F02"/>
    <w:rsid w:val="00FA60BD"/>
    <w:rsid w:val="00FA6494"/>
    <w:rsid w:val="00FA6733"/>
    <w:rsid w:val="00FA67D7"/>
    <w:rsid w:val="00FA688A"/>
    <w:rsid w:val="00FA6BF7"/>
    <w:rsid w:val="00FA6C83"/>
    <w:rsid w:val="00FA6E2E"/>
    <w:rsid w:val="00FA70CF"/>
    <w:rsid w:val="00FA70FC"/>
    <w:rsid w:val="00FA723F"/>
    <w:rsid w:val="00FA728B"/>
    <w:rsid w:val="00FA769B"/>
    <w:rsid w:val="00FA780E"/>
    <w:rsid w:val="00FA7DB6"/>
    <w:rsid w:val="00FA7E4E"/>
    <w:rsid w:val="00FA7F50"/>
    <w:rsid w:val="00FA7F83"/>
    <w:rsid w:val="00FB012C"/>
    <w:rsid w:val="00FB0547"/>
    <w:rsid w:val="00FB0564"/>
    <w:rsid w:val="00FB0912"/>
    <w:rsid w:val="00FB1133"/>
    <w:rsid w:val="00FB146D"/>
    <w:rsid w:val="00FB1938"/>
    <w:rsid w:val="00FB1B94"/>
    <w:rsid w:val="00FB207A"/>
    <w:rsid w:val="00FB20A3"/>
    <w:rsid w:val="00FB248E"/>
    <w:rsid w:val="00FB287A"/>
    <w:rsid w:val="00FB28CC"/>
    <w:rsid w:val="00FB2990"/>
    <w:rsid w:val="00FB2ED4"/>
    <w:rsid w:val="00FB3277"/>
    <w:rsid w:val="00FB32AF"/>
    <w:rsid w:val="00FB33C0"/>
    <w:rsid w:val="00FB344A"/>
    <w:rsid w:val="00FB3781"/>
    <w:rsid w:val="00FB38C0"/>
    <w:rsid w:val="00FB3962"/>
    <w:rsid w:val="00FB3DA0"/>
    <w:rsid w:val="00FB3DF9"/>
    <w:rsid w:val="00FB3EB6"/>
    <w:rsid w:val="00FB3F18"/>
    <w:rsid w:val="00FB4047"/>
    <w:rsid w:val="00FB40ED"/>
    <w:rsid w:val="00FB4249"/>
    <w:rsid w:val="00FB4291"/>
    <w:rsid w:val="00FB447D"/>
    <w:rsid w:val="00FB46A4"/>
    <w:rsid w:val="00FB4862"/>
    <w:rsid w:val="00FB48F5"/>
    <w:rsid w:val="00FB49DE"/>
    <w:rsid w:val="00FB4CC9"/>
    <w:rsid w:val="00FB4DF9"/>
    <w:rsid w:val="00FB4F83"/>
    <w:rsid w:val="00FB4FF0"/>
    <w:rsid w:val="00FB5064"/>
    <w:rsid w:val="00FB51A7"/>
    <w:rsid w:val="00FB51F9"/>
    <w:rsid w:val="00FB5275"/>
    <w:rsid w:val="00FB53F4"/>
    <w:rsid w:val="00FB55D1"/>
    <w:rsid w:val="00FB5788"/>
    <w:rsid w:val="00FB58E5"/>
    <w:rsid w:val="00FB59F6"/>
    <w:rsid w:val="00FB5AC1"/>
    <w:rsid w:val="00FB5DC4"/>
    <w:rsid w:val="00FB5F36"/>
    <w:rsid w:val="00FB64C9"/>
    <w:rsid w:val="00FB6620"/>
    <w:rsid w:val="00FB74E1"/>
    <w:rsid w:val="00FB7548"/>
    <w:rsid w:val="00FB75DE"/>
    <w:rsid w:val="00FB7685"/>
    <w:rsid w:val="00FB7A3A"/>
    <w:rsid w:val="00FB7ED1"/>
    <w:rsid w:val="00FC007A"/>
    <w:rsid w:val="00FC024A"/>
    <w:rsid w:val="00FC0292"/>
    <w:rsid w:val="00FC031B"/>
    <w:rsid w:val="00FC0358"/>
    <w:rsid w:val="00FC037F"/>
    <w:rsid w:val="00FC0633"/>
    <w:rsid w:val="00FC0635"/>
    <w:rsid w:val="00FC093B"/>
    <w:rsid w:val="00FC09B8"/>
    <w:rsid w:val="00FC12BD"/>
    <w:rsid w:val="00FC1DA5"/>
    <w:rsid w:val="00FC1E37"/>
    <w:rsid w:val="00FC20EC"/>
    <w:rsid w:val="00FC2515"/>
    <w:rsid w:val="00FC27C8"/>
    <w:rsid w:val="00FC2BF6"/>
    <w:rsid w:val="00FC3317"/>
    <w:rsid w:val="00FC3322"/>
    <w:rsid w:val="00FC3534"/>
    <w:rsid w:val="00FC355A"/>
    <w:rsid w:val="00FC3638"/>
    <w:rsid w:val="00FC36C4"/>
    <w:rsid w:val="00FC38F8"/>
    <w:rsid w:val="00FC3A64"/>
    <w:rsid w:val="00FC3AB2"/>
    <w:rsid w:val="00FC3B15"/>
    <w:rsid w:val="00FC3C25"/>
    <w:rsid w:val="00FC3DBE"/>
    <w:rsid w:val="00FC42A5"/>
    <w:rsid w:val="00FC44A6"/>
    <w:rsid w:val="00FC456B"/>
    <w:rsid w:val="00FC45A2"/>
    <w:rsid w:val="00FC46EC"/>
    <w:rsid w:val="00FC4FE3"/>
    <w:rsid w:val="00FC5035"/>
    <w:rsid w:val="00FC510B"/>
    <w:rsid w:val="00FC539F"/>
    <w:rsid w:val="00FC5433"/>
    <w:rsid w:val="00FC5888"/>
    <w:rsid w:val="00FC59D6"/>
    <w:rsid w:val="00FC5A71"/>
    <w:rsid w:val="00FC5AB8"/>
    <w:rsid w:val="00FC5B5B"/>
    <w:rsid w:val="00FC5EEC"/>
    <w:rsid w:val="00FC639B"/>
    <w:rsid w:val="00FC6598"/>
    <w:rsid w:val="00FC65FA"/>
    <w:rsid w:val="00FC6738"/>
    <w:rsid w:val="00FC67EA"/>
    <w:rsid w:val="00FC6939"/>
    <w:rsid w:val="00FC6940"/>
    <w:rsid w:val="00FC6964"/>
    <w:rsid w:val="00FC70DD"/>
    <w:rsid w:val="00FC7344"/>
    <w:rsid w:val="00FC7435"/>
    <w:rsid w:val="00FC7525"/>
    <w:rsid w:val="00FC7B19"/>
    <w:rsid w:val="00FC7C74"/>
    <w:rsid w:val="00FC7D90"/>
    <w:rsid w:val="00FC7E31"/>
    <w:rsid w:val="00FC7E81"/>
    <w:rsid w:val="00FC7F2D"/>
    <w:rsid w:val="00FC7FDC"/>
    <w:rsid w:val="00FD0056"/>
    <w:rsid w:val="00FD00AD"/>
    <w:rsid w:val="00FD0354"/>
    <w:rsid w:val="00FD04C1"/>
    <w:rsid w:val="00FD07EF"/>
    <w:rsid w:val="00FD0918"/>
    <w:rsid w:val="00FD0D44"/>
    <w:rsid w:val="00FD11A8"/>
    <w:rsid w:val="00FD1286"/>
    <w:rsid w:val="00FD140A"/>
    <w:rsid w:val="00FD1886"/>
    <w:rsid w:val="00FD1DB0"/>
    <w:rsid w:val="00FD1DD0"/>
    <w:rsid w:val="00FD22A6"/>
    <w:rsid w:val="00FD2810"/>
    <w:rsid w:val="00FD2B8C"/>
    <w:rsid w:val="00FD2FF2"/>
    <w:rsid w:val="00FD30C8"/>
    <w:rsid w:val="00FD3341"/>
    <w:rsid w:val="00FD340B"/>
    <w:rsid w:val="00FD351D"/>
    <w:rsid w:val="00FD35DF"/>
    <w:rsid w:val="00FD36FA"/>
    <w:rsid w:val="00FD3A07"/>
    <w:rsid w:val="00FD3BD2"/>
    <w:rsid w:val="00FD3C93"/>
    <w:rsid w:val="00FD4308"/>
    <w:rsid w:val="00FD443F"/>
    <w:rsid w:val="00FD48D5"/>
    <w:rsid w:val="00FD48DF"/>
    <w:rsid w:val="00FD4AC3"/>
    <w:rsid w:val="00FD4CD5"/>
    <w:rsid w:val="00FD4CFF"/>
    <w:rsid w:val="00FD5138"/>
    <w:rsid w:val="00FD5193"/>
    <w:rsid w:val="00FD5514"/>
    <w:rsid w:val="00FD57A9"/>
    <w:rsid w:val="00FD57BC"/>
    <w:rsid w:val="00FD5A66"/>
    <w:rsid w:val="00FD5B2C"/>
    <w:rsid w:val="00FD5BCA"/>
    <w:rsid w:val="00FD5DA3"/>
    <w:rsid w:val="00FD60F0"/>
    <w:rsid w:val="00FD6375"/>
    <w:rsid w:val="00FD662E"/>
    <w:rsid w:val="00FD6671"/>
    <w:rsid w:val="00FD6680"/>
    <w:rsid w:val="00FD6C38"/>
    <w:rsid w:val="00FD6C82"/>
    <w:rsid w:val="00FD7126"/>
    <w:rsid w:val="00FD7186"/>
    <w:rsid w:val="00FD72C6"/>
    <w:rsid w:val="00FD74F8"/>
    <w:rsid w:val="00FD7664"/>
    <w:rsid w:val="00FD76BB"/>
    <w:rsid w:val="00FD77CF"/>
    <w:rsid w:val="00FD7AD2"/>
    <w:rsid w:val="00FD7BA0"/>
    <w:rsid w:val="00FD7D5D"/>
    <w:rsid w:val="00FD7D74"/>
    <w:rsid w:val="00FD7DA2"/>
    <w:rsid w:val="00FD7EBB"/>
    <w:rsid w:val="00FE00FD"/>
    <w:rsid w:val="00FE0139"/>
    <w:rsid w:val="00FE02CA"/>
    <w:rsid w:val="00FE03D5"/>
    <w:rsid w:val="00FE063A"/>
    <w:rsid w:val="00FE086A"/>
    <w:rsid w:val="00FE0887"/>
    <w:rsid w:val="00FE10AC"/>
    <w:rsid w:val="00FE12E5"/>
    <w:rsid w:val="00FE1470"/>
    <w:rsid w:val="00FE14C7"/>
    <w:rsid w:val="00FE188F"/>
    <w:rsid w:val="00FE1936"/>
    <w:rsid w:val="00FE1A5B"/>
    <w:rsid w:val="00FE1D46"/>
    <w:rsid w:val="00FE1E24"/>
    <w:rsid w:val="00FE20D5"/>
    <w:rsid w:val="00FE22BE"/>
    <w:rsid w:val="00FE2376"/>
    <w:rsid w:val="00FE24D5"/>
    <w:rsid w:val="00FE2641"/>
    <w:rsid w:val="00FE274B"/>
    <w:rsid w:val="00FE2B69"/>
    <w:rsid w:val="00FE2E64"/>
    <w:rsid w:val="00FE2E86"/>
    <w:rsid w:val="00FE308A"/>
    <w:rsid w:val="00FE3279"/>
    <w:rsid w:val="00FE34E2"/>
    <w:rsid w:val="00FE39DA"/>
    <w:rsid w:val="00FE39F2"/>
    <w:rsid w:val="00FE3A6A"/>
    <w:rsid w:val="00FE3E15"/>
    <w:rsid w:val="00FE3E54"/>
    <w:rsid w:val="00FE3F6B"/>
    <w:rsid w:val="00FE409A"/>
    <w:rsid w:val="00FE43C1"/>
    <w:rsid w:val="00FE4582"/>
    <w:rsid w:val="00FE4738"/>
    <w:rsid w:val="00FE4A00"/>
    <w:rsid w:val="00FE4C22"/>
    <w:rsid w:val="00FE4E40"/>
    <w:rsid w:val="00FE51D4"/>
    <w:rsid w:val="00FE53EC"/>
    <w:rsid w:val="00FE596D"/>
    <w:rsid w:val="00FE5A52"/>
    <w:rsid w:val="00FE5BC9"/>
    <w:rsid w:val="00FE6262"/>
    <w:rsid w:val="00FE674A"/>
    <w:rsid w:val="00FE682F"/>
    <w:rsid w:val="00FE6A2D"/>
    <w:rsid w:val="00FE6B74"/>
    <w:rsid w:val="00FE6D19"/>
    <w:rsid w:val="00FE7004"/>
    <w:rsid w:val="00FE727D"/>
    <w:rsid w:val="00FE732E"/>
    <w:rsid w:val="00FE7756"/>
    <w:rsid w:val="00FE778E"/>
    <w:rsid w:val="00FE7A05"/>
    <w:rsid w:val="00FE7E88"/>
    <w:rsid w:val="00FF012F"/>
    <w:rsid w:val="00FF0187"/>
    <w:rsid w:val="00FF04A6"/>
    <w:rsid w:val="00FF054F"/>
    <w:rsid w:val="00FF06BB"/>
    <w:rsid w:val="00FF0769"/>
    <w:rsid w:val="00FF07C9"/>
    <w:rsid w:val="00FF096C"/>
    <w:rsid w:val="00FF09DE"/>
    <w:rsid w:val="00FF0BFD"/>
    <w:rsid w:val="00FF0F82"/>
    <w:rsid w:val="00FF12E8"/>
    <w:rsid w:val="00FF134A"/>
    <w:rsid w:val="00FF14CB"/>
    <w:rsid w:val="00FF1624"/>
    <w:rsid w:val="00FF1740"/>
    <w:rsid w:val="00FF18D4"/>
    <w:rsid w:val="00FF18FE"/>
    <w:rsid w:val="00FF195B"/>
    <w:rsid w:val="00FF1984"/>
    <w:rsid w:val="00FF1A15"/>
    <w:rsid w:val="00FF1BA1"/>
    <w:rsid w:val="00FF1CA2"/>
    <w:rsid w:val="00FF1CA3"/>
    <w:rsid w:val="00FF1CFD"/>
    <w:rsid w:val="00FF1D93"/>
    <w:rsid w:val="00FF1E68"/>
    <w:rsid w:val="00FF2ACC"/>
    <w:rsid w:val="00FF2C49"/>
    <w:rsid w:val="00FF2D6C"/>
    <w:rsid w:val="00FF2DFF"/>
    <w:rsid w:val="00FF2FB0"/>
    <w:rsid w:val="00FF2FD2"/>
    <w:rsid w:val="00FF30D2"/>
    <w:rsid w:val="00FF3495"/>
    <w:rsid w:val="00FF39C2"/>
    <w:rsid w:val="00FF3C74"/>
    <w:rsid w:val="00FF3F2F"/>
    <w:rsid w:val="00FF3FE6"/>
    <w:rsid w:val="00FF40DC"/>
    <w:rsid w:val="00FF4308"/>
    <w:rsid w:val="00FF4342"/>
    <w:rsid w:val="00FF4559"/>
    <w:rsid w:val="00FF48D9"/>
    <w:rsid w:val="00FF4AF9"/>
    <w:rsid w:val="00FF4CD7"/>
    <w:rsid w:val="00FF4DDE"/>
    <w:rsid w:val="00FF5172"/>
    <w:rsid w:val="00FF544D"/>
    <w:rsid w:val="00FF54C4"/>
    <w:rsid w:val="00FF55D6"/>
    <w:rsid w:val="00FF565E"/>
    <w:rsid w:val="00FF56BA"/>
    <w:rsid w:val="00FF56BF"/>
    <w:rsid w:val="00FF5C30"/>
    <w:rsid w:val="00FF5C98"/>
    <w:rsid w:val="00FF5D89"/>
    <w:rsid w:val="00FF5E06"/>
    <w:rsid w:val="00FF6021"/>
    <w:rsid w:val="00FF636F"/>
    <w:rsid w:val="00FF6468"/>
    <w:rsid w:val="00FF6A4D"/>
    <w:rsid w:val="00FF6B04"/>
    <w:rsid w:val="00FF6B5F"/>
    <w:rsid w:val="00FF6BA3"/>
    <w:rsid w:val="00FF6BB3"/>
    <w:rsid w:val="00FF6C6E"/>
    <w:rsid w:val="00FF6CAC"/>
    <w:rsid w:val="00FF6CF6"/>
    <w:rsid w:val="00FF6E3A"/>
    <w:rsid w:val="00FF6E3D"/>
    <w:rsid w:val="00FF717B"/>
    <w:rsid w:val="00FF72A0"/>
    <w:rsid w:val="00FF758A"/>
    <w:rsid w:val="00FF761D"/>
    <w:rsid w:val="00FF7B31"/>
    <w:rsid w:val="00FF7BB0"/>
    <w:rsid w:val="00FF7BF7"/>
    <w:rsid w:val="00FF7E8E"/>
    <w:rsid w:val="00FF7EEE"/>
    <w:rsid w:val="01DAEAC1"/>
    <w:rsid w:val="024852C0"/>
    <w:rsid w:val="0254960C"/>
    <w:rsid w:val="026C0F9B"/>
    <w:rsid w:val="02E728CC"/>
    <w:rsid w:val="02F97FE6"/>
    <w:rsid w:val="04040D13"/>
    <w:rsid w:val="05131598"/>
    <w:rsid w:val="05395592"/>
    <w:rsid w:val="05F989AC"/>
    <w:rsid w:val="06505AE6"/>
    <w:rsid w:val="06C8E9C2"/>
    <w:rsid w:val="070F1E3E"/>
    <w:rsid w:val="070F8EB2"/>
    <w:rsid w:val="07347916"/>
    <w:rsid w:val="0738458D"/>
    <w:rsid w:val="080083EF"/>
    <w:rsid w:val="080252A8"/>
    <w:rsid w:val="084993AE"/>
    <w:rsid w:val="0864D516"/>
    <w:rsid w:val="0871778B"/>
    <w:rsid w:val="0890134F"/>
    <w:rsid w:val="08C3AA07"/>
    <w:rsid w:val="08D0E8BE"/>
    <w:rsid w:val="08DB0622"/>
    <w:rsid w:val="093B09D0"/>
    <w:rsid w:val="0972D3CE"/>
    <w:rsid w:val="098FBA91"/>
    <w:rsid w:val="0A14D204"/>
    <w:rsid w:val="0A4C9104"/>
    <w:rsid w:val="0B2BA4A7"/>
    <w:rsid w:val="0B6D104E"/>
    <w:rsid w:val="0B771C5E"/>
    <w:rsid w:val="0B87AA03"/>
    <w:rsid w:val="0BA99C79"/>
    <w:rsid w:val="0BEF6E0F"/>
    <w:rsid w:val="0C08251D"/>
    <w:rsid w:val="0CC8D366"/>
    <w:rsid w:val="0CD76004"/>
    <w:rsid w:val="0CDD2F7D"/>
    <w:rsid w:val="0D0C60A3"/>
    <w:rsid w:val="0DF5F25A"/>
    <w:rsid w:val="0E1CB21B"/>
    <w:rsid w:val="0E305811"/>
    <w:rsid w:val="0ED2BFB8"/>
    <w:rsid w:val="0F2DA189"/>
    <w:rsid w:val="0F6C3867"/>
    <w:rsid w:val="0FFD9566"/>
    <w:rsid w:val="0FFF4911"/>
    <w:rsid w:val="10096467"/>
    <w:rsid w:val="109F2C61"/>
    <w:rsid w:val="10B974D8"/>
    <w:rsid w:val="118A6538"/>
    <w:rsid w:val="118C12DF"/>
    <w:rsid w:val="11BDCBFB"/>
    <w:rsid w:val="1242E6CB"/>
    <w:rsid w:val="12A7D72B"/>
    <w:rsid w:val="12A9E827"/>
    <w:rsid w:val="12F3D5A7"/>
    <w:rsid w:val="13764CBC"/>
    <w:rsid w:val="1416440A"/>
    <w:rsid w:val="143CDAE8"/>
    <w:rsid w:val="153D7175"/>
    <w:rsid w:val="158C552F"/>
    <w:rsid w:val="158D14FA"/>
    <w:rsid w:val="15DA6A5B"/>
    <w:rsid w:val="15FBFF67"/>
    <w:rsid w:val="160608A3"/>
    <w:rsid w:val="17E5385D"/>
    <w:rsid w:val="183C3562"/>
    <w:rsid w:val="1850F4B9"/>
    <w:rsid w:val="18943478"/>
    <w:rsid w:val="199CD5B1"/>
    <w:rsid w:val="1A0D79B4"/>
    <w:rsid w:val="1A34BCBC"/>
    <w:rsid w:val="1A5262DF"/>
    <w:rsid w:val="1B0F146D"/>
    <w:rsid w:val="1BB6B02E"/>
    <w:rsid w:val="1C4B1D70"/>
    <w:rsid w:val="1CCCC9B9"/>
    <w:rsid w:val="1CE746C9"/>
    <w:rsid w:val="1D2E9D92"/>
    <w:rsid w:val="1D3E383C"/>
    <w:rsid w:val="1D46202C"/>
    <w:rsid w:val="1DFE7A3F"/>
    <w:rsid w:val="1E4839F2"/>
    <w:rsid w:val="1EF1F90B"/>
    <w:rsid w:val="1F045E78"/>
    <w:rsid w:val="1F314EFF"/>
    <w:rsid w:val="1F3F0533"/>
    <w:rsid w:val="1FA9BF8E"/>
    <w:rsid w:val="1FC4AAAA"/>
    <w:rsid w:val="2013DEBC"/>
    <w:rsid w:val="2060592D"/>
    <w:rsid w:val="208A3573"/>
    <w:rsid w:val="20D14A2A"/>
    <w:rsid w:val="212B41BC"/>
    <w:rsid w:val="213A632E"/>
    <w:rsid w:val="216E33F6"/>
    <w:rsid w:val="21B2CD41"/>
    <w:rsid w:val="21B442AA"/>
    <w:rsid w:val="21CB7D2F"/>
    <w:rsid w:val="224DA68B"/>
    <w:rsid w:val="22762C5D"/>
    <w:rsid w:val="22D09527"/>
    <w:rsid w:val="23A237D5"/>
    <w:rsid w:val="23B21CA5"/>
    <w:rsid w:val="23EAA191"/>
    <w:rsid w:val="246719CE"/>
    <w:rsid w:val="25A5A07B"/>
    <w:rsid w:val="2610CD1C"/>
    <w:rsid w:val="261EA27C"/>
    <w:rsid w:val="2648B101"/>
    <w:rsid w:val="26BC283D"/>
    <w:rsid w:val="26FCC3EB"/>
    <w:rsid w:val="270CBCCC"/>
    <w:rsid w:val="272A15E0"/>
    <w:rsid w:val="2773D5B5"/>
    <w:rsid w:val="27E3CF5F"/>
    <w:rsid w:val="2845974B"/>
    <w:rsid w:val="287A230E"/>
    <w:rsid w:val="2883E524"/>
    <w:rsid w:val="28C0E3E1"/>
    <w:rsid w:val="28D0D11D"/>
    <w:rsid w:val="28E96063"/>
    <w:rsid w:val="2975FE5A"/>
    <w:rsid w:val="29C66FD9"/>
    <w:rsid w:val="29FA5842"/>
    <w:rsid w:val="2A0B9E6E"/>
    <w:rsid w:val="2A60B705"/>
    <w:rsid w:val="2A8267B1"/>
    <w:rsid w:val="2ABD1305"/>
    <w:rsid w:val="2B32A0D5"/>
    <w:rsid w:val="2B512374"/>
    <w:rsid w:val="2B92C559"/>
    <w:rsid w:val="2BE04818"/>
    <w:rsid w:val="2CCB233B"/>
    <w:rsid w:val="2D00D271"/>
    <w:rsid w:val="2DE06364"/>
    <w:rsid w:val="2EC1377B"/>
    <w:rsid w:val="2F001ECC"/>
    <w:rsid w:val="2F5D788E"/>
    <w:rsid w:val="2F6DC7F7"/>
    <w:rsid w:val="2FAA04A8"/>
    <w:rsid w:val="300B501A"/>
    <w:rsid w:val="3049E89C"/>
    <w:rsid w:val="305D7507"/>
    <w:rsid w:val="306E0D16"/>
    <w:rsid w:val="30C8A5A2"/>
    <w:rsid w:val="312E4939"/>
    <w:rsid w:val="3147E54A"/>
    <w:rsid w:val="32653EF2"/>
    <w:rsid w:val="33027380"/>
    <w:rsid w:val="331231D0"/>
    <w:rsid w:val="3345764F"/>
    <w:rsid w:val="33BD6922"/>
    <w:rsid w:val="349AA5F1"/>
    <w:rsid w:val="34DBF41C"/>
    <w:rsid w:val="3503F4FE"/>
    <w:rsid w:val="3547C043"/>
    <w:rsid w:val="358D9F0D"/>
    <w:rsid w:val="3630BFD3"/>
    <w:rsid w:val="36EB5821"/>
    <w:rsid w:val="36EF5D87"/>
    <w:rsid w:val="37482BE0"/>
    <w:rsid w:val="378CD0BB"/>
    <w:rsid w:val="37982671"/>
    <w:rsid w:val="379D719E"/>
    <w:rsid w:val="37A49F83"/>
    <w:rsid w:val="387B0C51"/>
    <w:rsid w:val="3971C141"/>
    <w:rsid w:val="39ED5964"/>
    <w:rsid w:val="39F8522A"/>
    <w:rsid w:val="3A2DC0DA"/>
    <w:rsid w:val="3A4C4A8C"/>
    <w:rsid w:val="3A96D3E2"/>
    <w:rsid w:val="3A9AFEFE"/>
    <w:rsid w:val="3AD66BDC"/>
    <w:rsid w:val="3AD8450D"/>
    <w:rsid w:val="3AF99F6F"/>
    <w:rsid w:val="3B099573"/>
    <w:rsid w:val="3C226906"/>
    <w:rsid w:val="3C2C1201"/>
    <w:rsid w:val="3CBA3BBD"/>
    <w:rsid w:val="3D3AC047"/>
    <w:rsid w:val="3D5D37A5"/>
    <w:rsid w:val="3D9CF140"/>
    <w:rsid w:val="3DCA8208"/>
    <w:rsid w:val="3DE861CA"/>
    <w:rsid w:val="3ED76232"/>
    <w:rsid w:val="3F2D126E"/>
    <w:rsid w:val="3F3C6827"/>
    <w:rsid w:val="3F5611A5"/>
    <w:rsid w:val="3F800D25"/>
    <w:rsid w:val="3F81F7CB"/>
    <w:rsid w:val="3F8C9AEC"/>
    <w:rsid w:val="4007DFA0"/>
    <w:rsid w:val="40CB8951"/>
    <w:rsid w:val="4134C1B0"/>
    <w:rsid w:val="413E84BF"/>
    <w:rsid w:val="4162C4E1"/>
    <w:rsid w:val="4171A00D"/>
    <w:rsid w:val="41AAC6E3"/>
    <w:rsid w:val="41B82BA1"/>
    <w:rsid w:val="41BFD235"/>
    <w:rsid w:val="4266B427"/>
    <w:rsid w:val="42F5EA98"/>
    <w:rsid w:val="43354757"/>
    <w:rsid w:val="4356291F"/>
    <w:rsid w:val="436DB397"/>
    <w:rsid w:val="43D8932B"/>
    <w:rsid w:val="43F430C7"/>
    <w:rsid w:val="444703D6"/>
    <w:rsid w:val="44B790B0"/>
    <w:rsid w:val="44BB030C"/>
    <w:rsid w:val="44D34A18"/>
    <w:rsid w:val="45A56640"/>
    <w:rsid w:val="45CD0E6F"/>
    <w:rsid w:val="460686DF"/>
    <w:rsid w:val="4640382C"/>
    <w:rsid w:val="467A7D38"/>
    <w:rsid w:val="467AFA97"/>
    <w:rsid w:val="46B60161"/>
    <w:rsid w:val="46E8257D"/>
    <w:rsid w:val="475DDC67"/>
    <w:rsid w:val="476E3BFA"/>
    <w:rsid w:val="479FCB49"/>
    <w:rsid w:val="484D90B3"/>
    <w:rsid w:val="48C89BF9"/>
    <w:rsid w:val="48EAE2B0"/>
    <w:rsid w:val="48F8A62D"/>
    <w:rsid w:val="48FCE8B8"/>
    <w:rsid w:val="48FEAD2C"/>
    <w:rsid w:val="49002A29"/>
    <w:rsid w:val="494F7728"/>
    <w:rsid w:val="49A244CD"/>
    <w:rsid w:val="49ABB48F"/>
    <w:rsid w:val="49DF8FFC"/>
    <w:rsid w:val="4B36878C"/>
    <w:rsid w:val="4B7C4F46"/>
    <w:rsid w:val="4C44C5CA"/>
    <w:rsid w:val="4C470FFD"/>
    <w:rsid w:val="4C481B62"/>
    <w:rsid w:val="4D076A2B"/>
    <w:rsid w:val="4D0D1710"/>
    <w:rsid w:val="4D50C2D0"/>
    <w:rsid w:val="4D91A2ED"/>
    <w:rsid w:val="4DA0A502"/>
    <w:rsid w:val="4DB5652A"/>
    <w:rsid w:val="4DD43103"/>
    <w:rsid w:val="4E0882EB"/>
    <w:rsid w:val="4E59547D"/>
    <w:rsid w:val="507B9129"/>
    <w:rsid w:val="515A926D"/>
    <w:rsid w:val="51683981"/>
    <w:rsid w:val="51CB62A9"/>
    <w:rsid w:val="51F8F2DC"/>
    <w:rsid w:val="527EEB64"/>
    <w:rsid w:val="52B289CC"/>
    <w:rsid w:val="52E35EE7"/>
    <w:rsid w:val="52E78758"/>
    <w:rsid w:val="532F36B2"/>
    <w:rsid w:val="53EA30A6"/>
    <w:rsid w:val="53FE8D07"/>
    <w:rsid w:val="543515AF"/>
    <w:rsid w:val="544158AF"/>
    <w:rsid w:val="547A3B51"/>
    <w:rsid w:val="550B4536"/>
    <w:rsid w:val="560D9D87"/>
    <w:rsid w:val="5631CD16"/>
    <w:rsid w:val="5645B27C"/>
    <w:rsid w:val="567FB592"/>
    <w:rsid w:val="56AB8A31"/>
    <w:rsid w:val="56FEF3CD"/>
    <w:rsid w:val="5728F8DA"/>
    <w:rsid w:val="57352B66"/>
    <w:rsid w:val="57F73C1E"/>
    <w:rsid w:val="57FEF9A6"/>
    <w:rsid w:val="589A3A9D"/>
    <w:rsid w:val="58B814BE"/>
    <w:rsid w:val="58C355EF"/>
    <w:rsid w:val="58C48320"/>
    <w:rsid w:val="5908A26E"/>
    <w:rsid w:val="59577F31"/>
    <w:rsid w:val="5972ABBF"/>
    <w:rsid w:val="59D65E40"/>
    <w:rsid w:val="5A09FCCA"/>
    <w:rsid w:val="5B1A296D"/>
    <w:rsid w:val="5B40701D"/>
    <w:rsid w:val="5BA21617"/>
    <w:rsid w:val="5BF396EB"/>
    <w:rsid w:val="5C261489"/>
    <w:rsid w:val="5C5F19B1"/>
    <w:rsid w:val="5C6FFFE1"/>
    <w:rsid w:val="5C8ED697"/>
    <w:rsid w:val="5C96F78B"/>
    <w:rsid w:val="5CD67F64"/>
    <w:rsid w:val="5E0746B4"/>
    <w:rsid w:val="5EAB5EB4"/>
    <w:rsid w:val="5EF9D2EA"/>
    <w:rsid w:val="607F6A46"/>
    <w:rsid w:val="6150A4E5"/>
    <w:rsid w:val="615D5D73"/>
    <w:rsid w:val="61F5C596"/>
    <w:rsid w:val="6278A5F1"/>
    <w:rsid w:val="62BCB53F"/>
    <w:rsid w:val="62DA4A65"/>
    <w:rsid w:val="63372D6C"/>
    <w:rsid w:val="63894120"/>
    <w:rsid w:val="64936410"/>
    <w:rsid w:val="64A7A5D5"/>
    <w:rsid w:val="64E72161"/>
    <w:rsid w:val="650DDC3D"/>
    <w:rsid w:val="6535D508"/>
    <w:rsid w:val="65F51BFA"/>
    <w:rsid w:val="66022324"/>
    <w:rsid w:val="661B9A04"/>
    <w:rsid w:val="67EDD51E"/>
    <w:rsid w:val="688EE137"/>
    <w:rsid w:val="68AF2A47"/>
    <w:rsid w:val="69679238"/>
    <w:rsid w:val="69CF153C"/>
    <w:rsid w:val="69EC9DE8"/>
    <w:rsid w:val="6A525F88"/>
    <w:rsid w:val="6A78931F"/>
    <w:rsid w:val="6A935A6E"/>
    <w:rsid w:val="6AD8856C"/>
    <w:rsid w:val="6AECD452"/>
    <w:rsid w:val="6BB2F422"/>
    <w:rsid w:val="6BD62F7B"/>
    <w:rsid w:val="6BDC3BEB"/>
    <w:rsid w:val="6C0902DC"/>
    <w:rsid w:val="6C54679A"/>
    <w:rsid w:val="6CC960FD"/>
    <w:rsid w:val="6CFE22ED"/>
    <w:rsid w:val="6D212F28"/>
    <w:rsid w:val="6D48C1BB"/>
    <w:rsid w:val="6D56711B"/>
    <w:rsid w:val="6DA8B439"/>
    <w:rsid w:val="6E0CE313"/>
    <w:rsid w:val="6EB9654A"/>
    <w:rsid w:val="6F083AE8"/>
    <w:rsid w:val="6F84CEDB"/>
    <w:rsid w:val="706CE0DB"/>
    <w:rsid w:val="712BDE8C"/>
    <w:rsid w:val="718EC994"/>
    <w:rsid w:val="7190567F"/>
    <w:rsid w:val="71922808"/>
    <w:rsid w:val="721ECE94"/>
    <w:rsid w:val="72F986D9"/>
    <w:rsid w:val="7301EF69"/>
    <w:rsid w:val="73117089"/>
    <w:rsid w:val="73785996"/>
    <w:rsid w:val="73CCB1A1"/>
    <w:rsid w:val="7421896E"/>
    <w:rsid w:val="7444161B"/>
    <w:rsid w:val="745C0A97"/>
    <w:rsid w:val="7530EC34"/>
    <w:rsid w:val="75373CCC"/>
    <w:rsid w:val="759CB745"/>
    <w:rsid w:val="761B1080"/>
    <w:rsid w:val="761FB73B"/>
    <w:rsid w:val="762DBC29"/>
    <w:rsid w:val="7716791C"/>
    <w:rsid w:val="77249513"/>
    <w:rsid w:val="775CCC2E"/>
    <w:rsid w:val="776E91BF"/>
    <w:rsid w:val="780EBFD6"/>
    <w:rsid w:val="78293B82"/>
    <w:rsid w:val="795C2E97"/>
    <w:rsid w:val="795E14B4"/>
    <w:rsid w:val="7992F066"/>
    <w:rsid w:val="79CAAF31"/>
    <w:rsid w:val="79FE075E"/>
    <w:rsid w:val="7A9022CB"/>
    <w:rsid w:val="7ACB4400"/>
    <w:rsid w:val="7BA924F2"/>
    <w:rsid w:val="7D066DEA"/>
    <w:rsid w:val="7D2545B7"/>
    <w:rsid w:val="7D3727BB"/>
    <w:rsid w:val="7E2B94FA"/>
    <w:rsid w:val="7E2E05C3"/>
    <w:rsid w:val="7E4E040F"/>
    <w:rsid w:val="7E9178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2761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sl-SI"/>
    </w:rPr>
  </w:style>
  <w:style w:type="paragraph" w:styleId="Heading1">
    <w:name w:val="heading 1"/>
    <w:basedOn w:val="Normal"/>
    <w:next w:val="Text1"/>
    <w:link w:val="Heading1Char"/>
    <w:uiPriority w:val="9"/>
    <w:qFormat/>
    <w:pPr>
      <w:keepNext/>
      <w:numPr>
        <w:numId w:val="4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0"/>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0"/>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0"/>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0"/>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semiHidden/>
    <w:unhideWhenUsed/>
    <w:rsid w:val="00FD36FA"/>
    <w:pPr>
      <w:numPr>
        <w:numId w:val="1"/>
      </w:numPr>
      <w:contextualSpacing/>
    </w:pPr>
  </w:style>
  <w:style w:type="paragraph" w:styleId="ListBullet2">
    <w:name w:val="List Bullet 2"/>
    <w:basedOn w:val="Normal"/>
    <w:uiPriority w:val="99"/>
    <w:semiHidden/>
    <w:unhideWhenUsed/>
    <w:rsid w:val="00FD36FA"/>
    <w:pPr>
      <w:numPr>
        <w:numId w:val="2"/>
      </w:numPr>
      <w:contextualSpacing/>
    </w:pPr>
  </w:style>
  <w:style w:type="paragraph" w:styleId="ListBullet3">
    <w:name w:val="List Bullet 3"/>
    <w:basedOn w:val="Normal"/>
    <w:uiPriority w:val="99"/>
    <w:semiHidden/>
    <w:unhideWhenUsed/>
    <w:rsid w:val="00FD36FA"/>
    <w:pPr>
      <w:numPr>
        <w:numId w:val="3"/>
      </w:numPr>
      <w:contextualSpacing/>
    </w:pPr>
  </w:style>
  <w:style w:type="paragraph" w:styleId="ListBullet4">
    <w:name w:val="List Bullet 4"/>
    <w:basedOn w:val="Normal"/>
    <w:uiPriority w:val="99"/>
    <w:semiHidden/>
    <w:unhideWhenUsed/>
    <w:rsid w:val="00FD36FA"/>
    <w:pPr>
      <w:numPr>
        <w:numId w:val="4"/>
      </w:numPr>
      <w:contextualSpacing/>
    </w:pPr>
  </w:style>
  <w:style w:type="character" w:styleId="Hyperlink">
    <w:name w:val="Hyperlink"/>
    <w:basedOn w:val="DefaultParagraphFont"/>
    <w:uiPriority w:val="99"/>
    <w:unhideWhenUsed/>
    <w:rsid w:val="001E431A"/>
    <w:rPr>
      <w:color w:val="0000FF" w:themeColor="hyperlink"/>
      <w:u w:val="single"/>
    </w:rPr>
  </w:style>
  <w:style w:type="paragraph" w:styleId="Revision">
    <w:name w:val="Revision"/>
    <w:hidden/>
    <w:uiPriority w:val="99"/>
    <w:semiHidden/>
    <w:rsid w:val="00066D66"/>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632944"/>
    <w:rPr>
      <w:sz w:val="16"/>
      <w:szCs w:val="16"/>
    </w:rPr>
  </w:style>
  <w:style w:type="paragraph" w:styleId="CommentText">
    <w:name w:val="annotation text"/>
    <w:basedOn w:val="Normal"/>
    <w:link w:val="CommentTextChar"/>
    <w:uiPriority w:val="99"/>
    <w:unhideWhenUsed/>
    <w:rsid w:val="00632944"/>
    <w:rPr>
      <w:sz w:val="20"/>
      <w:szCs w:val="20"/>
    </w:rPr>
  </w:style>
  <w:style w:type="character" w:customStyle="1" w:styleId="CommentTextChar">
    <w:name w:val="Comment Text Char"/>
    <w:basedOn w:val="DefaultParagraphFont"/>
    <w:link w:val="CommentText"/>
    <w:uiPriority w:val="99"/>
    <w:rsid w:val="00632944"/>
    <w:rPr>
      <w:rFonts w:ascii="Times New Roman" w:hAnsi="Times New Roman" w:cs="Times New Roman"/>
      <w:sz w:val="20"/>
      <w:szCs w:val="20"/>
      <w:lang w:val="sl-SI"/>
    </w:rPr>
  </w:style>
  <w:style w:type="paragraph" w:styleId="CommentSubject">
    <w:name w:val="annotation subject"/>
    <w:basedOn w:val="CommentText"/>
    <w:next w:val="CommentText"/>
    <w:link w:val="CommentSubjectChar"/>
    <w:uiPriority w:val="99"/>
    <w:semiHidden/>
    <w:unhideWhenUsed/>
    <w:rsid w:val="00632944"/>
    <w:rPr>
      <w:b/>
      <w:bCs/>
    </w:rPr>
  </w:style>
  <w:style w:type="character" w:customStyle="1" w:styleId="CommentSubjectChar">
    <w:name w:val="Comment Subject Char"/>
    <w:basedOn w:val="CommentTextChar"/>
    <w:link w:val="CommentSubject"/>
    <w:uiPriority w:val="99"/>
    <w:semiHidden/>
    <w:rsid w:val="00632944"/>
    <w:rPr>
      <w:rFonts w:ascii="Times New Roman" w:hAnsi="Times New Roman" w:cs="Times New Roman"/>
      <w:b/>
      <w:bCs/>
      <w:sz w:val="20"/>
      <w:szCs w:val="20"/>
      <w:lang w:val="sl-SI"/>
    </w:rPr>
  </w:style>
  <w:style w:type="character" w:customStyle="1" w:styleId="UnresolvedMention">
    <w:name w:val="Unresolved Mention"/>
    <w:basedOn w:val="DefaultParagraphFont"/>
    <w:uiPriority w:val="99"/>
    <w:semiHidden/>
    <w:unhideWhenUsed/>
    <w:rsid w:val="00F326F8"/>
    <w:rPr>
      <w:color w:val="605E5C"/>
      <w:shd w:val="clear" w:color="auto" w:fill="E1DFDD"/>
    </w:rPr>
  </w:style>
  <w:style w:type="character" w:customStyle="1" w:styleId="normaltextrun">
    <w:name w:val="normaltextrun"/>
    <w:basedOn w:val="DefaultParagraphFont"/>
    <w:rsid w:val="00476327"/>
  </w:style>
  <w:style w:type="paragraph" w:styleId="ListParagraph">
    <w:name w:val="List Paragraph"/>
    <w:basedOn w:val="Normal"/>
    <w:uiPriority w:val="34"/>
    <w:qFormat/>
    <w:rsid w:val="00AA3E2E"/>
    <w:pPr>
      <w:ind w:left="720"/>
      <w:contextualSpacing/>
    </w:pPr>
  </w:style>
  <w:style w:type="character" w:styleId="FollowedHyperlink">
    <w:name w:val="FollowedHyperlink"/>
    <w:basedOn w:val="DefaultParagraphFont"/>
    <w:uiPriority w:val="99"/>
    <w:semiHidden/>
    <w:unhideWhenUsed/>
    <w:rsid w:val="006831FA"/>
    <w:rPr>
      <w:color w:val="800080" w:themeColor="followedHyperlink"/>
      <w:u w:val="single"/>
    </w:rPr>
  </w:style>
  <w:style w:type="character" w:customStyle="1" w:styleId="Mention">
    <w:name w:val="Mention"/>
    <w:basedOn w:val="DefaultParagraphFont"/>
    <w:uiPriority w:val="99"/>
    <w:unhideWhenUsed/>
    <w:rsid w:val="00156749"/>
    <w:rPr>
      <w:color w:val="2B579A"/>
      <w:shd w:val="clear" w:color="auto" w:fill="E1DFDD"/>
    </w:rPr>
  </w:style>
  <w:style w:type="paragraph" w:customStyle="1" w:styleId="Tableofcontents">
    <w:name w:val="Table of contents"/>
    <w:basedOn w:val="Normal"/>
    <w:link w:val="TableofcontentsChar"/>
    <w:qFormat/>
    <w:rsid w:val="00033389"/>
    <w:pPr>
      <w:keepNext/>
      <w:spacing w:before="240" w:after="240"/>
      <w:jc w:val="left"/>
    </w:pPr>
    <w:rPr>
      <w:rFonts w:ascii="Arial" w:eastAsia="Times New Roman" w:hAnsi="Arial" w:cs="Arial"/>
      <w:b/>
      <w:szCs w:val="24"/>
      <w:u w:val="single"/>
    </w:rPr>
  </w:style>
  <w:style w:type="character" w:customStyle="1" w:styleId="TableofcontentsChar">
    <w:name w:val="Table of contents Char"/>
    <w:link w:val="Tableofcontents"/>
    <w:rsid w:val="00033389"/>
    <w:rPr>
      <w:rFonts w:ascii="Arial" w:eastAsia="Times New Roman" w:hAnsi="Arial" w:cs="Arial"/>
      <w:b/>
      <w:sz w:val="24"/>
      <w:szCs w:val="24"/>
      <w:u w:val="single"/>
      <w:lang w:val="sl-SI"/>
    </w:rPr>
  </w:style>
  <w:style w:type="paragraph" w:styleId="NormalWeb">
    <w:name w:val="Normal (Web)"/>
    <w:basedOn w:val="Normal"/>
    <w:uiPriority w:val="99"/>
    <w:unhideWhenUsed/>
    <w:rsid w:val="004548A6"/>
    <w:pPr>
      <w:spacing w:before="100" w:beforeAutospacing="1" w:after="100" w:afterAutospacing="1"/>
      <w:jc w:val="left"/>
    </w:pPr>
    <w:rPr>
      <w:rFonts w:eastAsia="Times New Roman"/>
      <w:szCs w:val="24"/>
      <w:lang w:eastAsia="es-ES"/>
    </w:rPr>
  </w:style>
  <w:style w:type="character" w:styleId="Strong">
    <w:name w:val="Strong"/>
    <w:basedOn w:val="DefaultParagraphFont"/>
    <w:uiPriority w:val="22"/>
    <w:qFormat/>
    <w:rsid w:val="00D57106"/>
    <w:rPr>
      <w:b/>
      <w:bCs/>
    </w:rPr>
  </w:style>
  <w:style w:type="paragraph" w:styleId="EndnoteText">
    <w:name w:val="endnote text"/>
    <w:basedOn w:val="Normal"/>
    <w:link w:val="EndnoteTextChar"/>
    <w:uiPriority w:val="99"/>
    <w:semiHidden/>
    <w:unhideWhenUsed/>
    <w:rsid w:val="009A1B56"/>
    <w:pPr>
      <w:spacing w:before="0" w:after="0"/>
    </w:pPr>
    <w:rPr>
      <w:sz w:val="20"/>
      <w:szCs w:val="20"/>
    </w:rPr>
  </w:style>
  <w:style w:type="character" w:customStyle="1" w:styleId="EndnoteTextChar">
    <w:name w:val="Endnote Text Char"/>
    <w:basedOn w:val="DefaultParagraphFont"/>
    <w:link w:val="EndnoteText"/>
    <w:uiPriority w:val="99"/>
    <w:semiHidden/>
    <w:rsid w:val="009A1B56"/>
    <w:rPr>
      <w:rFonts w:ascii="Times New Roman" w:hAnsi="Times New Roman" w:cs="Times New Roman"/>
      <w:sz w:val="20"/>
      <w:szCs w:val="20"/>
      <w:lang w:val="sl-SI"/>
    </w:rPr>
  </w:style>
  <w:style w:type="character" w:styleId="EndnoteReference">
    <w:name w:val="endnote reference"/>
    <w:basedOn w:val="DefaultParagraphFont"/>
    <w:uiPriority w:val="99"/>
    <w:semiHidden/>
    <w:unhideWhenUsed/>
    <w:rsid w:val="009A1B56"/>
    <w:rPr>
      <w:vertAlign w:val="superscript"/>
    </w:rPr>
  </w:style>
  <w:style w:type="character" w:customStyle="1" w:styleId="HeaderChar">
    <w:name w:val="Header Char"/>
    <w:basedOn w:val="DefaultParagraphFont"/>
    <w:link w:val="Header"/>
    <w:uiPriority w:val="99"/>
    <w:rsid w:val="00A8553A"/>
    <w:rPr>
      <w:rFonts w:ascii="Times New Roman" w:hAnsi="Times New Roman" w:cs="Times New Roman"/>
      <w:sz w:val="24"/>
      <w:lang w:val="sl-SI"/>
    </w:rPr>
  </w:style>
  <w:style w:type="character" w:customStyle="1" w:styleId="FooterChar">
    <w:name w:val="Footer Char"/>
    <w:basedOn w:val="DefaultParagraphFont"/>
    <w:link w:val="Footer"/>
    <w:uiPriority w:val="99"/>
    <w:rsid w:val="00A8553A"/>
    <w:rPr>
      <w:rFonts w:ascii="Times New Roman" w:hAnsi="Times New Roman" w:cs="Times New Roman"/>
      <w:sz w:val="24"/>
      <w:lang w:val="sl-SI"/>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A8553A"/>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A8553A"/>
    <w:pPr>
      <w:spacing w:before="0"/>
      <w:jc w:val="right"/>
    </w:pPr>
    <w:rPr>
      <w:sz w:val="28"/>
    </w:rPr>
  </w:style>
  <w:style w:type="paragraph" w:customStyle="1" w:styleId="FooterSensitivity">
    <w:name w:val="Footer Sensitivity"/>
    <w:basedOn w:val="Normal"/>
    <w:rsid w:val="00A8553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Tiret5">
    <w:name w:val="Tiret 5"/>
    <w:basedOn w:val="Point5"/>
    <w:pPr>
      <w:numPr>
        <w:numId w:val="3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9"/>
      </w:numPr>
    </w:pPr>
  </w:style>
  <w:style w:type="paragraph" w:customStyle="1" w:styleId="NumPar2">
    <w:name w:val="NumPar 2"/>
    <w:basedOn w:val="Normal"/>
    <w:next w:val="Text1"/>
    <w:pPr>
      <w:numPr>
        <w:ilvl w:val="1"/>
        <w:numId w:val="39"/>
      </w:numPr>
    </w:pPr>
  </w:style>
  <w:style w:type="paragraph" w:customStyle="1" w:styleId="NumPar3">
    <w:name w:val="NumPar 3"/>
    <w:basedOn w:val="Normal"/>
    <w:next w:val="Text1"/>
    <w:pPr>
      <w:numPr>
        <w:ilvl w:val="2"/>
        <w:numId w:val="39"/>
      </w:numPr>
    </w:pPr>
  </w:style>
  <w:style w:type="paragraph" w:customStyle="1" w:styleId="NumPar4">
    <w:name w:val="NumPar 4"/>
    <w:basedOn w:val="Normal"/>
    <w:next w:val="Text1"/>
    <w:pPr>
      <w:numPr>
        <w:ilvl w:val="3"/>
        <w:numId w:val="39"/>
      </w:numPr>
    </w:pPr>
  </w:style>
  <w:style w:type="paragraph" w:customStyle="1" w:styleId="NumPar5">
    <w:name w:val="NumPar 5"/>
    <w:basedOn w:val="Normal"/>
    <w:next w:val="Text2"/>
    <w:pPr>
      <w:numPr>
        <w:ilvl w:val="4"/>
        <w:numId w:val="39"/>
      </w:numPr>
    </w:pPr>
  </w:style>
  <w:style w:type="paragraph" w:customStyle="1" w:styleId="NumPar6">
    <w:name w:val="NumPar 6"/>
    <w:basedOn w:val="Normal"/>
    <w:next w:val="Text2"/>
    <w:pPr>
      <w:numPr>
        <w:ilvl w:val="5"/>
        <w:numId w:val="39"/>
      </w:numPr>
    </w:pPr>
  </w:style>
  <w:style w:type="paragraph" w:customStyle="1" w:styleId="NumPar7">
    <w:name w:val="NumPar 7"/>
    <w:basedOn w:val="Normal"/>
    <w:next w:val="Text2"/>
    <w:pPr>
      <w:numPr>
        <w:ilvl w:val="6"/>
        <w:numId w:val="3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1"/>
      </w:numPr>
    </w:pPr>
  </w:style>
  <w:style w:type="paragraph" w:customStyle="1" w:styleId="Point1number">
    <w:name w:val="Point 1 (number)"/>
    <w:basedOn w:val="Normal"/>
    <w:pPr>
      <w:numPr>
        <w:ilvl w:val="2"/>
        <w:numId w:val="41"/>
      </w:numPr>
    </w:pPr>
  </w:style>
  <w:style w:type="paragraph" w:customStyle="1" w:styleId="Point2number">
    <w:name w:val="Point 2 (number)"/>
    <w:basedOn w:val="Normal"/>
    <w:pPr>
      <w:numPr>
        <w:ilvl w:val="4"/>
        <w:numId w:val="41"/>
      </w:numPr>
    </w:pPr>
  </w:style>
  <w:style w:type="paragraph" w:customStyle="1" w:styleId="Point3number">
    <w:name w:val="Point 3 (number)"/>
    <w:basedOn w:val="Normal"/>
    <w:pPr>
      <w:numPr>
        <w:ilvl w:val="6"/>
        <w:numId w:val="41"/>
      </w:numPr>
    </w:pPr>
  </w:style>
  <w:style w:type="paragraph" w:customStyle="1" w:styleId="Point0letter">
    <w:name w:val="Point 0 (letter)"/>
    <w:basedOn w:val="Normal"/>
    <w:pPr>
      <w:numPr>
        <w:ilvl w:val="1"/>
        <w:numId w:val="41"/>
      </w:numPr>
    </w:pPr>
  </w:style>
  <w:style w:type="paragraph" w:customStyle="1" w:styleId="Point1letter">
    <w:name w:val="Point 1 (letter)"/>
    <w:basedOn w:val="Normal"/>
    <w:pPr>
      <w:numPr>
        <w:ilvl w:val="3"/>
        <w:numId w:val="41"/>
      </w:numPr>
    </w:pPr>
  </w:style>
  <w:style w:type="paragraph" w:customStyle="1" w:styleId="Point2letter">
    <w:name w:val="Point 2 (letter)"/>
    <w:basedOn w:val="Normal"/>
    <w:pPr>
      <w:numPr>
        <w:ilvl w:val="5"/>
        <w:numId w:val="41"/>
      </w:numPr>
    </w:pPr>
  </w:style>
  <w:style w:type="paragraph" w:customStyle="1" w:styleId="Point3letter">
    <w:name w:val="Point 3 (letter)"/>
    <w:basedOn w:val="Normal"/>
    <w:pPr>
      <w:numPr>
        <w:ilvl w:val="7"/>
        <w:numId w:val="41"/>
      </w:numPr>
    </w:pPr>
  </w:style>
  <w:style w:type="paragraph" w:customStyle="1" w:styleId="Point4letter">
    <w:name w:val="Point 4 (letter)"/>
    <w:basedOn w:val="Normal"/>
    <w:pPr>
      <w:numPr>
        <w:ilvl w:val="8"/>
        <w:numId w:val="41"/>
      </w:numPr>
    </w:pPr>
  </w:style>
  <w:style w:type="paragraph" w:customStyle="1" w:styleId="Bullet0">
    <w:name w:val="Bullet 0"/>
    <w:basedOn w:val="Normal"/>
    <w:pPr>
      <w:numPr>
        <w:numId w:val="42"/>
      </w:numPr>
    </w:pPr>
  </w:style>
  <w:style w:type="paragraph" w:customStyle="1" w:styleId="Bullet1">
    <w:name w:val="Bullet 1"/>
    <w:basedOn w:val="Normal"/>
    <w:pPr>
      <w:numPr>
        <w:numId w:val="43"/>
      </w:numPr>
    </w:pPr>
  </w:style>
  <w:style w:type="paragraph" w:customStyle="1" w:styleId="Bullet2">
    <w:name w:val="Bullet 2"/>
    <w:basedOn w:val="Normal"/>
    <w:pPr>
      <w:numPr>
        <w:numId w:val="44"/>
      </w:numPr>
    </w:pPr>
  </w:style>
  <w:style w:type="paragraph" w:customStyle="1" w:styleId="Bullet3">
    <w:name w:val="Bullet 3"/>
    <w:basedOn w:val="Normal"/>
    <w:pPr>
      <w:numPr>
        <w:numId w:val="45"/>
      </w:numPr>
    </w:pPr>
  </w:style>
  <w:style w:type="paragraph" w:customStyle="1" w:styleId="Bullet4">
    <w:name w:val="Bullet 4"/>
    <w:basedOn w:val="Normal"/>
    <w:pPr>
      <w:numPr>
        <w:numId w:val="46"/>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4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rsid w:val="00E664ED"/>
    <w:pPr>
      <w:spacing w:before="360" w:after="24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rsid w:val="00E664ED"/>
    <w:pPr>
      <w:spacing w:after="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Normal"/>
    <w:rsid w:val="00E664ED"/>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Rfrencecroise"/>
    <w:rsid w:val="00E664ED"/>
    <w:pPr>
      <w:spacing w:before="360" w:after="240"/>
      <w:jc w:val="center"/>
    </w:pPr>
  </w:style>
  <w:style w:type="paragraph" w:styleId="Header">
    <w:name w:val="header"/>
    <w:basedOn w:val="Normal"/>
    <w:link w:val="HeaderChar"/>
    <w:uiPriority w:val="99"/>
    <w:unhideWhenUsed/>
    <w:rsid w:val="00A8553A"/>
    <w:pPr>
      <w:tabs>
        <w:tab w:val="center" w:pos="4535"/>
        <w:tab w:val="right" w:pos="9071"/>
      </w:tabs>
      <w:spacing w:before="0"/>
    </w:pPr>
  </w:style>
  <w:style w:type="paragraph" w:customStyle="1" w:styleId="HeaderLandscape">
    <w:name w:val="HeaderLandscape"/>
    <w:basedOn w:val="Normal"/>
    <w:rsid w:val="00A8553A"/>
    <w:pPr>
      <w:tabs>
        <w:tab w:val="center" w:pos="7285"/>
        <w:tab w:val="right" w:pos="14003"/>
      </w:tabs>
      <w:spacing w:before="0"/>
    </w:pPr>
  </w:style>
  <w:style w:type="paragraph" w:styleId="Footer">
    <w:name w:val="footer"/>
    <w:basedOn w:val="Normal"/>
    <w:link w:val="FooterChar"/>
    <w:uiPriority w:val="99"/>
    <w:unhideWhenUsed/>
    <w:rsid w:val="00A8553A"/>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A8553A"/>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636">
      <w:bodyDiv w:val="1"/>
      <w:marLeft w:val="0"/>
      <w:marRight w:val="0"/>
      <w:marTop w:val="0"/>
      <w:marBottom w:val="0"/>
      <w:divBdr>
        <w:top w:val="none" w:sz="0" w:space="0" w:color="auto"/>
        <w:left w:val="none" w:sz="0" w:space="0" w:color="auto"/>
        <w:bottom w:val="none" w:sz="0" w:space="0" w:color="auto"/>
        <w:right w:val="none" w:sz="0" w:space="0" w:color="auto"/>
      </w:divBdr>
    </w:div>
    <w:div w:id="3748704">
      <w:bodyDiv w:val="1"/>
      <w:marLeft w:val="0"/>
      <w:marRight w:val="0"/>
      <w:marTop w:val="0"/>
      <w:marBottom w:val="0"/>
      <w:divBdr>
        <w:top w:val="none" w:sz="0" w:space="0" w:color="auto"/>
        <w:left w:val="none" w:sz="0" w:space="0" w:color="auto"/>
        <w:bottom w:val="none" w:sz="0" w:space="0" w:color="auto"/>
        <w:right w:val="none" w:sz="0" w:space="0" w:color="auto"/>
      </w:divBdr>
    </w:div>
    <w:div w:id="8719420">
      <w:bodyDiv w:val="1"/>
      <w:marLeft w:val="0"/>
      <w:marRight w:val="0"/>
      <w:marTop w:val="0"/>
      <w:marBottom w:val="0"/>
      <w:divBdr>
        <w:top w:val="none" w:sz="0" w:space="0" w:color="auto"/>
        <w:left w:val="none" w:sz="0" w:space="0" w:color="auto"/>
        <w:bottom w:val="none" w:sz="0" w:space="0" w:color="auto"/>
        <w:right w:val="none" w:sz="0" w:space="0" w:color="auto"/>
      </w:divBdr>
    </w:div>
    <w:div w:id="16346078">
      <w:bodyDiv w:val="1"/>
      <w:marLeft w:val="0"/>
      <w:marRight w:val="0"/>
      <w:marTop w:val="0"/>
      <w:marBottom w:val="0"/>
      <w:divBdr>
        <w:top w:val="none" w:sz="0" w:space="0" w:color="auto"/>
        <w:left w:val="none" w:sz="0" w:space="0" w:color="auto"/>
        <w:bottom w:val="none" w:sz="0" w:space="0" w:color="auto"/>
        <w:right w:val="none" w:sz="0" w:space="0" w:color="auto"/>
      </w:divBdr>
    </w:div>
    <w:div w:id="76248935">
      <w:bodyDiv w:val="1"/>
      <w:marLeft w:val="0"/>
      <w:marRight w:val="0"/>
      <w:marTop w:val="0"/>
      <w:marBottom w:val="0"/>
      <w:divBdr>
        <w:top w:val="none" w:sz="0" w:space="0" w:color="auto"/>
        <w:left w:val="none" w:sz="0" w:space="0" w:color="auto"/>
        <w:bottom w:val="none" w:sz="0" w:space="0" w:color="auto"/>
        <w:right w:val="none" w:sz="0" w:space="0" w:color="auto"/>
      </w:divBdr>
    </w:div>
    <w:div w:id="94059511">
      <w:bodyDiv w:val="1"/>
      <w:marLeft w:val="0"/>
      <w:marRight w:val="0"/>
      <w:marTop w:val="0"/>
      <w:marBottom w:val="0"/>
      <w:divBdr>
        <w:top w:val="none" w:sz="0" w:space="0" w:color="auto"/>
        <w:left w:val="none" w:sz="0" w:space="0" w:color="auto"/>
        <w:bottom w:val="none" w:sz="0" w:space="0" w:color="auto"/>
        <w:right w:val="none" w:sz="0" w:space="0" w:color="auto"/>
      </w:divBdr>
    </w:div>
    <w:div w:id="102960031">
      <w:bodyDiv w:val="1"/>
      <w:marLeft w:val="0"/>
      <w:marRight w:val="0"/>
      <w:marTop w:val="0"/>
      <w:marBottom w:val="0"/>
      <w:divBdr>
        <w:top w:val="none" w:sz="0" w:space="0" w:color="auto"/>
        <w:left w:val="none" w:sz="0" w:space="0" w:color="auto"/>
        <w:bottom w:val="none" w:sz="0" w:space="0" w:color="auto"/>
        <w:right w:val="none" w:sz="0" w:space="0" w:color="auto"/>
      </w:divBdr>
    </w:div>
    <w:div w:id="117653168">
      <w:bodyDiv w:val="1"/>
      <w:marLeft w:val="0"/>
      <w:marRight w:val="0"/>
      <w:marTop w:val="0"/>
      <w:marBottom w:val="0"/>
      <w:divBdr>
        <w:top w:val="none" w:sz="0" w:space="0" w:color="auto"/>
        <w:left w:val="none" w:sz="0" w:space="0" w:color="auto"/>
        <w:bottom w:val="none" w:sz="0" w:space="0" w:color="auto"/>
        <w:right w:val="none" w:sz="0" w:space="0" w:color="auto"/>
      </w:divBdr>
    </w:div>
    <w:div w:id="127556237">
      <w:bodyDiv w:val="1"/>
      <w:marLeft w:val="0"/>
      <w:marRight w:val="0"/>
      <w:marTop w:val="0"/>
      <w:marBottom w:val="0"/>
      <w:divBdr>
        <w:top w:val="none" w:sz="0" w:space="0" w:color="auto"/>
        <w:left w:val="none" w:sz="0" w:space="0" w:color="auto"/>
        <w:bottom w:val="none" w:sz="0" w:space="0" w:color="auto"/>
        <w:right w:val="none" w:sz="0" w:space="0" w:color="auto"/>
      </w:divBdr>
    </w:div>
    <w:div w:id="130681129">
      <w:bodyDiv w:val="1"/>
      <w:marLeft w:val="0"/>
      <w:marRight w:val="0"/>
      <w:marTop w:val="0"/>
      <w:marBottom w:val="0"/>
      <w:divBdr>
        <w:top w:val="none" w:sz="0" w:space="0" w:color="auto"/>
        <w:left w:val="none" w:sz="0" w:space="0" w:color="auto"/>
        <w:bottom w:val="none" w:sz="0" w:space="0" w:color="auto"/>
        <w:right w:val="none" w:sz="0" w:space="0" w:color="auto"/>
      </w:divBdr>
    </w:div>
    <w:div w:id="137694181">
      <w:bodyDiv w:val="1"/>
      <w:marLeft w:val="0"/>
      <w:marRight w:val="0"/>
      <w:marTop w:val="0"/>
      <w:marBottom w:val="0"/>
      <w:divBdr>
        <w:top w:val="none" w:sz="0" w:space="0" w:color="auto"/>
        <w:left w:val="none" w:sz="0" w:space="0" w:color="auto"/>
        <w:bottom w:val="none" w:sz="0" w:space="0" w:color="auto"/>
        <w:right w:val="none" w:sz="0" w:space="0" w:color="auto"/>
      </w:divBdr>
    </w:div>
    <w:div w:id="147407338">
      <w:bodyDiv w:val="1"/>
      <w:marLeft w:val="0"/>
      <w:marRight w:val="0"/>
      <w:marTop w:val="0"/>
      <w:marBottom w:val="0"/>
      <w:divBdr>
        <w:top w:val="none" w:sz="0" w:space="0" w:color="auto"/>
        <w:left w:val="none" w:sz="0" w:space="0" w:color="auto"/>
        <w:bottom w:val="none" w:sz="0" w:space="0" w:color="auto"/>
        <w:right w:val="none" w:sz="0" w:space="0" w:color="auto"/>
      </w:divBdr>
    </w:div>
    <w:div w:id="155192722">
      <w:bodyDiv w:val="1"/>
      <w:marLeft w:val="0"/>
      <w:marRight w:val="0"/>
      <w:marTop w:val="0"/>
      <w:marBottom w:val="0"/>
      <w:divBdr>
        <w:top w:val="none" w:sz="0" w:space="0" w:color="auto"/>
        <w:left w:val="none" w:sz="0" w:space="0" w:color="auto"/>
        <w:bottom w:val="none" w:sz="0" w:space="0" w:color="auto"/>
        <w:right w:val="none" w:sz="0" w:space="0" w:color="auto"/>
      </w:divBdr>
    </w:div>
    <w:div w:id="170724285">
      <w:bodyDiv w:val="1"/>
      <w:marLeft w:val="0"/>
      <w:marRight w:val="0"/>
      <w:marTop w:val="0"/>
      <w:marBottom w:val="0"/>
      <w:divBdr>
        <w:top w:val="none" w:sz="0" w:space="0" w:color="auto"/>
        <w:left w:val="none" w:sz="0" w:space="0" w:color="auto"/>
        <w:bottom w:val="none" w:sz="0" w:space="0" w:color="auto"/>
        <w:right w:val="none" w:sz="0" w:space="0" w:color="auto"/>
      </w:divBdr>
      <w:divsChild>
        <w:div w:id="95911128">
          <w:marLeft w:val="0"/>
          <w:marRight w:val="0"/>
          <w:marTop w:val="0"/>
          <w:marBottom w:val="0"/>
          <w:divBdr>
            <w:top w:val="none" w:sz="0" w:space="0" w:color="auto"/>
            <w:left w:val="none" w:sz="0" w:space="0" w:color="auto"/>
            <w:bottom w:val="none" w:sz="0" w:space="0" w:color="auto"/>
            <w:right w:val="none" w:sz="0" w:space="0" w:color="auto"/>
          </w:divBdr>
        </w:div>
      </w:divsChild>
    </w:div>
    <w:div w:id="176696675">
      <w:bodyDiv w:val="1"/>
      <w:marLeft w:val="0"/>
      <w:marRight w:val="0"/>
      <w:marTop w:val="0"/>
      <w:marBottom w:val="0"/>
      <w:divBdr>
        <w:top w:val="none" w:sz="0" w:space="0" w:color="auto"/>
        <w:left w:val="none" w:sz="0" w:space="0" w:color="auto"/>
        <w:bottom w:val="none" w:sz="0" w:space="0" w:color="auto"/>
        <w:right w:val="none" w:sz="0" w:space="0" w:color="auto"/>
      </w:divBdr>
    </w:div>
    <w:div w:id="195703837">
      <w:bodyDiv w:val="1"/>
      <w:marLeft w:val="0"/>
      <w:marRight w:val="0"/>
      <w:marTop w:val="0"/>
      <w:marBottom w:val="0"/>
      <w:divBdr>
        <w:top w:val="none" w:sz="0" w:space="0" w:color="auto"/>
        <w:left w:val="none" w:sz="0" w:space="0" w:color="auto"/>
        <w:bottom w:val="none" w:sz="0" w:space="0" w:color="auto"/>
        <w:right w:val="none" w:sz="0" w:space="0" w:color="auto"/>
      </w:divBdr>
      <w:divsChild>
        <w:div w:id="514223555">
          <w:marLeft w:val="0"/>
          <w:marRight w:val="0"/>
          <w:marTop w:val="0"/>
          <w:marBottom w:val="0"/>
          <w:divBdr>
            <w:top w:val="none" w:sz="0" w:space="0" w:color="auto"/>
            <w:left w:val="none" w:sz="0" w:space="0" w:color="auto"/>
            <w:bottom w:val="none" w:sz="0" w:space="0" w:color="auto"/>
            <w:right w:val="none" w:sz="0" w:space="0" w:color="auto"/>
          </w:divBdr>
        </w:div>
      </w:divsChild>
    </w:div>
    <w:div w:id="203173553">
      <w:bodyDiv w:val="1"/>
      <w:marLeft w:val="0"/>
      <w:marRight w:val="0"/>
      <w:marTop w:val="0"/>
      <w:marBottom w:val="0"/>
      <w:divBdr>
        <w:top w:val="none" w:sz="0" w:space="0" w:color="auto"/>
        <w:left w:val="none" w:sz="0" w:space="0" w:color="auto"/>
        <w:bottom w:val="none" w:sz="0" w:space="0" w:color="auto"/>
        <w:right w:val="none" w:sz="0" w:space="0" w:color="auto"/>
      </w:divBdr>
    </w:div>
    <w:div w:id="211311477">
      <w:bodyDiv w:val="1"/>
      <w:marLeft w:val="0"/>
      <w:marRight w:val="0"/>
      <w:marTop w:val="0"/>
      <w:marBottom w:val="0"/>
      <w:divBdr>
        <w:top w:val="none" w:sz="0" w:space="0" w:color="auto"/>
        <w:left w:val="none" w:sz="0" w:space="0" w:color="auto"/>
        <w:bottom w:val="none" w:sz="0" w:space="0" w:color="auto"/>
        <w:right w:val="none" w:sz="0" w:space="0" w:color="auto"/>
      </w:divBdr>
    </w:div>
    <w:div w:id="229581951">
      <w:bodyDiv w:val="1"/>
      <w:marLeft w:val="0"/>
      <w:marRight w:val="0"/>
      <w:marTop w:val="0"/>
      <w:marBottom w:val="0"/>
      <w:divBdr>
        <w:top w:val="none" w:sz="0" w:space="0" w:color="auto"/>
        <w:left w:val="none" w:sz="0" w:space="0" w:color="auto"/>
        <w:bottom w:val="none" w:sz="0" w:space="0" w:color="auto"/>
        <w:right w:val="none" w:sz="0" w:space="0" w:color="auto"/>
      </w:divBdr>
    </w:div>
    <w:div w:id="232669430">
      <w:bodyDiv w:val="1"/>
      <w:marLeft w:val="0"/>
      <w:marRight w:val="0"/>
      <w:marTop w:val="0"/>
      <w:marBottom w:val="0"/>
      <w:divBdr>
        <w:top w:val="none" w:sz="0" w:space="0" w:color="auto"/>
        <w:left w:val="none" w:sz="0" w:space="0" w:color="auto"/>
        <w:bottom w:val="none" w:sz="0" w:space="0" w:color="auto"/>
        <w:right w:val="none" w:sz="0" w:space="0" w:color="auto"/>
      </w:divBdr>
    </w:div>
    <w:div w:id="234047455">
      <w:bodyDiv w:val="1"/>
      <w:marLeft w:val="0"/>
      <w:marRight w:val="0"/>
      <w:marTop w:val="0"/>
      <w:marBottom w:val="0"/>
      <w:divBdr>
        <w:top w:val="none" w:sz="0" w:space="0" w:color="auto"/>
        <w:left w:val="none" w:sz="0" w:space="0" w:color="auto"/>
        <w:bottom w:val="none" w:sz="0" w:space="0" w:color="auto"/>
        <w:right w:val="none" w:sz="0" w:space="0" w:color="auto"/>
      </w:divBdr>
    </w:div>
    <w:div w:id="268389199">
      <w:bodyDiv w:val="1"/>
      <w:marLeft w:val="0"/>
      <w:marRight w:val="0"/>
      <w:marTop w:val="0"/>
      <w:marBottom w:val="0"/>
      <w:divBdr>
        <w:top w:val="none" w:sz="0" w:space="0" w:color="auto"/>
        <w:left w:val="none" w:sz="0" w:space="0" w:color="auto"/>
        <w:bottom w:val="none" w:sz="0" w:space="0" w:color="auto"/>
        <w:right w:val="none" w:sz="0" w:space="0" w:color="auto"/>
      </w:divBdr>
    </w:div>
    <w:div w:id="271133800">
      <w:bodyDiv w:val="1"/>
      <w:marLeft w:val="0"/>
      <w:marRight w:val="0"/>
      <w:marTop w:val="0"/>
      <w:marBottom w:val="0"/>
      <w:divBdr>
        <w:top w:val="none" w:sz="0" w:space="0" w:color="auto"/>
        <w:left w:val="none" w:sz="0" w:space="0" w:color="auto"/>
        <w:bottom w:val="none" w:sz="0" w:space="0" w:color="auto"/>
        <w:right w:val="none" w:sz="0" w:space="0" w:color="auto"/>
      </w:divBdr>
    </w:div>
    <w:div w:id="282923721">
      <w:bodyDiv w:val="1"/>
      <w:marLeft w:val="0"/>
      <w:marRight w:val="0"/>
      <w:marTop w:val="0"/>
      <w:marBottom w:val="0"/>
      <w:divBdr>
        <w:top w:val="none" w:sz="0" w:space="0" w:color="auto"/>
        <w:left w:val="none" w:sz="0" w:space="0" w:color="auto"/>
        <w:bottom w:val="none" w:sz="0" w:space="0" w:color="auto"/>
        <w:right w:val="none" w:sz="0" w:space="0" w:color="auto"/>
      </w:divBdr>
    </w:div>
    <w:div w:id="317659834">
      <w:bodyDiv w:val="1"/>
      <w:marLeft w:val="0"/>
      <w:marRight w:val="0"/>
      <w:marTop w:val="0"/>
      <w:marBottom w:val="0"/>
      <w:divBdr>
        <w:top w:val="none" w:sz="0" w:space="0" w:color="auto"/>
        <w:left w:val="none" w:sz="0" w:space="0" w:color="auto"/>
        <w:bottom w:val="none" w:sz="0" w:space="0" w:color="auto"/>
        <w:right w:val="none" w:sz="0" w:space="0" w:color="auto"/>
      </w:divBdr>
    </w:div>
    <w:div w:id="323632412">
      <w:bodyDiv w:val="1"/>
      <w:marLeft w:val="0"/>
      <w:marRight w:val="0"/>
      <w:marTop w:val="0"/>
      <w:marBottom w:val="0"/>
      <w:divBdr>
        <w:top w:val="none" w:sz="0" w:space="0" w:color="auto"/>
        <w:left w:val="none" w:sz="0" w:space="0" w:color="auto"/>
        <w:bottom w:val="none" w:sz="0" w:space="0" w:color="auto"/>
        <w:right w:val="none" w:sz="0" w:space="0" w:color="auto"/>
      </w:divBdr>
    </w:div>
    <w:div w:id="338434430">
      <w:bodyDiv w:val="1"/>
      <w:marLeft w:val="0"/>
      <w:marRight w:val="0"/>
      <w:marTop w:val="0"/>
      <w:marBottom w:val="0"/>
      <w:divBdr>
        <w:top w:val="none" w:sz="0" w:space="0" w:color="auto"/>
        <w:left w:val="none" w:sz="0" w:space="0" w:color="auto"/>
        <w:bottom w:val="none" w:sz="0" w:space="0" w:color="auto"/>
        <w:right w:val="none" w:sz="0" w:space="0" w:color="auto"/>
      </w:divBdr>
    </w:div>
    <w:div w:id="343745528">
      <w:bodyDiv w:val="1"/>
      <w:marLeft w:val="0"/>
      <w:marRight w:val="0"/>
      <w:marTop w:val="0"/>
      <w:marBottom w:val="0"/>
      <w:divBdr>
        <w:top w:val="none" w:sz="0" w:space="0" w:color="auto"/>
        <w:left w:val="none" w:sz="0" w:space="0" w:color="auto"/>
        <w:bottom w:val="none" w:sz="0" w:space="0" w:color="auto"/>
        <w:right w:val="none" w:sz="0" w:space="0" w:color="auto"/>
      </w:divBdr>
    </w:div>
    <w:div w:id="345600172">
      <w:bodyDiv w:val="1"/>
      <w:marLeft w:val="0"/>
      <w:marRight w:val="0"/>
      <w:marTop w:val="0"/>
      <w:marBottom w:val="0"/>
      <w:divBdr>
        <w:top w:val="none" w:sz="0" w:space="0" w:color="auto"/>
        <w:left w:val="none" w:sz="0" w:space="0" w:color="auto"/>
        <w:bottom w:val="none" w:sz="0" w:space="0" w:color="auto"/>
        <w:right w:val="none" w:sz="0" w:space="0" w:color="auto"/>
      </w:divBdr>
    </w:div>
    <w:div w:id="377169837">
      <w:bodyDiv w:val="1"/>
      <w:marLeft w:val="0"/>
      <w:marRight w:val="0"/>
      <w:marTop w:val="0"/>
      <w:marBottom w:val="0"/>
      <w:divBdr>
        <w:top w:val="none" w:sz="0" w:space="0" w:color="auto"/>
        <w:left w:val="none" w:sz="0" w:space="0" w:color="auto"/>
        <w:bottom w:val="none" w:sz="0" w:space="0" w:color="auto"/>
        <w:right w:val="none" w:sz="0" w:space="0" w:color="auto"/>
      </w:divBdr>
    </w:div>
    <w:div w:id="402990591">
      <w:bodyDiv w:val="1"/>
      <w:marLeft w:val="0"/>
      <w:marRight w:val="0"/>
      <w:marTop w:val="0"/>
      <w:marBottom w:val="0"/>
      <w:divBdr>
        <w:top w:val="none" w:sz="0" w:space="0" w:color="auto"/>
        <w:left w:val="none" w:sz="0" w:space="0" w:color="auto"/>
        <w:bottom w:val="none" w:sz="0" w:space="0" w:color="auto"/>
        <w:right w:val="none" w:sz="0" w:space="0" w:color="auto"/>
      </w:divBdr>
    </w:div>
    <w:div w:id="411703833">
      <w:bodyDiv w:val="1"/>
      <w:marLeft w:val="0"/>
      <w:marRight w:val="0"/>
      <w:marTop w:val="0"/>
      <w:marBottom w:val="0"/>
      <w:divBdr>
        <w:top w:val="none" w:sz="0" w:space="0" w:color="auto"/>
        <w:left w:val="none" w:sz="0" w:space="0" w:color="auto"/>
        <w:bottom w:val="none" w:sz="0" w:space="0" w:color="auto"/>
        <w:right w:val="none" w:sz="0" w:space="0" w:color="auto"/>
      </w:divBdr>
    </w:div>
    <w:div w:id="419764971">
      <w:bodyDiv w:val="1"/>
      <w:marLeft w:val="0"/>
      <w:marRight w:val="0"/>
      <w:marTop w:val="0"/>
      <w:marBottom w:val="0"/>
      <w:divBdr>
        <w:top w:val="none" w:sz="0" w:space="0" w:color="auto"/>
        <w:left w:val="none" w:sz="0" w:space="0" w:color="auto"/>
        <w:bottom w:val="none" w:sz="0" w:space="0" w:color="auto"/>
        <w:right w:val="none" w:sz="0" w:space="0" w:color="auto"/>
      </w:divBdr>
    </w:div>
    <w:div w:id="421218921">
      <w:bodyDiv w:val="1"/>
      <w:marLeft w:val="0"/>
      <w:marRight w:val="0"/>
      <w:marTop w:val="0"/>
      <w:marBottom w:val="0"/>
      <w:divBdr>
        <w:top w:val="none" w:sz="0" w:space="0" w:color="auto"/>
        <w:left w:val="none" w:sz="0" w:space="0" w:color="auto"/>
        <w:bottom w:val="none" w:sz="0" w:space="0" w:color="auto"/>
        <w:right w:val="none" w:sz="0" w:space="0" w:color="auto"/>
      </w:divBdr>
    </w:div>
    <w:div w:id="429395090">
      <w:bodyDiv w:val="1"/>
      <w:marLeft w:val="0"/>
      <w:marRight w:val="0"/>
      <w:marTop w:val="0"/>
      <w:marBottom w:val="0"/>
      <w:divBdr>
        <w:top w:val="none" w:sz="0" w:space="0" w:color="auto"/>
        <w:left w:val="none" w:sz="0" w:space="0" w:color="auto"/>
        <w:bottom w:val="none" w:sz="0" w:space="0" w:color="auto"/>
        <w:right w:val="none" w:sz="0" w:space="0" w:color="auto"/>
      </w:divBdr>
    </w:div>
    <w:div w:id="430273557">
      <w:bodyDiv w:val="1"/>
      <w:marLeft w:val="0"/>
      <w:marRight w:val="0"/>
      <w:marTop w:val="0"/>
      <w:marBottom w:val="0"/>
      <w:divBdr>
        <w:top w:val="none" w:sz="0" w:space="0" w:color="auto"/>
        <w:left w:val="none" w:sz="0" w:space="0" w:color="auto"/>
        <w:bottom w:val="none" w:sz="0" w:space="0" w:color="auto"/>
        <w:right w:val="none" w:sz="0" w:space="0" w:color="auto"/>
      </w:divBdr>
    </w:div>
    <w:div w:id="431128192">
      <w:bodyDiv w:val="1"/>
      <w:marLeft w:val="0"/>
      <w:marRight w:val="0"/>
      <w:marTop w:val="0"/>
      <w:marBottom w:val="0"/>
      <w:divBdr>
        <w:top w:val="none" w:sz="0" w:space="0" w:color="auto"/>
        <w:left w:val="none" w:sz="0" w:space="0" w:color="auto"/>
        <w:bottom w:val="none" w:sz="0" w:space="0" w:color="auto"/>
        <w:right w:val="none" w:sz="0" w:space="0" w:color="auto"/>
      </w:divBdr>
    </w:div>
    <w:div w:id="441414201">
      <w:bodyDiv w:val="1"/>
      <w:marLeft w:val="0"/>
      <w:marRight w:val="0"/>
      <w:marTop w:val="0"/>
      <w:marBottom w:val="0"/>
      <w:divBdr>
        <w:top w:val="none" w:sz="0" w:space="0" w:color="auto"/>
        <w:left w:val="none" w:sz="0" w:space="0" w:color="auto"/>
        <w:bottom w:val="none" w:sz="0" w:space="0" w:color="auto"/>
        <w:right w:val="none" w:sz="0" w:space="0" w:color="auto"/>
      </w:divBdr>
    </w:div>
    <w:div w:id="442303854">
      <w:bodyDiv w:val="1"/>
      <w:marLeft w:val="0"/>
      <w:marRight w:val="0"/>
      <w:marTop w:val="0"/>
      <w:marBottom w:val="0"/>
      <w:divBdr>
        <w:top w:val="none" w:sz="0" w:space="0" w:color="auto"/>
        <w:left w:val="none" w:sz="0" w:space="0" w:color="auto"/>
        <w:bottom w:val="none" w:sz="0" w:space="0" w:color="auto"/>
        <w:right w:val="none" w:sz="0" w:space="0" w:color="auto"/>
      </w:divBdr>
    </w:div>
    <w:div w:id="453523824">
      <w:bodyDiv w:val="1"/>
      <w:marLeft w:val="0"/>
      <w:marRight w:val="0"/>
      <w:marTop w:val="0"/>
      <w:marBottom w:val="0"/>
      <w:divBdr>
        <w:top w:val="none" w:sz="0" w:space="0" w:color="auto"/>
        <w:left w:val="none" w:sz="0" w:space="0" w:color="auto"/>
        <w:bottom w:val="none" w:sz="0" w:space="0" w:color="auto"/>
        <w:right w:val="none" w:sz="0" w:space="0" w:color="auto"/>
      </w:divBdr>
    </w:div>
    <w:div w:id="461270347">
      <w:bodyDiv w:val="1"/>
      <w:marLeft w:val="0"/>
      <w:marRight w:val="0"/>
      <w:marTop w:val="0"/>
      <w:marBottom w:val="0"/>
      <w:divBdr>
        <w:top w:val="none" w:sz="0" w:space="0" w:color="auto"/>
        <w:left w:val="none" w:sz="0" w:space="0" w:color="auto"/>
        <w:bottom w:val="none" w:sz="0" w:space="0" w:color="auto"/>
        <w:right w:val="none" w:sz="0" w:space="0" w:color="auto"/>
      </w:divBdr>
    </w:div>
    <w:div w:id="491992376">
      <w:bodyDiv w:val="1"/>
      <w:marLeft w:val="0"/>
      <w:marRight w:val="0"/>
      <w:marTop w:val="0"/>
      <w:marBottom w:val="0"/>
      <w:divBdr>
        <w:top w:val="none" w:sz="0" w:space="0" w:color="auto"/>
        <w:left w:val="none" w:sz="0" w:space="0" w:color="auto"/>
        <w:bottom w:val="none" w:sz="0" w:space="0" w:color="auto"/>
        <w:right w:val="none" w:sz="0" w:space="0" w:color="auto"/>
      </w:divBdr>
    </w:div>
    <w:div w:id="492453759">
      <w:bodyDiv w:val="1"/>
      <w:marLeft w:val="0"/>
      <w:marRight w:val="0"/>
      <w:marTop w:val="0"/>
      <w:marBottom w:val="0"/>
      <w:divBdr>
        <w:top w:val="none" w:sz="0" w:space="0" w:color="auto"/>
        <w:left w:val="none" w:sz="0" w:space="0" w:color="auto"/>
        <w:bottom w:val="none" w:sz="0" w:space="0" w:color="auto"/>
        <w:right w:val="none" w:sz="0" w:space="0" w:color="auto"/>
      </w:divBdr>
    </w:div>
    <w:div w:id="507060839">
      <w:bodyDiv w:val="1"/>
      <w:marLeft w:val="0"/>
      <w:marRight w:val="0"/>
      <w:marTop w:val="0"/>
      <w:marBottom w:val="0"/>
      <w:divBdr>
        <w:top w:val="none" w:sz="0" w:space="0" w:color="auto"/>
        <w:left w:val="none" w:sz="0" w:space="0" w:color="auto"/>
        <w:bottom w:val="none" w:sz="0" w:space="0" w:color="auto"/>
        <w:right w:val="none" w:sz="0" w:space="0" w:color="auto"/>
      </w:divBdr>
    </w:div>
    <w:div w:id="508716010">
      <w:bodyDiv w:val="1"/>
      <w:marLeft w:val="0"/>
      <w:marRight w:val="0"/>
      <w:marTop w:val="0"/>
      <w:marBottom w:val="0"/>
      <w:divBdr>
        <w:top w:val="none" w:sz="0" w:space="0" w:color="auto"/>
        <w:left w:val="none" w:sz="0" w:space="0" w:color="auto"/>
        <w:bottom w:val="none" w:sz="0" w:space="0" w:color="auto"/>
        <w:right w:val="none" w:sz="0" w:space="0" w:color="auto"/>
      </w:divBdr>
    </w:div>
    <w:div w:id="519897332">
      <w:bodyDiv w:val="1"/>
      <w:marLeft w:val="0"/>
      <w:marRight w:val="0"/>
      <w:marTop w:val="0"/>
      <w:marBottom w:val="0"/>
      <w:divBdr>
        <w:top w:val="none" w:sz="0" w:space="0" w:color="auto"/>
        <w:left w:val="none" w:sz="0" w:space="0" w:color="auto"/>
        <w:bottom w:val="none" w:sz="0" w:space="0" w:color="auto"/>
        <w:right w:val="none" w:sz="0" w:space="0" w:color="auto"/>
      </w:divBdr>
    </w:div>
    <w:div w:id="520048756">
      <w:bodyDiv w:val="1"/>
      <w:marLeft w:val="0"/>
      <w:marRight w:val="0"/>
      <w:marTop w:val="0"/>
      <w:marBottom w:val="0"/>
      <w:divBdr>
        <w:top w:val="none" w:sz="0" w:space="0" w:color="auto"/>
        <w:left w:val="none" w:sz="0" w:space="0" w:color="auto"/>
        <w:bottom w:val="none" w:sz="0" w:space="0" w:color="auto"/>
        <w:right w:val="none" w:sz="0" w:space="0" w:color="auto"/>
      </w:divBdr>
    </w:div>
    <w:div w:id="547494231">
      <w:bodyDiv w:val="1"/>
      <w:marLeft w:val="0"/>
      <w:marRight w:val="0"/>
      <w:marTop w:val="0"/>
      <w:marBottom w:val="0"/>
      <w:divBdr>
        <w:top w:val="none" w:sz="0" w:space="0" w:color="auto"/>
        <w:left w:val="none" w:sz="0" w:space="0" w:color="auto"/>
        <w:bottom w:val="none" w:sz="0" w:space="0" w:color="auto"/>
        <w:right w:val="none" w:sz="0" w:space="0" w:color="auto"/>
      </w:divBdr>
    </w:div>
    <w:div w:id="607589248">
      <w:bodyDiv w:val="1"/>
      <w:marLeft w:val="0"/>
      <w:marRight w:val="0"/>
      <w:marTop w:val="0"/>
      <w:marBottom w:val="0"/>
      <w:divBdr>
        <w:top w:val="none" w:sz="0" w:space="0" w:color="auto"/>
        <w:left w:val="none" w:sz="0" w:space="0" w:color="auto"/>
        <w:bottom w:val="none" w:sz="0" w:space="0" w:color="auto"/>
        <w:right w:val="none" w:sz="0" w:space="0" w:color="auto"/>
      </w:divBdr>
    </w:div>
    <w:div w:id="609700414">
      <w:bodyDiv w:val="1"/>
      <w:marLeft w:val="0"/>
      <w:marRight w:val="0"/>
      <w:marTop w:val="0"/>
      <w:marBottom w:val="0"/>
      <w:divBdr>
        <w:top w:val="none" w:sz="0" w:space="0" w:color="auto"/>
        <w:left w:val="none" w:sz="0" w:space="0" w:color="auto"/>
        <w:bottom w:val="none" w:sz="0" w:space="0" w:color="auto"/>
        <w:right w:val="none" w:sz="0" w:space="0" w:color="auto"/>
      </w:divBdr>
    </w:div>
    <w:div w:id="625891683">
      <w:bodyDiv w:val="1"/>
      <w:marLeft w:val="0"/>
      <w:marRight w:val="0"/>
      <w:marTop w:val="0"/>
      <w:marBottom w:val="0"/>
      <w:divBdr>
        <w:top w:val="none" w:sz="0" w:space="0" w:color="auto"/>
        <w:left w:val="none" w:sz="0" w:space="0" w:color="auto"/>
        <w:bottom w:val="none" w:sz="0" w:space="0" w:color="auto"/>
        <w:right w:val="none" w:sz="0" w:space="0" w:color="auto"/>
      </w:divBdr>
      <w:divsChild>
        <w:div w:id="1907957850">
          <w:marLeft w:val="0"/>
          <w:marRight w:val="0"/>
          <w:marTop w:val="0"/>
          <w:marBottom w:val="0"/>
          <w:divBdr>
            <w:top w:val="none" w:sz="0" w:space="0" w:color="auto"/>
            <w:left w:val="none" w:sz="0" w:space="0" w:color="auto"/>
            <w:bottom w:val="none" w:sz="0" w:space="0" w:color="auto"/>
            <w:right w:val="none" w:sz="0" w:space="0" w:color="auto"/>
          </w:divBdr>
        </w:div>
      </w:divsChild>
    </w:div>
    <w:div w:id="632716915">
      <w:bodyDiv w:val="1"/>
      <w:marLeft w:val="0"/>
      <w:marRight w:val="0"/>
      <w:marTop w:val="0"/>
      <w:marBottom w:val="0"/>
      <w:divBdr>
        <w:top w:val="none" w:sz="0" w:space="0" w:color="auto"/>
        <w:left w:val="none" w:sz="0" w:space="0" w:color="auto"/>
        <w:bottom w:val="none" w:sz="0" w:space="0" w:color="auto"/>
        <w:right w:val="none" w:sz="0" w:space="0" w:color="auto"/>
      </w:divBdr>
    </w:div>
    <w:div w:id="633100520">
      <w:bodyDiv w:val="1"/>
      <w:marLeft w:val="0"/>
      <w:marRight w:val="0"/>
      <w:marTop w:val="0"/>
      <w:marBottom w:val="0"/>
      <w:divBdr>
        <w:top w:val="none" w:sz="0" w:space="0" w:color="auto"/>
        <w:left w:val="none" w:sz="0" w:space="0" w:color="auto"/>
        <w:bottom w:val="none" w:sz="0" w:space="0" w:color="auto"/>
        <w:right w:val="none" w:sz="0" w:space="0" w:color="auto"/>
      </w:divBdr>
    </w:div>
    <w:div w:id="672807450">
      <w:bodyDiv w:val="1"/>
      <w:marLeft w:val="0"/>
      <w:marRight w:val="0"/>
      <w:marTop w:val="0"/>
      <w:marBottom w:val="0"/>
      <w:divBdr>
        <w:top w:val="none" w:sz="0" w:space="0" w:color="auto"/>
        <w:left w:val="none" w:sz="0" w:space="0" w:color="auto"/>
        <w:bottom w:val="none" w:sz="0" w:space="0" w:color="auto"/>
        <w:right w:val="none" w:sz="0" w:space="0" w:color="auto"/>
      </w:divBdr>
    </w:div>
    <w:div w:id="685063769">
      <w:bodyDiv w:val="1"/>
      <w:marLeft w:val="0"/>
      <w:marRight w:val="0"/>
      <w:marTop w:val="0"/>
      <w:marBottom w:val="0"/>
      <w:divBdr>
        <w:top w:val="none" w:sz="0" w:space="0" w:color="auto"/>
        <w:left w:val="none" w:sz="0" w:space="0" w:color="auto"/>
        <w:bottom w:val="none" w:sz="0" w:space="0" w:color="auto"/>
        <w:right w:val="none" w:sz="0" w:space="0" w:color="auto"/>
      </w:divBdr>
    </w:div>
    <w:div w:id="703286503">
      <w:bodyDiv w:val="1"/>
      <w:marLeft w:val="0"/>
      <w:marRight w:val="0"/>
      <w:marTop w:val="0"/>
      <w:marBottom w:val="0"/>
      <w:divBdr>
        <w:top w:val="none" w:sz="0" w:space="0" w:color="auto"/>
        <w:left w:val="none" w:sz="0" w:space="0" w:color="auto"/>
        <w:bottom w:val="none" w:sz="0" w:space="0" w:color="auto"/>
        <w:right w:val="none" w:sz="0" w:space="0" w:color="auto"/>
      </w:divBdr>
    </w:div>
    <w:div w:id="713970862">
      <w:bodyDiv w:val="1"/>
      <w:marLeft w:val="0"/>
      <w:marRight w:val="0"/>
      <w:marTop w:val="0"/>
      <w:marBottom w:val="0"/>
      <w:divBdr>
        <w:top w:val="none" w:sz="0" w:space="0" w:color="auto"/>
        <w:left w:val="none" w:sz="0" w:space="0" w:color="auto"/>
        <w:bottom w:val="none" w:sz="0" w:space="0" w:color="auto"/>
        <w:right w:val="none" w:sz="0" w:space="0" w:color="auto"/>
      </w:divBdr>
    </w:div>
    <w:div w:id="730735100">
      <w:bodyDiv w:val="1"/>
      <w:marLeft w:val="0"/>
      <w:marRight w:val="0"/>
      <w:marTop w:val="0"/>
      <w:marBottom w:val="0"/>
      <w:divBdr>
        <w:top w:val="none" w:sz="0" w:space="0" w:color="auto"/>
        <w:left w:val="none" w:sz="0" w:space="0" w:color="auto"/>
        <w:bottom w:val="none" w:sz="0" w:space="0" w:color="auto"/>
        <w:right w:val="none" w:sz="0" w:space="0" w:color="auto"/>
      </w:divBdr>
    </w:div>
    <w:div w:id="730811259">
      <w:bodyDiv w:val="1"/>
      <w:marLeft w:val="0"/>
      <w:marRight w:val="0"/>
      <w:marTop w:val="0"/>
      <w:marBottom w:val="0"/>
      <w:divBdr>
        <w:top w:val="none" w:sz="0" w:space="0" w:color="auto"/>
        <w:left w:val="none" w:sz="0" w:space="0" w:color="auto"/>
        <w:bottom w:val="none" w:sz="0" w:space="0" w:color="auto"/>
        <w:right w:val="none" w:sz="0" w:space="0" w:color="auto"/>
      </w:divBdr>
    </w:div>
    <w:div w:id="755833384">
      <w:bodyDiv w:val="1"/>
      <w:marLeft w:val="0"/>
      <w:marRight w:val="0"/>
      <w:marTop w:val="0"/>
      <w:marBottom w:val="0"/>
      <w:divBdr>
        <w:top w:val="none" w:sz="0" w:space="0" w:color="auto"/>
        <w:left w:val="none" w:sz="0" w:space="0" w:color="auto"/>
        <w:bottom w:val="none" w:sz="0" w:space="0" w:color="auto"/>
        <w:right w:val="none" w:sz="0" w:space="0" w:color="auto"/>
      </w:divBdr>
    </w:div>
    <w:div w:id="758478695">
      <w:bodyDiv w:val="1"/>
      <w:marLeft w:val="0"/>
      <w:marRight w:val="0"/>
      <w:marTop w:val="0"/>
      <w:marBottom w:val="0"/>
      <w:divBdr>
        <w:top w:val="none" w:sz="0" w:space="0" w:color="auto"/>
        <w:left w:val="none" w:sz="0" w:space="0" w:color="auto"/>
        <w:bottom w:val="none" w:sz="0" w:space="0" w:color="auto"/>
        <w:right w:val="none" w:sz="0" w:space="0" w:color="auto"/>
      </w:divBdr>
    </w:div>
    <w:div w:id="758990242">
      <w:bodyDiv w:val="1"/>
      <w:marLeft w:val="0"/>
      <w:marRight w:val="0"/>
      <w:marTop w:val="0"/>
      <w:marBottom w:val="0"/>
      <w:divBdr>
        <w:top w:val="none" w:sz="0" w:space="0" w:color="auto"/>
        <w:left w:val="none" w:sz="0" w:space="0" w:color="auto"/>
        <w:bottom w:val="none" w:sz="0" w:space="0" w:color="auto"/>
        <w:right w:val="none" w:sz="0" w:space="0" w:color="auto"/>
      </w:divBdr>
    </w:div>
    <w:div w:id="762577018">
      <w:bodyDiv w:val="1"/>
      <w:marLeft w:val="0"/>
      <w:marRight w:val="0"/>
      <w:marTop w:val="0"/>
      <w:marBottom w:val="0"/>
      <w:divBdr>
        <w:top w:val="none" w:sz="0" w:space="0" w:color="auto"/>
        <w:left w:val="none" w:sz="0" w:space="0" w:color="auto"/>
        <w:bottom w:val="none" w:sz="0" w:space="0" w:color="auto"/>
        <w:right w:val="none" w:sz="0" w:space="0" w:color="auto"/>
      </w:divBdr>
    </w:div>
    <w:div w:id="778069223">
      <w:bodyDiv w:val="1"/>
      <w:marLeft w:val="0"/>
      <w:marRight w:val="0"/>
      <w:marTop w:val="0"/>
      <w:marBottom w:val="0"/>
      <w:divBdr>
        <w:top w:val="none" w:sz="0" w:space="0" w:color="auto"/>
        <w:left w:val="none" w:sz="0" w:space="0" w:color="auto"/>
        <w:bottom w:val="none" w:sz="0" w:space="0" w:color="auto"/>
        <w:right w:val="none" w:sz="0" w:space="0" w:color="auto"/>
      </w:divBdr>
    </w:div>
    <w:div w:id="806700067">
      <w:bodyDiv w:val="1"/>
      <w:marLeft w:val="0"/>
      <w:marRight w:val="0"/>
      <w:marTop w:val="0"/>
      <w:marBottom w:val="0"/>
      <w:divBdr>
        <w:top w:val="none" w:sz="0" w:space="0" w:color="auto"/>
        <w:left w:val="none" w:sz="0" w:space="0" w:color="auto"/>
        <w:bottom w:val="none" w:sz="0" w:space="0" w:color="auto"/>
        <w:right w:val="none" w:sz="0" w:space="0" w:color="auto"/>
      </w:divBdr>
    </w:div>
    <w:div w:id="815879923">
      <w:bodyDiv w:val="1"/>
      <w:marLeft w:val="0"/>
      <w:marRight w:val="0"/>
      <w:marTop w:val="0"/>
      <w:marBottom w:val="0"/>
      <w:divBdr>
        <w:top w:val="none" w:sz="0" w:space="0" w:color="auto"/>
        <w:left w:val="none" w:sz="0" w:space="0" w:color="auto"/>
        <w:bottom w:val="none" w:sz="0" w:space="0" w:color="auto"/>
        <w:right w:val="none" w:sz="0" w:space="0" w:color="auto"/>
      </w:divBdr>
    </w:div>
    <w:div w:id="819075054">
      <w:bodyDiv w:val="1"/>
      <w:marLeft w:val="0"/>
      <w:marRight w:val="0"/>
      <w:marTop w:val="0"/>
      <w:marBottom w:val="0"/>
      <w:divBdr>
        <w:top w:val="none" w:sz="0" w:space="0" w:color="auto"/>
        <w:left w:val="none" w:sz="0" w:space="0" w:color="auto"/>
        <w:bottom w:val="none" w:sz="0" w:space="0" w:color="auto"/>
        <w:right w:val="none" w:sz="0" w:space="0" w:color="auto"/>
      </w:divBdr>
    </w:div>
    <w:div w:id="833570034">
      <w:bodyDiv w:val="1"/>
      <w:marLeft w:val="0"/>
      <w:marRight w:val="0"/>
      <w:marTop w:val="0"/>
      <w:marBottom w:val="0"/>
      <w:divBdr>
        <w:top w:val="none" w:sz="0" w:space="0" w:color="auto"/>
        <w:left w:val="none" w:sz="0" w:space="0" w:color="auto"/>
        <w:bottom w:val="none" w:sz="0" w:space="0" w:color="auto"/>
        <w:right w:val="none" w:sz="0" w:space="0" w:color="auto"/>
      </w:divBdr>
    </w:div>
    <w:div w:id="844130729">
      <w:bodyDiv w:val="1"/>
      <w:marLeft w:val="0"/>
      <w:marRight w:val="0"/>
      <w:marTop w:val="0"/>
      <w:marBottom w:val="0"/>
      <w:divBdr>
        <w:top w:val="none" w:sz="0" w:space="0" w:color="auto"/>
        <w:left w:val="none" w:sz="0" w:space="0" w:color="auto"/>
        <w:bottom w:val="none" w:sz="0" w:space="0" w:color="auto"/>
        <w:right w:val="none" w:sz="0" w:space="0" w:color="auto"/>
      </w:divBdr>
    </w:div>
    <w:div w:id="868684583">
      <w:bodyDiv w:val="1"/>
      <w:marLeft w:val="0"/>
      <w:marRight w:val="0"/>
      <w:marTop w:val="0"/>
      <w:marBottom w:val="0"/>
      <w:divBdr>
        <w:top w:val="none" w:sz="0" w:space="0" w:color="auto"/>
        <w:left w:val="none" w:sz="0" w:space="0" w:color="auto"/>
        <w:bottom w:val="none" w:sz="0" w:space="0" w:color="auto"/>
        <w:right w:val="none" w:sz="0" w:space="0" w:color="auto"/>
      </w:divBdr>
    </w:div>
    <w:div w:id="873466307">
      <w:bodyDiv w:val="1"/>
      <w:marLeft w:val="0"/>
      <w:marRight w:val="0"/>
      <w:marTop w:val="0"/>
      <w:marBottom w:val="0"/>
      <w:divBdr>
        <w:top w:val="none" w:sz="0" w:space="0" w:color="auto"/>
        <w:left w:val="none" w:sz="0" w:space="0" w:color="auto"/>
        <w:bottom w:val="none" w:sz="0" w:space="0" w:color="auto"/>
        <w:right w:val="none" w:sz="0" w:space="0" w:color="auto"/>
      </w:divBdr>
    </w:div>
    <w:div w:id="880242810">
      <w:bodyDiv w:val="1"/>
      <w:marLeft w:val="0"/>
      <w:marRight w:val="0"/>
      <w:marTop w:val="0"/>
      <w:marBottom w:val="0"/>
      <w:divBdr>
        <w:top w:val="none" w:sz="0" w:space="0" w:color="auto"/>
        <w:left w:val="none" w:sz="0" w:space="0" w:color="auto"/>
        <w:bottom w:val="none" w:sz="0" w:space="0" w:color="auto"/>
        <w:right w:val="none" w:sz="0" w:space="0" w:color="auto"/>
      </w:divBdr>
    </w:div>
    <w:div w:id="881137145">
      <w:bodyDiv w:val="1"/>
      <w:marLeft w:val="0"/>
      <w:marRight w:val="0"/>
      <w:marTop w:val="0"/>
      <w:marBottom w:val="0"/>
      <w:divBdr>
        <w:top w:val="none" w:sz="0" w:space="0" w:color="auto"/>
        <w:left w:val="none" w:sz="0" w:space="0" w:color="auto"/>
        <w:bottom w:val="none" w:sz="0" w:space="0" w:color="auto"/>
        <w:right w:val="none" w:sz="0" w:space="0" w:color="auto"/>
      </w:divBdr>
    </w:div>
    <w:div w:id="889804569">
      <w:bodyDiv w:val="1"/>
      <w:marLeft w:val="0"/>
      <w:marRight w:val="0"/>
      <w:marTop w:val="0"/>
      <w:marBottom w:val="0"/>
      <w:divBdr>
        <w:top w:val="none" w:sz="0" w:space="0" w:color="auto"/>
        <w:left w:val="none" w:sz="0" w:space="0" w:color="auto"/>
        <w:bottom w:val="none" w:sz="0" w:space="0" w:color="auto"/>
        <w:right w:val="none" w:sz="0" w:space="0" w:color="auto"/>
      </w:divBdr>
    </w:div>
    <w:div w:id="891842995">
      <w:bodyDiv w:val="1"/>
      <w:marLeft w:val="0"/>
      <w:marRight w:val="0"/>
      <w:marTop w:val="0"/>
      <w:marBottom w:val="0"/>
      <w:divBdr>
        <w:top w:val="none" w:sz="0" w:space="0" w:color="auto"/>
        <w:left w:val="none" w:sz="0" w:space="0" w:color="auto"/>
        <w:bottom w:val="none" w:sz="0" w:space="0" w:color="auto"/>
        <w:right w:val="none" w:sz="0" w:space="0" w:color="auto"/>
      </w:divBdr>
    </w:div>
    <w:div w:id="895361938">
      <w:bodyDiv w:val="1"/>
      <w:marLeft w:val="0"/>
      <w:marRight w:val="0"/>
      <w:marTop w:val="0"/>
      <w:marBottom w:val="0"/>
      <w:divBdr>
        <w:top w:val="none" w:sz="0" w:space="0" w:color="auto"/>
        <w:left w:val="none" w:sz="0" w:space="0" w:color="auto"/>
        <w:bottom w:val="none" w:sz="0" w:space="0" w:color="auto"/>
        <w:right w:val="none" w:sz="0" w:space="0" w:color="auto"/>
      </w:divBdr>
    </w:div>
    <w:div w:id="910627703">
      <w:bodyDiv w:val="1"/>
      <w:marLeft w:val="0"/>
      <w:marRight w:val="0"/>
      <w:marTop w:val="0"/>
      <w:marBottom w:val="0"/>
      <w:divBdr>
        <w:top w:val="none" w:sz="0" w:space="0" w:color="auto"/>
        <w:left w:val="none" w:sz="0" w:space="0" w:color="auto"/>
        <w:bottom w:val="none" w:sz="0" w:space="0" w:color="auto"/>
        <w:right w:val="none" w:sz="0" w:space="0" w:color="auto"/>
      </w:divBdr>
    </w:div>
    <w:div w:id="921764285">
      <w:bodyDiv w:val="1"/>
      <w:marLeft w:val="0"/>
      <w:marRight w:val="0"/>
      <w:marTop w:val="0"/>
      <w:marBottom w:val="0"/>
      <w:divBdr>
        <w:top w:val="none" w:sz="0" w:space="0" w:color="auto"/>
        <w:left w:val="none" w:sz="0" w:space="0" w:color="auto"/>
        <w:bottom w:val="none" w:sz="0" w:space="0" w:color="auto"/>
        <w:right w:val="none" w:sz="0" w:space="0" w:color="auto"/>
      </w:divBdr>
    </w:div>
    <w:div w:id="940407622">
      <w:bodyDiv w:val="1"/>
      <w:marLeft w:val="0"/>
      <w:marRight w:val="0"/>
      <w:marTop w:val="0"/>
      <w:marBottom w:val="0"/>
      <w:divBdr>
        <w:top w:val="none" w:sz="0" w:space="0" w:color="auto"/>
        <w:left w:val="none" w:sz="0" w:space="0" w:color="auto"/>
        <w:bottom w:val="none" w:sz="0" w:space="0" w:color="auto"/>
        <w:right w:val="none" w:sz="0" w:space="0" w:color="auto"/>
      </w:divBdr>
    </w:div>
    <w:div w:id="951084264">
      <w:bodyDiv w:val="1"/>
      <w:marLeft w:val="0"/>
      <w:marRight w:val="0"/>
      <w:marTop w:val="0"/>
      <w:marBottom w:val="0"/>
      <w:divBdr>
        <w:top w:val="none" w:sz="0" w:space="0" w:color="auto"/>
        <w:left w:val="none" w:sz="0" w:space="0" w:color="auto"/>
        <w:bottom w:val="none" w:sz="0" w:space="0" w:color="auto"/>
        <w:right w:val="none" w:sz="0" w:space="0" w:color="auto"/>
      </w:divBdr>
    </w:div>
    <w:div w:id="955865028">
      <w:bodyDiv w:val="1"/>
      <w:marLeft w:val="0"/>
      <w:marRight w:val="0"/>
      <w:marTop w:val="0"/>
      <w:marBottom w:val="0"/>
      <w:divBdr>
        <w:top w:val="none" w:sz="0" w:space="0" w:color="auto"/>
        <w:left w:val="none" w:sz="0" w:space="0" w:color="auto"/>
        <w:bottom w:val="none" w:sz="0" w:space="0" w:color="auto"/>
        <w:right w:val="none" w:sz="0" w:space="0" w:color="auto"/>
      </w:divBdr>
    </w:div>
    <w:div w:id="966936440">
      <w:bodyDiv w:val="1"/>
      <w:marLeft w:val="0"/>
      <w:marRight w:val="0"/>
      <w:marTop w:val="0"/>
      <w:marBottom w:val="0"/>
      <w:divBdr>
        <w:top w:val="none" w:sz="0" w:space="0" w:color="auto"/>
        <w:left w:val="none" w:sz="0" w:space="0" w:color="auto"/>
        <w:bottom w:val="none" w:sz="0" w:space="0" w:color="auto"/>
        <w:right w:val="none" w:sz="0" w:space="0" w:color="auto"/>
      </w:divBdr>
    </w:div>
    <w:div w:id="970742469">
      <w:bodyDiv w:val="1"/>
      <w:marLeft w:val="0"/>
      <w:marRight w:val="0"/>
      <w:marTop w:val="0"/>
      <w:marBottom w:val="0"/>
      <w:divBdr>
        <w:top w:val="none" w:sz="0" w:space="0" w:color="auto"/>
        <w:left w:val="none" w:sz="0" w:space="0" w:color="auto"/>
        <w:bottom w:val="none" w:sz="0" w:space="0" w:color="auto"/>
        <w:right w:val="none" w:sz="0" w:space="0" w:color="auto"/>
      </w:divBdr>
    </w:div>
    <w:div w:id="972637697">
      <w:bodyDiv w:val="1"/>
      <w:marLeft w:val="0"/>
      <w:marRight w:val="0"/>
      <w:marTop w:val="0"/>
      <w:marBottom w:val="0"/>
      <w:divBdr>
        <w:top w:val="none" w:sz="0" w:space="0" w:color="auto"/>
        <w:left w:val="none" w:sz="0" w:space="0" w:color="auto"/>
        <w:bottom w:val="none" w:sz="0" w:space="0" w:color="auto"/>
        <w:right w:val="none" w:sz="0" w:space="0" w:color="auto"/>
      </w:divBdr>
    </w:div>
    <w:div w:id="998120889">
      <w:bodyDiv w:val="1"/>
      <w:marLeft w:val="0"/>
      <w:marRight w:val="0"/>
      <w:marTop w:val="0"/>
      <w:marBottom w:val="0"/>
      <w:divBdr>
        <w:top w:val="none" w:sz="0" w:space="0" w:color="auto"/>
        <w:left w:val="none" w:sz="0" w:space="0" w:color="auto"/>
        <w:bottom w:val="none" w:sz="0" w:space="0" w:color="auto"/>
        <w:right w:val="none" w:sz="0" w:space="0" w:color="auto"/>
      </w:divBdr>
    </w:div>
    <w:div w:id="998775856">
      <w:bodyDiv w:val="1"/>
      <w:marLeft w:val="0"/>
      <w:marRight w:val="0"/>
      <w:marTop w:val="0"/>
      <w:marBottom w:val="0"/>
      <w:divBdr>
        <w:top w:val="none" w:sz="0" w:space="0" w:color="auto"/>
        <w:left w:val="none" w:sz="0" w:space="0" w:color="auto"/>
        <w:bottom w:val="none" w:sz="0" w:space="0" w:color="auto"/>
        <w:right w:val="none" w:sz="0" w:space="0" w:color="auto"/>
      </w:divBdr>
    </w:div>
    <w:div w:id="999187719">
      <w:bodyDiv w:val="1"/>
      <w:marLeft w:val="0"/>
      <w:marRight w:val="0"/>
      <w:marTop w:val="0"/>
      <w:marBottom w:val="0"/>
      <w:divBdr>
        <w:top w:val="none" w:sz="0" w:space="0" w:color="auto"/>
        <w:left w:val="none" w:sz="0" w:space="0" w:color="auto"/>
        <w:bottom w:val="none" w:sz="0" w:space="0" w:color="auto"/>
        <w:right w:val="none" w:sz="0" w:space="0" w:color="auto"/>
      </w:divBdr>
    </w:div>
    <w:div w:id="1010792328">
      <w:bodyDiv w:val="1"/>
      <w:marLeft w:val="0"/>
      <w:marRight w:val="0"/>
      <w:marTop w:val="0"/>
      <w:marBottom w:val="0"/>
      <w:divBdr>
        <w:top w:val="none" w:sz="0" w:space="0" w:color="auto"/>
        <w:left w:val="none" w:sz="0" w:space="0" w:color="auto"/>
        <w:bottom w:val="none" w:sz="0" w:space="0" w:color="auto"/>
        <w:right w:val="none" w:sz="0" w:space="0" w:color="auto"/>
      </w:divBdr>
    </w:div>
    <w:div w:id="1014187147">
      <w:bodyDiv w:val="1"/>
      <w:marLeft w:val="0"/>
      <w:marRight w:val="0"/>
      <w:marTop w:val="0"/>
      <w:marBottom w:val="0"/>
      <w:divBdr>
        <w:top w:val="none" w:sz="0" w:space="0" w:color="auto"/>
        <w:left w:val="none" w:sz="0" w:space="0" w:color="auto"/>
        <w:bottom w:val="none" w:sz="0" w:space="0" w:color="auto"/>
        <w:right w:val="none" w:sz="0" w:space="0" w:color="auto"/>
      </w:divBdr>
    </w:div>
    <w:div w:id="1019048019">
      <w:bodyDiv w:val="1"/>
      <w:marLeft w:val="0"/>
      <w:marRight w:val="0"/>
      <w:marTop w:val="0"/>
      <w:marBottom w:val="0"/>
      <w:divBdr>
        <w:top w:val="none" w:sz="0" w:space="0" w:color="auto"/>
        <w:left w:val="none" w:sz="0" w:space="0" w:color="auto"/>
        <w:bottom w:val="none" w:sz="0" w:space="0" w:color="auto"/>
        <w:right w:val="none" w:sz="0" w:space="0" w:color="auto"/>
      </w:divBdr>
    </w:div>
    <w:div w:id="1024091504">
      <w:bodyDiv w:val="1"/>
      <w:marLeft w:val="0"/>
      <w:marRight w:val="0"/>
      <w:marTop w:val="0"/>
      <w:marBottom w:val="0"/>
      <w:divBdr>
        <w:top w:val="none" w:sz="0" w:space="0" w:color="auto"/>
        <w:left w:val="none" w:sz="0" w:space="0" w:color="auto"/>
        <w:bottom w:val="none" w:sz="0" w:space="0" w:color="auto"/>
        <w:right w:val="none" w:sz="0" w:space="0" w:color="auto"/>
      </w:divBdr>
    </w:div>
    <w:div w:id="1030574304">
      <w:bodyDiv w:val="1"/>
      <w:marLeft w:val="0"/>
      <w:marRight w:val="0"/>
      <w:marTop w:val="0"/>
      <w:marBottom w:val="0"/>
      <w:divBdr>
        <w:top w:val="none" w:sz="0" w:space="0" w:color="auto"/>
        <w:left w:val="none" w:sz="0" w:space="0" w:color="auto"/>
        <w:bottom w:val="none" w:sz="0" w:space="0" w:color="auto"/>
        <w:right w:val="none" w:sz="0" w:space="0" w:color="auto"/>
      </w:divBdr>
    </w:div>
    <w:div w:id="1080979815">
      <w:bodyDiv w:val="1"/>
      <w:marLeft w:val="0"/>
      <w:marRight w:val="0"/>
      <w:marTop w:val="0"/>
      <w:marBottom w:val="0"/>
      <w:divBdr>
        <w:top w:val="none" w:sz="0" w:space="0" w:color="auto"/>
        <w:left w:val="none" w:sz="0" w:space="0" w:color="auto"/>
        <w:bottom w:val="none" w:sz="0" w:space="0" w:color="auto"/>
        <w:right w:val="none" w:sz="0" w:space="0" w:color="auto"/>
      </w:divBdr>
    </w:div>
    <w:div w:id="1111172748">
      <w:bodyDiv w:val="1"/>
      <w:marLeft w:val="0"/>
      <w:marRight w:val="0"/>
      <w:marTop w:val="0"/>
      <w:marBottom w:val="0"/>
      <w:divBdr>
        <w:top w:val="none" w:sz="0" w:space="0" w:color="auto"/>
        <w:left w:val="none" w:sz="0" w:space="0" w:color="auto"/>
        <w:bottom w:val="none" w:sz="0" w:space="0" w:color="auto"/>
        <w:right w:val="none" w:sz="0" w:space="0" w:color="auto"/>
      </w:divBdr>
    </w:div>
    <w:div w:id="1121608142">
      <w:bodyDiv w:val="1"/>
      <w:marLeft w:val="0"/>
      <w:marRight w:val="0"/>
      <w:marTop w:val="0"/>
      <w:marBottom w:val="0"/>
      <w:divBdr>
        <w:top w:val="none" w:sz="0" w:space="0" w:color="auto"/>
        <w:left w:val="none" w:sz="0" w:space="0" w:color="auto"/>
        <w:bottom w:val="none" w:sz="0" w:space="0" w:color="auto"/>
        <w:right w:val="none" w:sz="0" w:space="0" w:color="auto"/>
      </w:divBdr>
    </w:div>
    <w:div w:id="1134909840">
      <w:bodyDiv w:val="1"/>
      <w:marLeft w:val="0"/>
      <w:marRight w:val="0"/>
      <w:marTop w:val="0"/>
      <w:marBottom w:val="0"/>
      <w:divBdr>
        <w:top w:val="none" w:sz="0" w:space="0" w:color="auto"/>
        <w:left w:val="none" w:sz="0" w:space="0" w:color="auto"/>
        <w:bottom w:val="none" w:sz="0" w:space="0" w:color="auto"/>
        <w:right w:val="none" w:sz="0" w:space="0" w:color="auto"/>
      </w:divBdr>
    </w:div>
    <w:div w:id="1168404645">
      <w:bodyDiv w:val="1"/>
      <w:marLeft w:val="0"/>
      <w:marRight w:val="0"/>
      <w:marTop w:val="0"/>
      <w:marBottom w:val="0"/>
      <w:divBdr>
        <w:top w:val="none" w:sz="0" w:space="0" w:color="auto"/>
        <w:left w:val="none" w:sz="0" w:space="0" w:color="auto"/>
        <w:bottom w:val="none" w:sz="0" w:space="0" w:color="auto"/>
        <w:right w:val="none" w:sz="0" w:space="0" w:color="auto"/>
      </w:divBdr>
      <w:divsChild>
        <w:div w:id="661741560">
          <w:marLeft w:val="0"/>
          <w:marRight w:val="0"/>
          <w:marTop w:val="0"/>
          <w:marBottom w:val="0"/>
          <w:divBdr>
            <w:top w:val="none" w:sz="0" w:space="0" w:color="auto"/>
            <w:left w:val="none" w:sz="0" w:space="0" w:color="auto"/>
            <w:bottom w:val="none" w:sz="0" w:space="0" w:color="auto"/>
            <w:right w:val="none" w:sz="0" w:space="0" w:color="auto"/>
          </w:divBdr>
        </w:div>
      </w:divsChild>
    </w:div>
    <w:div w:id="1177382036">
      <w:bodyDiv w:val="1"/>
      <w:marLeft w:val="0"/>
      <w:marRight w:val="0"/>
      <w:marTop w:val="0"/>
      <w:marBottom w:val="0"/>
      <w:divBdr>
        <w:top w:val="none" w:sz="0" w:space="0" w:color="auto"/>
        <w:left w:val="none" w:sz="0" w:space="0" w:color="auto"/>
        <w:bottom w:val="none" w:sz="0" w:space="0" w:color="auto"/>
        <w:right w:val="none" w:sz="0" w:space="0" w:color="auto"/>
      </w:divBdr>
    </w:div>
    <w:div w:id="1185904160">
      <w:bodyDiv w:val="1"/>
      <w:marLeft w:val="0"/>
      <w:marRight w:val="0"/>
      <w:marTop w:val="0"/>
      <w:marBottom w:val="0"/>
      <w:divBdr>
        <w:top w:val="none" w:sz="0" w:space="0" w:color="auto"/>
        <w:left w:val="none" w:sz="0" w:space="0" w:color="auto"/>
        <w:bottom w:val="none" w:sz="0" w:space="0" w:color="auto"/>
        <w:right w:val="none" w:sz="0" w:space="0" w:color="auto"/>
      </w:divBdr>
    </w:div>
    <w:div w:id="1187058902">
      <w:bodyDiv w:val="1"/>
      <w:marLeft w:val="0"/>
      <w:marRight w:val="0"/>
      <w:marTop w:val="0"/>
      <w:marBottom w:val="0"/>
      <w:divBdr>
        <w:top w:val="none" w:sz="0" w:space="0" w:color="auto"/>
        <w:left w:val="none" w:sz="0" w:space="0" w:color="auto"/>
        <w:bottom w:val="none" w:sz="0" w:space="0" w:color="auto"/>
        <w:right w:val="none" w:sz="0" w:space="0" w:color="auto"/>
      </w:divBdr>
    </w:div>
    <w:div w:id="1197624186">
      <w:bodyDiv w:val="1"/>
      <w:marLeft w:val="0"/>
      <w:marRight w:val="0"/>
      <w:marTop w:val="0"/>
      <w:marBottom w:val="0"/>
      <w:divBdr>
        <w:top w:val="none" w:sz="0" w:space="0" w:color="auto"/>
        <w:left w:val="none" w:sz="0" w:space="0" w:color="auto"/>
        <w:bottom w:val="none" w:sz="0" w:space="0" w:color="auto"/>
        <w:right w:val="none" w:sz="0" w:space="0" w:color="auto"/>
      </w:divBdr>
    </w:div>
    <w:div w:id="1217428312">
      <w:bodyDiv w:val="1"/>
      <w:marLeft w:val="0"/>
      <w:marRight w:val="0"/>
      <w:marTop w:val="0"/>
      <w:marBottom w:val="0"/>
      <w:divBdr>
        <w:top w:val="none" w:sz="0" w:space="0" w:color="auto"/>
        <w:left w:val="none" w:sz="0" w:space="0" w:color="auto"/>
        <w:bottom w:val="none" w:sz="0" w:space="0" w:color="auto"/>
        <w:right w:val="none" w:sz="0" w:space="0" w:color="auto"/>
      </w:divBdr>
      <w:divsChild>
        <w:div w:id="799500287">
          <w:marLeft w:val="0"/>
          <w:marRight w:val="0"/>
          <w:marTop w:val="0"/>
          <w:marBottom w:val="0"/>
          <w:divBdr>
            <w:top w:val="none" w:sz="0" w:space="0" w:color="auto"/>
            <w:left w:val="none" w:sz="0" w:space="0" w:color="auto"/>
            <w:bottom w:val="none" w:sz="0" w:space="0" w:color="auto"/>
            <w:right w:val="none" w:sz="0" w:space="0" w:color="auto"/>
          </w:divBdr>
        </w:div>
      </w:divsChild>
    </w:div>
    <w:div w:id="1236672569">
      <w:bodyDiv w:val="1"/>
      <w:marLeft w:val="0"/>
      <w:marRight w:val="0"/>
      <w:marTop w:val="0"/>
      <w:marBottom w:val="0"/>
      <w:divBdr>
        <w:top w:val="none" w:sz="0" w:space="0" w:color="auto"/>
        <w:left w:val="none" w:sz="0" w:space="0" w:color="auto"/>
        <w:bottom w:val="none" w:sz="0" w:space="0" w:color="auto"/>
        <w:right w:val="none" w:sz="0" w:space="0" w:color="auto"/>
      </w:divBdr>
    </w:div>
    <w:div w:id="1243639214">
      <w:bodyDiv w:val="1"/>
      <w:marLeft w:val="0"/>
      <w:marRight w:val="0"/>
      <w:marTop w:val="0"/>
      <w:marBottom w:val="0"/>
      <w:divBdr>
        <w:top w:val="none" w:sz="0" w:space="0" w:color="auto"/>
        <w:left w:val="none" w:sz="0" w:space="0" w:color="auto"/>
        <w:bottom w:val="none" w:sz="0" w:space="0" w:color="auto"/>
        <w:right w:val="none" w:sz="0" w:space="0" w:color="auto"/>
      </w:divBdr>
    </w:div>
    <w:div w:id="1245841291">
      <w:bodyDiv w:val="1"/>
      <w:marLeft w:val="0"/>
      <w:marRight w:val="0"/>
      <w:marTop w:val="0"/>
      <w:marBottom w:val="0"/>
      <w:divBdr>
        <w:top w:val="none" w:sz="0" w:space="0" w:color="auto"/>
        <w:left w:val="none" w:sz="0" w:space="0" w:color="auto"/>
        <w:bottom w:val="none" w:sz="0" w:space="0" w:color="auto"/>
        <w:right w:val="none" w:sz="0" w:space="0" w:color="auto"/>
      </w:divBdr>
    </w:div>
    <w:div w:id="1246571994">
      <w:bodyDiv w:val="1"/>
      <w:marLeft w:val="0"/>
      <w:marRight w:val="0"/>
      <w:marTop w:val="0"/>
      <w:marBottom w:val="0"/>
      <w:divBdr>
        <w:top w:val="none" w:sz="0" w:space="0" w:color="auto"/>
        <w:left w:val="none" w:sz="0" w:space="0" w:color="auto"/>
        <w:bottom w:val="none" w:sz="0" w:space="0" w:color="auto"/>
        <w:right w:val="none" w:sz="0" w:space="0" w:color="auto"/>
      </w:divBdr>
    </w:div>
    <w:div w:id="1259370287">
      <w:bodyDiv w:val="1"/>
      <w:marLeft w:val="0"/>
      <w:marRight w:val="0"/>
      <w:marTop w:val="0"/>
      <w:marBottom w:val="0"/>
      <w:divBdr>
        <w:top w:val="none" w:sz="0" w:space="0" w:color="auto"/>
        <w:left w:val="none" w:sz="0" w:space="0" w:color="auto"/>
        <w:bottom w:val="none" w:sz="0" w:space="0" w:color="auto"/>
        <w:right w:val="none" w:sz="0" w:space="0" w:color="auto"/>
      </w:divBdr>
    </w:div>
    <w:div w:id="1276059284">
      <w:bodyDiv w:val="1"/>
      <w:marLeft w:val="0"/>
      <w:marRight w:val="0"/>
      <w:marTop w:val="0"/>
      <w:marBottom w:val="0"/>
      <w:divBdr>
        <w:top w:val="none" w:sz="0" w:space="0" w:color="auto"/>
        <w:left w:val="none" w:sz="0" w:space="0" w:color="auto"/>
        <w:bottom w:val="none" w:sz="0" w:space="0" w:color="auto"/>
        <w:right w:val="none" w:sz="0" w:space="0" w:color="auto"/>
      </w:divBdr>
    </w:div>
    <w:div w:id="1278831634">
      <w:bodyDiv w:val="1"/>
      <w:marLeft w:val="0"/>
      <w:marRight w:val="0"/>
      <w:marTop w:val="0"/>
      <w:marBottom w:val="0"/>
      <w:divBdr>
        <w:top w:val="none" w:sz="0" w:space="0" w:color="auto"/>
        <w:left w:val="none" w:sz="0" w:space="0" w:color="auto"/>
        <w:bottom w:val="none" w:sz="0" w:space="0" w:color="auto"/>
        <w:right w:val="none" w:sz="0" w:space="0" w:color="auto"/>
      </w:divBdr>
    </w:div>
    <w:div w:id="1295255188">
      <w:bodyDiv w:val="1"/>
      <w:marLeft w:val="0"/>
      <w:marRight w:val="0"/>
      <w:marTop w:val="0"/>
      <w:marBottom w:val="0"/>
      <w:divBdr>
        <w:top w:val="none" w:sz="0" w:space="0" w:color="auto"/>
        <w:left w:val="none" w:sz="0" w:space="0" w:color="auto"/>
        <w:bottom w:val="none" w:sz="0" w:space="0" w:color="auto"/>
        <w:right w:val="none" w:sz="0" w:space="0" w:color="auto"/>
      </w:divBdr>
    </w:div>
    <w:div w:id="1314022166">
      <w:bodyDiv w:val="1"/>
      <w:marLeft w:val="0"/>
      <w:marRight w:val="0"/>
      <w:marTop w:val="0"/>
      <w:marBottom w:val="0"/>
      <w:divBdr>
        <w:top w:val="none" w:sz="0" w:space="0" w:color="auto"/>
        <w:left w:val="none" w:sz="0" w:space="0" w:color="auto"/>
        <w:bottom w:val="none" w:sz="0" w:space="0" w:color="auto"/>
        <w:right w:val="none" w:sz="0" w:space="0" w:color="auto"/>
      </w:divBdr>
      <w:divsChild>
        <w:div w:id="1410271028">
          <w:marLeft w:val="0"/>
          <w:marRight w:val="0"/>
          <w:marTop w:val="0"/>
          <w:marBottom w:val="0"/>
          <w:divBdr>
            <w:top w:val="none" w:sz="0" w:space="0" w:color="auto"/>
            <w:left w:val="none" w:sz="0" w:space="0" w:color="auto"/>
            <w:bottom w:val="none" w:sz="0" w:space="0" w:color="auto"/>
            <w:right w:val="none" w:sz="0" w:space="0" w:color="auto"/>
          </w:divBdr>
          <w:divsChild>
            <w:div w:id="1665282247">
              <w:marLeft w:val="0"/>
              <w:marRight w:val="0"/>
              <w:marTop w:val="0"/>
              <w:marBottom w:val="0"/>
              <w:divBdr>
                <w:top w:val="none" w:sz="0" w:space="0" w:color="auto"/>
                <w:left w:val="none" w:sz="0" w:space="0" w:color="auto"/>
                <w:bottom w:val="none" w:sz="0" w:space="0" w:color="auto"/>
                <w:right w:val="none" w:sz="0" w:space="0" w:color="auto"/>
              </w:divBdr>
              <w:divsChild>
                <w:div w:id="1487210165">
                  <w:marLeft w:val="0"/>
                  <w:marRight w:val="0"/>
                  <w:marTop w:val="0"/>
                  <w:marBottom w:val="0"/>
                  <w:divBdr>
                    <w:top w:val="none" w:sz="0" w:space="0" w:color="auto"/>
                    <w:left w:val="none" w:sz="0" w:space="0" w:color="auto"/>
                    <w:bottom w:val="none" w:sz="0" w:space="0" w:color="auto"/>
                    <w:right w:val="none" w:sz="0" w:space="0" w:color="auto"/>
                  </w:divBdr>
                  <w:divsChild>
                    <w:div w:id="1356079138">
                      <w:marLeft w:val="0"/>
                      <w:marRight w:val="0"/>
                      <w:marTop w:val="0"/>
                      <w:marBottom w:val="0"/>
                      <w:divBdr>
                        <w:top w:val="none" w:sz="0" w:space="0" w:color="auto"/>
                        <w:left w:val="none" w:sz="0" w:space="0" w:color="auto"/>
                        <w:bottom w:val="none" w:sz="0" w:space="0" w:color="auto"/>
                        <w:right w:val="none" w:sz="0" w:space="0" w:color="auto"/>
                      </w:divBdr>
                      <w:divsChild>
                        <w:div w:id="8081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855538">
      <w:bodyDiv w:val="1"/>
      <w:marLeft w:val="0"/>
      <w:marRight w:val="0"/>
      <w:marTop w:val="0"/>
      <w:marBottom w:val="0"/>
      <w:divBdr>
        <w:top w:val="none" w:sz="0" w:space="0" w:color="auto"/>
        <w:left w:val="none" w:sz="0" w:space="0" w:color="auto"/>
        <w:bottom w:val="none" w:sz="0" w:space="0" w:color="auto"/>
        <w:right w:val="none" w:sz="0" w:space="0" w:color="auto"/>
      </w:divBdr>
    </w:div>
    <w:div w:id="1404836200">
      <w:bodyDiv w:val="1"/>
      <w:marLeft w:val="0"/>
      <w:marRight w:val="0"/>
      <w:marTop w:val="0"/>
      <w:marBottom w:val="0"/>
      <w:divBdr>
        <w:top w:val="none" w:sz="0" w:space="0" w:color="auto"/>
        <w:left w:val="none" w:sz="0" w:space="0" w:color="auto"/>
        <w:bottom w:val="none" w:sz="0" w:space="0" w:color="auto"/>
        <w:right w:val="none" w:sz="0" w:space="0" w:color="auto"/>
      </w:divBdr>
    </w:div>
    <w:div w:id="1419248871">
      <w:bodyDiv w:val="1"/>
      <w:marLeft w:val="0"/>
      <w:marRight w:val="0"/>
      <w:marTop w:val="0"/>
      <w:marBottom w:val="0"/>
      <w:divBdr>
        <w:top w:val="none" w:sz="0" w:space="0" w:color="auto"/>
        <w:left w:val="none" w:sz="0" w:space="0" w:color="auto"/>
        <w:bottom w:val="none" w:sz="0" w:space="0" w:color="auto"/>
        <w:right w:val="none" w:sz="0" w:space="0" w:color="auto"/>
      </w:divBdr>
    </w:div>
    <w:div w:id="1422990540">
      <w:bodyDiv w:val="1"/>
      <w:marLeft w:val="0"/>
      <w:marRight w:val="0"/>
      <w:marTop w:val="0"/>
      <w:marBottom w:val="0"/>
      <w:divBdr>
        <w:top w:val="none" w:sz="0" w:space="0" w:color="auto"/>
        <w:left w:val="none" w:sz="0" w:space="0" w:color="auto"/>
        <w:bottom w:val="none" w:sz="0" w:space="0" w:color="auto"/>
        <w:right w:val="none" w:sz="0" w:space="0" w:color="auto"/>
      </w:divBdr>
    </w:div>
    <w:div w:id="1432319749">
      <w:bodyDiv w:val="1"/>
      <w:marLeft w:val="0"/>
      <w:marRight w:val="0"/>
      <w:marTop w:val="0"/>
      <w:marBottom w:val="0"/>
      <w:divBdr>
        <w:top w:val="none" w:sz="0" w:space="0" w:color="auto"/>
        <w:left w:val="none" w:sz="0" w:space="0" w:color="auto"/>
        <w:bottom w:val="none" w:sz="0" w:space="0" w:color="auto"/>
        <w:right w:val="none" w:sz="0" w:space="0" w:color="auto"/>
      </w:divBdr>
    </w:div>
    <w:div w:id="1437367200">
      <w:bodyDiv w:val="1"/>
      <w:marLeft w:val="0"/>
      <w:marRight w:val="0"/>
      <w:marTop w:val="0"/>
      <w:marBottom w:val="0"/>
      <w:divBdr>
        <w:top w:val="none" w:sz="0" w:space="0" w:color="auto"/>
        <w:left w:val="none" w:sz="0" w:space="0" w:color="auto"/>
        <w:bottom w:val="none" w:sz="0" w:space="0" w:color="auto"/>
        <w:right w:val="none" w:sz="0" w:space="0" w:color="auto"/>
      </w:divBdr>
    </w:div>
    <w:div w:id="1463157434">
      <w:bodyDiv w:val="1"/>
      <w:marLeft w:val="0"/>
      <w:marRight w:val="0"/>
      <w:marTop w:val="0"/>
      <w:marBottom w:val="0"/>
      <w:divBdr>
        <w:top w:val="none" w:sz="0" w:space="0" w:color="auto"/>
        <w:left w:val="none" w:sz="0" w:space="0" w:color="auto"/>
        <w:bottom w:val="none" w:sz="0" w:space="0" w:color="auto"/>
        <w:right w:val="none" w:sz="0" w:space="0" w:color="auto"/>
      </w:divBdr>
    </w:div>
    <w:div w:id="1471358866">
      <w:bodyDiv w:val="1"/>
      <w:marLeft w:val="0"/>
      <w:marRight w:val="0"/>
      <w:marTop w:val="0"/>
      <w:marBottom w:val="0"/>
      <w:divBdr>
        <w:top w:val="none" w:sz="0" w:space="0" w:color="auto"/>
        <w:left w:val="none" w:sz="0" w:space="0" w:color="auto"/>
        <w:bottom w:val="none" w:sz="0" w:space="0" w:color="auto"/>
        <w:right w:val="none" w:sz="0" w:space="0" w:color="auto"/>
      </w:divBdr>
    </w:div>
    <w:div w:id="1471626910">
      <w:bodyDiv w:val="1"/>
      <w:marLeft w:val="0"/>
      <w:marRight w:val="0"/>
      <w:marTop w:val="0"/>
      <w:marBottom w:val="0"/>
      <w:divBdr>
        <w:top w:val="none" w:sz="0" w:space="0" w:color="auto"/>
        <w:left w:val="none" w:sz="0" w:space="0" w:color="auto"/>
        <w:bottom w:val="none" w:sz="0" w:space="0" w:color="auto"/>
        <w:right w:val="none" w:sz="0" w:space="0" w:color="auto"/>
      </w:divBdr>
    </w:div>
    <w:div w:id="1475485907">
      <w:bodyDiv w:val="1"/>
      <w:marLeft w:val="0"/>
      <w:marRight w:val="0"/>
      <w:marTop w:val="0"/>
      <w:marBottom w:val="0"/>
      <w:divBdr>
        <w:top w:val="none" w:sz="0" w:space="0" w:color="auto"/>
        <w:left w:val="none" w:sz="0" w:space="0" w:color="auto"/>
        <w:bottom w:val="none" w:sz="0" w:space="0" w:color="auto"/>
        <w:right w:val="none" w:sz="0" w:space="0" w:color="auto"/>
      </w:divBdr>
    </w:div>
    <w:div w:id="1507481012">
      <w:bodyDiv w:val="1"/>
      <w:marLeft w:val="0"/>
      <w:marRight w:val="0"/>
      <w:marTop w:val="0"/>
      <w:marBottom w:val="0"/>
      <w:divBdr>
        <w:top w:val="none" w:sz="0" w:space="0" w:color="auto"/>
        <w:left w:val="none" w:sz="0" w:space="0" w:color="auto"/>
        <w:bottom w:val="none" w:sz="0" w:space="0" w:color="auto"/>
        <w:right w:val="none" w:sz="0" w:space="0" w:color="auto"/>
      </w:divBdr>
    </w:div>
    <w:div w:id="1529027536">
      <w:bodyDiv w:val="1"/>
      <w:marLeft w:val="0"/>
      <w:marRight w:val="0"/>
      <w:marTop w:val="0"/>
      <w:marBottom w:val="0"/>
      <w:divBdr>
        <w:top w:val="none" w:sz="0" w:space="0" w:color="auto"/>
        <w:left w:val="none" w:sz="0" w:space="0" w:color="auto"/>
        <w:bottom w:val="none" w:sz="0" w:space="0" w:color="auto"/>
        <w:right w:val="none" w:sz="0" w:space="0" w:color="auto"/>
      </w:divBdr>
    </w:div>
    <w:div w:id="1529563526">
      <w:bodyDiv w:val="1"/>
      <w:marLeft w:val="0"/>
      <w:marRight w:val="0"/>
      <w:marTop w:val="0"/>
      <w:marBottom w:val="0"/>
      <w:divBdr>
        <w:top w:val="none" w:sz="0" w:space="0" w:color="auto"/>
        <w:left w:val="none" w:sz="0" w:space="0" w:color="auto"/>
        <w:bottom w:val="none" w:sz="0" w:space="0" w:color="auto"/>
        <w:right w:val="none" w:sz="0" w:space="0" w:color="auto"/>
      </w:divBdr>
    </w:div>
    <w:div w:id="1538853160">
      <w:bodyDiv w:val="1"/>
      <w:marLeft w:val="0"/>
      <w:marRight w:val="0"/>
      <w:marTop w:val="0"/>
      <w:marBottom w:val="0"/>
      <w:divBdr>
        <w:top w:val="none" w:sz="0" w:space="0" w:color="auto"/>
        <w:left w:val="none" w:sz="0" w:space="0" w:color="auto"/>
        <w:bottom w:val="none" w:sz="0" w:space="0" w:color="auto"/>
        <w:right w:val="none" w:sz="0" w:space="0" w:color="auto"/>
      </w:divBdr>
    </w:div>
    <w:div w:id="1545095130">
      <w:bodyDiv w:val="1"/>
      <w:marLeft w:val="0"/>
      <w:marRight w:val="0"/>
      <w:marTop w:val="0"/>
      <w:marBottom w:val="0"/>
      <w:divBdr>
        <w:top w:val="none" w:sz="0" w:space="0" w:color="auto"/>
        <w:left w:val="none" w:sz="0" w:space="0" w:color="auto"/>
        <w:bottom w:val="none" w:sz="0" w:space="0" w:color="auto"/>
        <w:right w:val="none" w:sz="0" w:space="0" w:color="auto"/>
      </w:divBdr>
    </w:div>
    <w:div w:id="1555040393">
      <w:bodyDiv w:val="1"/>
      <w:marLeft w:val="0"/>
      <w:marRight w:val="0"/>
      <w:marTop w:val="0"/>
      <w:marBottom w:val="0"/>
      <w:divBdr>
        <w:top w:val="none" w:sz="0" w:space="0" w:color="auto"/>
        <w:left w:val="none" w:sz="0" w:space="0" w:color="auto"/>
        <w:bottom w:val="none" w:sz="0" w:space="0" w:color="auto"/>
        <w:right w:val="none" w:sz="0" w:space="0" w:color="auto"/>
      </w:divBdr>
    </w:div>
    <w:div w:id="1569728702">
      <w:bodyDiv w:val="1"/>
      <w:marLeft w:val="0"/>
      <w:marRight w:val="0"/>
      <w:marTop w:val="0"/>
      <w:marBottom w:val="0"/>
      <w:divBdr>
        <w:top w:val="none" w:sz="0" w:space="0" w:color="auto"/>
        <w:left w:val="none" w:sz="0" w:space="0" w:color="auto"/>
        <w:bottom w:val="none" w:sz="0" w:space="0" w:color="auto"/>
        <w:right w:val="none" w:sz="0" w:space="0" w:color="auto"/>
      </w:divBdr>
    </w:div>
    <w:div w:id="1582595096">
      <w:bodyDiv w:val="1"/>
      <w:marLeft w:val="0"/>
      <w:marRight w:val="0"/>
      <w:marTop w:val="0"/>
      <w:marBottom w:val="0"/>
      <w:divBdr>
        <w:top w:val="none" w:sz="0" w:space="0" w:color="auto"/>
        <w:left w:val="none" w:sz="0" w:space="0" w:color="auto"/>
        <w:bottom w:val="none" w:sz="0" w:space="0" w:color="auto"/>
        <w:right w:val="none" w:sz="0" w:space="0" w:color="auto"/>
      </w:divBdr>
    </w:div>
    <w:div w:id="1589389259">
      <w:bodyDiv w:val="1"/>
      <w:marLeft w:val="0"/>
      <w:marRight w:val="0"/>
      <w:marTop w:val="0"/>
      <w:marBottom w:val="0"/>
      <w:divBdr>
        <w:top w:val="none" w:sz="0" w:space="0" w:color="auto"/>
        <w:left w:val="none" w:sz="0" w:space="0" w:color="auto"/>
        <w:bottom w:val="none" w:sz="0" w:space="0" w:color="auto"/>
        <w:right w:val="none" w:sz="0" w:space="0" w:color="auto"/>
      </w:divBdr>
    </w:div>
    <w:div w:id="1609969047">
      <w:bodyDiv w:val="1"/>
      <w:marLeft w:val="0"/>
      <w:marRight w:val="0"/>
      <w:marTop w:val="0"/>
      <w:marBottom w:val="0"/>
      <w:divBdr>
        <w:top w:val="none" w:sz="0" w:space="0" w:color="auto"/>
        <w:left w:val="none" w:sz="0" w:space="0" w:color="auto"/>
        <w:bottom w:val="none" w:sz="0" w:space="0" w:color="auto"/>
        <w:right w:val="none" w:sz="0" w:space="0" w:color="auto"/>
      </w:divBdr>
    </w:div>
    <w:div w:id="1622878791">
      <w:bodyDiv w:val="1"/>
      <w:marLeft w:val="0"/>
      <w:marRight w:val="0"/>
      <w:marTop w:val="0"/>
      <w:marBottom w:val="0"/>
      <w:divBdr>
        <w:top w:val="none" w:sz="0" w:space="0" w:color="auto"/>
        <w:left w:val="none" w:sz="0" w:space="0" w:color="auto"/>
        <w:bottom w:val="none" w:sz="0" w:space="0" w:color="auto"/>
        <w:right w:val="none" w:sz="0" w:space="0" w:color="auto"/>
      </w:divBdr>
    </w:div>
    <w:div w:id="1650550664">
      <w:bodyDiv w:val="1"/>
      <w:marLeft w:val="0"/>
      <w:marRight w:val="0"/>
      <w:marTop w:val="0"/>
      <w:marBottom w:val="0"/>
      <w:divBdr>
        <w:top w:val="none" w:sz="0" w:space="0" w:color="auto"/>
        <w:left w:val="none" w:sz="0" w:space="0" w:color="auto"/>
        <w:bottom w:val="none" w:sz="0" w:space="0" w:color="auto"/>
        <w:right w:val="none" w:sz="0" w:space="0" w:color="auto"/>
      </w:divBdr>
    </w:div>
    <w:div w:id="1653295955">
      <w:bodyDiv w:val="1"/>
      <w:marLeft w:val="0"/>
      <w:marRight w:val="0"/>
      <w:marTop w:val="0"/>
      <w:marBottom w:val="0"/>
      <w:divBdr>
        <w:top w:val="none" w:sz="0" w:space="0" w:color="auto"/>
        <w:left w:val="none" w:sz="0" w:space="0" w:color="auto"/>
        <w:bottom w:val="none" w:sz="0" w:space="0" w:color="auto"/>
        <w:right w:val="none" w:sz="0" w:space="0" w:color="auto"/>
      </w:divBdr>
      <w:divsChild>
        <w:div w:id="1393039000">
          <w:marLeft w:val="0"/>
          <w:marRight w:val="0"/>
          <w:marTop w:val="0"/>
          <w:marBottom w:val="0"/>
          <w:divBdr>
            <w:top w:val="none" w:sz="0" w:space="0" w:color="auto"/>
            <w:left w:val="none" w:sz="0" w:space="0" w:color="auto"/>
            <w:bottom w:val="none" w:sz="0" w:space="0" w:color="auto"/>
            <w:right w:val="none" w:sz="0" w:space="0" w:color="auto"/>
          </w:divBdr>
          <w:divsChild>
            <w:div w:id="1043142586">
              <w:marLeft w:val="0"/>
              <w:marRight w:val="0"/>
              <w:marTop w:val="0"/>
              <w:marBottom w:val="0"/>
              <w:divBdr>
                <w:top w:val="none" w:sz="0" w:space="0" w:color="auto"/>
                <w:left w:val="none" w:sz="0" w:space="0" w:color="auto"/>
                <w:bottom w:val="none" w:sz="0" w:space="0" w:color="auto"/>
                <w:right w:val="none" w:sz="0" w:space="0" w:color="auto"/>
              </w:divBdr>
              <w:divsChild>
                <w:div w:id="299459829">
                  <w:marLeft w:val="0"/>
                  <w:marRight w:val="0"/>
                  <w:marTop w:val="0"/>
                  <w:marBottom w:val="0"/>
                  <w:divBdr>
                    <w:top w:val="none" w:sz="0" w:space="0" w:color="auto"/>
                    <w:left w:val="none" w:sz="0" w:space="0" w:color="auto"/>
                    <w:bottom w:val="none" w:sz="0" w:space="0" w:color="auto"/>
                    <w:right w:val="none" w:sz="0" w:space="0" w:color="auto"/>
                  </w:divBdr>
                  <w:divsChild>
                    <w:div w:id="353851445">
                      <w:marLeft w:val="0"/>
                      <w:marRight w:val="0"/>
                      <w:marTop w:val="0"/>
                      <w:marBottom w:val="0"/>
                      <w:divBdr>
                        <w:top w:val="none" w:sz="0" w:space="0" w:color="auto"/>
                        <w:left w:val="none" w:sz="0" w:space="0" w:color="auto"/>
                        <w:bottom w:val="none" w:sz="0" w:space="0" w:color="auto"/>
                        <w:right w:val="none" w:sz="0" w:space="0" w:color="auto"/>
                      </w:divBdr>
                      <w:divsChild>
                        <w:div w:id="39277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8730235">
      <w:bodyDiv w:val="1"/>
      <w:marLeft w:val="0"/>
      <w:marRight w:val="0"/>
      <w:marTop w:val="0"/>
      <w:marBottom w:val="0"/>
      <w:divBdr>
        <w:top w:val="none" w:sz="0" w:space="0" w:color="auto"/>
        <w:left w:val="none" w:sz="0" w:space="0" w:color="auto"/>
        <w:bottom w:val="none" w:sz="0" w:space="0" w:color="auto"/>
        <w:right w:val="none" w:sz="0" w:space="0" w:color="auto"/>
      </w:divBdr>
    </w:div>
    <w:div w:id="1668482955">
      <w:bodyDiv w:val="1"/>
      <w:marLeft w:val="0"/>
      <w:marRight w:val="0"/>
      <w:marTop w:val="0"/>
      <w:marBottom w:val="0"/>
      <w:divBdr>
        <w:top w:val="none" w:sz="0" w:space="0" w:color="auto"/>
        <w:left w:val="none" w:sz="0" w:space="0" w:color="auto"/>
        <w:bottom w:val="none" w:sz="0" w:space="0" w:color="auto"/>
        <w:right w:val="none" w:sz="0" w:space="0" w:color="auto"/>
      </w:divBdr>
    </w:div>
    <w:div w:id="1669015035">
      <w:bodyDiv w:val="1"/>
      <w:marLeft w:val="0"/>
      <w:marRight w:val="0"/>
      <w:marTop w:val="0"/>
      <w:marBottom w:val="0"/>
      <w:divBdr>
        <w:top w:val="none" w:sz="0" w:space="0" w:color="auto"/>
        <w:left w:val="none" w:sz="0" w:space="0" w:color="auto"/>
        <w:bottom w:val="none" w:sz="0" w:space="0" w:color="auto"/>
        <w:right w:val="none" w:sz="0" w:space="0" w:color="auto"/>
      </w:divBdr>
    </w:div>
    <w:div w:id="1683437238">
      <w:bodyDiv w:val="1"/>
      <w:marLeft w:val="0"/>
      <w:marRight w:val="0"/>
      <w:marTop w:val="0"/>
      <w:marBottom w:val="0"/>
      <w:divBdr>
        <w:top w:val="none" w:sz="0" w:space="0" w:color="auto"/>
        <w:left w:val="none" w:sz="0" w:space="0" w:color="auto"/>
        <w:bottom w:val="none" w:sz="0" w:space="0" w:color="auto"/>
        <w:right w:val="none" w:sz="0" w:space="0" w:color="auto"/>
      </w:divBdr>
    </w:div>
    <w:div w:id="1698654843">
      <w:bodyDiv w:val="1"/>
      <w:marLeft w:val="0"/>
      <w:marRight w:val="0"/>
      <w:marTop w:val="0"/>
      <w:marBottom w:val="0"/>
      <w:divBdr>
        <w:top w:val="none" w:sz="0" w:space="0" w:color="auto"/>
        <w:left w:val="none" w:sz="0" w:space="0" w:color="auto"/>
        <w:bottom w:val="none" w:sz="0" w:space="0" w:color="auto"/>
        <w:right w:val="none" w:sz="0" w:space="0" w:color="auto"/>
      </w:divBdr>
    </w:div>
    <w:div w:id="1716544643">
      <w:bodyDiv w:val="1"/>
      <w:marLeft w:val="0"/>
      <w:marRight w:val="0"/>
      <w:marTop w:val="0"/>
      <w:marBottom w:val="0"/>
      <w:divBdr>
        <w:top w:val="none" w:sz="0" w:space="0" w:color="auto"/>
        <w:left w:val="none" w:sz="0" w:space="0" w:color="auto"/>
        <w:bottom w:val="none" w:sz="0" w:space="0" w:color="auto"/>
        <w:right w:val="none" w:sz="0" w:space="0" w:color="auto"/>
      </w:divBdr>
    </w:div>
    <w:div w:id="1749618860">
      <w:bodyDiv w:val="1"/>
      <w:marLeft w:val="0"/>
      <w:marRight w:val="0"/>
      <w:marTop w:val="0"/>
      <w:marBottom w:val="0"/>
      <w:divBdr>
        <w:top w:val="none" w:sz="0" w:space="0" w:color="auto"/>
        <w:left w:val="none" w:sz="0" w:space="0" w:color="auto"/>
        <w:bottom w:val="none" w:sz="0" w:space="0" w:color="auto"/>
        <w:right w:val="none" w:sz="0" w:space="0" w:color="auto"/>
      </w:divBdr>
    </w:div>
    <w:div w:id="1756199274">
      <w:bodyDiv w:val="1"/>
      <w:marLeft w:val="0"/>
      <w:marRight w:val="0"/>
      <w:marTop w:val="0"/>
      <w:marBottom w:val="0"/>
      <w:divBdr>
        <w:top w:val="none" w:sz="0" w:space="0" w:color="auto"/>
        <w:left w:val="none" w:sz="0" w:space="0" w:color="auto"/>
        <w:bottom w:val="none" w:sz="0" w:space="0" w:color="auto"/>
        <w:right w:val="none" w:sz="0" w:space="0" w:color="auto"/>
      </w:divBdr>
      <w:divsChild>
        <w:div w:id="150409703">
          <w:marLeft w:val="0"/>
          <w:marRight w:val="0"/>
          <w:marTop w:val="0"/>
          <w:marBottom w:val="0"/>
          <w:divBdr>
            <w:top w:val="none" w:sz="0" w:space="0" w:color="auto"/>
            <w:left w:val="none" w:sz="0" w:space="0" w:color="auto"/>
            <w:bottom w:val="none" w:sz="0" w:space="0" w:color="auto"/>
            <w:right w:val="none" w:sz="0" w:space="0" w:color="auto"/>
          </w:divBdr>
        </w:div>
      </w:divsChild>
    </w:div>
    <w:div w:id="1770077216">
      <w:bodyDiv w:val="1"/>
      <w:marLeft w:val="0"/>
      <w:marRight w:val="0"/>
      <w:marTop w:val="0"/>
      <w:marBottom w:val="0"/>
      <w:divBdr>
        <w:top w:val="none" w:sz="0" w:space="0" w:color="auto"/>
        <w:left w:val="none" w:sz="0" w:space="0" w:color="auto"/>
        <w:bottom w:val="none" w:sz="0" w:space="0" w:color="auto"/>
        <w:right w:val="none" w:sz="0" w:space="0" w:color="auto"/>
      </w:divBdr>
    </w:div>
    <w:div w:id="1781677999">
      <w:bodyDiv w:val="1"/>
      <w:marLeft w:val="0"/>
      <w:marRight w:val="0"/>
      <w:marTop w:val="0"/>
      <w:marBottom w:val="0"/>
      <w:divBdr>
        <w:top w:val="none" w:sz="0" w:space="0" w:color="auto"/>
        <w:left w:val="none" w:sz="0" w:space="0" w:color="auto"/>
        <w:bottom w:val="none" w:sz="0" w:space="0" w:color="auto"/>
        <w:right w:val="none" w:sz="0" w:space="0" w:color="auto"/>
      </w:divBdr>
    </w:div>
    <w:div w:id="1804813225">
      <w:bodyDiv w:val="1"/>
      <w:marLeft w:val="0"/>
      <w:marRight w:val="0"/>
      <w:marTop w:val="0"/>
      <w:marBottom w:val="0"/>
      <w:divBdr>
        <w:top w:val="none" w:sz="0" w:space="0" w:color="auto"/>
        <w:left w:val="none" w:sz="0" w:space="0" w:color="auto"/>
        <w:bottom w:val="none" w:sz="0" w:space="0" w:color="auto"/>
        <w:right w:val="none" w:sz="0" w:space="0" w:color="auto"/>
      </w:divBdr>
    </w:div>
    <w:div w:id="1816530827">
      <w:bodyDiv w:val="1"/>
      <w:marLeft w:val="0"/>
      <w:marRight w:val="0"/>
      <w:marTop w:val="0"/>
      <w:marBottom w:val="0"/>
      <w:divBdr>
        <w:top w:val="none" w:sz="0" w:space="0" w:color="auto"/>
        <w:left w:val="none" w:sz="0" w:space="0" w:color="auto"/>
        <w:bottom w:val="none" w:sz="0" w:space="0" w:color="auto"/>
        <w:right w:val="none" w:sz="0" w:space="0" w:color="auto"/>
      </w:divBdr>
    </w:div>
    <w:div w:id="1820609650">
      <w:bodyDiv w:val="1"/>
      <w:marLeft w:val="0"/>
      <w:marRight w:val="0"/>
      <w:marTop w:val="0"/>
      <w:marBottom w:val="0"/>
      <w:divBdr>
        <w:top w:val="none" w:sz="0" w:space="0" w:color="auto"/>
        <w:left w:val="none" w:sz="0" w:space="0" w:color="auto"/>
        <w:bottom w:val="none" w:sz="0" w:space="0" w:color="auto"/>
        <w:right w:val="none" w:sz="0" w:space="0" w:color="auto"/>
      </w:divBdr>
    </w:div>
    <w:div w:id="1827894724">
      <w:bodyDiv w:val="1"/>
      <w:marLeft w:val="0"/>
      <w:marRight w:val="0"/>
      <w:marTop w:val="0"/>
      <w:marBottom w:val="0"/>
      <w:divBdr>
        <w:top w:val="none" w:sz="0" w:space="0" w:color="auto"/>
        <w:left w:val="none" w:sz="0" w:space="0" w:color="auto"/>
        <w:bottom w:val="none" w:sz="0" w:space="0" w:color="auto"/>
        <w:right w:val="none" w:sz="0" w:space="0" w:color="auto"/>
      </w:divBdr>
    </w:div>
    <w:div w:id="1834947068">
      <w:bodyDiv w:val="1"/>
      <w:marLeft w:val="0"/>
      <w:marRight w:val="0"/>
      <w:marTop w:val="0"/>
      <w:marBottom w:val="0"/>
      <w:divBdr>
        <w:top w:val="none" w:sz="0" w:space="0" w:color="auto"/>
        <w:left w:val="none" w:sz="0" w:space="0" w:color="auto"/>
        <w:bottom w:val="none" w:sz="0" w:space="0" w:color="auto"/>
        <w:right w:val="none" w:sz="0" w:space="0" w:color="auto"/>
      </w:divBdr>
    </w:div>
    <w:div w:id="1842887761">
      <w:bodyDiv w:val="1"/>
      <w:marLeft w:val="0"/>
      <w:marRight w:val="0"/>
      <w:marTop w:val="0"/>
      <w:marBottom w:val="0"/>
      <w:divBdr>
        <w:top w:val="none" w:sz="0" w:space="0" w:color="auto"/>
        <w:left w:val="none" w:sz="0" w:space="0" w:color="auto"/>
        <w:bottom w:val="none" w:sz="0" w:space="0" w:color="auto"/>
        <w:right w:val="none" w:sz="0" w:space="0" w:color="auto"/>
      </w:divBdr>
    </w:div>
    <w:div w:id="1845706585">
      <w:bodyDiv w:val="1"/>
      <w:marLeft w:val="0"/>
      <w:marRight w:val="0"/>
      <w:marTop w:val="0"/>
      <w:marBottom w:val="0"/>
      <w:divBdr>
        <w:top w:val="none" w:sz="0" w:space="0" w:color="auto"/>
        <w:left w:val="none" w:sz="0" w:space="0" w:color="auto"/>
        <w:bottom w:val="none" w:sz="0" w:space="0" w:color="auto"/>
        <w:right w:val="none" w:sz="0" w:space="0" w:color="auto"/>
      </w:divBdr>
    </w:div>
    <w:div w:id="1862159031">
      <w:bodyDiv w:val="1"/>
      <w:marLeft w:val="0"/>
      <w:marRight w:val="0"/>
      <w:marTop w:val="0"/>
      <w:marBottom w:val="0"/>
      <w:divBdr>
        <w:top w:val="none" w:sz="0" w:space="0" w:color="auto"/>
        <w:left w:val="none" w:sz="0" w:space="0" w:color="auto"/>
        <w:bottom w:val="none" w:sz="0" w:space="0" w:color="auto"/>
        <w:right w:val="none" w:sz="0" w:space="0" w:color="auto"/>
      </w:divBdr>
    </w:div>
    <w:div w:id="1874271357">
      <w:bodyDiv w:val="1"/>
      <w:marLeft w:val="0"/>
      <w:marRight w:val="0"/>
      <w:marTop w:val="0"/>
      <w:marBottom w:val="0"/>
      <w:divBdr>
        <w:top w:val="none" w:sz="0" w:space="0" w:color="auto"/>
        <w:left w:val="none" w:sz="0" w:space="0" w:color="auto"/>
        <w:bottom w:val="none" w:sz="0" w:space="0" w:color="auto"/>
        <w:right w:val="none" w:sz="0" w:space="0" w:color="auto"/>
      </w:divBdr>
    </w:div>
    <w:div w:id="1915121893">
      <w:bodyDiv w:val="1"/>
      <w:marLeft w:val="0"/>
      <w:marRight w:val="0"/>
      <w:marTop w:val="0"/>
      <w:marBottom w:val="0"/>
      <w:divBdr>
        <w:top w:val="none" w:sz="0" w:space="0" w:color="auto"/>
        <w:left w:val="none" w:sz="0" w:space="0" w:color="auto"/>
        <w:bottom w:val="none" w:sz="0" w:space="0" w:color="auto"/>
        <w:right w:val="none" w:sz="0" w:space="0" w:color="auto"/>
      </w:divBdr>
    </w:div>
    <w:div w:id="1941600770">
      <w:bodyDiv w:val="1"/>
      <w:marLeft w:val="0"/>
      <w:marRight w:val="0"/>
      <w:marTop w:val="0"/>
      <w:marBottom w:val="0"/>
      <w:divBdr>
        <w:top w:val="none" w:sz="0" w:space="0" w:color="auto"/>
        <w:left w:val="none" w:sz="0" w:space="0" w:color="auto"/>
        <w:bottom w:val="none" w:sz="0" w:space="0" w:color="auto"/>
        <w:right w:val="none" w:sz="0" w:space="0" w:color="auto"/>
      </w:divBdr>
    </w:div>
    <w:div w:id="1952660797">
      <w:bodyDiv w:val="1"/>
      <w:marLeft w:val="0"/>
      <w:marRight w:val="0"/>
      <w:marTop w:val="0"/>
      <w:marBottom w:val="0"/>
      <w:divBdr>
        <w:top w:val="none" w:sz="0" w:space="0" w:color="auto"/>
        <w:left w:val="none" w:sz="0" w:space="0" w:color="auto"/>
        <w:bottom w:val="none" w:sz="0" w:space="0" w:color="auto"/>
        <w:right w:val="none" w:sz="0" w:space="0" w:color="auto"/>
      </w:divBdr>
    </w:div>
    <w:div w:id="1963877072">
      <w:bodyDiv w:val="1"/>
      <w:marLeft w:val="0"/>
      <w:marRight w:val="0"/>
      <w:marTop w:val="0"/>
      <w:marBottom w:val="0"/>
      <w:divBdr>
        <w:top w:val="none" w:sz="0" w:space="0" w:color="auto"/>
        <w:left w:val="none" w:sz="0" w:space="0" w:color="auto"/>
        <w:bottom w:val="none" w:sz="0" w:space="0" w:color="auto"/>
        <w:right w:val="none" w:sz="0" w:space="0" w:color="auto"/>
      </w:divBdr>
    </w:div>
    <w:div w:id="1968731652">
      <w:bodyDiv w:val="1"/>
      <w:marLeft w:val="0"/>
      <w:marRight w:val="0"/>
      <w:marTop w:val="0"/>
      <w:marBottom w:val="0"/>
      <w:divBdr>
        <w:top w:val="none" w:sz="0" w:space="0" w:color="auto"/>
        <w:left w:val="none" w:sz="0" w:space="0" w:color="auto"/>
        <w:bottom w:val="none" w:sz="0" w:space="0" w:color="auto"/>
        <w:right w:val="none" w:sz="0" w:space="0" w:color="auto"/>
      </w:divBdr>
    </w:div>
    <w:div w:id="2014214285">
      <w:bodyDiv w:val="1"/>
      <w:marLeft w:val="0"/>
      <w:marRight w:val="0"/>
      <w:marTop w:val="0"/>
      <w:marBottom w:val="0"/>
      <w:divBdr>
        <w:top w:val="none" w:sz="0" w:space="0" w:color="auto"/>
        <w:left w:val="none" w:sz="0" w:space="0" w:color="auto"/>
        <w:bottom w:val="none" w:sz="0" w:space="0" w:color="auto"/>
        <w:right w:val="none" w:sz="0" w:space="0" w:color="auto"/>
      </w:divBdr>
    </w:div>
    <w:div w:id="2015379823">
      <w:bodyDiv w:val="1"/>
      <w:marLeft w:val="0"/>
      <w:marRight w:val="0"/>
      <w:marTop w:val="0"/>
      <w:marBottom w:val="0"/>
      <w:divBdr>
        <w:top w:val="none" w:sz="0" w:space="0" w:color="auto"/>
        <w:left w:val="none" w:sz="0" w:space="0" w:color="auto"/>
        <w:bottom w:val="none" w:sz="0" w:space="0" w:color="auto"/>
        <w:right w:val="none" w:sz="0" w:space="0" w:color="auto"/>
      </w:divBdr>
    </w:div>
    <w:div w:id="2026592876">
      <w:bodyDiv w:val="1"/>
      <w:marLeft w:val="0"/>
      <w:marRight w:val="0"/>
      <w:marTop w:val="0"/>
      <w:marBottom w:val="0"/>
      <w:divBdr>
        <w:top w:val="none" w:sz="0" w:space="0" w:color="auto"/>
        <w:left w:val="none" w:sz="0" w:space="0" w:color="auto"/>
        <w:bottom w:val="none" w:sz="0" w:space="0" w:color="auto"/>
        <w:right w:val="none" w:sz="0" w:space="0" w:color="auto"/>
      </w:divBdr>
    </w:div>
    <w:div w:id="2122647019">
      <w:bodyDiv w:val="1"/>
      <w:marLeft w:val="0"/>
      <w:marRight w:val="0"/>
      <w:marTop w:val="0"/>
      <w:marBottom w:val="0"/>
      <w:divBdr>
        <w:top w:val="none" w:sz="0" w:space="0" w:color="auto"/>
        <w:left w:val="none" w:sz="0" w:space="0" w:color="auto"/>
        <w:bottom w:val="none" w:sz="0" w:space="0" w:color="auto"/>
        <w:right w:val="none" w:sz="0" w:space="0" w:color="auto"/>
      </w:divBdr>
    </w:div>
    <w:div w:id="2125725973">
      <w:bodyDiv w:val="1"/>
      <w:marLeft w:val="0"/>
      <w:marRight w:val="0"/>
      <w:marTop w:val="0"/>
      <w:marBottom w:val="0"/>
      <w:divBdr>
        <w:top w:val="none" w:sz="0" w:space="0" w:color="auto"/>
        <w:left w:val="none" w:sz="0" w:space="0" w:color="auto"/>
        <w:bottom w:val="none" w:sz="0" w:space="0" w:color="auto"/>
        <w:right w:val="none" w:sz="0" w:space="0" w:color="auto"/>
      </w:divBdr>
    </w:div>
    <w:div w:id="2132168232">
      <w:bodyDiv w:val="1"/>
      <w:marLeft w:val="0"/>
      <w:marRight w:val="0"/>
      <w:marTop w:val="0"/>
      <w:marBottom w:val="0"/>
      <w:divBdr>
        <w:top w:val="none" w:sz="0" w:space="0" w:color="auto"/>
        <w:left w:val="none" w:sz="0" w:space="0" w:color="auto"/>
        <w:bottom w:val="none" w:sz="0" w:space="0" w:color="auto"/>
        <w:right w:val="none" w:sz="0" w:space="0" w:color="auto"/>
      </w:divBdr>
    </w:div>
    <w:div w:id="214581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using.ec.europa.eu/news/presidents-state-union-speech-addresses-housing-crisis-2025-09-10_e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8" Type="http://schemas.openxmlformats.org/officeDocument/2006/relationships/hyperlink" Target="https://www.oecd.org/en/publications/oecd-monitoring-framework-to-measure-homelessness_3e98455b-en.html" TargetMode="External"/><Relationship Id="rId13" Type="http://schemas.openxmlformats.org/officeDocument/2006/relationships/hyperlink" Target="https://eur-lex.europa.eu/eli/reco/2021/1004/oj/" TargetMode="External"/><Relationship Id="rId18" Type="http://schemas.openxmlformats.org/officeDocument/2006/relationships/hyperlink" Target="https://eur-lex.europa.eu/legal-content/SL/TXT/?uri=celex:52020DC0620" TargetMode="External"/><Relationship Id="rId26" Type="http://schemas.openxmlformats.org/officeDocument/2006/relationships/hyperlink" Target="https://eur-lex.europa.eu/legal-content/SL/TXT/PDF/?uri=CELEX:52021IR3911" TargetMode="External"/><Relationship Id="rId39" Type="http://schemas.openxmlformats.org/officeDocument/2006/relationships/hyperlink" Target="https://eur-lex.europa.eu/eli/dec/2025/2630/oj/" TargetMode="External"/><Relationship Id="rId3" Type="http://schemas.openxmlformats.org/officeDocument/2006/relationships/hyperlink" Target="https://ec.europa.eu/eurostat/statistics-explained/SEPDF/cache/132338.pdf" TargetMode="External"/><Relationship Id="rId21" Type="http://schemas.openxmlformats.org/officeDocument/2006/relationships/hyperlink" Target="https://eur-lex.europa.eu/eli/dir/2014/92/oj/" TargetMode="External"/><Relationship Id="rId34" Type="http://schemas.openxmlformats.org/officeDocument/2006/relationships/hyperlink" Target="https://eur-lex.europa.eu/legal-content/SL/TXT/?uri=CELEX%3A32017R0543&amp;qid=1765103514589" TargetMode="External"/><Relationship Id="rId7" Type="http://schemas.openxmlformats.org/officeDocument/2006/relationships/hyperlink" Target="https://www.oecd.org/en/publications/oecd-monitoring-framework-to-measure-homelessness_3e98455b-en.html" TargetMode="External"/><Relationship Id="rId12" Type="http://schemas.openxmlformats.org/officeDocument/2006/relationships/hyperlink" Target="https://eur-lex.europa.eu/legal-content/SL/TXT/?uri=oj:JOC_2017_428_R_0009" TargetMode="External"/><Relationship Id="rId17" Type="http://schemas.openxmlformats.org/officeDocument/2006/relationships/hyperlink" Target="https://eur-lex.europa.eu/legal-content/SL/TXT/?uri=celex:52020DC0620" TargetMode="External"/><Relationship Id="rId25" Type="http://schemas.openxmlformats.org/officeDocument/2006/relationships/hyperlink" Target="https://eur-lex.europa.eu/legal-content/SL/TXT/PDF/?uri=CELEX:52021IR3911" TargetMode="External"/><Relationship Id="rId33" Type="http://schemas.openxmlformats.org/officeDocument/2006/relationships/hyperlink" Target="https://eur-lex.europa.eu/legal-content/sl/TXT/?uri=CELEX:32025R1914&amp;qid=1775501393036" TargetMode="External"/><Relationship Id="rId38" Type="http://schemas.openxmlformats.org/officeDocument/2006/relationships/hyperlink" Target="https://eur-lex.europa.eu/legal-content/sl/TXT/?uri=CELEX:32025R1914&amp;qid=1775501393036" TargetMode="External"/><Relationship Id="rId2" Type="http://schemas.openxmlformats.org/officeDocument/2006/relationships/hyperlink" Target="https://www.oecd.org/content/oecd/en/data/datasets/oecd-affordable-housing-database.html" TargetMode="External"/><Relationship Id="rId16" Type="http://schemas.openxmlformats.org/officeDocument/2006/relationships/hyperlink" Target="https://eur-lex.europa.eu/legal-content/SL/TXT/?uri=oj:JOC_2021_093_R_0001" TargetMode="External"/><Relationship Id="rId20" Type="http://schemas.openxmlformats.org/officeDocument/2006/relationships/hyperlink" Target="https://eur-lex.europa.eu/legal-content/SL/TXT/?uri=oj:JOC_2022_476_R_0001" TargetMode="External"/><Relationship Id="rId29" Type="http://schemas.openxmlformats.org/officeDocument/2006/relationships/hyperlink" Target="https://eur-lex.europa.eu/legal-content/SL/TXT/?uri=celex:52025DC1025" TargetMode="External"/><Relationship Id="rId1" Type="http://schemas.openxmlformats.org/officeDocument/2006/relationships/hyperlink" Target="https://www.oecd.org/content/oecd/en/data/datasets/oecd-affordable-housing-database.html" TargetMode="External"/><Relationship Id="rId6" Type="http://schemas.openxmlformats.org/officeDocument/2006/relationships/hyperlink" Target="https://www.oecd.org/en/publications/oecd-toolkit-to-combat-homelessness_0fec780e-en.html" TargetMode="External"/><Relationship Id="rId11" Type="http://schemas.openxmlformats.org/officeDocument/2006/relationships/hyperlink" Target="https://www.coe.int/en/web/conventions/full-list?module=treaty-detail&amp;treatynum=163" TargetMode="External"/><Relationship Id="rId24" Type="http://schemas.openxmlformats.org/officeDocument/2006/relationships/hyperlink" Target="https://eur-lex.europa.eu/legal-content/SL/TXT/?uri=CELEX%3A32017R0543&amp;qid=1765103514589" TargetMode="External"/><Relationship Id="rId32" Type="http://schemas.openxmlformats.org/officeDocument/2006/relationships/hyperlink" Target="https://www.oecd.org/en/data/datasets/oecd-affordable-housing-database.html" TargetMode="External"/><Relationship Id="rId37" Type="http://schemas.openxmlformats.org/officeDocument/2006/relationships/hyperlink" Target="https://eur-lex.europa.eu/legal-content/SL/TXT/?uri=celex:52025DC1025" TargetMode="External"/><Relationship Id="rId5" Type="http://schemas.openxmlformats.org/officeDocument/2006/relationships/hyperlink" Target="https://www.oecd.org/en/publications/oecd-toolkit-to-combat-homelessness_0fec780e-en.html" TargetMode="External"/><Relationship Id="rId15" Type="http://schemas.openxmlformats.org/officeDocument/2006/relationships/hyperlink" Target="https://eur-lex.europa.eu/eli/C/2023/1344/oj/" TargetMode="External"/><Relationship Id="rId23" Type="http://schemas.openxmlformats.org/officeDocument/2006/relationships/hyperlink" Target="https://www.europarl.europa.eu/doceo/document/TA-10-2026-0064_SL.html" TargetMode="External"/><Relationship Id="rId28" Type="http://schemas.openxmlformats.org/officeDocument/2006/relationships/hyperlink" Target="https://op.europa.eu/sl/publication-detail/-/publication/428fd92f-1c2f-11f1-8c3a-01aa75ed71a1/language-sl" TargetMode="External"/><Relationship Id="rId36" Type="http://schemas.openxmlformats.org/officeDocument/2006/relationships/hyperlink" Target="https://eur-lex.europa.eu/legal-content/SL/TXT/?uri=celex:52025DC1025" TargetMode="External"/><Relationship Id="rId10" Type="http://schemas.openxmlformats.org/officeDocument/2006/relationships/hyperlink" Target="https://employment-social-affairs.ec.europa.eu/fight-against-homelessness-and-its-links-anti-poverty-policies-across-european-union_en" TargetMode="External"/><Relationship Id="rId19" Type="http://schemas.openxmlformats.org/officeDocument/2006/relationships/hyperlink" Target="https://eur-lex.europa.eu/legal-content/SL/TXT/?uri=celex:52020DC0620" TargetMode="External"/><Relationship Id="rId31" Type="http://schemas.openxmlformats.org/officeDocument/2006/relationships/hyperlink" Target="https://www.oecd.org/en/data/datasets/oecd-affordable-housing-database.html" TargetMode="External"/><Relationship Id="rId4" Type="http://schemas.openxmlformats.org/officeDocument/2006/relationships/hyperlink" Target="https://eur-lex.europa.eu/legal-content/SL/TXT/?uri=CELEX%3A52021DC0345" TargetMode="External"/><Relationship Id="rId9" Type="http://schemas.openxmlformats.org/officeDocument/2006/relationships/hyperlink" Target="https://www.kuleuven.be/lucas/en/eu_homelessness_counts" TargetMode="External"/><Relationship Id="rId14" Type="http://schemas.openxmlformats.org/officeDocument/2006/relationships/hyperlink" Target="https://eur-lex.europa.eu/legal-content/SL/TXT/?uri=oj:JOC_2023_041_R_0001" TargetMode="External"/><Relationship Id="rId22" Type="http://schemas.openxmlformats.org/officeDocument/2006/relationships/hyperlink" Target="https://www.europarl.europa.eu/doceo/document/TA-9-2020-0314_SL.html?utm_source=chatgpt.com" TargetMode="External"/><Relationship Id="rId27" Type="http://schemas.openxmlformats.org/officeDocument/2006/relationships/hyperlink" Target="https://eur-lex.europa.eu/legal-content/SL/TXT/?uri=CELEX%3A52023IE1741&amp;qid=1777895281331" TargetMode="External"/><Relationship Id="rId30" Type="http://schemas.openxmlformats.org/officeDocument/2006/relationships/hyperlink" Target="https://eur-lex.europa.eu/legal-content/SL/TXT/?uri=celex:52025DC1025" TargetMode="External"/><Relationship Id="rId35" Type="http://schemas.openxmlformats.org/officeDocument/2006/relationships/hyperlink" Target="https://eur-lex.europa.eu/eli/dir/2014/92/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F1A94-D78F-4905-BAA4-BC8C8A9F5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16</Pages>
  <Words>13359</Words>
  <Characters>76148</Characters>
  <Application>Microsoft Office Word</Application>
  <DocSecurity>0</DocSecurity>
  <Lines>634</Lines>
  <Paragraphs>178</Paragraphs>
  <ScaleCrop>false</ScaleCrop>
  <Manager/>
  <Company/>
  <LinksUpToDate>false</LinksUpToDate>
  <CharactersWithSpaces>89329</CharactersWithSpaces>
  <SharedDoc>false</SharedDoc>
  <HLinks>
    <vt:vector size="264" baseType="variant">
      <vt:variant>
        <vt:i4>1376371</vt:i4>
      </vt:variant>
      <vt:variant>
        <vt:i4>0</vt:i4>
      </vt:variant>
      <vt:variant>
        <vt:i4>0</vt:i4>
      </vt:variant>
      <vt:variant>
        <vt:i4>5</vt:i4>
      </vt:variant>
      <vt:variant>
        <vt:lpwstr>https://housing.ec.europa.eu/news/presidents-state-union-speech-addresses-housing-crisis-2025-09-10_en</vt:lpwstr>
      </vt:variant>
      <vt:variant>
        <vt:lpwstr/>
      </vt:variant>
      <vt:variant>
        <vt:i4>7929971</vt:i4>
      </vt:variant>
      <vt:variant>
        <vt:i4>93</vt:i4>
      </vt:variant>
      <vt:variant>
        <vt:i4>0</vt:i4>
      </vt:variant>
      <vt:variant>
        <vt:i4>5</vt:i4>
      </vt:variant>
      <vt:variant>
        <vt:lpwstr>https://eur-lex.europa.eu/eli/dec/2025/2630/oj/eng</vt:lpwstr>
      </vt:variant>
      <vt:variant>
        <vt:lpwstr/>
      </vt:variant>
      <vt:variant>
        <vt:i4>3342391</vt:i4>
      </vt:variant>
      <vt:variant>
        <vt:i4>90</vt:i4>
      </vt:variant>
      <vt:variant>
        <vt:i4>0</vt:i4>
      </vt:variant>
      <vt:variant>
        <vt:i4>5</vt:i4>
      </vt:variant>
      <vt:variant>
        <vt:lpwstr>https://eur-lex.europa.eu/legal-content/en/TXT/?uri=CELEX:32025R1914&amp;qid=1775501393036</vt:lpwstr>
      </vt:variant>
      <vt:variant>
        <vt:lpwstr/>
      </vt:variant>
      <vt:variant>
        <vt:i4>196625</vt:i4>
      </vt:variant>
      <vt:variant>
        <vt:i4>87</vt:i4>
      </vt:variant>
      <vt:variant>
        <vt:i4>0</vt:i4>
      </vt:variant>
      <vt:variant>
        <vt:i4>5</vt:i4>
      </vt:variant>
      <vt:variant>
        <vt:lpwstr>https://eur-lex.europa.eu/legal-content/EN/TXT/?uri=celex:52025DC1025</vt:lpwstr>
      </vt:variant>
      <vt:variant>
        <vt:lpwstr/>
      </vt:variant>
      <vt:variant>
        <vt:i4>4980821</vt:i4>
      </vt:variant>
      <vt:variant>
        <vt:i4>81</vt:i4>
      </vt:variant>
      <vt:variant>
        <vt:i4>0</vt:i4>
      </vt:variant>
      <vt:variant>
        <vt:i4>5</vt:i4>
      </vt:variant>
      <vt:variant>
        <vt:lpwstr>https://eur-lex.europa.eu/eli/dir/2014/92/oj/eng</vt:lpwstr>
      </vt:variant>
      <vt:variant>
        <vt:lpwstr/>
      </vt:variant>
      <vt:variant>
        <vt:i4>4194312</vt:i4>
      </vt:variant>
      <vt:variant>
        <vt:i4>78</vt:i4>
      </vt:variant>
      <vt:variant>
        <vt:i4>0</vt:i4>
      </vt:variant>
      <vt:variant>
        <vt:i4>5</vt:i4>
      </vt:variant>
      <vt:variant>
        <vt:lpwstr>https://eur-lex.europa.eu/legal-content/EN/TXT/?uri=CELEX%3A32017R0543&amp;qid=1765103514589</vt:lpwstr>
      </vt:variant>
      <vt:variant>
        <vt:lpwstr/>
      </vt:variant>
      <vt:variant>
        <vt:i4>3342391</vt:i4>
      </vt:variant>
      <vt:variant>
        <vt:i4>75</vt:i4>
      </vt:variant>
      <vt:variant>
        <vt:i4>0</vt:i4>
      </vt:variant>
      <vt:variant>
        <vt:i4>5</vt:i4>
      </vt:variant>
      <vt:variant>
        <vt:lpwstr>https://eur-lex.europa.eu/legal-content/en/TXT/?uri=CELEX:32025R1914&amp;qid=1775501393036</vt:lpwstr>
      </vt:variant>
      <vt:variant>
        <vt:lpwstr/>
      </vt:variant>
      <vt:variant>
        <vt:i4>3735675</vt:i4>
      </vt:variant>
      <vt:variant>
        <vt:i4>72</vt:i4>
      </vt:variant>
      <vt:variant>
        <vt:i4>0</vt:i4>
      </vt:variant>
      <vt:variant>
        <vt:i4>5</vt:i4>
      </vt:variant>
      <vt:variant>
        <vt:lpwstr>https://www.oecd.org/en/data/datasets/oecd-affordable-housing-database.html</vt:lpwstr>
      </vt:variant>
      <vt:variant>
        <vt:lpwstr/>
      </vt:variant>
      <vt:variant>
        <vt:i4>196625</vt:i4>
      </vt:variant>
      <vt:variant>
        <vt:i4>69</vt:i4>
      </vt:variant>
      <vt:variant>
        <vt:i4>0</vt:i4>
      </vt:variant>
      <vt:variant>
        <vt:i4>5</vt:i4>
      </vt:variant>
      <vt:variant>
        <vt:lpwstr>https://eur-lex.europa.eu/legal-content/EN/TXT/?uri=celex:52025DC1025</vt:lpwstr>
      </vt:variant>
      <vt:variant>
        <vt:lpwstr/>
      </vt:variant>
      <vt:variant>
        <vt:i4>1310795</vt:i4>
      </vt:variant>
      <vt:variant>
        <vt:i4>66</vt:i4>
      </vt:variant>
      <vt:variant>
        <vt:i4>0</vt:i4>
      </vt:variant>
      <vt:variant>
        <vt:i4>5</vt:i4>
      </vt:variant>
      <vt:variant>
        <vt:lpwstr>https://op.europa.eu/en/publication-detail/-/publication/428fd92f-1c2f-11f1-8c3a-01aa75ed71a1/language-en</vt:lpwstr>
      </vt:variant>
      <vt:variant>
        <vt:lpwstr/>
      </vt:variant>
      <vt:variant>
        <vt:i4>851969</vt:i4>
      </vt:variant>
      <vt:variant>
        <vt:i4>63</vt:i4>
      </vt:variant>
      <vt:variant>
        <vt:i4>0</vt:i4>
      </vt:variant>
      <vt:variant>
        <vt:i4>5</vt:i4>
      </vt:variant>
      <vt:variant>
        <vt:lpwstr>https://eur-lex.europa.eu/legal-content/EN/TXT/?uri=CELEX%3A52023IE1741&amp;qid=1777895281331</vt:lpwstr>
      </vt:variant>
      <vt:variant>
        <vt:lpwstr/>
      </vt:variant>
      <vt:variant>
        <vt:i4>1638470</vt:i4>
      </vt:variant>
      <vt:variant>
        <vt:i4>60</vt:i4>
      </vt:variant>
      <vt:variant>
        <vt:i4>0</vt:i4>
      </vt:variant>
      <vt:variant>
        <vt:i4>5</vt:i4>
      </vt:variant>
      <vt:variant>
        <vt:lpwstr>https://eur-lex.europa.eu/legal-content/EN/TXT/PDF/?uri=CELEX:52021IR3911</vt:lpwstr>
      </vt:variant>
      <vt:variant>
        <vt:lpwstr/>
      </vt:variant>
      <vt:variant>
        <vt:i4>4194312</vt:i4>
      </vt:variant>
      <vt:variant>
        <vt:i4>57</vt:i4>
      </vt:variant>
      <vt:variant>
        <vt:i4>0</vt:i4>
      </vt:variant>
      <vt:variant>
        <vt:i4>5</vt:i4>
      </vt:variant>
      <vt:variant>
        <vt:lpwstr>https://eur-lex.europa.eu/legal-content/EN/TXT/?uri=CELEX%3A32017R0543&amp;qid=1765103514589</vt:lpwstr>
      </vt:variant>
      <vt:variant>
        <vt:lpwstr/>
      </vt:variant>
      <vt:variant>
        <vt:i4>6881307</vt:i4>
      </vt:variant>
      <vt:variant>
        <vt:i4>54</vt:i4>
      </vt:variant>
      <vt:variant>
        <vt:i4>0</vt:i4>
      </vt:variant>
      <vt:variant>
        <vt:i4>5</vt:i4>
      </vt:variant>
      <vt:variant>
        <vt:lpwstr>https://www.europarl.europa.eu/doceo/document/TA-10-2026-0064_EN.html</vt:lpwstr>
      </vt:variant>
      <vt:variant>
        <vt:lpwstr/>
      </vt:variant>
      <vt:variant>
        <vt:i4>7077947</vt:i4>
      </vt:variant>
      <vt:variant>
        <vt:i4>51</vt:i4>
      </vt:variant>
      <vt:variant>
        <vt:i4>0</vt:i4>
      </vt:variant>
      <vt:variant>
        <vt:i4>5</vt:i4>
      </vt:variant>
      <vt:variant>
        <vt:lpwstr>https://www.europarl.europa.eu/doceo/document/TA-9-2020-0314_EN.html?utm_source=chatgpt.com</vt:lpwstr>
      </vt:variant>
      <vt:variant>
        <vt:lpwstr/>
      </vt:variant>
      <vt:variant>
        <vt:i4>4980821</vt:i4>
      </vt:variant>
      <vt:variant>
        <vt:i4>48</vt:i4>
      </vt:variant>
      <vt:variant>
        <vt:i4>0</vt:i4>
      </vt:variant>
      <vt:variant>
        <vt:i4>5</vt:i4>
      </vt:variant>
      <vt:variant>
        <vt:lpwstr>https://eur-lex.europa.eu/eli/dir/2014/92/oj/eng</vt:lpwstr>
      </vt:variant>
      <vt:variant>
        <vt:lpwstr/>
      </vt:variant>
      <vt:variant>
        <vt:i4>5505042</vt:i4>
      </vt:variant>
      <vt:variant>
        <vt:i4>45</vt:i4>
      </vt:variant>
      <vt:variant>
        <vt:i4>0</vt:i4>
      </vt:variant>
      <vt:variant>
        <vt:i4>5</vt:i4>
      </vt:variant>
      <vt:variant>
        <vt:lpwstr>https://eur-lex.europa.eu/legal-content/EN/TXT/?uri=oj:JOC_2022_476_R_0001</vt:lpwstr>
      </vt:variant>
      <vt:variant>
        <vt:lpwstr/>
      </vt:variant>
      <vt:variant>
        <vt:i4>131090</vt:i4>
      </vt:variant>
      <vt:variant>
        <vt:i4>42</vt:i4>
      </vt:variant>
      <vt:variant>
        <vt:i4>0</vt:i4>
      </vt:variant>
      <vt:variant>
        <vt:i4>5</vt:i4>
      </vt:variant>
      <vt:variant>
        <vt:lpwstr>https://eur-lex.europa.eu/legal-content/EN/TXT/?uri=celex:52020DC0620</vt:lpwstr>
      </vt:variant>
      <vt:variant>
        <vt:lpwstr/>
      </vt:variant>
      <vt:variant>
        <vt:i4>5898256</vt:i4>
      </vt:variant>
      <vt:variant>
        <vt:i4>39</vt:i4>
      </vt:variant>
      <vt:variant>
        <vt:i4>0</vt:i4>
      </vt:variant>
      <vt:variant>
        <vt:i4>5</vt:i4>
      </vt:variant>
      <vt:variant>
        <vt:lpwstr>https://eur-lex.europa.eu/legal-content/EN/TXT/?uri=oj:JOC_2021_093_R_0001</vt:lpwstr>
      </vt:variant>
      <vt:variant>
        <vt:lpwstr/>
      </vt:variant>
      <vt:variant>
        <vt:i4>1966102</vt:i4>
      </vt:variant>
      <vt:variant>
        <vt:i4>36</vt:i4>
      </vt:variant>
      <vt:variant>
        <vt:i4>0</vt:i4>
      </vt:variant>
      <vt:variant>
        <vt:i4>5</vt:i4>
      </vt:variant>
      <vt:variant>
        <vt:lpwstr>https://eur-lex.europa.eu/eli/C/2023/1344/oj/eng</vt:lpwstr>
      </vt:variant>
      <vt:variant>
        <vt:lpwstr/>
      </vt:variant>
      <vt:variant>
        <vt:i4>5701648</vt:i4>
      </vt:variant>
      <vt:variant>
        <vt:i4>33</vt:i4>
      </vt:variant>
      <vt:variant>
        <vt:i4>0</vt:i4>
      </vt:variant>
      <vt:variant>
        <vt:i4>5</vt:i4>
      </vt:variant>
      <vt:variant>
        <vt:lpwstr>https://eur-lex.europa.eu/legal-content/EN/TXT/?uri=oj:JOC_2023_041_R_0001</vt:lpwstr>
      </vt:variant>
      <vt:variant>
        <vt:lpwstr/>
      </vt:variant>
      <vt:variant>
        <vt:i4>8323181</vt:i4>
      </vt:variant>
      <vt:variant>
        <vt:i4>27</vt:i4>
      </vt:variant>
      <vt:variant>
        <vt:i4>0</vt:i4>
      </vt:variant>
      <vt:variant>
        <vt:i4>5</vt:i4>
      </vt:variant>
      <vt:variant>
        <vt:lpwstr>https://eur-lex.europa.eu/eli/reco/2021/1004/oj/eng</vt:lpwstr>
      </vt:variant>
      <vt:variant>
        <vt:lpwstr/>
      </vt:variant>
      <vt:variant>
        <vt:i4>5898265</vt:i4>
      </vt:variant>
      <vt:variant>
        <vt:i4>21</vt:i4>
      </vt:variant>
      <vt:variant>
        <vt:i4>0</vt:i4>
      </vt:variant>
      <vt:variant>
        <vt:i4>5</vt:i4>
      </vt:variant>
      <vt:variant>
        <vt:lpwstr>https://eur-lex.europa.eu/legal-content/EN/TXT/?uri=oj:JOC_2017_428_R_0009</vt:lpwstr>
      </vt:variant>
      <vt:variant>
        <vt:lpwstr/>
      </vt:variant>
      <vt:variant>
        <vt:i4>7340085</vt:i4>
      </vt:variant>
      <vt:variant>
        <vt:i4>18</vt:i4>
      </vt:variant>
      <vt:variant>
        <vt:i4>0</vt:i4>
      </vt:variant>
      <vt:variant>
        <vt:i4>5</vt:i4>
      </vt:variant>
      <vt:variant>
        <vt:lpwstr>https://www.coe.int/en/web/conventions/full-list?module=treaty-detail&amp;treatynum=163</vt:lpwstr>
      </vt:variant>
      <vt:variant>
        <vt:lpwstr/>
      </vt:variant>
      <vt:variant>
        <vt:i4>4390961</vt:i4>
      </vt:variant>
      <vt:variant>
        <vt:i4>15</vt:i4>
      </vt:variant>
      <vt:variant>
        <vt:i4>0</vt:i4>
      </vt:variant>
      <vt:variant>
        <vt:i4>5</vt:i4>
      </vt:variant>
      <vt:variant>
        <vt:lpwstr>https://employment-social-affairs.ec.europa.eu/fight-against-     homelessness-and-its-links-anti-poverty-policies-across-european-union_en</vt:lpwstr>
      </vt:variant>
      <vt:variant>
        <vt:lpwstr>description</vt:lpwstr>
      </vt:variant>
      <vt:variant>
        <vt:i4>655366</vt:i4>
      </vt:variant>
      <vt:variant>
        <vt:i4>12</vt:i4>
      </vt:variant>
      <vt:variant>
        <vt:i4>0</vt:i4>
      </vt:variant>
      <vt:variant>
        <vt:i4>5</vt:i4>
      </vt:variant>
      <vt:variant>
        <vt:lpwstr>https://www.kuleuven.be/lucas/en/eu_homelessness_counts</vt:lpwstr>
      </vt:variant>
      <vt:variant>
        <vt:lpwstr/>
      </vt:variant>
      <vt:variant>
        <vt:i4>7208973</vt:i4>
      </vt:variant>
      <vt:variant>
        <vt:i4>9</vt:i4>
      </vt:variant>
      <vt:variant>
        <vt:i4>0</vt:i4>
      </vt:variant>
      <vt:variant>
        <vt:i4>5</vt:i4>
      </vt:variant>
      <vt:variant>
        <vt:lpwstr>https://www.oecd.org/en/publications/oecd-monitoring-framework-to-measure-homelessness_3e98455b-en.html</vt:lpwstr>
      </vt:variant>
      <vt:variant>
        <vt:lpwstr/>
      </vt:variant>
      <vt:variant>
        <vt:i4>4980857</vt:i4>
      </vt:variant>
      <vt:variant>
        <vt:i4>6</vt:i4>
      </vt:variant>
      <vt:variant>
        <vt:i4>0</vt:i4>
      </vt:variant>
      <vt:variant>
        <vt:i4>5</vt:i4>
      </vt:variant>
      <vt:variant>
        <vt:lpwstr>https://www.oecd.org/en/publications/oecd-toolkit-to-combat-homelessness_0fec780e-en.html</vt:lpwstr>
      </vt:variant>
      <vt:variant>
        <vt:lpwstr/>
      </vt:variant>
      <vt:variant>
        <vt:i4>589846</vt:i4>
      </vt:variant>
      <vt:variant>
        <vt:i4>3</vt:i4>
      </vt:variant>
      <vt:variant>
        <vt:i4>0</vt:i4>
      </vt:variant>
      <vt:variant>
        <vt:i4>5</vt:i4>
      </vt:variant>
      <vt:variant>
        <vt:lpwstr>https://ec.europa.eu/eurostat/statistics-explained/SEPDF/cache/132338.pdf</vt:lpwstr>
      </vt:variant>
      <vt:variant>
        <vt:lpwstr/>
      </vt:variant>
      <vt:variant>
        <vt:i4>5636124</vt:i4>
      </vt:variant>
      <vt:variant>
        <vt:i4>0</vt:i4>
      </vt:variant>
      <vt:variant>
        <vt:i4>0</vt:i4>
      </vt:variant>
      <vt:variant>
        <vt:i4>5</vt:i4>
      </vt:variant>
      <vt:variant>
        <vt:lpwstr>https://www.oecd.org/content/oecd/en/data/datasets/oecd-affordable-housing-database.html</vt:lpwstr>
      </vt:variant>
      <vt:variant>
        <vt:lpwstr/>
      </vt:variant>
      <vt:variant>
        <vt:i4>2752526</vt:i4>
      </vt:variant>
      <vt:variant>
        <vt:i4>39</vt:i4>
      </vt:variant>
      <vt:variant>
        <vt:i4>0</vt:i4>
      </vt:variant>
      <vt:variant>
        <vt:i4>5</vt:i4>
      </vt:variant>
      <vt:variant>
        <vt:lpwstr>mailto:Aristotelis.ALVANOS@ec.europa.eu</vt:lpwstr>
      </vt:variant>
      <vt:variant>
        <vt:lpwstr/>
      </vt:variant>
      <vt:variant>
        <vt:i4>917566</vt:i4>
      </vt:variant>
      <vt:variant>
        <vt:i4>36</vt:i4>
      </vt:variant>
      <vt:variant>
        <vt:i4>0</vt:i4>
      </vt:variant>
      <vt:variant>
        <vt:i4>5</vt:i4>
      </vt:variant>
      <vt:variant>
        <vt:lpwstr>mailto:Michele.CALANDRINO@ec.europa.eu</vt:lpwstr>
      </vt:variant>
      <vt:variant>
        <vt:lpwstr/>
      </vt:variant>
      <vt:variant>
        <vt:i4>2752526</vt:i4>
      </vt:variant>
      <vt:variant>
        <vt:i4>33</vt:i4>
      </vt:variant>
      <vt:variant>
        <vt:i4>0</vt:i4>
      </vt:variant>
      <vt:variant>
        <vt:i4>5</vt:i4>
      </vt:variant>
      <vt:variant>
        <vt:lpwstr>mailto:Aristotelis.ALVANOS@ec.europa.eu</vt:lpwstr>
      </vt:variant>
      <vt:variant>
        <vt:lpwstr/>
      </vt:variant>
      <vt:variant>
        <vt:i4>2752526</vt:i4>
      </vt:variant>
      <vt:variant>
        <vt:i4>30</vt:i4>
      </vt:variant>
      <vt:variant>
        <vt:i4>0</vt:i4>
      </vt:variant>
      <vt:variant>
        <vt:i4>5</vt:i4>
      </vt:variant>
      <vt:variant>
        <vt:lpwstr>mailto:Aristotelis.ALVANOS@ec.europa.eu</vt:lpwstr>
      </vt:variant>
      <vt:variant>
        <vt:lpwstr/>
      </vt:variant>
      <vt:variant>
        <vt:i4>917566</vt:i4>
      </vt:variant>
      <vt:variant>
        <vt:i4>27</vt:i4>
      </vt:variant>
      <vt:variant>
        <vt:i4>0</vt:i4>
      </vt:variant>
      <vt:variant>
        <vt:i4>5</vt:i4>
      </vt:variant>
      <vt:variant>
        <vt:lpwstr>mailto:Michele.CALANDRINO@ec.europa.eu</vt:lpwstr>
      </vt:variant>
      <vt:variant>
        <vt:lpwstr/>
      </vt:variant>
      <vt:variant>
        <vt:i4>2752526</vt:i4>
      </vt:variant>
      <vt:variant>
        <vt:i4>24</vt:i4>
      </vt:variant>
      <vt:variant>
        <vt:i4>0</vt:i4>
      </vt:variant>
      <vt:variant>
        <vt:i4>5</vt:i4>
      </vt:variant>
      <vt:variant>
        <vt:lpwstr>mailto:Aristotelis.ALVANOS@ec.europa.eu</vt:lpwstr>
      </vt:variant>
      <vt:variant>
        <vt:lpwstr/>
      </vt:variant>
      <vt:variant>
        <vt:i4>2752526</vt:i4>
      </vt:variant>
      <vt:variant>
        <vt:i4>21</vt:i4>
      </vt:variant>
      <vt:variant>
        <vt:i4>0</vt:i4>
      </vt:variant>
      <vt:variant>
        <vt:i4>5</vt:i4>
      </vt:variant>
      <vt:variant>
        <vt:lpwstr>mailto:Aristotelis.ALVANOS@ec.europa.eu</vt:lpwstr>
      </vt:variant>
      <vt:variant>
        <vt:lpwstr/>
      </vt:variant>
      <vt:variant>
        <vt:i4>917566</vt:i4>
      </vt:variant>
      <vt:variant>
        <vt:i4>18</vt:i4>
      </vt:variant>
      <vt:variant>
        <vt:i4>0</vt:i4>
      </vt:variant>
      <vt:variant>
        <vt:i4>5</vt:i4>
      </vt:variant>
      <vt:variant>
        <vt:lpwstr>mailto:Michele.CALANDRINO@ec.europa.eu</vt:lpwstr>
      </vt:variant>
      <vt:variant>
        <vt:lpwstr/>
      </vt:variant>
      <vt:variant>
        <vt:i4>917566</vt:i4>
      </vt:variant>
      <vt:variant>
        <vt:i4>15</vt:i4>
      </vt:variant>
      <vt:variant>
        <vt:i4>0</vt:i4>
      </vt:variant>
      <vt:variant>
        <vt:i4>5</vt:i4>
      </vt:variant>
      <vt:variant>
        <vt:lpwstr>mailto:Michele.CALANDRINO@ec.europa.eu</vt:lpwstr>
      </vt:variant>
      <vt:variant>
        <vt:lpwstr/>
      </vt:variant>
      <vt:variant>
        <vt:i4>917566</vt:i4>
      </vt:variant>
      <vt:variant>
        <vt:i4>12</vt:i4>
      </vt:variant>
      <vt:variant>
        <vt:i4>0</vt:i4>
      </vt:variant>
      <vt:variant>
        <vt:i4>5</vt:i4>
      </vt:variant>
      <vt:variant>
        <vt:lpwstr>mailto:Michele.CALANDRINO@ec.europa.eu</vt:lpwstr>
      </vt:variant>
      <vt:variant>
        <vt:lpwstr/>
      </vt:variant>
      <vt:variant>
        <vt:i4>1703985</vt:i4>
      </vt:variant>
      <vt:variant>
        <vt:i4>9</vt:i4>
      </vt:variant>
      <vt:variant>
        <vt:i4>0</vt:i4>
      </vt:variant>
      <vt:variant>
        <vt:i4>5</vt:i4>
      </vt:variant>
      <vt:variant>
        <vt:lpwstr>mailto:Triinu.VOLMER@ec.europa.eu</vt:lpwstr>
      </vt:variant>
      <vt:variant>
        <vt:lpwstr/>
      </vt:variant>
      <vt:variant>
        <vt:i4>917566</vt:i4>
      </vt:variant>
      <vt:variant>
        <vt:i4>6</vt:i4>
      </vt:variant>
      <vt:variant>
        <vt:i4>0</vt:i4>
      </vt:variant>
      <vt:variant>
        <vt:i4>5</vt:i4>
      </vt:variant>
      <vt:variant>
        <vt:lpwstr>mailto:Michele.CALANDRINO@ec.europa.eu</vt:lpwstr>
      </vt:variant>
      <vt:variant>
        <vt:lpwstr/>
      </vt:variant>
      <vt:variant>
        <vt:i4>1703985</vt:i4>
      </vt:variant>
      <vt:variant>
        <vt:i4>3</vt:i4>
      </vt:variant>
      <vt:variant>
        <vt:i4>0</vt:i4>
      </vt:variant>
      <vt:variant>
        <vt:i4>5</vt:i4>
      </vt:variant>
      <vt:variant>
        <vt:lpwstr>mailto:Triinu.VOLMER@ec.europa.eu</vt:lpwstr>
      </vt:variant>
      <vt:variant>
        <vt:lpwstr/>
      </vt:variant>
      <vt:variant>
        <vt:i4>1703985</vt:i4>
      </vt:variant>
      <vt:variant>
        <vt:i4>0</vt:i4>
      </vt:variant>
      <vt:variant>
        <vt:i4>0</vt:i4>
      </vt:variant>
      <vt:variant>
        <vt:i4>5</vt:i4>
      </vt:variant>
      <vt:variant>
        <vt:lpwstr>mailto:Triinu.VOLMER@ec.europa.eu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2026-05-29T09:33:00Z</dcterms:created>
  <dcterms:modified xsi:type="dcterms:W3CDTF">2026-06-03T14:16:00Z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9.2, Build 20250828</vt:lpwstr>
  </property>
  <property fmtid="{D5CDD505-2E9C-101B-9397-08002B2CF9AE}" pid="3" name="MSIP_Label_6bd9ddd1-4d20-43f6-abfa-fc3c07406f94_Enabled">
    <vt:lpwstr>true</vt:lpwstr>
  </property>
  <property fmtid="{D5CDD505-2E9C-101B-9397-08002B2CF9AE}" pid="4" name="MSIP_Label_6bd9ddd1-4d20-43f6-abfa-fc3c07406f94_SetDate">
    <vt:lpwstr>2026-05-29T09:33:06Z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ad9476cb-dae9-4a10-a8b7-74a7c06afc7a</vt:lpwstr>
  </property>
  <property fmtid="{D5CDD505-2E9C-101B-9397-08002B2CF9AE}" pid="9" name="MSIP_Label_6bd9ddd1-4d20-43f6-abfa-fc3c07406f94_ContentBits">
    <vt:lpwstr>0</vt:lpwstr>
  </property>
  <property fmtid="{D5CDD505-2E9C-101B-9397-08002B2CF9AE}" pid="10" name="MSIP_Label_6bd9ddd1-4d20-43f6-abfa-fc3c07406f94_Tag">
    <vt:lpwstr>10, 3, 0, 1</vt:lpwstr>
  </property>
  <property fmtid="{D5CDD505-2E9C-101B-9397-08002B2CF9AE}" pid="11" name="Category">
    <vt:lpwstr>COM/PL/ORG</vt:lpwstr>
  </property>
  <property fmtid="{D5CDD505-2E9C-101B-9397-08002B2CF9AE}" pid="12" name="DQCStatus">
    <vt:lpwstr>Green (DQC version 03)</vt:lpwstr>
  </property>
  <property fmtid="{D5CDD505-2E9C-101B-9397-08002B2CF9AE}" pid="13" name="Level of sensitivity">
    <vt:lpwstr>Standard treatment</vt:lpwstr>
  </property>
</Properties>
</file>