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8BC" w:rsidRPr="00DF6A64" w:rsidRDefault="00DC1D31" w:rsidP="00DC1D3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844EC40-39B0-401D-9578-8DA683E2E3C6" style="width:455.25pt;height:357.75pt">
            <v:imagedata r:id="rId11" o:title=""/>
          </v:shape>
        </w:pict>
      </w:r>
    </w:p>
    <w:p w:rsidR="004028BC" w:rsidRPr="00DF6A64" w:rsidRDefault="004028BC" w:rsidP="004028BC">
      <w:pPr>
        <w:rPr>
          <w:noProof/>
        </w:rPr>
        <w:sectPr w:rsidR="004028BC" w:rsidRPr="00DF6A64" w:rsidSect="00DC1D31">
          <w:footerReference w:type="even" r:id="rId12"/>
          <w:footerReference w:type="default" r:id="rId13"/>
          <w:pgSz w:w="11907" w:h="16839"/>
          <w:pgMar w:top="1134" w:right="1417" w:bottom="1134" w:left="1417" w:header="709" w:footer="709" w:gutter="0"/>
          <w:pgNumType w:start="0"/>
          <w:cols w:space="720"/>
          <w:docGrid w:linePitch="360"/>
        </w:sectPr>
      </w:pPr>
    </w:p>
    <w:p w:rsidR="004028BC" w:rsidRPr="00DF6A64" w:rsidRDefault="004028BC" w:rsidP="00BB6B30">
      <w:pPr>
        <w:pStyle w:val="Exposdesmotifstitre"/>
        <w:rPr>
          <w:noProof/>
        </w:rPr>
      </w:pPr>
      <w:bookmarkStart w:id="0" w:name="_GoBack"/>
      <w:bookmarkEnd w:id="0"/>
      <w:r w:rsidRPr="00DF6A64">
        <w:rPr>
          <w:noProof/>
        </w:rPr>
        <w:lastRenderedPageBreak/>
        <w:t>OBRAZLOŽITVENI MEMORANDUM</w:t>
      </w:r>
    </w:p>
    <w:p w:rsidR="004028BC" w:rsidRPr="00DF6A64" w:rsidRDefault="004028BC" w:rsidP="00BB6B30">
      <w:pPr>
        <w:pStyle w:val="ManualHeading1"/>
        <w:rPr>
          <w:noProof/>
        </w:rPr>
      </w:pPr>
      <w:r w:rsidRPr="00DF6A64">
        <w:rPr>
          <w:noProof/>
        </w:rPr>
        <w:t>1.</w:t>
      </w:r>
      <w:r w:rsidRPr="00DF6A64">
        <w:rPr>
          <w:noProof/>
        </w:rPr>
        <w:tab/>
        <w:t>OZADJE PREDLOGA</w:t>
      </w:r>
    </w:p>
    <w:p w:rsidR="004028BC" w:rsidRPr="00DF6A64" w:rsidRDefault="004028BC" w:rsidP="00044058">
      <w:pPr>
        <w:pStyle w:val="ManualHeading2"/>
        <w:rPr>
          <w:rFonts w:eastAsia="Arial Unicode MS"/>
          <w:noProof/>
        </w:rPr>
      </w:pPr>
      <w:r w:rsidRPr="00DF6A64">
        <w:rPr>
          <w:noProof/>
          <w:color w:val="000000"/>
          <w:u w:color="000000"/>
          <w:bdr w:val="nil"/>
        </w:rPr>
        <w:t>•</w:t>
      </w:r>
      <w:r w:rsidRPr="00DF6A64">
        <w:rPr>
          <w:noProof/>
        </w:rPr>
        <w:tab/>
        <w:t>Razlogi za predlog in njegovi cilji</w:t>
      </w:r>
    </w:p>
    <w:p w:rsidR="004028BC" w:rsidRPr="00DF6A64" w:rsidRDefault="004028BC" w:rsidP="004028BC">
      <w:pPr>
        <w:spacing w:before="100" w:beforeAutospacing="1" w:after="100" w:afterAutospacing="1"/>
        <w:rPr>
          <w:rFonts w:eastAsia="Times New Roman"/>
          <w:noProof/>
          <w:szCs w:val="24"/>
        </w:rPr>
      </w:pPr>
      <w:r w:rsidRPr="00DF6A64">
        <w:rPr>
          <w:noProof/>
        </w:rPr>
        <w:t>Obdavčitev energentov in električne energije v Uniji ureja Direktiva Sveta 2003/96/ES z dne 27. oktobra 2003 o prestrukturiranju okvira Skupnosti za obdavčitev energentov in električne energije</w:t>
      </w:r>
      <w:r w:rsidRPr="00DF6A64">
        <w:rPr>
          <w:rStyle w:val="FootnoteReference"/>
          <w:rFonts w:eastAsia="Times New Roman"/>
          <w:noProof/>
          <w:szCs w:val="24"/>
          <w:lang w:eastAsia="en-IE"/>
        </w:rPr>
        <w:footnoteReference w:id="1"/>
      </w:r>
      <w:r w:rsidRPr="00DF6A64">
        <w:rPr>
          <w:noProof/>
        </w:rPr>
        <w:t xml:space="preserve"> (v nadaljnjem besedilu: direktiva o obdavčitvi energije ali direktiva). </w:t>
      </w:r>
    </w:p>
    <w:p w:rsidR="004028BC" w:rsidRPr="00DF6A64" w:rsidRDefault="004028BC" w:rsidP="004028BC">
      <w:pPr>
        <w:spacing w:before="100" w:beforeAutospacing="1" w:after="100" w:afterAutospacing="1"/>
        <w:rPr>
          <w:rFonts w:eastAsia="Times New Roman"/>
          <w:noProof/>
          <w:szCs w:val="24"/>
        </w:rPr>
      </w:pPr>
      <w:r w:rsidRPr="00DF6A64">
        <w:rPr>
          <w:noProof/>
        </w:rPr>
        <w:t xml:space="preserve">V skladu s členom 19(1) direktive, poleg določb zlasti iz členov 5, 15 in 17, lahko Svet na predlog Komisije kateri koli državi članici soglasno dovoli uvedbo nadaljnjih izjem ali znižanj ravni obdavčitve zaradi upoštevanja posebnih politik. </w:t>
      </w:r>
    </w:p>
    <w:p w:rsidR="004028BC" w:rsidRPr="00DF6A64" w:rsidRDefault="004028BC" w:rsidP="004028BC">
      <w:pPr>
        <w:spacing w:before="100" w:beforeAutospacing="1" w:after="100" w:afterAutospacing="1"/>
        <w:rPr>
          <w:rFonts w:eastAsia="Times New Roman"/>
          <w:noProof/>
          <w:szCs w:val="24"/>
        </w:rPr>
      </w:pPr>
      <w:r w:rsidRPr="00DF6A64">
        <w:rPr>
          <w:noProof/>
        </w:rPr>
        <w:t>Cilj tega predloga je, da se Belgiji za obdobje šestih let dovoli uporaba znižane stopnje obdavčitve za električno energijo, neposredno zagotovljeno plovilom med privezom v pristaniščih (t. i. električno energijo z obale), razen za plovila za zasebne namene</w:t>
      </w:r>
      <w:r w:rsidRPr="00DF6A64">
        <w:rPr>
          <w:rStyle w:val="FootnoteReference"/>
          <w:rFonts w:eastAsia="Times New Roman"/>
          <w:noProof/>
          <w:szCs w:val="24"/>
          <w:lang w:eastAsia="en-IE"/>
        </w:rPr>
        <w:footnoteReference w:id="2"/>
      </w:r>
      <w:r w:rsidRPr="00DF6A64">
        <w:rPr>
          <w:noProof/>
        </w:rPr>
        <w:t>. Belgijski organi so z dopisom z dne 8. januarja 2026 Komisijo obvestili o svoji zahtevi za to dovoljenje.</w:t>
      </w:r>
    </w:p>
    <w:p w:rsidR="004028BC" w:rsidRPr="00DF6A64" w:rsidRDefault="006949E6" w:rsidP="004028BC">
      <w:pPr>
        <w:spacing w:before="100" w:beforeAutospacing="1" w:after="100" w:afterAutospacing="1"/>
        <w:rPr>
          <w:rFonts w:eastAsia="Times New Roman"/>
          <w:noProof/>
          <w:szCs w:val="24"/>
        </w:rPr>
      </w:pPr>
      <w:r w:rsidRPr="00DF6A64">
        <w:rPr>
          <w:noProof/>
        </w:rPr>
        <w:t xml:space="preserve">Belgija prosi za dovoljenje za uporabo znižane davčne stopnje v višini 0,50 EUR/MWh, ki je enaka najnižji stopnji obdavčitve električne energije za poslovno uporabo, kot je določena v Direktivi, za dobavo električne energije z obale plovilom, ki plujejo izključno v komercialne namene po morju in celinskih vodah Unije (vključno z ribolovom). </w:t>
      </w:r>
    </w:p>
    <w:p w:rsidR="004028BC" w:rsidRPr="00DF6A64" w:rsidRDefault="004028BC" w:rsidP="004028BC">
      <w:pPr>
        <w:spacing w:before="100" w:beforeAutospacing="1" w:after="100" w:afterAutospacing="1"/>
        <w:rPr>
          <w:rFonts w:eastAsia="Times New Roman"/>
          <w:noProof/>
          <w:szCs w:val="24"/>
        </w:rPr>
      </w:pPr>
      <w:r w:rsidRPr="00DF6A64">
        <w:rPr>
          <w:noProof/>
        </w:rPr>
        <w:t xml:space="preserve">Zahtevano obdobje veljavnosti je šest let od prvega dne meseca, ki sledi mesecu, v katerem bo Izvedbeni sklep Sveta o dovoljenju Belgiji, da uvede znižano stopnjo za električno energijo z obale, objavljen v </w:t>
      </w:r>
      <w:r w:rsidRPr="00DF6A64">
        <w:rPr>
          <w:i/>
          <w:iCs/>
          <w:noProof/>
        </w:rPr>
        <w:t>Uradnem listu Evropske unije</w:t>
      </w:r>
      <w:r w:rsidRPr="00DF6A64">
        <w:rPr>
          <w:noProof/>
        </w:rPr>
        <w:t xml:space="preserve">. To je v okviru najdaljšega dovoljenega obdobja iz člena 19 direktive o obdavčitvi energije. </w:t>
      </w:r>
    </w:p>
    <w:p w:rsidR="004028BC" w:rsidRPr="00DF6A64" w:rsidRDefault="004028BC" w:rsidP="004028BC">
      <w:pPr>
        <w:spacing w:before="100" w:beforeAutospacing="1" w:after="100" w:afterAutospacing="1"/>
        <w:rPr>
          <w:rFonts w:eastAsia="Times New Roman"/>
          <w:noProof/>
          <w:szCs w:val="24"/>
        </w:rPr>
      </w:pPr>
      <w:r w:rsidRPr="00DF6A64">
        <w:rPr>
          <w:noProof/>
        </w:rPr>
        <w:t>Cilj tega zmanjšanja je spodbujati uporabo električne energije z obale kot trajnostne alternative proizvodnji električne energije na krovu z uporabo generatorjev na fosilna goriva. Spodbujanje uporabe električne energije z obale je bistven korak k okolju prijaznejšemu ladijskemu prometu in belgijskim pristaniščem. Poleg tega bo večja uporaba električne energije z obale v prihodnosti pozitivno vplivala na kakovost zraka na belgijskih pristaniških območjih, kot zahteva direktiva o kakovosti zunanjega zraka</w:t>
      </w:r>
      <w:r w:rsidRPr="00DF6A64">
        <w:rPr>
          <w:rStyle w:val="FootnoteReference"/>
          <w:rFonts w:eastAsia="Times New Roman"/>
          <w:noProof/>
          <w:szCs w:val="24"/>
          <w:lang w:eastAsia="en-IE"/>
        </w:rPr>
        <w:footnoteReference w:id="3"/>
      </w:r>
      <w:r w:rsidRPr="00DF6A64">
        <w:rPr>
          <w:noProof/>
        </w:rPr>
        <w:t>. Belgija pričakuje tudi, da bo ta ukrep zmanjšal emisije CO</w:t>
      </w:r>
      <w:r w:rsidRPr="00DF6A64">
        <w:rPr>
          <w:noProof/>
          <w:vertAlign w:val="subscript"/>
        </w:rPr>
        <w:t>2</w:t>
      </w:r>
      <w:r w:rsidRPr="00DF6A64">
        <w:rPr>
          <w:noProof/>
        </w:rPr>
        <w:t>, obremenitev s hrupom in emisije dušika v skladu z direktivo o habitatih</w:t>
      </w:r>
      <w:r w:rsidRPr="00DF6A64">
        <w:rPr>
          <w:rStyle w:val="FootnoteReference"/>
          <w:rFonts w:eastAsia="Times New Roman"/>
          <w:noProof/>
          <w:szCs w:val="24"/>
          <w:lang w:eastAsia="en-IE"/>
        </w:rPr>
        <w:footnoteReference w:id="4"/>
      </w:r>
      <w:r w:rsidRPr="00DF6A64">
        <w:rPr>
          <w:noProof/>
        </w:rPr>
        <w:t xml:space="preserve"> in okvirno direktivo o vodah</w:t>
      </w:r>
      <w:r w:rsidRPr="00DF6A64">
        <w:rPr>
          <w:rStyle w:val="FootnoteReference"/>
          <w:rFonts w:eastAsia="Times New Roman"/>
          <w:noProof/>
          <w:szCs w:val="24"/>
          <w:lang w:eastAsia="en-IE"/>
        </w:rPr>
        <w:footnoteReference w:id="5"/>
      </w:r>
      <w:r w:rsidRPr="00DF6A64">
        <w:rPr>
          <w:noProof/>
        </w:rPr>
        <w:t xml:space="preserve">. </w:t>
      </w:r>
    </w:p>
    <w:p w:rsidR="006949E6" w:rsidRPr="00DF6A64" w:rsidRDefault="004028BC" w:rsidP="006949E6">
      <w:pPr>
        <w:rPr>
          <w:noProof/>
        </w:rPr>
      </w:pPr>
      <w:r w:rsidRPr="00DF6A64">
        <w:rPr>
          <w:noProof/>
        </w:rPr>
        <w:t xml:space="preserve">Belgija želi z zahtevanim ukrepom ustvariti ustrezne enake konkurenčne pogoje za prehod z bunker goriva (generatorji na krovu) na električno energijo z obale ter trajnostne spodbude. Ukrep bo ključnega pomena za to, da bo Belgija lahko dosegla cilje EU glede razpoložljivosti </w:t>
      </w:r>
      <w:r w:rsidRPr="00DF6A64">
        <w:rPr>
          <w:noProof/>
        </w:rPr>
        <w:lastRenderedPageBreak/>
        <w:t>in uporabe električne energije z obale, kot so določeni v uredbi FuelEU za pomorstvo</w:t>
      </w:r>
      <w:r w:rsidRPr="00DF6A64">
        <w:rPr>
          <w:rStyle w:val="FootnoteReference"/>
          <w:noProof/>
        </w:rPr>
        <w:footnoteReference w:id="6"/>
      </w:r>
      <w:r w:rsidRPr="00DF6A64">
        <w:rPr>
          <w:noProof/>
        </w:rPr>
        <w:t xml:space="preserve"> in uredbi o infrastrukturi za alternativna goriva</w:t>
      </w:r>
      <w:r w:rsidRPr="00DF6A64">
        <w:rPr>
          <w:rStyle w:val="FootnoteReference"/>
          <w:noProof/>
        </w:rPr>
        <w:footnoteReference w:id="7"/>
      </w:r>
      <w:r w:rsidRPr="00DF6A64">
        <w:rPr>
          <w:noProof/>
        </w:rPr>
        <w:t>.</w:t>
      </w:r>
    </w:p>
    <w:p w:rsidR="006949E6" w:rsidRPr="00DF6A64" w:rsidRDefault="006949E6" w:rsidP="006949E6">
      <w:pPr>
        <w:spacing w:before="100" w:beforeAutospacing="1" w:after="100" w:afterAutospacing="1"/>
        <w:rPr>
          <w:rFonts w:eastAsia="Times New Roman"/>
          <w:noProof/>
          <w:szCs w:val="24"/>
        </w:rPr>
      </w:pPr>
      <w:r w:rsidRPr="00DF6A64">
        <w:rPr>
          <w:noProof/>
        </w:rPr>
        <w:t xml:space="preserve">Belgija namerava s to shemo spodbuditi pošteno konkurenco ter okoljske in energetske priložnosti, ne da bi pri tem ovirala pravilno delovanje notranjega trga. Belgija želi spodbuditi uporabo električne energije z obale, ki velja za manj onesnažujočo alternativo proizvodnji električne energije na krovu plovil med privezom v pristanišču. Kot je navedeno v zahtevi, se belgijska splošna stopnja davka na električno energijo izračuna z uporabo naslednjih skupin porabe.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843"/>
      </w:tblGrid>
      <w:tr w:rsidR="006949E6" w:rsidRPr="00DF6A64" w:rsidTr="006949E6">
        <w:tc>
          <w:tcPr>
            <w:tcW w:w="2660" w:type="dxa"/>
            <w:shd w:val="clear" w:color="auto" w:fill="auto"/>
          </w:tcPr>
          <w:p w:rsidR="006949E6" w:rsidRPr="00DF6A64" w:rsidRDefault="006949E6" w:rsidP="00D54816">
            <w:pPr>
              <w:spacing w:after="0"/>
              <w:rPr>
                <w:noProof/>
              </w:rPr>
            </w:pPr>
            <w:r w:rsidRPr="00DF6A64">
              <w:rPr>
                <w:noProof/>
              </w:rPr>
              <w:t>Skupina porabe</w:t>
            </w:r>
          </w:p>
        </w:tc>
        <w:tc>
          <w:tcPr>
            <w:tcW w:w="1843" w:type="dxa"/>
            <w:shd w:val="clear" w:color="auto" w:fill="auto"/>
          </w:tcPr>
          <w:p w:rsidR="006949E6" w:rsidRPr="00DF6A64" w:rsidRDefault="006949E6" w:rsidP="00D54816">
            <w:pPr>
              <w:spacing w:after="0"/>
              <w:rPr>
                <w:noProof/>
              </w:rPr>
            </w:pPr>
            <w:r w:rsidRPr="00DF6A64">
              <w:rPr>
                <w:noProof/>
              </w:rPr>
              <w:t>Trošarina (EUR/MWh)</w:t>
            </w:r>
          </w:p>
        </w:tc>
      </w:tr>
      <w:tr w:rsidR="006949E6" w:rsidRPr="00DF6A64" w:rsidTr="006949E6">
        <w:tc>
          <w:tcPr>
            <w:tcW w:w="2660" w:type="dxa"/>
            <w:shd w:val="clear" w:color="auto" w:fill="auto"/>
          </w:tcPr>
          <w:p w:rsidR="006949E6" w:rsidRPr="00DF6A64" w:rsidRDefault="006949E6" w:rsidP="00D54816">
            <w:pPr>
              <w:spacing w:after="0"/>
              <w:rPr>
                <w:noProof/>
              </w:rPr>
            </w:pPr>
            <w:r w:rsidRPr="00DF6A64">
              <w:rPr>
                <w:noProof/>
              </w:rPr>
              <w:t>0 do 20 MWh</w:t>
            </w:r>
          </w:p>
        </w:tc>
        <w:tc>
          <w:tcPr>
            <w:tcW w:w="1843" w:type="dxa"/>
            <w:shd w:val="clear" w:color="auto" w:fill="auto"/>
          </w:tcPr>
          <w:p w:rsidR="006949E6" w:rsidRPr="00DF6A64" w:rsidRDefault="006949E6" w:rsidP="00D54816">
            <w:pPr>
              <w:spacing w:after="0"/>
              <w:jc w:val="right"/>
              <w:rPr>
                <w:noProof/>
              </w:rPr>
            </w:pPr>
            <w:r w:rsidRPr="00DF6A64">
              <w:rPr>
                <w:noProof/>
              </w:rPr>
              <w:t>14,21</w:t>
            </w:r>
          </w:p>
        </w:tc>
      </w:tr>
      <w:tr w:rsidR="006949E6" w:rsidRPr="00DF6A64" w:rsidTr="006949E6">
        <w:tc>
          <w:tcPr>
            <w:tcW w:w="2660" w:type="dxa"/>
            <w:shd w:val="clear" w:color="auto" w:fill="auto"/>
          </w:tcPr>
          <w:p w:rsidR="006949E6" w:rsidRPr="00DF6A64" w:rsidRDefault="006949E6" w:rsidP="00D54816">
            <w:pPr>
              <w:spacing w:after="0"/>
              <w:rPr>
                <w:noProof/>
              </w:rPr>
            </w:pPr>
            <w:r w:rsidRPr="00DF6A64">
              <w:rPr>
                <w:noProof/>
              </w:rPr>
              <w:t>20 do 50 MWh</w:t>
            </w:r>
          </w:p>
        </w:tc>
        <w:tc>
          <w:tcPr>
            <w:tcW w:w="1843" w:type="dxa"/>
            <w:shd w:val="clear" w:color="auto" w:fill="auto"/>
          </w:tcPr>
          <w:p w:rsidR="006949E6" w:rsidRPr="00DF6A64" w:rsidRDefault="006949E6" w:rsidP="00D54816">
            <w:pPr>
              <w:spacing w:after="0"/>
              <w:jc w:val="right"/>
              <w:rPr>
                <w:noProof/>
              </w:rPr>
            </w:pPr>
            <w:r w:rsidRPr="00DF6A64">
              <w:rPr>
                <w:noProof/>
              </w:rPr>
              <w:t>12,09</w:t>
            </w:r>
          </w:p>
        </w:tc>
      </w:tr>
      <w:tr w:rsidR="006949E6" w:rsidRPr="00DF6A64" w:rsidTr="006949E6">
        <w:tc>
          <w:tcPr>
            <w:tcW w:w="2660" w:type="dxa"/>
            <w:shd w:val="clear" w:color="auto" w:fill="auto"/>
          </w:tcPr>
          <w:p w:rsidR="006949E6" w:rsidRPr="00DF6A64" w:rsidRDefault="006949E6" w:rsidP="00D54816">
            <w:pPr>
              <w:spacing w:after="0"/>
              <w:rPr>
                <w:noProof/>
              </w:rPr>
            </w:pPr>
            <w:r w:rsidRPr="00DF6A64">
              <w:rPr>
                <w:noProof/>
              </w:rPr>
              <w:t>50 do 1 000 MWh</w:t>
            </w:r>
          </w:p>
        </w:tc>
        <w:tc>
          <w:tcPr>
            <w:tcW w:w="1843" w:type="dxa"/>
            <w:shd w:val="clear" w:color="auto" w:fill="auto"/>
          </w:tcPr>
          <w:p w:rsidR="006949E6" w:rsidRPr="00DF6A64" w:rsidRDefault="006949E6" w:rsidP="00D54816">
            <w:pPr>
              <w:spacing w:after="0"/>
              <w:jc w:val="right"/>
              <w:rPr>
                <w:noProof/>
              </w:rPr>
            </w:pPr>
            <w:r w:rsidRPr="00DF6A64">
              <w:rPr>
                <w:noProof/>
              </w:rPr>
              <w:t>11,39</w:t>
            </w:r>
          </w:p>
        </w:tc>
      </w:tr>
      <w:tr w:rsidR="006949E6" w:rsidRPr="00DF6A64" w:rsidTr="006949E6">
        <w:tc>
          <w:tcPr>
            <w:tcW w:w="2660" w:type="dxa"/>
            <w:shd w:val="clear" w:color="auto" w:fill="auto"/>
          </w:tcPr>
          <w:p w:rsidR="006949E6" w:rsidRPr="00DF6A64" w:rsidRDefault="006949E6" w:rsidP="00D54816">
            <w:pPr>
              <w:spacing w:after="0"/>
              <w:rPr>
                <w:noProof/>
              </w:rPr>
            </w:pPr>
            <w:r w:rsidRPr="00DF6A64">
              <w:rPr>
                <w:noProof/>
              </w:rPr>
              <w:t>1 000 do 25 000 MWh</w:t>
            </w:r>
          </w:p>
        </w:tc>
        <w:tc>
          <w:tcPr>
            <w:tcW w:w="1843" w:type="dxa"/>
            <w:shd w:val="clear" w:color="auto" w:fill="auto"/>
          </w:tcPr>
          <w:p w:rsidR="006949E6" w:rsidRPr="00DF6A64" w:rsidRDefault="006949E6" w:rsidP="00D54816">
            <w:pPr>
              <w:spacing w:after="0"/>
              <w:jc w:val="right"/>
              <w:rPr>
                <w:noProof/>
              </w:rPr>
            </w:pPr>
            <w:r w:rsidRPr="00DF6A64">
              <w:rPr>
                <w:noProof/>
              </w:rPr>
              <w:t>10,69</w:t>
            </w:r>
          </w:p>
        </w:tc>
      </w:tr>
      <w:tr w:rsidR="006949E6" w:rsidRPr="00DF6A64" w:rsidTr="006949E6">
        <w:tc>
          <w:tcPr>
            <w:tcW w:w="2660" w:type="dxa"/>
            <w:shd w:val="clear" w:color="auto" w:fill="auto"/>
          </w:tcPr>
          <w:p w:rsidR="006949E6" w:rsidRPr="00DF6A64" w:rsidRDefault="006949E6" w:rsidP="00D54816">
            <w:pPr>
              <w:spacing w:after="0"/>
              <w:rPr>
                <w:noProof/>
              </w:rPr>
            </w:pPr>
            <w:r w:rsidRPr="00DF6A64">
              <w:rPr>
                <w:noProof/>
              </w:rPr>
              <w:t>25 000 do 100 000 MWh</w:t>
            </w:r>
          </w:p>
        </w:tc>
        <w:tc>
          <w:tcPr>
            <w:tcW w:w="1843" w:type="dxa"/>
            <w:shd w:val="clear" w:color="auto" w:fill="auto"/>
          </w:tcPr>
          <w:p w:rsidR="006949E6" w:rsidRPr="00DF6A64" w:rsidRDefault="006949E6" w:rsidP="00D54816">
            <w:pPr>
              <w:spacing w:after="0"/>
              <w:jc w:val="right"/>
              <w:rPr>
                <w:noProof/>
              </w:rPr>
            </w:pPr>
            <w:r w:rsidRPr="00DF6A64">
              <w:rPr>
                <w:noProof/>
              </w:rPr>
              <w:t>2,73</w:t>
            </w:r>
          </w:p>
        </w:tc>
      </w:tr>
      <w:tr w:rsidR="006949E6" w:rsidRPr="00DF6A64" w:rsidTr="006949E6">
        <w:tc>
          <w:tcPr>
            <w:tcW w:w="2660" w:type="dxa"/>
            <w:shd w:val="clear" w:color="auto" w:fill="auto"/>
          </w:tcPr>
          <w:p w:rsidR="006949E6" w:rsidRPr="00DF6A64" w:rsidRDefault="006949E6" w:rsidP="00D54816">
            <w:pPr>
              <w:spacing w:after="0"/>
              <w:rPr>
                <w:noProof/>
              </w:rPr>
            </w:pPr>
            <w:r w:rsidRPr="00DF6A64">
              <w:rPr>
                <w:noProof/>
              </w:rPr>
              <w:t>100 000 MWh in več</w:t>
            </w:r>
          </w:p>
        </w:tc>
        <w:tc>
          <w:tcPr>
            <w:tcW w:w="1843" w:type="dxa"/>
            <w:shd w:val="clear" w:color="auto" w:fill="auto"/>
          </w:tcPr>
          <w:p w:rsidR="006949E6" w:rsidRPr="00DF6A64" w:rsidRDefault="006949E6" w:rsidP="00D54816">
            <w:pPr>
              <w:spacing w:after="0"/>
              <w:jc w:val="right"/>
              <w:rPr>
                <w:noProof/>
              </w:rPr>
            </w:pPr>
            <w:r w:rsidRPr="00DF6A64">
              <w:rPr>
                <w:noProof/>
              </w:rPr>
              <w:t>0,50</w:t>
            </w:r>
          </w:p>
        </w:tc>
      </w:tr>
    </w:tbl>
    <w:p w:rsidR="004028BC" w:rsidRPr="00DF6A64" w:rsidRDefault="004028BC" w:rsidP="00CC5372">
      <w:pPr>
        <w:rPr>
          <w:rFonts w:eastAsia="Times New Roman"/>
          <w:noProof/>
          <w:szCs w:val="24"/>
        </w:rPr>
      </w:pPr>
      <w:r w:rsidRPr="00DF6A64">
        <w:rPr>
          <w:noProof/>
        </w:rPr>
        <w:t>Davčna ugodnost je odvisna od zneskov, ki ustrezajo razliki med sedanjimi trošarinskimi stopnjami, ki se uporabljajo za električno energijo za poslovno uporabo, in znižano stopnjo, ki se uporablja za električno energijo z obale, v višini 0,5 EUR/MWh. To pomeni, da se upravičencem zaračuna veljavna najnižja davčna stopnja EU za električno energijo v skladu z direktivo o obdavčitvi energije v višini 0,50 EUR na MWh (kot je določeno v členu 10(1) in preglednici C Priloge I k Direktivi za poslovno uporabo). Belgija izključno dovoljuje, da se davčna ugodnost zagotovi kot znižana trošarina, ki se uporablja za električno energijo, dobavljeno napravam za oskrbo z električno energijo z obale. Upravljavci naprav za oskrbo z električno energijo z obale, ki želijo, da se za električno energijo, ki se dobavlja njihovim napravam za oskrbo z električno energijo z obale, uporablja nižja stopnja, morajo svojemu dobavitelju električne energije predložiti izjavo, v kateri navedejo, kateri od njihovih priključkov na omrežje so namenjeni izključno dobavi električne energije napravam za oskrbo z električno energijo z obale, ki zagotavljajo električno energijo plovilom, ki niso plovila za zasebne namene. Dobavitelj električne energije bo nato za električno energijo, dobavljeno tem priključkom, uporabil le znižano stopnjo davka na energijo.</w:t>
      </w:r>
    </w:p>
    <w:p w:rsidR="006949E6" w:rsidRPr="00DF6A64" w:rsidRDefault="004028BC" w:rsidP="006949E6">
      <w:pPr>
        <w:rPr>
          <w:noProof/>
        </w:rPr>
      </w:pPr>
      <w:r w:rsidRPr="00DF6A64">
        <w:rPr>
          <w:noProof/>
        </w:rPr>
        <w:t>Belgijski organi so navedli, da se bo ukrep tako uporabljal za upravljavce naprav za oskrbo z električno energijo z obale v belgijskih pristaniščih. Pričakuje se, da bodo ti upravljavci finančno prednost prenesli na uporabnike električne energije z obale, tj. lastnike plovil za plovbo po celinskih plovnih poteh in pomorskih plovil.</w:t>
      </w:r>
    </w:p>
    <w:p w:rsidR="006949E6" w:rsidRPr="00DF6A64" w:rsidRDefault="006949E6" w:rsidP="006949E6">
      <w:pPr>
        <w:rPr>
          <w:noProof/>
        </w:rPr>
      </w:pPr>
      <w:r w:rsidRPr="00DF6A64">
        <w:rPr>
          <w:noProof/>
        </w:rPr>
        <w:t>Trenutno za pomorski promet ni na voljo nobenih naprav za oskrbo z električno energijo z obale. Do leta 2030 se pričakuje 40 takih naprav, do leta 2035 pa približno 70. Poleg tega se pričakuje, da se bodo plovila na razpoložljive naprave priklopila 4 600-krat do leta 2030 in približno 7 400-krat do leta 2035. Za plovbo po celinskih plovnih poteh je trenutno na voljo približno 200 naprav, ki oskrbujejo približno 400 plovil.</w:t>
      </w:r>
    </w:p>
    <w:p w:rsidR="006949E6" w:rsidRPr="00DF6A64" w:rsidRDefault="004028BC" w:rsidP="006949E6">
      <w:pPr>
        <w:spacing w:before="100" w:beforeAutospacing="1" w:after="100" w:afterAutospacing="1"/>
        <w:rPr>
          <w:noProof/>
        </w:rPr>
      </w:pPr>
      <w:r w:rsidRPr="00DF6A64">
        <w:rPr>
          <w:noProof/>
        </w:rPr>
        <w:lastRenderedPageBreak/>
        <w:t>Belgijski organi so kot oceno davčnih odhodkov zaradi ukrepa izračunali naslednji ocenjeni proračunski učinek med letoma 2027 in 2032: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6949E6" w:rsidRPr="00DF6A64" w:rsidTr="00D54816">
        <w:tc>
          <w:tcPr>
            <w:tcW w:w="1589" w:type="dxa"/>
            <w:shd w:val="clear" w:color="auto" w:fill="auto"/>
          </w:tcPr>
          <w:p w:rsidR="006949E6" w:rsidRPr="00DF6A64" w:rsidRDefault="006949E6" w:rsidP="00D54816">
            <w:pPr>
              <w:rPr>
                <w:noProof/>
              </w:rPr>
            </w:pPr>
            <w:r w:rsidRPr="00DF6A64">
              <w:rPr>
                <w:noProof/>
              </w:rPr>
              <w:t>2027</w:t>
            </w:r>
          </w:p>
        </w:tc>
        <w:tc>
          <w:tcPr>
            <w:tcW w:w="2291" w:type="dxa"/>
            <w:shd w:val="clear" w:color="auto" w:fill="auto"/>
          </w:tcPr>
          <w:p w:rsidR="006949E6" w:rsidRPr="00DF6A64" w:rsidRDefault="006949E6" w:rsidP="00D54816">
            <w:pPr>
              <w:rPr>
                <w:noProof/>
              </w:rPr>
            </w:pPr>
            <w:r w:rsidRPr="00DF6A64">
              <w:rPr>
                <w:noProof/>
              </w:rPr>
              <w:t>0,14 milijona EUR</w:t>
            </w:r>
          </w:p>
        </w:tc>
      </w:tr>
      <w:tr w:rsidR="006949E6" w:rsidRPr="00DF6A64" w:rsidTr="00D54816">
        <w:tc>
          <w:tcPr>
            <w:tcW w:w="1589" w:type="dxa"/>
            <w:shd w:val="clear" w:color="auto" w:fill="auto"/>
          </w:tcPr>
          <w:p w:rsidR="006949E6" w:rsidRPr="00DF6A64" w:rsidRDefault="006949E6" w:rsidP="00D54816">
            <w:pPr>
              <w:rPr>
                <w:noProof/>
              </w:rPr>
            </w:pPr>
            <w:r w:rsidRPr="00DF6A64">
              <w:rPr>
                <w:noProof/>
              </w:rPr>
              <w:t>2028</w:t>
            </w:r>
          </w:p>
        </w:tc>
        <w:tc>
          <w:tcPr>
            <w:tcW w:w="2291" w:type="dxa"/>
            <w:shd w:val="clear" w:color="auto" w:fill="auto"/>
          </w:tcPr>
          <w:p w:rsidR="006949E6" w:rsidRPr="00DF6A64" w:rsidRDefault="006949E6" w:rsidP="00D54816">
            <w:pPr>
              <w:rPr>
                <w:noProof/>
              </w:rPr>
            </w:pPr>
            <w:r w:rsidRPr="00DF6A64">
              <w:rPr>
                <w:noProof/>
              </w:rPr>
              <w:t>0,41 milijona EUR</w:t>
            </w:r>
          </w:p>
        </w:tc>
      </w:tr>
      <w:tr w:rsidR="006949E6" w:rsidRPr="00DF6A64" w:rsidTr="00D54816">
        <w:tc>
          <w:tcPr>
            <w:tcW w:w="1589" w:type="dxa"/>
            <w:shd w:val="clear" w:color="auto" w:fill="auto"/>
          </w:tcPr>
          <w:p w:rsidR="006949E6" w:rsidRPr="00DF6A64" w:rsidRDefault="006949E6" w:rsidP="00D54816">
            <w:pPr>
              <w:rPr>
                <w:noProof/>
              </w:rPr>
            </w:pPr>
            <w:r w:rsidRPr="00DF6A64">
              <w:rPr>
                <w:noProof/>
              </w:rPr>
              <w:t>2029</w:t>
            </w:r>
          </w:p>
        </w:tc>
        <w:tc>
          <w:tcPr>
            <w:tcW w:w="2291" w:type="dxa"/>
            <w:shd w:val="clear" w:color="auto" w:fill="auto"/>
          </w:tcPr>
          <w:p w:rsidR="006949E6" w:rsidRPr="00DF6A64" w:rsidRDefault="006949E6" w:rsidP="00D54816">
            <w:pPr>
              <w:rPr>
                <w:noProof/>
              </w:rPr>
            </w:pPr>
            <w:r w:rsidRPr="00DF6A64">
              <w:rPr>
                <w:noProof/>
              </w:rPr>
              <w:t>0,62 milijona EUR</w:t>
            </w:r>
          </w:p>
        </w:tc>
      </w:tr>
      <w:tr w:rsidR="006949E6" w:rsidRPr="00DF6A64" w:rsidTr="00D54816">
        <w:tc>
          <w:tcPr>
            <w:tcW w:w="1589" w:type="dxa"/>
            <w:shd w:val="clear" w:color="auto" w:fill="auto"/>
          </w:tcPr>
          <w:p w:rsidR="006949E6" w:rsidRPr="00DF6A64" w:rsidRDefault="006949E6" w:rsidP="00D54816">
            <w:pPr>
              <w:rPr>
                <w:noProof/>
              </w:rPr>
            </w:pPr>
            <w:r w:rsidRPr="00DF6A64">
              <w:rPr>
                <w:noProof/>
              </w:rPr>
              <w:t>2030</w:t>
            </w:r>
          </w:p>
        </w:tc>
        <w:tc>
          <w:tcPr>
            <w:tcW w:w="2291" w:type="dxa"/>
            <w:shd w:val="clear" w:color="auto" w:fill="auto"/>
          </w:tcPr>
          <w:p w:rsidR="006949E6" w:rsidRPr="00DF6A64" w:rsidRDefault="006949E6" w:rsidP="00D54816">
            <w:pPr>
              <w:rPr>
                <w:noProof/>
              </w:rPr>
            </w:pPr>
            <w:r w:rsidRPr="00DF6A64">
              <w:rPr>
                <w:noProof/>
              </w:rPr>
              <w:t>1,00 milijon EUR</w:t>
            </w:r>
          </w:p>
        </w:tc>
      </w:tr>
      <w:tr w:rsidR="006949E6" w:rsidRPr="00DF6A64" w:rsidTr="00D54816">
        <w:tc>
          <w:tcPr>
            <w:tcW w:w="1589" w:type="dxa"/>
            <w:shd w:val="clear" w:color="auto" w:fill="auto"/>
          </w:tcPr>
          <w:p w:rsidR="006949E6" w:rsidRPr="00DF6A64" w:rsidRDefault="006949E6" w:rsidP="00D54816">
            <w:pPr>
              <w:rPr>
                <w:noProof/>
              </w:rPr>
            </w:pPr>
            <w:r w:rsidRPr="00DF6A64">
              <w:rPr>
                <w:noProof/>
              </w:rPr>
              <w:t>2031</w:t>
            </w:r>
          </w:p>
        </w:tc>
        <w:tc>
          <w:tcPr>
            <w:tcW w:w="2291" w:type="dxa"/>
            <w:shd w:val="clear" w:color="auto" w:fill="auto"/>
          </w:tcPr>
          <w:p w:rsidR="006949E6" w:rsidRPr="00DF6A64" w:rsidRDefault="006949E6" w:rsidP="00D54816">
            <w:pPr>
              <w:rPr>
                <w:noProof/>
              </w:rPr>
            </w:pPr>
            <w:r w:rsidRPr="00DF6A64">
              <w:rPr>
                <w:noProof/>
              </w:rPr>
              <w:t>1,09 milijona EUR</w:t>
            </w:r>
          </w:p>
        </w:tc>
      </w:tr>
      <w:tr w:rsidR="006949E6" w:rsidRPr="00DF6A64" w:rsidTr="00D54816">
        <w:tc>
          <w:tcPr>
            <w:tcW w:w="1589" w:type="dxa"/>
            <w:shd w:val="clear" w:color="auto" w:fill="auto"/>
          </w:tcPr>
          <w:p w:rsidR="006949E6" w:rsidRPr="00DF6A64" w:rsidRDefault="006949E6" w:rsidP="00D54816">
            <w:pPr>
              <w:rPr>
                <w:noProof/>
              </w:rPr>
            </w:pPr>
            <w:r w:rsidRPr="00DF6A64">
              <w:rPr>
                <w:noProof/>
              </w:rPr>
              <w:t>2032</w:t>
            </w:r>
          </w:p>
        </w:tc>
        <w:tc>
          <w:tcPr>
            <w:tcW w:w="2291" w:type="dxa"/>
            <w:shd w:val="clear" w:color="auto" w:fill="auto"/>
          </w:tcPr>
          <w:p w:rsidR="006949E6" w:rsidRPr="00DF6A64" w:rsidRDefault="006949E6" w:rsidP="00D54816">
            <w:pPr>
              <w:rPr>
                <w:noProof/>
              </w:rPr>
            </w:pPr>
            <w:r w:rsidRPr="00DF6A64">
              <w:rPr>
                <w:noProof/>
              </w:rPr>
              <w:t>1,12 milijona EUR</w:t>
            </w:r>
          </w:p>
        </w:tc>
      </w:tr>
    </w:tbl>
    <w:p w:rsidR="006949E6" w:rsidRPr="00DF6A64" w:rsidRDefault="004028BC" w:rsidP="006949E6">
      <w:pPr>
        <w:rPr>
          <w:noProof/>
        </w:rPr>
      </w:pPr>
      <w:r w:rsidRPr="00DF6A64">
        <w:rPr>
          <w:noProof/>
        </w:rPr>
        <w:t>Belgija želi s tem znižanjem davka spodbujati uporabo električne energije z obale kot trajnostne alternative proizvodnji električne energije na krovu z uporabo generatorjev na fosilna goriva. Spodbujanje te oblike alternativne energije je v skladu s prizadevanji za spodbujanje in nadaljnjo podporo trajnostnemu prehodu, kot je določeno tudi v dogovoru o čisti industriji.</w:t>
      </w:r>
    </w:p>
    <w:p w:rsidR="004028BC" w:rsidRPr="00DF6A64" w:rsidRDefault="004028BC" w:rsidP="00044058">
      <w:pPr>
        <w:pStyle w:val="ManualHeading2"/>
        <w:rPr>
          <w:rFonts w:eastAsia="Arial Unicode MS"/>
          <w:noProof/>
          <w:color w:val="000000"/>
          <w:u w:color="000000"/>
          <w:bdr w:val="nil"/>
        </w:rPr>
      </w:pPr>
      <w:r w:rsidRPr="00DF6A64">
        <w:rPr>
          <w:noProof/>
          <w:color w:val="000000"/>
          <w:u w:color="000000"/>
          <w:bdr w:val="nil"/>
        </w:rPr>
        <w:t>•</w:t>
      </w:r>
      <w:r w:rsidRPr="00DF6A64">
        <w:rPr>
          <w:noProof/>
        </w:rPr>
        <w:tab/>
        <w:t>Skladnost z veljavnimi predpisi s področja zadevne politike</w:t>
      </w:r>
    </w:p>
    <w:p w:rsidR="004028BC" w:rsidRPr="00DF6A64" w:rsidRDefault="004028BC" w:rsidP="004028BC">
      <w:pPr>
        <w:spacing w:before="100" w:beforeAutospacing="1" w:after="100" w:afterAutospacing="1"/>
        <w:rPr>
          <w:rFonts w:eastAsia="Times New Roman"/>
          <w:noProof/>
          <w:szCs w:val="24"/>
        </w:rPr>
      </w:pPr>
      <w:r w:rsidRPr="00DF6A64">
        <w:rPr>
          <w:noProof/>
        </w:rPr>
        <w:t xml:space="preserve">Obdavčitev električne energije ureja direktiva o obdavčitvi energije, zlasti člen 10 Direktive. Člen 14(1)(c) določa obvezno oprostitev davka za električno energijo, proizvedeno na krovu plovila. Členi 5, 15 in 17 določajo možnost, da države članice za nekatere uporabe električne energije uporabijo različne stopnje obdavčitve, vključno z izjemami in znižanji. Vendar te določbe ne določajo znižane obdavčitve električne energije z obale. </w:t>
      </w:r>
    </w:p>
    <w:p w:rsidR="004028BC" w:rsidRPr="00DF6A64" w:rsidRDefault="004028BC" w:rsidP="004028BC">
      <w:pPr>
        <w:spacing w:before="100" w:beforeAutospacing="1" w:after="100" w:afterAutospacing="1"/>
        <w:rPr>
          <w:rFonts w:eastAsia="Times New Roman"/>
          <w:i/>
          <w:iCs/>
          <w:noProof/>
          <w:szCs w:val="24"/>
        </w:rPr>
      </w:pPr>
      <w:r w:rsidRPr="00DF6A64">
        <w:rPr>
          <w:i/>
          <w:noProof/>
        </w:rPr>
        <w:t xml:space="preserve">Določbe iz direktive o obdavčitvi energije </w:t>
      </w:r>
    </w:p>
    <w:p w:rsidR="004028BC" w:rsidRPr="00DF6A64" w:rsidRDefault="004028BC" w:rsidP="004028BC">
      <w:pPr>
        <w:spacing w:before="100" w:beforeAutospacing="1" w:after="100" w:afterAutospacing="1"/>
        <w:rPr>
          <w:rFonts w:eastAsia="Times New Roman"/>
          <w:noProof/>
          <w:szCs w:val="24"/>
        </w:rPr>
      </w:pPr>
      <w:r w:rsidRPr="00DF6A64">
        <w:rPr>
          <w:noProof/>
        </w:rPr>
        <w:t xml:space="preserve">Člen 19(1), prvi pododstavek, direktive se glasi: </w:t>
      </w:r>
    </w:p>
    <w:p w:rsidR="004028BC" w:rsidRPr="00972D0F" w:rsidRDefault="004028BC" w:rsidP="004028BC">
      <w:pPr>
        <w:pStyle w:val="Text1"/>
        <w:rPr>
          <w:iCs/>
          <w:noProof/>
        </w:rPr>
      </w:pPr>
      <w:r w:rsidRPr="00972D0F">
        <w:rPr>
          <w:iCs/>
          <w:noProof/>
        </w:rPr>
        <w:t xml:space="preserve">„Razen določb prejšnjih členov, zlasti členov 5, 15 in 17, lahko Svet, na predlog Komisije, državi članici soglasno dovoli uvedbo nadaljnjih izjem ali znižanj zaradi upoštevanja posebnih politik.“ </w:t>
      </w:r>
    </w:p>
    <w:p w:rsidR="004028BC" w:rsidRPr="00DF6A64" w:rsidRDefault="004028BC" w:rsidP="004028BC">
      <w:pPr>
        <w:spacing w:before="100" w:beforeAutospacing="1" w:after="100" w:afterAutospacing="1"/>
        <w:rPr>
          <w:rFonts w:eastAsia="Times New Roman"/>
          <w:noProof/>
          <w:szCs w:val="24"/>
        </w:rPr>
      </w:pPr>
      <w:r w:rsidRPr="00DF6A64">
        <w:rPr>
          <w:noProof/>
        </w:rPr>
        <w:t xml:space="preserve">Belgijski organi si z navedenim znižanjem davka prizadevajo spodbujati okoljsko manj škodljiv način za dobavo potrebne električne energije ladjam med privezom v pristaniščih in s tem izboljšati kakovost zraka v lokalnem okolju in zmanjšati hrup. </w:t>
      </w:r>
    </w:p>
    <w:p w:rsidR="004028BC" w:rsidRPr="00DF6A64" w:rsidRDefault="004028BC" w:rsidP="004028BC">
      <w:pPr>
        <w:spacing w:before="100" w:beforeAutospacing="1" w:after="100" w:afterAutospacing="1"/>
        <w:rPr>
          <w:rFonts w:eastAsia="Times New Roman"/>
          <w:noProof/>
          <w:szCs w:val="24"/>
        </w:rPr>
      </w:pPr>
      <w:r w:rsidRPr="00DF6A64">
        <w:rPr>
          <w:noProof/>
        </w:rPr>
        <w:t>Komisija je že priporočila uporabo električne energije z obale kot alternativo proizvodnji električne energije na krovu plovil med privezom in tako potrdila njene okoljske prednosti</w:t>
      </w:r>
      <w:r w:rsidRPr="00DF6A64">
        <w:rPr>
          <w:rStyle w:val="FootnoteReference"/>
          <w:rFonts w:eastAsia="Times New Roman"/>
          <w:noProof/>
          <w:szCs w:val="24"/>
          <w:lang w:eastAsia="en-IE"/>
        </w:rPr>
        <w:footnoteReference w:id="8"/>
      </w:r>
      <w:r w:rsidRPr="00DF6A64">
        <w:rPr>
          <w:noProof/>
        </w:rPr>
        <w:t xml:space="preserve">. </w:t>
      </w:r>
    </w:p>
    <w:p w:rsidR="004028BC" w:rsidRPr="00DF6A64" w:rsidRDefault="004028BC" w:rsidP="004028BC">
      <w:pPr>
        <w:spacing w:before="100" w:beforeAutospacing="1" w:after="100" w:afterAutospacing="1"/>
        <w:rPr>
          <w:rFonts w:eastAsia="Times New Roman"/>
          <w:noProof/>
          <w:szCs w:val="24"/>
        </w:rPr>
      </w:pPr>
      <w:r w:rsidRPr="00DF6A64">
        <w:rPr>
          <w:noProof/>
        </w:rPr>
        <w:t>Upravičencem se zaračuna najnižja davčna stopnja EU za električno energijo v skladu z direktivo o obdavčitvi energije v višini 0,50 EUR/MWh namesto višje splošne stopnje belgijske trošarine na električno energijo, kar lahko prispeva k navedenemu cilju politike.</w:t>
      </w:r>
    </w:p>
    <w:p w:rsidR="004028BC" w:rsidRPr="00DF6A64" w:rsidRDefault="004028BC" w:rsidP="004028BC">
      <w:pPr>
        <w:spacing w:before="100" w:beforeAutospacing="1" w:after="100" w:afterAutospacing="1"/>
        <w:rPr>
          <w:rFonts w:eastAsia="Times New Roman"/>
          <w:noProof/>
          <w:szCs w:val="24"/>
        </w:rPr>
      </w:pPr>
      <w:r w:rsidRPr="00DF6A64">
        <w:rPr>
          <w:noProof/>
        </w:rPr>
        <w:lastRenderedPageBreak/>
        <w:t xml:space="preserve">Možnost, da se uvede ugodna davčna obravnava za električno energijo z obale, se lahko predvidi na podlagi člena 19 Direktive, saj je njegov namen omogočiti državam članicam, da uvedejo nadaljnje izjeme ali znižanja zaradi upoštevanja posebnih politik. </w:t>
      </w:r>
    </w:p>
    <w:p w:rsidR="004028BC" w:rsidRPr="00DF6A64" w:rsidRDefault="006949E6" w:rsidP="004028BC">
      <w:pPr>
        <w:spacing w:before="100" w:beforeAutospacing="1" w:after="100" w:afterAutospacing="1"/>
        <w:rPr>
          <w:rFonts w:eastAsia="Times New Roman"/>
          <w:noProof/>
          <w:szCs w:val="24"/>
        </w:rPr>
      </w:pPr>
      <w:r w:rsidRPr="00DF6A64">
        <w:rPr>
          <w:noProof/>
        </w:rPr>
        <w:t xml:space="preserve">Belgija je zahtevala, da se ukrep uporablja za najdaljše obdobje, ki ga dovoljuje člen 19(2), tj. šest let. Načeloma mora ukrep ostati v veljavi dovolj dolgo, da pozitivno vpliva na naložbene odločitve za naložbe upravljavcev pristanišč v naprave za električno energijo z obale in upravljavce ladij v opremo na krovu. </w:t>
      </w:r>
    </w:p>
    <w:p w:rsidR="004028BC" w:rsidRPr="00DF6A64" w:rsidRDefault="004028BC" w:rsidP="004028BC">
      <w:pPr>
        <w:spacing w:before="100" w:beforeAutospacing="1" w:after="100" w:afterAutospacing="1"/>
        <w:rPr>
          <w:rFonts w:eastAsia="Times New Roman"/>
          <w:noProof/>
          <w:szCs w:val="24"/>
        </w:rPr>
      </w:pPr>
      <w:r w:rsidRPr="00DF6A64">
        <w:rPr>
          <w:noProof/>
        </w:rPr>
        <w:t>Vendar pa odstopanje ne bi smelo ogroziti prihodnjega razvoja obstoječega pravnega okvira ter bi moralo upoštevati potekajoči pregled direktive o obdavčitvi energije in možnost, da Svet sprejme pravni akt na podlagi predloga Komisije za prenovitev direktive o obdavčitvi energije</w:t>
      </w:r>
      <w:r w:rsidRPr="00DF6A64">
        <w:rPr>
          <w:rStyle w:val="FootnoteReference"/>
          <w:rFonts w:eastAsia="Times New Roman"/>
          <w:noProof/>
          <w:szCs w:val="24"/>
          <w:lang w:eastAsia="en-IE"/>
        </w:rPr>
        <w:footnoteReference w:id="9"/>
      </w:r>
      <w:r w:rsidRPr="00DF6A64">
        <w:rPr>
          <w:noProof/>
        </w:rPr>
        <w:t xml:space="preserve">. </w:t>
      </w:r>
    </w:p>
    <w:p w:rsidR="004028BC" w:rsidRPr="00DF6A64" w:rsidRDefault="004028BC" w:rsidP="004028BC">
      <w:pPr>
        <w:spacing w:before="100" w:beforeAutospacing="1" w:after="100" w:afterAutospacing="1"/>
        <w:rPr>
          <w:rFonts w:eastAsia="Times New Roman"/>
          <w:noProof/>
          <w:szCs w:val="24"/>
        </w:rPr>
      </w:pPr>
      <w:r w:rsidRPr="00DF6A64">
        <w:rPr>
          <w:noProof/>
        </w:rPr>
        <w:t xml:space="preserve">Komisija je v okviru predlagane prenovitve direktive o obdavčitvi energentov in električne energije med drugim določila, da lahko vse države članice uporabljajo oprostitve, delne oprostitve ali znižanja ravni obdavčitve za električno energijo, ki se neposredno dobavlja plovilom med privezom v pristanišču, da bi tako spodbudila njen razvoj in uporabo. </w:t>
      </w:r>
    </w:p>
    <w:p w:rsidR="004028BC" w:rsidRPr="00DF6A64" w:rsidRDefault="004028BC" w:rsidP="004028BC">
      <w:pPr>
        <w:spacing w:before="100" w:beforeAutospacing="1" w:after="100" w:afterAutospacing="1"/>
        <w:rPr>
          <w:rFonts w:eastAsia="Times New Roman"/>
          <w:noProof/>
          <w:szCs w:val="24"/>
        </w:rPr>
      </w:pPr>
      <w:r w:rsidRPr="00DF6A64">
        <w:rPr>
          <w:noProof/>
        </w:rPr>
        <w:t>V teh okoliščinah se zato zdi primerno, da se dovoljenje odobri za zadevno obdobje.</w:t>
      </w:r>
    </w:p>
    <w:p w:rsidR="004028BC" w:rsidRPr="00DF6A64" w:rsidRDefault="004028BC" w:rsidP="004028BC">
      <w:pPr>
        <w:spacing w:before="100" w:beforeAutospacing="1" w:after="100" w:afterAutospacing="1"/>
        <w:rPr>
          <w:rFonts w:eastAsia="Times New Roman"/>
          <w:i/>
          <w:iCs/>
          <w:noProof/>
          <w:szCs w:val="24"/>
        </w:rPr>
      </w:pPr>
      <w:r w:rsidRPr="00DF6A64">
        <w:rPr>
          <w:i/>
          <w:noProof/>
        </w:rPr>
        <w:t xml:space="preserve">Pravila o državni pomoči </w:t>
      </w:r>
    </w:p>
    <w:p w:rsidR="004028BC" w:rsidRPr="00DF6A64" w:rsidRDefault="004028BC" w:rsidP="004028BC">
      <w:pPr>
        <w:spacing w:before="100" w:beforeAutospacing="1" w:after="100" w:afterAutospacing="1"/>
        <w:rPr>
          <w:rFonts w:eastAsia="Times New Roman"/>
          <w:noProof/>
          <w:szCs w:val="24"/>
        </w:rPr>
      </w:pPr>
      <w:r w:rsidRPr="00DF6A64">
        <w:rPr>
          <w:noProof/>
        </w:rPr>
        <w:t xml:space="preserve">Znižana davčna stopnja v višini 0,50 EUR/MWh, ki jo predvidevajo belgijski organi, je enaka najnižji ravni obdavčitve za električno energijo za poslovno uporabo v skladu s členom 10 Direktive 2003/96/ES. </w:t>
      </w:r>
    </w:p>
    <w:p w:rsidR="004028BC" w:rsidRPr="00DF6A64" w:rsidRDefault="004028BC" w:rsidP="004028BC">
      <w:pPr>
        <w:spacing w:before="100" w:beforeAutospacing="1" w:after="100" w:afterAutospacing="1"/>
        <w:rPr>
          <w:rFonts w:eastAsia="Times New Roman"/>
          <w:noProof/>
          <w:szCs w:val="24"/>
        </w:rPr>
      </w:pPr>
      <w:r w:rsidRPr="00DF6A64">
        <w:rPr>
          <w:noProof/>
        </w:rPr>
        <w:t xml:space="preserve">Člen 44 </w:t>
      </w:r>
      <w:bookmarkStart w:id="1" w:name="_Hlk224165935"/>
      <w:r w:rsidRPr="00DF6A64">
        <w:rPr>
          <w:noProof/>
        </w:rPr>
        <w:t>Uredbe Komisije (EU) št. 651/2014</w:t>
      </w:r>
      <w:bookmarkEnd w:id="1"/>
      <w:r w:rsidRPr="00DF6A64">
        <w:rPr>
          <w:noProof/>
        </w:rPr>
        <w:t xml:space="preserve"> določa pogoje, pod katerimi se pomoč v obliki znižanja davkov v skladu z Direktivo 2003/96/ES lahko izvzame iz obveznosti priglasitve državne pomoči. </w:t>
      </w:r>
    </w:p>
    <w:p w:rsidR="004028BC" w:rsidRPr="00DF6A64" w:rsidRDefault="004028BC" w:rsidP="004028BC">
      <w:pPr>
        <w:spacing w:before="100" w:beforeAutospacing="1" w:after="100" w:afterAutospacing="1"/>
        <w:rPr>
          <w:noProof/>
        </w:rPr>
      </w:pPr>
      <w:r w:rsidRPr="00DF6A64">
        <w:rPr>
          <w:noProof/>
        </w:rPr>
        <w:t>Predlog izvedbenega sklepa Sveta ne posega v obveznost države članice, da zagotovi skladnost s pravili o državni pomoči, in zlasti z Uredbo Komisije (EU) št. 651/2014 v primeru kategorij skupinsko izvzete pomoči, ki spadajo na področje uporabe navedene uredbe. Predlog izvedbenega sklepa Sveta prav tako ne posega v obveznost države članice, da pomoč priglasi Komisiji, preden jo začne izvajati, če za novo pomoč ne velja izjema iz obveznosti priglasitve v skladu s členom 108(3) Pogodbe.</w:t>
      </w:r>
    </w:p>
    <w:p w:rsidR="004028BC" w:rsidRPr="00DF6A64" w:rsidRDefault="004028BC" w:rsidP="00A4693B">
      <w:pPr>
        <w:pStyle w:val="ManualHeading2"/>
        <w:rPr>
          <w:rFonts w:eastAsia="Arial Unicode MS"/>
          <w:noProof/>
        </w:rPr>
      </w:pPr>
      <w:r w:rsidRPr="00DF6A64">
        <w:rPr>
          <w:noProof/>
          <w:color w:val="000000"/>
          <w:u w:color="000000"/>
          <w:bdr w:val="nil"/>
        </w:rPr>
        <w:t>•</w:t>
      </w:r>
      <w:r w:rsidRPr="00DF6A64">
        <w:rPr>
          <w:noProof/>
        </w:rPr>
        <w:tab/>
        <w:t>Skladnost z drugimi politikami Unije</w:t>
      </w:r>
    </w:p>
    <w:p w:rsidR="004028BC" w:rsidRPr="00DF6A64" w:rsidRDefault="004028BC" w:rsidP="004028BC">
      <w:pPr>
        <w:pStyle w:val="Normal1"/>
        <w:rPr>
          <w:i/>
          <w:iCs/>
          <w:noProof/>
        </w:rPr>
      </w:pPr>
      <w:r w:rsidRPr="00DF6A64">
        <w:rPr>
          <w:b/>
          <w:i/>
          <w:noProof/>
        </w:rPr>
        <w:t>Okoljska politika in politika podnebnih sprememb</w:t>
      </w:r>
      <w:r w:rsidRPr="00DF6A64">
        <w:rPr>
          <w:i/>
          <w:noProof/>
        </w:rPr>
        <w:t xml:space="preserve"> </w:t>
      </w:r>
    </w:p>
    <w:p w:rsidR="004028BC" w:rsidRPr="00DF6A64" w:rsidRDefault="004028BC" w:rsidP="004028BC">
      <w:pPr>
        <w:spacing w:before="100" w:beforeAutospacing="1" w:after="100" w:afterAutospacing="1"/>
        <w:rPr>
          <w:rFonts w:eastAsia="Times New Roman"/>
          <w:noProof/>
          <w:szCs w:val="24"/>
        </w:rPr>
      </w:pPr>
      <w:r w:rsidRPr="00DF6A64">
        <w:rPr>
          <w:noProof/>
        </w:rPr>
        <w:t>Zahtevani ukrep se nanaša predvsem na okoljsko politiko in politiko podnebnih sprememb EU. Ker bo ukrep prispeval k zmanjšanju uporabe bunker goriv na krovu plovil v pristaniščih, bo prispeval k cilju izboljšanja kakovosti zraka v lokalnem okolju in zmanjšanja hrupa. Direktiva o kakovosti zunanjega zraka</w:t>
      </w:r>
      <w:r w:rsidRPr="00DF6A64">
        <w:rPr>
          <w:rStyle w:val="FootnoteReference"/>
          <w:rFonts w:eastAsia="Arial Unicode MS"/>
          <w:noProof/>
        </w:rPr>
        <w:footnoteReference w:id="10"/>
      </w:r>
      <w:r w:rsidRPr="00DF6A64">
        <w:rPr>
          <w:noProof/>
        </w:rPr>
        <w:t xml:space="preserve"> državam članicam trenutno nalaga, da zagotovijo, da </w:t>
      </w:r>
      <w:r w:rsidRPr="00DF6A64">
        <w:rPr>
          <w:noProof/>
        </w:rPr>
        <w:lastRenderedPageBreak/>
        <w:t>vrednosti nekaterih onesnaževal zraka ostanejo pod mejnimi vrednostmi, ciljnimi vrednostmi in drugimi standardi kakovosti zraka, določenimi v Direktivi. Zaradi te obveznosti morajo države članice poiskati rešitve za težave, kot so emisije ladij med privezom v pristaniščih, kjer je to ustrezno, pri čemer je možno, da se bo uporaba električne energije z obale v pristaniščih s temi težavami še naprej spodbujala kot del skupne strategije za kakovost zraka. Uporaba električne energije z obale se spodbuja tudi z Direktivo (EU) 2016/802</w:t>
      </w:r>
      <w:r w:rsidRPr="00DF6A64">
        <w:rPr>
          <w:rStyle w:val="FootnoteReference"/>
          <w:rFonts w:eastAsia="Times New Roman"/>
          <w:noProof/>
          <w:szCs w:val="24"/>
          <w:lang w:eastAsia="en-IE"/>
        </w:rPr>
        <w:footnoteReference w:id="11"/>
      </w:r>
      <w:r w:rsidRPr="00DF6A64">
        <w:rPr>
          <w:noProof/>
        </w:rPr>
        <w:t xml:space="preserve">, ki ureja vsebnost žvepla v gorivih za plovila. </w:t>
      </w:r>
    </w:p>
    <w:p w:rsidR="004028BC" w:rsidRPr="00DF6A64" w:rsidRDefault="004028BC" w:rsidP="004028BC">
      <w:pPr>
        <w:spacing w:before="100" w:beforeAutospacing="1" w:after="100" w:afterAutospacing="1"/>
        <w:rPr>
          <w:rFonts w:eastAsia="Times New Roman"/>
          <w:noProof/>
          <w:color w:val="000000"/>
          <w:szCs w:val="24"/>
        </w:rPr>
      </w:pPr>
      <w:r w:rsidRPr="00DF6A64">
        <w:rPr>
          <w:noProof/>
          <w:color w:val="000000"/>
        </w:rPr>
        <w:t>Belgija namerava z uporabo zahtevanega ukrepa spodbuditi uporabo električne energije z obale, ki velja za okolju prijaznejšo alternativo proizvodnji električne energije na krovu ladij med privezom v pristanišču.</w:t>
      </w:r>
    </w:p>
    <w:p w:rsidR="004028BC" w:rsidRPr="00DF6A64" w:rsidRDefault="004028BC" w:rsidP="004028BC">
      <w:pPr>
        <w:spacing w:before="100" w:beforeAutospacing="1" w:after="100" w:afterAutospacing="1"/>
        <w:rPr>
          <w:rFonts w:eastAsia="Times New Roman"/>
          <w:noProof/>
          <w:color w:val="000000"/>
          <w:szCs w:val="24"/>
        </w:rPr>
      </w:pPr>
      <w:r w:rsidRPr="00DF6A64">
        <w:rPr>
          <w:noProof/>
          <w:color w:val="000000"/>
        </w:rPr>
        <w:t>Kot poudarjajo belgijski organi, lahko uporaba električne energije z obale namesto proizvajanja električne energije na krovu ugodno vpliva na okolje.</w:t>
      </w:r>
      <w:r w:rsidRPr="00DF6A64">
        <w:rPr>
          <w:noProof/>
        </w:rPr>
        <w:t xml:space="preserve"> </w:t>
      </w:r>
      <w:r w:rsidRPr="00DF6A64">
        <w:rPr>
          <w:noProof/>
          <w:color w:val="000000"/>
        </w:rPr>
        <w:t>Spodbujanje uporabe električne energije z obale je bistven korak k okolju prijaznejšemu ladijskemu prometu in belgijskim pristaniščem. Poleg tega bo večja uporaba električne energije z obale v prihodnosti pozitivno vplivala na kakovost zraka na belgijskih pristaniških območjih z zmanjšanjem onesnaževal v zraku, trdnih delcev in saj. Belgija pričakuje tudi, da bo ta ukrep zmanjšal obremenitev s hrupom in emisije dušika. Ukrep bo verjetno privedel tudi do zmanjšanja emisij CO</w:t>
      </w:r>
      <w:r w:rsidRPr="00DF6A64">
        <w:rPr>
          <w:noProof/>
          <w:color w:val="000000"/>
          <w:vertAlign w:val="subscript"/>
        </w:rPr>
        <w:t>2</w:t>
      </w:r>
      <w:r w:rsidRPr="00DF6A64">
        <w:rPr>
          <w:noProof/>
          <w:color w:val="000000"/>
        </w:rPr>
        <w:t>. Razlog za to je, da je mešanica virov električne energije iz kopenskega omrežja v Belgiji manj ogljično intenzivna kot električna energija, proizvedena na krovu z uporabo bunker goriv, in sicer zaradi večje učinkovitosti energetskega sistema in razlike v uporabljenih vhodnih gorivih.</w:t>
      </w:r>
    </w:p>
    <w:p w:rsidR="0038338C" w:rsidRPr="00DF6A64" w:rsidRDefault="0038338C" w:rsidP="0038338C">
      <w:pPr>
        <w:rPr>
          <w:noProof/>
        </w:rPr>
      </w:pPr>
      <w:r w:rsidRPr="00DF6A64">
        <w:rPr>
          <w:noProof/>
        </w:rPr>
        <w:t>Ta ukrep je združljiv s Priporočilom Komisije o spodbujanju uporabe električne energije z obrežja pri ladjah med privezom v pristaniščih Skupnosti</w:t>
      </w:r>
      <w:r w:rsidRPr="00DF6A64">
        <w:rPr>
          <w:rStyle w:val="FootnoteReference"/>
          <w:noProof/>
        </w:rPr>
        <w:footnoteReference w:id="12"/>
      </w:r>
      <w:r w:rsidRPr="00DF6A64">
        <w:rPr>
          <w:noProof/>
        </w:rPr>
        <w:t>, ki določa, da znižanje obdavčitve električne energije, ki se dobavlja ladjam med privezom, povečuje privlačnost električne energije z obrežja.</w:t>
      </w:r>
    </w:p>
    <w:p w:rsidR="004028BC" w:rsidRPr="00DF6A64" w:rsidRDefault="004028BC" w:rsidP="004028BC">
      <w:pPr>
        <w:spacing w:before="100" w:beforeAutospacing="1" w:after="100" w:afterAutospacing="1"/>
        <w:jc w:val="left"/>
        <w:rPr>
          <w:rFonts w:eastAsia="Times New Roman"/>
          <w:b/>
          <w:bCs/>
          <w:i/>
          <w:iCs/>
          <w:noProof/>
          <w:szCs w:val="24"/>
        </w:rPr>
      </w:pPr>
      <w:r w:rsidRPr="00DF6A64">
        <w:rPr>
          <w:b/>
          <w:i/>
          <w:noProof/>
        </w:rPr>
        <w:t xml:space="preserve">Energetska politika </w:t>
      </w:r>
    </w:p>
    <w:p w:rsidR="004028BC" w:rsidRPr="00DF6A64" w:rsidRDefault="004028BC" w:rsidP="004028BC">
      <w:pPr>
        <w:spacing w:before="100" w:beforeAutospacing="1" w:after="100" w:afterAutospacing="1"/>
        <w:rPr>
          <w:rFonts w:eastAsia="Times New Roman"/>
          <w:noProof/>
          <w:szCs w:val="24"/>
        </w:rPr>
      </w:pPr>
      <w:r w:rsidRPr="00DF6A64">
        <w:rPr>
          <w:noProof/>
        </w:rPr>
        <w:t>Ukrep je v skladu z uredbo o infrastrukturi za alternativna goriva</w:t>
      </w:r>
      <w:r w:rsidRPr="00DF6A64">
        <w:rPr>
          <w:rStyle w:val="FootnoteReference"/>
          <w:rFonts w:eastAsia="Times New Roman"/>
          <w:noProof/>
          <w:szCs w:val="24"/>
          <w:lang w:eastAsia="en-IE"/>
        </w:rPr>
        <w:footnoteReference w:id="13"/>
      </w:r>
      <w:r w:rsidRPr="00DF6A64">
        <w:rPr>
          <w:noProof/>
        </w:rPr>
        <w:t>, ki obravnava vprašanje namestitve naprav za oskrbo z električno energijo z obale v pristaniščih, v katerih obstaja povpraševanje po takih napravah in stroški niso nesorazmerni s koristmi, vključno z okoljskimi koristmi. Poleg tega je bilo za podoben ukrep ocenjeno, da prispeva k doseganju ciljev politik in zakonodaje Unije za zmanjšanje okoljskega odtisa pomorskega prometa in k razvoju nekaterih gospodarskih dejavnosti v skladu s členom 107(3), točka (c), PDEU</w:t>
      </w:r>
      <w:r w:rsidRPr="00DF6A64">
        <w:rPr>
          <w:rStyle w:val="FootnoteReference"/>
          <w:rFonts w:eastAsia="Times New Roman"/>
          <w:noProof/>
          <w:szCs w:val="24"/>
          <w:lang w:eastAsia="en-IE"/>
        </w:rPr>
        <w:footnoteReference w:id="14"/>
      </w:r>
      <w:r w:rsidRPr="00DF6A64">
        <w:rPr>
          <w:noProof/>
        </w:rPr>
        <w:t xml:space="preserve">. </w:t>
      </w:r>
    </w:p>
    <w:p w:rsidR="004028BC" w:rsidRPr="00DF6A64" w:rsidRDefault="004028BC" w:rsidP="004028BC">
      <w:pPr>
        <w:spacing w:before="100" w:beforeAutospacing="1" w:after="100" w:afterAutospacing="1"/>
        <w:rPr>
          <w:rFonts w:eastAsia="Times New Roman"/>
          <w:noProof/>
          <w:szCs w:val="24"/>
        </w:rPr>
      </w:pPr>
      <w:r w:rsidRPr="00DF6A64">
        <w:rPr>
          <w:noProof/>
        </w:rPr>
        <w:t xml:space="preserve">Pri tem je treba opozoriti, da je pomemben razlog za neugoden konkurenčni položaj električne energije z obale dejstvo, da za električno energijo, proizvedeno na krovu plovil v morskih pristaniščih, velja popolna oprostitev davka; iz obdavčitve ni izvzeto le bunker gorivo, porabljeno za proizvodnjo električne energije, kar ustreza normalnim razmeram iz člena 14(1), točka (a), direktive o obdavčitvi energije, temveč tudi električna energija, proizvedena </w:t>
      </w:r>
      <w:r w:rsidRPr="00DF6A64">
        <w:rPr>
          <w:noProof/>
        </w:rPr>
        <w:lastRenderedPageBreak/>
        <w:t>na krovu plovil</w:t>
      </w:r>
      <w:r w:rsidRPr="00DF6A64">
        <w:rPr>
          <w:rStyle w:val="FootnoteReference"/>
          <w:noProof/>
        </w:rPr>
        <w:footnoteReference w:id="15"/>
      </w:r>
      <w:r w:rsidRPr="00DF6A64">
        <w:rPr>
          <w:noProof/>
        </w:rPr>
        <w:t xml:space="preserve">. Za slednjo oprostitev se morda zdi, da jo je težko uskladiti z okoljskimi cilji Unije, vendar njen izvor izhaja iz premislekov o izvedljivosti. Razlog za to je, da bi za obdavčitev električne energije, proizvedene na krovu, lastnik ali upravljavec ladje moral predložiti izjavo o količini proizvedene in porabljene električne energije. V izjavi bi moral biti naveden tudi delež električne energije, porabljene v teritorialnih vodah določene države članice, v kateri je treba plačati davek. Obvezna priprava take izjave za teritorialne vode vsake države članice, na katero se izjava nanaša, bi za lastnike ladij pomenila pretirano upravno obremenitev. Podobni premisleki veljajo za plovbo po celinskih plovnih poteh in neobvezno davčno obravnavo v skladu s členom 15(1)(f) Direktive. Glede na izvzetje proizvodnje električne energije na krovu ladij s fosilnimi gorivi ni mogoče upravičiti kaznovanja alternative električne energije z obale, ki manj onesnažuje okolje, zato bi bilo treba Belgiji dovoliti, da uporabi znižano stopnjo obdavčitve. </w:t>
      </w:r>
    </w:p>
    <w:p w:rsidR="004028BC" w:rsidRPr="00DF6A64" w:rsidRDefault="004028BC" w:rsidP="004028BC">
      <w:pPr>
        <w:spacing w:before="100" w:beforeAutospacing="1" w:after="100" w:afterAutospacing="1"/>
        <w:rPr>
          <w:rFonts w:eastAsia="Times New Roman"/>
          <w:b/>
          <w:bCs/>
          <w:i/>
          <w:iCs/>
          <w:noProof/>
          <w:szCs w:val="24"/>
        </w:rPr>
      </w:pPr>
      <w:r w:rsidRPr="00DF6A64">
        <w:rPr>
          <w:b/>
          <w:i/>
          <w:noProof/>
        </w:rPr>
        <w:t xml:space="preserve">Prometna politika </w:t>
      </w:r>
    </w:p>
    <w:p w:rsidR="004028BC" w:rsidRPr="00DF6A64" w:rsidRDefault="004028BC" w:rsidP="004028BC">
      <w:pPr>
        <w:spacing w:before="100" w:beforeAutospacing="1" w:after="100" w:afterAutospacing="1"/>
        <w:rPr>
          <w:rFonts w:eastAsia="Times New Roman"/>
          <w:noProof/>
          <w:szCs w:val="24"/>
        </w:rPr>
      </w:pPr>
      <w:r w:rsidRPr="00DF6A64">
        <w:rPr>
          <w:noProof/>
        </w:rPr>
        <w:t>Ukrep je v skladu s cilji uredbe FuelEU za pomorstvo</w:t>
      </w:r>
      <w:r w:rsidRPr="00DF6A64">
        <w:rPr>
          <w:rStyle w:val="FootnoteReference"/>
          <w:rFonts w:eastAsia="Times New Roman"/>
          <w:noProof/>
          <w:szCs w:val="24"/>
          <w:lang w:eastAsia="en-IE"/>
        </w:rPr>
        <w:footnoteReference w:id="16"/>
      </w:r>
      <w:r w:rsidRPr="00DF6A64">
        <w:rPr>
          <w:noProof/>
        </w:rPr>
        <w:t>. Ta uredba določa, da morajo od leta 2030 dalje plovila, uvrščena kot potniške ladje za križarjenje, trajekti in kontejnerske ladje z bruto tonažo nad 5 000 ton uporabljati sisteme oskrbe z električno energijo z obale, razen v primerih, ko jim je na voljo brezemisijska tehnologija. Širša uporaba znižane stopnje, in sicer za plovbo po celinskih plovnih poteh in plovila z nižjo bruto tonažo, bi še vedno upravičevala ukrep. Kot so poudarili belgijski organi, bo odobritev ključnega pomena, da bo Belgija lahko izpolnila navedene cilje EU glede razpoložljivosti in uporabe električne energije z obale.</w:t>
      </w:r>
    </w:p>
    <w:p w:rsidR="004028BC" w:rsidRPr="00DF6A64" w:rsidRDefault="004028BC" w:rsidP="004028BC">
      <w:pPr>
        <w:spacing w:before="100" w:beforeAutospacing="1" w:after="100" w:afterAutospacing="1"/>
        <w:rPr>
          <w:rFonts w:eastAsia="Times New Roman"/>
          <w:b/>
          <w:bCs/>
          <w:i/>
          <w:iCs/>
          <w:noProof/>
          <w:szCs w:val="24"/>
        </w:rPr>
      </w:pPr>
      <w:r w:rsidRPr="00DF6A64">
        <w:rPr>
          <w:b/>
          <w:i/>
          <w:noProof/>
        </w:rPr>
        <w:t xml:space="preserve">Notranji trg in poštena konkurenca </w:t>
      </w:r>
    </w:p>
    <w:p w:rsidR="004028BC" w:rsidRPr="00DF6A64" w:rsidRDefault="004028BC" w:rsidP="004028BC">
      <w:pPr>
        <w:spacing w:before="100" w:beforeAutospacing="1" w:after="100" w:afterAutospacing="1"/>
        <w:rPr>
          <w:rFonts w:eastAsia="Times New Roman"/>
          <w:noProof/>
          <w:szCs w:val="24"/>
        </w:rPr>
      </w:pPr>
      <w:r w:rsidRPr="00DF6A64">
        <w:rPr>
          <w:noProof/>
        </w:rPr>
        <w:t xml:space="preserve">Z vidika notranjega trga in poštene konkurence ukrep zgolj zmanjšuje obstoječe davčno izkrivljanje med dvema konkurenčnima viroma električne energije za ladje med privezom, tj. med proizvodnjo električne energije na krovu in proizvodnjo električno energijo z obale, ki ga je povzročila oprostitev davka za bunker goriva. </w:t>
      </w:r>
    </w:p>
    <w:p w:rsidR="004028BC" w:rsidRPr="00DF6A64" w:rsidRDefault="004028BC" w:rsidP="004028BC">
      <w:pPr>
        <w:spacing w:before="100" w:beforeAutospacing="1" w:after="100" w:afterAutospacing="1"/>
        <w:rPr>
          <w:rFonts w:eastAsia="Times New Roman"/>
          <w:noProof/>
          <w:szCs w:val="24"/>
        </w:rPr>
      </w:pPr>
      <w:r w:rsidRPr="00DF6A64">
        <w:rPr>
          <w:noProof/>
        </w:rPr>
        <w:t xml:space="preserve">Belgijski organi ugotavljajo, da na tej stopnji ni mogoče izključiti možnosti, da bi predlagano znižanje davka dajalo prednost dobaviteljem električne energije in posredno lastnikom plovil, ki se uporabljajo za komercialni ladijski promet. Poleg tega bo dostop do električne energije z obale zadevnim ladjam na voljo ne glede na njihovo zastavo, torej nacionalni gospodarski subjekti ne bodo ugodneje davčno obravnavani v primerjavi z njihovimi konkurenti iz drugih držav članic EU. </w:t>
      </w:r>
    </w:p>
    <w:p w:rsidR="004028BC" w:rsidRPr="00DF6A64" w:rsidRDefault="004028BC" w:rsidP="004028BC">
      <w:pPr>
        <w:spacing w:before="100" w:beforeAutospacing="1" w:after="100" w:afterAutospacing="1"/>
        <w:rPr>
          <w:rFonts w:eastAsia="Times New Roman"/>
          <w:noProof/>
          <w:szCs w:val="24"/>
        </w:rPr>
      </w:pPr>
      <w:r w:rsidRPr="00DF6A64">
        <w:rPr>
          <w:noProof/>
        </w:rPr>
        <w:t>Glede konkurence med pristanišči se lahko pričakuje, da bo morebitni vpliv na trgovino med državami članicami, ki bi lahko nastal, če bi plovila spremenila smer zaradi možnosti uporabe električne energije z obale po znižani davčni stopnji, zanemarljiv. Ker kljub znižanju davka vsaj kratkoročno ni verjetno, da bi, kakor je navedeno zgoraj, uporaba električne energije z obale postala gospodarnejša od proizvodnje električne energije na krovu, tudi ni verjetno, da bi znižanje davka za električno energijo z obale pomembno izkrivljalo konkurenco med pristanišči, ker bi spodbujalo plovila k spremembi poti zaradi te možnosti.</w:t>
      </w:r>
    </w:p>
    <w:p w:rsidR="004028BC" w:rsidRPr="00DF6A64" w:rsidRDefault="004028BC" w:rsidP="004028BC">
      <w:pPr>
        <w:spacing w:before="100" w:beforeAutospacing="1" w:after="100" w:afterAutospacing="1"/>
        <w:rPr>
          <w:rFonts w:eastAsia="Times New Roman"/>
          <w:noProof/>
          <w:szCs w:val="24"/>
        </w:rPr>
      </w:pPr>
      <w:r w:rsidRPr="00DF6A64">
        <w:rPr>
          <w:noProof/>
        </w:rPr>
        <w:lastRenderedPageBreak/>
        <w:t xml:space="preserve">Belgijski organi trdijo, da imajo pri izbiri pristanišč vlogo drugi dejavniki (kot so </w:t>
      </w:r>
      <w:r w:rsidRPr="00DF6A64">
        <w:rPr>
          <w:noProof/>
          <w:color w:val="000000"/>
        </w:rPr>
        <w:t>vrsta ladje in tovora, razpoložljive povezave z zaledjem</w:t>
      </w:r>
      <w:r w:rsidRPr="00DF6A64">
        <w:rPr>
          <w:noProof/>
        </w:rPr>
        <w:t xml:space="preserve"> ali drugi gospodarski dejavniki), tako da se sama razpoložljivost električne energije z obale ne zdi odločilna. </w:t>
      </w:r>
    </w:p>
    <w:p w:rsidR="004028BC" w:rsidRPr="00DF6A64" w:rsidRDefault="004028BC" w:rsidP="004028BC">
      <w:pPr>
        <w:spacing w:before="100" w:beforeAutospacing="1" w:after="100" w:afterAutospacing="1"/>
        <w:rPr>
          <w:rFonts w:eastAsia="Times New Roman"/>
          <w:noProof/>
          <w:szCs w:val="24"/>
        </w:rPr>
      </w:pPr>
      <w:r w:rsidRPr="00DF6A64">
        <w:rPr>
          <w:noProof/>
        </w:rPr>
        <w:t xml:space="preserve">Zaradi obdobja, za katero se predlaga odobritev dovoljenja za uporabo znižane davčne stopnje, je malo verjetno, da se bo analiza iz prejšnjih odstavkov spremenila pred datumom izteka ukrepa, razen če se bodo sedanji okvir in razmere znatno spremenili. </w:t>
      </w:r>
    </w:p>
    <w:p w:rsidR="004028BC" w:rsidRPr="00DF6A64" w:rsidRDefault="004028BC" w:rsidP="0029266A">
      <w:pPr>
        <w:pBdr>
          <w:top w:val="nil"/>
          <w:left w:val="nil"/>
          <w:bottom w:val="nil"/>
          <w:right w:val="nil"/>
          <w:between w:val="nil"/>
          <w:bar w:val="nil"/>
        </w:pBdr>
        <w:spacing w:before="0" w:after="240"/>
        <w:rPr>
          <w:rFonts w:eastAsia="Arial Unicode MS"/>
          <w:noProof/>
        </w:rPr>
      </w:pPr>
    </w:p>
    <w:p w:rsidR="004028BC" w:rsidRPr="00DF6A64" w:rsidRDefault="004028BC" w:rsidP="00550536">
      <w:pPr>
        <w:pStyle w:val="ManualHeading1"/>
        <w:rPr>
          <w:noProof/>
        </w:rPr>
      </w:pPr>
      <w:r w:rsidRPr="00DF6A64">
        <w:rPr>
          <w:noProof/>
        </w:rPr>
        <w:t>2.</w:t>
      </w:r>
      <w:r w:rsidRPr="00DF6A64">
        <w:rPr>
          <w:noProof/>
        </w:rPr>
        <w:tab/>
        <w:t>PRAVNA PODLAGA, SUBSIDIARNOST IN SORAZMERNOST</w:t>
      </w:r>
    </w:p>
    <w:p w:rsidR="004028BC" w:rsidRPr="00DF6A64" w:rsidRDefault="004028BC" w:rsidP="00A4693B">
      <w:pPr>
        <w:pStyle w:val="ManualHeading2"/>
        <w:rPr>
          <w:rFonts w:eastAsia="Arial Unicode MS"/>
          <w:noProof/>
          <w:u w:color="000000"/>
          <w:bdr w:val="nil"/>
        </w:rPr>
      </w:pPr>
      <w:r w:rsidRPr="00DF6A64">
        <w:rPr>
          <w:noProof/>
          <w:u w:color="000000"/>
          <w:bdr w:val="nil"/>
        </w:rPr>
        <w:t>•</w:t>
      </w:r>
      <w:r w:rsidRPr="00DF6A64">
        <w:rPr>
          <w:noProof/>
        </w:rPr>
        <w:tab/>
      </w:r>
      <w:r w:rsidRPr="00DF6A64">
        <w:rPr>
          <w:noProof/>
          <w:u w:color="000000"/>
          <w:bdr w:val="nil"/>
        </w:rPr>
        <w:t>Pravna podlaga</w:t>
      </w:r>
    </w:p>
    <w:p w:rsidR="004028BC" w:rsidRPr="00DF6A64" w:rsidRDefault="004028BC" w:rsidP="00550536">
      <w:pPr>
        <w:pBdr>
          <w:top w:val="nil"/>
          <w:left w:val="nil"/>
          <w:bottom w:val="nil"/>
          <w:right w:val="nil"/>
          <w:between w:val="nil"/>
          <w:bar w:val="nil"/>
        </w:pBdr>
        <w:spacing w:before="0" w:after="240"/>
        <w:rPr>
          <w:rFonts w:eastAsia="Arial Unicode MS"/>
          <w:bCs/>
          <w:noProof/>
        </w:rPr>
      </w:pPr>
      <w:r w:rsidRPr="00DF6A64">
        <w:rPr>
          <w:noProof/>
        </w:rPr>
        <w:t>Člen 19 Direktive Sveta 2003/96/ES.</w:t>
      </w:r>
    </w:p>
    <w:p w:rsidR="004028BC" w:rsidRPr="00DF6A64" w:rsidRDefault="004028BC" w:rsidP="00A4693B">
      <w:pPr>
        <w:pStyle w:val="ManualHeading2"/>
        <w:rPr>
          <w:rFonts w:eastAsia="Arial Unicode MS"/>
          <w:noProof/>
          <w:u w:color="000000"/>
          <w:bdr w:val="nil"/>
        </w:rPr>
      </w:pPr>
      <w:r w:rsidRPr="00DF6A64">
        <w:rPr>
          <w:noProof/>
          <w:u w:color="000000"/>
          <w:bdr w:val="nil"/>
        </w:rPr>
        <w:t>•</w:t>
      </w:r>
      <w:r w:rsidRPr="00DF6A64">
        <w:rPr>
          <w:noProof/>
        </w:rPr>
        <w:tab/>
      </w:r>
      <w:r w:rsidRPr="00DF6A64">
        <w:rPr>
          <w:noProof/>
          <w:u w:color="000000"/>
          <w:bdr w:val="nil"/>
        </w:rPr>
        <w:t xml:space="preserve">Subsidiarnost (za neizključno pristojnost) </w:t>
      </w:r>
    </w:p>
    <w:p w:rsidR="004028BC" w:rsidRPr="00DF6A64" w:rsidRDefault="004028BC" w:rsidP="004028BC">
      <w:pPr>
        <w:pStyle w:val="Normal1"/>
        <w:jc w:val="both"/>
        <w:rPr>
          <w:noProof/>
        </w:rPr>
      </w:pPr>
      <w:r w:rsidRPr="00DF6A64">
        <w:rPr>
          <w:noProof/>
        </w:rPr>
        <w:t xml:space="preserve">Področje posrednega obdavčenja, ki ga obravnava člen 113 PDEU, samo po sebi ni v izključni pristojnosti Evropske unije v smislu člena 3 PDEU. </w:t>
      </w:r>
    </w:p>
    <w:p w:rsidR="004028BC" w:rsidRPr="00DF6A64" w:rsidRDefault="004028BC" w:rsidP="004028BC">
      <w:pPr>
        <w:pStyle w:val="Normal1"/>
        <w:jc w:val="both"/>
        <w:rPr>
          <w:noProof/>
        </w:rPr>
      </w:pPr>
      <w:r w:rsidRPr="00DF6A64">
        <w:rPr>
          <w:noProof/>
        </w:rPr>
        <w:t xml:space="preserve">Vendar ima Svet v skladu s členom 19 Direktive 2003/96/ES v okviru sekundarne zakonodaje izključno pristojnost, da državam članicam dovoli uporabo nadaljnjih izjem ali znižanj v smislu navedene določbe. Zato države članice ne morejo prevzeti te naloge Sveta. Posledično se načelo subsidiarnosti za ta izvedbeni sklep ne uporablja. Vsekakor pa tega dokumenta v skladu s Protokolom št. 2 k Pogodbama ni treba posredovati nacionalnim parlamentom za preverjanje skladnosti z načelom subsidiarnosti, saj ne gre za osnutek zakonodajnega akta. </w:t>
      </w:r>
    </w:p>
    <w:p w:rsidR="004028BC" w:rsidRPr="00DF6A64" w:rsidRDefault="004028BC" w:rsidP="00A4693B">
      <w:pPr>
        <w:pStyle w:val="ManualHeading2"/>
        <w:rPr>
          <w:rFonts w:eastAsia="Arial Unicode MS"/>
          <w:noProof/>
          <w:u w:color="000000"/>
          <w:bdr w:val="nil"/>
        </w:rPr>
      </w:pPr>
      <w:r w:rsidRPr="00DF6A64">
        <w:rPr>
          <w:noProof/>
          <w:u w:color="000000"/>
          <w:bdr w:val="nil"/>
        </w:rPr>
        <w:t>•</w:t>
      </w:r>
      <w:r w:rsidRPr="00DF6A64">
        <w:rPr>
          <w:noProof/>
        </w:rPr>
        <w:tab/>
      </w:r>
      <w:r w:rsidRPr="00DF6A64">
        <w:rPr>
          <w:noProof/>
          <w:u w:color="000000"/>
          <w:bdr w:val="nil"/>
        </w:rPr>
        <w:t>Sorazmernost</w:t>
      </w:r>
    </w:p>
    <w:p w:rsidR="004028BC" w:rsidRPr="00DF6A64" w:rsidRDefault="004028BC" w:rsidP="004028BC">
      <w:pPr>
        <w:pBdr>
          <w:top w:val="nil"/>
          <w:left w:val="nil"/>
          <w:bottom w:val="nil"/>
          <w:right w:val="nil"/>
          <w:between w:val="nil"/>
          <w:bar w:val="nil"/>
        </w:pBdr>
        <w:spacing w:before="0" w:after="240"/>
        <w:rPr>
          <w:rFonts w:eastAsia="Arial Unicode MS"/>
          <w:noProof/>
        </w:rPr>
      </w:pPr>
      <w:r w:rsidRPr="00DF6A64">
        <w:rPr>
          <w:noProof/>
        </w:rPr>
        <w:t>Predlog je v skladu z načelom sorazmernosti. Znižanje davka ne presega tistega, kar je potrebno za doseganje zadevnega cilja.</w:t>
      </w:r>
    </w:p>
    <w:p w:rsidR="004028BC" w:rsidRPr="00DF6A64" w:rsidRDefault="004028BC" w:rsidP="00A4693B">
      <w:pPr>
        <w:pStyle w:val="ManualHeading2"/>
        <w:rPr>
          <w:rFonts w:eastAsia="Arial Unicode MS"/>
          <w:noProof/>
          <w:u w:color="000000"/>
          <w:bdr w:val="nil"/>
        </w:rPr>
      </w:pPr>
      <w:r w:rsidRPr="00DF6A64">
        <w:rPr>
          <w:noProof/>
          <w:u w:color="000000"/>
          <w:bdr w:val="nil"/>
        </w:rPr>
        <w:t>•</w:t>
      </w:r>
      <w:r w:rsidRPr="00DF6A64">
        <w:rPr>
          <w:noProof/>
        </w:rPr>
        <w:tab/>
      </w:r>
      <w:r w:rsidRPr="00DF6A64">
        <w:rPr>
          <w:noProof/>
          <w:u w:color="000000"/>
          <w:bdr w:val="nil"/>
        </w:rPr>
        <w:t>Izbira instrumenta</w:t>
      </w:r>
    </w:p>
    <w:p w:rsidR="004028BC" w:rsidRPr="00DF6A64" w:rsidRDefault="004028BC" w:rsidP="004028BC">
      <w:pPr>
        <w:pBdr>
          <w:top w:val="nil"/>
          <w:left w:val="nil"/>
          <w:bottom w:val="nil"/>
          <w:right w:val="nil"/>
          <w:between w:val="nil"/>
          <w:bar w:val="nil"/>
        </w:pBdr>
        <w:spacing w:before="0" w:after="240"/>
        <w:rPr>
          <w:noProof/>
        </w:rPr>
      </w:pPr>
      <w:r w:rsidRPr="00DF6A64">
        <w:rPr>
          <w:noProof/>
        </w:rPr>
        <w:t>Predlagani instrument je izvedbeni sklep Sveta. Člen 19 Direktive 2003/96/ES določa le to vrsto ukrepa.</w:t>
      </w:r>
    </w:p>
    <w:p w:rsidR="004028BC" w:rsidRPr="00DF6A64" w:rsidRDefault="004028BC" w:rsidP="004028BC">
      <w:pPr>
        <w:pBdr>
          <w:top w:val="nil"/>
          <w:left w:val="nil"/>
          <w:bottom w:val="nil"/>
          <w:right w:val="nil"/>
          <w:between w:val="nil"/>
          <w:bar w:val="nil"/>
        </w:pBdr>
        <w:spacing w:before="0" w:after="240"/>
        <w:rPr>
          <w:noProof/>
        </w:rPr>
      </w:pPr>
    </w:p>
    <w:p w:rsidR="004028BC" w:rsidRPr="00DF6A64" w:rsidRDefault="004028BC" w:rsidP="00550536">
      <w:pPr>
        <w:pStyle w:val="ManualHeading1"/>
        <w:rPr>
          <w:noProof/>
        </w:rPr>
      </w:pPr>
      <w:r w:rsidRPr="00DF6A64">
        <w:rPr>
          <w:noProof/>
        </w:rPr>
        <w:t>3.</w:t>
      </w:r>
      <w:r w:rsidRPr="00DF6A64">
        <w:rPr>
          <w:noProof/>
        </w:rPr>
        <w:tab/>
        <w:t>REZULTATI NAKNADNIH OCEN, POSVETOVANJ Z ZAINTERESIRANIMI STRANMI IN OCEN UČINKA</w:t>
      </w:r>
    </w:p>
    <w:p w:rsidR="004028BC" w:rsidRPr="00DF6A64" w:rsidRDefault="004028BC" w:rsidP="00A4693B">
      <w:pPr>
        <w:pStyle w:val="ManualHeading2"/>
        <w:rPr>
          <w:rFonts w:eastAsia="Arial Unicode MS"/>
          <w:noProof/>
          <w:u w:color="000000"/>
          <w:bdr w:val="nil"/>
        </w:rPr>
      </w:pPr>
      <w:r w:rsidRPr="00DF6A64">
        <w:rPr>
          <w:noProof/>
          <w:u w:color="000000"/>
          <w:bdr w:val="nil"/>
        </w:rPr>
        <w:t>•</w:t>
      </w:r>
      <w:r w:rsidRPr="00DF6A64">
        <w:rPr>
          <w:noProof/>
        </w:rPr>
        <w:tab/>
      </w:r>
      <w:r w:rsidRPr="00DF6A64">
        <w:rPr>
          <w:noProof/>
          <w:u w:color="000000"/>
          <w:bdr w:val="nil"/>
        </w:rPr>
        <w:t>Naknadne ocene/preverjanja ustreznosti obstoječe zakonodaje</w:t>
      </w:r>
    </w:p>
    <w:p w:rsidR="004028BC" w:rsidRPr="00DF6A64" w:rsidRDefault="004028BC" w:rsidP="004028BC">
      <w:pPr>
        <w:pBdr>
          <w:top w:val="nil"/>
          <w:left w:val="nil"/>
          <w:bottom w:val="nil"/>
          <w:right w:val="nil"/>
          <w:between w:val="nil"/>
          <w:bar w:val="nil"/>
        </w:pBdr>
        <w:spacing w:before="0" w:after="240"/>
        <w:rPr>
          <w:noProof/>
        </w:rPr>
      </w:pPr>
      <w:r w:rsidRPr="00DF6A64">
        <w:rPr>
          <w:noProof/>
        </w:rPr>
        <w:t>Za ta ukrep ni potrebna ocena obstoječe zakonodaje.</w:t>
      </w:r>
    </w:p>
    <w:p w:rsidR="004028BC" w:rsidRPr="00DF6A64" w:rsidRDefault="004028BC" w:rsidP="00A4693B">
      <w:pPr>
        <w:pStyle w:val="ManualHeading2"/>
        <w:rPr>
          <w:rFonts w:eastAsia="Arial Unicode MS"/>
          <w:noProof/>
          <w:u w:color="000000"/>
          <w:bdr w:val="nil"/>
        </w:rPr>
      </w:pPr>
      <w:r w:rsidRPr="00DF6A64">
        <w:rPr>
          <w:noProof/>
          <w:u w:color="000000"/>
          <w:bdr w:val="nil"/>
        </w:rPr>
        <w:t>•</w:t>
      </w:r>
      <w:r w:rsidRPr="00DF6A64">
        <w:rPr>
          <w:noProof/>
        </w:rPr>
        <w:tab/>
      </w:r>
      <w:r w:rsidRPr="00DF6A64">
        <w:rPr>
          <w:noProof/>
          <w:u w:color="000000"/>
          <w:bdr w:val="nil"/>
        </w:rPr>
        <w:t>Posvetovanja z deležniki</w:t>
      </w:r>
    </w:p>
    <w:p w:rsidR="004028BC" w:rsidRPr="00DF6A64" w:rsidRDefault="004028BC" w:rsidP="004028BC">
      <w:pPr>
        <w:pBdr>
          <w:top w:val="nil"/>
          <w:left w:val="nil"/>
          <w:bottom w:val="nil"/>
          <w:right w:val="nil"/>
          <w:between w:val="nil"/>
          <w:bar w:val="nil"/>
        </w:pBdr>
        <w:spacing w:before="0" w:after="240"/>
        <w:rPr>
          <w:rFonts w:eastAsia="Arial Unicode MS"/>
          <w:noProof/>
        </w:rPr>
      </w:pPr>
      <w:r w:rsidRPr="00DF6A64">
        <w:rPr>
          <w:noProof/>
        </w:rPr>
        <w:t>Ta predlog temelji na zahtevi Belgije in zadeva le to državo članico. Zato ni bilo opravljeno nobeno posvetovanje z deležniki.</w:t>
      </w:r>
    </w:p>
    <w:p w:rsidR="004028BC" w:rsidRPr="00DF6A64" w:rsidRDefault="004028BC" w:rsidP="00A4693B">
      <w:pPr>
        <w:pStyle w:val="ManualHeading2"/>
        <w:rPr>
          <w:rFonts w:eastAsia="Arial Unicode MS"/>
          <w:noProof/>
          <w:u w:color="000000"/>
          <w:bdr w:val="nil"/>
        </w:rPr>
      </w:pPr>
      <w:r w:rsidRPr="00DF6A64">
        <w:rPr>
          <w:noProof/>
          <w:u w:color="000000"/>
          <w:bdr w:val="nil"/>
        </w:rPr>
        <w:t>•</w:t>
      </w:r>
      <w:r w:rsidRPr="00DF6A64">
        <w:rPr>
          <w:noProof/>
        </w:rPr>
        <w:tab/>
      </w:r>
      <w:r w:rsidRPr="00DF6A64">
        <w:rPr>
          <w:noProof/>
          <w:u w:color="000000"/>
          <w:bdr w:val="nil"/>
        </w:rPr>
        <w:t>Zbiranje in uporaba strokovnih mnenj</w:t>
      </w:r>
    </w:p>
    <w:p w:rsidR="004028BC" w:rsidRPr="00DF6A64" w:rsidRDefault="004028BC" w:rsidP="004028BC">
      <w:pPr>
        <w:pBdr>
          <w:top w:val="nil"/>
          <w:left w:val="nil"/>
          <w:bottom w:val="nil"/>
          <w:right w:val="nil"/>
          <w:between w:val="nil"/>
          <w:bar w:val="nil"/>
        </w:pBdr>
        <w:spacing w:before="0" w:after="240"/>
        <w:rPr>
          <w:rFonts w:eastAsia="Arial Unicode MS"/>
          <w:noProof/>
        </w:rPr>
      </w:pPr>
      <w:r w:rsidRPr="00DF6A64">
        <w:rPr>
          <w:noProof/>
        </w:rPr>
        <w:t>Strokovno mnenje ni bilo potrebno.</w:t>
      </w:r>
    </w:p>
    <w:p w:rsidR="004028BC" w:rsidRPr="00DF6A64" w:rsidRDefault="004028BC" w:rsidP="00A4693B">
      <w:pPr>
        <w:pStyle w:val="ManualHeading2"/>
        <w:rPr>
          <w:rFonts w:eastAsia="Arial Unicode MS"/>
          <w:noProof/>
          <w:u w:color="000000"/>
          <w:bdr w:val="nil"/>
        </w:rPr>
      </w:pPr>
      <w:r w:rsidRPr="00DF6A64">
        <w:rPr>
          <w:noProof/>
          <w:u w:color="000000"/>
          <w:bdr w:val="nil"/>
        </w:rPr>
        <w:lastRenderedPageBreak/>
        <w:t>•</w:t>
      </w:r>
      <w:r w:rsidRPr="00DF6A64">
        <w:rPr>
          <w:noProof/>
        </w:rPr>
        <w:tab/>
      </w:r>
      <w:r w:rsidRPr="00DF6A64">
        <w:rPr>
          <w:noProof/>
          <w:u w:color="000000"/>
          <w:bdr w:val="nil"/>
        </w:rPr>
        <w:t>Ocena učinka</w:t>
      </w:r>
    </w:p>
    <w:p w:rsidR="004028BC" w:rsidRPr="00DF6A64" w:rsidRDefault="004028BC" w:rsidP="004028BC">
      <w:pPr>
        <w:pStyle w:val="Normal1"/>
        <w:jc w:val="both"/>
        <w:rPr>
          <w:noProof/>
        </w:rPr>
      </w:pPr>
      <w:r w:rsidRPr="00DF6A64">
        <w:rPr>
          <w:noProof/>
        </w:rPr>
        <w:t xml:space="preserve">Ta predlog se nanaša na dovoljenje posamezni državi članici na njeno zahtevo in ne zahteva ocene učinka. </w:t>
      </w:r>
    </w:p>
    <w:p w:rsidR="00D24578" w:rsidRPr="00DF6A64" w:rsidRDefault="004028BC" w:rsidP="00D24578">
      <w:pPr>
        <w:rPr>
          <w:noProof/>
        </w:rPr>
      </w:pPr>
      <w:r w:rsidRPr="00DF6A64">
        <w:rPr>
          <w:noProof/>
        </w:rPr>
        <w:t>Vendar, kot je navedeno zgoraj, informacije, ki jih je predložila Belgija, kažejo, da bo imel ukrep omejen učinek na davčne prihodke, davčna stopnja za električno energijo z obale pa bo še vedno nad najnižjo ravnjo obdavčitve, določeno v direktivi o obdavčitvi energije. Belgija pričakuje, da bo ukrep pozitivno vplival na doseganje njenih okoljskih ciljev. Poleg tega bo večja uporaba električne energije z obale v prihodnosti pozitivno vplivala na kakovost zraka na belgijskih pristaniških območjih, kot zahteva direktiva o kakovosti zunanjega zraka</w:t>
      </w:r>
      <w:r w:rsidRPr="00DF6A64">
        <w:rPr>
          <w:rStyle w:val="FootnoteReference"/>
          <w:rFonts w:eastAsia="Times New Roman"/>
          <w:noProof/>
          <w:szCs w:val="24"/>
          <w:lang w:eastAsia="en-IE"/>
        </w:rPr>
        <w:footnoteReference w:id="17"/>
      </w:r>
      <w:r w:rsidRPr="00DF6A64">
        <w:rPr>
          <w:noProof/>
        </w:rPr>
        <w:t>. Belgija pričakuje tudi, da bo ta ukrep zmanjšal emisije CO2, obremenitev s hrupom in emisije dušika v skladu z direktivo o habitatih</w:t>
      </w:r>
      <w:r w:rsidRPr="00DF6A64">
        <w:rPr>
          <w:rStyle w:val="FootnoteReference"/>
          <w:rFonts w:eastAsia="Times New Roman"/>
          <w:noProof/>
          <w:szCs w:val="24"/>
          <w:lang w:eastAsia="en-IE"/>
        </w:rPr>
        <w:footnoteReference w:id="18"/>
      </w:r>
      <w:r w:rsidRPr="00DF6A64">
        <w:rPr>
          <w:noProof/>
        </w:rPr>
        <w:t xml:space="preserve"> in okvirno direktivo o vodah</w:t>
      </w:r>
      <w:r w:rsidRPr="00DF6A64">
        <w:rPr>
          <w:rStyle w:val="FootnoteReference"/>
          <w:rFonts w:eastAsia="Times New Roman"/>
          <w:noProof/>
          <w:szCs w:val="24"/>
          <w:lang w:eastAsia="en-IE"/>
        </w:rPr>
        <w:footnoteReference w:id="19"/>
      </w:r>
      <w:r w:rsidRPr="00DF6A64">
        <w:rPr>
          <w:noProof/>
        </w:rPr>
        <w:t>.</w:t>
      </w:r>
    </w:p>
    <w:p w:rsidR="00D24578" w:rsidRPr="00DF6A64" w:rsidRDefault="004028BC" w:rsidP="004028BC">
      <w:pPr>
        <w:pStyle w:val="Normal1"/>
        <w:jc w:val="both"/>
        <w:rPr>
          <w:noProof/>
        </w:rPr>
      </w:pPr>
      <w:r w:rsidRPr="00DF6A64">
        <w:rPr>
          <w:noProof/>
        </w:rPr>
        <w:t>Natančneje, kot ocena davčnih izdatkov ukrepa se po navedbah belgijskih organov med uporabo ukrepa pričakujejo naslednji stroški: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D24578" w:rsidRPr="00DF6A64" w:rsidTr="00D54816">
        <w:tc>
          <w:tcPr>
            <w:tcW w:w="1589" w:type="dxa"/>
            <w:shd w:val="clear" w:color="auto" w:fill="auto"/>
          </w:tcPr>
          <w:p w:rsidR="00D24578" w:rsidRPr="00DF6A64" w:rsidRDefault="00D24578" w:rsidP="00D54816">
            <w:pPr>
              <w:rPr>
                <w:noProof/>
              </w:rPr>
            </w:pPr>
            <w:r w:rsidRPr="00DF6A64">
              <w:rPr>
                <w:noProof/>
              </w:rPr>
              <w:t>2027</w:t>
            </w:r>
          </w:p>
        </w:tc>
        <w:tc>
          <w:tcPr>
            <w:tcW w:w="2291" w:type="dxa"/>
            <w:shd w:val="clear" w:color="auto" w:fill="auto"/>
          </w:tcPr>
          <w:p w:rsidR="00D24578" w:rsidRPr="00DF6A64" w:rsidRDefault="00D24578" w:rsidP="00D54816">
            <w:pPr>
              <w:rPr>
                <w:noProof/>
              </w:rPr>
            </w:pPr>
            <w:r w:rsidRPr="00DF6A64">
              <w:rPr>
                <w:noProof/>
              </w:rPr>
              <w:t>0,14 milijona EUR</w:t>
            </w:r>
          </w:p>
        </w:tc>
      </w:tr>
      <w:tr w:rsidR="00D24578" w:rsidRPr="00DF6A64" w:rsidTr="00D54816">
        <w:tc>
          <w:tcPr>
            <w:tcW w:w="1589" w:type="dxa"/>
            <w:shd w:val="clear" w:color="auto" w:fill="auto"/>
          </w:tcPr>
          <w:p w:rsidR="00D24578" w:rsidRPr="00DF6A64" w:rsidRDefault="00D24578" w:rsidP="00D54816">
            <w:pPr>
              <w:rPr>
                <w:noProof/>
              </w:rPr>
            </w:pPr>
            <w:r w:rsidRPr="00DF6A64">
              <w:rPr>
                <w:noProof/>
              </w:rPr>
              <w:t>2028</w:t>
            </w:r>
          </w:p>
        </w:tc>
        <w:tc>
          <w:tcPr>
            <w:tcW w:w="2291" w:type="dxa"/>
            <w:shd w:val="clear" w:color="auto" w:fill="auto"/>
          </w:tcPr>
          <w:p w:rsidR="00D24578" w:rsidRPr="00DF6A64" w:rsidRDefault="00D24578" w:rsidP="00D54816">
            <w:pPr>
              <w:rPr>
                <w:noProof/>
              </w:rPr>
            </w:pPr>
            <w:r w:rsidRPr="00DF6A64">
              <w:rPr>
                <w:noProof/>
              </w:rPr>
              <w:t>0,41 milijona EUR</w:t>
            </w:r>
          </w:p>
        </w:tc>
      </w:tr>
      <w:tr w:rsidR="00D24578" w:rsidRPr="00DF6A64" w:rsidTr="00D54816">
        <w:tc>
          <w:tcPr>
            <w:tcW w:w="1589" w:type="dxa"/>
            <w:shd w:val="clear" w:color="auto" w:fill="auto"/>
          </w:tcPr>
          <w:p w:rsidR="00D24578" w:rsidRPr="00DF6A64" w:rsidRDefault="00D24578" w:rsidP="00D54816">
            <w:pPr>
              <w:rPr>
                <w:noProof/>
              </w:rPr>
            </w:pPr>
            <w:r w:rsidRPr="00DF6A64">
              <w:rPr>
                <w:noProof/>
              </w:rPr>
              <w:t>2029</w:t>
            </w:r>
          </w:p>
        </w:tc>
        <w:tc>
          <w:tcPr>
            <w:tcW w:w="2291" w:type="dxa"/>
            <w:shd w:val="clear" w:color="auto" w:fill="auto"/>
          </w:tcPr>
          <w:p w:rsidR="00D24578" w:rsidRPr="00DF6A64" w:rsidRDefault="00D24578" w:rsidP="00D54816">
            <w:pPr>
              <w:rPr>
                <w:noProof/>
              </w:rPr>
            </w:pPr>
            <w:r w:rsidRPr="00DF6A64">
              <w:rPr>
                <w:noProof/>
              </w:rPr>
              <w:t>0,62 milijona EUR</w:t>
            </w:r>
          </w:p>
        </w:tc>
      </w:tr>
      <w:tr w:rsidR="00D24578" w:rsidRPr="00DF6A64" w:rsidTr="00D54816">
        <w:tc>
          <w:tcPr>
            <w:tcW w:w="1589" w:type="dxa"/>
            <w:shd w:val="clear" w:color="auto" w:fill="auto"/>
          </w:tcPr>
          <w:p w:rsidR="00D24578" w:rsidRPr="00DF6A64" w:rsidRDefault="00D24578" w:rsidP="00D54816">
            <w:pPr>
              <w:rPr>
                <w:noProof/>
              </w:rPr>
            </w:pPr>
            <w:r w:rsidRPr="00DF6A64">
              <w:rPr>
                <w:noProof/>
              </w:rPr>
              <w:t>2030</w:t>
            </w:r>
          </w:p>
        </w:tc>
        <w:tc>
          <w:tcPr>
            <w:tcW w:w="2291" w:type="dxa"/>
            <w:shd w:val="clear" w:color="auto" w:fill="auto"/>
          </w:tcPr>
          <w:p w:rsidR="00D24578" w:rsidRPr="00DF6A64" w:rsidRDefault="00D24578" w:rsidP="00D54816">
            <w:pPr>
              <w:rPr>
                <w:noProof/>
              </w:rPr>
            </w:pPr>
            <w:r w:rsidRPr="00DF6A64">
              <w:rPr>
                <w:noProof/>
              </w:rPr>
              <w:t>1,00 milijon EUR</w:t>
            </w:r>
          </w:p>
        </w:tc>
      </w:tr>
      <w:tr w:rsidR="00D24578" w:rsidRPr="00DF6A64" w:rsidTr="00D54816">
        <w:tc>
          <w:tcPr>
            <w:tcW w:w="1589" w:type="dxa"/>
            <w:shd w:val="clear" w:color="auto" w:fill="auto"/>
          </w:tcPr>
          <w:p w:rsidR="00D24578" w:rsidRPr="00DF6A64" w:rsidRDefault="00D24578" w:rsidP="00D54816">
            <w:pPr>
              <w:rPr>
                <w:noProof/>
              </w:rPr>
            </w:pPr>
            <w:r w:rsidRPr="00DF6A64">
              <w:rPr>
                <w:noProof/>
              </w:rPr>
              <w:t>2031</w:t>
            </w:r>
          </w:p>
        </w:tc>
        <w:tc>
          <w:tcPr>
            <w:tcW w:w="2291" w:type="dxa"/>
            <w:shd w:val="clear" w:color="auto" w:fill="auto"/>
          </w:tcPr>
          <w:p w:rsidR="00D24578" w:rsidRPr="00DF6A64" w:rsidRDefault="00D24578" w:rsidP="00D54816">
            <w:pPr>
              <w:rPr>
                <w:noProof/>
              </w:rPr>
            </w:pPr>
            <w:r w:rsidRPr="00DF6A64">
              <w:rPr>
                <w:noProof/>
              </w:rPr>
              <w:t>1,09 milijona EUR</w:t>
            </w:r>
          </w:p>
        </w:tc>
      </w:tr>
      <w:tr w:rsidR="00D24578" w:rsidRPr="00DF6A64" w:rsidTr="00D54816">
        <w:tc>
          <w:tcPr>
            <w:tcW w:w="1589" w:type="dxa"/>
            <w:shd w:val="clear" w:color="auto" w:fill="auto"/>
          </w:tcPr>
          <w:p w:rsidR="00D24578" w:rsidRPr="00DF6A64" w:rsidRDefault="00D24578" w:rsidP="00D54816">
            <w:pPr>
              <w:rPr>
                <w:noProof/>
              </w:rPr>
            </w:pPr>
            <w:r w:rsidRPr="00DF6A64">
              <w:rPr>
                <w:noProof/>
              </w:rPr>
              <w:t>2032</w:t>
            </w:r>
          </w:p>
        </w:tc>
        <w:tc>
          <w:tcPr>
            <w:tcW w:w="2291" w:type="dxa"/>
            <w:shd w:val="clear" w:color="auto" w:fill="auto"/>
          </w:tcPr>
          <w:p w:rsidR="00D24578" w:rsidRPr="00DF6A64" w:rsidRDefault="00D24578" w:rsidP="00D54816">
            <w:pPr>
              <w:rPr>
                <w:noProof/>
              </w:rPr>
            </w:pPr>
            <w:r w:rsidRPr="00DF6A64">
              <w:rPr>
                <w:noProof/>
              </w:rPr>
              <w:t>1,12 milijona EUR</w:t>
            </w:r>
          </w:p>
        </w:tc>
      </w:tr>
    </w:tbl>
    <w:p w:rsidR="004028BC" w:rsidRPr="00DF6A64" w:rsidRDefault="004028BC" w:rsidP="004028BC">
      <w:pPr>
        <w:pStyle w:val="Normal1"/>
        <w:jc w:val="both"/>
        <w:rPr>
          <w:noProof/>
        </w:rPr>
      </w:pPr>
    </w:p>
    <w:p w:rsidR="004028BC" w:rsidRPr="00DF6A64" w:rsidRDefault="004028BC" w:rsidP="00A4693B">
      <w:pPr>
        <w:pStyle w:val="ManualHeading2"/>
        <w:rPr>
          <w:rFonts w:eastAsia="Arial Unicode MS"/>
          <w:noProof/>
          <w:u w:color="000000"/>
          <w:bdr w:val="nil"/>
        </w:rPr>
      </w:pPr>
      <w:r w:rsidRPr="00DF6A64">
        <w:rPr>
          <w:noProof/>
          <w:u w:color="000000"/>
          <w:bdr w:val="nil"/>
        </w:rPr>
        <w:t>•</w:t>
      </w:r>
      <w:r w:rsidRPr="00DF6A64">
        <w:rPr>
          <w:noProof/>
        </w:rPr>
        <w:tab/>
      </w:r>
      <w:r w:rsidRPr="00DF6A64">
        <w:rPr>
          <w:noProof/>
          <w:u w:color="000000"/>
          <w:bdr w:val="nil"/>
        </w:rPr>
        <w:t>Primernost in poenostavitev ureditve</w:t>
      </w:r>
    </w:p>
    <w:p w:rsidR="004028BC" w:rsidRPr="00DF6A64" w:rsidRDefault="004028BC" w:rsidP="004028BC">
      <w:pPr>
        <w:pBdr>
          <w:top w:val="nil"/>
          <w:left w:val="nil"/>
          <w:bottom w:val="nil"/>
          <w:right w:val="nil"/>
          <w:between w:val="nil"/>
          <w:bar w:val="nil"/>
        </w:pBdr>
        <w:spacing w:before="0" w:after="240"/>
        <w:rPr>
          <w:rFonts w:eastAsia="Arial Unicode MS"/>
          <w:noProof/>
        </w:rPr>
      </w:pPr>
      <w:r w:rsidRPr="00DF6A64">
        <w:rPr>
          <w:noProof/>
        </w:rPr>
        <w:t>Ukrep ne predvideva poenostavitve. Je rezultat zahtevka Belgije in zadeva le to državo članico.</w:t>
      </w:r>
    </w:p>
    <w:p w:rsidR="004028BC" w:rsidRPr="00DF6A64" w:rsidRDefault="004028BC" w:rsidP="00A4693B">
      <w:pPr>
        <w:pStyle w:val="ManualHeading2"/>
        <w:rPr>
          <w:rFonts w:eastAsia="Arial Unicode MS"/>
          <w:noProof/>
          <w:u w:color="000000"/>
          <w:bdr w:val="nil"/>
        </w:rPr>
      </w:pPr>
      <w:r w:rsidRPr="00DF6A64">
        <w:rPr>
          <w:noProof/>
          <w:u w:color="000000"/>
          <w:bdr w:val="nil"/>
        </w:rPr>
        <w:t>•</w:t>
      </w:r>
      <w:r w:rsidRPr="00DF6A64">
        <w:rPr>
          <w:noProof/>
        </w:rPr>
        <w:tab/>
      </w:r>
      <w:r w:rsidRPr="00DF6A64">
        <w:rPr>
          <w:noProof/>
          <w:u w:color="000000"/>
          <w:bdr w:val="nil"/>
        </w:rPr>
        <w:t>Temeljne pravice</w:t>
      </w:r>
    </w:p>
    <w:p w:rsidR="004028BC" w:rsidRPr="00DF6A64" w:rsidRDefault="004028BC" w:rsidP="004028BC">
      <w:pPr>
        <w:pBdr>
          <w:top w:val="nil"/>
          <w:left w:val="nil"/>
          <w:bottom w:val="nil"/>
          <w:right w:val="nil"/>
          <w:between w:val="nil"/>
          <w:bar w:val="nil"/>
        </w:pBdr>
        <w:spacing w:before="0" w:after="240"/>
        <w:rPr>
          <w:rFonts w:eastAsia="Arial Unicode MS"/>
          <w:noProof/>
        </w:rPr>
      </w:pPr>
      <w:r w:rsidRPr="00DF6A64">
        <w:rPr>
          <w:noProof/>
        </w:rPr>
        <w:t>Ukrep ne vpliva na temeljne pravice.</w:t>
      </w:r>
    </w:p>
    <w:p w:rsidR="004028BC" w:rsidRPr="00DF6A64" w:rsidRDefault="004028BC" w:rsidP="00550536">
      <w:pPr>
        <w:pStyle w:val="ManualHeading1"/>
        <w:rPr>
          <w:noProof/>
        </w:rPr>
      </w:pPr>
      <w:r w:rsidRPr="00DF6A64">
        <w:rPr>
          <w:noProof/>
        </w:rPr>
        <w:t>4.</w:t>
      </w:r>
      <w:r w:rsidRPr="00DF6A64">
        <w:rPr>
          <w:noProof/>
        </w:rPr>
        <w:tab/>
        <w:t>PRORAČUNSKE POSLEDICE</w:t>
      </w:r>
    </w:p>
    <w:p w:rsidR="004028BC" w:rsidRPr="00DF6A64" w:rsidRDefault="004028BC" w:rsidP="004028BC">
      <w:pPr>
        <w:pBdr>
          <w:top w:val="nil"/>
          <w:left w:val="nil"/>
          <w:bottom w:val="nil"/>
          <w:right w:val="nil"/>
          <w:between w:val="nil"/>
          <w:bar w:val="nil"/>
        </w:pBdr>
        <w:spacing w:before="0" w:after="240"/>
        <w:rPr>
          <w:rFonts w:eastAsia="Arial Unicode MS"/>
          <w:noProof/>
        </w:rPr>
      </w:pPr>
      <w:r w:rsidRPr="00DF6A64">
        <w:rPr>
          <w:noProof/>
        </w:rPr>
        <w:t>Ukrep ne povzroča finančne in administrativne obremenitve za Unijo. Zato predlog ne vpliva na proračun Unije.</w:t>
      </w:r>
    </w:p>
    <w:p w:rsidR="004028BC" w:rsidRPr="00DF6A64" w:rsidRDefault="004028BC" w:rsidP="00550536">
      <w:pPr>
        <w:pStyle w:val="ManualHeading1"/>
        <w:rPr>
          <w:noProof/>
        </w:rPr>
      </w:pPr>
      <w:r w:rsidRPr="00DF6A64">
        <w:rPr>
          <w:noProof/>
        </w:rPr>
        <w:lastRenderedPageBreak/>
        <w:t>5.</w:t>
      </w:r>
      <w:r w:rsidRPr="00DF6A64">
        <w:rPr>
          <w:noProof/>
        </w:rPr>
        <w:tab/>
        <w:t>DRUGI ELEMENTI</w:t>
      </w:r>
    </w:p>
    <w:p w:rsidR="004028BC" w:rsidRPr="00DF6A64" w:rsidRDefault="004028BC" w:rsidP="00A4693B">
      <w:pPr>
        <w:pStyle w:val="ManualHeading2"/>
        <w:rPr>
          <w:rFonts w:eastAsia="Arial Unicode MS"/>
          <w:noProof/>
          <w:u w:color="000000"/>
          <w:bdr w:val="nil"/>
        </w:rPr>
      </w:pPr>
      <w:r w:rsidRPr="00DF6A64">
        <w:rPr>
          <w:noProof/>
          <w:u w:color="000000"/>
          <w:bdr w:val="nil"/>
        </w:rPr>
        <w:t>•</w:t>
      </w:r>
      <w:r w:rsidRPr="00DF6A64">
        <w:rPr>
          <w:noProof/>
        </w:rPr>
        <w:tab/>
      </w:r>
      <w:r w:rsidRPr="00DF6A64">
        <w:rPr>
          <w:noProof/>
          <w:u w:color="000000"/>
          <w:bdr w:val="nil"/>
        </w:rPr>
        <w:t>Načrti za izvedbo ter ureditev spremljanja, ocenjevanja in poročanja</w:t>
      </w:r>
    </w:p>
    <w:p w:rsidR="004028BC" w:rsidRPr="00DF6A64" w:rsidRDefault="004028BC" w:rsidP="004028BC">
      <w:pPr>
        <w:pBdr>
          <w:top w:val="nil"/>
          <w:left w:val="nil"/>
          <w:bottom w:val="nil"/>
          <w:right w:val="nil"/>
          <w:between w:val="nil"/>
          <w:bar w:val="nil"/>
        </w:pBdr>
        <w:spacing w:before="0" w:after="240"/>
        <w:rPr>
          <w:rFonts w:eastAsia="Arial Unicode MS"/>
          <w:noProof/>
        </w:rPr>
      </w:pPr>
      <w:r w:rsidRPr="00DF6A64">
        <w:rPr>
          <w:noProof/>
        </w:rPr>
        <w:t>Načrt za izvedbo ni potreben. Ta predlog se nanaša na dovoljenje za znižanje davka za eno samo državo članico na njeno lastno zahtevo. Izdano je za omejeno obdobje šestih let. Uporabljena davčna stopnja bo enaka najnižji ravni obdavčitve, določeni v direktivi o obdavčitvi energije. Ukrep se lahko oceni v primeru zahtevka za podaljšanje po izteku obdobja veljavnosti.</w:t>
      </w:r>
    </w:p>
    <w:p w:rsidR="004028BC" w:rsidRPr="00DF6A64" w:rsidRDefault="004028BC" w:rsidP="00A4693B">
      <w:pPr>
        <w:pStyle w:val="ManualHeading2"/>
        <w:rPr>
          <w:rFonts w:eastAsia="Arial Unicode MS"/>
          <w:noProof/>
          <w:u w:color="000000"/>
          <w:bdr w:val="nil"/>
        </w:rPr>
      </w:pPr>
      <w:r w:rsidRPr="00DF6A64">
        <w:rPr>
          <w:noProof/>
          <w:u w:color="000000"/>
          <w:bdr w:val="nil"/>
        </w:rPr>
        <w:t>•</w:t>
      </w:r>
      <w:r w:rsidRPr="00DF6A64">
        <w:rPr>
          <w:noProof/>
        </w:rPr>
        <w:tab/>
      </w:r>
      <w:r w:rsidRPr="00DF6A64">
        <w:rPr>
          <w:noProof/>
          <w:u w:color="000000"/>
          <w:bdr w:val="nil"/>
        </w:rPr>
        <w:t>Obrazložitveni dokumenti (za direktive)</w:t>
      </w:r>
    </w:p>
    <w:p w:rsidR="004028BC" w:rsidRPr="00DF6A64" w:rsidRDefault="004028BC" w:rsidP="004028BC">
      <w:pPr>
        <w:pBdr>
          <w:top w:val="nil"/>
          <w:left w:val="nil"/>
          <w:bottom w:val="nil"/>
          <w:right w:val="nil"/>
          <w:between w:val="nil"/>
          <w:bar w:val="nil"/>
        </w:pBdr>
        <w:spacing w:before="0" w:after="240"/>
        <w:rPr>
          <w:rFonts w:eastAsia="Arial Unicode MS"/>
          <w:noProof/>
        </w:rPr>
      </w:pPr>
      <w:r w:rsidRPr="00DF6A64">
        <w:rPr>
          <w:noProof/>
        </w:rPr>
        <w:t>Za predlog niso potrebni obrazložitveni dokumenti o prenosu.</w:t>
      </w:r>
    </w:p>
    <w:p w:rsidR="004028BC" w:rsidRPr="00DF6A64" w:rsidRDefault="004028BC" w:rsidP="00A4693B">
      <w:pPr>
        <w:pStyle w:val="ManualHeading2"/>
        <w:rPr>
          <w:rFonts w:eastAsia="Arial Unicode MS"/>
          <w:noProof/>
          <w:u w:color="000000"/>
          <w:bdr w:val="nil"/>
        </w:rPr>
      </w:pPr>
      <w:r w:rsidRPr="00DF6A64">
        <w:rPr>
          <w:noProof/>
          <w:u w:color="000000"/>
          <w:bdr w:val="nil"/>
        </w:rPr>
        <w:t>•</w:t>
      </w:r>
      <w:r w:rsidRPr="00DF6A64">
        <w:rPr>
          <w:noProof/>
        </w:rPr>
        <w:tab/>
      </w:r>
      <w:r w:rsidRPr="00DF6A64">
        <w:rPr>
          <w:noProof/>
          <w:u w:color="000000"/>
          <w:bdr w:val="nil"/>
        </w:rPr>
        <w:t>Natančnejša pojasnitev posameznih določb predloga</w:t>
      </w:r>
    </w:p>
    <w:p w:rsidR="004028BC" w:rsidRPr="00DF6A64" w:rsidRDefault="004028BC" w:rsidP="004028BC">
      <w:pPr>
        <w:pBdr>
          <w:top w:val="nil"/>
          <w:left w:val="nil"/>
          <w:bottom w:val="nil"/>
          <w:right w:val="nil"/>
          <w:between w:val="nil"/>
          <w:bar w:val="nil"/>
        </w:pBdr>
        <w:spacing w:before="0" w:after="240"/>
        <w:rPr>
          <w:noProof/>
        </w:rPr>
      </w:pPr>
      <w:r w:rsidRPr="00DF6A64">
        <w:rPr>
          <w:noProof/>
        </w:rPr>
        <w:t xml:space="preserve">Člen 1 določa, da se Belgiji dovoli uporaba znižane stopnje obdavčitve za električno energijo, neposredno zagotovljeno plovilom med privezom v belgijskih pristaniščih (t. i. električno energijo z obale), razen za plovila za zasebne namene. Davčna stopnja ne sme biti manjša od 0,50 EUR/MWh, kar je najnižja raven obdavčitve električne energije za poslovno uporabo, ki jo določa Direktiva. Plovilom za zasebne namene, kot so opredeljena v členu 14(1), točka (c), drugi pododstavek, direktive o obdavčitvi energije, ne bo mogoče dobavljati električne energije po znižani stopnji. </w:t>
      </w:r>
    </w:p>
    <w:p w:rsidR="004028BC" w:rsidRPr="00DF6A64" w:rsidRDefault="004028BC" w:rsidP="004028BC">
      <w:pPr>
        <w:pStyle w:val="Normal1"/>
        <w:jc w:val="both"/>
        <w:rPr>
          <w:noProof/>
        </w:rPr>
      </w:pPr>
      <w:r w:rsidRPr="00DF6A64">
        <w:rPr>
          <w:noProof/>
        </w:rPr>
        <w:t xml:space="preserve">Člen 2 določa, da se zahtevano dovoljenje odobri z učinkom od prvega dne meseca, ki sledi mesecu, v katerem je bil Izvedbeni sklep Sveta o dovoljenju Belgiji, da uvede znižano stopnjo za električno energijo z obale, objavljen v </w:t>
      </w:r>
      <w:r w:rsidRPr="00DF6A64">
        <w:rPr>
          <w:i/>
          <w:iCs/>
          <w:noProof/>
        </w:rPr>
        <w:t>Uradnem listu Evropske unije</w:t>
      </w:r>
      <w:r w:rsidRPr="00DF6A64">
        <w:rPr>
          <w:noProof/>
        </w:rPr>
        <w:t xml:space="preserve">, v okviru najdaljšega obdobja šestih let, ki ga dovoljuje Direktiva, kot je zahtevala Belgija. </w:t>
      </w:r>
    </w:p>
    <w:p w:rsidR="004028BC" w:rsidRPr="00DF6A64" w:rsidRDefault="004028BC" w:rsidP="00D8676A">
      <w:pPr>
        <w:rPr>
          <w:noProof/>
        </w:rPr>
        <w:sectPr w:rsidR="004028BC" w:rsidRPr="00DF6A64" w:rsidSect="00DC1D3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474A03" w:rsidRDefault="00DB3055">
      <w:pPr>
        <w:pStyle w:val="Rfrenceinterinstitutionnelle"/>
        <w:rPr>
          <w:noProof/>
        </w:rPr>
      </w:pPr>
      <w:r>
        <w:rPr>
          <w:noProof/>
        </w:rPr>
        <w:lastRenderedPageBreak/>
        <w:t>2026/0142 (NLE)</w:t>
      </w:r>
    </w:p>
    <w:p w:rsidR="004028BC" w:rsidRPr="00DF6A64" w:rsidRDefault="00C700E4" w:rsidP="00C700E4">
      <w:pPr>
        <w:pStyle w:val="Statut"/>
        <w:rPr>
          <w:noProof/>
        </w:rPr>
      </w:pPr>
      <w:r w:rsidRPr="00C700E4">
        <w:rPr>
          <w:noProof/>
        </w:rPr>
        <w:t>Predlog</w:t>
      </w:r>
    </w:p>
    <w:p w:rsidR="004028BC" w:rsidRPr="00DF6A64" w:rsidRDefault="00C700E4" w:rsidP="00C700E4">
      <w:pPr>
        <w:pStyle w:val="Typedudocument"/>
        <w:rPr>
          <w:noProof/>
        </w:rPr>
      </w:pPr>
      <w:r w:rsidRPr="00C700E4">
        <w:rPr>
          <w:noProof/>
        </w:rPr>
        <w:t>IZVEDBENI SKLEP SVETA</w:t>
      </w:r>
    </w:p>
    <w:p w:rsidR="004028BC" w:rsidRPr="00DF6A64" w:rsidRDefault="00C700E4" w:rsidP="00C700E4">
      <w:pPr>
        <w:pStyle w:val="Titreobjet"/>
        <w:rPr>
          <w:noProof/>
        </w:rPr>
      </w:pPr>
      <w:r w:rsidRPr="00C700E4">
        <w:rPr>
          <w:noProof/>
        </w:rPr>
        <w:t>o dovoljenju Belgiji, da v skladu s členom 19 Direktive 2003/96/ES uporabi znižano stopnjo obdavčitve za električno energijo, neposredno zagotovljeno plovilom med privezom v pristanišču</w:t>
      </w:r>
    </w:p>
    <w:p w:rsidR="004028BC" w:rsidRPr="00DF6A64" w:rsidRDefault="004028BC" w:rsidP="00CE1658">
      <w:pPr>
        <w:pStyle w:val="Institutionquiagit"/>
        <w:rPr>
          <w:noProof/>
        </w:rPr>
      </w:pPr>
      <w:r w:rsidRPr="00DF6A64">
        <w:rPr>
          <w:noProof/>
        </w:rPr>
        <w:t>SVET EVROPSKE UNIJE JE –</w:t>
      </w:r>
    </w:p>
    <w:p w:rsidR="004028BC" w:rsidRPr="00DF6A64" w:rsidRDefault="004028BC" w:rsidP="00CE1658">
      <w:pPr>
        <w:rPr>
          <w:noProof/>
        </w:rPr>
      </w:pPr>
      <w:r w:rsidRPr="00DF6A64">
        <w:rPr>
          <w:noProof/>
        </w:rPr>
        <w:t xml:space="preserve">ob upoštevanju Pogodbe o delovanju Evropske unije, </w:t>
      </w:r>
    </w:p>
    <w:p w:rsidR="004028BC" w:rsidRPr="00DF6A64" w:rsidRDefault="004028BC" w:rsidP="00CE1658">
      <w:pPr>
        <w:rPr>
          <w:noProof/>
        </w:rPr>
      </w:pPr>
      <w:r w:rsidRPr="00DF6A64">
        <w:rPr>
          <w:noProof/>
        </w:rPr>
        <w:t xml:space="preserve">ob upoštevanju </w:t>
      </w:r>
      <w:bookmarkStart w:id="2" w:name="_Hlk225251407"/>
      <w:r w:rsidRPr="00DF6A64">
        <w:rPr>
          <w:noProof/>
        </w:rPr>
        <w:t>Direktive Sveta 2003/96/ES z dne 27. oktobra 2003 o prestrukturiranju okvira Skupnosti za obdavčitev energentov in električne energije</w:t>
      </w:r>
      <w:bookmarkEnd w:id="2"/>
      <w:r w:rsidRPr="00DF6A64">
        <w:rPr>
          <w:rStyle w:val="FootnoteReference"/>
          <w:noProof/>
        </w:rPr>
        <w:footnoteReference w:id="20"/>
      </w:r>
      <w:r w:rsidRPr="00DF6A64">
        <w:rPr>
          <w:noProof/>
        </w:rPr>
        <w:t xml:space="preserve"> ter zlasti člena 19(1), prvi odstavek, Direktive,</w:t>
      </w:r>
    </w:p>
    <w:p w:rsidR="004028BC" w:rsidRPr="00DF6A64" w:rsidRDefault="004028BC" w:rsidP="00CE1658">
      <w:pPr>
        <w:rPr>
          <w:noProof/>
        </w:rPr>
      </w:pPr>
      <w:r w:rsidRPr="00DF6A64">
        <w:rPr>
          <w:noProof/>
        </w:rPr>
        <w:t>ob upoštevanju predloga Evropske komisije,</w:t>
      </w:r>
    </w:p>
    <w:p w:rsidR="004028BC" w:rsidRPr="00DF6A64" w:rsidRDefault="004028BC" w:rsidP="00D24578">
      <w:pPr>
        <w:rPr>
          <w:noProof/>
        </w:rPr>
      </w:pPr>
      <w:r w:rsidRPr="00DF6A64">
        <w:rPr>
          <w:noProof/>
        </w:rPr>
        <w:t>ob upoštevanju naslednjega:</w:t>
      </w:r>
    </w:p>
    <w:p w:rsidR="004028BC" w:rsidRPr="00DF6A64" w:rsidRDefault="004028BC" w:rsidP="00141A65">
      <w:pPr>
        <w:pStyle w:val="ManualConsidrant"/>
        <w:rPr>
          <w:noProof/>
        </w:rPr>
      </w:pPr>
      <w:r>
        <w:rPr>
          <w:noProof/>
        </w:rPr>
        <w:t>(1)</w:t>
      </w:r>
      <w:r>
        <w:rPr>
          <w:noProof/>
        </w:rPr>
        <w:tab/>
      </w:r>
      <w:r w:rsidRPr="00DF6A64">
        <w:rPr>
          <w:noProof/>
        </w:rPr>
        <w:t>Belgija je z dopisom z dne 8. januarja 2026 zaprosila za odobritev uporabe znižane stopnje obdavčitve za električno energijo, neposredno zagotovljeno plovilom med privezom v pristanišču („električna energija z obale“), v skladu s členom 19 Direktive 2003/96/ES.</w:t>
      </w:r>
    </w:p>
    <w:p w:rsidR="004028BC" w:rsidRPr="00DF6A64" w:rsidRDefault="00216D96" w:rsidP="004028BC">
      <w:pPr>
        <w:pStyle w:val="ManualConsidrant"/>
        <w:rPr>
          <w:noProof/>
        </w:rPr>
      </w:pPr>
      <w:r>
        <w:rPr>
          <w:noProof/>
        </w:rPr>
        <w:t>(2)</w:t>
      </w:r>
      <w:r>
        <w:rPr>
          <w:noProof/>
        </w:rPr>
        <w:tab/>
      </w:r>
      <w:r w:rsidRPr="00DF6A64">
        <w:rPr>
          <w:noProof/>
        </w:rPr>
        <w:t>Z nameravano uporabo znižane davčne stopnje si Belgija prizadeva spodbujati uporabo električne energije z obale. Uporaba takšne električne energije velja za okoljsko manj škodljiv način zadovoljevanja potreb plovil po električni energiji med privezom v pristaniščih kot uporaba bunker goriv na teh plovilih.</w:t>
      </w:r>
    </w:p>
    <w:p w:rsidR="004028BC" w:rsidRPr="00DF6A64" w:rsidRDefault="004028BC" w:rsidP="004028BC">
      <w:pPr>
        <w:pStyle w:val="ManualConsidrant"/>
        <w:rPr>
          <w:noProof/>
        </w:rPr>
      </w:pPr>
      <w:r>
        <w:rPr>
          <w:noProof/>
        </w:rPr>
        <w:t>(3)</w:t>
      </w:r>
      <w:r>
        <w:rPr>
          <w:noProof/>
        </w:rPr>
        <w:tab/>
      </w:r>
      <w:r w:rsidRPr="00DF6A64">
        <w:rPr>
          <w:noProof/>
        </w:rPr>
        <w:t>Ker uporaba električne energije z obrežja preprečuje emisije onesnaževal zraka, ki izvirajo iz porabe goriv iz tankov plovil med privezom v pristanišču, izboljša kakovost zraka v lokalnem okolju pristaniških območij. Ob upoštevanju ogljične intenzivnosti proizvodnje električne energije v Belgiji se pričakuje, da se bodo zaradi uporabe električne energije z obale namesto električne energije, proizvedene z uporabo bunker goriv, nadalje zmanjšale emisije CO</w:t>
      </w:r>
      <w:r w:rsidRPr="00DF6A64">
        <w:rPr>
          <w:rStyle w:val="oj-sub"/>
          <w:noProof/>
          <w:vertAlign w:val="subscript"/>
        </w:rPr>
        <w:t>2</w:t>
      </w:r>
      <w:r w:rsidRPr="00DF6A64">
        <w:rPr>
          <w:noProof/>
        </w:rPr>
        <w:t>, druga onesnaževala zraka in hrup. Zato se pričakuje, da bo uporaba znižane stopnje obdavčitve električne energije z obale prispevala k doseganju ciljev politike Unije na področju okolja, zdravja in podnebja.</w:t>
      </w:r>
    </w:p>
    <w:p w:rsidR="004028BC" w:rsidRPr="00DF6A64" w:rsidRDefault="004028BC" w:rsidP="004028BC">
      <w:pPr>
        <w:pStyle w:val="ManualConsidrant"/>
        <w:rPr>
          <w:noProof/>
        </w:rPr>
      </w:pPr>
      <w:r>
        <w:rPr>
          <w:noProof/>
        </w:rPr>
        <w:t>(4)</w:t>
      </w:r>
      <w:r>
        <w:rPr>
          <w:noProof/>
        </w:rPr>
        <w:tab/>
      </w:r>
      <w:r w:rsidRPr="00DF6A64">
        <w:rPr>
          <w:noProof/>
        </w:rPr>
        <w:t xml:space="preserve">Dovoljenje Belgiji za uporabo znižane stopnje obdavčitve za električno energijo z obale ne presega tistega, kar je potrebno za povečanje uporabe te vrste električne energije, saj bo v večini primerov proizvodnja električne energije na krovu še naprej konkurenčnejša. Iz istega razloga in ker je sedanja stopnja uveljavitve ustrezne tehnologije na trgu razmeroma nizka, ni verjetno, da bi uporaba navedene znižane stopnje obdavčitve v svojem obdobju uporabe povzročila precejšnje izkrivljanje konkurence, zato ne bo negativno vplivala na pravilno delovanje notranjega trga. </w:t>
      </w:r>
    </w:p>
    <w:p w:rsidR="004028BC" w:rsidRPr="00DF6A64" w:rsidRDefault="004028BC" w:rsidP="004028BC">
      <w:pPr>
        <w:pStyle w:val="ManualConsidrant"/>
        <w:rPr>
          <w:noProof/>
        </w:rPr>
      </w:pPr>
      <w:r>
        <w:rPr>
          <w:noProof/>
        </w:rPr>
        <w:t>(5)</w:t>
      </w:r>
      <w:r>
        <w:rPr>
          <w:noProof/>
        </w:rPr>
        <w:tab/>
      </w:r>
      <w:r w:rsidRPr="00DF6A64">
        <w:rPr>
          <w:noProof/>
        </w:rPr>
        <w:t xml:space="preserve">V skladu s členom 19(2) Direktive 2003/96/ES je vsako dovoljenje, odobreno na podlagi člena 19(1) navedene direktive, strogo časovno omejeno. Da bi se zagotovilo, da je obdobje veljavnosti dovoljenja dovolj dolgo, da ne odvrne ustreznih </w:t>
      </w:r>
      <w:r w:rsidRPr="00DF6A64">
        <w:rPr>
          <w:noProof/>
        </w:rPr>
        <w:lastRenderedPageBreak/>
        <w:t>gospodarskih subjektov od potrebnih naložb, je primerno zahtevano dovoljenje odobriti za obdobje šestih let. Vendar bi se moralo dovoljenje prenehati uporabljati na dan začetka uporabe kakršnih koli splošnih določb o davčnih ugodnostih za električno energijo z obale, ki jih sprejme Svet na podlagi člena 113 ali katere koli druge ustrezne določbe Pogodbe, če bi se take določbe začele uporabljati v obdobju veljavnosti dovoljenja.</w:t>
      </w:r>
    </w:p>
    <w:p w:rsidR="004028BC" w:rsidRPr="00DF6A64" w:rsidRDefault="004028BC" w:rsidP="00075A7D">
      <w:pPr>
        <w:pStyle w:val="ManualConsidrant"/>
        <w:rPr>
          <w:noProof/>
        </w:rPr>
      </w:pPr>
      <w:r>
        <w:rPr>
          <w:noProof/>
        </w:rPr>
        <w:t>(6)</w:t>
      </w:r>
      <w:r>
        <w:rPr>
          <w:noProof/>
        </w:rPr>
        <w:tab/>
      </w:r>
      <w:r w:rsidRPr="00DF6A64">
        <w:rPr>
          <w:noProof/>
        </w:rPr>
        <w:t>Ta sklep ne posega v uporabo pravil Unije o državni pomoči –</w:t>
      </w:r>
    </w:p>
    <w:p w:rsidR="004028BC" w:rsidRPr="00DF6A64" w:rsidRDefault="004028BC" w:rsidP="00CE1658">
      <w:pPr>
        <w:pStyle w:val="Formuledadoption"/>
        <w:rPr>
          <w:noProof/>
        </w:rPr>
      </w:pPr>
      <w:r w:rsidRPr="00DF6A64">
        <w:rPr>
          <w:noProof/>
        </w:rPr>
        <w:t xml:space="preserve">SPREJEL NASLEDNJI SKLEP: </w:t>
      </w:r>
    </w:p>
    <w:p w:rsidR="004028BC" w:rsidRPr="00DF6A64" w:rsidRDefault="004028BC" w:rsidP="00CE1658">
      <w:pPr>
        <w:pStyle w:val="Titrearticle"/>
        <w:rPr>
          <w:noProof/>
        </w:rPr>
      </w:pPr>
      <w:r w:rsidRPr="00DF6A64">
        <w:rPr>
          <w:noProof/>
        </w:rPr>
        <w:t>Člen 1</w:t>
      </w:r>
    </w:p>
    <w:p w:rsidR="004028BC" w:rsidRPr="00DF6A64" w:rsidRDefault="00075A7D" w:rsidP="004028BC">
      <w:pPr>
        <w:rPr>
          <w:noProof/>
        </w:rPr>
      </w:pPr>
      <w:r w:rsidRPr="00DF6A64">
        <w:rPr>
          <w:noProof/>
        </w:rPr>
        <w:t>Belgiji se dovoli uporaba znižane stopnje obdavčitve za električno energijo, ki se neposredno zagotavlja plovilom med privezom v pristaniščih (v nadaljnjem besedilu: električna energija z obale), razen za plovila za zasebne namene, pod pogojem, da se upoštevajo najnižje ravni obdavčitve iz člena 10 Direktive 2003/96/ES.</w:t>
      </w:r>
    </w:p>
    <w:p w:rsidR="004028BC" w:rsidRPr="00DF6A64" w:rsidRDefault="004028BC" w:rsidP="004028BC">
      <w:pPr>
        <w:pStyle w:val="Titrearticle"/>
        <w:rPr>
          <w:noProof/>
        </w:rPr>
      </w:pPr>
      <w:r w:rsidRPr="00DF6A64">
        <w:rPr>
          <w:noProof/>
        </w:rPr>
        <w:t>Člen 2</w:t>
      </w:r>
    </w:p>
    <w:p w:rsidR="004028BC" w:rsidRPr="00DF6A64" w:rsidRDefault="004028BC" w:rsidP="004028BC">
      <w:pPr>
        <w:rPr>
          <w:noProof/>
        </w:rPr>
      </w:pPr>
      <w:r w:rsidRPr="00DF6A64">
        <w:rPr>
          <w:noProof/>
        </w:rPr>
        <w:t xml:space="preserve">Ta Sklep se uporablja šest let od prvega dne meseca, ki sledi datumu objave v </w:t>
      </w:r>
      <w:r w:rsidRPr="00DF6A64">
        <w:rPr>
          <w:i/>
          <w:iCs/>
          <w:noProof/>
        </w:rPr>
        <w:t>Uradnem listu Evropske unije</w:t>
      </w:r>
      <w:r w:rsidRPr="00DF6A64">
        <w:rPr>
          <w:noProof/>
        </w:rPr>
        <w:t>.</w:t>
      </w:r>
    </w:p>
    <w:p w:rsidR="004028BC" w:rsidRPr="00DF6A64" w:rsidRDefault="004028BC" w:rsidP="004028BC">
      <w:pPr>
        <w:rPr>
          <w:noProof/>
        </w:rPr>
      </w:pPr>
    </w:p>
    <w:p w:rsidR="004028BC" w:rsidRPr="00DF6A64" w:rsidRDefault="004028BC" w:rsidP="004028BC">
      <w:pPr>
        <w:rPr>
          <w:noProof/>
        </w:rPr>
      </w:pPr>
      <w:r w:rsidRPr="00DF6A64">
        <w:rPr>
          <w:noProof/>
        </w:rPr>
        <w:t>Če Svet na podlagi člena 113 ali katere koli druge ustrezne določbe Pogodbe o delovanju Evropske unije sprejme kakršne koli splošne določbe o davčnih ugodnostih za električno energijo z obale, ki se začnejo uporabljati v obdobju veljavnosti dovoljenja iz prvega odstavka tega člena, se ta sklep preneha uporabljati na dan začetka uporabe navedenih splošnih določb.</w:t>
      </w:r>
    </w:p>
    <w:p w:rsidR="004028BC" w:rsidRPr="00DF6A64" w:rsidRDefault="004028BC" w:rsidP="00667E18">
      <w:pPr>
        <w:pStyle w:val="Titrearticle"/>
        <w:rPr>
          <w:noProof/>
        </w:rPr>
      </w:pPr>
      <w:r w:rsidRPr="00DF6A64">
        <w:rPr>
          <w:noProof/>
        </w:rPr>
        <w:t>Člen 3</w:t>
      </w:r>
    </w:p>
    <w:p w:rsidR="004028BC" w:rsidRPr="00DF6A64" w:rsidRDefault="004028BC" w:rsidP="00CE1658">
      <w:pPr>
        <w:keepNext/>
        <w:keepLines/>
        <w:rPr>
          <w:noProof/>
        </w:rPr>
      </w:pPr>
      <w:r w:rsidRPr="00DF6A64">
        <w:rPr>
          <w:noProof/>
          <w:color w:val="000000"/>
        </w:rPr>
        <w:t>Ta sklep je naslovljen na Kraljevino Belgijo.</w:t>
      </w:r>
    </w:p>
    <w:p w:rsidR="004028BC" w:rsidRPr="00DF6A64" w:rsidRDefault="00C700E4" w:rsidP="00667E18">
      <w:pPr>
        <w:pStyle w:val="Fait"/>
        <w:rPr>
          <w:noProof/>
        </w:rPr>
      </w:pPr>
      <w:r>
        <w:rPr>
          <w:noProof/>
        </w:rPr>
        <w:t>V Bruslju,</w:t>
      </w:r>
    </w:p>
    <w:p w:rsidR="004028BC" w:rsidRPr="00DF6A64" w:rsidRDefault="004028BC" w:rsidP="00667E18">
      <w:pPr>
        <w:pStyle w:val="Institutionquisigne"/>
        <w:rPr>
          <w:noProof/>
        </w:rPr>
      </w:pPr>
      <w:r w:rsidRPr="00DF6A64">
        <w:rPr>
          <w:noProof/>
        </w:rPr>
        <w:tab/>
        <w:t>Za Svet</w:t>
      </w:r>
    </w:p>
    <w:p w:rsidR="004028BC" w:rsidRPr="00DF6A64" w:rsidRDefault="004028BC" w:rsidP="004028BC">
      <w:pPr>
        <w:pStyle w:val="Personnequisigne"/>
        <w:rPr>
          <w:noProof/>
        </w:rPr>
      </w:pPr>
      <w:r w:rsidRPr="00DF6A64">
        <w:rPr>
          <w:noProof/>
        </w:rPr>
        <w:tab/>
        <w:t>predsednik/predsednica</w:t>
      </w:r>
    </w:p>
    <w:sectPr w:rsidR="004028BC" w:rsidRPr="00DF6A64" w:rsidSect="00DC1D31">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B5F" w:rsidRDefault="00F16B5F" w:rsidP="004028BC">
      <w:pPr>
        <w:spacing w:before="0" w:after="0"/>
      </w:pPr>
      <w:r>
        <w:separator/>
      </w:r>
    </w:p>
  </w:endnote>
  <w:endnote w:type="continuationSeparator" w:id="0">
    <w:p w:rsidR="00F16B5F" w:rsidRDefault="00F16B5F" w:rsidP="004028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D31" w:rsidRPr="00DC1D31" w:rsidRDefault="00DC1D31" w:rsidP="00DC1D31">
    <w:pPr>
      <w:pStyle w:val="Footer"/>
      <w:rPr>
        <w:rFonts w:ascii="Arial" w:hAnsi="Arial" w:cs="Arial"/>
        <w:b/>
        <w:sz w:val="48"/>
      </w:rPr>
    </w:pPr>
    <w:r w:rsidRPr="00DC1D31">
      <w:rPr>
        <w:rFonts w:ascii="Arial" w:hAnsi="Arial" w:cs="Arial"/>
        <w:b/>
        <w:sz w:val="48"/>
      </w:rPr>
      <w:t>SL</w:t>
    </w:r>
    <w:r w:rsidRPr="00DC1D31">
      <w:rPr>
        <w:rFonts w:ascii="Arial" w:hAnsi="Arial" w:cs="Arial"/>
        <w:b/>
        <w:sz w:val="48"/>
      </w:rPr>
      <w:tab/>
    </w:r>
    <w:r w:rsidRPr="00DC1D31">
      <w:rPr>
        <w:rFonts w:ascii="Arial" w:hAnsi="Arial" w:cs="Arial"/>
        <w:b/>
        <w:sz w:val="48"/>
      </w:rPr>
      <w:tab/>
    </w:r>
    <w:r w:rsidRPr="00DC1D31">
      <w:tab/>
    </w:r>
    <w:r w:rsidRPr="00DC1D31">
      <w:rPr>
        <w:rFonts w:ascii="Arial" w:hAnsi="Arial" w:cs="Arial"/>
        <w:b/>
        <w:sz w:val="48"/>
      </w:rPr>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D31" w:rsidRPr="00DC1D31" w:rsidRDefault="00DC1D31" w:rsidP="00DC1D31">
    <w:pPr>
      <w:pStyle w:val="Footer"/>
      <w:rPr>
        <w:rFonts w:ascii="Arial" w:hAnsi="Arial" w:cs="Arial"/>
        <w:b/>
        <w:sz w:val="48"/>
      </w:rPr>
    </w:pPr>
    <w:r w:rsidRPr="00DC1D31">
      <w:rPr>
        <w:rFonts w:ascii="Arial" w:hAnsi="Arial" w:cs="Arial"/>
        <w:b/>
        <w:sz w:val="48"/>
      </w:rPr>
      <w:t>SL</w:t>
    </w:r>
    <w:r w:rsidRPr="00DC1D31">
      <w:rPr>
        <w:rFonts w:ascii="Arial" w:hAnsi="Arial" w:cs="Arial"/>
        <w:b/>
        <w:sz w:val="48"/>
      </w:rPr>
      <w:tab/>
    </w:r>
    <w:r w:rsidRPr="00DC1D31">
      <w:rPr>
        <w:rFonts w:ascii="Arial" w:hAnsi="Arial" w:cs="Arial"/>
        <w:b/>
        <w:sz w:val="48"/>
      </w:rPr>
      <w:tab/>
    </w:r>
    <w:r w:rsidRPr="00DC1D31">
      <w:tab/>
    </w:r>
    <w:r w:rsidRPr="00DC1D31">
      <w:rPr>
        <w:rFonts w:ascii="Arial" w:hAnsi="Arial" w:cs="Arial"/>
        <w:b/>
        <w:sz w:val="48"/>
      </w:rPr>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D31" w:rsidRDefault="00DC1D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D31" w:rsidRPr="00DC1D31" w:rsidRDefault="00DC1D31" w:rsidP="00DC1D31">
    <w:pPr>
      <w:pStyle w:val="Footer"/>
      <w:rPr>
        <w:rFonts w:ascii="Arial" w:hAnsi="Arial" w:cs="Arial"/>
        <w:b/>
        <w:sz w:val="48"/>
      </w:rPr>
    </w:pPr>
    <w:r w:rsidRPr="00DC1D31">
      <w:rPr>
        <w:rFonts w:ascii="Arial" w:hAnsi="Arial" w:cs="Arial"/>
        <w:b/>
        <w:sz w:val="48"/>
      </w:rPr>
      <w:t>SL</w:t>
    </w:r>
    <w:r w:rsidRPr="00DC1D31">
      <w:rPr>
        <w:rFonts w:ascii="Arial" w:hAnsi="Arial" w:cs="Arial"/>
        <w:b/>
        <w:sz w:val="48"/>
      </w:rPr>
      <w:tab/>
    </w:r>
    <w:r>
      <w:fldChar w:fldCharType="begin"/>
    </w:r>
    <w:r>
      <w:instrText xml:space="preserve"> PAGE  \* MERGEFORMAT </w:instrText>
    </w:r>
    <w:r>
      <w:fldChar w:fldCharType="separate"/>
    </w:r>
    <w:r w:rsidR="00667E18">
      <w:rPr>
        <w:noProof/>
      </w:rPr>
      <w:t>11</w:t>
    </w:r>
    <w:r>
      <w:fldChar w:fldCharType="end"/>
    </w:r>
    <w:r>
      <w:tab/>
    </w:r>
    <w:r w:rsidRPr="00DC1D31">
      <w:tab/>
    </w:r>
    <w:r w:rsidRPr="00DC1D31">
      <w:rPr>
        <w:rFonts w:ascii="Arial" w:hAnsi="Arial" w:cs="Arial"/>
        <w:b/>
        <w:sz w:val="48"/>
      </w:rPr>
      <w:t>SL</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D31" w:rsidRDefault="00DC1D31" w:rsidP="00DC1D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B5F" w:rsidRDefault="00F16B5F" w:rsidP="004028BC">
      <w:pPr>
        <w:spacing w:before="0" w:after="0"/>
      </w:pPr>
      <w:r>
        <w:separator/>
      </w:r>
    </w:p>
  </w:footnote>
  <w:footnote w:type="continuationSeparator" w:id="0">
    <w:p w:rsidR="00F16B5F" w:rsidRDefault="00F16B5F" w:rsidP="004028BC">
      <w:pPr>
        <w:spacing w:before="0" w:after="0"/>
      </w:pPr>
      <w:r>
        <w:continuationSeparator/>
      </w:r>
    </w:p>
  </w:footnote>
  <w:footnote w:id="1">
    <w:p w:rsidR="004028BC" w:rsidRPr="00013232" w:rsidRDefault="004028BC" w:rsidP="004028BC">
      <w:pPr>
        <w:pStyle w:val="FootnoteText"/>
      </w:pPr>
      <w:r>
        <w:rPr>
          <w:rStyle w:val="FootnoteReference"/>
        </w:rPr>
        <w:footnoteRef/>
      </w:r>
      <w:r>
        <w:tab/>
        <w:t>UL L 283, 31.10.2003, str. 51.</w:t>
      </w:r>
    </w:p>
  </w:footnote>
  <w:footnote w:id="2">
    <w:p w:rsidR="006949E6" w:rsidRPr="00013232" w:rsidRDefault="006949E6" w:rsidP="006949E6">
      <w:pPr>
        <w:pStyle w:val="FootnoteText"/>
      </w:pPr>
      <w:r>
        <w:rPr>
          <w:rStyle w:val="FootnoteReference"/>
        </w:rPr>
        <w:footnoteRef/>
      </w:r>
      <w:r>
        <w:tab/>
        <w:t>Izraz „plovila za zasebne namene“ je opredeljen v členu 14(1), točka (c), drugi pododstavek, Direktive 2003/96/ES.</w:t>
      </w:r>
    </w:p>
  </w:footnote>
  <w:footnote w:id="3">
    <w:p w:rsidR="008F1730" w:rsidRPr="008F1730" w:rsidRDefault="008F1730">
      <w:pPr>
        <w:pStyle w:val="FootnoteText"/>
      </w:pPr>
      <w:r>
        <w:rPr>
          <w:rStyle w:val="FootnoteReference"/>
        </w:rPr>
        <w:footnoteRef/>
      </w:r>
      <w:r>
        <w:tab/>
        <w:t>Direktiva 2008/50/ES Evropskega parlamenta in Sveta z dne 21. maja 2008 o kakovosti zunanjega zraka in čistejšem zraku za Evropo.</w:t>
      </w:r>
    </w:p>
  </w:footnote>
  <w:footnote w:id="4">
    <w:p w:rsidR="00114E97" w:rsidRPr="00114E97" w:rsidRDefault="00114E97">
      <w:pPr>
        <w:pStyle w:val="FootnoteText"/>
      </w:pPr>
      <w:r>
        <w:rPr>
          <w:rStyle w:val="FootnoteReference"/>
        </w:rPr>
        <w:footnoteRef/>
      </w:r>
      <w:r>
        <w:tab/>
        <w:t>Direktiva Sveta 92/43/EGS z dne 21. maja 1992 o ohranjanju naravnih habitatov ter prosto živečih živalskih in rastlinskih vrst.</w:t>
      </w:r>
    </w:p>
  </w:footnote>
  <w:footnote w:id="5">
    <w:p w:rsidR="00CC5372" w:rsidRPr="00CC5372" w:rsidRDefault="00CC5372">
      <w:pPr>
        <w:pStyle w:val="FootnoteText"/>
      </w:pPr>
      <w:r>
        <w:rPr>
          <w:rStyle w:val="FootnoteReference"/>
        </w:rPr>
        <w:footnoteRef/>
      </w:r>
      <w:r>
        <w:tab/>
        <w:t>Direktiva Evropskega parlamenta in Sveta 2000/60/ES z dne 23. oktobra 2000 o določitvi okvira za ukrepe Skupnosti na področju vodne politike.</w:t>
      </w:r>
    </w:p>
  </w:footnote>
  <w:footnote w:id="6">
    <w:p w:rsidR="00CC5372" w:rsidRPr="00CC5372" w:rsidRDefault="00CC5372">
      <w:pPr>
        <w:pStyle w:val="FootnoteText"/>
      </w:pPr>
      <w:r>
        <w:rPr>
          <w:rStyle w:val="FootnoteReference"/>
        </w:rPr>
        <w:footnoteRef/>
      </w:r>
      <w:r>
        <w:tab/>
        <w:t>Uredba (EU) 2023/1805 Evropskega parlamenta in Sveta z dne 13. septembra 2023 o uporabi obnovljivih in nizkoogljičnih goriv v pomorskem prometu ter spremembi Direktive 2009/16/ES.</w:t>
      </w:r>
    </w:p>
  </w:footnote>
  <w:footnote w:id="7">
    <w:p w:rsidR="00CC5372" w:rsidRPr="00CC5372" w:rsidRDefault="00CC5372">
      <w:pPr>
        <w:pStyle w:val="FootnoteText"/>
      </w:pPr>
      <w:r>
        <w:rPr>
          <w:rStyle w:val="FootnoteReference"/>
        </w:rPr>
        <w:footnoteRef/>
      </w:r>
      <w:r>
        <w:tab/>
        <w:t>Uredba (EU) 2023/1804 Evropskega parlamenta in Sveta z dne 13. septembra 2023 o vzpostavitvi infrastrukture za alternativna goriva ter razveljavitvi Direktive 2014/94/EU.</w:t>
      </w:r>
    </w:p>
  </w:footnote>
  <w:footnote w:id="8">
    <w:p w:rsidR="004028BC" w:rsidRPr="00D561B5" w:rsidRDefault="004028BC" w:rsidP="004028BC">
      <w:pPr>
        <w:pStyle w:val="FootnoteText"/>
      </w:pPr>
      <w:r>
        <w:rPr>
          <w:rStyle w:val="FootnoteReference"/>
        </w:rPr>
        <w:footnoteRef/>
      </w:r>
      <w:r>
        <w:tab/>
        <w:t>Priporočilo Komisije 2006/339/ES z dne 8. maja 2006 o spodbujanju uporabe električne energije z obrežja pri ladjah med privezom v pristaniščih Skupnosti (UL L 125, 12.5.2006).</w:t>
      </w:r>
    </w:p>
  </w:footnote>
  <w:footnote w:id="9">
    <w:p w:rsidR="004028BC" w:rsidRPr="00BA1275" w:rsidRDefault="004028BC" w:rsidP="004028BC">
      <w:pPr>
        <w:pStyle w:val="FootnoteText"/>
      </w:pPr>
      <w:r>
        <w:rPr>
          <w:rStyle w:val="FootnoteReference"/>
        </w:rPr>
        <w:footnoteRef/>
      </w:r>
      <w:r>
        <w:tab/>
        <w:t xml:space="preserve">COM/2021/563 final: Predlog direktive Sveta o prestrukturiranju okvira Unije za obdavčitev energentov in električne energije (prenovitev). </w:t>
      </w:r>
    </w:p>
  </w:footnote>
  <w:footnote w:id="10">
    <w:p w:rsidR="004028BC" w:rsidRPr="008F2E3C" w:rsidRDefault="004028BC" w:rsidP="004028BC">
      <w:pPr>
        <w:pStyle w:val="FootnoteText"/>
      </w:pPr>
      <w:r>
        <w:rPr>
          <w:rStyle w:val="FootnoteReference"/>
        </w:rPr>
        <w:footnoteRef/>
      </w:r>
      <w:r>
        <w:tab/>
        <w:t>Direktiva 2008/50/ES Evropskega parlamenta in Sveta z dne 21. maja 2008 o kakovosti zunanjega zraka in čistejšem zraku za Evropo (UL L 152, 11.6.2008, str. 1).</w:t>
      </w:r>
    </w:p>
  </w:footnote>
  <w:footnote w:id="11">
    <w:p w:rsidR="004028BC" w:rsidRPr="008F2E3C" w:rsidRDefault="004028BC" w:rsidP="004028BC">
      <w:pPr>
        <w:pStyle w:val="FootnoteText"/>
      </w:pPr>
      <w:r>
        <w:rPr>
          <w:rStyle w:val="FootnoteReference"/>
        </w:rPr>
        <w:footnoteRef/>
      </w:r>
      <w:r>
        <w:tab/>
        <w:t>Direktiva (EU) 2016/802 Evropskega parlamenta in Sveta z dne 11. maja 2016 glede zmanjšanja vsebnosti žvepla v nekaterih vrstah tekočega goriva (UL L 132, 21.5.2016, str. 58).</w:t>
      </w:r>
    </w:p>
  </w:footnote>
  <w:footnote w:id="12">
    <w:p w:rsidR="008F1730" w:rsidRPr="008F1730" w:rsidRDefault="008F1730">
      <w:pPr>
        <w:pStyle w:val="FootnoteText"/>
      </w:pPr>
      <w:r>
        <w:rPr>
          <w:rStyle w:val="FootnoteReference"/>
        </w:rPr>
        <w:footnoteRef/>
      </w:r>
      <w:r>
        <w:tab/>
        <w:t>Priporočilo Komisije z dne 8. maja 2006 o spodbujanju uporabe električne energije z obrežja pri ladjah med privezom v pristaniščih Skupnosti.</w:t>
      </w:r>
    </w:p>
  </w:footnote>
  <w:footnote w:id="13">
    <w:p w:rsidR="00D64422" w:rsidRPr="00D64422" w:rsidRDefault="00D64422">
      <w:pPr>
        <w:pStyle w:val="FootnoteText"/>
      </w:pPr>
      <w:r>
        <w:rPr>
          <w:rStyle w:val="FootnoteReference"/>
        </w:rPr>
        <w:footnoteRef/>
      </w:r>
      <w:r>
        <w:tab/>
        <w:t>Uredba (EU) 2023/1804 Evropskega parlamenta in Sveta z dne 13. septembra 2023 o vzpostavitvi infrastrukture za alternativna goriva ter razveljavitvi Direktive 2014/94/EU.</w:t>
      </w:r>
    </w:p>
  </w:footnote>
  <w:footnote w:id="14">
    <w:p w:rsidR="004028BC" w:rsidRPr="008F2E3C" w:rsidRDefault="004028BC" w:rsidP="004028BC">
      <w:pPr>
        <w:pStyle w:val="FootnoteText"/>
      </w:pPr>
      <w:r>
        <w:rPr>
          <w:rStyle w:val="FootnoteReference"/>
        </w:rPr>
        <w:footnoteRef/>
      </w:r>
      <w:r>
        <w:tab/>
        <w:t>Sklep Komisije C(2024) 3934 final z dne 17. junija 2024 o državni pomoči v zadevi SA.105117 (UL C, 2024/5376, 3.9.2024).</w:t>
      </w:r>
    </w:p>
  </w:footnote>
  <w:footnote w:id="15">
    <w:p w:rsidR="004028BC" w:rsidRPr="00DF633F" w:rsidRDefault="004028BC" w:rsidP="004028BC">
      <w:pPr>
        <w:pStyle w:val="FootnoteText"/>
      </w:pPr>
      <w:r>
        <w:rPr>
          <w:rStyle w:val="FootnoteReference"/>
        </w:rPr>
        <w:footnoteRef/>
      </w:r>
      <w:r>
        <w:tab/>
        <w:t>Člen 14(1)(c) Direktive 2003/96/EC.</w:t>
      </w:r>
    </w:p>
  </w:footnote>
  <w:footnote w:id="16">
    <w:p w:rsidR="000E7953" w:rsidRPr="000E7953" w:rsidRDefault="000E7953">
      <w:pPr>
        <w:pStyle w:val="FootnoteText"/>
      </w:pPr>
      <w:r>
        <w:rPr>
          <w:rStyle w:val="FootnoteReference"/>
        </w:rPr>
        <w:footnoteRef/>
      </w:r>
      <w:r>
        <w:tab/>
        <w:t>Uredba (EU) 2023/1805 Evropskega parlamenta in Sveta z dne 13. septembra 2023 o uporabi obnovljivih in nizkoogljičnih goriv v pomorskem prometu ter spremembi Direktive 2009/16/ES.</w:t>
      </w:r>
    </w:p>
  </w:footnote>
  <w:footnote w:id="17">
    <w:p w:rsidR="00E3354B" w:rsidRPr="008F1730" w:rsidRDefault="00E3354B" w:rsidP="00E3354B">
      <w:pPr>
        <w:pStyle w:val="FootnoteText"/>
      </w:pPr>
      <w:r>
        <w:rPr>
          <w:rStyle w:val="FootnoteReference"/>
        </w:rPr>
        <w:footnoteRef/>
      </w:r>
      <w:r>
        <w:tab/>
        <w:t>Direktiva 2008/50/ES Evropskega parlamenta in Sveta z dne 21. maja 2008 o kakovosti zunanjega zraka in čistejšem zraku za Evropo.</w:t>
      </w:r>
    </w:p>
  </w:footnote>
  <w:footnote w:id="18">
    <w:p w:rsidR="00E3354B" w:rsidRPr="00114E97" w:rsidRDefault="00E3354B" w:rsidP="00E3354B">
      <w:pPr>
        <w:pStyle w:val="FootnoteText"/>
      </w:pPr>
      <w:r>
        <w:rPr>
          <w:rStyle w:val="FootnoteReference"/>
        </w:rPr>
        <w:footnoteRef/>
      </w:r>
      <w:r>
        <w:tab/>
        <w:t>Direktiva Sveta 92/43/EGS z dne 21. maja 1992 o ohranjanju naravnih habitatov ter prosto živečih živalskih in rastlinskih vrst.</w:t>
      </w:r>
    </w:p>
  </w:footnote>
  <w:footnote w:id="19">
    <w:p w:rsidR="00E3354B" w:rsidRPr="00CC5372" w:rsidRDefault="00E3354B" w:rsidP="00E3354B">
      <w:pPr>
        <w:pStyle w:val="FootnoteText"/>
      </w:pPr>
      <w:r>
        <w:rPr>
          <w:rStyle w:val="FootnoteReference"/>
        </w:rPr>
        <w:footnoteRef/>
      </w:r>
      <w:r>
        <w:tab/>
        <w:t>Direktiva Evropskega parlamenta in Sveta 2000/60/ES z dne 23. oktobra 2000 o določitvi okvira za ukrepe Skupnosti na področju vodne politike.</w:t>
      </w:r>
    </w:p>
  </w:footnote>
  <w:footnote w:id="20">
    <w:p w:rsidR="004028BC" w:rsidRDefault="004028BC" w:rsidP="004028BC">
      <w:pPr>
        <w:pStyle w:val="FootnoteText"/>
      </w:pPr>
      <w:r>
        <w:rPr>
          <w:rStyle w:val="FootnoteReference"/>
        </w:rPr>
        <w:footnoteRef/>
      </w:r>
      <w:r>
        <w:tab/>
        <w:t>UL L 283, 31.10.2003, str. 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D31" w:rsidRDefault="00DC1D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D31" w:rsidRDefault="00DC1D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D32548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C14427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6DE437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4 20:43: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844EC40-39B0-401D-9578-8DA683E2E3C6"/>
    <w:docVar w:name="LW_COVERPAGE_TYPE" w:val="1"/>
    <w:docVar w:name="LW_CreatedUtc" w:val="2026-03-24T12:28:58.3289710Z"/>
    <w:docVar w:name="LW_CROSSREFERENCE" w:val="&lt;UNUSED&gt;"/>
    <w:docVar w:name="LW_DocType" w:val="COM"/>
    <w:docVar w:name="LW_EMISSION" w:val="11.6.2026"/>
    <w:docVar w:name="LW_EMISSION_ISODATE" w:val="2026-06-11"/>
    <w:docVar w:name="LW_EMISSION_LOCATION" w:val="BRX"/>
    <w:docVar w:name="LW_EMISSION_PREFIX" w:val="Bruselj,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SL"/>
    <w:docVar w:name="LW_LEVEL_OF_SENSITIVITY" w:val="Standard treatment"/>
    <w:docVar w:name="LW_NOM.INST" w:val="EVROPSKA KOMISIJA"/>
    <w:docVar w:name="LW_NOM.INST_JOINTDOC" w:val="&lt;EMPTY&gt;"/>
    <w:docVar w:name="LW_PART_NBR" w:val="1"/>
    <w:docVar w:name="LW_PART_NBR_TOTAL" w:val="1"/>
    <w:docVar w:name="LW_REF.II.NEW.CP" w:val="NLE"/>
    <w:docVar w:name="LW_REF.II.NEW.CP_NUMBER" w:val="0142"/>
    <w:docVar w:name="LW_REF.II.NEW.CP_YEAR" w:val="2026"/>
    <w:docVar w:name="LW_REF.INST.NEW" w:val="COM"/>
    <w:docVar w:name="LW_REF.INST.NEW_ADOPTED" w:val="final"/>
    <w:docVar w:name="LW_REF.INST.NEW_TEXT" w:val="(2026) 27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edlog"/>
    <w:docVar w:name="LW_SUPERTITRE" w:val="&lt;UNUSED&gt;"/>
    <w:docVar w:name="LW_TITRE.OBJ.CP" w:val="o dovoljenju Belgiji, da v skladu s \u269?lenom 19 Direktive 2003/96/ES uporabi zni\u382?ano stopnjo obdav\u269?itve za elektri\u269?no energijo, neposredno zagotovljeno plovilom med privezom v pristani\u353?\u269?u"/>
    <w:docVar w:name="LW_TYPE.DOC.CP" w:val="IZVEDBENI SKLEP SVETA"/>
    <w:docVar w:name="LwApiVersions" w:val="LW4CoDe 1.24.5.0; LW 9.2, Build 20251112"/>
  </w:docVars>
  <w:rsids>
    <w:rsidRoot w:val="004028BC"/>
    <w:rsid w:val="00014B27"/>
    <w:rsid w:val="00034FBB"/>
    <w:rsid w:val="00037B5F"/>
    <w:rsid w:val="000473B0"/>
    <w:rsid w:val="00054DEB"/>
    <w:rsid w:val="000573CA"/>
    <w:rsid w:val="00075A7D"/>
    <w:rsid w:val="000765B1"/>
    <w:rsid w:val="00094A13"/>
    <w:rsid w:val="000970A5"/>
    <w:rsid w:val="000E7953"/>
    <w:rsid w:val="001065F5"/>
    <w:rsid w:val="00107C82"/>
    <w:rsid w:val="00112834"/>
    <w:rsid w:val="00114E97"/>
    <w:rsid w:val="001238EF"/>
    <w:rsid w:val="00127792"/>
    <w:rsid w:val="001344AA"/>
    <w:rsid w:val="00141A65"/>
    <w:rsid w:val="00144EC1"/>
    <w:rsid w:val="001522D4"/>
    <w:rsid w:val="00197613"/>
    <w:rsid w:val="001B2978"/>
    <w:rsid w:val="001C4867"/>
    <w:rsid w:val="001D618B"/>
    <w:rsid w:val="001E0867"/>
    <w:rsid w:val="001E458E"/>
    <w:rsid w:val="001E5758"/>
    <w:rsid w:val="001E6863"/>
    <w:rsid w:val="00215224"/>
    <w:rsid w:val="00216D96"/>
    <w:rsid w:val="00233DC7"/>
    <w:rsid w:val="00241088"/>
    <w:rsid w:val="00244E25"/>
    <w:rsid w:val="00247779"/>
    <w:rsid w:val="00285BEE"/>
    <w:rsid w:val="00287310"/>
    <w:rsid w:val="0029533F"/>
    <w:rsid w:val="002A1E28"/>
    <w:rsid w:val="002A3F7C"/>
    <w:rsid w:val="002B30AF"/>
    <w:rsid w:val="002B429A"/>
    <w:rsid w:val="002D235D"/>
    <w:rsid w:val="002F02EA"/>
    <w:rsid w:val="003051C3"/>
    <w:rsid w:val="0033344A"/>
    <w:rsid w:val="0037796E"/>
    <w:rsid w:val="0038338C"/>
    <w:rsid w:val="003B43E1"/>
    <w:rsid w:val="003C3EF5"/>
    <w:rsid w:val="003D0005"/>
    <w:rsid w:val="003D24C1"/>
    <w:rsid w:val="003F19AD"/>
    <w:rsid w:val="003F558D"/>
    <w:rsid w:val="004028BC"/>
    <w:rsid w:val="00403207"/>
    <w:rsid w:val="0041160C"/>
    <w:rsid w:val="0042648E"/>
    <w:rsid w:val="00434B4F"/>
    <w:rsid w:val="00474A03"/>
    <w:rsid w:val="004936D2"/>
    <w:rsid w:val="0049667D"/>
    <w:rsid w:val="004A2EAE"/>
    <w:rsid w:val="004B0C14"/>
    <w:rsid w:val="004B45D4"/>
    <w:rsid w:val="00516AA2"/>
    <w:rsid w:val="00525A94"/>
    <w:rsid w:val="00531696"/>
    <w:rsid w:val="00561E3E"/>
    <w:rsid w:val="005A65FB"/>
    <w:rsid w:val="005B1EB6"/>
    <w:rsid w:val="005B2087"/>
    <w:rsid w:val="005B572B"/>
    <w:rsid w:val="005B733D"/>
    <w:rsid w:val="005B7BA1"/>
    <w:rsid w:val="005D1F90"/>
    <w:rsid w:val="005D3513"/>
    <w:rsid w:val="005F01CF"/>
    <w:rsid w:val="005F7522"/>
    <w:rsid w:val="00603DD3"/>
    <w:rsid w:val="00613A28"/>
    <w:rsid w:val="00637BC1"/>
    <w:rsid w:val="00661438"/>
    <w:rsid w:val="00667E18"/>
    <w:rsid w:val="0067227B"/>
    <w:rsid w:val="0067709E"/>
    <w:rsid w:val="006949E6"/>
    <w:rsid w:val="006A4B45"/>
    <w:rsid w:val="006B4A31"/>
    <w:rsid w:val="006D2A02"/>
    <w:rsid w:val="006E311C"/>
    <w:rsid w:val="006E3BF6"/>
    <w:rsid w:val="007122C5"/>
    <w:rsid w:val="00741513"/>
    <w:rsid w:val="0074403A"/>
    <w:rsid w:val="00753E4F"/>
    <w:rsid w:val="00755B14"/>
    <w:rsid w:val="00773331"/>
    <w:rsid w:val="00782B23"/>
    <w:rsid w:val="007932EF"/>
    <w:rsid w:val="00794805"/>
    <w:rsid w:val="007A6295"/>
    <w:rsid w:val="007E05B0"/>
    <w:rsid w:val="007E1A09"/>
    <w:rsid w:val="007F03C3"/>
    <w:rsid w:val="008028B9"/>
    <w:rsid w:val="00820822"/>
    <w:rsid w:val="0082101B"/>
    <w:rsid w:val="008307AC"/>
    <w:rsid w:val="00861C74"/>
    <w:rsid w:val="00874D22"/>
    <w:rsid w:val="008819D8"/>
    <w:rsid w:val="008853CD"/>
    <w:rsid w:val="008A2914"/>
    <w:rsid w:val="008C1D4C"/>
    <w:rsid w:val="008C3B39"/>
    <w:rsid w:val="008C66D1"/>
    <w:rsid w:val="008C6F60"/>
    <w:rsid w:val="008E4D8E"/>
    <w:rsid w:val="008F1730"/>
    <w:rsid w:val="008F1A6D"/>
    <w:rsid w:val="009071E3"/>
    <w:rsid w:val="0091123E"/>
    <w:rsid w:val="009207B5"/>
    <w:rsid w:val="00925A3C"/>
    <w:rsid w:val="009326FA"/>
    <w:rsid w:val="00947BCB"/>
    <w:rsid w:val="00972D0F"/>
    <w:rsid w:val="0098612E"/>
    <w:rsid w:val="009935A8"/>
    <w:rsid w:val="00994181"/>
    <w:rsid w:val="00A06BEA"/>
    <w:rsid w:val="00A46715"/>
    <w:rsid w:val="00A83C78"/>
    <w:rsid w:val="00A945D9"/>
    <w:rsid w:val="00A94F4F"/>
    <w:rsid w:val="00AA4DF7"/>
    <w:rsid w:val="00AC3537"/>
    <w:rsid w:val="00AF67A8"/>
    <w:rsid w:val="00B24987"/>
    <w:rsid w:val="00B32FF4"/>
    <w:rsid w:val="00B40D70"/>
    <w:rsid w:val="00B46EF0"/>
    <w:rsid w:val="00B60E10"/>
    <w:rsid w:val="00B73EC8"/>
    <w:rsid w:val="00B76FEB"/>
    <w:rsid w:val="00B85936"/>
    <w:rsid w:val="00B96245"/>
    <w:rsid w:val="00BA33C1"/>
    <w:rsid w:val="00BA4944"/>
    <w:rsid w:val="00BC0C45"/>
    <w:rsid w:val="00C077D2"/>
    <w:rsid w:val="00C12301"/>
    <w:rsid w:val="00C31D66"/>
    <w:rsid w:val="00C36029"/>
    <w:rsid w:val="00C46E2A"/>
    <w:rsid w:val="00C52BC1"/>
    <w:rsid w:val="00C5592C"/>
    <w:rsid w:val="00C700E4"/>
    <w:rsid w:val="00CC5372"/>
    <w:rsid w:val="00CE3B7A"/>
    <w:rsid w:val="00CF2493"/>
    <w:rsid w:val="00CF261A"/>
    <w:rsid w:val="00D15035"/>
    <w:rsid w:val="00D20381"/>
    <w:rsid w:val="00D24578"/>
    <w:rsid w:val="00D40FA1"/>
    <w:rsid w:val="00D45A98"/>
    <w:rsid w:val="00D55B00"/>
    <w:rsid w:val="00D64422"/>
    <w:rsid w:val="00D653F4"/>
    <w:rsid w:val="00D75F17"/>
    <w:rsid w:val="00DA3A03"/>
    <w:rsid w:val="00DA7FC3"/>
    <w:rsid w:val="00DC1D31"/>
    <w:rsid w:val="00DF6A64"/>
    <w:rsid w:val="00E16BEF"/>
    <w:rsid w:val="00E3354B"/>
    <w:rsid w:val="00E40599"/>
    <w:rsid w:val="00E57C2C"/>
    <w:rsid w:val="00E664ED"/>
    <w:rsid w:val="00E674D7"/>
    <w:rsid w:val="00E72F00"/>
    <w:rsid w:val="00EB5D75"/>
    <w:rsid w:val="00ED7136"/>
    <w:rsid w:val="00EE1491"/>
    <w:rsid w:val="00EF3095"/>
    <w:rsid w:val="00F07FB5"/>
    <w:rsid w:val="00F16B5F"/>
    <w:rsid w:val="00F278FE"/>
    <w:rsid w:val="00F45B8E"/>
    <w:rsid w:val="00F63DB1"/>
    <w:rsid w:val="00F7468C"/>
    <w:rsid w:val="00F81469"/>
    <w:rsid w:val="00F91F14"/>
    <w:rsid w:val="00FB758D"/>
    <w:rsid w:val="00FC38F8"/>
    <w:rsid w:val="00FF30D3"/>
    <w:rsid w:val="00FF5662"/>
    <w:rsid w:val="00FF599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106903B-E3BA-4DB0-9454-C3918BFC1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sl-SI"/>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4028BC"/>
    <w:pPr>
      <w:numPr>
        <w:numId w:val="1"/>
      </w:numPr>
      <w:tabs>
        <w:tab w:val="clear" w:pos="360"/>
      </w:tabs>
      <w:ind w:left="0" w:firstLine="0"/>
    </w:pPr>
    <w:rPr>
      <w:rFonts w:eastAsia="Times New Roman"/>
      <w:lang w:eastAsia="en-GB"/>
    </w:rPr>
  </w:style>
  <w:style w:type="character" w:customStyle="1" w:styleId="oj-sub">
    <w:name w:val="oj-sub"/>
    <w:basedOn w:val="DefaultParagraphFont"/>
    <w:rsid w:val="004028BC"/>
  </w:style>
  <w:style w:type="paragraph" w:customStyle="1" w:styleId="Normal1">
    <w:name w:val="Normal1"/>
    <w:basedOn w:val="Normal"/>
    <w:rsid w:val="004028BC"/>
    <w:pPr>
      <w:spacing w:before="100" w:beforeAutospacing="1" w:after="100" w:afterAutospacing="1"/>
      <w:jc w:val="left"/>
    </w:pPr>
    <w:rPr>
      <w:rFonts w:eastAsia="Times New Roman"/>
      <w:szCs w:val="24"/>
      <w:lang w:eastAsia="en-IE"/>
    </w:rPr>
  </w:style>
  <w:style w:type="character" w:customStyle="1" w:styleId="tab">
    <w:name w:val="tab"/>
    <w:basedOn w:val="DefaultParagraphFont"/>
    <w:rsid w:val="004028BC"/>
  </w:style>
  <w:style w:type="character" w:styleId="Hyperlink">
    <w:name w:val="Hyperlink"/>
    <w:basedOn w:val="DefaultParagraphFont"/>
    <w:uiPriority w:val="99"/>
    <w:unhideWhenUsed/>
    <w:rsid w:val="00B24987"/>
    <w:rPr>
      <w:color w:val="0000FF" w:themeColor="hyperlink"/>
      <w:u w:val="single"/>
    </w:rPr>
  </w:style>
  <w:style w:type="character" w:styleId="CommentReference">
    <w:name w:val="annotation reference"/>
    <w:basedOn w:val="DefaultParagraphFont"/>
    <w:uiPriority w:val="99"/>
    <w:semiHidden/>
    <w:unhideWhenUsed/>
    <w:rsid w:val="00B2498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sl-SI"/>
    </w:rPr>
  </w:style>
  <w:style w:type="paragraph" w:styleId="ListBullet2">
    <w:name w:val="List Bullet 2"/>
    <w:basedOn w:val="Normal"/>
    <w:uiPriority w:val="99"/>
    <w:semiHidden/>
    <w:unhideWhenUsed/>
    <w:rsid w:val="00525A94"/>
    <w:pPr>
      <w:numPr>
        <w:numId w:val="2"/>
      </w:numPr>
      <w:contextualSpacing/>
    </w:pPr>
  </w:style>
  <w:style w:type="paragraph" w:styleId="ListBullet3">
    <w:name w:val="List Bullet 3"/>
    <w:basedOn w:val="Normal"/>
    <w:uiPriority w:val="99"/>
    <w:semiHidden/>
    <w:unhideWhenUsed/>
    <w:rsid w:val="00525A94"/>
    <w:pPr>
      <w:numPr>
        <w:numId w:val="3"/>
      </w:numPr>
      <w:contextualSpacing/>
    </w:pPr>
  </w:style>
  <w:style w:type="paragraph" w:styleId="ListBullet4">
    <w:name w:val="List Bullet 4"/>
    <w:basedOn w:val="Normal"/>
    <w:uiPriority w:val="99"/>
    <w:semiHidden/>
    <w:unhideWhenUsed/>
    <w:rsid w:val="00525A94"/>
    <w:pPr>
      <w:numPr>
        <w:numId w:val="4"/>
      </w:numPr>
      <w:contextualSpacing/>
    </w:pPr>
  </w:style>
  <w:style w:type="paragraph" w:styleId="Revision">
    <w:name w:val="Revision"/>
    <w:hidden/>
    <w:uiPriority w:val="99"/>
    <w:semiHidden/>
    <w:rsid w:val="006B4A31"/>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6B4A31"/>
    <w:rPr>
      <w:b/>
      <w:bCs/>
    </w:rPr>
  </w:style>
  <w:style w:type="character" w:customStyle="1" w:styleId="CommentSubjectChar">
    <w:name w:val="Comment Subject Char"/>
    <w:basedOn w:val="CommentTextChar"/>
    <w:link w:val="CommentSubject"/>
    <w:uiPriority w:val="99"/>
    <w:semiHidden/>
    <w:rsid w:val="006B4A31"/>
    <w:rPr>
      <w:rFonts w:ascii="Times New Roman" w:hAnsi="Times New Roman" w:cs="Times New Roman"/>
      <w:b/>
      <w:bCs/>
      <w:sz w:val="20"/>
      <w:szCs w:val="20"/>
      <w:lang w:val="sl-SI"/>
    </w:rPr>
  </w:style>
  <w:style w:type="character" w:customStyle="1" w:styleId="UnresolvedMention">
    <w:name w:val="Unresolved Mention"/>
    <w:basedOn w:val="DefaultParagraphFont"/>
    <w:uiPriority w:val="99"/>
    <w:semiHidden/>
    <w:unhideWhenUsed/>
    <w:rsid w:val="00820822"/>
    <w:rPr>
      <w:color w:val="605E5C"/>
      <w:shd w:val="clear" w:color="auto" w:fill="E1DFDD"/>
    </w:rPr>
  </w:style>
  <w:style w:type="character" w:customStyle="1" w:styleId="HeaderChar">
    <w:name w:val="Header Char"/>
    <w:basedOn w:val="DefaultParagraphFont"/>
    <w:link w:val="Header"/>
    <w:uiPriority w:val="99"/>
    <w:rsid w:val="00DC1D31"/>
    <w:rPr>
      <w:rFonts w:ascii="Times New Roman" w:hAnsi="Times New Roman" w:cs="Times New Roman"/>
      <w:sz w:val="24"/>
      <w:lang w:val="sl-SI"/>
    </w:rPr>
  </w:style>
  <w:style w:type="character" w:customStyle="1" w:styleId="FooterChar">
    <w:name w:val="Footer Char"/>
    <w:basedOn w:val="DefaultParagraphFont"/>
    <w:link w:val="Footer"/>
    <w:uiPriority w:val="99"/>
    <w:rsid w:val="00DC1D31"/>
    <w:rPr>
      <w:rFonts w:ascii="Times New Roman" w:hAnsi="Times New Roman" w:cs="Times New Roman"/>
      <w:sz w:val="24"/>
      <w:lang w:val="sl-SI"/>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sl-SI"/>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sl-SI"/>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sl-SI"/>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sl-SI"/>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sl-SI"/>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sl-SI"/>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sl-SI"/>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C1D3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C1D31"/>
    <w:pPr>
      <w:spacing w:before="0"/>
      <w:jc w:val="right"/>
    </w:pPr>
    <w:rPr>
      <w:sz w:val="28"/>
    </w:rPr>
  </w:style>
  <w:style w:type="paragraph" w:customStyle="1" w:styleId="FooterSensitivity">
    <w:name w:val="Footer Sensitivity"/>
    <w:basedOn w:val="Normal"/>
    <w:rsid w:val="00DC1D3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C1D31"/>
    <w:pPr>
      <w:tabs>
        <w:tab w:val="center" w:pos="4535"/>
        <w:tab w:val="right" w:pos="9071"/>
      </w:tabs>
      <w:spacing w:before="0"/>
    </w:pPr>
  </w:style>
  <w:style w:type="paragraph" w:customStyle="1" w:styleId="HeaderLandscape">
    <w:name w:val="HeaderLandscape"/>
    <w:basedOn w:val="Normal"/>
    <w:rsid w:val="00DC1D31"/>
    <w:pPr>
      <w:tabs>
        <w:tab w:val="center" w:pos="7285"/>
        <w:tab w:val="right" w:pos="14003"/>
      </w:tabs>
      <w:spacing w:before="0"/>
    </w:pPr>
  </w:style>
  <w:style w:type="paragraph" w:styleId="Footer">
    <w:name w:val="footer"/>
    <w:basedOn w:val="Normal"/>
    <w:link w:val="FooterChar"/>
    <w:uiPriority w:val="99"/>
    <w:unhideWhenUsed/>
    <w:rsid w:val="00DC1D3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C1D3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249280">
      <w:bodyDiv w:val="1"/>
      <w:marLeft w:val="0"/>
      <w:marRight w:val="0"/>
      <w:marTop w:val="0"/>
      <w:marBottom w:val="0"/>
      <w:divBdr>
        <w:top w:val="none" w:sz="0" w:space="0" w:color="auto"/>
        <w:left w:val="none" w:sz="0" w:space="0" w:color="auto"/>
        <w:bottom w:val="none" w:sz="0" w:space="0" w:color="auto"/>
        <w:right w:val="none" w:sz="0" w:space="0" w:color="auto"/>
      </w:divBdr>
    </w:div>
    <w:div w:id="79529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016CB-EEA0-4CEC-92B7-2DBA80EDE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6FA630-2628-44B1-A0D0-1BC38A7674DB}">
  <ds:schemaRefs>
    <ds:schemaRef ds:uri="http://schemas.microsoft.com/sharepoint/v3/contenttype/forms"/>
  </ds:schemaRefs>
</ds:datastoreItem>
</file>

<file path=customXml/itemProps3.xml><?xml version="1.0" encoding="utf-8"?>
<ds:datastoreItem xmlns:ds="http://schemas.openxmlformats.org/officeDocument/2006/customXml" ds:itemID="{8F334B60-3A74-4A7B-A04E-993EF54C7C24}">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9BCA45E3-C63B-4E8B-9CBE-2CF652484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14</TotalTime>
  <Pages>12</Pages>
  <Words>3820</Words>
  <Characters>21774</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28</cp:revision>
  <dcterms:created xsi:type="dcterms:W3CDTF">2026-05-19T16:28:00Z</dcterms:created>
  <dcterms:modified xsi:type="dcterms:W3CDTF">2026-06-04T18:43:00Z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2026-03-24T12:47:24Z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992db4a0-df37-4b1a-be91-8f5eedd7e4ae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y name="OP_sanitized" fmtid="{D5CDD505-2E9C-101B-9397-08002B2CF9AE}" pid="21">
    <vt:lpwstr>True</vt:lpwstr>
  </property>
</Properties>
</file>