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D6679" w14:textId="120C9737" w:rsidR="0029533F" w:rsidRPr="00233379" w:rsidRDefault="006B29DF" w:rsidP="006B29DF">
      <w:pPr>
        <w:pStyle w:val="Pagedecouverture"/>
        <w:rPr>
          <w:noProof/>
        </w:rPr>
      </w:pPr>
      <w:r>
        <w:rPr>
          <w:noProof/>
        </w:rPr>
        <w:pict w14:anchorId="79AAFC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B4843ECF-B957-4CD0-B72A-056BE09C270F" style="width:455.25pt;height:408.75pt">
            <v:imagedata r:id="rId11" o:title=""/>
          </v:shape>
        </w:pict>
      </w:r>
    </w:p>
    <w:p w14:paraId="38F0F38B" w14:textId="77777777" w:rsidR="00C30257" w:rsidRPr="00233379" w:rsidRDefault="00C30257">
      <w:pPr>
        <w:rPr>
          <w:noProof/>
        </w:rPr>
        <w:sectPr w:rsidR="00C30257" w:rsidRPr="00233379" w:rsidSect="006B29DF">
          <w:footerReference w:type="even" r:id="rId12"/>
          <w:footerReference w:type="default" r:id="rId13"/>
          <w:pgSz w:w="11907" w:h="16839"/>
          <w:pgMar w:top="1134" w:right="1417" w:bottom="1134" w:left="1417" w:header="709" w:footer="709" w:gutter="0"/>
          <w:pgNumType w:start="0"/>
          <w:cols w:space="720"/>
          <w:docGrid w:linePitch="360"/>
        </w:sectPr>
      </w:pPr>
    </w:p>
    <w:p w14:paraId="73546804" w14:textId="52D2FA4C" w:rsidR="00477354" w:rsidRPr="00233379" w:rsidRDefault="00233379" w:rsidP="00233379">
      <w:pPr>
        <w:pStyle w:val="Rfrenceinterinstitutionnelle"/>
        <w:rPr>
          <w:noProof/>
        </w:rPr>
      </w:pPr>
      <w:bookmarkStart w:id="0" w:name="_GoBack"/>
      <w:bookmarkEnd w:id="0"/>
      <w:r>
        <w:rPr>
          <w:noProof/>
        </w:rPr>
        <w:lastRenderedPageBreak/>
        <w:t>2023/0115 (COD)</w:t>
      </w:r>
    </w:p>
    <w:p w14:paraId="0EBBEF32" w14:textId="02D1C855" w:rsidR="00C30257" w:rsidRPr="00233379" w:rsidRDefault="00233379" w:rsidP="00233379">
      <w:pPr>
        <w:pStyle w:val="Typedudocument"/>
        <w:rPr>
          <w:noProof/>
        </w:rPr>
      </w:pPr>
      <w:r w:rsidRPr="00233379">
        <w:rPr>
          <w:noProof/>
        </w:rPr>
        <w:t>SPOROČILO KOMISIJE</w:t>
      </w:r>
      <w:r w:rsidRPr="00233379">
        <w:rPr>
          <w:noProof/>
        </w:rPr>
        <w:br/>
        <w:t>EVROPSKEMU PARLAMENTU</w:t>
      </w:r>
      <w:r w:rsidRPr="00233379">
        <w:rPr>
          <w:noProof/>
        </w:rPr>
        <w:br/>
      </w:r>
      <w:r w:rsidRPr="00233379">
        <w:rPr>
          <w:noProof/>
        </w:rPr>
        <w:br/>
        <w:t xml:space="preserve">v skladu s členom 294(6) Pogodbe o delovanju Evropske unije </w:t>
      </w:r>
      <w:r w:rsidRPr="00233379">
        <w:rPr>
          <w:noProof/>
        </w:rPr>
        <w:br/>
      </w:r>
      <w:r w:rsidRPr="00233379">
        <w:rPr>
          <w:noProof/>
        </w:rPr>
        <w:br/>
        <w:t>v zvezi s</w:t>
      </w:r>
    </w:p>
    <w:p w14:paraId="5AD40084" w14:textId="0A16C412" w:rsidR="00C30257" w:rsidRPr="00233379" w:rsidRDefault="00233379" w:rsidP="00233379">
      <w:pPr>
        <w:pStyle w:val="Titreobjet"/>
        <w:rPr>
          <w:noProof/>
        </w:rPr>
      </w:pPr>
      <w:r w:rsidRPr="00233379">
        <w:rPr>
          <w:noProof/>
        </w:rPr>
        <w:t>stališčem Sveta o sprejetju direktive Evropskega parlamenta in Sveta o spremembi Direktive 2014/49/EU glede obsega zaščite vlog, uporabe sredstev sistemov jamstva za vloge, čezmejnega sodelovanja in preglednosti</w:t>
      </w:r>
    </w:p>
    <w:p w14:paraId="1224C05E" w14:textId="319C4343" w:rsidR="00C30257" w:rsidRPr="00233379" w:rsidRDefault="00233379" w:rsidP="00233379">
      <w:pPr>
        <w:pStyle w:val="IntrtEEE"/>
        <w:rPr>
          <w:noProof/>
        </w:rPr>
      </w:pPr>
      <w:r w:rsidRPr="00233379">
        <w:rPr>
          <w:noProof/>
        </w:rPr>
        <w:t>(Besedilo velja za EGP)</w:t>
      </w:r>
    </w:p>
    <w:p w14:paraId="26F485A8" w14:textId="77777777" w:rsidR="00C30257" w:rsidRPr="00233379" w:rsidRDefault="00C30257" w:rsidP="001704B9">
      <w:pPr>
        <w:pStyle w:val="ManualHeading1"/>
        <w:rPr>
          <w:noProof/>
          <w:sz w:val="22"/>
        </w:rPr>
      </w:pPr>
      <w:r w:rsidRPr="00233379">
        <w:rPr>
          <w:noProof/>
        </w:rPr>
        <w:t>1.</w:t>
      </w:r>
      <w:r w:rsidRPr="00233379">
        <w:rPr>
          <w:noProof/>
        </w:rPr>
        <w:tab/>
        <w:t>Ozadje</w:t>
      </w:r>
    </w:p>
    <w:tbl>
      <w:tblPr>
        <w:tblW w:w="0" w:type="auto"/>
        <w:tblLayout w:type="fixed"/>
        <w:tblLook w:val="0000" w:firstRow="0" w:lastRow="0" w:firstColumn="0" w:lastColumn="0" w:noHBand="0" w:noVBand="0"/>
      </w:tblPr>
      <w:tblGrid>
        <w:gridCol w:w="6804"/>
        <w:gridCol w:w="2483"/>
      </w:tblGrid>
      <w:tr w:rsidR="00C30257" w:rsidRPr="00233379" w14:paraId="648C50FA" w14:textId="77777777" w:rsidTr="00FC48CE">
        <w:tc>
          <w:tcPr>
            <w:tcW w:w="6804" w:type="dxa"/>
          </w:tcPr>
          <w:p w14:paraId="0DB837A8" w14:textId="039ADC5B" w:rsidR="00C30257" w:rsidRPr="00233379" w:rsidRDefault="00C30257" w:rsidP="00FC48CE">
            <w:pPr>
              <w:jc w:val="left"/>
              <w:rPr>
                <w:noProof/>
              </w:rPr>
            </w:pPr>
            <w:r w:rsidRPr="00233379">
              <w:rPr>
                <w:noProof/>
              </w:rPr>
              <w:t xml:space="preserve">Datum predložitve predloga Evropskemu parlamentu in Svetu </w:t>
            </w:r>
            <w:r w:rsidRPr="00233379">
              <w:rPr>
                <w:noProof/>
              </w:rPr>
              <w:br/>
              <w:t>(dokument COM(2023) 228 final – 2023/0115 COD):</w:t>
            </w:r>
          </w:p>
        </w:tc>
        <w:tc>
          <w:tcPr>
            <w:tcW w:w="2483" w:type="dxa"/>
          </w:tcPr>
          <w:p w14:paraId="6F3BCF4B" w14:textId="77777777" w:rsidR="00C30257" w:rsidRPr="00233379" w:rsidRDefault="009F5CDB" w:rsidP="00FC48CE">
            <w:pPr>
              <w:jc w:val="left"/>
              <w:rPr>
                <w:noProof/>
              </w:rPr>
            </w:pPr>
            <w:r w:rsidRPr="00233379">
              <w:rPr>
                <w:noProof/>
              </w:rPr>
              <w:t>19. april 2023.</w:t>
            </w:r>
          </w:p>
        </w:tc>
      </w:tr>
      <w:tr w:rsidR="00C30257" w:rsidRPr="00233379" w14:paraId="1CA11ABA" w14:textId="77777777" w:rsidTr="00FC48CE">
        <w:tc>
          <w:tcPr>
            <w:tcW w:w="6804" w:type="dxa"/>
          </w:tcPr>
          <w:p w14:paraId="760B73D7" w14:textId="77777777" w:rsidR="00C30257" w:rsidRPr="00233379" w:rsidRDefault="00C30257" w:rsidP="00FC48CE">
            <w:pPr>
              <w:rPr>
                <w:noProof/>
              </w:rPr>
            </w:pPr>
            <w:r w:rsidRPr="00233379">
              <w:rPr>
                <w:noProof/>
              </w:rPr>
              <w:t>Datum mnenja Evropskega ekonomsko-socialnega odbora:</w:t>
            </w:r>
          </w:p>
        </w:tc>
        <w:tc>
          <w:tcPr>
            <w:tcW w:w="2483" w:type="dxa"/>
          </w:tcPr>
          <w:p w14:paraId="3067E3F6" w14:textId="77777777" w:rsidR="00C30257" w:rsidRPr="00233379" w:rsidRDefault="007C2F1C" w:rsidP="00FC48CE">
            <w:pPr>
              <w:jc w:val="left"/>
              <w:rPr>
                <w:noProof/>
              </w:rPr>
            </w:pPr>
            <w:r w:rsidRPr="00233379">
              <w:rPr>
                <w:noProof/>
              </w:rPr>
              <w:t>13. julij 2023.</w:t>
            </w:r>
          </w:p>
        </w:tc>
      </w:tr>
      <w:tr w:rsidR="00C30257" w:rsidRPr="00233379" w14:paraId="099A15FF" w14:textId="77777777" w:rsidTr="00FC48CE">
        <w:tc>
          <w:tcPr>
            <w:tcW w:w="6804" w:type="dxa"/>
          </w:tcPr>
          <w:p w14:paraId="6B8B1A8C" w14:textId="77777777" w:rsidR="00C30257" w:rsidRPr="00233379" w:rsidRDefault="00C30257" w:rsidP="00FC48CE">
            <w:pPr>
              <w:rPr>
                <w:noProof/>
              </w:rPr>
            </w:pPr>
            <w:r w:rsidRPr="00233379">
              <w:rPr>
                <w:noProof/>
              </w:rPr>
              <w:t>Datum stališča Evropskega parlamenta v prvi obravnavi:</w:t>
            </w:r>
          </w:p>
        </w:tc>
        <w:tc>
          <w:tcPr>
            <w:tcW w:w="2483" w:type="dxa"/>
          </w:tcPr>
          <w:p w14:paraId="528669EA" w14:textId="77777777" w:rsidR="00C30257" w:rsidRPr="00233379" w:rsidRDefault="007C2F1C" w:rsidP="00FC48CE">
            <w:pPr>
              <w:jc w:val="left"/>
              <w:rPr>
                <w:noProof/>
              </w:rPr>
            </w:pPr>
            <w:r w:rsidRPr="00233379">
              <w:rPr>
                <w:noProof/>
              </w:rPr>
              <w:t>24. april 2024.</w:t>
            </w:r>
          </w:p>
        </w:tc>
      </w:tr>
      <w:tr w:rsidR="00C30257" w:rsidRPr="00233379" w14:paraId="2CDDC38B" w14:textId="77777777" w:rsidTr="00FC48CE">
        <w:tc>
          <w:tcPr>
            <w:tcW w:w="6804" w:type="dxa"/>
          </w:tcPr>
          <w:p w14:paraId="774A7EE5" w14:textId="77777777" w:rsidR="00C30257" w:rsidRPr="00233379" w:rsidRDefault="00C30257" w:rsidP="00FC48CE">
            <w:pPr>
              <w:rPr>
                <w:noProof/>
              </w:rPr>
            </w:pPr>
            <w:r w:rsidRPr="00233379">
              <w:rPr>
                <w:noProof/>
              </w:rPr>
              <w:t>Datum predložitve spremenjenega predloga:</w:t>
            </w:r>
          </w:p>
        </w:tc>
        <w:tc>
          <w:tcPr>
            <w:tcW w:w="2483" w:type="dxa"/>
          </w:tcPr>
          <w:p w14:paraId="7FF31E49" w14:textId="77777777" w:rsidR="00C30257" w:rsidRPr="00233379" w:rsidRDefault="007C2F1C" w:rsidP="00FC48CE">
            <w:pPr>
              <w:jc w:val="left"/>
              <w:rPr>
                <w:noProof/>
              </w:rPr>
            </w:pPr>
            <w:r w:rsidRPr="00233379">
              <w:rPr>
                <w:noProof/>
              </w:rPr>
              <w:t>n. r.</w:t>
            </w:r>
          </w:p>
        </w:tc>
      </w:tr>
      <w:tr w:rsidR="00C30257" w:rsidRPr="00233379" w14:paraId="4EB42B32" w14:textId="77777777" w:rsidTr="00FC48CE">
        <w:tc>
          <w:tcPr>
            <w:tcW w:w="6804" w:type="dxa"/>
          </w:tcPr>
          <w:p w14:paraId="52A36A0F" w14:textId="77777777" w:rsidR="00C30257" w:rsidRPr="00233379" w:rsidRDefault="00C30257" w:rsidP="00FC48CE">
            <w:pPr>
              <w:rPr>
                <w:noProof/>
              </w:rPr>
            </w:pPr>
            <w:r w:rsidRPr="00233379">
              <w:rPr>
                <w:noProof/>
              </w:rPr>
              <w:t>Datum sprejetja stališča Sveta:</w:t>
            </w:r>
          </w:p>
        </w:tc>
        <w:tc>
          <w:tcPr>
            <w:tcW w:w="2483" w:type="dxa"/>
          </w:tcPr>
          <w:p w14:paraId="6228B4FD" w14:textId="67AD87A2" w:rsidR="00C30257" w:rsidRPr="00233379" w:rsidRDefault="004130F8" w:rsidP="00FC48CE">
            <w:pPr>
              <w:jc w:val="left"/>
              <w:rPr>
                <w:noProof/>
              </w:rPr>
            </w:pPr>
            <w:r w:rsidRPr="00233379">
              <w:rPr>
                <w:noProof/>
              </w:rPr>
              <w:t>5. marec 2026.</w:t>
            </w:r>
          </w:p>
        </w:tc>
      </w:tr>
    </w:tbl>
    <w:p w14:paraId="70E9FC78" w14:textId="77777777" w:rsidR="00C30257" w:rsidRPr="00233379" w:rsidRDefault="00C30257" w:rsidP="001704B9">
      <w:pPr>
        <w:pStyle w:val="ManualHeading1"/>
        <w:rPr>
          <w:noProof/>
        </w:rPr>
      </w:pPr>
      <w:r w:rsidRPr="00233379">
        <w:rPr>
          <w:noProof/>
        </w:rPr>
        <w:t>2.</w:t>
      </w:r>
      <w:r w:rsidRPr="00233379">
        <w:rPr>
          <w:noProof/>
        </w:rPr>
        <w:tab/>
        <w:t>Cilj predloga Komisije</w:t>
      </w:r>
    </w:p>
    <w:p w14:paraId="5B878998" w14:textId="77777777" w:rsidR="00E61FA7" w:rsidRPr="00233379" w:rsidRDefault="00E61FA7" w:rsidP="001704B9">
      <w:pPr>
        <w:rPr>
          <w:rFonts w:eastAsia="Times New Roman"/>
          <w:noProof/>
          <w:szCs w:val="20"/>
        </w:rPr>
      </w:pPr>
      <w:bookmarkStart w:id="1" w:name="_Hlk221536680"/>
      <w:r w:rsidRPr="00233379">
        <w:rPr>
          <w:noProof/>
        </w:rPr>
        <w:t>Komisija je predlagala sveženj štirih aktov o spremembi za reformo okvira za upravljanje bančnih kriz in jamstva za vloge. Sozakonodajalca sta predlagane spremembe Direktive 2014/59/EU glede določenih vidikov minimalne zahteve glede kapitala in kvalificiranih obveznosti (COM(2023) 229 final) sprejela ločeno kot Direktivo (EU) 2024/1174. V preostalih treh aktih so bile predlagane spremembe Direktive 2014/59/EU, Uredbe (EU) št. 806/2014 oziroma Direktive 2014/49/EU</w:t>
      </w:r>
      <w:bookmarkEnd w:id="1"/>
      <w:r w:rsidRPr="00233379">
        <w:rPr>
          <w:noProof/>
        </w:rPr>
        <w:t xml:space="preserve">. </w:t>
      </w:r>
    </w:p>
    <w:p w14:paraId="79B66BC0" w14:textId="77777777" w:rsidR="00C30257" w:rsidRPr="00233379" w:rsidRDefault="00E61FA7" w:rsidP="00037473">
      <w:pPr>
        <w:rPr>
          <w:noProof/>
        </w:rPr>
      </w:pPr>
      <w:bookmarkStart w:id="2" w:name="_Hlk221536766"/>
      <w:r w:rsidRPr="00233379">
        <w:rPr>
          <w:noProof/>
        </w:rPr>
        <w:t>Glavni cilji predloga o okviru za upravljanje bančnih kriz in jamstva za vloge so bili boljša zaščita finančne stabilnosti in davkoplačevalskega denarja, zaščita realnega gospodarstva pred posledicami propada bank in nadaljnja krepitev zaščite vlagateljev. Namen predloga je doseči te cilje z izboljšanjem orodij za krizno upravljanje, ki se uporabljajo za upravljanje propadov manjših in srednje velikih bank. Glavno orodje za dosego tega cilja je, da se organom za reševanje omogoči uporaba sredstev iz sistemov jamstva za vloge za financiranje izvajanja strategije s prenosom v primerih, ko notranja sposobnost pokrivanja izgub take banke ne zadostuje za dostop do sklada za reševanje</w:t>
      </w:r>
      <w:bookmarkEnd w:id="2"/>
      <w:r w:rsidRPr="00233379">
        <w:rPr>
          <w:noProof/>
        </w:rPr>
        <w:t>.</w:t>
      </w:r>
    </w:p>
    <w:p w14:paraId="6650954A" w14:textId="77777777" w:rsidR="00C30257" w:rsidRPr="00233379" w:rsidRDefault="00C30257" w:rsidP="001704B9">
      <w:pPr>
        <w:pStyle w:val="ManualHeading1"/>
        <w:rPr>
          <w:noProof/>
        </w:rPr>
      </w:pPr>
      <w:r w:rsidRPr="00233379">
        <w:rPr>
          <w:noProof/>
        </w:rPr>
        <w:t>3.</w:t>
      </w:r>
      <w:r w:rsidRPr="00233379">
        <w:rPr>
          <w:noProof/>
        </w:rPr>
        <w:tab/>
        <w:t>Pripombe k stališču Sveta</w:t>
      </w:r>
    </w:p>
    <w:p w14:paraId="3C7C317E" w14:textId="77777777" w:rsidR="00C30257" w:rsidRPr="00233379" w:rsidRDefault="00037473" w:rsidP="001704B9">
      <w:pPr>
        <w:widowControl w:val="0"/>
        <w:rPr>
          <w:noProof/>
        </w:rPr>
      </w:pPr>
      <w:bookmarkStart w:id="3" w:name="_Hlk221530109"/>
      <w:r w:rsidRPr="00233379">
        <w:rPr>
          <w:noProof/>
        </w:rPr>
        <w:t xml:space="preserve">Stališče Sveta glede predlaganih sprememb Direktive 2014/49/EU, kot je bilo sprejeto v prvi obravnavi, v celoti odraža politični dogovor, ki sta ga 25. junija 2025 dosegla Evropski parlament in Svet. Komisija ta dogovor podpira. Glavne točke tega dogovora glede Direktive </w:t>
      </w:r>
      <w:r w:rsidRPr="00233379">
        <w:rPr>
          <w:noProof/>
        </w:rPr>
        <w:lastRenderedPageBreak/>
        <w:t>2014/49/EU so naslednje</w:t>
      </w:r>
      <w:bookmarkEnd w:id="3"/>
      <w:r w:rsidRPr="00233379">
        <w:rPr>
          <w:noProof/>
        </w:rPr>
        <w:t>:</w:t>
      </w:r>
    </w:p>
    <w:p w14:paraId="0383810C" w14:textId="77777777" w:rsidR="004D31EA" w:rsidRPr="00233379" w:rsidRDefault="00790858" w:rsidP="00D647A9">
      <w:pPr>
        <w:pStyle w:val="Bullet0"/>
        <w:numPr>
          <w:ilvl w:val="0"/>
          <w:numId w:val="9"/>
        </w:numPr>
        <w:rPr>
          <w:noProof/>
        </w:rPr>
      </w:pPr>
      <w:r w:rsidRPr="00233379">
        <w:rPr>
          <w:noProof/>
        </w:rPr>
        <w:t xml:space="preserve">dogovorjene spremembe nadalje določajo uporabo sredstev sistemov jamstva za vloge zunaj reševanja. Uporaba sredstev sistemov jamstva za vloge za preventivne ukrepe ostaja za države članice neobvezna, vendar za njihovo uporabo začnejo veljati dodatni pogoji in zaščitni ukrepi, zlasti preizkus najnižjih stroškov, ki je enak kot za uporabo sredstev sistemov jamstva za vloge pri reševanju, tj. omejitev posredovanja na bruto znesek kritih vlog; </w:t>
      </w:r>
    </w:p>
    <w:p w14:paraId="66FA6DC4" w14:textId="77777777" w:rsidR="00790858" w:rsidRPr="00233379" w:rsidRDefault="004D31EA" w:rsidP="001B345F">
      <w:pPr>
        <w:pStyle w:val="Bullet0"/>
        <w:rPr>
          <w:noProof/>
        </w:rPr>
      </w:pPr>
      <w:r w:rsidRPr="00233379">
        <w:rPr>
          <w:noProof/>
        </w:rPr>
        <w:t>podobno za uporabo sredstev sistemov jamstva za vloge za alternativne ukrepe v primeru insolventnosti začnejo veljati isti preizkus najnižjih stroškov in nadaljnja pravila, ki urejajo, katere vrste prenosov iz propadajoče banke se lahko financirajo iz sistemov jamstva za vloge v okviru teh ukrepov;</w:t>
      </w:r>
    </w:p>
    <w:p w14:paraId="3051F230" w14:textId="497125CD" w:rsidR="00790858" w:rsidRPr="00233379" w:rsidRDefault="00793054" w:rsidP="001B345F">
      <w:pPr>
        <w:pStyle w:val="Bullet0"/>
        <w:rPr>
          <w:noProof/>
        </w:rPr>
      </w:pPr>
      <w:r w:rsidRPr="00233379">
        <w:rPr>
          <w:noProof/>
        </w:rPr>
        <w:t>institucionalne sheme za zaščito vlog, priznane kot sistemi jamstva za vloge, morajo ohranjati predhodno ciljno raven v višini 0,8 % kritih vlog. Do določene meje in ob upoštevanju zaščitnih ukrepov lahko začasno prenesejo sredstva z namenom podpore likvidnosti in solventnosti pridruženih institucij. Ta sredstva bi bilo treba poplačati v sedmih delovnih dneh v primeru izplačila ali prispevka k reševanju kreditne institucije, pridružene taki institucionalni shemi za zaščito vlog, priznani kot sistem jamstva za vloge.</w:t>
      </w:r>
    </w:p>
    <w:p w14:paraId="52C4EA30" w14:textId="77777777" w:rsidR="00C30257" w:rsidRPr="00233379" w:rsidRDefault="00C30257" w:rsidP="001704B9">
      <w:pPr>
        <w:pStyle w:val="ManualHeading1"/>
        <w:rPr>
          <w:noProof/>
        </w:rPr>
      </w:pPr>
      <w:r w:rsidRPr="00233379">
        <w:rPr>
          <w:noProof/>
        </w:rPr>
        <w:t>4.</w:t>
      </w:r>
      <w:r w:rsidRPr="00233379">
        <w:rPr>
          <w:noProof/>
        </w:rPr>
        <w:tab/>
        <w:t>Zaključek</w:t>
      </w:r>
    </w:p>
    <w:p w14:paraId="77969D71" w14:textId="77777777" w:rsidR="00FB32FC" w:rsidRDefault="00A92C7D" w:rsidP="001704B9">
      <w:pPr>
        <w:rPr>
          <w:noProof/>
        </w:rPr>
      </w:pPr>
      <w:r w:rsidRPr="00233379">
        <w:rPr>
          <w:noProof/>
        </w:rPr>
        <w:t>Komisija podpira rezultate medinstitucionalnih pogajanj in lahko zato sprejme stališče Sveta v prvi obravnavi.</w:t>
      </w:r>
    </w:p>
    <w:p w14:paraId="6759099A" w14:textId="356B7C91" w:rsidR="00C30257" w:rsidRPr="00233379" w:rsidRDefault="00C30257" w:rsidP="001704B9">
      <w:pPr>
        <w:rPr>
          <w:noProof/>
        </w:rPr>
      </w:pPr>
    </w:p>
    <w:sectPr w:rsidR="00C30257" w:rsidRPr="00233379" w:rsidSect="006B29DF">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F2CEF" w14:textId="77777777" w:rsidR="00C30257" w:rsidRDefault="00C30257" w:rsidP="00C30257">
      <w:pPr>
        <w:spacing w:before="0" w:after="0"/>
      </w:pPr>
      <w:r>
        <w:separator/>
      </w:r>
    </w:p>
  </w:endnote>
  <w:endnote w:type="continuationSeparator" w:id="0">
    <w:p w14:paraId="2063062E" w14:textId="77777777" w:rsidR="00C30257" w:rsidRDefault="00C30257" w:rsidP="00C3025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5C2D7" w14:textId="056DC928" w:rsidR="006B29DF" w:rsidRPr="006B29DF" w:rsidRDefault="006B29DF" w:rsidP="006B29DF">
    <w:pPr>
      <w:pStyle w:val="Footer"/>
      <w:rPr>
        <w:rFonts w:ascii="Arial" w:hAnsi="Arial" w:cs="Arial"/>
        <w:b/>
        <w:sz w:val="48"/>
      </w:rPr>
    </w:pPr>
    <w:r w:rsidRPr="006B29DF">
      <w:rPr>
        <w:rFonts w:ascii="Arial" w:hAnsi="Arial" w:cs="Arial"/>
        <w:b/>
        <w:sz w:val="48"/>
      </w:rPr>
      <w:t>SL</w:t>
    </w:r>
    <w:r w:rsidRPr="006B29DF">
      <w:rPr>
        <w:rFonts w:ascii="Arial" w:hAnsi="Arial" w:cs="Arial"/>
        <w:b/>
        <w:sz w:val="48"/>
      </w:rPr>
      <w:tab/>
    </w:r>
    <w:r w:rsidRPr="006B29DF">
      <w:rPr>
        <w:rFonts w:ascii="Arial" w:hAnsi="Arial" w:cs="Arial"/>
        <w:b/>
        <w:sz w:val="48"/>
      </w:rPr>
      <w:tab/>
    </w:r>
    <w:r w:rsidRPr="006B29DF">
      <w:tab/>
    </w:r>
    <w:r w:rsidRPr="006B29DF">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C99B5" w14:textId="2EA1B9E3" w:rsidR="006B29DF" w:rsidRPr="006B29DF" w:rsidRDefault="006B29DF" w:rsidP="006B29DF">
    <w:pPr>
      <w:pStyle w:val="Footer"/>
      <w:rPr>
        <w:rFonts w:ascii="Arial" w:hAnsi="Arial" w:cs="Arial"/>
        <w:b/>
        <w:sz w:val="48"/>
      </w:rPr>
    </w:pPr>
    <w:r w:rsidRPr="006B29DF">
      <w:rPr>
        <w:rFonts w:ascii="Arial" w:hAnsi="Arial" w:cs="Arial"/>
        <w:b/>
        <w:sz w:val="48"/>
      </w:rPr>
      <w:t>SL</w:t>
    </w:r>
    <w:r w:rsidRPr="006B29DF">
      <w:rPr>
        <w:rFonts w:ascii="Arial" w:hAnsi="Arial" w:cs="Arial"/>
        <w:b/>
        <w:sz w:val="48"/>
      </w:rPr>
      <w:tab/>
    </w:r>
    <w:r w:rsidRPr="006B29DF">
      <w:rPr>
        <w:rFonts w:ascii="Arial" w:hAnsi="Arial" w:cs="Arial"/>
        <w:b/>
        <w:sz w:val="48"/>
      </w:rPr>
      <w:tab/>
    </w:r>
    <w:r w:rsidRPr="006B29DF">
      <w:tab/>
    </w:r>
    <w:r w:rsidRPr="006B29DF">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655A" w14:textId="77777777" w:rsidR="006B29DF" w:rsidRDefault="006B29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B7AF2" w14:textId="75D9DDA9" w:rsidR="006B29DF" w:rsidRPr="006B29DF" w:rsidRDefault="006B29DF" w:rsidP="006B29DF">
    <w:pPr>
      <w:pStyle w:val="Footer"/>
      <w:rPr>
        <w:rFonts w:ascii="Arial" w:hAnsi="Arial" w:cs="Arial"/>
        <w:b/>
        <w:sz w:val="48"/>
      </w:rPr>
    </w:pPr>
    <w:r w:rsidRPr="006B29DF">
      <w:rPr>
        <w:rFonts w:ascii="Arial" w:hAnsi="Arial" w:cs="Arial"/>
        <w:b/>
        <w:sz w:val="48"/>
      </w:rPr>
      <w:t>SL</w:t>
    </w:r>
    <w:r w:rsidRPr="006B29DF">
      <w:rPr>
        <w:rFonts w:ascii="Arial" w:hAnsi="Arial" w:cs="Arial"/>
        <w:b/>
        <w:sz w:val="48"/>
      </w:rPr>
      <w:tab/>
    </w:r>
    <w:r>
      <w:fldChar w:fldCharType="begin"/>
    </w:r>
    <w:r>
      <w:instrText xml:space="preserve"> PAGE  \* MERGEFORMAT </w:instrText>
    </w:r>
    <w:r>
      <w:fldChar w:fldCharType="separate"/>
    </w:r>
    <w:r w:rsidR="00FB32FC">
      <w:rPr>
        <w:noProof/>
      </w:rPr>
      <w:t>2</w:t>
    </w:r>
    <w:r>
      <w:fldChar w:fldCharType="end"/>
    </w:r>
    <w:r>
      <w:tab/>
    </w:r>
    <w:r w:rsidRPr="006B29DF">
      <w:tab/>
    </w:r>
    <w:r w:rsidRPr="006B29DF">
      <w:rPr>
        <w:rFonts w:ascii="Arial" w:hAnsi="Arial" w:cs="Arial"/>
        <w:b/>
        <w:sz w:val="48"/>
      </w:rPr>
      <w:t>SL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5D607" w14:textId="77777777" w:rsidR="006B29DF" w:rsidRDefault="006B29DF" w:rsidP="006B2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0DF87" w14:textId="77777777" w:rsidR="00C30257" w:rsidRDefault="00C30257" w:rsidP="00C30257">
      <w:pPr>
        <w:spacing w:before="0" w:after="0"/>
      </w:pPr>
      <w:r>
        <w:separator/>
      </w:r>
    </w:p>
  </w:footnote>
  <w:footnote w:type="continuationSeparator" w:id="0">
    <w:p w14:paraId="1C52EFE0" w14:textId="77777777" w:rsidR="00C30257" w:rsidRDefault="00C30257" w:rsidP="00C3025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FCA60" w14:textId="77777777" w:rsidR="006B29DF" w:rsidRDefault="006B29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D05A7" w14:textId="77777777" w:rsidR="006B29DF" w:rsidRDefault="006B2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BD292D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594E6D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16CF56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20A51A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96A01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912C6E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4A0A63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E004D3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5"/>
    <w:lvlOverride w:ilvl="0">
      <w:startOverride w:val="1"/>
    </w:lvlOverride>
  </w:num>
  <w:num w:numId="10">
    <w:abstractNumId w:val="19"/>
  </w:num>
  <w:num w:numId="11">
    <w:abstractNumId w:val="12"/>
  </w:num>
  <w:num w:numId="12">
    <w:abstractNumId w:val="21"/>
  </w:num>
  <w:num w:numId="13">
    <w:abstractNumId w:val="11"/>
  </w:num>
  <w:num w:numId="14">
    <w:abstractNumId w:val="13"/>
  </w:num>
  <w:num w:numId="15">
    <w:abstractNumId w:val="14"/>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6-03-04 16:21:2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B4843ECF-B957-4CD0-B72A-056BE09C270F"/>
    <w:docVar w:name="LW_COVERPAGE_TYPE" w:val="1"/>
    <w:docVar w:name="LW_CreatedUtc" w:val="2026-01-27T15:46:50.8574932Z"/>
    <w:docVar w:name="LW_CROSSREFERENCE" w:val="&lt;UNUSED&gt;"/>
    <w:docVar w:name="LW_DocType" w:val="COM"/>
    <w:docVar w:name="LW_EMISSION" w:val="6.3.2026"/>
    <w:docVar w:name="LW_EMISSION_ISODATE" w:val="2026-03-06"/>
    <w:docVar w:name="LW_EMISSION_LOCATION" w:val="BRX"/>
    <w:docVar w:name="LW_EMISSION_PREFIX" w:val="Bruselj, "/>
    <w:docVar w:name="LW_EMISSION_SUFFIX" w:val=" "/>
    <w:docVar w:name="LW_ID_DOCMODEL" w:val="SJ-028"/>
    <w:docVar w:name="LW_ID_DOCSTRUCTURE" w:val="COM/PL/CODEC"/>
    <w:docVar w:name="LW_ID_DOCTYPE" w:val="SJ-028"/>
    <w:docVar w:name="LW_INTERETEEE.CP" w:val="(Besedilo velja za EGP)"/>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COD"/>
    <w:docVar w:name="LW_REF.II.NEW.CP_NUMBER" w:val="0115"/>
    <w:docVar w:name="LW_REF.II.NEW.CP_YEAR" w:val="2023"/>
    <w:docVar w:name="LW_REF.INST.NEW" w:val="COM"/>
    <w:docVar w:name="LW_REF.INST.NEW_ADOPTED" w:val="final"/>
    <w:docVar w:name="LW_REF.INST.NEW_TEXT" w:val="(2026) 12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tali\u353?\u269?em Sveta o sprejetju direktive Evropskega parlamenta in Sveta o spremembi Direktive 2014/49/EU glede obsega za\u353?\u269?ite vlog, uporabe sredstev sistemov jamstva za vloge, \u269?ezmejnega sodelovanja in preglednosti"/>
    <w:docVar w:name="LW_TYPE.DOC.CP" w:val="SPORO\u268?ILO KOMISIJE_x000b_EVROPSKEMU PARLAMENTU_x000b__x000b_v skladu s \u269?lenom 294(6) Pogodbe o delovanju Evropske unije _x000b__x000b_v zvezi s"/>
    <w:docVar w:name="LwApiVersions" w:val="LW4CoDe 1.24.5.0; LW 9.2, Build 20251112"/>
  </w:docVars>
  <w:rsids>
    <w:rsidRoot w:val="00C30257"/>
    <w:rsid w:val="00025259"/>
    <w:rsid w:val="00037473"/>
    <w:rsid w:val="00042DF1"/>
    <w:rsid w:val="00093ECA"/>
    <w:rsid w:val="001065F5"/>
    <w:rsid w:val="001238EF"/>
    <w:rsid w:val="00197613"/>
    <w:rsid w:val="001A03CA"/>
    <w:rsid w:val="001B345F"/>
    <w:rsid w:val="00233379"/>
    <w:rsid w:val="00233DC7"/>
    <w:rsid w:val="00247779"/>
    <w:rsid w:val="00285BEE"/>
    <w:rsid w:val="00291B01"/>
    <w:rsid w:val="0029533F"/>
    <w:rsid w:val="002B30AF"/>
    <w:rsid w:val="002C2109"/>
    <w:rsid w:val="002C69EA"/>
    <w:rsid w:val="0033344A"/>
    <w:rsid w:val="00336560"/>
    <w:rsid w:val="00403E46"/>
    <w:rsid w:val="004130F8"/>
    <w:rsid w:val="0042648E"/>
    <w:rsid w:val="00455751"/>
    <w:rsid w:val="00467038"/>
    <w:rsid w:val="00477354"/>
    <w:rsid w:val="00487808"/>
    <w:rsid w:val="004936D2"/>
    <w:rsid w:val="00496313"/>
    <w:rsid w:val="004D31EA"/>
    <w:rsid w:val="004E68B1"/>
    <w:rsid w:val="005A1C43"/>
    <w:rsid w:val="005B1EB6"/>
    <w:rsid w:val="005D1F90"/>
    <w:rsid w:val="005E704F"/>
    <w:rsid w:val="0060746B"/>
    <w:rsid w:val="0065363A"/>
    <w:rsid w:val="00667C9E"/>
    <w:rsid w:val="006B29DF"/>
    <w:rsid w:val="006F2AB7"/>
    <w:rsid w:val="0076493E"/>
    <w:rsid w:val="00773331"/>
    <w:rsid w:val="00790858"/>
    <w:rsid w:val="00793054"/>
    <w:rsid w:val="007932EF"/>
    <w:rsid w:val="007A6946"/>
    <w:rsid w:val="007B5BDF"/>
    <w:rsid w:val="007C2F1C"/>
    <w:rsid w:val="007D04B6"/>
    <w:rsid w:val="007E05B0"/>
    <w:rsid w:val="007E1A34"/>
    <w:rsid w:val="007F2600"/>
    <w:rsid w:val="00863862"/>
    <w:rsid w:val="00867ABC"/>
    <w:rsid w:val="00874D22"/>
    <w:rsid w:val="008825CF"/>
    <w:rsid w:val="008A2914"/>
    <w:rsid w:val="008E4D8E"/>
    <w:rsid w:val="0093482F"/>
    <w:rsid w:val="009446F0"/>
    <w:rsid w:val="00952E99"/>
    <w:rsid w:val="00972EE5"/>
    <w:rsid w:val="009B1F61"/>
    <w:rsid w:val="009C1731"/>
    <w:rsid w:val="009F5CDB"/>
    <w:rsid w:val="00A565F1"/>
    <w:rsid w:val="00A92C7D"/>
    <w:rsid w:val="00A95D9A"/>
    <w:rsid w:val="00AE7AED"/>
    <w:rsid w:val="00B157ED"/>
    <w:rsid w:val="00B46F72"/>
    <w:rsid w:val="00C12301"/>
    <w:rsid w:val="00C30257"/>
    <w:rsid w:val="00C40A44"/>
    <w:rsid w:val="00C6362A"/>
    <w:rsid w:val="00CB2725"/>
    <w:rsid w:val="00D20381"/>
    <w:rsid w:val="00D30031"/>
    <w:rsid w:val="00D4094D"/>
    <w:rsid w:val="00D647A9"/>
    <w:rsid w:val="00DD434E"/>
    <w:rsid w:val="00E21CD2"/>
    <w:rsid w:val="00E301C1"/>
    <w:rsid w:val="00E40494"/>
    <w:rsid w:val="00E61FA7"/>
    <w:rsid w:val="00E664ED"/>
    <w:rsid w:val="00E70482"/>
    <w:rsid w:val="00E81950"/>
    <w:rsid w:val="00EF20D4"/>
    <w:rsid w:val="00F12307"/>
    <w:rsid w:val="00F524E2"/>
    <w:rsid w:val="00F775E8"/>
    <w:rsid w:val="00FB32FC"/>
    <w:rsid w:val="00FC38F8"/>
    <w:rsid w:val="00FC6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ED66C7E"/>
  <w15:docId w15:val="{F273538B-68EC-4972-8370-171A772E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9F5CDB"/>
    <w:pPr>
      <w:numPr>
        <w:numId w:val="1"/>
      </w:numPr>
      <w:contextualSpacing/>
    </w:pPr>
  </w:style>
  <w:style w:type="paragraph" w:styleId="ListBullet2">
    <w:name w:val="List Bullet 2"/>
    <w:basedOn w:val="Normal"/>
    <w:uiPriority w:val="99"/>
    <w:semiHidden/>
    <w:unhideWhenUsed/>
    <w:rsid w:val="009F5CDB"/>
    <w:pPr>
      <w:numPr>
        <w:numId w:val="2"/>
      </w:numPr>
      <w:contextualSpacing/>
    </w:pPr>
  </w:style>
  <w:style w:type="paragraph" w:styleId="ListBullet3">
    <w:name w:val="List Bullet 3"/>
    <w:basedOn w:val="Normal"/>
    <w:uiPriority w:val="99"/>
    <w:semiHidden/>
    <w:unhideWhenUsed/>
    <w:rsid w:val="009F5CDB"/>
    <w:pPr>
      <w:numPr>
        <w:numId w:val="3"/>
      </w:numPr>
      <w:contextualSpacing/>
    </w:pPr>
  </w:style>
  <w:style w:type="paragraph" w:styleId="ListBullet4">
    <w:name w:val="List Bullet 4"/>
    <w:basedOn w:val="Normal"/>
    <w:uiPriority w:val="99"/>
    <w:semiHidden/>
    <w:unhideWhenUsed/>
    <w:rsid w:val="009F5CDB"/>
    <w:pPr>
      <w:numPr>
        <w:numId w:val="4"/>
      </w:numPr>
      <w:contextualSpacing/>
    </w:pPr>
  </w:style>
  <w:style w:type="paragraph" w:styleId="ListParagraph">
    <w:name w:val="List Paragraph"/>
    <w:basedOn w:val="Normal"/>
    <w:uiPriority w:val="34"/>
    <w:qFormat/>
    <w:rsid w:val="00A565F1"/>
    <w:pPr>
      <w:ind w:left="720"/>
      <w:contextualSpacing/>
    </w:pPr>
  </w:style>
  <w:style w:type="paragraph" w:styleId="Caption">
    <w:name w:val="caption"/>
    <w:basedOn w:val="Normal"/>
    <w:next w:val="Normal"/>
    <w:uiPriority w:val="35"/>
    <w:semiHidden/>
    <w:unhideWhenUsed/>
    <w:qFormat/>
    <w:rsid w:val="00B46F72"/>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B46F72"/>
    <w:pPr>
      <w:spacing w:after="0"/>
    </w:pPr>
  </w:style>
  <w:style w:type="paragraph" w:styleId="ListNumber">
    <w:name w:val="List Number"/>
    <w:basedOn w:val="Normal"/>
    <w:uiPriority w:val="99"/>
    <w:semiHidden/>
    <w:unhideWhenUsed/>
    <w:rsid w:val="00B46F72"/>
    <w:pPr>
      <w:numPr>
        <w:numId w:val="5"/>
      </w:numPr>
      <w:contextualSpacing/>
    </w:pPr>
  </w:style>
  <w:style w:type="paragraph" w:styleId="ListNumber2">
    <w:name w:val="List Number 2"/>
    <w:basedOn w:val="Normal"/>
    <w:uiPriority w:val="99"/>
    <w:semiHidden/>
    <w:unhideWhenUsed/>
    <w:rsid w:val="00B46F72"/>
    <w:pPr>
      <w:numPr>
        <w:numId w:val="6"/>
      </w:numPr>
      <w:contextualSpacing/>
    </w:pPr>
  </w:style>
  <w:style w:type="paragraph" w:styleId="ListNumber3">
    <w:name w:val="List Number 3"/>
    <w:basedOn w:val="Normal"/>
    <w:uiPriority w:val="99"/>
    <w:semiHidden/>
    <w:unhideWhenUsed/>
    <w:rsid w:val="00B46F72"/>
    <w:pPr>
      <w:numPr>
        <w:numId w:val="7"/>
      </w:numPr>
      <w:contextualSpacing/>
    </w:pPr>
  </w:style>
  <w:style w:type="paragraph" w:styleId="ListNumber4">
    <w:name w:val="List Number 4"/>
    <w:basedOn w:val="Normal"/>
    <w:uiPriority w:val="99"/>
    <w:semiHidden/>
    <w:unhideWhenUsed/>
    <w:rsid w:val="00B46F72"/>
    <w:pPr>
      <w:numPr>
        <w:numId w:val="8"/>
      </w:numPr>
      <w:contextualSpacing/>
    </w:pPr>
  </w:style>
  <w:style w:type="character" w:styleId="Hyperlink">
    <w:name w:val="Hyperlink"/>
    <w:basedOn w:val="DefaultParagraphFont"/>
    <w:uiPriority w:val="99"/>
    <w:unhideWhenUsed/>
    <w:rsid w:val="00667C9E"/>
    <w:rPr>
      <w:color w:val="0000FF" w:themeColor="hyperlink"/>
      <w:u w:val="single"/>
    </w:rPr>
  </w:style>
  <w:style w:type="character" w:styleId="CommentReference">
    <w:name w:val="annotation reference"/>
    <w:basedOn w:val="DefaultParagraphFont"/>
    <w:uiPriority w:val="99"/>
    <w:semiHidden/>
    <w:unhideWhenUsed/>
    <w:rsid w:val="00667C9E"/>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sid w:val="00042DF1"/>
    <w:rPr>
      <w:b/>
      <w:bCs/>
    </w:rPr>
  </w:style>
  <w:style w:type="character" w:customStyle="1" w:styleId="CommentSubjectChar">
    <w:name w:val="Comment Subject Char"/>
    <w:basedOn w:val="CommentTextChar"/>
    <w:link w:val="CommentSubject"/>
    <w:uiPriority w:val="99"/>
    <w:semiHidden/>
    <w:rsid w:val="00042DF1"/>
    <w:rPr>
      <w:rFonts w:ascii="Times New Roman" w:hAnsi="Times New Roman" w:cs="Times New Roman"/>
      <w:b/>
      <w:bCs/>
      <w:sz w:val="20"/>
      <w:szCs w:val="20"/>
      <w:lang w:val="sl-SI"/>
    </w:rPr>
  </w:style>
  <w:style w:type="character" w:customStyle="1" w:styleId="UnresolvedMention">
    <w:name w:val="Unresolved Mention"/>
    <w:basedOn w:val="DefaultParagraphFont"/>
    <w:uiPriority w:val="99"/>
    <w:semiHidden/>
    <w:unhideWhenUsed/>
    <w:rsid w:val="00042DF1"/>
    <w:rPr>
      <w:color w:val="605E5C"/>
      <w:shd w:val="clear" w:color="auto" w:fill="E1DFDD"/>
    </w:rPr>
  </w:style>
  <w:style w:type="character" w:customStyle="1" w:styleId="HeaderChar">
    <w:name w:val="Header Char"/>
    <w:basedOn w:val="DefaultParagraphFont"/>
    <w:link w:val="Header"/>
    <w:uiPriority w:val="99"/>
    <w:rsid w:val="006B29DF"/>
    <w:rPr>
      <w:rFonts w:ascii="Times New Roman" w:hAnsi="Times New Roman" w:cs="Times New Roman"/>
      <w:sz w:val="24"/>
      <w:lang w:val="sl-SI"/>
    </w:rPr>
  </w:style>
  <w:style w:type="character" w:customStyle="1" w:styleId="FooterChar">
    <w:name w:val="Footer Char"/>
    <w:basedOn w:val="DefaultParagraphFont"/>
    <w:link w:val="Footer"/>
    <w:uiPriority w:val="99"/>
    <w:rsid w:val="006B29DF"/>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l-SI"/>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l-SI"/>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l-SI"/>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l-SI"/>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l-SI"/>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l-SI"/>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l-S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B29D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B29DF"/>
    <w:pPr>
      <w:spacing w:before="0"/>
      <w:jc w:val="right"/>
    </w:pPr>
    <w:rPr>
      <w:sz w:val="28"/>
    </w:rPr>
  </w:style>
  <w:style w:type="paragraph" w:customStyle="1" w:styleId="FooterSensitivity">
    <w:name w:val="Footer Sensitivity"/>
    <w:basedOn w:val="Normal"/>
    <w:rsid w:val="006B29D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ret5">
    <w:name w:val="Tiret 5"/>
    <w:basedOn w:val="Point5"/>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NumPar5">
    <w:name w:val="NumPar 5"/>
    <w:basedOn w:val="Normal"/>
    <w:next w:val="Text2"/>
    <w:pPr>
      <w:numPr>
        <w:ilvl w:val="4"/>
        <w:numId w:val="16"/>
      </w:numPr>
    </w:pPr>
  </w:style>
  <w:style w:type="paragraph" w:customStyle="1" w:styleId="NumPar6">
    <w:name w:val="NumPar 6"/>
    <w:basedOn w:val="Normal"/>
    <w:next w:val="Text2"/>
    <w:pPr>
      <w:numPr>
        <w:ilvl w:val="5"/>
        <w:numId w:val="16"/>
      </w:numPr>
    </w:pPr>
  </w:style>
  <w:style w:type="paragraph" w:customStyle="1" w:styleId="NumPar7">
    <w:name w:val="NumPar 7"/>
    <w:basedOn w:val="Normal"/>
    <w:next w:val="Text2"/>
    <w:pPr>
      <w:numPr>
        <w:ilvl w:val="6"/>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6B29DF"/>
    <w:pPr>
      <w:tabs>
        <w:tab w:val="center" w:pos="4535"/>
        <w:tab w:val="right" w:pos="9071"/>
      </w:tabs>
      <w:spacing w:before="0"/>
    </w:pPr>
  </w:style>
  <w:style w:type="paragraph" w:customStyle="1" w:styleId="HeaderLandscape">
    <w:name w:val="HeaderLandscape"/>
    <w:basedOn w:val="Normal"/>
    <w:rsid w:val="006B29DF"/>
    <w:pPr>
      <w:tabs>
        <w:tab w:val="center" w:pos="7285"/>
        <w:tab w:val="right" w:pos="14003"/>
      </w:tabs>
      <w:spacing w:before="0"/>
    </w:pPr>
  </w:style>
  <w:style w:type="paragraph" w:styleId="Footer">
    <w:name w:val="footer"/>
    <w:basedOn w:val="Normal"/>
    <w:link w:val="FooterChar"/>
    <w:uiPriority w:val="99"/>
    <w:unhideWhenUsed/>
    <w:rsid w:val="006B29DF"/>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6B29DF"/>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9637e9-1c11-4ee9-91b8-f060e3608fb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ateandtime xmlns="9a9637e9-1c11-4ee9-91b8-f060e3608fb2" xsi:nil="true"/>
    <Docstatus xmlns="9a9637e9-1c11-4ee9-91b8-f060e3608fb2" xsi:nil="true"/>
    <_Flow_SignoffStatus xmlns="9a9637e9-1c11-4ee9-91b8-f060e3608fb2" xsi:nil="true"/>
    <TaxCatchAll xmlns="4af8c89d-4332-4d32-84a3-abf4120a80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97B7BFF882854783B2AFEB81A9CCE9" ma:contentTypeVersion="15" ma:contentTypeDescription="Create a new document." ma:contentTypeScope="" ma:versionID="905ffd3218702aec8470642c758b8ec0">
  <xsd:schema xmlns:xsd="http://www.w3.org/2001/XMLSchema" xmlns:xs="http://www.w3.org/2001/XMLSchema" xmlns:p="http://schemas.microsoft.com/office/2006/metadata/properties" xmlns:ns2="9a9637e9-1c11-4ee9-91b8-f060e3608fb2" xmlns:ns3="4af8c89d-4332-4d32-84a3-abf4120a8008" targetNamespace="http://schemas.microsoft.com/office/2006/metadata/properties" ma:root="true" ma:fieldsID="928f83e650fb23223a23e4dac499116d" ns2:_="" ns3:_="">
    <xsd:import namespace="9a9637e9-1c11-4ee9-91b8-f060e3608fb2"/>
    <xsd:import namespace="4af8c89d-4332-4d32-84a3-abf4120a8008"/>
    <xsd:element name="properties">
      <xsd:complexType>
        <xsd:sequence>
          <xsd:element name="documentManagement">
            <xsd:complexType>
              <xsd:all>
                <xsd:element ref="ns2:Docstatus"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Dateandtime" minOccurs="0"/>
                <xsd:element ref="ns2:MediaServiceSearchProperties" minOccurs="0"/>
                <xsd:element ref="ns2:_Flow_SignoffStatu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37e9-1c11-4ee9-91b8-f060e3608fb2" elementFormDefault="qualified">
    <xsd:import namespace="http://schemas.microsoft.com/office/2006/documentManagement/types"/>
    <xsd:import namespace="http://schemas.microsoft.com/office/infopath/2007/PartnerControls"/>
    <xsd:element name="Docstatus" ma:index="8" nillable="true" ma:displayName="Doc status" ma:format="Dropdown" ma:indexed="true" ma:internalName="Docstatus">
      <xsd:simpleType>
        <xsd:restriction base="dms:Choice">
          <xsd:enumeration value="Draft"/>
          <xsd:enumeration value="Final"/>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ateandtime" ma:index="14" nillable="true" ma:displayName="Date and time" ma:format="DateTime" ma:internalName="Dateandtime">
      <xsd:simpleType>
        <xsd:restriction base="dms:DateTim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Flow_SignoffStatus" ma:index="16" nillable="true" ma:displayName="Sign-off status" ma:internalName="Sign_x002d_off_x0020_status">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f8c89d-4332-4d32-84a3-abf4120a800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82fb10d-7e3e-4655-ba20-a1b338523f72}" ma:internalName="TaxCatchAll" ma:showField="CatchAllData" ma:web="4af8c89d-4332-4d32-84a3-abf4120a8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7C9F8-8FDB-4483-AAFF-A1F9696AFCC1}">
  <ds:schemaRefs>
    <ds:schemaRef ds:uri="http://schemas.microsoft.com/sharepoint/v3/contenttype/forms"/>
  </ds:schemaRefs>
</ds:datastoreItem>
</file>

<file path=customXml/itemProps2.xml><?xml version="1.0" encoding="utf-8"?>
<ds:datastoreItem xmlns:ds="http://schemas.openxmlformats.org/officeDocument/2006/customXml" ds:itemID="{A0639EC7-B83B-4BC7-B6D6-0D99B8568480}">
  <ds:schemaRefs>
    <ds:schemaRef ds:uri="http://schemas.microsoft.com/office/2006/metadata/properties"/>
    <ds:schemaRef ds:uri="http://schemas.microsoft.com/office/infopath/2007/PartnerControls"/>
    <ds:schemaRef ds:uri="9a9637e9-1c11-4ee9-91b8-f060e3608fb2"/>
    <ds:schemaRef ds:uri="4af8c89d-4332-4d32-84a3-abf4120a8008"/>
  </ds:schemaRefs>
</ds:datastoreItem>
</file>

<file path=customXml/itemProps3.xml><?xml version="1.0" encoding="utf-8"?>
<ds:datastoreItem xmlns:ds="http://schemas.openxmlformats.org/officeDocument/2006/customXml" ds:itemID="{56D4B4C6-BE83-42B8-AB7F-D9EEC997B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637e9-1c11-4ee9-91b8-f060e3608fb2"/>
    <ds:schemaRef ds:uri="4af8c89d-4332-4d32-84a3-abf4120a8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186D02-E2C9-46F7-970A-B99A07A1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80</TotalTime>
  <Pages>3</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40</cp:revision>
  <dcterms:created xsi:type="dcterms:W3CDTF">2026-02-09T11:02:00Z</dcterms:created>
  <dcterms:modified xsi:type="dcterms:W3CDTF">2026-03-04T15:21:00Z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COM/PL/CODEC</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9.2, Build 20250828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SJ-028</vt:lpwstr>
  </property>
  <property fmtid="{D5CDD505-2E9C-101B-9397-08002B2CF9AE}" pid="10" name="MSIP_Label_6bd9ddd1-4d20-43f6-abfa-fc3c07406f94_Enabled">
    <vt:lpwstr>true</vt:lpwstr>
  </property>
  <property fmtid="{D5CDD505-2E9C-101B-9397-08002B2CF9AE}" pid="11" name="MSIP_Label_6bd9ddd1-4d20-43f6-abfa-fc3c07406f94_SetDate">
    <vt:lpwstr>2026-01-27T15:47:36Z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9d55ec9c-e51e-4e32-a18a-207774231536</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y fmtid="{D5CDD505-2E9C-101B-9397-08002B2CF9AE}" pid="18" name="ContentTypeId">
    <vt:lpwstr>0x0101007697B7BFF882854783B2AFEB81A9CCE9</vt:lpwstr>
  </property>
  <property fmtid="{D5CDD505-2E9C-101B-9397-08002B2CF9AE}" pid="19" name="DQCStatus">
    <vt:lpwstr>Green (DQC version 03)</vt:lpwstr>
  </property>
  <property name="OP_sanitized" fmtid="{D5CDD505-2E9C-101B-9397-08002B2CF9AE}" pid="20">
    <vt:lpwstr>True</vt:lpwstr>
  </property>
</Properties>
</file>