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B4868" w14:textId="0BDFB049" w:rsidR="00B5186B" w:rsidRPr="005E08A9" w:rsidRDefault="00E4422D" w:rsidP="00E4422D">
      <w:pPr>
        <w:pStyle w:val="Pagedecouverture"/>
        <w:rPr>
          <w:noProof/>
        </w:rPr>
      </w:pPr>
      <w:bookmarkStart w:id="0" w:name="LW_BM_COVERPAGE"/>
      <w:r>
        <w:rPr>
          <w:noProof/>
        </w:rPr>
        <w:pict w14:anchorId="30ADA0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A93524-7D3F-4087-B7EE-C2D6ED45985C" style="width:455.25pt;height:286.5pt">
            <v:imagedata r:id="rId11" o:title=""/>
          </v:shape>
        </w:pict>
      </w:r>
    </w:p>
    <w:bookmarkEnd w:id="0"/>
    <w:p w14:paraId="213ECC8D" w14:textId="77777777" w:rsidR="000C0139" w:rsidRPr="005E08A9" w:rsidRDefault="000C0139" w:rsidP="00CE4E4E">
      <w:pPr>
        <w:rPr>
          <w:b/>
          <w:smallCaps/>
          <w:noProof/>
        </w:rPr>
        <w:sectPr w:rsidR="000C0139" w:rsidRPr="005E08A9" w:rsidSect="00E4422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794569C3" w14:textId="77DFD4CA" w:rsidR="00CE4E4E" w:rsidRPr="005E08A9" w:rsidRDefault="00517B47" w:rsidP="00CE4E4E">
      <w:pPr>
        <w:pStyle w:val="Heading1"/>
        <w:spacing w:before="120"/>
        <w:rPr>
          <w:noProof/>
        </w:rPr>
      </w:pPr>
      <w:bookmarkStart w:id="1" w:name="_GoBack"/>
      <w:bookmarkEnd w:id="1"/>
      <w:r>
        <w:rPr>
          <w:noProof/>
        </w:rPr>
        <w:lastRenderedPageBreak/>
        <w:t>Ozadje</w:t>
      </w:r>
    </w:p>
    <w:p w14:paraId="4042A467" w14:textId="68300F0E" w:rsidR="00C520FE" w:rsidRPr="005E08A9" w:rsidRDefault="00C520FE" w:rsidP="00CE4E4E">
      <w:pPr>
        <w:rPr>
          <w:noProof/>
        </w:rPr>
      </w:pPr>
      <w:r>
        <w:rPr>
          <w:noProof/>
        </w:rPr>
        <w:t>To poročilo vsebuje pregled ključnih dejavnosti EU na področju raziskav in inovacij ter spremljanja programa Obzorje Evropa in programa Euratoma za raziskave in usposabljanje v letu 2025.</w:t>
      </w:r>
    </w:p>
    <w:p w14:paraId="08050568" w14:textId="5B359012" w:rsidR="00A0153A" w:rsidRPr="005E08A9" w:rsidRDefault="00C520FE" w:rsidP="00CE4E4E">
      <w:pPr>
        <w:rPr>
          <w:noProof/>
        </w:rPr>
      </w:pPr>
      <w:r>
        <w:rPr>
          <w:noProof/>
        </w:rPr>
        <w:t xml:space="preserve">Pripravljeno je bilo v skladu s členom 190 </w:t>
      </w:r>
      <w:hyperlink r:id="rId18">
        <w:r>
          <w:rPr>
            <w:rStyle w:val="Hyperlink"/>
            <w:noProof/>
          </w:rPr>
          <w:t>Pogodbe o delovanju Evropske unije</w:t>
        </w:r>
      </w:hyperlink>
      <w:r>
        <w:rPr>
          <w:noProof/>
        </w:rPr>
        <w:t xml:space="preserve"> (PDEU) in členom 7 </w:t>
      </w:r>
      <w:hyperlink r:id="rId19">
        <w:r>
          <w:rPr>
            <w:rStyle w:val="Hyperlink"/>
            <w:noProof/>
          </w:rPr>
          <w:t>Pogodbe Euratom</w:t>
        </w:r>
      </w:hyperlink>
      <w:r>
        <w:rPr>
          <w:noProof/>
        </w:rPr>
        <w:t xml:space="preserve"> v povezavi s členom 50 </w:t>
      </w:r>
      <w:hyperlink r:id="rId20">
        <w:r>
          <w:rPr>
            <w:rStyle w:val="Hyperlink"/>
            <w:noProof/>
          </w:rPr>
          <w:t>Uredbe (EU) 2021/695 Evropskega parlamenta in Sveta o vzpostavitvi okvirnega programa za raziskave in inovacije Obzorje Evropa</w:t>
        </w:r>
      </w:hyperlink>
      <w:r>
        <w:rPr>
          <w:noProof/>
        </w:rPr>
        <w:t xml:space="preserve"> in členom 12 </w:t>
      </w:r>
      <w:hyperlink r:id="rId21">
        <w:r>
          <w:rPr>
            <w:rStyle w:val="Hyperlink"/>
            <w:noProof/>
          </w:rPr>
          <w:t>Uredbe Sveta (Euratom) 2021/765 o vzpostavitvi Programa za raziskave in usposabljanje Evropske skupnosti za atomsko energijo</w:t>
        </w:r>
      </w:hyperlink>
      <w:r>
        <w:rPr>
          <w:noProof/>
        </w:rPr>
        <w:t>.</w:t>
      </w:r>
    </w:p>
    <w:p w14:paraId="1C1700E8" w14:textId="77777777" w:rsidR="00CE4E4E" w:rsidRPr="005E08A9" w:rsidRDefault="00CE4E4E" w:rsidP="00CE4E4E">
      <w:pPr>
        <w:rPr>
          <w:noProof/>
          <w:lang w:eastAsia="en-GB"/>
        </w:rPr>
      </w:pPr>
    </w:p>
    <w:p w14:paraId="02EF642A" w14:textId="2A8CEC73" w:rsidR="00CE4E4E" w:rsidRPr="005E08A9" w:rsidRDefault="00517B47" w:rsidP="00CE4E4E">
      <w:pPr>
        <w:pStyle w:val="Heading1"/>
        <w:spacing w:before="120"/>
        <w:rPr>
          <w:noProof/>
        </w:rPr>
      </w:pPr>
      <w:r>
        <w:rPr>
          <w:noProof/>
        </w:rPr>
        <w:t>Politično ozadje in napredek na področju politik</w:t>
      </w:r>
    </w:p>
    <w:p w14:paraId="66DAE702" w14:textId="7A3D1A58" w:rsidR="00CE4E4E" w:rsidRPr="005E08A9" w:rsidRDefault="0087173B" w:rsidP="00CE4E4E">
      <w:pPr>
        <w:rPr>
          <w:iCs/>
          <w:noProof/>
        </w:rPr>
      </w:pPr>
      <w:r>
        <w:rPr>
          <w:noProof/>
        </w:rPr>
        <w:t>Leta 2025 so bile raziskave in inovacije bistvene pri spodbujanju pomembnih pobud EU, saj so imele ključno vlogo pri krepitvi konkurenčnosti. V naslednjem oddelku je obravnavan preobrazbeni učinek tega napredka v različnih sektorjih, s čimer se potrjuje zavezanost EU spodbujanju gospodarstva, ki temelji na inovacijah.</w:t>
      </w:r>
    </w:p>
    <w:p w14:paraId="59983228" w14:textId="3888A8F1" w:rsidR="009A30F3" w:rsidRPr="005E08A9" w:rsidRDefault="00BC3547" w:rsidP="00CE4E4E">
      <w:pPr>
        <w:pStyle w:val="Heading2"/>
        <w:rPr>
          <w:noProof/>
        </w:rPr>
      </w:pPr>
      <w:r>
        <w:rPr>
          <w:noProof/>
        </w:rPr>
        <w:t>Trajnostna blaginja, enotni trg in konkurenčnost Evrope</w:t>
      </w:r>
    </w:p>
    <w:p w14:paraId="00F8EDB0" w14:textId="623AFF8B" w:rsidR="00717177" w:rsidRPr="005E08A9" w:rsidRDefault="428CB400" w:rsidP="5974E4A5">
      <w:pPr>
        <w:rPr>
          <w:rFonts w:asciiTheme="minorHAnsi" w:eastAsiaTheme="minorEastAsia" w:hAnsiTheme="minorHAnsi" w:cstheme="minorBidi"/>
          <w:noProof/>
          <w:sz w:val="22"/>
          <w:szCs w:val="22"/>
          <w14:ligatures w14:val="standardContextual"/>
        </w:rPr>
      </w:pPr>
      <w:r>
        <w:rPr>
          <w:noProof/>
        </w:rPr>
        <w:t xml:space="preserve">Maja se je začela izvajati </w:t>
      </w:r>
      <w:hyperlink r:id="rId22">
        <w:r>
          <w:rPr>
            <w:rStyle w:val="Hyperlink"/>
            <w:noProof/>
          </w:rPr>
          <w:t>pobuda Izberi Evropo</w:t>
        </w:r>
      </w:hyperlink>
      <w:r>
        <w:rPr>
          <w:noProof/>
        </w:rPr>
        <w:t xml:space="preserve">, katere cilj je, da Evropa postane </w:t>
      </w:r>
      <w:r>
        <w:rPr>
          <w:b/>
          <w:bCs/>
          <w:noProof/>
        </w:rPr>
        <w:t>najprivlačnejša destinacija za raziskovalce</w:t>
      </w:r>
      <w:r>
        <w:rPr>
          <w:noProof/>
        </w:rPr>
        <w:t>.</w:t>
      </w:r>
      <w:r>
        <w:rPr>
          <w:noProof/>
          <w:color w:val="000000" w:themeColor="text1"/>
        </w:rPr>
        <w:t xml:space="preserve"> </w:t>
      </w:r>
      <w:r>
        <w:rPr>
          <w:noProof/>
        </w:rPr>
        <w:t xml:space="preserve">Namen </w:t>
      </w:r>
      <w:hyperlink r:id="rId23">
        <w:r>
          <w:rPr>
            <w:rStyle w:val="Hyperlink"/>
            <w:noProof/>
          </w:rPr>
          <w:t>strategije EU za zagonska podjetja in podjetja v razširitveni fazi</w:t>
        </w:r>
      </w:hyperlink>
      <w:r>
        <w:rPr>
          <w:noProof/>
          <w:color w:val="000000" w:themeColor="text1"/>
        </w:rPr>
        <w:t xml:space="preserve"> je, da EU postane vodilno vozlišče za tehnološko usmerjena zagonska podjetja in podjetja v razširitveni fazi. Komisija je sprejela tudi </w:t>
      </w:r>
      <w:hyperlink r:id="rId24">
        <w:r>
          <w:rPr>
            <w:rStyle w:val="Hyperlink"/>
            <w:noProof/>
          </w:rPr>
          <w:t>evropsko strategijo za raziskovalno in tehnološko infrastrukturo</w:t>
        </w:r>
      </w:hyperlink>
      <w:r>
        <w:rPr>
          <w:noProof/>
        </w:rPr>
        <w:t xml:space="preserve">, da bi </w:t>
      </w:r>
      <w:r>
        <w:rPr>
          <w:noProof/>
          <w:color w:val="000000" w:themeColor="text1"/>
        </w:rPr>
        <w:t>spodbudila razvoj vrhunske infrastrukture, ki bo dostopna in prilagojena potrebam industrije.</w:t>
      </w:r>
      <w:r>
        <w:rPr>
          <w:rFonts w:asciiTheme="minorHAnsi" w:hAnsiTheme="minorHAnsi"/>
          <w:noProof/>
          <w:sz w:val="22"/>
        </w:rPr>
        <w:t xml:space="preserve"> </w:t>
      </w:r>
    </w:p>
    <w:p w14:paraId="140A12E5" w14:textId="66601AAB" w:rsidR="00C653E9" w:rsidRPr="005E08A9" w:rsidRDefault="00E4422D" w:rsidP="00CE4E4E">
      <w:pPr>
        <w:rPr>
          <w:noProof/>
          <w:color w:val="000000" w:themeColor="text1"/>
        </w:rPr>
      </w:pPr>
      <w:hyperlink r:id="rId25" w:history="1">
        <w:r w:rsidR="00C653E9">
          <w:rPr>
            <w:rStyle w:val="Hyperlink"/>
            <w:b/>
            <w:noProof/>
          </w:rPr>
          <w:t>Evropski semester 2025</w:t>
        </w:r>
      </w:hyperlink>
      <w:r w:rsidR="00C653E9">
        <w:rPr>
          <w:noProof/>
          <w:color w:val="000000" w:themeColor="text1"/>
        </w:rPr>
        <w:t xml:space="preserve"> je bil osredotočen na prednostne naloge kompasa za konkurenčnost, vključno z zmanjšanjem vrzeli v inovacijah. V skladu s to prednostno nalogo je 26 držav članic prejelo specifično priporočilo v zvezi z raziskavami in inovacijami.</w:t>
      </w:r>
    </w:p>
    <w:p w14:paraId="5347C89F" w14:textId="4C0E5AC3" w:rsidR="0072438A" w:rsidRDefault="00893CBA" w:rsidP="00472EC1">
      <w:pPr>
        <w:rPr>
          <w:noProof/>
        </w:rPr>
      </w:pPr>
      <w:r>
        <w:rPr>
          <w:noProof/>
          <w:color w:val="000000" w:themeColor="text1"/>
        </w:rPr>
        <w:t xml:space="preserve">Komisija je na sektorski ravni na podlagi memoranduma o soglasju in njegovih rezultatov sodelovala z ustreznimi partnerskimi združenji s področja cestnega prometa in baterij, da bi se izvedle dejavnosti na področju raziskav in inovacij iz novega </w:t>
      </w:r>
      <w:hyperlink r:id="rId26">
        <w:r>
          <w:rPr>
            <w:rStyle w:val="Hyperlink"/>
            <w:noProof/>
          </w:rPr>
          <w:t xml:space="preserve">industrijskega akcijskega načrta za evropski </w:t>
        </w:r>
        <w:r>
          <w:rPr>
            <w:rStyle w:val="Hyperlink"/>
            <w:b/>
            <w:noProof/>
          </w:rPr>
          <w:t>avtomobilski sektor</w:t>
        </w:r>
      </w:hyperlink>
      <w:r>
        <w:rPr>
          <w:noProof/>
        </w:rPr>
        <w:t xml:space="preserve">. Raziskave in inovacije so prispevale tudi k novemu predlogu akta EU o vesolju, katerega namen je spodbujati inovacije in stabilno poslovno okolje. Poleg tega je Komisija izdala sporočilo, v katerem je predstavila vizijo za evropsko vesoljsko gospodarstvo. </w:t>
      </w:r>
      <w:r>
        <w:rPr>
          <w:noProof/>
          <w:color w:val="000000" w:themeColor="text1"/>
        </w:rPr>
        <w:t xml:space="preserve">Sprejela je </w:t>
      </w:r>
      <w:hyperlink r:id="rId27">
        <w:r>
          <w:rPr>
            <w:rStyle w:val="Hyperlink"/>
            <w:noProof/>
          </w:rPr>
          <w:t xml:space="preserve">vizijo za </w:t>
        </w:r>
        <w:r>
          <w:rPr>
            <w:rStyle w:val="Hyperlink"/>
            <w:b/>
            <w:noProof/>
          </w:rPr>
          <w:t>kmetijstvo</w:t>
        </w:r>
        <w:r>
          <w:rPr>
            <w:rStyle w:val="Hyperlink"/>
            <w:noProof/>
          </w:rPr>
          <w:t xml:space="preserve"> in prehrano</w:t>
        </w:r>
      </w:hyperlink>
      <w:r>
        <w:rPr>
          <w:noProof/>
          <w:color w:val="000000" w:themeColor="text1"/>
        </w:rPr>
        <w:t xml:space="preserve">, ob tem pa poudarila, da se z raziskavami in inovacijami spodbuja privlačen, konkurenčen in pravičen agroživilski sistem. </w:t>
      </w:r>
      <w:r>
        <w:rPr>
          <w:noProof/>
        </w:rPr>
        <w:t xml:space="preserve">Z </w:t>
      </w:r>
      <w:hyperlink r:id="rId28" w:history="1">
        <w:r>
          <w:rPr>
            <w:rStyle w:val="Hyperlink"/>
            <w:noProof/>
          </w:rPr>
          <w:t xml:space="preserve">akcijskim načrtom za </w:t>
        </w:r>
        <w:r>
          <w:rPr>
            <w:rStyle w:val="Hyperlink"/>
            <w:b/>
            <w:noProof/>
          </w:rPr>
          <w:t>kemijsko industrijo</w:t>
        </w:r>
      </w:hyperlink>
      <w:r>
        <w:rPr>
          <w:noProof/>
          <w:color w:val="000000" w:themeColor="text1"/>
        </w:rPr>
        <w:t xml:space="preserve"> se krepijo konkurenčnost, trajnostnost in odpornost industrije, saj spodbuja inovacije.</w:t>
      </w:r>
      <w:r>
        <w:rPr>
          <w:noProof/>
        </w:rPr>
        <w:t xml:space="preserve"> Komisija je sprejela novo </w:t>
      </w:r>
      <w:hyperlink r:id="rId29" w:history="1">
        <w:r>
          <w:rPr>
            <w:rStyle w:val="Hyperlink"/>
            <w:noProof/>
          </w:rPr>
          <w:t xml:space="preserve">strategijo EU za </w:t>
        </w:r>
        <w:r>
          <w:rPr>
            <w:rStyle w:val="Hyperlink"/>
            <w:b/>
            <w:noProof/>
          </w:rPr>
          <w:t>biogospodarstvo</w:t>
        </w:r>
      </w:hyperlink>
      <w:r>
        <w:rPr>
          <w:noProof/>
        </w:rPr>
        <w:t xml:space="preserve"> in </w:t>
      </w:r>
      <w:hyperlink r:id="rId30" w:history="1">
        <w:r>
          <w:rPr>
            <w:rStyle w:val="Hyperlink"/>
            <w:noProof/>
          </w:rPr>
          <w:t xml:space="preserve">evropski akt o </w:t>
        </w:r>
        <w:r>
          <w:rPr>
            <w:rStyle w:val="Hyperlink"/>
            <w:b/>
            <w:noProof/>
          </w:rPr>
          <w:t>biotehnologiji</w:t>
        </w:r>
      </w:hyperlink>
      <w:r>
        <w:rPr>
          <w:noProof/>
        </w:rPr>
        <w:t xml:space="preserve">, ki zajemata vidike, povezane z zelenimi tehnologijami in konkurenčnostjo na področju prehrane in zdravja. </w:t>
      </w:r>
    </w:p>
    <w:p w14:paraId="47EB320C" w14:textId="175263D7" w:rsidR="00F579FF" w:rsidRPr="005E08A9" w:rsidRDefault="007B78CB" w:rsidP="00472EC1">
      <w:pPr>
        <w:rPr>
          <w:noProof/>
        </w:rPr>
      </w:pPr>
      <w:r>
        <w:rPr>
          <w:noProof/>
        </w:rPr>
        <w:t xml:space="preserve">Komisija je sprejela tudi </w:t>
      </w:r>
      <w:hyperlink r:id="rId31" w:history="1">
        <w:r>
          <w:rPr>
            <w:rStyle w:val="Hyperlink"/>
            <w:noProof/>
          </w:rPr>
          <w:t xml:space="preserve">strategijo za </w:t>
        </w:r>
        <w:r>
          <w:rPr>
            <w:rStyle w:val="Hyperlink"/>
            <w:b/>
            <w:noProof/>
          </w:rPr>
          <w:t>bioznanosti</w:t>
        </w:r>
      </w:hyperlink>
      <w:r>
        <w:rPr>
          <w:noProof/>
        </w:rPr>
        <w:t>, katere cilj je, da EU do leta 2030 postane globalno vozlišče za inovacije na področjih zdravja, biotehnologije, prehranskih sistemov in zelene proizvodnje.</w:t>
      </w:r>
    </w:p>
    <w:p w14:paraId="48BC4510" w14:textId="06674A60" w:rsidR="00E36FEB" w:rsidRPr="00E36FEB" w:rsidRDefault="00E36FEB" w:rsidP="00472EC1">
      <w:pPr>
        <w:rPr>
          <w:bCs/>
          <w:iCs/>
          <w:noProof/>
        </w:rPr>
      </w:pPr>
      <w:r>
        <w:rPr>
          <w:noProof/>
        </w:rPr>
        <w:t>Raziskave in inovacije so prispevale tudi k </w:t>
      </w:r>
      <w:hyperlink r:id="rId32" w:tgtFrame="_blank" w:history="1">
        <w:r>
          <w:rPr>
            <w:rStyle w:val="Hyperlink"/>
            <w:b/>
            <w:noProof/>
          </w:rPr>
          <w:t>novemu evropskemu Ba</w:t>
        </w:r>
        <w:bookmarkStart w:id="2" w:name="_Hlt225511933"/>
        <w:bookmarkStart w:id="3" w:name="_Hlt225511934"/>
        <w:r>
          <w:rPr>
            <w:rStyle w:val="Hyperlink"/>
            <w:b/>
            <w:noProof/>
          </w:rPr>
          <w:t>u</w:t>
        </w:r>
        <w:bookmarkEnd w:id="2"/>
        <w:bookmarkEnd w:id="3"/>
        <w:r>
          <w:rPr>
            <w:rStyle w:val="Hyperlink"/>
            <w:b/>
            <w:noProof/>
          </w:rPr>
          <w:t>hausu</w:t>
        </w:r>
      </w:hyperlink>
      <w:r>
        <w:rPr>
          <w:noProof/>
        </w:rPr>
        <w:t xml:space="preserve">, ki podpira projekte za preobrazbo grajenega okolja sosesk.  V </w:t>
      </w:r>
      <w:hyperlink r:id="rId33" w:history="1">
        <w:r>
          <w:rPr>
            <w:rStyle w:val="Hyperlink"/>
            <w:noProof/>
          </w:rPr>
          <w:t>sporočilu o novem evropskem Bauhausu</w:t>
        </w:r>
      </w:hyperlink>
      <w:r>
        <w:rPr>
          <w:noProof/>
        </w:rPr>
        <w:t xml:space="preserve"> in </w:t>
      </w:r>
      <w:hyperlink r:id="rId34" w:history="1">
        <w:r>
          <w:rPr>
            <w:rStyle w:val="Hyperlink"/>
            <w:noProof/>
          </w:rPr>
          <w:t>predlogu priporočila Sveta o novem evropskem Bauhausu</w:t>
        </w:r>
      </w:hyperlink>
      <w:r>
        <w:rPr>
          <w:noProof/>
        </w:rPr>
        <w:t xml:space="preserve"> je prepoznan prispevek projektov novega evropskega Bauhausa k raziskavam in inovacijam. </w:t>
      </w:r>
    </w:p>
    <w:p w14:paraId="61F76B52" w14:textId="77777777" w:rsidR="00502CD2" w:rsidRPr="005E08A9" w:rsidRDefault="00502CD2" w:rsidP="00CE4E4E">
      <w:pPr>
        <w:pStyle w:val="Heading2"/>
        <w:rPr>
          <w:noProof/>
        </w:rPr>
      </w:pPr>
      <w:r>
        <w:rPr>
          <w:noProof/>
        </w:rPr>
        <w:t>Strateška avtonomija, obramba in varnost</w:t>
      </w:r>
    </w:p>
    <w:p w14:paraId="1D50806D" w14:textId="340F72DB" w:rsidR="00434190" w:rsidRPr="005E08A9" w:rsidRDefault="00682F4C" w:rsidP="00CE4E4E">
      <w:pPr>
        <w:rPr>
          <w:noProof/>
        </w:rPr>
      </w:pPr>
      <w:r>
        <w:rPr>
          <w:noProof/>
        </w:rPr>
        <w:t>Tako kot konkurenčnost sta tudi varnost in odpornost politični zahtevi, saj sta tesno povezani z inovacijami. Komisija je leta 2025 predstavila strategije politik, v katerih so kot ključni vidiki opredeljene raziskave, inovacije in tehnologija z dvojno rabo. Med njimi so:</w:t>
      </w:r>
    </w:p>
    <w:p w14:paraId="46C80730" w14:textId="4FB611BA" w:rsidR="0085330D" w:rsidRPr="005E08A9" w:rsidRDefault="00E4422D" w:rsidP="00CE4E4E">
      <w:pPr>
        <w:numPr>
          <w:ilvl w:val="0"/>
          <w:numId w:val="60"/>
        </w:numPr>
        <w:rPr>
          <w:noProof/>
        </w:rPr>
      </w:pPr>
      <w:hyperlink r:id="rId35" w:history="1">
        <w:r w:rsidR="00FB7662">
          <w:rPr>
            <w:rStyle w:val="Hyperlink"/>
            <w:noProof/>
          </w:rPr>
          <w:t>evropska strategija za unijo pripravljenosti</w:t>
        </w:r>
      </w:hyperlink>
      <w:r w:rsidR="00FB7662">
        <w:rPr>
          <w:noProof/>
        </w:rPr>
        <w:t>,</w:t>
      </w:r>
    </w:p>
    <w:p w14:paraId="6AFA052A" w14:textId="6EE9FCA7" w:rsidR="0085330D" w:rsidRPr="005E08A9" w:rsidRDefault="00E4422D" w:rsidP="00CE4E4E">
      <w:pPr>
        <w:numPr>
          <w:ilvl w:val="0"/>
          <w:numId w:val="60"/>
        </w:numPr>
        <w:rPr>
          <w:noProof/>
        </w:rPr>
      </w:pPr>
      <w:hyperlink r:id="rId36" w:history="1">
        <w:r w:rsidR="007443B2">
          <w:rPr>
            <w:rStyle w:val="Hyperlink"/>
            <w:noProof/>
          </w:rPr>
          <w:t>Prote</w:t>
        </w:r>
        <w:bookmarkStart w:id="4" w:name="_Hlt220955411"/>
        <w:bookmarkStart w:id="5" w:name="_Hlt220955412"/>
        <w:r w:rsidR="007443B2">
          <w:rPr>
            <w:rStyle w:val="Hyperlink"/>
            <w:noProof/>
          </w:rPr>
          <w:t>c</w:t>
        </w:r>
        <w:bookmarkEnd w:id="4"/>
        <w:bookmarkEnd w:id="5"/>
        <w:r w:rsidR="007443B2">
          <w:rPr>
            <w:rStyle w:val="Hyperlink"/>
            <w:noProof/>
          </w:rPr>
          <w:t>tEU – evropska strategija notranje varnosti</w:t>
        </w:r>
      </w:hyperlink>
      <w:r w:rsidR="007443B2">
        <w:rPr>
          <w:noProof/>
        </w:rPr>
        <w:t xml:space="preserve">, </w:t>
      </w:r>
    </w:p>
    <w:p w14:paraId="25389407" w14:textId="2FB3FB3A" w:rsidR="0085330D" w:rsidRPr="005E08A9" w:rsidRDefault="00E4422D" w:rsidP="00CE4E4E">
      <w:pPr>
        <w:numPr>
          <w:ilvl w:val="0"/>
          <w:numId w:val="60"/>
        </w:numPr>
        <w:rPr>
          <w:noProof/>
        </w:rPr>
      </w:pPr>
      <w:hyperlink r:id="rId37" w:history="1">
        <w:r w:rsidR="00FB7662">
          <w:rPr>
            <w:rStyle w:val="Hyperlink"/>
            <w:noProof/>
          </w:rPr>
          <w:t>bela knjiga o prihodnosti evropske obrambe Readiness 2030</w:t>
        </w:r>
      </w:hyperlink>
      <w:r w:rsidR="00FB7662">
        <w:rPr>
          <w:noProof/>
        </w:rPr>
        <w:t xml:space="preserve"> (Pripravljenost 2030) in </w:t>
      </w:r>
      <w:hyperlink r:id="rId38" w:history="1">
        <w:r w:rsidR="00FB7662">
          <w:rPr>
            <w:rStyle w:val="Hyperlink"/>
            <w:noProof/>
          </w:rPr>
          <w:t>načrt za obrambno pripravljenost do leta 2030</w:t>
        </w:r>
      </w:hyperlink>
      <w:r w:rsidR="00FB7662">
        <w:rPr>
          <w:noProof/>
        </w:rPr>
        <w:t>,</w:t>
      </w:r>
    </w:p>
    <w:p w14:paraId="1F7FE80C" w14:textId="3EBF8015" w:rsidR="007465D3" w:rsidRPr="005E08A9" w:rsidRDefault="00E4422D" w:rsidP="00CE4E4E">
      <w:pPr>
        <w:numPr>
          <w:ilvl w:val="0"/>
          <w:numId w:val="60"/>
        </w:numPr>
        <w:rPr>
          <w:noProof/>
        </w:rPr>
      </w:pPr>
      <w:hyperlink r:id="rId39" w:history="1">
        <w:r w:rsidR="00B2084D">
          <w:rPr>
            <w:rStyle w:val="Hyperlink"/>
            <w:noProof/>
          </w:rPr>
          <w:t>načrt EU za preoblikovanje obrambne industrije</w:t>
        </w:r>
      </w:hyperlink>
      <w:r w:rsidR="00B2084D">
        <w:rPr>
          <w:noProof/>
        </w:rPr>
        <w:t xml:space="preserve">. </w:t>
      </w:r>
    </w:p>
    <w:p w14:paraId="76F63DF9" w14:textId="0E819B1E" w:rsidR="00F7057B" w:rsidRPr="005E08A9" w:rsidRDefault="00FB7662" w:rsidP="007465D3">
      <w:pPr>
        <w:rPr>
          <w:noProof/>
        </w:rPr>
      </w:pPr>
      <w:r>
        <w:rPr>
          <w:noProof/>
        </w:rPr>
        <w:t>V teh strategijah je poudarjen pomen izkoriščanja širšega evropskega civilnega raziskovalnega in globokotehnološkega inovacijskega ekosistema za obrambno pripravljenost.</w:t>
      </w:r>
    </w:p>
    <w:p w14:paraId="0FDA648E" w14:textId="297DF724" w:rsidR="4BE69B0E" w:rsidRPr="005E08A9" w:rsidRDefault="00D02439" w:rsidP="00CE4E4E">
      <w:pPr>
        <w:rPr>
          <w:noProof/>
        </w:rPr>
      </w:pPr>
      <w:r>
        <w:rPr>
          <w:noProof/>
        </w:rPr>
        <w:t xml:space="preserve">Z </w:t>
      </w:r>
      <w:hyperlink r:id="rId40">
        <w:r>
          <w:rPr>
            <w:rStyle w:val="Hyperlink"/>
            <w:noProof/>
          </w:rPr>
          <w:t>manjšim zbirnim svežnjem za obrambo</w:t>
        </w:r>
      </w:hyperlink>
      <w:r>
        <w:rPr>
          <w:noProof/>
        </w:rPr>
        <w:t xml:space="preserve"> sta sozakonodajalca dosegla začasni dogovor o razširitvi področja uporabe </w:t>
      </w:r>
      <w:hyperlink r:id="rId41">
        <w:r>
          <w:rPr>
            <w:rStyle w:val="Hyperlink"/>
            <w:noProof/>
          </w:rPr>
          <w:t>platforme za strateške tehnologije za Evropo</w:t>
        </w:r>
      </w:hyperlink>
      <w:r>
        <w:rPr>
          <w:noProof/>
        </w:rPr>
        <w:t xml:space="preserve"> (STEP), tako da zajema obrambne tehnologije, ter o tem, da se s programom </w:t>
      </w:r>
      <w:hyperlink r:id="rId42">
        <w:r>
          <w:rPr>
            <w:rStyle w:val="Hyperlink"/>
            <w:noProof/>
          </w:rPr>
          <w:t>Pospeševalec Evropskega sveta za inovacije</w:t>
        </w:r>
      </w:hyperlink>
      <w:r>
        <w:rPr>
          <w:noProof/>
        </w:rPr>
        <w:t xml:space="preserve"> podprejo inovacije z dvojno rabo in inovacije na področju obrambe. Z vmesnim pregledom kohezijske politike leta 2025 se je okrepila podpora naložbam v okviru STEP ter so se ustvarile nove priložnosti za vključitev novih prednostnih nalog na področju raziskav in inovacij v kohezijske programe. </w:t>
      </w:r>
    </w:p>
    <w:p w14:paraId="7DCDA409" w14:textId="08EBCA62" w:rsidR="0094228C" w:rsidRPr="005E08A9" w:rsidRDefault="00502CD2" w:rsidP="00CE4E4E">
      <w:pPr>
        <w:pStyle w:val="Heading2"/>
        <w:rPr>
          <w:noProof/>
        </w:rPr>
      </w:pPr>
      <w:r>
        <w:rPr>
          <w:noProof/>
        </w:rPr>
        <w:t>Zeleni prehod</w:t>
      </w:r>
    </w:p>
    <w:p w14:paraId="3252853A" w14:textId="4EB8F5AF" w:rsidR="00FA77B7" w:rsidRPr="005E08A9" w:rsidRDefault="00FA77B7" w:rsidP="00CE4E4E">
      <w:pPr>
        <w:spacing w:line="259" w:lineRule="auto"/>
        <w:rPr>
          <w:noProof/>
        </w:rPr>
      </w:pPr>
      <w:r>
        <w:rPr>
          <w:noProof/>
        </w:rPr>
        <w:t xml:space="preserve">Komisija je pospešila zeleni prehod EU z usklajenimi industrijskimi, okoljskimi in raziskovalnimi pobudami, da bi </w:t>
      </w:r>
      <w:r>
        <w:rPr>
          <w:b/>
          <w:noProof/>
        </w:rPr>
        <w:t>razogljičenje</w:t>
      </w:r>
      <w:r>
        <w:rPr>
          <w:noProof/>
        </w:rPr>
        <w:t xml:space="preserve"> preoblikovala v gonilo konkurenčnosti. Februarja je začela izvajati </w:t>
      </w:r>
      <w:hyperlink r:id="rId43">
        <w:r>
          <w:rPr>
            <w:rStyle w:val="Hyperlink"/>
            <w:noProof/>
          </w:rPr>
          <w:t>dogovor o čisti industriji</w:t>
        </w:r>
      </w:hyperlink>
      <w:r>
        <w:rPr>
          <w:noProof/>
        </w:rPr>
        <w:t>, v katerem so določeni ukrepi za energijsko intenzivne panoge, čiste tehnologije in krožnost. Hkrati je bil reformiran Raziskovalni sklad za premog in jeklo, da bi se poenostavile in pospešile naložbe v raziskave in inovacije, ki podpirajo razogljičenje v premogovništvu in jeklarstvu.</w:t>
      </w:r>
    </w:p>
    <w:p w14:paraId="444B3010" w14:textId="7ECE4600" w:rsidR="00016CBE" w:rsidRPr="005E08A9" w:rsidRDefault="00183BB9" w:rsidP="00CE4E4E">
      <w:pPr>
        <w:rPr>
          <w:noProof/>
        </w:rPr>
      </w:pPr>
      <w:r>
        <w:rPr>
          <w:b/>
          <w:noProof/>
        </w:rPr>
        <w:t>Biotska raznovrstnost, voda, oceani in onesnaževanje</w:t>
      </w:r>
      <w:r>
        <w:rPr>
          <w:noProof/>
        </w:rPr>
        <w:t xml:space="preserve"> so bili obravnavani z integriranimi pristopi, ki temeljijo na inovacijah. Eden od primerov na področju biotske raznovrstnosti je bila nova </w:t>
      </w:r>
      <w:hyperlink r:id="rId44" w:history="1">
        <w:r>
          <w:rPr>
            <w:rStyle w:val="Hyperlink"/>
            <w:noProof/>
          </w:rPr>
          <w:t>pravna ureditev monitoringa tal</w:t>
        </w:r>
      </w:hyperlink>
      <w:r>
        <w:rPr>
          <w:noProof/>
        </w:rPr>
        <w:t xml:space="preserve">, s katero se podpira cilj zdravih tal do leta 2050. </w:t>
      </w:r>
      <w:hyperlink r:id="rId45" w:history="1">
        <w:r>
          <w:rPr>
            <w:rStyle w:val="Hyperlink"/>
            <w:noProof/>
          </w:rPr>
          <w:t>Evropska strategija za odpornost v zvezi z vodo</w:t>
        </w:r>
      </w:hyperlink>
      <w:r>
        <w:rPr>
          <w:noProof/>
        </w:rPr>
        <w:t xml:space="preserve"> spodbuja vodno varnost z obnovo vodnega kroga, gospodarstvom, ki pametno ravna z vodo, ter dostopom do čiste in cenovno dostopne vode za vse. Z </w:t>
      </w:r>
      <w:hyperlink r:id="rId46" w:history="1">
        <w:r>
          <w:rPr>
            <w:rStyle w:val="Hyperlink"/>
            <w:noProof/>
          </w:rPr>
          <w:t>evropskim paktom za oceane</w:t>
        </w:r>
      </w:hyperlink>
      <w:r>
        <w:rPr>
          <w:noProof/>
        </w:rPr>
        <w:t xml:space="preserve"> se daje prednost raziskavam oceanov, spretnostim in inovacijam. </w:t>
      </w:r>
    </w:p>
    <w:p w14:paraId="4DB47A6E" w14:textId="77777777" w:rsidR="005E2AE4" w:rsidRDefault="00016CBE" w:rsidP="00CE4E4E">
      <w:pPr>
        <w:rPr>
          <w:noProof/>
        </w:rPr>
      </w:pPr>
      <w:r>
        <w:rPr>
          <w:b/>
          <w:noProof/>
        </w:rPr>
        <w:t>Podnebna in energetska politika sta se še naprej močno opirali na znanost in inovacije.</w:t>
      </w:r>
      <w:r>
        <w:rPr>
          <w:noProof/>
        </w:rPr>
        <w:t xml:space="preserve"> Nove pobude v letu 2025 so vključevale objavo </w:t>
      </w:r>
      <w:hyperlink r:id="rId47" w:history="1">
        <w:r>
          <w:rPr>
            <w:rStyle w:val="Hyperlink"/>
            <w:noProof/>
          </w:rPr>
          <w:t>strateškega načrta za raziskave in inovacije na področju zdravja in podnebnih sprememb</w:t>
        </w:r>
      </w:hyperlink>
      <w:r>
        <w:rPr>
          <w:noProof/>
        </w:rPr>
        <w:t>.</w:t>
      </w:r>
      <w:r>
        <w:rPr>
          <w:rFonts w:ascii="Aptos" w:hAnsi="Aptos"/>
          <w:noProof/>
          <w:sz w:val="22"/>
        </w:rPr>
        <w:t xml:space="preserve"> </w:t>
      </w:r>
      <w:r>
        <w:rPr>
          <w:noProof/>
        </w:rPr>
        <w:t xml:space="preserve">Na področju energetike se je z </w:t>
      </w:r>
      <w:hyperlink r:id="rId48" w:history="1">
        <w:r>
          <w:rPr>
            <w:rStyle w:val="Hyperlink"/>
            <w:noProof/>
          </w:rPr>
          <w:t>akcijskim načrtom za cenovno dostopno energijo</w:t>
        </w:r>
      </w:hyperlink>
      <w:r>
        <w:rPr>
          <w:noProof/>
        </w:rPr>
        <w:t xml:space="preserve">, </w:t>
      </w:r>
      <w:hyperlink r:id="rId49" w:history="1">
        <w:r>
          <w:rPr>
            <w:rStyle w:val="Hyperlink"/>
            <w:noProof/>
          </w:rPr>
          <w:t>poročilom o napredku na področju konkurenčnosti tehnologij za čisto energijo za leto 2025</w:t>
        </w:r>
      </w:hyperlink>
      <w:r>
        <w:rPr>
          <w:noProof/>
        </w:rPr>
        <w:t xml:space="preserve">, </w:t>
      </w:r>
      <w:hyperlink r:id="rId50" w:history="1">
        <w:r>
          <w:rPr>
            <w:rStyle w:val="Hyperlink"/>
            <w:noProof/>
          </w:rPr>
          <w:t>sporočilom o inovativnih tehnologijah za energijo iz obnovljivih virov</w:t>
        </w:r>
      </w:hyperlink>
      <w:r>
        <w:rPr>
          <w:noProof/>
        </w:rPr>
        <w:t xml:space="preserve"> in </w:t>
      </w:r>
      <w:hyperlink r:id="rId51" w:history="1">
        <w:r>
          <w:rPr>
            <w:rStyle w:val="Hyperlink"/>
            <w:noProof/>
          </w:rPr>
          <w:t>svežnjem za evropska omrežja</w:t>
        </w:r>
      </w:hyperlink>
      <w:r>
        <w:rPr>
          <w:noProof/>
        </w:rPr>
        <w:t xml:space="preserve"> dodatno okrepila vloga inovacij pri pospeševanju stroškovno učinkovitega uvajanja čiste energije.</w:t>
      </w:r>
    </w:p>
    <w:p w14:paraId="25A5655E" w14:textId="73220B71" w:rsidR="0094228C" w:rsidRPr="005E08A9" w:rsidRDefault="0094228C" w:rsidP="00CE4E4E">
      <w:pPr>
        <w:pStyle w:val="Heading2"/>
        <w:rPr>
          <w:noProof/>
        </w:rPr>
      </w:pPr>
      <w:r>
        <w:rPr>
          <w:noProof/>
        </w:rPr>
        <w:t>Umetna inteligenca in digitalni prehod</w:t>
      </w:r>
    </w:p>
    <w:p w14:paraId="5D88C644" w14:textId="1F57AD15" w:rsidR="009F292C" w:rsidRPr="00A4763C" w:rsidRDefault="009F292C" w:rsidP="00CE4E4E">
      <w:pPr>
        <w:rPr>
          <w:noProof/>
        </w:rPr>
      </w:pPr>
      <w:r>
        <w:rPr>
          <w:noProof/>
        </w:rPr>
        <w:t xml:space="preserve">Komisija je oktobra sprejela </w:t>
      </w:r>
      <w:hyperlink r:id="rId52" w:anchor="resource-for-ai-science-in-europe-raise" w:history="1">
        <w:r>
          <w:rPr>
            <w:rStyle w:val="Hyperlink"/>
            <w:b/>
            <w:noProof/>
          </w:rPr>
          <w:t>strategijo za uporabo umetne inteligence v znanosti</w:t>
        </w:r>
      </w:hyperlink>
      <w:r>
        <w:rPr>
          <w:noProof/>
        </w:rPr>
        <w:t xml:space="preserve">. Eden od vodilnih projektov je vzpostavitev virtualnega inštituta RAISE (vir za znanost o umetni inteligenci v Evropi), ki bo združeval in usklajeval evropske nadarjene znanstvenike in znanstveno odličnost, računalniško zmogljivost, znanstvene podatke in financiranje raziskav. </w:t>
      </w:r>
    </w:p>
    <w:p w14:paraId="16C0D54B" w14:textId="23CAA9FB" w:rsidR="009362B3" w:rsidRPr="005E08A9" w:rsidRDefault="003813D3" w:rsidP="00CE4E4E">
      <w:pPr>
        <w:rPr>
          <w:noProof/>
          <w:color w:val="000000" w:themeColor="text1"/>
        </w:rPr>
      </w:pPr>
      <w:r>
        <w:rPr>
          <w:noProof/>
          <w:color w:val="000000" w:themeColor="text1"/>
        </w:rPr>
        <w:t xml:space="preserve">Delo na področju raziskav in inovacij so usmerjale tudi naslednje novosti na področju digitalne tehnologije. </w:t>
      </w:r>
    </w:p>
    <w:p w14:paraId="12426A65" w14:textId="5F728C87" w:rsidR="009B29A4" w:rsidRPr="005E08A9" w:rsidRDefault="00DA04EB" w:rsidP="00CE4E4E">
      <w:pPr>
        <w:numPr>
          <w:ilvl w:val="0"/>
          <w:numId w:val="67"/>
        </w:numPr>
        <w:rPr>
          <w:rFonts w:ascii="Times New Roman_MSFontService" w:eastAsia="Times New Roman_MSFontService" w:hAnsi="Times New Roman_MSFontService" w:cs="Times New Roman_MSFontService"/>
          <w:noProof/>
          <w:color w:val="000000" w:themeColor="text1"/>
        </w:rPr>
      </w:pPr>
      <w:r>
        <w:rPr>
          <w:noProof/>
          <w:color w:val="000000" w:themeColor="text1"/>
        </w:rPr>
        <w:t xml:space="preserve">Na področju </w:t>
      </w:r>
      <w:r>
        <w:rPr>
          <w:b/>
          <w:noProof/>
          <w:color w:val="000000" w:themeColor="text1"/>
        </w:rPr>
        <w:t>umetne inteligence</w:t>
      </w:r>
      <w:r>
        <w:rPr>
          <w:noProof/>
          <w:color w:val="000000" w:themeColor="text1"/>
        </w:rPr>
        <w:t xml:space="preserve"> je Komisija pri prehodu</w:t>
      </w:r>
      <w:r>
        <w:rPr>
          <w:rFonts w:ascii="Times New Roman_MSFontService" w:hAnsi="Times New Roman_MSFontService"/>
          <w:noProof/>
          <w:color w:val="000000" w:themeColor="text1"/>
        </w:rPr>
        <w:t xml:space="preserve"> od regulacije k izvajanju sprejela </w:t>
      </w:r>
      <w:hyperlink r:id="rId53" w:history="1">
        <w:r>
          <w:rPr>
            <w:rStyle w:val="Hyperlink"/>
            <w:rFonts w:ascii="Times New Roman_MSFontService" w:hAnsi="Times New Roman_MSFontService"/>
            <w:noProof/>
          </w:rPr>
          <w:t>akcijski načrt za celino umetne inteligence</w:t>
        </w:r>
      </w:hyperlink>
      <w:r>
        <w:rPr>
          <w:rFonts w:ascii="Times New Roman_MSFontService" w:hAnsi="Times New Roman_MSFontService"/>
          <w:noProof/>
          <w:color w:val="000000" w:themeColor="text1"/>
        </w:rPr>
        <w:t xml:space="preserve"> in </w:t>
      </w:r>
      <w:hyperlink r:id="rId54" w:history="1">
        <w:r>
          <w:rPr>
            <w:rStyle w:val="Hyperlink"/>
            <w:rFonts w:ascii="Times New Roman_MSFontService" w:hAnsi="Times New Roman_MSFontService"/>
            <w:noProof/>
          </w:rPr>
          <w:t>strategijo za uporabo umetne inteligence</w:t>
        </w:r>
      </w:hyperlink>
      <w:r>
        <w:rPr>
          <w:rFonts w:ascii="Times New Roman_MSFontService" w:hAnsi="Times New Roman_MSFontService"/>
          <w:noProof/>
          <w:color w:val="000000" w:themeColor="text1"/>
        </w:rPr>
        <w:t xml:space="preserve">. Po napovedi pobude </w:t>
      </w:r>
      <w:hyperlink r:id="rId55" w:history="1">
        <w:r>
          <w:rPr>
            <w:rStyle w:val="Hyperlink"/>
            <w:rFonts w:ascii="Times New Roman_MSFontService" w:hAnsi="Times New Roman_MSFontService"/>
            <w:noProof/>
          </w:rPr>
          <w:t>InvestAI</w:t>
        </w:r>
      </w:hyperlink>
      <w:r>
        <w:rPr>
          <w:rFonts w:ascii="Times New Roman_MSFontService" w:hAnsi="Times New Roman_MSFontService"/>
          <w:noProof/>
          <w:color w:val="000000" w:themeColor="text1"/>
        </w:rPr>
        <w:t xml:space="preserve"> je EU </w:t>
      </w:r>
      <w:hyperlink r:id="rId56" w:history="1">
        <w:r>
          <w:rPr>
            <w:rStyle w:val="Hyperlink"/>
            <w:rFonts w:ascii="Times New Roman_MSFontService" w:hAnsi="Times New Roman_MSFontService"/>
            <w:noProof/>
          </w:rPr>
          <w:t>razširila mrežo tovarn umetne inteligence</w:t>
        </w:r>
      </w:hyperlink>
      <w:r>
        <w:rPr>
          <w:rFonts w:ascii="Times New Roman_MSFontService" w:hAnsi="Times New Roman_MSFontService"/>
          <w:noProof/>
          <w:color w:val="000000" w:themeColor="text1"/>
        </w:rPr>
        <w:t xml:space="preserve"> ter tako okrepila svojo ambicijo, da postane „celina umetne inteligence“, ki bo utirala pot prihodnjim gigatovarnam umetne inteligence. </w:t>
      </w:r>
    </w:p>
    <w:p w14:paraId="117D07ED" w14:textId="55967E5A" w:rsidR="009B29A4" w:rsidRPr="005E08A9" w:rsidRDefault="59EA4893" w:rsidP="00CE4E4E">
      <w:pPr>
        <w:numPr>
          <w:ilvl w:val="0"/>
          <w:numId w:val="67"/>
        </w:numPr>
        <w:rPr>
          <w:rFonts w:ascii="Times New Roman_MSFontService" w:eastAsia="Times New Roman_MSFontService" w:hAnsi="Times New Roman_MSFontService" w:cs="Times New Roman_MSFontService"/>
          <w:noProof/>
          <w:color w:val="000000" w:themeColor="text1"/>
        </w:rPr>
      </w:pPr>
      <w:r>
        <w:rPr>
          <w:noProof/>
          <w:color w:val="000000" w:themeColor="text1"/>
        </w:rPr>
        <w:t xml:space="preserve">Na področju </w:t>
      </w:r>
      <w:r>
        <w:rPr>
          <w:b/>
          <w:noProof/>
          <w:color w:val="000000" w:themeColor="text1"/>
        </w:rPr>
        <w:t>kvantne tehnologije</w:t>
      </w:r>
      <w:r>
        <w:rPr>
          <w:noProof/>
          <w:color w:val="000000" w:themeColor="text1"/>
        </w:rPr>
        <w:t xml:space="preserve"> je Komisija uvedla </w:t>
      </w:r>
      <w:hyperlink r:id="rId57" w:history="1">
        <w:r>
          <w:rPr>
            <w:rStyle w:val="Hyperlink"/>
            <w:noProof/>
          </w:rPr>
          <w:t>strategijo za kvantno Evropo</w:t>
        </w:r>
      </w:hyperlink>
      <w:r>
        <w:rPr>
          <w:noProof/>
          <w:color w:val="000000" w:themeColor="text1"/>
        </w:rPr>
        <w:t>, katere cilj je, da Evropa do leta 2030 postane vodilna v svetu na tem področju.</w:t>
      </w:r>
      <w:r>
        <w:rPr>
          <w:noProof/>
        </w:rPr>
        <w:t xml:space="preserve"> </w:t>
      </w:r>
    </w:p>
    <w:p w14:paraId="7B5E70F8" w14:textId="0C1FD764" w:rsidR="59EA4893" w:rsidRPr="00A4763C" w:rsidRDefault="002874FE" w:rsidP="00CE4E4E">
      <w:pPr>
        <w:numPr>
          <w:ilvl w:val="0"/>
          <w:numId w:val="67"/>
        </w:numPr>
        <w:rPr>
          <w:rFonts w:ascii="Times New Roman_MSFontService" w:eastAsia="Times New Roman_MSFontService" w:hAnsi="Times New Roman_MSFontService" w:cs="Times New Roman_MSFontService"/>
          <w:noProof/>
          <w:color w:val="000000" w:themeColor="text1"/>
        </w:rPr>
      </w:pPr>
      <w:r>
        <w:rPr>
          <w:noProof/>
        </w:rPr>
        <w:t xml:space="preserve">Razširjen je bil </w:t>
      </w:r>
      <w:r>
        <w:rPr>
          <w:b/>
          <w:noProof/>
        </w:rPr>
        <w:t>oblak za kulturno dediščino</w:t>
      </w:r>
      <w:r>
        <w:rPr>
          <w:noProof/>
        </w:rPr>
        <w:t>, ki zdaj vključuje 187 partnerskih organizacij iz vseh držav članic in pridruženih držav programa Obzorje Evropa.</w:t>
      </w:r>
    </w:p>
    <w:p w14:paraId="10BCAC8A" w14:textId="4A60752C" w:rsidR="00DE2D01" w:rsidRPr="005E7B29" w:rsidRDefault="00DE2D01" w:rsidP="00DE2D01">
      <w:pPr>
        <w:numPr>
          <w:ilvl w:val="0"/>
          <w:numId w:val="67"/>
        </w:numPr>
        <w:rPr>
          <w:rFonts w:ascii="Times New Roman_MSFontService" w:eastAsia="Times New Roman_MSFontService" w:hAnsi="Times New Roman_MSFontService" w:cs="Times New Roman_MSFontService"/>
          <w:noProof/>
          <w:color w:val="000000" w:themeColor="text1"/>
        </w:rPr>
      </w:pPr>
      <w:r>
        <w:rPr>
          <w:noProof/>
        </w:rPr>
        <w:t xml:space="preserve">Predsednica von der Leyen je junija na konferenci Združenih narodov o oceanih predstavila prototip </w:t>
      </w:r>
      <w:hyperlink r:id="rId58" w:history="1">
        <w:r>
          <w:rPr>
            <w:rStyle w:val="Hyperlink"/>
            <w:noProof/>
          </w:rPr>
          <w:t>evropskega digitalnega dvojčka oceana</w:t>
        </w:r>
      </w:hyperlink>
      <w:r>
        <w:rPr>
          <w:noProof/>
        </w:rPr>
        <w:t>.</w:t>
      </w:r>
    </w:p>
    <w:p w14:paraId="3EEDB1FA" w14:textId="717BE688" w:rsidR="00B02240" w:rsidRPr="005E08A9" w:rsidRDefault="00B02240" w:rsidP="00DE2D01">
      <w:pPr>
        <w:numPr>
          <w:ilvl w:val="0"/>
          <w:numId w:val="67"/>
        </w:numPr>
        <w:rPr>
          <w:rFonts w:ascii="Times New Roman_MSFontService" w:eastAsia="Times New Roman_MSFontService" w:hAnsi="Times New Roman_MSFontService" w:cs="Times New Roman_MSFontService"/>
          <w:noProof/>
          <w:color w:val="000000" w:themeColor="text1"/>
        </w:rPr>
      </w:pPr>
      <w:r>
        <w:rPr>
          <w:noProof/>
        </w:rPr>
        <w:t xml:space="preserve">Sprejeta je bila </w:t>
      </w:r>
      <w:hyperlink r:id="rId59" w:history="1">
        <w:r>
          <w:rPr>
            <w:rStyle w:val="Hyperlink"/>
            <w:noProof/>
          </w:rPr>
          <w:t>mednarodna digitalna strategija</w:t>
        </w:r>
      </w:hyperlink>
      <w:r>
        <w:rPr>
          <w:noProof/>
        </w:rPr>
        <w:t>, katere cilj je v sodelovanju s partnerji in zavezniki okrepiti tehnološko konkurenčnost EU in inovacijsko zmogljivost.</w:t>
      </w:r>
    </w:p>
    <w:p w14:paraId="1A16BF07" w14:textId="5AA1B369" w:rsidR="00517B47" w:rsidRPr="005E08A9" w:rsidRDefault="00113055" w:rsidP="00CE4E4E">
      <w:pPr>
        <w:pStyle w:val="Heading2"/>
        <w:rPr>
          <w:noProof/>
        </w:rPr>
      </w:pPr>
      <w:r>
        <w:rPr>
          <w:noProof/>
        </w:rPr>
        <w:t>Partnerstvo z državami članicami</w:t>
      </w:r>
    </w:p>
    <w:p w14:paraId="47771F5D" w14:textId="17BD25A0" w:rsidR="30547438" w:rsidRPr="005E08A9" w:rsidRDefault="30547438" w:rsidP="00CE4E4E">
      <w:pPr>
        <w:rPr>
          <w:noProof/>
          <w:color w:val="000000" w:themeColor="text1"/>
        </w:rPr>
      </w:pPr>
      <w:r>
        <w:rPr>
          <w:noProof/>
          <w:color w:val="000000" w:themeColor="text1"/>
        </w:rPr>
        <w:t xml:space="preserve">Kar zadeva ukrepe na področju raziskav in inovacij v okviru </w:t>
      </w:r>
      <w:r>
        <w:rPr>
          <w:b/>
          <w:noProof/>
          <w:color w:val="000000" w:themeColor="text1"/>
        </w:rPr>
        <w:t>mehanizma za okrevanje in odpornost</w:t>
      </w:r>
      <w:r>
        <w:rPr>
          <w:noProof/>
          <w:color w:val="000000" w:themeColor="text1"/>
        </w:rPr>
        <w:t xml:space="preserve"> (RRF), je bilo na tem področju doseženih 351 mejnikov in ciljev. </w:t>
      </w:r>
      <w:r>
        <w:rPr>
          <w:noProof/>
        </w:rPr>
        <w:t xml:space="preserve">Glede na </w:t>
      </w:r>
      <w:hyperlink r:id="rId60" w:history="1">
        <w:r>
          <w:rPr>
            <w:rStyle w:val="Hyperlink"/>
            <w:noProof/>
          </w:rPr>
          <w:t>študijo o raziskavah in inovacijah v okviru RRF</w:t>
        </w:r>
      </w:hyperlink>
      <w:r>
        <w:rPr>
          <w:noProof/>
          <w:color w:val="000000" w:themeColor="text1"/>
        </w:rPr>
        <w:t xml:space="preserve"> se je model mehanizma za okrevanje in odpornost izkazal kot učinkovit pri spodbujanju naložb v raziskave in inovacije ter preobrazbenih reform po vsej EU. Kar zadeva sinergije s kohezijsko politiko, se na Malti in v Litvi izvajajo prerazporeditve proračunskih sredstev iz Evropskega sklada za regionalni razvoj v program Obzorje Evropa.  </w:t>
      </w:r>
    </w:p>
    <w:p w14:paraId="220D06A6" w14:textId="659835AD" w:rsidR="30547438" w:rsidRPr="005E08A9" w:rsidRDefault="0053284D" w:rsidP="00CE4E4E">
      <w:pPr>
        <w:rPr>
          <w:noProof/>
          <w:color w:val="000000" w:themeColor="text1"/>
        </w:rPr>
      </w:pPr>
      <w:r>
        <w:rPr>
          <w:noProof/>
          <w:color w:val="000000" w:themeColor="text1"/>
        </w:rPr>
        <w:t xml:space="preserve">Dvostranske razprave med Komisijo in državami članicami so se med letom poglobile z </w:t>
      </w:r>
      <w:r>
        <w:rPr>
          <w:b/>
          <w:noProof/>
          <w:color w:val="000000" w:themeColor="text1"/>
        </w:rPr>
        <w:t>okrepljenim dialogom</w:t>
      </w:r>
      <w:r>
        <w:rPr>
          <w:noProof/>
          <w:color w:val="000000" w:themeColor="text1"/>
        </w:rPr>
        <w:t xml:space="preserve"> z Dansko, Bolgarijo, Portugalsko, Finsko in Španijo. Poleg tega je </w:t>
      </w:r>
      <w:r>
        <w:rPr>
          <w:b/>
          <w:noProof/>
          <w:color w:val="000000" w:themeColor="text1"/>
        </w:rPr>
        <w:t>instrument za podporo politikam</w:t>
      </w:r>
      <w:r>
        <w:rPr>
          <w:noProof/>
          <w:color w:val="000000" w:themeColor="text1"/>
        </w:rPr>
        <w:t xml:space="preserve"> državam članicam in pridruženim državam še naprej zagotavljal pomoč pri reformi svojih sistemov raziskav in inovacij. Specifične dejavnosti za Bolgarijo, Češko, Finsko in Ukrajino so se zaključile. Izvedene so bile dejavnosti vzajemnega učenja o raziskovalnih poklicih, nacionalnih politikah za umetno inteligenco v znanosti, premoščanju vrzeli med znanostjo in politiko ter vključevanju javnosti v raziskave in inovacije, pri čemer je sodelovalo veliko držav. Poleg tega je bilo objavljeno triletno </w:t>
      </w:r>
      <w:hyperlink r:id="rId61" w:history="1">
        <w:r>
          <w:rPr>
            <w:rStyle w:val="Hyperlink"/>
            <w:noProof/>
          </w:rPr>
          <w:t>poročilo She Figures</w:t>
        </w:r>
      </w:hyperlink>
      <w:r>
        <w:rPr>
          <w:noProof/>
          <w:color w:val="000000" w:themeColor="text1"/>
        </w:rPr>
        <w:t xml:space="preserve"> (Podatki o ženskah) za podporo državam članicam in deležnikom pri izboljšanju enakosti spolov v evropskem raziskovalnem prostoru.</w:t>
      </w:r>
    </w:p>
    <w:p w14:paraId="025EA450" w14:textId="0FF1CD77" w:rsidR="454F4072" w:rsidRPr="005E08A9" w:rsidRDefault="00860465" w:rsidP="00CE4E4E">
      <w:pPr>
        <w:rPr>
          <w:i/>
          <w:iCs/>
          <w:noProof/>
        </w:rPr>
      </w:pPr>
      <w:r>
        <w:rPr>
          <w:noProof/>
          <w:color w:val="000000" w:themeColor="text1"/>
        </w:rPr>
        <w:t xml:space="preserve">Evropska komisija in </w:t>
      </w:r>
      <w:r>
        <w:rPr>
          <w:b/>
          <w:noProof/>
          <w:color w:val="000000" w:themeColor="text1"/>
        </w:rPr>
        <w:t>OECD</w:t>
      </w:r>
      <w:r>
        <w:rPr>
          <w:noProof/>
          <w:color w:val="000000" w:themeColor="text1"/>
        </w:rPr>
        <w:t xml:space="preserve"> sta uvedla nov </w:t>
      </w:r>
      <w:hyperlink r:id="rId62" w:history="1">
        <w:r>
          <w:rPr>
            <w:rStyle w:val="Hyperlink"/>
            <w:noProof/>
          </w:rPr>
          <w:t>kompas za znanstveno, tehnološko in inovacijsko politiko</w:t>
        </w:r>
      </w:hyperlink>
      <w:r>
        <w:rPr>
          <w:noProof/>
          <w:color w:val="000000" w:themeColor="text1"/>
        </w:rPr>
        <w:t xml:space="preserve">, ki na eni platformi združuje podatke o pobudah in trendih politik na področju raziskav in inovacij. </w:t>
      </w:r>
    </w:p>
    <w:p w14:paraId="75AB35F9" w14:textId="599CA67D" w:rsidR="00517B47" w:rsidRPr="005E08A9" w:rsidRDefault="00502CD2" w:rsidP="00CE4E4E">
      <w:pPr>
        <w:pStyle w:val="Heading2"/>
        <w:rPr>
          <w:noProof/>
        </w:rPr>
      </w:pPr>
      <w:r>
        <w:rPr>
          <w:noProof/>
        </w:rPr>
        <w:t xml:space="preserve">Globalna Evropa </w:t>
      </w:r>
    </w:p>
    <w:p w14:paraId="5C006F8D" w14:textId="5EBA9FC0" w:rsidR="008A10A4" w:rsidRPr="005E08A9" w:rsidRDefault="008A10A4" w:rsidP="00CE4E4E">
      <w:pPr>
        <w:pStyle w:val="NormalWeb"/>
        <w:spacing w:before="120" w:beforeAutospacing="0" w:after="120" w:afterAutospacing="0"/>
        <w:jc w:val="both"/>
        <w:rPr>
          <w:noProof/>
        </w:rPr>
      </w:pPr>
      <w:r>
        <w:rPr>
          <w:noProof/>
        </w:rPr>
        <w:t xml:space="preserve">Evropska unija je še naprej podpirala okrevanje </w:t>
      </w:r>
      <w:r>
        <w:rPr>
          <w:b/>
          <w:noProof/>
        </w:rPr>
        <w:t>Ukrajine</w:t>
      </w:r>
      <w:r>
        <w:rPr>
          <w:noProof/>
        </w:rPr>
        <w:t>, in sicer je skupaj z Ukrajino, Italijo in Unescom vzpostavila mednarodno koalicijo za raziskave, znanost in inovacije v Ukrajini.</w:t>
      </w:r>
    </w:p>
    <w:p w14:paraId="465A1500" w14:textId="4E593035" w:rsidR="008A10A4" w:rsidRPr="005E08A9" w:rsidRDefault="0041144F" w:rsidP="00CE4E4E">
      <w:pPr>
        <w:pStyle w:val="NormalWeb"/>
        <w:spacing w:before="120" w:beforeAutospacing="0" w:after="120" w:afterAutospacing="0"/>
        <w:jc w:val="both"/>
        <w:rPr>
          <w:noProof/>
        </w:rPr>
      </w:pPr>
      <w:r>
        <w:rPr>
          <w:noProof/>
        </w:rPr>
        <w:t xml:space="preserve">Okrepila so se tudi partnerstva z </w:t>
      </w:r>
      <w:r>
        <w:rPr>
          <w:b/>
          <w:noProof/>
        </w:rPr>
        <w:t>Afriko</w:t>
      </w:r>
      <w:r>
        <w:rPr>
          <w:noProof/>
        </w:rPr>
        <w:t xml:space="preserve"> in </w:t>
      </w:r>
      <w:r>
        <w:rPr>
          <w:b/>
          <w:noProof/>
        </w:rPr>
        <w:t>Sredozemljem</w:t>
      </w:r>
      <w:r>
        <w:rPr>
          <w:noProof/>
        </w:rPr>
        <w:t xml:space="preserve">, zlasti s pogajanji za sporazum med EU in </w:t>
      </w:r>
      <w:r>
        <w:rPr>
          <w:b/>
          <w:noProof/>
        </w:rPr>
        <w:t>Nigerijo</w:t>
      </w:r>
      <w:r>
        <w:rPr>
          <w:noProof/>
        </w:rPr>
        <w:t xml:space="preserve"> o znanosti in tehnologiji ter podaljšanjem sporazumov PRIMA z </w:t>
      </w:r>
      <w:r>
        <w:rPr>
          <w:b/>
          <w:noProof/>
        </w:rPr>
        <w:t>Jordanijo</w:t>
      </w:r>
      <w:r>
        <w:rPr>
          <w:noProof/>
        </w:rPr>
        <w:t xml:space="preserve">, </w:t>
      </w:r>
      <w:r>
        <w:rPr>
          <w:b/>
          <w:noProof/>
        </w:rPr>
        <w:t>Libanonom</w:t>
      </w:r>
      <w:r>
        <w:rPr>
          <w:noProof/>
        </w:rPr>
        <w:t xml:space="preserve"> in </w:t>
      </w:r>
      <w:r>
        <w:rPr>
          <w:b/>
          <w:noProof/>
        </w:rPr>
        <w:t>Marokom</w:t>
      </w:r>
      <w:r>
        <w:rPr>
          <w:noProof/>
        </w:rPr>
        <w:t xml:space="preserve">. Poglobilo se je strateško sodelovanje s ključnimi svetovnimi partnerji, tudi prek Sveta za trgovino in tehnologijo med EU in </w:t>
      </w:r>
      <w:r>
        <w:rPr>
          <w:b/>
          <w:noProof/>
        </w:rPr>
        <w:t>Indijo</w:t>
      </w:r>
      <w:r>
        <w:rPr>
          <w:noProof/>
        </w:rPr>
        <w:t xml:space="preserve">. Sodelovanje z </w:t>
      </w:r>
      <w:r>
        <w:rPr>
          <w:b/>
          <w:noProof/>
        </w:rPr>
        <w:t>Latinsko Ameriko in Karibi</w:t>
      </w:r>
      <w:r>
        <w:rPr>
          <w:noProof/>
        </w:rPr>
        <w:t xml:space="preserve"> je dobilo zagon s prvim ministrskim srečanjem EU in CELAC o raziskavah in inovacijah.</w:t>
      </w:r>
    </w:p>
    <w:p w14:paraId="0807D723" w14:textId="78A03853" w:rsidR="00A92E41" w:rsidRPr="005E08A9" w:rsidRDefault="00D63CCA" w:rsidP="00CE4E4E">
      <w:pPr>
        <w:rPr>
          <w:noProof/>
        </w:rPr>
      </w:pPr>
      <w:r>
        <w:rPr>
          <w:noProof/>
        </w:rPr>
        <w:t xml:space="preserve">Čeprav se je leto začelo z uspešnim podaljšanjem sporazuma o znanosti in tehnologiji med </w:t>
      </w:r>
      <w:r>
        <w:rPr>
          <w:b/>
          <w:noProof/>
        </w:rPr>
        <w:t>EU in ZDA</w:t>
      </w:r>
      <w:r>
        <w:rPr>
          <w:noProof/>
        </w:rPr>
        <w:t xml:space="preserve">, so poznejše spremembe v politiki ZDA vplivale na ključna področja, kot so podnebni ukrepi. V takih razmerah je EU ohranila odprt dialog in okrepila večstranske pobude, zlasti na področju podnebja in opazovanja oceanov. </w:t>
      </w:r>
    </w:p>
    <w:p w14:paraId="51AF53BD" w14:textId="47268B60" w:rsidR="0043634A" w:rsidRDefault="00CF32A5" w:rsidP="00A4763C">
      <w:pPr>
        <w:pStyle w:val="NormalWeb"/>
        <w:spacing w:before="120" w:beforeAutospacing="0" w:after="120" w:afterAutospacing="0"/>
        <w:jc w:val="both"/>
        <w:rPr>
          <w:noProof/>
        </w:rPr>
      </w:pPr>
      <w:r>
        <w:rPr>
          <w:noProof/>
        </w:rPr>
        <w:t xml:space="preserve">Taka zavezanost </w:t>
      </w:r>
      <w:r>
        <w:rPr>
          <w:b/>
          <w:noProof/>
        </w:rPr>
        <w:t>multilateralizmu</w:t>
      </w:r>
      <w:r>
        <w:rPr>
          <w:noProof/>
        </w:rPr>
        <w:t xml:space="preserve"> se je odražala v sprejetju svežnja G20 v Tshwaneju, ki spodbuja odprte inovacije, ter v okrepljeni vlogi EU v svetovni znanstveni diplomaciji. Komisija je poleg tega sopredsedovala svetovnemu forumu Skupine za opazovanje Zemlje 2025 ter predsedovala </w:t>
      </w:r>
      <w:hyperlink r:id="rId63" w:anchor=":~:text=What%20is%20the%20All-Atlantic%20Ocean%20Research%20and%20Innovation,Atlantic%20to%20enhance%20marine%20research%20and%20innovation%20cooperation." w:history="1">
        <w:r>
          <w:rPr>
            <w:rStyle w:val="Hyperlink"/>
            <w:noProof/>
          </w:rPr>
          <w:t>Vseatlantskemu zavezništvu za raziskovanje oceanov in inovacije</w:t>
        </w:r>
      </w:hyperlink>
      <w:r>
        <w:rPr>
          <w:noProof/>
        </w:rPr>
        <w:t xml:space="preserve">. Septembra je organizirala forum zavezništva, na katerem sta bila vzpostavljena </w:t>
      </w:r>
      <w:hyperlink r:id="rId64" w:history="1">
        <w:r>
          <w:rPr>
            <w:rStyle w:val="Hyperlink"/>
            <w:noProof/>
          </w:rPr>
          <w:t>čezatlantska mreža demonstracijskih lokacij za obalno odpornost</w:t>
        </w:r>
      </w:hyperlink>
      <w:r>
        <w:rPr>
          <w:noProof/>
        </w:rPr>
        <w:t xml:space="preserve"> in </w:t>
      </w:r>
      <w:hyperlink r:id="rId65" w:anchor=":~:text=Brussels%2C%2025%20September%202025%20%E2%80%93%20The%20All-Atlantic%20Ocean,empower%20ocean%20professionals%20across%20generations%2C%20cultures%2C%20and%20continents." w:history="1">
        <w:r>
          <w:rPr>
            <w:rStyle w:val="Hyperlink"/>
            <w:noProof/>
          </w:rPr>
          <w:t>modri medgeneracijski program</w:t>
        </w:r>
      </w:hyperlink>
      <w:r>
        <w:rPr>
          <w:noProof/>
        </w:rPr>
        <w:t xml:space="preserve">. V okviru pobude </w:t>
      </w:r>
      <w:r>
        <w:rPr>
          <w:b/>
          <w:noProof/>
        </w:rPr>
        <w:t>Misija: inovativnost</w:t>
      </w:r>
      <w:r>
        <w:rPr>
          <w:noProof/>
        </w:rPr>
        <w:t xml:space="preserve"> je EU pospešila prehod na čisto energijo ter opredelila 101 projekt vodikovih dolin v 38 državah.</w:t>
      </w:r>
    </w:p>
    <w:p w14:paraId="1B4BF6FE" w14:textId="417811F4" w:rsidR="00323869" w:rsidRPr="00A4763C" w:rsidRDefault="00323869" w:rsidP="00A4763C">
      <w:pPr>
        <w:pStyle w:val="NormalWeb"/>
        <w:spacing w:before="120" w:beforeAutospacing="0" w:after="120" w:afterAutospacing="0"/>
        <w:jc w:val="both"/>
        <w:rPr>
          <w:noProof/>
        </w:rPr>
      </w:pPr>
      <w:r>
        <w:rPr>
          <w:noProof/>
        </w:rPr>
        <w:t xml:space="preserve">Program Obzorje Evropa ima ključno vlogo pri podpori prednostnih področij strategije </w:t>
      </w:r>
      <w:hyperlink r:id="rId66" w:history="1">
        <w:r>
          <w:rPr>
            <w:rStyle w:val="Hyperlink"/>
            <w:noProof/>
          </w:rPr>
          <w:t>Global Gateway</w:t>
        </w:r>
      </w:hyperlink>
      <w:r>
        <w:rPr>
          <w:noProof/>
        </w:rPr>
        <w:t>.</w:t>
      </w:r>
    </w:p>
    <w:p w14:paraId="444287C5" w14:textId="2CBDB5DF" w:rsidR="003914AE" w:rsidRPr="005E08A9" w:rsidRDefault="003914AE" w:rsidP="00CE4E4E">
      <w:pPr>
        <w:pStyle w:val="Heading2"/>
        <w:rPr>
          <w:noProof/>
        </w:rPr>
      </w:pPr>
      <w:r>
        <w:rPr>
          <w:noProof/>
        </w:rPr>
        <w:t>Nejedrski neposredni ukrepi, ki jih izvaja Skupno raziskovalno središče Komisije</w:t>
      </w:r>
    </w:p>
    <w:p w14:paraId="135DE09C" w14:textId="55784953" w:rsidR="00C611D7" w:rsidRPr="005E08A9" w:rsidRDefault="0072438A" w:rsidP="00CE4E4E">
      <w:pPr>
        <w:rPr>
          <w:iCs/>
          <w:noProof/>
        </w:rPr>
      </w:pPr>
      <w:r>
        <w:rPr>
          <w:noProof/>
        </w:rPr>
        <w:t>Skupno raziskovalno središče je pripravilo 824 recenziranih objav ter 917 prispevkov o znanosti za politiko in tehničnih prispevkov. Med najpomembnejšimi so:</w:t>
      </w:r>
    </w:p>
    <w:p w14:paraId="6915DC7B" w14:textId="5E275C6A" w:rsidR="00685644" w:rsidRPr="005E08A9" w:rsidRDefault="00E4422D" w:rsidP="00CE4E4E">
      <w:pPr>
        <w:numPr>
          <w:ilvl w:val="0"/>
          <w:numId w:val="59"/>
        </w:numPr>
        <w:rPr>
          <w:iCs/>
          <w:noProof/>
        </w:rPr>
      </w:pPr>
      <w:hyperlink r:id="rId67" w:history="1">
        <w:r w:rsidR="003813D3">
          <w:rPr>
            <w:rStyle w:val="Hyperlink"/>
            <w:noProof/>
          </w:rPr>
          <w:t xml:space="preserve">poročilo o obetih glede </w:t>
        </w:r>
        <w:r w:rsidR="003813D3">
          <w:rPr>
            <w:rStyle w:val="Hyperlink"/>
            <w:b/>
            <w:noProof/>
          </w:rPr>
          <w:t>generativne umetne inteligence</w:t>
        </w:r>
      </w:hyperlink>
      <w:r w:rsidR="003813D3">
        <w:rPr>
          <w:noProof/>
        </w:rPr>
        <w:t>, ki vsebuje v prihodnost usmerjeno analizo njenega preobrazbenega potenciala v EU, vključno s socialno-ekonomskim učinkom na zdravstveno varstvo, izobraževanje, zaposlovanje in druga področja,</w:t>
      </w:r>
      <w:r w:rsidR="003813D3">
        <w:rPr>
          <w:b/>
          <w:noProof/>
        </w:rPr>
        <w:t xml:space="preserve"> </w:t>
      </w:r>
    </w:p>
    <w:p w14:paraId="06B8556C" w14:textId="1352862D" w:rsidR="00685644" w:rsidRPr="005E08A9" w:rsidRDefault="003813D3" w:rsidP="00CE4E4E">
      <w:pPr>
        <w:numPr>
          <w:ilvl w:val="0"/>
          <w:numId w:val="59"/>
        </w:numPr>
        <w:rPr>
          <w:iCs/>
          <w:noProof/>
        </w:rPr>
      </w:pPr>
      <w:r>
        <w:rPr>
          <w:noProof/>
        </w:rPr>
        <w:t xml:space="preserve">vzpostavitev novega </w:t>
      </w:r>
      <w:hyperlink r:id="rId68" w:history="1">
        <w:r>
          <w:rPr>
            <w:rStyle w:val="Hyperlink"/>
            <w:noProof/>
          </w:rPr>
          <w:t xml:space="preserve">laboratorija Skupnega raziskovalnega središča za </w:t>
        </w:r>
        <w:r>
          <w:rPr>
            <w:rStyle w:val="Hyperlink"/>
            <w:b/>
            <w:noProof/>
          </w:rPr>
          <w:t>varnost meja</w:t>
        </w:r>
      </w:hyperlink>
      <w:r>
        <w:rPr>
          <w:noProof/>
        </w:rPr>
        <w:t>, tj. mreže laboratorijev, ki tesno sodeluje z organi EU za preprečevanje in pregon,</w:t>
      </w:r>
    </w:p>
    <w:p w14:paraId="27FED170" w14:textId="53D5D30D" w:rsidR="00706374" w:rsidRPr="005E08A9" w:rsidRDefault="003813D3" w:rsidP="00CE4E4E">
      <w:pPr>
        <w:numPr>
          <w:ilvl w:val="0"/>
          <w:numId w:val="59"/>
        </w:numPr>
        <w:rPr>
          <w:iCs/>
          <w:noProof/>
        </w:rPr>
      </w:pPr>
      <w:r>
        <w:rPr>
          <w:noProof/>
        </w:rPr>
        <w:t xml:space="preserve">nova izdaja </w:t>
      </w:r>
      <w:hyperlink r:id="rId69" w:history="1">
        <w:r>
          <w:rPr>
            <w:rStyle w:val="Hyperlink"/>
            <w:b/>
            <w:noProof/>
          </w:rPr>
          <w:t>atlasa migracij</w:t>
        </w:r>
      </w:hyperlink>
      <w:r>
        <w:rPr>
          <w:b/>
          <w:noProof/>
        </w:rPr>
        <w:t xml:space="preserve">, </w:t>
      </w:r>
      <w:r>
        <w:rPr>
          <w:noProof/>
        </w:rPr>
        <w:t xml:space="preserve">ki vsebuje usklajen pregled svetovnih migracij, </w:t>
      </w:r>
    </w:p>
    <w:p w14:paraId="3EDDEA24" w14:textId="5FF21855" w:rsidR="00706374" w:rsidRDefault="003813D3" w:rsidP="00CE4E4E">
      <w:pPr>
        <w:numPr>
          <w:ilvl w:val="0"/>
          <w:numId w:val="59"/>
        </w:numPr>
        <w:rPr>
          <w:iCs/>
          <w:noProof/>
        </w:rPr>
      </w:pPr>
      <w:r>
        <w:rPr>
          <w:noProof/>
        </w:rPr>
        <w:t xml:space="preserve">poročilo o znanosti za politiko glede </w:t>
      </w:r>
      <w:hyperlink r:id="rId70" w:history="1">
        <w:r>
          <w:rPr>
            <w:rStyle w:val="Hyperlink"/>
            <w:noProof/>
          </w:rPr>
          <w:t xml:space="preserve">izkoriščanja potenciala prehoda na </w:t>
        </w:r>
        <w:r>
          <w:rPr>
            <w:rStyle w:val="Hyperlink"/>
            <w:b/>
            <w:noProof/>
          </w:rPr>
          <w:t>krožno gospodarstvo</w:t>
        </w:r>
        <w:r>
          <w:rPr>
            <w:rStyle w:val="Hyperlink"/>
            <w:noProof/>
          </w:rPr>
          <w:t xml:space="preserve"> v energijsko intenzivnih panogah</w:t>
        </w:r>
      </w:hyperlink>
      <w:r>
        <w:rPr>
          <w:noProof/>
        </w:rPr>
        <w:t>,</w:t>
      </w:r>
    </w:p>
    <w:p w14:paraId="2BAD89E1" w14:textId="74293592" w:rsidR="0072438A" w:rsidRPr="005E7B29" w:rsidRDefault="0072438A" w:rsidP="0072438A">
      <w:pPr>
        <w:pStyle w:val="ListParagraph"/>
        <w:numPr>
          <w:ilvl w:val="0"/>
          <w:numId w:val="59"/>
        </w:numPr>
        <w:spacing w:before="120" w:after="120" w:line="240" w:lineRule="auto"/>
        <w:ind w:left="714" w:hanging="357"/>
        <w:contextualSpacing w:val="0"/>
        <w:jc w:val="both"/>
        <w:rPr>
          <w:rFonts w:ascii="Times New Roman" w:eastAsia="Times New Roman" w:hAnsi="Times New Roman"/>
          <w:noProof/>
          <w:sz w:val="24"/>
          <w:szCs w:val="24"/>
        </w:rPr>
      </w:pPr>
      <w:r>
        <w:rPr>
          <w:rFonts w:ascii="Times New Roman" w:hAnsi="Times New Roman"/>
          <w:noProof/>
          <w:sz w:val="24"/>
        </w:rPr>
        <w:t xml:space="preserve">vzpostavitev </w:t>
      </w:r>
      <w:hyperlink r:id="rId71" w:history="1">
        <w:r>
          <w:rPr>
            <w:rStyle w:val="Hyperlink"/>
            <w:rFonts w:ascii="Times New Roman" w:hAnsi="Times New Roman"/>
            <w:b/>
            <w:noProof/>
            <w:sz w:val="24"/>
          </w:rPr>
          <w:t>vozlišča za prometno revščino</w:t>
        </w:r>
      </w:hyperlink>
      <w:r>
        <w:rPr>
          <w:rFonts w:ascii="Times New Roman" w:hAnsi="Times New Roman"/>
          <w:noProof/>
          <w:sz w:val="24"/>
        </w:rPr>
        <w:t>, ki omogoča ukrepanje in spremljanje napredka pri vzpostavljanju bolj vključujočih prometnih sistemov EU,</w:t>
      </w:r>
    </w:p>
    <w:p w14:paraId="6FFA1CC9" w14:textId="659C5742" w:rsidR="0072438A" w:rsidRPr="00FC732D" w:rsidRDefault="00E4422D" w:rsidP="005E7B29">
      <w:pPr>
        <w:pStyle w:val="ListParagraph"/>
        <w:numPr>
          <w:ilvl w:val="0"/>
          <w:numId w:val="59"/>
        </w:numPr>
        <w:spacing w:before="120" w:after="120" w:line="240" w:lineRule="auto"/>
        <w:ind w:left="714" w:hanging="357"/>
        <w:contextualSpacing w:val="0"/>
        <w:jc w:val="both"/>
        <w:rPr>
          <w:noProof/>
        </w:rPr>
      </w:pPr>
      <w:hyperlink r:id="rId72" w:history="1">
        <w:r w:rsidR="0072438A">
          <w:rPr>
            <w:rStyle w:val="Hyperlink"/>
            <w:rFonts w:ascii="Times New Roman" w:hAnsi="Times New Roman"/>
            <w:noProof/>
            <w:sz w:val="24"/>
          </w:rPr>
          <w:t xml:space="preserve">dva nova </w:t>
        </w:r>
        <w:r w:rsidR="0072438A">
          <w:rPr>
            <w:rStyle w:val="Hyperlink"/>
            <w:rFonts w:ascii="Times New Roman" w:hAnsi="Times New Roman"/>
            <w:b/>
            <w:bCs/>
            <w:noProof/>
            <w:sz w:val="24"/>
          </w:rPr>
          <w:t xml:space="preserve">atlasa o finih </w:t>
        </w:r>
        <w:r w:rsidR="0072438A">
          <w:rPr>
            <w:rStyle w:val="Hyperlink"/>
            <w:rFonts w:ascii="Times New Roman" w:hAnsi="Times New Roman"/>
            <w:b/>
            <w:noProof/>
            <w:sz w:val="24"/>
          </w:rPr>
          <w:t>delcih</w:t>
        </w:r>
        <w:r w:rsidR="0072438A">
          <w:rPr>
            <w:rStyle w:val="Hyperlink"/>
            <w:rFonts w:ascii="Times New Roman" w:hAnsi="Times New Roman"/>
            <w:noProof/>
            <w:sz w:val="24"/>
          </w:rPr>
          <w:t xml:space="preserve"> (PM</w:t>
        </w:r>
        <w:r w:rsidR="0072438A">
          <w:rPr>
            <w:rStyle w:val="Hyperlink"/>
            <w:rFonts w:ascii="Times New Roman" w:hAnsi="Times New Roman"/>
            <w:noProof/>
            <w:sz w:val="24"/>
            <w:vertAlign w:val="subscript"/>
          </w:rPr>
          <w:t>2,5</w:t>
        </w:r>
        <w:r w:rsidR="0072438A">
          <w:rPr>
            <w:rStyle w:val="Hyperlink"/>
            <w:rFonts w:ascii="Times New Roman" w:hAnsi="Times New Roman"/>
            <w:noProof/>
            <w:sz w:val="24"/>
          </w:rPr>
          <w:t>)</w:t>
        </w:r>
      </w:hyperlink>
      <w:r w:rsidR="0072438A">
        <w:rPr>
          <w:rFonts w:ascii="Times New Roman" w:hAnsi="Times New Roman"/>
          <w:noProof/>
          <w:sz w:val="24"/>
        </w:rPr>
        <w:t>, ki prvič zajemata tudi mesta v državah širitve.</w:t>
      </w:r>
    </w:p>
    <w:p w14:paraId="6CF9DC3F" w14:textId="77777777" w:rsidR="00E015E4" w:rsidRPr="005E08A9" w:rsidRDefault="00E015E4" w:rsidP="00CE4E4E">
      <w:pPr>
        <w:rPr>
          <w:noProof/>
          <w:lang w:eastAsia="en-GB"/>
        </w:rPr>
      </w:pPr>
    </w:p>
    <w:p w14:paraId="140BB3E8" w14:textId="4F18D826" w:rsidR="00EE17E3" w:rsidRPr="005E08A9" w:rsidRDefault="00517B47" w:rsidP="00CE4E4E">
      <w:pPr>
        <w:pStyle w:val="Heading1"/>
        <w:spacing w:before="120"/>
        <w:rPr>
          <w:noProof/>
        </w:rPr>
      </w:pPr>
      <w:r>
        <w:rPr>
          <w:noProof/>
        </w:rPr>
        <w:t>Izvajanje in spremljanje programa Obzorje Evropa in programa Euratoma</w:t>
      </w:r>
    </w:p>
    <w:p w14:paraId="2C15922F" w14:textId="78C0CCCD" w:rsidR="004858CF" w:rsidRPr="005E08A9" w:rsidRDefault="004858CF" w:rsidP="00CE4E4E">
      <w:pPr>
        <w:pStyle w:val="Heading2"/>
        <w:rPr>
          <w:noProof/>
        </w:rPr>
      </w:pPr>
      <w:r>
        <w:rPr>
          <w:noProof/>
        </w:rPr>
        <w:t>Program Obzorje Evropa v letu 2025 – glavne točke in novosti</w:t>
      </w:r>
    </w:p>
    <w:p w14:paraId="4A38AC9A" w14:textId="445B89D5" w:rsidR="007E2E91" w:rsidRPr="005E08A9" w:rsidRDefault="00A40D81" w:rsidP="00CE4E4E">
      <w:pPr>
        <w:rPr>
          <w:iCs/>
          <w:noProof/>
        </w:rPr>
      </w:pPr>
      <w:r>
        <w:rPr>
          <w:noProof/>
        </w:rPr>
        <w:t>V letu 2025 so se zgodili pomembni premiki v razvoju programov za zadnja tri leta programa Obzorje Evropa za obdobje 2021–2027. Maja je bil sprejet osrednji delovni program za leto 2025, decembra pa osrednji delovni program za obdobje 2026–2027. V obeh je bil velik poudarek na poenostavitvi, v drugem od njiju pa je bila uvedena tudi uporaba horizontalnih razpisov na strateških področjih.</w:t>
      </w:r>
    </w:p>
    <w:p w14:paraId="70B99CF5" w14:textId="5E59BC9C" w:rsidR="00B272C6" w:rsidRPr="005E08A9" w:rsidRDefault="00B272C6" w:rsidP="00CE4E4E">
      <w:pPr>
        <w:keepNext/>
        <w:rPr>
          <w:b/>
          <w:bCs/>
          <w:noProof/>
        </w:rPr>
      </w:pPr>
      <w:r>
        <w:rPr>
          <w:b/>
          <w:noProof/>
        </w:rPr>
        <w:t xml:space="preserve">Pridružitev tretjih držav programu Obzorje Evropa </w:t>
      </w:r>
    </w:p>
    <w:p w14:paraId="28DF7173" w14:textId="06C39888" w:rsidR="29128EC0" w:rsidRPr="005E08A9" w:rsidRDefault="00A40D81" w:rsidP="00CE4E4E">
      <w:pPr>
        <w:rPr>
          <w:i/>
          <w:iCs/>
          <w:noProof/>
        </w:rPr>
      </w:pPr>
      <w:r>
        <w:rPr>
          <w:noProof/>
        </w:rPr>
        <w:t xml:space="preserve">Število </w:t>
      </w:r>
      <w:hyperlink r:id="rId73" w:history="1">
        <w:r>
          <w:rPr>
            <w:rStyle w:val="Hyperlink"/>
            <w:noProof/>
          </w:rPr>
          <w:t>pridruženih držav</w:t>
        </w:r>
      </w:hyperlink>
      <w:r>
        <w:rPr>
          <w:noProof/>
        </w:rPr>
        <w:t xml:space="preserve"> se je povečalo na 22. Med letom je bilo podpisanih več sporazumov o pridružitvi: Švica in Egipt sta se programu Obzorje Evropa pridružila v celoti, Republika Koreja pa le stebru II. Skupni operativni prispevek pridruženih držav je leta 2025 znašal 3,3 milijarde EUR, pri čemer je bilo od začetka tega okvirnega programa več kot 15 500 udeležb.  </w:t>
      </w:r>
    </w:p>
    <w:p w14:paraId="2D576587" w14:textId="710897E4" w:rsidR="029DFAF1" w:rsidRPr="005E08A9" w:rsidRDefault="029DFAF1" w:rsidP="00CE4E4E">
      <w:pPr>
        <w:pStyle w:val="Heading2"/>
        <w:rPr>
          <w:noProof/>
        </w:rPr>
      </w:pPr>
      <w:r>
        <w:rPr>
          <w:noProof/>
        </w:rPr>
        <w:t>Poenostavitev programa Obzorje Evropa</w:t>
      </w:r>
    </w:p>
    <w:p w14:paraId="4A022AA7" w14:textId="77777777" w:rsidR="003E2FFC" w:rsidRPr="005E08A9" w:rsidRDefault="003E2FFC" w:rsidP="00CE4E4E">
      <w:pPr>
        <w:rPr>
          <w:noProof/>
        </w:rPr>
      </w:pPr>
      <w:r>
        <w:rPr>
          <w:noProof/>
        </w:rPr>
        <w:t xml:space="preserve">Leto 2025 je pomenilo prelomnico pri poenostavitvi sistema podpore za raziskave in inovacije v EU. </w:t>
      </w:r>
    </w:p>
    <w:p w14:paraId="502B1804" w14:textId="26A2DABB" w:rsidR="003E2FFC" w:rsidRPr="005E08A9" w:rsidRDefault="003E2FFC" w:rsidP="00CE4E4E">
      <w:pPr>
        <w:spacing w:line="259" w:lineRule="auto"/>
        <w:rPr>
          <w:noProof/>
        </w:rPr>
      </w:pPr>
      <w:r>
        <w:rPr>
          <w:noProof/>
        </w:rPr>
        <w:t>S programom Obzorje Evropa so bile uvedene naslednje praktične reforme, s katerimi so se poenostavili upravni postopki in pospešili rezultati na področju inovacij.</w:t>
      </w:r>
    </w:p>
    <w:p w14:paraId="20453902" w14:textId="00B86BF7" w:rsidR="003E2FFC" w:rsidRPr="005E08A9" w:rsidRDefault="003813D3" w:rsidP="00CE4E4E">
      <w:pPr>
        <w:pStyle w:val="ListParagraph"/>
        <w:numPr>
          <w:ilvl w:val="0"/>
          <w:numId w:val="65"/>
        </w:numPr>
        <w:spacing w:before="120" w:after="120"/>
        <w:jc w:val="both"/>
        <w:rPr>
          <w:rFonts w:ascii="Times New Roman" w:hAnsi="Times New Roman"/>
          <w:noProof/>
          <w:sz w:val="24"/>
          <w:szCs w:val="24"/>
        </w:rPr>
      </w:pPr>
      <w:r>
        <w:rPr>
          <w:rFonts w:ascii="Times New Roman" w:hAnsi="Times New Roman"/>
          <w:noProof/>
          <w:sz w:val="24"/>
        </w:rPr>
        <w:t xml:space="preserve">Postopoma je bilo uvedeno </w:t>
      </w:r>
      <w:r>
        <w:rPr>
          <w:rFonts w:ascii="Times New Roman" w:hAnsi="Times New Roman"/>
          <w:b/>
          <w:noProof/>
          <w:sz w:val="24"/>
        </w:rPr>
        <w:t>pavšalno financiranje</w:t>
      </w:r>
      <w:r>
        <w:rPr>
          <w:rFonts w:ascii="Times New Roman" w:hAnsi="Times New Roman"/>
          <w:noProof/>
          <w:sz w:val="24"/>
        </w:rPr>
        <w:t xml:space="preserve">, s čimer se je zmanjšala potreba po poročanju o dejanskih stroških ter olajšalo sodelovanje, zlasti za mala in srednja podjetja ter novince. Glavna cilja sta zmanjšati upravno zapletenost za upravičence in število finančnih napak. </w:t>
      </w:r>
    </w:p>
    <w:p w14:paraId="1AA8B641" w14:textId="6B6EC423" w:rsidR="003E2FFC" w:rsidRPr="005E08A9" w:rsidRDefault="002116B3" w:rsidP="00CE4E4E">
      <w:pPr>
        <w:pStyle w:val="ListParagraph"/>
        <w:numPr>
          <w:ilvl w:val="0"/>
          <w:numId w:val="65"/>
        </w:numPr>
        <w:spacing w:before="120" w:after="120"/>
        <w:jc w:val="both"/>
        <w:rPr>
          <w:rFonts w:ascii="Times New Roman" w:hAnsi="Times New Roman"/>
          <w:noProof/>
          <w:sz w:val="24"/>
          <w:szCs w:val="24"/>
        </w:rPr>
      </w:pPr>
      <w:r>
        <w:rPr>
          <w:rFonts w:ascii="Times New Roman" w:hAnsi="Times New Roman"/>
          <w:noProof/>
          <w:sz w:val="24"/>
        </w:rPr>
        <w:t xml:space="preserve">V delovnih programih je bilo predvidenih </w:t>
      </w:r>
      <w:r>
        <w:rPr>
          <w:rFonts w:ascii="Times New Roman" w:hAnsi="Times New Roman"/>
          <w:b/>
          <w:noProof/>
          <w:sz w:val="24"/>
        </w:rPr>
        <w:t>manj tem</w:t>
      </w:r>
      <w:r>
        <w:rPr>
          <w:rFonts w:ascii="Times New Roman" w:hAnsi="Times New Roman"/>
          <w:noProof/>
          <w:sz w:val="24"/>
        </w:rPr>
        <w:t xml:space="preserve"> s krajšimi opisi in krajše besedilo delovnega programa. Uvedenih je bilo tudi več </w:t>
      </w:r>
      <w:r>
        <w:rPr>
          <w:rFonts w:ascii="Times New Roman" w:hAnsi="Times New Roman"/>
          <w:b/>
          <w:noProof/>
          <w:sz w:val="24"/>
        </w:rPr>
        <w:t>odprtih tem</w:t>
      </w:r>
      <w:r>
        <w:rPr>
          <w:rFonts w:ascii="Times New Roman" w:hAnsi="Times New Roman"/>
          <w:noProof/>
          <w:sz w:val="24"/>
        </w:rPr>
        <w:t>, pri čemer se je ohranila strateška usmeritev.</w:t>
      </w:r>
    </w:p>
    <w:p w14:paraId="55649BC0" w14:textId="731E3963" w:rsidR="003E2FFC" w:rsidRPr="005E08A9" w:rsidRDefault="00E054C0" w:rsidP="00CE4E4E">
      <w:pPr>
        <w:pStyle w:val="ListParagraph"/>
        <w:numPr>
          <w:ilvl w:val="0"/>
          <w:numId w:val="65"/>
        </w:numPr>
        <w:spacing w:before="120" w:after="120"/>
        <w:jc w:val="both"/>
        <w:rPr>
          <w:rFonts w:ascii="Times New Roman" w:hAnsi="Times New Roman"/>
          <w:noProof/>
          <w:sz w:val="24"/>
          <w:szCs w:val="24"/>
        </w:rPr>
      </w:pPr>
      <w:r>
        <w:rPr>
          <w:rFonts w:ascii="Times New Roman" w:hAnsi="Times New Roman"/>
          <w:b/>
          <w:noProof/>
          <w:sz w:val="24"/>
        </w:rPr>
        <w:t>Zahteve glede predlogov</w:t>
      </w:r>
      <w:r>
        <w:rPr>
          <w:rFonts w:ascii="Times New Roman" w:hAnsi="Times New Roman"/>
          <w:noProof/>
          <w:sz w:val="24"/>
        </w:rPr>
        <w:t xml:space="preserve"> so bile racionalizirane tako, da se je zahtevalo manj vnaprejšnjih informacij o različnih vidikih politik, zato je bil obrazec za predloge krajši.</w:t>
      </w:r>
    </w:p>
    <w:p w14:paraId="0FB8012D" w14:textId="273D6E97" w:rsidR="003E2FFC" w:rsidRPr="00654BDC" w:rsidRDefault="003E2FFC" w:rsidP="007B40D5">
      <w:pPr>
        <w:pStyle w:val="ListParagraph"/>
        <w:numPr>
          <w:ilvl w:val="0"/>
          <w:numId w:val="65"/>
        </w:numPr>
        <w:rPr>
          <w:rFonts w:ascii="Times New Roman" w:hAnsi="Times New Roman"/>
          <w:noProof/>
          <w:sz w:val="24"/>
          <w:szCs w:val="24"/>
        </w:rPr>
      </w:pPr>
      <w:r>
        <w:rPr>
          <w:rFonts w:ascii="Times New Roman" w:hAnsi="Times New Roman"/>
          <w:noProof/>
          <w:sz w:val="24"/>
        </w:rPr>
        <w:t xml:space="preserve">Pri 29 temah se je uporabljalo </w:t>
      </w:r>
      <w:r>
        <w:rPr>
          <w:rFonts w:ascii="Times New Roman" w:hAnsi="Times New Roman"/>
          <w:b/>
          <w:noProof/>
          <w:sz w:val="24"/>
        </w:rPr>
        <w:t>dvostopenjsko ocenjevanje</w:t>
      </w:r>
      <w:r>
        <w:rPr>
          <w:rFonts w:ascii="Times New Roman" w:hAnsi="Times New Roman"/>
          <w:noProof/>
          <w:sz w:val="24"/>
        </w:rPr>
        <w:t>, kar je vložnikom omogočalo, da so najprej predložili krajše predloge, celovite predloge pa pripravili le, če so bili povabljeni k sodelovanju na drugi stopnji.</w:t>
      </w:r>
      <w:r>
        <w:rPr>
          <w:noProof/>
        </w:rPr>
        <w:t xml:space="preserve"> </w:t>
      </w:r>
      <w:r>
        <w:rPr>
          <w:rFonts w:ascii="Times New Roman" w:hAnsi="Times New Roman"/>
          <w:noProof/>
          <w:sz w:val="24"/>
        </w:rPr>
        <w:t>Številni od teh kratkih predlogov se ocenjujejo slepo, da bi se preprečilo morebitno tveganje pristranskosti.</w:t>
      </w:r>
    </w:p>
    <w:p w14:paraId="2111C875" w14:textId="2DC65581" w:rsidR="003E2FFC" w:rsidRPr="005E08A9" w:rsidRDefault="003E2FFC" w:rsidP="00CE4E4E">
      <w:pPr>
        <w:pStyle w:val="ListParagraph"/>
        <w:numPr>
          <w:ilvl w:val="0"/>
          <w:numId w:val="65"/>
        </w:numPr>
        <w:spacing w:before="120" w:after="120"/>
        <w:jc w:val="both"/>
        <w:rPr>
          <w:rFonts w:ascii="Times New Roman" w:hAnsi="Times New Roman"/>
          <w:noProof/>
          <w:sz w:val="24"/>
          <w:szCs w:val="24"/>
        </w:rPr>
      </w:pPr>
      <w:r>
        <w:rPr>
          <w:rFonts w:ascii="Times New Roman" w:hAnsi="Times New Roman"/>
          <w:noProof/>
          <w:sz w:val="24"/>
        </w:rPr>
        <w:t xml:space="preserve">Z omogočanjem javnega dostopa do besedil osnutkov delovnih programov se je povečala </w:t>
      </w:r>
      <w:r>
        <w:rPr>
          <w:rFonts w:ascii="Times New Roman" w:hAnsi="Times New Roman"/>
          <w:b/>
          <w:noProof/>
          <w:sz w:val="24"/>
        </w:rPr>
        <w:t>preglednost</w:t>
      </w:r>
      <w:r>
        <w:rPr>
          <w:rFonts w:ascii="Times New Roman" w:hAnsi="Times New Roman"/>
          <w:noProof/>
          <w:sz w:val="24"/>
        </w:rPr>
        <w:t xml:space="preserve">. </w:t>
      </w:r>
    </w:p>
    <w:p w14:paraId="4243F151" w14:textId="3E12856C" w:rsidR="003E2FFC" w:rsidRPr="005E08A9" w:rsidRDefault="003E2FFC" w:rsidP="00CE4E4E">
      <w:pPr>
        <w:rPr>
          <w:noProof/>
        </w:rPr>
      </w:pPr>
      <w:r>
        <w:rPr>
          <w:b/>
          <w:noProof/>
        </w:rPr>
        <w:t>Dialogi o izvajanju</w:t>
      </w:r>
      <w:r>
        <w:rPr>
          <w:noProof/>
        </w:rPr>
        <w:t xml:space="preserve"> in </w:t>
      </w:r>
      <w:r>
        <w:rPr>
          <w:b/>
          <w:noProof/>
        </w:rPr>
        <w:t>pregledi dejanskega stanja</w:t>
      </w:r>
      <w:r>
        <w:rPr>
          <w:noProof/>
        </w:rPr>
        <w:t xml:space="preserve"> so zagonskim podjetjem, raziskovalcem in inovatorjem omogočili pridobitev neposrednih povratnih informacij o ozkih grlih pri oddaji predlogov, ocenjevanju in upravljanju nepovratnih sredstev, kar je pomagalo opredeliti prednostne naloge za nadaljnjo poenostavitev.</w:t>
      </w:r>
    </w:p>
    <w:p w14:paraId="07A30117" w14:textId="32E4C06F" w:rsidR="00CE026A" w:rsidRPr="005E08A9" w:rsidRDefault="00364B5B" w:rsidP="00C52261">
      <w:pPr>
        <w:spacing w:line="259" w:lineRule="auto"/>
        <w:rPr>
          <w:noProof/>
        </w:rPr>
      </w:pPr>
      <w:r>
        <w:rPr>
          <w:noProof/>
        </w:rPr>
        <w:t xml:space="preserve">Z </w:t>
      </w:r>
      <w:r>
        <w:rPr>
          <w:b/>
          <w:noProof/>
        </w:rPr>
        <w:t>izboljšanimi digitalnimi orodji</w:t>
      </w:r>
      <w:r>
        <w:rPr>
          <w:noProof/>
        </w:rPr>
        <w:t xml:space="preserve"> se je poenostavilo izvajanje. S postopkom, ki je temeljil na anketi, v kateri je sodelovalo 30 000 vložnikov in upravičencev, sta se dodatno izboljšali prijaznost do uporabnikov in funkcionalnost portala EU za financiranje in razpise, uvedena pa je bila tudi nova mobilna aplikacija za dostop do financiranja „EU funding &amp; me“.</w:t>
      </w:r>
    </w:p>
    <w:p w14:paraId="627E2B06" w14:textId="1A8BFF66" w:rsidR="00517B47" w:rsidRPr="005E08A9" w:rsidRDefault="0000695E" w:rsidP="00CE4E4E">
      <w:pPr>
        <w:pStyle w:val="Heading2"/>
        <w:rPr>
          <w:noProof/>
        </w:rPr>
      </w:pPr>
      <w:r>
        <w:rPr>
          <w:noProof/>
        </w:rPr>
        <w:t>Podatki o spremljanju programa Obzorje Evropa</w:t>
      </w:r>
    </w:p>
    <w:p w14:paraId="56DB7D19" w14:textId="77777777" w:rsidR="00F96509" w:rsidRPr="005E08A9" w:rsidRDefault="00F96509" w:rsidP="00CE4E4E">
      <w:pPr>
        <w:rPr>
          <w:b/>
          <w:bCs/>
          <w:noProof/>
        </w:rPr>
      </w:pPr>
      <w:r>
        <w:rPr>
          <w:b/>
          <w:noProof/>
        </w:rPr>
        <w:t>Možnosti financiranja</w:t>
      </w:r>
    </w:p>
    <w:p w14:paraId="6BA6FB64" w14:textId="790AA251" w:rsidR="00F96509" w:rsidRPr="005E08A9" w:rsidRDefault="00F96509" w:rsidP="41A6BFF9">
      <w:pPr>
        <w:rPr>
          <w:i/>
          <w:iCs/>
          <w:noProof/>
        </w:rPr>
      </w:pPr>
      <w:r>
        <w:rPr>
          <w:i/>
          <w:noProof/>
        </w:rPr>
        <w:t>Vir: podatki iz sistema Komisije za notranje spremljanje z dne 6. januarja 2026.</w:t>
      </w:r>
    </w:p>
    <w:p w14:paraId="00070FBC" w14:textId="2F71A8C3" w:rsidR="00F96509" w:rsidRPr="005E08A9" w:rsidRDefault="00F96509" w:rsidP="00CE4E4E">
      <w:pPr>
        <w:rPr>
          <w:noProof/>
        </w:rPr>
      </w:pPr>
      <w:r>
        <w:rPr>
          <w:noProof/>
        </w:rPr>
        <w:t xml:space="preserve">V okviru delovnih programov za obdobje 2021–2025 je bilo objavljenih 787 razpisov za zbiranje predlogov, ki so zajemali skupno 3 061 raziskovalnih tem s proračunom v višini 67,9 milijarde EUR. </w:t>
      </w:r>
    </w:p>
    <w:p w14:paraId="29F3620F" w14:textId="36641849" w:rsidR="00F96509" w:rsidRPr="005E08A9" w:rsidRDefault="00F96509" w:rsidP="00CE4E4E">
      <w:pPr>
        <w:rPr>
          <w:b/>
          <w:bCs/>
          <w:noProof/>
        </w:rPr>
      </w:pPr>
      <w:r>
        <w:rPr>
          <w:b/>
          <w:noProof/>
        </w:rPr>
        <w:t>Predlogi projektov in stopnje uspešnosti</w:t>
      </w:r>
    </w:p>
    <w:p w14:paraId="7905AD38" w14:textId="6FD6365F" w:rsidR="00F96509" w:rsidRPr="005E08A9" w:rsidRDefault="00F96509" w:rsidP="00CE4E4E">
      <w:pPr>
        <w:rPr>
          <w:i/>
          <w:iCs/>
          <w:noProof/>
        </w:rPr>
      </w:pPr>
      <w:r>
        <w:rPr>
          <w:i/>
          <w:noProof/>
        </w:rPr>
        <w:t>Vir: podatki iz sistema Komisije za notranje spremljanje z dne 5. januarja 2026.</w:t>
      </w:r>
    </w:p>
    <w:p w14:paraId="69D327AA" w14:textId="0BA91585" w:rsidR="00F96509" w:rsidRPr="005E08A9" w:rsidRDefault="00F96509" w:rsidP="00CE4E4E">
      <w:pPr>
        <w:rPr>
          <w:noProof/>
        </w:rPr>
      </w:pPr>
      <w:r>
        <w:rPr>
          <w:noProof/>
        </w:rPr>
        <w:t xml:space="preserve">Zanimanje za program je bilo še naprej veliko, saj je bilo v obdobju 2021–2025 predloženih </w:t>
      </w:r>
      <w:r>
        <w:rPr>
          <w:b/>
          <w:noProof/>
        </w:rPr>
        <w:t>148 884 upravičenih predlogov</w:t>
      </w:r>
      <w:r>
        <w:rPr>
          <w:rStyle w:val="FootnoteReference"/>
          <w:noProof/>
        </w:rPr>
        <w:footnoteReference w:id="2"/>
      </w:r>
      <w:r>
        <w:rPr>
          <w:noProof/>
        </w:rPr>
        <w:t xml:space="preserve">. Njihova splošna kakovost je ostala stabilna, saj je več kot polovica upravičenih predlogov (57 %) dosegla najnižji ocenjevalni prag. </w:t>
      </w:r>
    </w:p>
    <w:p w14:paraId="64A59B5E" w14:textId="307F6A98" w:rsidR="00F96509" w:rsidRPr="005E08A9" w:rsidRDefault="00F96509" w:rsidP="00CE4E4E">
      <w:pPr>
        <w:rPr>
          <w:noProof/>
        </w:rPr>
      </w:pPr>
      <w:r>
        <w:rPr>
          <w:noProof/>
        </w:rPr>
        <w:t xml:space="preserve">Do januarja 2026 je bilo za financiranje izbranih 21 329 predlogov s skupnim ocenjenim prispevkom v višini 57,4 milijarde EUR. Stopnja uspešnosti predlogov se je v primerjavi z januarjem 2025 s 15,3 % zmanjšala na 14 %, vendar je na splošno ostala višja kot v okviru programa Obzorje 2020 (11,9 %). </w:t>
      </w:r>
    </w:p>
    <w:p w14:paraId="40465398" w14:textId="35AD0097" w:rsidR="00F96509" w:rsidRPr="005E08A9" w:rsidRDefault="00F96509" w:rsidP="00CE4E4E">
      <w:pPr>
        <w:ind w:left="-20" w:right="-20"/>
        <w:rPr>
          <w:rFonts w:eastAsiaTheme="minorEastAsia"/>
          <w:noProof/>
        </w:rPr>
      </w:pPr>
      <w:r>
        <w:rPr>
          <w:noProof/>
        </w:rPr>
        <w:t>Približno 70 % predlogov, ki so presegli prag za financiranje, ni bilo financiranih. Za financiranje vseh takih predlogov, predloženih v obdobju 2021–2025, bi bila po ocenah potrebna dodatna sredstva v višini 118,5 milijarde EUR.</w:t>
      </w:r>
    </w:p>
    <w:p w14:paraId="6501BE04" w14:textId="77777777" w:rsidR="00F96509" w:rsidRPr="005E08A9" w:rsidRDefault="00F96509" w:rsidP="00CE4E4E">
      <w:pPr>
        <w:rPr>
          <w:b/>
          <w:bCs/>
          <w:noProof/>
        </w:rPr>
      </w:pPr>
      <w:r>
        <w:rPr>
          <w:b/>
          <w:noProof/>
        </w:rPr>
        <w:t>Financirani projekti</w:t>
      </w:r>
    </w:p>
    <w:p w14:paraId="0EE38A74" w14:textId="28E50689" w:rsidR="00F96509" w:rsidRPr="005E08A9" w:rsidRDefault="009F4583" w:rsidP="41A6BFF9">
      <w:pPr>
        <w:rPr>
          <w:rFonts w:eastAsiaTheme="minorEastAsia"/>
          <w:noProof/>
        </w:rPr>
      </w:pPr>
      <w:r>
        <w:rPr>
          <w:noProof/>
        </w:rPr>
        <w:t xml:space="preserve">Do konca leta 2025 je bilo na podlagi </w:t>
      </w:r>
      <w:r>
        <w:rPr>
          <w:b/>
          <w:noProof/>
        </w:rPr>
        <w:t xml:space="preserve">19 456 sporazumov o nepovratnih sredstvih </w:t>
      </w:r>
      <w:r>
        <w:rPr>
          <w:noProof/>
        </w:rPr>
        <w:t xml:space="preserve">dodeljenih </w:t>
      </w:r>
      <w:r>
        <w:rPr>
          <w:b/>
          <w:noProof/>
        </w:rPr>
        <w:t>52,8 milijarde EUR.</w:t>
      </w:r>
      <w:r>
        <w:rPr>
          <w:noProof/>
        </w:rPr>
        <w:t xml:space="preserve"> Povprečna višina nepovratnih sredstev je ostala stabilna in je znašala 2,7 milijona EUR, kar je več kot v okviru programa Obzorje 2020 (2,3 milijona EUR</w:t>
      </w:r>
      <w:r>
        <w:rPr>
          <w:rStyle w:val="FootnoteReference"/>
          <w:rFonts w:eastAsiaTheme="minorEastAsia"/>
          <w:noProof/>
        </w:rPr>
        <w:footnoteReference w:id="3"/>
      </w:r>
      <w:r>
        <w:rPr>
          <w:noProof/>
        </w:rPr>
        <w:t xml:space="preserve">), pri čemer je bilo povprečno šest udeležencev na projekt. </w:t>
      </w:r>
    </w:p>
    <w:p w14:paraId="4A43464D" w14:textId="13550317" w:rsidR="00F96509" w:rsidRPr="005E08A9" w:rsidRDefault="00F96509" w:rsidP="00CE4E4E">
      <w:pPr>
        <w:rPr>
          <w:noProof/>
        </w:rPr>
      </w:pPr>
      <w:r>
        <w:rPr>
          <w:noProof/>
        </w:rPr>
        <w:t>Evropski svet za inovacije (EIC) vključuje tudi instrument za kapitalske naložbe, tj. </w:t>
      </w:r>
      <w:r>
        <w:rPr>
          <w:b/>
          <w:noProof/>
        </w:rPr>
        <w:t>sklad Evropskega sveta za inovacije</w:t>
      </w:r>
      <w:r>
        <w:rPr>
          <w:noProof/>
        </w:rPr>
        <w:t>, namenjen najbolj inovativnim zagonskim podjetjem in podjetjem v razširitveni fazi. Poleg podatkov iz spodnje preglednice je sklad Evropskega sveta za inovacije za upravičence programa Obzorje Evropa odobril več kot 2,3 milijarde EUR kapitalskih naložb, od tega je bilo doslej izplačanih 931,9 milijona EUR</w:t>
      </w:r>
      <w:r>
        <w:rPr>
          <w:rStyle w:val="FootnoteReference"/>
          <w:noProof/>
        </w:rPr>
        <w:footnoteReference w:id="4"/>
      </w:r>
      <w:r>
        <w:rPr>
          <w:noProof/>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992"/>
        <w:gridCol w:w="850"/>
        <w:gridCol w:w="1134"/>
        <w:gridCol w:w="1134"/>
        <w:gridCol w:w="993"/>
        <w:gridCol w:w="1134"/>
        <w:gridCol w:w="1417"/>
      </w:tblGrid>
      <w:tr w:rsidR="00A91F24" w:rsidRPr="005E08A9" w14:paraId="2861E896" w14:textId="77777777" w:rsidTr="000361D6">
        <w:trPr>
          <w:trHeight w:val="246"/>
          <w:tblHeader/>
        </w:trPr>
        <w:tc>
          <w:tcPr>
            <w:tcW w:w="2553"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11ECE0BA" w14:textId="77777777" w:rsidR="00F96509" w:rsidRPr="00A22918" w:rsidRDefault="00F96509" w:rsidP="00CE4E4E">
            <w:pPr>
              <w:keepNext/>
              <w:rPr>
                <w:b/>
                <w:bCs/>
                <w:noProof/>
                <w:color w:val="FFFFFF"/>
                <w:sz w:val="16"/>
                <w:szCs w:val="16"/>
              </w:rPr>
            </w:pPr>
            <w:r>
              <w:rPr>
                <w:b/>
                <w:noProof/>
                <w:color w:val="FFFFFF"/>
                <w:sz w:val="16"/>
              </w:rPr>
              <w:t>Programski del</w:t>
            </w:r>
          </w:p>
        </w:tc>
        <w:tc>
          <w:tcPr>
            <w:tcW w:w="992"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4775F080" w14:textId="77777777" w:rsidR="00F96509" w:rsidRPr="00A22918" w:rsidRDefault="00F96509" w:rsidP="00CE4E4E">
            <w:pPr>
              <w:keepNext/>
              <w:rPr>
                <w:b/>
                <w:bCs/>
                <w:noProof/>
                <w:color w:val="FFFFFF"/>
                <w:sz w:val="16"/>
                <w:szCs w:val="16"/>
              </w:rPr>
            </w:pPr>
            <w:r>
              <w:rPr>
                <w:b/>
                <w:noProof/>
                <w:color w:val="FFFFFF"/>
                <w:sz w:val="16"/>
              </w:rPr>
              <w:t>Upravičeni predlogi</w:t>
            </w:r>
          </w:p>
        </w:tc>
        <w:tc>
          <w:tcPr>
            <w:tcW w:w="850"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1298296E" w14:textId="1A799390" w:rsidR="00F96509" w:rsidRPr="00A22918" w:rsidRDefault="00BD4295" w:rsidP="00CE4E4E">
            <w:pPr>
              <w:keepNext/>
              <w:rPr>
                <w:b/>
                <w:bCs/>
                <w:noProof/>
                <w:color w:val="FFFFFF"/>
                <w:sz w:val="16"/>
                <w:szCs w:val="16"/>
              </w:rPr>
            </w:pPr>
            <w:r>
              <w:rPr>
                <w:b/>
                <w:noProof/>
                <w:color w:val="FFFFFF"/>
                <w:sz w:val="16"/>
              </w:rPr>
              <w:t>Sprejeti predlogi</w:t>
            </w:r>
          </w:p>
        </w:tc>
        <w:tc>
          <w:tcPr>
            <w:tcW w:w="1134"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727A2D03" w14:textId="77777777" w:rsidR="00F96509" w:rsidRPr="00A22918" w:rsidRDefault="00F96509" w:rsidP="00CE4E4E">
            <w:pPr>
              <w:keepNext/>
              <w:rPr>
                <w:b/>
                <w:bCs/>
                <w:noProof/>
                <w:color w:val="FFFFFF"/>
                <w:sz w:val="16"/>
                <w:szCs w:val="16"/>
              </w:rPr>
            </w:pPr>
            <w:r>
              <w:rPr>
                <w:b/>
                <w:noProof/>
                <w:color w:val="FFFFFF"/>
                <w:sz w:val="16"/>
              </w:rPr>
              <w:t>Stopnja uspešnosti predlogov (% upravičenih)</w:t>
            </w:r>
          </w:p>
        </w:tc>
        <w:tc>
          <w:tcPr>
            <w:tcW w:w="1134" w:type="dxa"/>
            <w:tcBorders>
              <w:top w:val="single" w:sz="4" w:space="0" w:color="auto"/>
              <w:left w:val="single" w:sz="4" w:space="0" w:color="auto"/>
              <w:bottom w:val="single" w:sz="4" w:space="0" w:color="auto"/>
              <w:right w:val="single" w:sz="4" w:space="0" w:color="auto"/>
            </w:tcBorders>
            <w:shd w:val="clear" w:color="000000" w:fill="4F81BD"/>
            <w:noWrap/>
            <w:vAlign w:val="center"/>
            <w:hideMark/>
          </w:tcPr>
          <w:p w14:paraId="541DB3F1" w14:textId="77777777" w:rsidR="00F96509" w:rsidRPr="00A22918" w:rsidRDefault="00F96509" w:rsidP="00CE4E4E">
            <w:pPr>
              <w:keepNext/>
              <w:rPr>
                <w:b/>
                <w:bCs/>
                <w:noProof/>
                <w:color w:val="FFFFFF"/>
                <w:sz w:val="16"/>
                <w:szCs w:val="16"/>
              </w:rPr>
            </w:pPr>
            <w:r>
              <w:rPr>
                <w:b/>
                <w:noProof/>
                <w:color w:val="FFFFFF"/>
                <w:sz w:val="16"/>
              </w:rPr>
              <w:t>Delež visokokakovostnih predlogov (% upravičenih)</w:t>
            </w:r>
          </w:p>
          <w:p w14:paraId="128CF51A" w14:textId="77777777" w:rsidR="00F96509" w:rsidRPr="00A22918" w:rsidRDefault="00F96509" w:rsidP="00CE4E4E">
            <w:pPr>
              <w:keepNext/>
              <w:rPr>
                <w:b/>
                <w:bCs/>
                <w:noProof/>
                <w:color w:val="FFFFF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1F4E79" w:themeFill="accent1" w:themeFillShade="80"/>
          </w:tcPr>
          <w:p w14:paraId="44A3A409" w14:textId="77777777" w:rsidR="00F96509" w:rsidRPr="00A22918" w:rsidRDefault="00F96509" w:rsidP="00CE4E4E">
            <w:pPr>
              <w:keepNext/>
              <w:rPr>
                <w:b/>
                <w:bCs/>
                <w:noProof/>
                <w:color w:val="FFFFFF"/>
                <w:sz w:val="16"/>
                <w:szCs w:val="16"/>
              </w:rPr>
            </w:pPr>
            <w:r>
              <w:rPr>
                <w:b/>
                <w:noProof/>
                <w:color w:val="FFFFFF"/>
                <w:sz w:val="16"/>
              </w:rPr>
              <w:t>Podpisani sporazumi o nepovratnih sredstvih</w:t>
            </w:r>
          </w:p>
        </w:tc>
        <w:tc>
          <w:tcPr>
            <w:tcW w:w="1134" w:type="dxa"/>
            <w:tcBorders>
              <w:top w:val="single" w:sz="4" w:space="0" w:color="auto"/>
              <w:left w:val="single" w:sz="4" w:space="0" w:color="auto"/>
              <w:bottom w:val="single" w:sz="4" w:space="0" w:color="auto"/>
              <w:right w:val="single" w:sz="4" w:space="0" w:color="auto"/>
            </w:tcBorders>
            <w:shd w:val="clear" w:color="auto" w:fill="1F4E79" w:themeFill="accent1" w:themeFillShade="80"/>
          </w:tcPr>
          <w:p w14:paraId="54D8D2F2" w14:textId="52E9B3FB" w:rsidR="00F96509" w:rsidRPr="00A22918" w:rsidRDefault="00F96509" w:rsidP="00CE4E4E">
            <w:pPr>
              <w:keepNext/>
              <w:rPr>
                <w:b/>
                <w:bCs/>
                <w:noProof/>
                <w:color w:val="FFFFFF"/>
                <w:sz w:val="16"/>
                <w:szCs w:val="16"/>
              </w:rPr>
            </w:pPr>
            <w:r>
              <w:rPr>
                <w:b/>
                <w:noProof/>
                <w:color w:val="FFFFFF"/>
                <w:sz w:val="16"/>
              </w:rPr>
              <w:t>Prispevek EU pri podpisanih sporazumih o nepovratnih sredstvih (v milijonih EUR)</w:t>
            </w:r>
          </w:p>
        </w:tc>
        <w:tc>
          <w:tcPr>
            <w:tcW w:w="1417" w:type="dxa"/>
            <w:tcBorders>
              <w:top w:val="single" w:sz="4" w:space="0" w:color="auto"/>
              <w:left w:val="single" w:sz="4" w:space="0" w:color="auto"/>
              <w:bottom w:val="single" w:sz="4" w:space="0" w:color="auto"/>
              <w:right w:val="single" w:sz="4" w:space="0" w:color="auto"/>
            </w:tcBorders>
            <w:shd w:val="clear" w:color="auto" w:fill="1F4E79" w:themeFill="accent1" w:themeFillShade="80"/>
          </w:tcPr>
          <w:p w14:paraId="1D217A6A" w14:textId="6AAA98FF" w:rsidR="00F96509" w:rsidRPr="00A22918" w:rsidRDefault="00F96509" w:rsidP="00CE4E4E">
            <w:pPr>
              <w:keepNext/>
              <w:rPr>
                <w:b/>
                <w:bCs/>
                <w:noProof/>
                <w:color w:val="FFFFFF"/>
                <w:sz w:val="16"/>
                <w:szCs w:val="16"/>
              </w:rPr>
            </w:pPr>
            <w:r>
              <w:rPr>
                <w:b/>
                <w:noProof/>
                <w:color w:val="FFFFFF"/>
                <w:sz w:val="16"/>
              </w:rPr>
              <w:t xml:space="preserve">Povprečna vrednost nepovratnih sredstev (v milijonih EUR) </w:t>
            </w:r>
          </w:p>
        </w:tc>
      </w:tr>
      <w:tr w:rsidR="00456887" w:rsidRPr="005E08A9" w14:paraId="46300CDC"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4F247F2F" w14:textId="77777777" w:rsidR="00F96509" w:rsidRPr="005E08A9" w:rsidRDefault="00F96509" w:rsidP="00CE4E4E">
            <w:pPr>
              <w:rPr>
                <w:b/>
                <w:noProof/>
                <w:color w:val="000000"/>
              </w:rPr>
            </w:pPr>
            <w:r>
              <w:rPr>
                <w:b/>
                <w:noProof/>
                <w:color w:val="000000"/>
              </w:rPr>
              <w:t>Steber I – Odlična znanost</w:t>
            </w:r>
          </w:p>
        </w:tc>
      </w:tr>
      <w:tr w:rsidR="005C3BF9" w:rsidRPr="005E08A9" w14:paraId="177DD950" w14:textId="77777777">
        <w:trPr>
          <w:trHeight w:val="246"/>
        </w:trPr>
        <w:tc>
          <w:tcPr>
            <w:tcW w:w="2553" w:type="dxa"/>
            <w:tcBorders>
              <w:top w:val="single" w:sz="4" w:space="0" w:color="auto"/>
              <w:bottom w:val="single" w:sz="4" w:space="0" w:color="auto"/>
            </w:tcBorders>
            <w:noWrap/>
            <w:vAlign w:val="bottom"/>
            <w:hideMark/>
          </w:tcPr>
          <w:p w14:paraId="3C6A2525" w14:textId="77777777" w:rsidR="00F96509" w:rsidRPr="005E08A9" w:rsidRDefault="00F96509" w:rsidP="00CE4E4E">
            <w:pPr>
              <w:rPr>
                <w:noProof/>
                <w:color w:val="000000"/>
              </w:rPr>
            </w:pPr>
            <w:r>
              <w:rPr>
                <w:noProof/>
                <w:color w:val="000000"/>
              </w:rPr>
              <w:t>Evropski raziskovalni svet (ERC)</w:t>
            </w:r>
          </w:p>
        </w:tc>
        <w:tc>
          <w:tcPr>
            <w:tcW w:w="992" w:type="dxa"/>
            <w:tcBorders>
              <w:top w:val="single" w:sz="4" w:space="0" w:color="auto"/>
              <w:bottom w:val="single" w:sz="4" w:space="0" w:color="auto"/>
            </w:tcBorders>
            <w:noWrap/>
          </w:tcPr>
          <w:p w14:paraId="4F1FD262" w14:textId="77777777" w:rsidR="00F96509" w:rsidRPr="005E08A9" w:rsidRDefault="00F96509" w:rsidP="00CE4E4E">
            <w:pPr>
              <w:rPr>
                <w:noProof/>
                <w:color w:val="000000"/>
              </w:rPr>
            </w:pPr>
            <w:r>
              <w:rPr>
                <w:noProof/>
              </w:rPr>
              <w:t>41 431</w:t>
            </w:r>
          </w:p>
        </w:tc>
        <w:tc>
          <w:tcPr>
            <w:tcW w:w="850" w:type="dxa"/>
            <w:tcBorders>
              <w:top w:val="single" w:sz="4" w:space="0" w:color="auto"/>
              <w:bottom w:val="single" w:sz="4" w:space="0" w:color="auto"/>
            </w:tcBorders>
            <w:noWrap/>
          </w:tcPr>
          <w:p w14:paraId="12D6E08E" w14:textId="77777777" w:rsidR="00F96509" w:rsidRPr="005E08A9" w:rsidRDefault="00F96509" w:rsidP="00CE4E4E">
            <w:pPr>
              <w:rPr>
                <w:noProof/>
                <w:color w:val="000000"/>
              </w:rPr>
            </w:pPr>
            <w:r>
              <w:rPr>
                <w:noProof/>
              </w:rPr>
              <w:t>5 781</w:t>
            </w:r>
          </w:p>
        </w:tc>
        <w:tc>
          <w:tcPr>
            <w:tcW w:w="1134" w:type="dxa"/>
            <w:tcBorders>
              <w:top w:val="single" w:sz="4" w:space="0" w:color="auto"/>
              <w:bottom w:val="single" w:sz="4" w:space="0" w:color="auto"/>
            </w:tcBorders>
            <w:noWrap/>
          </w:tcPr>
          <w:p w14:paraId="58717117" w14:textId="77777777" w:rsidR="00F96509" w:rsidRPr="005E08A9" w:rsidRDefault="00F96509" w:rsidP="00CE4E4E">
            <w:pPr>
              <w:rPr>
                <w:noProof/>
                <w:color w:val="000000"/>
              </w:rPr>
            </w:pPr>
            <w:r>
              <w:rPr>
                <w:noProof/>
              </w:rPr>
              <w:t>14 %</w:t>
            </w:r>
          </w:p>
        </w:tc>
        <w:tc>
          <w:tcPr>
            <w:tcW w:w="1134" w:type="dxa"/>
            <w:tcBorders>
              <w:top w:val="single" w:sz="4" w:space="0" w:color="auto"/>
              <w:left w:val="nil"/>
              <w:bottom w:val="single" w:sz="4" w:space="0" w:color="auto"/>
              <w:right w:val="single" w:sz="4" w:space="0" w:color="auto"/>
            </w:tcBorders>
            <w:noWrap/>
          </w:tcPr>
          <w:p w14:paraId="130C6077" w14:textId="77777777" w:rsidR="00F96509" w:rsidRPr="005E08A9" w:rsidRDefault="00F96509" w:rsidP="00CE4E4E">
            <w:pPr>
              <w:rPr>
                <w:noProof/>
                <w:color w:val="000000"/>
              </w:rPr>
            </w:pPr>
            <w:r>
              <w:rPr>
                <w:noProof/>
              </w:rPr>
              <w:t>27 %</w:t>
            </w:r>
          </w:p>
        </w:tc>
        <w:tc>
          <w:tcPr>
            <w:tcW w:w="993" w:type="dxa"/>
            <w:tcBorders>
              <w:top w:val="single" w:sz="4" w:space="0" w:color="auto"/>
              <w:left w:val="nil"/>
              <w:bottom w:val="single" w:sz="4" w:space="0" w:color="auto"/>
              <w:right w:val="single" w:sz="4" w:space="0" w:color="auto"/>
            </w:tcBorders>
          </w:tcPr>
          <w:p w14:paraId="5CDD784A" w14:textId="77777777" w:rsidR="00F96509" w:rsidRPr="005E08A9" w:rsidRDefault="00F96509" w:rsidP="00CE4E4E">
            <w:pPr>
              <w:rPr>
                <w:noProof/>
                <w:color w:val="000000"/>
              </w:rPr>
            </w:pPr>
            <w:r>
              <w:rPr>
                <w:noProof/>
              </w:rPr>
              <w:t>5 651</w:t>
            </w:r>
          </w:p>
        </w:tc>
        <w:tc>
          <w:tcPr>
            <w:tcW w:w="1134" w:type="dxa"/>
            <w:tcBorders>
              <w:top w:val="single" w:sz="4" w:space="0" w:color="auto"/>
              <w:left w:val="single" w:sz="4" w:space="0" w:color="auto"/>
              <w:bottom w:val="single" w:sz="4" w:space="0" w:color="auto"/>
              <w:right w:val="single" w:sz="4" w:space="0" w:color="auto"/>
            </w:tcBorders>
          </w:tcPr>
          <w:p w14:paraId="375C9E87" w14:textId="77777777" w:rsidR="00F96509" w:rsidRPr="005E08A9" w:rsidRDefault="00F96509" w:rsidP="00CE4E4E">
            <w:pPr>
              <w:rPr>
                <w:noProof/>
                <w:color w:val="000000"/>
              </w:rPr>
            </w:pPr>
            <w:r>
              <w:rPr>
                <w:noProof/>
              </w:rPr>
              <w:t>10 199</w:t>
            </w:r>
          </w:p>
        </w:tc>
        <w:tc>
          <w:tcPr>
            <w:tcW w:w="1417" w:type="dxa"/>
            <w:tcBorders>
              <w:top w:val="single" w:sz="4" w:space="0" w:color="auto"/>
              <w:left w:val="single" w:sz="4" w:space="0" w:color="auto"/>
              <w:bottom w:val="single" w:sz="4" w:space="0" w:color="auto"/>
              <w:right w:val="single" w:sz="4" w:space="0" w:color="auto"/>
            </w:tcBorders>
          </w:tcPr>
          <w:p w14:paraId="773A6D3E" w14:textId="77777777" w:rsidR="00F96509" w:rsidRPr="005E08A9" w:rsidRDefault="00F96509" w:rsidP="00CE4E4E">
            <w:pPr>
              <w:rPr>
                <w:noProof/>
                <w:color w:val="000000"/>
              </w:rPr>
            </w:pPr>
            <w:r>
              <w:rPr>
                <w:noProof/>
              </w:rPr>
              <w:t>1,8</w:t>
            </w:r>
          </w:p>
        </w:tc>
      </w:tr>
      <w:tr w:rsidR="005C3BF9" w:rsidRPr="005E08A9" w14:paraId="6BF5D048" w14:textId="77777777">
        <w:trPr>
          <w:trHeight w:val="246"/>
        </w:trPr>
        <w:tc>
          <w:tcPr>
            <w:tcW w:w="2553" w:type="dxa"/>
            <w:tcBorders>
              <w:top w:val="single" w:sz="4" w:space="0" w:color="auto"/>
              <w:bottom w:val="single" w:sz="4" w:space="0" w:color="auto"/>
            </w:tcBorders>
            <w:noWrap/>
            <w:vAlign w:val="bottom"/>
            <w:hideMark/>
          </w:tcPr>
          <w:p w14:paraId="52069A38" w14:textId="77777777" w:rsidR="00F96509" w:rsidRPr="00A4763C" w:rsidRDefault="00F96509" w:rsidP="00CE4E4E">
            <w:pPr>
              <w:rPr>
                <w:noProof/>
                <w:color w:val="000000"/>
              </w:rPr>
            </w:pPr>
            <w:r>
              <w:rPr>
                <w:noProof/>
                <w:color w:val="000000"/>
              </w:rPr>
              <w:t>Ukrepi Marie Skłodowske-Curie</w:t>
            </w:r>
          </w:p>
        </w:tc>
        <w:tc>
          <w:tcPr>
            <w:tcW w:w="992" w:type="dxa"/>
            <w:tcBorders>
              <w:top w:val="single" w:sz="4" w:space="0" w:color="auto"/>
              <w:bottom w:val="single" w:sz="4" w:space="0" w:color="auto"/>
            </w:tcBorders>
            <w:noWrap/>
          </w:tcPr>
          <w:p w14:paraId="62572D1C" w14:textId="77777777" w:rsidR="00F96509" w:rsidRPr="005E08A9" w:rsidRDefault="00F96509" w:rsidP="00CE4E4E">
            <w:pPr>
              <w:rPr>
                <w:noProof/>
                <w:color w:val="000000"/>
              </w:rPr>
            </w:pPr>
            <w:r>
              <w:rPr>
                <w:noProof/>
              </w:rPr>
              <w:t>56 730</w:t>
            </w:r>
          </w:p>
        </w:tc>
        <w:tc>
          <w:tcPr>
            <w:tcW w:w="850" w:type="dxa"/>
            <w:tcBorders>
              <w:top w:val="single" w:sz="4" w:space="0" w:color="auto"/>
              <w:bottom w:val="single" w:sz="4" w:space="0" w:color="auto"/>
            </w:tcBorders>
            <w:noWrap/>
          </w:tcPr>
          <w:p w14:paraId="456A720C" w14:textId="77777777" w:rsidR="00F96509" w:rsidRPr="005E08A9" w:rsidRDefault="00F96509" w:rsidP="00CE4E4E">
            <w:pPr>
              <w:rPr>
                <w:noProof/>
                <w:color w:val="000000"/>
              </w:rPr>
            </w:pPr>
            <w:r>
              <w:rPr>
                <w:noProof/>
              </w:rPr>
              <w:t>8 152</w:t>
            </w:r>
          </w:p>
        </w:tc>
        <w:tc>
          <w:tcPr>
            <w:tcW w:w="1134" w:type="dxa"/>
            <w:tcBorders>
              <w:top w:val="single" w:sz="4" w:space="0" w:color="auto"/>
              <w:bottom w:val="single" w:sz="4" w:space="0" w:color="auto"/>
            </w:tcBorders>
            <w:noWrap/>
          </w:tcPr>
          <w:p w14:paraId="1FA61F43" w14:textId="77777777" w:rsidR="00F96509" w:rsidRPr="005E08A9" w:rsidRDefault="00F96509" w:rsidP="00CE4E4E">
            <w:pPr>
              <w:rPr>
                <w:noProof/>
                <w:color w:val="000000"/>
              </w:rPr>
            </w:pPr>
            <w:r>
              <w:rPr>
                <w:noProof/>
              </w:rPr>
              <w:t>14 %</w:t>
            </w:r>
          </w:p>
        </w:tc>
        <w:tc>
          <w:tcPr>
            <w:tcW w:w="1134" w:type="dxa"/>
            <w:tcBorders>
              <w:top w:val="single" w:sz="4" w:space="0" w:color="auto"/>
              <w:left w:val="nil"/>
              <w:bottom w:val="single" w:sz="4" w:space="0" w:color="auto"/>
              <w:right w:val="single" w:sz="4" w:space="0" w:color="auto"/>
            </w:tcBorders>
            <w:noWrap/>
          </w:tcPr>
          <w:p w14:paraId="430A0C34" w14:textId="77777777" w:rsidR="00F96509" w:rsidRPr="005E08A9" w:rsidRDefault="00F96509" w:rsidP="00CE4E4E">
            <w:pPr>
              <w:rPr>
                <w:noProof/>
                <w:color w:val="000000"/>
              </w:rPr>
            </w:pPr>
            <w:r>
              <w:rPr>
                <w:noProof/>
              </w:rPr>
              <w:t>82 %</w:t>
            </w:r>
          </w:p>
        </w:tc>
        <w:tc>
          <w:tcPr>
            <w:tcW w:w="993" w:type="dxa"/>
            <w:tcBorders>
              <w:top w:val="single" w:sz="4" w:space="0" w:color="auto"/>
              <w:left w:val="nil"/>
              <w:bottom w:val="single" w:sz="4" w:space="0" w:color="auto"/>
              <w:right w:val="single" w:sz="4" w:space="0" w:color="auto"/>
            </w:tcBorders>
          </w:tcPr>
          <w:p w14:paraId="73830FF0" w14:textId="77777777" w:rsidR="00F96509" w:rsidRPr="005E08A9" w:rsidRDefault="00F96509" w:rsidP="00CE4E4E">
            <w:pPr>
              <w:rPr>
                <w:noProof/>
                <w:color w:val="000000"/>
              </w:rPr>
            </w:pPr>
            <w:r>
              <w:rPr>
                <w:noProof/>
              </w:rPr>
              <w:t>6 692</w:t>
            </w:r>
          </w:p>
        </w:tc>
        <w:tc>
          <w:tcPr>
            <w:tcW w:w="1134" w:type="dxa"/>
            <w:tcBorders>
              <w:top w:val="single" w:sz="4" w:space="0" w:color="auto"/>
              <w:left w:val="single" w:sz="4" w:space="0" w:color="auto"/>
              <w:bottom w:val="single" w:sz="4" w:space="0" w:color="auto"/>
              <w:right w:val="single" w:sz="4" w:space="0" w:color="auto"/>
            </w:tcBorders>
          </w:tcPr>
          <w:p w14:paraId="06075D5B" w14:textId="77777777" w:rsidR="00F96509" w:rsidRPr="005E08A9" w:rsidRDefault="00F96509" w:rsidP="00CE4E4E">
            <w:pPr>
              <w:rPr>
                <w:noProof/>
                <w:color w:val="000000"/>
              </w:rPr>
            </w:pPr>
            <w:r>
              <w:rPr>
                <w:noProof/>
              </w:rPr>
              <w:t>3 893</w:t>
            </w:r>
          </w:p>
        </w:tc>
        <w:tc>
          <w:tcPr>
            <w:tcW w:w="1417" w:type="dxa"/>
            <w:tcBorders>
              <w:top w:val="single" w:sz="4" w:space="0" w:color="auto"/>
              <w:left w:val="single" w:sz="4" w:space="0" w:color="auto"/>
              <w:bottom w:val="single" w:sz="4" w:space="0" w:color="auto"/>
              <w:right w:val="single" w:sz="4" w:space="0" w:color="auto"/>
            </w:tcBorders>
          </w:tcPr>
          <w:p w14:paraId="63952693" w14:textId="77777777" w:rsidR="00F96509" w:rsidRPr="005E08A9" w:rsidRDefault="00F96509" w:rsidP="00CE4E4E">
            <w:pPr>
              <w:rPr>
                <w:noProof/>
                <w:color w:val="000000"/>
              </w:rPr>
            </w:pPr>
            <w:r>
              <w:rPr>
                <w:noProof/>
              </w:rPr>
              <w:t>0,6</w:t>
            </w:r>
          </w:p>
        </w:tc>
      </w:tr>
      <w:tr w:rsidR="005C3BF9" w:rsidRPr="005E08A9" w14:paraId="19FEA088" w14:textId="77777777">
        <w:trPr>
          <w:trHeight w:val="246"/>
        </w:trPr>
        <w:tc>
          <w:tcPr>
            <w:tcW w:w="2553" w:type="dxa"/>
            <w:tcBorders>
              <w:top w:val="single" w:sz="4" w:space="0" w:color="auto"/>
              <w:bottom w:val="single" w:sz="4" w:space="0" w:color="auto"/>
            </w:tcBorders>
            <w:noWrap/>
            <w:vAlign w:val="bottom"/>
            <w:hideMark/>
          </w:tcPr>
          <w:p w14:paraId="50445629" w14:textId="77777777" w:rsidR="00F96509" w:rsidRPr="005E08A9" w:rsidRDefault="00F96509" w:rsidP="00CE4E4E">
            <w:pPr>
              <w:rPr>
                <w:noProof/>
                <w:color w:val="000000"/>
              </w:rPr>
            </w:pPr>
            <w:r>
              <w:rPr>
                <w:noProof/>
                <w:color w:val="000000"/>
              </w:rPr>
              <w:t>Raziskovalne infrastrukture</w:t>
            </w:r>
          </w:p>
        </w:tc>
        <w:tc>
          <w:tcPr>
            <w:tcW w:w="992" w:type="dxa"/>
            <w:tcBorders>
              <w:top w:val="single" w:sz="4" w:space="0" w:color="auto"/>
              <w:bottom w:val="single" w:sz="4" w:space="0" w:color="auto"/>
            </w:tcBorders>
            <w:noWrap/>
          </w:tcPr>
          <w:p w14:paraId="68AA5469" w14:textId="77777777" w:rsidR="00F96509" w:rsidRPr="005E08A9" w:rsidRDefault="00F96509" w:rsidP="00CE4E4E">
            <w:pPr>
              <w:rPr>
                <w:noProof/>
                <w:color w:val="000000"/>
              </w:rPr>
            </w:pPr>
            <w:r>
              <w:rPr>
                <w:noProof/>
              </w:rPr>
              <w:t>402</w:t>
            </w:r>
          </w:p>
        </w:tc>
        <w:tc>
          <w:tcPr>
            <w:tcW w:w="850" w:type="dxa"/>
            <w:tcBorders>
              <w:top w:val="single" w:sz="4" w:space="0" w:color="auto"/>
              <w:bottom w:val="single" w:sz="4" w:space="0" w:color="auto"/>
            </w:tcBorders>
            <w:noWrap/>
          </w:tcPr>
          <w:p w14:paraId="69752119" w14:textId="77777777" w:rsidR="00F96509" w:rsidRPr="005E08A9" w:rsidRDefault="00F96509" w:rsidP="00CE4E4E">
            <w:pPr>
              <w:rPr>
                <w:noProof/>
                <w:color w:val="000000"/>
              </w:rPr>
            </w:pPr>
            <w:r>
              <w:rPr>
                <w:noProof/>
              </w:rPr>
              <w:t>170</w:t>
            </w:r>
          </w:p>
        </w:tc>
        <w:tc>
          <w:tcPr>
            <w:tcW w:w="1134" w:type="dxa"/>
            <w:tcBorders>
              <w:top w:val="single" w:sz="4" w:space="0" w:color="auto"/>
              <w:bottom w:val="single" w:sz="4" w:space="0" w:color="auto"/>
            </w:tcBorders>
            <w:noWrap/>
          </w:tcPr>
          <w:p w14:paraId="4D83BDEF" w14:textId="77777777" w:rsidR="00F96509" w:rsidRPr="005E08A9" w:rsidRDefault="00F96509" w:rsidP="00CE4E4E">
            <w:pPr>
              <w:rPr>
                <w:noProof/>
                <w:color w:val="000000"/>
              </w:rPr>
            </w:pPr>
            <w:r>
              <w:rPr>
                <w:noProof/>
              </w:rPr>
              <w:t>42 %</w:t>
            </w:r>
          </w:p>
        </w:tc>
        <w:tc>
          <w:tcPr>
            <w:tcW w:w="1134" w:type="dxa"/>
            <w:tcBorders>
              <w:top w:val="single" w:sz="4" w:space="0" w:color="auto"/>
              <w:left w:val="nil"/>
              <w:bottom w:val="single" w:sz="4" w:space="0" w:color="auto"/>
              <w:right w:val="single" w:sz="4" w:space="0" w:color="auto"/>
            </w:tcBorders>
            <w:noWrap/>
          </w:tcPr>
          <w:p w14:paraId="521A4B58" w14:textId="77777777" w:rsidR="00F96509" w:rsidRPr="005E08A9" w:rsidRDefault="00F96509" w:rsidP="00CE4E4E">
            <w:pPr>
              <w:rPr>
                <w:noProof/>
                <w:color w:val="000000"/>
              </w:rPr>
            </w:pPr>
            <w:r>
              <w:rPr>
                <w:noProof/>
              </w:rPr>
              <w:t>86 %</w:t>
            </w:r>
          </w:p>
        </w:tc>
        <w:tc>
          <w:tcPr>
            <w:tcW w:w="993" w:type="dxa"/>
            <w:tcBorders>
              <w:top w:val="single" w:sz="4" w:space="0" w:color="auto"/>
              <w:left w:val="nil"/>
              <w:bottom w:val="single" w:sz="4" w:space="0" w:color="auto"/>
              <w:right w:val="single" w:sz="4" w:space="0" w:color="auto"/>
            </w:tcBorders>
          </w:tcPr>
          <w:p w14:paraId="55C960C9" w14:textId="77777777" w:rsidR="00F96509" w:rsidRPr="005E08A9" w:rsidRDefault="00F96509" w:rsidP="00CE4E4E">
            <w:pPr>
              <w:rPr>
                <w:noProof/>
                <w:color w:val="000000"/>
              </w:rPr>
            </w:pPr>
            <w:r>
              <w:rPr>
                <w:noProof/>
              </w:rPr>
              <w:t>179</w:t>
            </w:r>
          </w:p>
        </w:tc>
        <w:tc>
          <w:tcPr>
            <w:tcW w:w="1134" w:type="dxa"/>
            <w:tcBorders>
              <w:top w:val="single" w:sz="4" w:space="0" w:color="auto"/>
              <w:left w:val="single" w:sz="4" w:space="0" w:color="auto"/>
              <w:bottom w:val="single" w:sz="4" w:space="0" w:color="auto"/>
              <w:right w:val="single" w:sz="4" w:space="0" w:color="auto"/>
            </w:tcBorders>
          </w:tcPr>
          <w:p w14:paraId="2992D57D" w14:textId="77777777" w:rsidR="00F96509" w:rsidRPr="005E08A9" w:rsidRDefault="00F96509" w:rsidP="00CE4E4E">
            <w:pPr>
              <w:rPr>
                <w:noProof/>
                <w:color w:val="000000"/>
              </w:rPr>
            </w:pPr>
            <w:r>
              <w:rPr>
                <w:noProof/>
              </w:rPr>
              <w:t>1 230</w:t>
            </w:r>
          </w:p>
        </w:tc>
        <w:tc>
          <w:tcPr>
            <w:tcW w:w="1417" w:type="dxa"/>
            <w:tcBorders>
              <w:top w:val="single" w:sz="4" w:space="0" w:color="auto"/>
              <w:left w:val="single" w:sz="4" w:space="0" w:color="auto"/>
              <w:bottom w:val="single" w:sz="4" w:space="0" w:color="auto"/>
              <w:right w:val="single" w:sz="4" w:space="0" w:color="auto"/>
            </w:tcBorders>
          </w:tcPr>
          <w:p w14:paraId="0114E76B" w14:textId="77777777" w:rsidR="00F96509" w:rsidRPr="005E08A9" w:rsidRDefault="00F96509" w:rsidP="00CE4E4E">
            <w:pPr>
              <w:rPr>
                <w:noProof/>
                <w:color w:val="000000"/>
              </w:rPr>
            </w:pPr>
            <w:r>
              <w:rPr>
                <w:noProof/>
              </w:rPr>
              <w:t>6,9</w:t>
            </w:r>
          </w:p>
        </w:tc>
      </w:tr>
      <w:tr w:rsidR="00456887" w:rsidRPr="005E08A9" w14:paraId="25B20E35"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58613EC6" w14:textId="77777777" w:rsidR="00F96509" w:rsidRPr="005E08A9" w:rsidRDefault="00F96509" w:rsidP="00CE4E4E">
            <w:pPr>
              <w:rPr>
                <w:b/>
                <w:noProof/>
                <w:color w:val="000000"/>
              </w:rPr>
            </w:pPr>
            <w:r>
              <w:rPr>
                <w:b/>
                <w:noProof/>
                <w:color w:val="000000"/>
              </w:rPr>
              <w:t>Steber II – Globalni izzivi in evropska industrijska konkurenčnost</w:t>
            </w:r>
          </w:p>
        </w:tc>
      </w:tr>
      <w:tr w:rsidR="005C3BF9" w:rsidRPr="005E08A9" w14:paraId="36A9A4E8" w14:textId="77777777">
        <w:trPr>
          <w:trHeight w:val="246"/>
        </w:trPr>
        <w:tc>
          <w:tcPr>
            <w:tcW w:w="2553" w:type="dxa"/>
            <w:tcBorders>
              <w:top w:val="single" w:sz="4" w:space="0" w:color="auto"/>
              <w:bottom w:val="single" w:sz="4" w:space="0" w:color="auto"/>
            </w:tcBorders>
            <w:noWrap/>
            <w:vAlign w:val="bottom"/>
            <w:hideMark/>
          </w:tcPr>
          <w:p w14:paraId="3AD7C200" w14:textId="2DBC4F4C" w:rsidR="00F96509" w:rsidRPr="005E08A9" w:rsidRDefault="00F96509" w:rsidP="00CE4E4E">
            <w:pPr>
              <w:rPr>
                <w:noProof/>
                <w:color w:val="000000"/>
              </w:rPr>
            </w:pPr>
            <w:r>
              <w:rPr>
                <w:noProof/>
                <w:color w:val="000000"/>
              </w:rPr>
              <w:t>Sklop 1 – Zdravje</w:t>
            </w:r>
          </w:p>
        </w:tc>
        <w:tc>
          <w:tcPr>
            <w:tcW w:w="992" w:type="dxa"/>
            <w:tcBorders>
              <w:top w:val="single" w:sz="4" w:space="0" w:color="auto"/>
              <w:bottom w:val="single" w:sz="4" w:space="0" w:color="auto"/>
            </w:tcBorders>
            <w:noWrap/>
          </w:tcPr>
          <w:p w14:paraId="023A3D11" w14:textId="77777777" w:rsidR="00F96509" w:rsidRPr="005E08A9" w:rsidRDefault="00F96509" w:rsidP="00CE4E4E">
            <w:pPr>
              <w:rPr>
                <w:noProof/>
                <w:color w:val="000000"/>
              </w:rPr>
            </w:pPr>
            <w:r>
              <w:rPr>
                <w:noProof/>
              </w:rPr>
              <w:t>2 753</w:t>
            </w:r>
          </w:p>
        </w:tc>
        <w:tc>
          <w:tcPr>
            <w:tcW w:w="850" w:type="dxa"/>
            <w:tcBorders>
              <w:top w:val="single" w:sz="4" w:space="0" w:color="auto"/>
              <w:bottom w:val="single" w:sz="4" w:space="0" w:color="auto"/>
            </w:tcBorders>
            <w:noWrap/>
          </w:tcPr>
          <w:p w14:paraId="0F455818" w14:textId="77777777" w:rsidR="00F96509" w:rsidRPr="005E08A9" w:rsidRDefault="00F96509" w:rsidP="00CE4E4E">
            <w:pPr>
              <w:rPr>
                <w:noProof/>
                <w:color w:val="000000"/>
              </w:rPr>
            </w:pPr>
            <w:r>
              <w:rPr>
                <w:noProof/>
              </w:rPr>
              <w:t>640</w:t>
            </w:r>
          </w:p>
        </w:tc>
        <w:tc>
          <w:tcPr>
            <w:tcW w:w="1134" w:type="dxa"/>
            <w:tcBorders>
              <w:top w:val="single" w:sz="4" w:space="0" w:color="auto"/>
              <w:bottom w:val="single" w:sz="4" w:space="0" w:color="auto"/>
            </w:tcBorders>
            <w:noWrap/>
          </w:tcPr>
          <w:p w14:paraId="72515CEC" w14:textId="77777777" w:rsidR="00F96509" w:rsidRPr="005E08A9" w:rsidRDefault="00F96509" w:rsidP="00CE4E4E">
            <w:pPr>
              <w:rPr>
                <w:noProof/>
                <w:color w:val="000000"/>
              </w:rPr>
            </w:pPr>
            <w:r>
              <w:rPr>
                <w:noProof/>
              </w:rPr>
              <w:t>23 %</w:t>
            </w:r>
          </w:p>
        </w:tc>
        <w:tc>
          <w:tcPr>
            <w:tcW w:w="1134" w:type="dxa"/>
            <w:tcBorders>
              <w:top w:val="single" w:sz="4" w:space="0" w:color="auto"/>
              <w:left w:val="nil"/>
              <w:bottom w:val="single" w:sz="4" w:space="0" w:color="auto"/>
              <w:right w:val="single" w:sz="4" w:space="0" w:color="auto"/>
            </w:tcBorders>
            <w:noWrap/>
          </w:tcPr>
          <w:p w14:paraId="3666B02A" w14:textId="77777777" w:rsidR="00F96509" w:rsidRPr="005E08A9" w:rsidRDefault="00F96509" w:rsidP="00CE4E4E">
            <w:pPr>
              <w:rPr>
                <w:noProof/>
                <w:color w:val="000000"/>
              </w:rPr>
            </w:pPr>
            <w:r>
              <w:rPr>
                <w:noProof/>
              </w:rPr>
              <w:t>55 %</w:t>
            </w:r>
          </w:p>
        </w:tc>
        <w:tc>
          <w:tcPr>
            <w:tcW w:w="993" w:type="dxa"/>
            <w:tcBorders>
              <w:top w:val="single" w:sz="4" w:space="0" w:color="auto"/>
              <w:left w:val="nil"/>
              <w:bottom w:val="single" w:sz="4" w:space="0" w:color="auto"/>
              <w:right w:val="single" w:sz="4" w:space="0" w:color="auto"/>
            </w:tcBorders>
          </w:tcPr>
          <w:p w14:paraId="1C80FA6D" w14:textId="77777777" w:rsidR="00F96509" w:rsidRPr="005E08A9" w:rsidRDefault="00F96509" w:rsidP="00CE4E4E">
            <w:pPr>
              <w:rPr>
                <w:noProof/>
                <w:color w:val="000000"/>
              </w:rPr>
            </w:pPr>
            <w:r>
              <w:rPr>
                <w:noProof/>
              </w:rPr>
              <w:t>657</w:t>
            </w:r>
          </w:p>
        </w:tc>
        <w:tc>
          <w:tcPr>
            <w:tcW w:w="1134" w:type="dxa"/>
            <w:tcBorders>
              <w:top w:val="single" w:sz="4" w:space="0" w:color="auto"/>
              <w:left w:val="single" w:sz="4" w:space="0" w:color="auto"/>
              <w:bottom w:val="single" w:sz="4" w:space="0" w:color="auto"/>
              <w:right w:val="single" w:sz="4" w:space="0" w:color="auto"/>
            </w:tcBorders>
          </w:tcPr>
          <w:p w14:paraId="1B13DFCC" w14:textId="77777777" w:rsidR="00F96509" w:rsidRPr="005E08A9" w:rsidRDefault="00F96509" w:rsidP="00CE4E4E">
            <w:pPr>
              <w:rPr>
                <w:noProof/>
                <w:color w:val="000000"/>
              </w:rPr>
            </w:pPr>
            <w:r>
              <w:rPr>
                <w:noProof/>
              </w:rPr>
              <w:t>5 269</w:t>
            </w:r>
          </w:p>
        </w:tc>
        <w:tc>
          <w:tcPr>
            <w:tcW w:w="1417" w:type="dxa"/>
            <w:tcBorders>
              <w:top w:val="single" w:sz="4" w:space="0" w:color="auto"/>
              <w:left w:val="single" w:sz="4" w:space="0" w:color="auto"/>
              <w:bottom w:val="single" w:sz="4" w:space="0" w:color="auto"/>
              <w:right w:val="single" w:sz="4" w:space="0" w:color="auto"/>
            </w:tcBorders>
          </w:tcPr>
          <w:p w14:paraId="647D516D" w14:textId="77777777" w:rsidR="00F96509" w:rsidRPr="005E08A9" w:rsidRDefault="00F96509" w:rsidP="00CE4E4E">
            <w:pPr>
              <w:rPr>
                <w:noProof/>
                <w:color w:val="000000"/>
              </w:rPr>
            </w:pPr>
            <w:r>
              <w:rPr>
                <w:noProof/>
              </w:rPr>
              <w:t>8</w:t>
            </w:r>
          </w:p>
        </w:tc>
      </w:tr>
      <w:tr w:rsidR="005C3BF9" w:rsidRPr="005E08A9" w14:paraId="64A77915" w14:textId="77777777">
        <w:trPr>
          <w:trHeight w:val="246"/>
        </w:trPr>
        <w:tc>
          <w:tcPr>
            <w:tcW w:w="2553" w:type="dxa"/>
            <w:tcBorders>
              <w:top w:val="single" w:sz="4" w:space="0" w:color="auto"/>
              <w:bottom w:val="single" w:sz="4" w:space="0" w:color="auto"/>
            </w:tcBorders>
            <w:noWrap/>
            <w:vAlign w:val="bottom"/>
            <w:hideMark/>
          </w:tcPr>
          <w:p w14:paraId="252817BF" w14:textId="2C3AD63A" w:rsidR="00F96509" w:rsidRPr="005E08A9" w:rsidRDefault="00F96509" w:rsidP="00CE4E4E">
            <w:pPr>
              <w:rPr>
                <w:noProof/>
                <w:color w:val="000000"/>
              </w:rPr>
            </w:pPr>
            <w:r>
              <w:rPr>
                <w:noProof/>
                <w:color w:val="000000"/>
              </w:rPr>
              <w:t>Sklop 2 – Kultura, ustvarjalnost in vključujoča družba</w:t>
            </w:r>
          </w:p>
        </w:tc>
        <w:tc>
          <w:tcPr>
            <w:tcW w:w="992" w:type="dxa"/>
            <w:tcBorders>
              <w:top w:val="single" w:sz="4" w:space="0" w:color="auto"/>
              <w:bottom w:val="single" w:sz="4" w:space="0" w:color="auto"/>
            </w:tcBorders>
            <w:noWrap/>
          </w:tcPr>
          <w:p w14:paraId="0E23CE76" w14:textId="77777777" w:rsidR="00F96509" w:rsidRPr="005E08A9" w:rsidRDefault="00F96509" w:rsidP="00CE4E4E">
            <w:pPr>
              <w:rPr>
                <w:noProof/>
                <w:color w:val="000000"/>
              </w:rPr>
            </w:pPr>
            <w:r>
              <w:rPr>
                <w:noProof/>
              </w:rPr>
              <w:t>2 460</w:t>
            </w:r>
          </w:p>
        </w:tc>
        <w:tc>
          <w:tcPr>
            <w:tcW w:w="850" w:type="dxa"/>
            <w:tcBorders>
              <w:top w:val="single" w:sz="4" w:space="0" w:color="auto"/>
              <w:bottom w:val="single" w:sz="4" w:space="0" w:color="auto"/>
            </w:tcBorders>
            <w:noWrap/>
          </w:tcPr>
          <w:p w14:paraId="0EB430B4" w14:textId="77777777" w:rsidR="00F96509" w:rsidRPr="005E08A9" w:rsidRDefault="00F96509" w:rsidP="00CE4E4E">
            <w:pPr>
              <w:rPr>
                <w:noProof/>
                <w:color w:val="000000"/>
              </w:rPr>
            </w:pPr>
            <w:r>
              <w:rPr>
                <w:noProof/>
              </w:rPr>
              <w:t>339</w:t>
            </w:r>
          </w:p>
        </w:tc>
        <w:tc>
          <w:tcPr>
            <w:tcW w:w="1134" w:type="dxa"/>
            <w:tcBorders>
              <w:top w:val="single" w:sz="4" w:space="0" w:color="auto"/>
              <w:bottom w:val="single" w:sz="4" w:space="0" w:color="auto"/>
            </w:tcBorders>
            <w:noWrap/>
          </w:tcPr>
          <w:p w14:paraId="31BD26D5" w14:textId="77777777" w:rsidR="00F96509" w:rsidRPr="005E08A9" w:rsidRDefault="00F96509" w:rsidP="00CE4E4E">
            <w:pPr>
              <w:rPr>
                <w:noProof/>
                <w:color w:val="000000"/>
              </w:rPr>
            </w:pPr>
            <w:r>
              <w:rPr>
                <w:noProof/>
              </w:rPr>
              <w:t>14 %</w:t>
            </w:r>
          </w:p>
        </w:tc>
        <w:tc>
          <w:tcPr>
            <w:tcW w:w="1134" w:type="dxa"/>
            <w:tcBorders>
              <w:top w:val="single" w:sz="4" w:space="0" w:color="auto"/>
              <w:left w:val="nil"/>
              <w:bottom w:val="single" w:sz="4" w:space="0" w:color="auto"/>
              <w:right w:val="single" w:sz="4" w:space="0" w:color="auto"/>
            </w:tcBorders>
            <w:noWrap/>
          </w:tcPr>
          <w:p w14:paraId="4087911F" w14:textId="77777777" w:rsidR="00F96509" w:rsidRPr="005E08A9" w:rsidRDefault="00F96509" w:rsidP="00CE4E4E">
            <w:pPr>
              <w:rPr>
                <w:noProof/>
                <w:color w:val="000000"/>
              </w:rPr>
            </w:pPr>
            <w:r>
              <w:rPr>
                <w:noProof/>
              </w:rPr>
              <w:t>59 %</w:t>
            </w:r>
          </w:p>
        </w:tc>
        <w:tc>
          <w:tcPr>
            <w:tcW w:w="993" w:type="dxa"/>
            <w:tcBorders>
              <w:top w:val="single" w:sz="4" w:space="0" w:color="auto"/>
              <w:left w:val="nil"/>
              <w:bottom w:val="single" w:sz="4" w:space="0" w:color="auto"/>
              <w:right w:val="single" w:sz="4" w:space="0" w:color="auto"/>
            </w:tcBorders>
          </w:tcPr>
          <w:p w14:paraId="2BD720A3" w14:textId="77777777" w:rsidR="00F96509" w:rsidRPr="005E08A9" w:rsidRDefault="00F96509" w:rsidP="00CE4E4E">
            <w:pPr>
              <w:rPr>
                <w:noProof/>
                <w:color w:val="000000"/>
              </w:rPr>
            </w:pPr>
            <w:r>
              <w:rPr>
                <w:noProof/>
              </w:rPr>
              <w:t>350</w:t>
            </w:r>
          </w:p>
        </w:tc>
        <w:tc>
          <w:tcPr>
            <w:tcW w:w="1134" w:type="dxa"/>
            <w:tcBorders>
              <w:top w:val="single" w:sz="4" w:space="0" w:color="auto"/>
              <w:left w:val="single" w:sz="4" w:space="0" w:color="auto"/>
              <w:bottom w:val="single" w:sz="4" w:space="0" w:color="auto"/>
              <w:right w:val="single" w:sz="4" w:space="0" w:color="auto"/>
            </w:tcBorders>
          </w:tcPr>
          <w:p w14:paraId="770BE6E7" w14:textId="77777777" w:rsidR="00F96509" w:rsidRPr="005E08A9" w:rsidRDefault="00F96509" w:rsidP="00CE4E4E">
            <w:pPr>
              <w:rPr>
                <w:noProof/>
                <w:color w:val="000000"/>
              </w:rPr>
            </w:pPr>
            <w:r>
              <w:rPr>
                <w:noProof/>
              </w:rPr>
              <w:t>1 178</w:t>
            </w:r>
          </w:p>
        </w:tc>
        <w:tc>
          <w:tcPr>
            <w:tcW w:w="1417" w:type="dxa"/>
            <w:tcBorders>
              <w:top w:val="single" w:sz="4" w:space="0" w:color="auto"/>
              <w:left w:val="single" w:sz="4" w:space="0" w:color="auto"/>
              <w:bottom w:val="single" w:sz="4" w:space="0" w:color="auto"/>
              <w:right w:val="single" w:sz="4" w:space="0" w:color="auto"/>
            </w:tcBorders>
          </w:tcPr>
          <w:p w14:paraId="1EA61605" w14:textId="77777777" w:rsidR="00F96509" w:rsidRPr="005E08A9" w:rsidRDefault="00F96509" w:rsidP="00CE4E4E">
            <w:pPr>
              <w:rPr>
                <w:noProof/>
                <w:color w:val="000000"/>
              </w:rPr>
            </w:pPr>
            <w:r>
              <w:rPr>
                <w:noProof/>
              </w:rPr>
              <w:t>3,4</w:t>
            </w:r>
          </w:p>
        </w:tc>
      </w:tr>
      <w:tr w:rsidR="005C3BF9" w:rsidRPr="005E08A9" w14:paraId="482FA9A1" w14:textId="77777777">
        <w:trPr>
          <w:trHeight w:val="246"/>
        </w:trPr>
        <w:tc>
          <w:tcPr>
            <w:tcW w:w="2553" w:type="dxa"/>
            <w:tcBorders>
              <w:top w:val="single" w:sz="4" w:space="0" w:color="auto"/>
              <w:bottom w:val="single" w:sz="4" w:space="0" w:color="auto"/>
            </w:tcBorders>
            <w:noWrap/>
            <w:vAlign w:val="bottom"/>
            <w:hideMark/>
          </w:tcPr>
          <w:p w14:paraId="07DD0E79" w14:textId="4FA11EE1" w:rsidR="00F96509" w:rsidRPr="005E08A9" w:rsidRDefault="00F96509" w:rsidP="00CE4E4E">
            <w:pPr>
              <w:rPr>
                <w:noProof/>
                <w:color w:val="000000"/>
              </w:rPr>
            </w:pPr>
            <w:r>
              <w:rPr>
                <w:noProof/>
                <w:color w:val="000000"/>
              </w:rPr>
              <w:t>Sklop 3 – Civilna varnost za družbo</w:t>
            </w:r>
          </w:p>
        </w:tc>
        <w:tc>
          <w:tcPr>
            <w:tcW w:w="992" w:type="dxa"/>
            <w:tcBorders>
              <w:top w:val="single" w:sz="4" w:space="0" w:color="auto"/>
              <w:bottom w:val="single" w:sz="4" w:space="0" w:color="auto"/>
            </w:tcBorders>
            <w:noWrap/>
          </w:tcPr>
          <w:p w14:paraId="4680E464" w14:textId="77777777" w:rsidR="00F96509" w:rsidRPr="005E08A9" w:rsidRDefault="00F96509" w:rsidP="00CE4E4E">
            <w:pPr>
              <w:rPr>
                <w:noProof/>
                <w:color w:val="000000"/>
              </w:rPr>
            </w:pPr>
            <w:r>
              <w:rPr>
                <w:noProof/>
              </w:rPr>
              <w:t>1 533</w:t>
            </w:r>
          </w:p>
        </w:tc>
        <w:tc>
          <w:tcPr>
            <w:tcW w:w="850" w:type="dxa"/>
            <w:tcBorders>
              <w:top w:val="single" w:sz="4" w:space="0" w:color="auto"/>
              <w:bottom w:val="single" w:sz="4" w:space="0" w:color="auto"/>
            </w:tcBorders>
            <w:noWrap/>
          </w:tcPr>
          <w:p w14:paraId="59C69F27" w14:textId="77777777" w:rsidR="00F96509" w:rsidRPr="005E08A9" w:rsidRDefault="00F96509" w:rsidP="00CE4E4E">
            <w:pPr>
              <w:rPr>
                <w:noProof/>
                <w:color w:val="000000"/>
              </w:rPr>
            </w:pPr>
            <w:r>
              <w:rPr>
                <w:noProof/>
              </w:rPr>
              <w:t>183</w:t>
            </w:r>
          </w:p>
        </w:tc>
        <w:tc>
          <w:tcPr>
            <w:tcW w:w="1134" w:type="dxa"/>
            <w:tcBorders>
              <w:top w:val="single" w:sz="4" w:space="0" w:color="auto"/>
              <w:bottom w:val="single" w:sz="4" w:space="0" w:color="auto"/>
            </w:tcBorders>
            <w:noWrap/>
          </w:tcPr>
          <w:p w14:paraId="33D4784E" w14:textId="77777777" w:rsidR="00F96509" w:rsidRPr="005E08A9" w:rsidRDefault="00F96509" w:rsidP="00CE4E4E">
            <w:pPr>
              <w:rPr>
                <w:noProof/>
                <w:color w:val="000000"/>
              </w:rPr>
            </w:pPr>
            <w:r>
              <w:rPr>
                <w:noProof/>
              </w:rPr>
              <w:t>12 %</w:t>
            </w:r>
          </w:p>
        </w:tc>
        <w:tc>
          <w:tcPr>
            <w:tcW w:w="1134" w:type="dxa"/>
            <w:tcBorders>
              <w:top w:val="single" w:sz="4" w:space="0" w:color="auto"/>
              <w:left w:val="nil"/>
              <w:bottom w:val="single" w:sz="4" w:space="0" w:color="auto"/>
              <w:right w:val="single" w:sz="4" w:space="0" w:color="auto"/>
            </w:tcBorders>
            <w:noWrap/>
          </w:tcPr>
          <w:p w14:paraId="791819B4" w14:textId="77777777" w:rsidR="00F96509" w:rsidRPr="005E08A9" w:rsidRDefault="00F96509" w:rsidP="00CE4E4E">
            <w:pPr>
              <w:rPr>
                <w:noProof/>
                <w:color w:val="000000"/>
              </w:rPr>
            </w:pPr>
            <w:r>
              <w:rPr>
                <w:noProof/>
              </w:rPr>
              <w:t>64 %</w:t>
            </w:r>
          </w:p>
        </w:tc>
        <w:tc>
          <w:tcPr>
            <w:tcW w:w="993" w:type="dxa"/>
            <w:tcBorders>
              <w:top w:val="single" w:sz="4" w:space="0" w:color="auto"/>
              <w:left w:val="nil"/>
              <w:bottom w:val="single" w:sz="4" w:space="0" w:color="auto"/>
              <w:right w:val="single" w:sz="4" w:space="0" w:color="auto"/>
            </w:tcBorders>
          </w:tcPr>
          <w:p w14:paraId="2C9F18A3" w14:textId="77777777" w:rsidR="00F96509" w:rsidRPr="005E08A9" w:rsidRDefault="00F96509" w:rsidP="00CE4E4E">
            <w:pPr>
              <w:rPr>
                <w:noProof/>
                <w:color w:val="000000"/>
              </w:rPr>
            </w:pPr>
            <w:r>
              <w:rPr>
                <w:noProof/>
              </w:rPr>
              <w:t>194</w:t>
            </w:r>
          </w:p>
        </w:tc>
        <w:tc>
          <w:tcPr>
            <w:tcW w:w="1134" w:type="dxa"/>
            <w:tcBorders>
              <w:top w:val="single" w:sz="4" w:space="0" w:color="auto"/>
              <w:left w:val="single" w:sz="4" w:space="0" w:color="auto"/>
              <w:bottom w:val="single" w:sz="4" w:space="0" w:color="auto"/>
              <w:right w:val="single" w:sz="4" w:space="0" w:color="auto"/>
            </w:tcBorders>
          </w:tcPr>
          <w:p w14:paraId="6E80DDA2" w14:textId="77777777" w:rsidR="00F96509" w:rsidRPr="005E08A9" w:rsidRDefault="00F96509" w:rsidP="00CE4E4E">
            <w:pPr>
              <w:rPr>
                <w:noProof/>
                <w:color w:val="000000"/>
              </w:rPr>
            </w:pPr>
            <w:r>
              <w:rPr>
                <w:noProof/>
              </w:rPr>
              <w:t>820</w:t>
            </w:r>
          </w:p>
        </w:tc>
        <w:tc>
          <w:tcPr>
            <w:tcW w:w="1417" w:type="dxa"/>
            <w:tcBorders>
              <w:top w:val="single" w:sz="4" w:space="0" w:color="auto"/>
              <w:left w:val="single" w:sz="4" w:space="0" w:color="auto"/>
              <w:bottom w:val="single" w:sz="4" w:space="0" w:color="auto"/>
              <w:right w:val="single" w:sz="4" w:space="0" w:color="auto"/>
            </w:tcBorders>
          </w:tcPr>
          <w:p w14:paraId="60C3876F" w14:textId="77777777" w:rsidR="00F96509" w:rsidRPr="005E08A9" w:rsidRDefault="00F96509" w:rsidP="00CE4E4E">
            <w:pPr>
              <w:rPr>
                <w:noProof/>
                <w:color w:val="000000"/>
              </w:rPr>
            </w:pPr>
            <w:r>
              <w:rPr>
                <w:noProof/>
              </w:rPr>
              <w:t>4,2</w:t>
            </w:r>
          </w:p>
        </w:tc>
      </w:tr>
      <w:tr w:rsidR="005C3BF9" w:rsidRPr="005E08A9" w14:paraId="5B46AB4E" w14:textId="77777777">
        <w:trPr>
          <w:trHeight w:val="246"/>
        </w:trPr>
        <w:tc>
          <w:tcPr>
            <w:tcW w:w="2553" w:type="dxa"/>
            <w:tcBorders>
              <w:top w:val="single" w:sz="4" w:space="0" w:color="auto"/>
              <w:bottom w:val="single" w:sz="4" w:space="0" w:color="auto"/>
            </w:tcBorders>
            <w:noWrap/>
            <w:vAlign w:val="bottom"/>
            <w:hideMark/>
          </w:tcPr>
          <w:p w14:paraId="678B6C70" w14:textId="06DF115A" w:rsidR="00F96509" w:rsidRPr="005E08A9" w:rsidRDefault="00F96509" w:rsidP="00CE4E4E">
            <w:pPr>
              <w:rPr>
                <w:noProof/>
                <w:color w:val="000000"/>
              </w:rPr>
            </w:pPr>
            <w:r>
              <w:rPr>
                <w:noProof/>
                <w:color w:val="000000"/>
              </w:rPr>
              <w:t>Sklop 4 – Digitalizacija, industrija in vesolje</w:t>
            </w:r>
          </w:p>
        </w:tc>
        <w:tc>
          <w:tcPr>
            <w:tcW w:w="992" w:type="dxa"/>
            <w:tcBorders>
              <w:top w:val="single" w:sz="4" w:space="0" w:color="auto"/>
              <w:bottom w:val="single" w:sz="4" w:space="0" w:color="auto"/>
            </w:tcBorders>
            <w:noWrap/>
          </w:tcPr>
          <w:p w14:paraId="6ACBF48E" w14:textId="77777777" w:rsidR="00F96509" w:rsidRPr="005E08A9" w:rsidRDefault="00F96509" w:rsidP="00CE4E4E">
            <w:pPr>
              <w:rPr>
                <w:noProof/>
                <w:color w:val="000000"/>
              </w:rPr>
            </w:pPr>
            <w:r>
              <w:rPr>
                <w:noProof/>
              </w:rPr>
              <w:t>6 947</w:t>
            </w:r>
          </w:p>
        </w:tc>
        <w:tc>
          <w:tcPr>
            <w:tcW w:w="850" w:type="dxa"/>
            <w:tcBorders>
              <w:top w:val="single" w:sz="4" w:space="0" w:color="auto"/>
              <w:bottom w:val="single" w:sz="4" w:space="0" w:color="auto"/>
            </w:tcBorders>
            <w:noWrap/>
          </w:tcPr>
          <w:p w14:paraId="2D71CCB2" w14:textId="77777777" w:rsidR="00F96509" w:rsidRPr="005E08A9" w:rsidRDefault="00F96509" w:rsidP="00CE4E4E">
            <w:pPr>
              <w:rPr>
                <w:noProof/>
                <w:color w:val="000000"/>
              </w:rPr>
            </w:pPr>
            <w:r>
              <w:rPr>
                <w:noProof/>
              </w:rPr>
              <w:t>1 287</w:t>
            </w:r>
          </w:p>
        </w:tc>
        <w:tc>
          <w:tcPr>
            <w:tcW w:w="1134" w:type="dxa"/>
            <w:tcBorders>
              <w:top w:val="single" w:sz="4" w:space="0" w:color="auto"/>
              <w:bottom w:val="single" w:sz="4" w:space="0" w:color="auto"/>
            </w:tcBorders>
            <w:noWrap/>
          </w:tcPr>
          <w:p w14:paraId="01C68BBB" w14:textId="77777777" w:rsidR="00F96509" w:rsidRPr="005E08A9" w:rsidRDefault="00F96509" w:rsidP="00CE4E4E">
            <w:pPr>
              <w:rPr>
                <w:noProof/>
                <w:color w:val="000000"/>
              </w:rPr>
            </w:pPr>
            <w:r>
              <w:rPr>
                <w:noProof/>
              </w:rPr>
              <w:t>19 %</w:t>
            </w:r>
          </w:p>
        </w:tc>
        <w:tc>
          <w:tcPr>
            <w:tcW w:w="1134" w:type="dxa"/>
            <w:tcBorders>
              <w:top w:val="single" w:sz="4" w:space="0" w:color="auto"/>
              <w:left w:val="nil"/>
              <w:bottom w:val="single" w:sz="4" w:space="0" w:color="auto"/>
              <w:right w:val="single" w:sz="4" w:space="0" w:color="auto"/>
            </w:tcBorders>
            <w:noWrap/>
          </w:tcPr>
          <w:p w14:paraId="38EB27DA" w14:textId="77777777" w:rsidR="00F96509" w:rsidRPr="005E08A9" w:rsidRDefault="00F96509" w:rsidP="00CE4E4E">
            <w:pPr>
              <w:rPr>
                <w:noProof/>
                <w:color w:val="000000"/>
              </w:rPr>
            </w:pPr>
            <w:r>
              <w:rPr>
                <w:noProof/>
              </w:rPr>
              <w:t>74 %</w:t>
            </w:r>
          </w:p>
        </w:tc>
        <w:tc>
          <w:tcPr>
            <w:tcW w:w="993" w:type="dxa"/>
            <w:tcBorders>
              <w:top w:val="single" w:sz="4" w:space="0" w:color="auto"/>
              <w:left w:val="nil"/>
              <w:bottom w:val="single" w:sz="4" w:space="0" w:color="auto"/>
              <w:right w:val="single" w:sz="4" w:space="0" w:color="auto"/>
            </w:tcBorders>
          </w:tcPr>
          <w:p w14:paraId="3064A267" w14:textId="77777777" w:rsidR="00F96509" w:rsidRPr="005E08A9" w:rsidRDefault="00F96509" w:rsidP="00CE4E4E">
            <w:pPr>
              <w:rPr>
                <w:noProof/>
                <w:color w:val="000000"/>
              </w:rPr>
            </w:pPr>
            <w:r>
              <w:rPr>
                <w:noProof/>
              </w:rPr>
              <w:t>1 169</w:t>
            </w:r>
          </w:p>
        </w:tc>
        <w:tc>
          <w:tcPr>
            <w:tcW w:w="1134" w:type="dxa"/>
            <w:tcBorders>
              <w:top w:val="single" w:sz="4" w:space="0" w:color="auto"/>
              <w:left w:val="single" w:sz="4" w:space="0" w:color="auto"/>
              <w:bottom w:val="single" w:sz="4" w:space="0" w:color="auto"/>
              <w:right w:val="single" w:sz="4" w:space="0" w:color="auto"/>
            </w:tcBorders>
          </w:tcPr>
          <w:p w14:paraId="1FB7097C" w14:textId="77777777" w:rsidR="00F96509" w:rsidRPr="005E08A9" w:rsidRDefault="00F96509" w:rsidP="00CE4E4E">
            <w:pPr>
              <w:rPr>
                <w:noProof/>
                <w:color w:val="000000"/>
              </w:rPr>
            </w:pPr>
            <w:r>
              <w:rPr>
                <w:noProof/>
              </w:rPr>
              <w:t>8 426</w:t>
            </w:r>
          </w:p>
        </w:tc>
        <w:tc>
          <w:tcPr>
            <w:tcW w:w="1417" w:type="dxa"/>
            <w:tcBorders>
              <w:top w:val="single" w:sz="4" w:space="0" w:color="auto"/>
              <w:left w:val="single" w:sz="4" w:space="0" w:color="auto"/>
              <w:bottom w:val="single" w:sz="4" w:space="0" w:color="auto"/>
              <w:right w:val="single" w:sz="4" w:space="0" w:color="auto"/>
            </w:tcBorders>
          </w:tcPr>
          <w:p w14:paraId="4BF39923" w14:textId="77777777" w:rsidR="00F96509" w:rsidRPr="005E08A9" w:rsidRDefault="00F96509" w:rsidP="00CE4E4E">
            <w:pPr>
              <w:rPr>
                <w:noProof/>
                <w:color w:val="000000"/>
              </w:rPr>
            </w:pPr>
            <w:r>
              <w:rPr>
                <w:noProof/>
              </w:rPr>
              <w:t>7,2</w:t>
            </w:r>
          </w:p>
        </w:tc>
      </w:tr>
      <w:tr w:rsidR="005C3BF9" w:rsidRPr="005E08A9" w14:paraId="40856CC0" w14:textId="77777777">
        <w:trPr>
          <w:trHeight w:val="246"/>
        </w:trPr>
        <w:tc>
          <w:tcPr>
            <w:tcW w:w="2553" w:type="dxa"/>
            <w:tcBorders>
              <w:top w:val="single" w:sz="4" w:space="0" w:color="auto"/>
              <w:bottom w:val="single" w:sz="4" w:space="0" w:color="auto"/>
            </w:tcBorders>
            <w:noWrap/>
            <w:vAlign w:val="bottom"/>
            <w:hideMark/>
          </w:tcPr>
          <w:p w14:paraId="4126B623" w14:textId="6AD081AA" w:rsidR="00F96509" w:rsidRPr="005E08A9" w:rsidRDefault="00F96509" w:rsidP="00CE4E4E">
            <w:pPr>
              <w:rPr>
                <w:noProof/>
                <w:color w:val="000000"/>
              </w:rPr>
            </w:pPr>
            <w:r>
              <w:rPr>
                <w:noProof/>
                <w:color w:val="000000"/>
              </w:rPr>
              <w:t>Sklop 5 – Podnebje, energija in mobilnost (vključno z instrumentom NEB)</w:t>
            </w:r>
          </w:p>
        </w:tc>
        <w:tc>
          <w:tcPr>
            <w:tcW w:w="992" w:type="dxa"/>
            <w:tcBorders>
              <w:top w:val="single" w:sz="4" w:space="0" w:color="auto"/>
              <w:bottom w:val="single" w:sz="4" w:space="0" w:color="auto"/>
            </w:tcBorders>
            <w:noWrap/>
          </w:tcPr>
          <w:p w14:paraId="05263EA6" w14:textId="77777777" w:rsidR="00F96509" w:rsidRPr="005E08A9" w:rsidRDefault="00F96509" w:rsidP="00CE4E4E">
            <w:pPr>
              <w:rPr>
                <w:noProof/>
                <w:color w:val="000000"/>
              </w:rPr>
            </w:pPr>
            <w:r>
              <w:rPr>
                <w:noProof/>
              </w:rPr>
              <w:t>7 093</w:t>
            </w:r>
          </w:p>
        </w:tc>
        <w:tc>
          <w:tcPr>
            <w:tcW w:w="850" w:type="dxa"/>
            <w:tcBorders>
              <w:top w:val="single" w:sz="4" w:space="0" w:color="auto"/>
              <w:bottom w:val="single" w:sz="4" w:space="0" w:color="auto"/>
            </w:tcBorders>
            <w:noWrap/>
          </w:tcPr>
          <w:p w14:paraId="273E294B" w14:textId="77777777" w:rsidR="00F96509" w:rsidRPr="005E08A9" w:rsidRDefault="00F96509" w:rsidP="00CE4E4E">
            <w:pPr>
              <w:rPr>
                <w:noProof/>
                <w:color w:val="000000"/>
              </w:rPr>
            </w:pPr>
            <w:r>
              <w:rPr>
                <w:noProof/>
              </w:rPr>
              <w:t>1 264</w:t>
            </w:r>
          </w:p>
        </w:tc>
        <w:tc>
          <w:tcPr>
            <w:tcW w:w="1134" w:type="dxa"/>
            <w:tcBorders>
              <w:top w:val="single" w:sz="4" w:space="0" w:color="auto"/>
              <w:bottom w:val="single" w:sz="4" w:space="0" w:color="auto"/>
            </w:tcBorders>
            <w:noWrap/>
          </w:tcPr>
          <w:p w14:paraId="16C2E48F" w14:textId="77777777" w:rsidR="00F96509" w:rsidRPr="005E08A9" w:rsidRDefault="00F96509" w:rsidP="00CE4E4E">
            <w:pPr>
              <w:rPr>
                <w:noProof/>
                <w:color w:val="000000"/>
              </w:rPr>
            </w:pPr>
            <w:r>
              <w:rPr>
                <w:noProof/>
              </w:rPr>
              <w:t>18 %</w:t>
            </w:r>
          </w:p>
        </w:tc>
        <w:tc>
          <w:tcPr>
            <w:tcW w:w="1134" w:type="dxa"/>
            <w:tcBorders>
              <w:top w:val="single" w:sz="4" w:space="0" w:color="auto"/>
              <w:left w:val="nil"/>
              <w:bottom w:val="single" w:sz="4" w:space="0" w:color="auto"/>
              <w:right w:val="single" w:sz="4" w:space="0" w:color="auto"/>
            </w:tcBorders>
            <w:noWrap/>
          </w:tcPr>
          <w:p w14:paraId="4DC71246" w14:textId="77777777" w:rsidR="00F96509" w:rsidRPr="005E08A9" w:rsidRDefault="00F96509" w:rsidP="00CE4E4E">
            <w:pPr>
              <w:rPr>
                <w:noProof/>
                <w:color w:val="000000"/>
              </w:rPr>
            </w:pPr>
            <w:r>
              <w:rPr>
                <w:noProof/>
              </w:rPr>
              <w:t>61 %</w:t>
            </w:r>
          </w:p>
        </w:tc>
        <w:tc>
          <w:tcPr>
            <w:tcW w:w="993" w:type="dxa"/>
            <w:tcBorders>
              <w:top w:val="single" w:sz="4" w:space="0" w:color="auto"/>
              <w:left w:val="nil"/>
              <w:bottom w:val="single" w:sz="4" w:space="0" w:color="auto"/>
              <w:right w:val="single" w:sz="4" w:space="0" w:color="auto"/>
            </w:tcBorders>
          </w:tcPr>
          <w:p w14:paraId="6914D67A" w14:textId="77777777" w:rsidR="00F96509" w:rsidRPr="005E08A9" w:rsidRDefault="00F96509" w:rsidP="00CE4E4E">
            <w:pPr>
              <w:rPr>
                <w:noProof/>
                <w:color w:val="000000"/>
              </w:rPr>
            </w:pPr>
            <w:r>
              <w:rPr>
                <w:noProof/>
              </w:rPr>
              <w:t>1 311</w:t>
            </w:r>
          </w:p>
        </w:tc>
        <w:tc>
          <w:tcPr>
            <w:tcW w:w="1134" w:type="dxa"/>
            <w:tcBorders>
              <w:top w:val="single" w:sz="4" w:space="0" w:color="auto"/>
              <w:left w:val="single" w:sz="4" w:space="0" w:color="auto"/>
              <w:bottom w:val="single" w:sz="4" w:space="0" w:color="auto"/>
              <w:right w:val="single" w:sz="4" w:space="0" w:color="auto"/>
            </w:tcBorders>
          </w:tcPr>
          <w:p w14:paraId="5F74F85C" w14:textId="77777777" w:rsidR="00F96509" w:rsidRPr="005E08A9" w:rsidRDefault="00F96509" w:rsidP="00CE4E4E">
            <w:pPr>
              <w:rPr>
                <w:noProof/>
                <w:color w:val="000000"/>
              </w:rPr>
            </w:pPr>
            <w:r>
              <w:rPr>
                <w:noProof/>
              </w:rPr>
              <w:t>9 135</w:t>
            </w:r>
          </w:p>
        </w:tc>
        <w:tc>
          <w:tcPr>
            <w:tcW w:w="1417" w:type="dxa"/>
            <w:tcBorders>
              <w:top w:val="single" w:sz="4" w:space="0" w:color="auto"/>
              <w:left w:val="single" w:sz="4" w:space="0" w:color="auto"/>
              <w:bottom w:val="single" w:sz="4" w:space="0" w:color="auto"/>
              <w:right w:val="single" w:sz="4" w:space="0" w:color="auto"/>
            </w:tcBorders>
          </w:tcPr>
          <w:p w14:paraId="2568CCCC" w14:textId="77777777" w:rsidR="00F96509" w:rsidRPr="005E08A9" w:rsidRDefault="00F96509" w:rsidP="00CE4E4E">
            <w:pPr>
              <w:rPr>
                <w:noProof/>
                <w:color w:val="000000"/>
              </w:rPr>
            </w:pPr>
            <w:r>
              <w:rPr>
                <w:noProof/>
              </w:rPr>
              <w:t>7</w:t>
            </w:r>
          </w:p>
        </w:tc>
      </w:tr>
      <w:tr w:rsidR="005C3BF9" w:rsidRPr="005E08A9" w14:paraId="08100DC2" w14:textId="77777777">
        <w:trPr>
          <w:trHeight w:val="246"/>
        </w:trPr>
        <w:tc>
          <w:tcPr>
            <w:tcW w:w="2553" w:type="dxa"/>
            <w:tcBorders>
              <w:top w:val="single" w:sz="4" w:space="0" w:color="auto"/>
              <w:bottom w:val="single" w:sz="4" w:space="0" w:color="auto"/>
            </w:tcBorders>
            <w:noWrap/>
            <w:vAlign w:val="bottom"/>
            <w:hideMark/>
          </w:tcPr>
          <w:p w14:paraId="59A9D5E5" w14:textId="00C852A0" w:rsidR="00F96509" w:rsidRPr="005E08A9" w:rsidRDefault="00F96509" w:rsidP="00CE4E4E">
            <w:pPr>
              <w:rPr>
                <w:noProof/>
                <w:color w:val="000000"/>
              </w:rPr>
            </w:pPr>
            <w:r>
              <w:rPr>
                <w:noProof/>
                <w:color w:val="000000"/>
              </w:rPr>
              <w:t>Sklop 6 – Hrana, biogospodarstvo, naravni viri, kmetijstvo in okolje</w:t>
            </w:r>
          </w:p>
        </w:tc>
        <w:tc>
          <w:tcPr>
            <w:tcW w:w="992" w:type="dxa"/>
            <w:tcBorders>
              <w:top w:val="single" w:sz="4" w:space="0" w:color="auto"/>
              <w:bottom w:val="single" w:sz="4" w:space="0" w:color="auto"/>
            </w:tcBorders>
            <w:noWrap/>
          </w:tcPr>
          <w:p w14:paraId="637F8B5B" w14:textId="77777777" w:rsidR="00F96509" w:rsidRPr="005E08A9" w:rsidRDefault="00F96509" w:rsidP="00CE4E4E">
            <w:pPr>
              <w:rPr>
                <w:noProof/>
                <w:color w:val="000000"/>
              </w:rPr>
            </w:pPr>
            <w:r>
              <w:rPr>
                <w:noProof/>
              </w:rPr>
              <w:t>4 114</w:t>
            </w:r>
          </w:p>
        </w:tc>
        <w:tc>
          <w:tcPr>
            <w:tcW w:w="850" w:type="dxa"/>
            <w:tcBorders>
              <w:top w:val="single" w:sz="4" w:space="0" w:color="auto"/>
              <w:bottom w:val="single" w:sz="4" w:space="0" w:color="auto"/>
            </w:tcBorders>
            <w:noWrap/>
          </w:tcPr>
          <w:p w14:paraId="2F1201BE" w14:textId="77777777" w:rsidR="00F96509" w:rsidRPr="005E08A9" w:rsidRDefault="00F96509" w:rsidP="00CE4E4E">
            <w:pPr>
              <w:rPr>
                <w:noProof/>
                <w:color w:val="000000"/>
              </w:rPr>
            </w:pPr>
            <w:r>
              <w:rPr>
                <w:noProof/>
              </w:rPr>
              <w:t>845</w:t>
            </w:r>
          </w:p>
        </w:tc>
        <w:tc>
          <w:tcPr>
            <w:tcW w:w="1134" w:type="dxa"/>
            <w:tcBorders>
              <w:top w:val="single" w:sz="4" w:space="0" w:color="auto"/>
              <w:bottom w:val="single" w:sz="4" w:space="0" w:color="auto"/>
            </w:tcBorders>
            <w:noWrap/>
          </w:tcPr>
          <w:p w14:paraId="60D9AE23" w14:textId="77777777" w:rsidR="00F96509" w:rsidRPr="005E08A9" w:rsidRDefault="00F96509" w:rsidP="00CE4E4E">
            <w:pPr>
              <w:rPr>
                <w:noProof/>
                <w:color w:val="000000"/>
              </w:rPr>
            </w:pPr>
            <w:r>
              <w:rPr>
                <w:noProof/>
              </w:rPr>
              <w:t>21 %</w:t>
            </w:r>
          </w:p>
        </w:tc>
        <w:tc>
          <w:tcPr>
            <w:tcW w:w="1134" w:type="dxa"/>
            <w:tcBorders>
              <w:top w:val="single" w:sz="4" w:space="0" w:color="auto"/>
              <w:left w:val="nil"/>
              <w:bottom w:val="single" w:sz="4" w:space="0" w:color="auto"/>
              <w:right w:val="single" w:sz="4" w:space="0" w:color="auto"/>
            </w:tcBorders>
            <w:noWrap/>
          </w:tcPr>
          <w:p w14:paraId="19FA65EF" w14:textId="77777777" w:rsidR="00F96509" w:rsidRPr="005E08A9" w:rsidRDefault="00F96509" w:rsidP="00CE4E4E">
            <w:pPr>
              <w:rPr>
                <w:noProof/>
                <w:color w:val="000000"/>
              </w:rPr>
            </w:pPr>
            <w:r>
              <w:rPr>
                <w:noProof/>
              </w:rPr>
              <w:t>71 %</w:t>
            </w:r>
          </w:p>
        </w:tc>
        <w:tc>
          <w:tcPr>
            <w:tcW w:w="993" w:type="dxa"/>
            <w:tcBorders>
              <w:top w:val="single" w:sz="4" w:space="0" w:color="auto"/>
              <w:left w:val="nil"/>
              <w:bottom w:val="single" w:sz="4" w:space="0" w:color="auto"/>
              <w:right w:val="single" w:sz="4" w:space="0" w:color="auto"/>
            </w:tcBorders>
          </w:tcPr>
          <w:p w14:paraId="362546E9" w14:textId="77777777" w:rsidR="00F96509" w:rsidRPr="005E08A9" w:rsidRDefault="00F96509" w:rsidP="00CE4E4E">
            <w:pPr>
              <w:rPr>
                <w:noProof/>
                <w:color w:val="000000"/>
              </w:rPr>
            </w:pPr>
            <w:r>
              <w:rPr>
                <w:noProof/>
              </w:rPr>
              <w:t>839</w:t>
            </w:r>
          </w:p>
        </w:tc>
        <w:tc>
          <w:tcPr>
            <w:tcW w:w="1134" w:type="dxa"/>
            <w:tcBorders>
              <w:top w:val="single" w:sz="4" w:space="0" w:color="auto"/>
              <w:left w:val="single" w:sz="4" w:space="0" w:color="auto"/>
              <w:bottom w:val="single" w:sz="4" w:space="0" w:color="auto"/>
              <w:right w:val="single" w:sz="4" w:space="0" w:color="auto"/>
            </w:tcBorders>
          </w:tcPr>
          <w:p w14:paraId="4F1E1E41" w14:textId="77777777" w:rsidR="00F96509" w:rsidRPr="005E08A9" w:rsidRDefault="00F96509" w:rsidP="00CE4E4E">
            <w:pPr>
              <w:rPr>
                <w:noProof/>
                <w:color w:val="000000"/>
              </w:rPr>
            </w:pPr>
            <w:r>
              <w:rPr>
                <w:noProof/>
              </w:rPr>
              <w:t>4 938</w:t>
            </w:r>
          </w:p>
        </w:tc>
        <w:tc>
          <w:tcPr>
            <w:tcW w:w="1417" w:type="dxa"/>
            <w:tcBorders>
              <w:top w:val="single" w:sz="4" w:space="0" w:color="auto"/>
              <w:left w:val="single" w:sz="4" w:space="0" w:color="auto"/>
              <w:bottom w:val="single" w:sz="4" w:space="0" w:color="auto"/>
              <w:right w:val="single" w:sz="4" w:space="0" w:color="auto"/>
            </w:tcBorders>
          </w:tcPr>
          <w:p w14:paraId="517B73A3" w14:textId="77777777" w:rsidR="00F96509" w:rsidRPr="005E08A9" w:rsidRDefault="00F96509" w:rsidP="00CE4E4E">
            <w:pPr>
              <w:rPr>
                <w:noProof/>
                <w:color w:val="000000"/>
              </w:rPr>
            </w:pPr>
            <w:r>
              <w:rPr>
                <w:noProof/>
              </w:rPr>
              <w:t>5,9</w:t>
            </w:r>
          </w:p>
        </w:tc>
      </w:tr>
      <w:tr w:rsidR="00456887" w:rsidRPr="005E08A9" w14:paraId="0E28444F"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6AEC8146" w14:textId="77777777" w:rsidR="00F96509" w:rsidRPr="005E08A9" w:rsidRDefault="00F96509" w:rsidP="00CE4E4E">
            <w:pPr>
              <w:rPr>
                <w:b/>
                <w:noProof/>
                <w:color w:val="000000"/>
              </w:rPr>
            </w:pPr>
            <w:r>
              <w:rPr>
                <w:b/>
                <w:noProof/>
                <w:color w:val="000000"/>
              </w:rPr>
              <w:t>Steber III – Inovativna Evropa</w:t>
            </w:r>
          </w:p>
        </w:tc>
      </w:tr>
      <w:tr w:rsidR="005C3BF9" w:rsidRPr="005E08A9" w14:paraId="5899A5E7" w14:textId="77777777">
        <w:trPr>
          <w:trHeight w:val="246"/>
        </w:trPr>
        <w:tc>
          <w:tcPr>
            <w:tcW w:w="2553" w:type="dxa"/>
            <w:tcBorders>
              <w:top w:val="single" w:sz="4" w:space="0" w:color="auto"/>
              <w:bottom w:val="single" w:sz="4" w:space="0" w:color="auto"/>
            </w:tcBorders>
            <w:noWrap/>
            <w:vAlign w:val="bottom"/>
            <w:hideMark/>
          </w:tcPr>
          <w:p w14:paraId="39D13123" w14:textId="20166C10" w:rsidR="00F96509" w:rsidRPr="005E08A9" w:rsidRDefault="00F96509" w:rsidP="00CE4E4E">
            <w:pPr>
              <w:rPr>
                <w:noProof/>
                <w:color w:val="000000"/>
              </w:rPr>
            </w:pPr>
            <w:r>
              <w:rPr>
                <w:noProof/>
                <w:color w:val="000000"/>
              </w:rPr>
              <w:t>Evropski svet za inovacije</w:t>
            </w:r>
          </w:p>
        </w:tc>
        <w:tc>
          <w:tcPr>
            <w:tcW w:w="992" w:type="dxa"/>
            <w:tcBorders>
              <w:top w:val="single" w:sz="4" w:space="0" w:color="auto"/>
              <w:bottom w:val="single" w:sz="4" w:space="0" w:color="auto"/>
            </w:tcBorders>
            <w:noWrap/>
          </w:tcPr>
          <w:p w14:paraId="2956EC86" w14:textId="77777777" w:rsidR="00F96509" w:rsidRPr="005E08A9" w:rsidRDefault="00F96509" w:rsidP="00CE4E4E">
            <w:pPr>
              <w:rPr>
                <w:noProof/>
              </w:rPr>
            </w:pPr>
            <w:r>
              <w:rPr>
                <w:noProof/>
              </w:rPr>
              <w:t>20 340</w:t>
            </w:r>
          </w:p>
        </w:tc>
        <w:tc>
          <w:tcPr>
            <w:tcW w:w="850" w:type="dxa"/>
            <w:tcBorders>
              <w:top w:val="single" w:sz="4" w:space="0" w:color="auto"/>
              <w:bottom w:val="single" w:sz="4" w:space="0" w:color="auto"/>
            </w:tcBorders>
            <w:noWrap/>
          </w:tcPr>
          <w:p w14:paraId="06BC9E3C" w14:textId="77777777" w:rsidR="00F96509" w:rsidRPr="005E08A9" w:rsidRDefault="00F96509" w:rsidP="00CE4E4E">
            <w:pPr>
              <w:rPr>
                <w:noProof/>
              </w:rPr>
            </w:pPr>
            <w:r>
              <w:rPr>
                <w:noProof/>
              </w:rPr>
              <w:t>1 417</w:t>
            </w:r>
          </w:p>
        </w:tc>
        <w:tc>
          <w:tcPr>
            <w:tcW w:w="1134" w:type="dxa"/>
            <w:tcBorders>
              <w:top w:val="single" w:sz="4" w:space="0" w:color="auto"/>
              <w:bottom w:val="single" w:sz="4" w:space="0" w:color="auto"/>
            </w:tcBorders>
            <w:noWrap/>
          </w:tcPr>
          <w:p w14:paraId="0D0F1733" w14:textId="77777777" w:rsidR="00F96509" w:rsidRPr="005E08A9" w:rsidRDefault="00F96509" w:rsidP="00CE4E4E">
            <w:pPr>
              <w:rPr>
                <w:noProof/>
              </w:rPr>
            </w:pPr>
            <w:r>
              <w:rPr>
                <w:noProof/>
              </w:rPr>
              <w:t>7 %</w:t>
            </w:r>
          </w:p>
        </w:tc>
        <w:tc>
          <w:tcPr>
            <w:tcW w:w="1134" w:type="dxa"/>
            <w:tcBorders>
              <w:top w:val="single" w:sz="4" w:space="0" w:color="auto"/>
              <w:left w:val="nil"/>
              <w:bottom w:val="single" w:sz="4" w:space="0" w:color="auto"/>
              <w:right w:val="single" w:sz="4" w:space="0" w:color="auto"/>
            </w:tcBorders>
            <w:noWrap/>
          </w:tcPr>
          <w:p w14:paraId="16F9CA3C" w14:textId="77777777" w:rsidR="00F96509" w:rsidRPr="005E08A9" w:rsidRDefault="00F96509" w:rsidP="00CE4E4E">
            <w:pPr>
              <w:rPr>
                <w:noProof/>
              </w:rPr>
            </w:pPr>
            <w:r>
              <w:rPr>
                <w:noProof/>
              </w:rPr>
              <w:t>33 %</w:t>
            </w:r>
          </w:p>
        </w:tc>
        <w:tc>
          <w:tcPr>
            <w:tcW w:w="993" w:type="dxa"/>
            <w:tcBorders>
              <w:top w:val="single" w:sz="4" w:space="0" w:color="auto"/>
              <w:left w:val="nil"/>
              <w:bottom w:val="single" w:sz="4" w:space="0" w:color="auto"/>
              <w:right w:val="single" w:sz="4" w:space="0" w:color="auto"/>
            </w:tcBorders>
          </w:tcPr>
          <w:p w14:paraId="07D016F3" w14:textId="77777777" w:rsidR="00F96509" w:rsidRPr="005E08A9" w:rsidRDefault="00F96509" w:rsidP="00CE4E4E">
            <w:pPr>
              <w:rPr>
                <w:noProof/>
              </w:rPr>
            </w:pPr>
            <w:r>
              <w:rPr>
                <w:noProof/>
              </w:rPr>
              <w:t>1 330</w:t>
            </w:r>
          </w:p>
        </w:tc>
        <w:tc>
          <w:tcPr>
            <w:tcW w:w="1134" w:type="dxa"/>
            <w:tcBorders>
              <w:top w:val="single" w:sz="4" w:space="0" w:color="auto"/>
              <w:left w:val="single" w:sz="4" w:space="0" w:color="auto"/>
              <w:bottom w:val="single" w:sz="4" w:space="0" w:color="auto"/>
              <w:right w:val="single" w:sz="4" w:space="0" w:color="auto"/>
            </w:tcBorders>
          </w:tcPr>
          <w:p w14:paraId="550D0FC3" w14:textId="77777777" w:rsidR="00F96509" w:rsidRPr="005E08A9" w:rsidRDefault="00F96509" w:rsidP="00CE4E4E">
            <w:pPr>
              <w:rPr>
                <w:noProof/>
              </w:rPr>
            </w:pPr>
            <w:r>
              <w:rPr>
                <w:noProof/>
              </w:rPr>
              <w:t>3 532</w:t>
            </w:r>
          </w:p>
        </w:tc>
        <w:tc>
          <w:tcPr>
            <w:tcW w:w="1417" w:type="dxa"/>
            <w:tcBorders>
              <w:top w:val="single" w:sz="4" w:space="0" w:color="auto"/>
              <w:left w:val="single" w:sz="4" w:space="0" w:color="auto"/>
              <w:bottom w:val="single" w:sz="4" w:space="0" w:color="auto"/>
              <w:right w:val="single" w:sz="4" w:space="0" w:color="auto"/>
            </w:tcBorders>
          </w:tcPr>
          <w:p w14:paraId="7122A179" w14:textId="77777777" w:rsidR="00F96509" w:rsidRPr="005E08A9" w:rsidRDefault="00F96509" w:rsidP="00CE4E4E">
            <w:pPr>
              <w:rPr>
                <w:noProof/>
              </w:rPr>
            </w:pPr>
            <w:r>
              <w:rPr>
                <w:noProof/>
              </w:rPr>
              <w:t>2,7</w:t>
            </w:r>
          </w:p>
        </w:tc>
      </w:tr>
      <w:tr w:rsidR="005C3BF9" w:rsidRPr="005E08A9" w14:paraId="35137C7C" w14:textId="77777777">
        <w:trPr>
          <w:trHeight w:val="246"/>
        </w:trPr>
        <w:tc>
          <w:tcPr>
            <w:tcW w:w="2553" w:type="dxa"/>
            <w:tcBorders>
              <w:top w:val="single" w:sz="4" w:space="0" w:color="auto"/>
              <w:bottom w:val="single" w:sz="4" w:space="0" w:color="auto"/>
            </w:tcBorders>
            <w:noWrap/>
            <w:vAlign w:val="bottom"/>
            <w:hideMark/>
          </w:tcPr>
          <w:p w14:paraId="197E6E01" w14:textId="77777777" w:rsidR="00F96509" w:rsidRPr="005E08A9" w:rsidRDefault="00F96509" w:rsidP="00CE4E4E">
            <w:pPr>
              <w:rPr>
                <w:noProof/>
                <w:color w:val="000000"/>
              </w:rPr>
            </w:pPr>
            <w:r>
              <w:rPr>
                <w:noProof/>
                <w:color w:val="000000"/>
              </w:rPr>
              <w:t>Evropski inovacijski ekosistemi</w:t>
            </w:r>
          </w:p>
        </w:tc>
        <w:tc>
          <w:tcPr>
            <w:tcW w:w="992" w:type="dxa"/>
            <w:tcBorders>
              <w:top w:val="single" w:sz="4" w:space="0" w:color="auto"/>
              <w:bottom w:val="single" w:sz="4" w:space="0" w:color="auto"/>
            </w:tcBorders>
            <w:noWrap/>
          </w:tcPr>
          <w:p w14:paraId="224EE319" w14:textId="77777777" w:rsidR="00F96509" w:rsidRPr="005E08A9" w:rsidRDefault="00F96509" w:rsidP="00CE4E4E">
            <w:pPr>
              <w:rPr>
                <w:noProof/>
              </w:rPr>
            </w:pPr>
            <w:r>
              <w:rPr>
                <w:noProof/>
              </w:rPr>
              <w:t>1 502</w:t>
            </w:r>
          </w:p>
        </w:tc>
        <w:tc>
          <w:tcPr>
            <w:tcW w:w="850" w:type="dxa"/>
            <w:tcBorders>
              <w:top w:val="single" w:sz="4" w:space="0" w:color="auto"/>
              <w:bottom w:val="single" w:sz="4" w:space="0" w:color="auto"/>
            </w:tcBorders>
            <w:noWrap/>
          </w:tcPr>
          <w:p w14:paraId="476AFB8A" w14:textId="77777777" w:rsidR="00F96509" w:rsidRPr="005E08A9" w:rsidRDefault="00F96509" w:rsidP="00CE4E4E">
            <w:pPr>
              <w:rPr>
                <w:noProof/>
              </w:rPr>
            </w:pPr>
            <w:r>
              <w:rPr>
                <w:noProof/>
              </w:rPr>
              <w:t>275</w:t>
            </w:r>
          </w:p>
        </w:tc>
        <w:tc>
          <w:tcPr>
            <w:tcW w:w="1134" w:type="dxa"/>
            <w:tcBorders>
              <w:top w:val="single" w:sz="4" w:space="0" w:color="auto"/>
              <w:bottom w:val="single" w:sz="4" w:space="0" w:color="auto"/>
            </w:tcBorders>
            <w:noWrap/>
          </w:tcPr>
          <w:p w14:paraId="6E40C595" w14:textId="77777777" w:rsidR="00F96509" w:rsidRPr="005E08A9" w:rsidRDefault="00F96509" w:rsidP="00CE4E4E">
            <w:pPr>
              <w:rPr>
                <w:noProof/>
              </w:rPr>
            </w:pPr>
            <w:r>
              <w:rPr>
                <w:noProof/>
              </w:rPr>
              <w:t>18 %</w:t>
            </w:r>
          </w:p>
        </w:tc>
        <w:tc>
          <w:tcPr>
            <w:tcW w:w="1134" w:type="dxa"/>
            <w:tcBorders>
              <w:top w:val="single" w:sz="4" w:space="0" w:color="auto"/>
              <w:left w:val="nil"/>
              <w:bottom w:val="single" w:sz="4" w:space="0" w:color="auto"/>
              <w:right w:val="single" w:sz="4" w:space="0" w:color="auto"/>
            </w:tcBorders>
            <w:noWrap/>
          </w:tcPr>
          <w:p w14:paraId="45E8C6E9" w14:textId="77777777" w:rsidR="00F96509" w:rsidRPr="005E08A9" w:rsidRDefault="00F96509" w:rsidP="00CE4E4E">
            <w:pPr>
              <w:rPr>
                <w:noProof/>
              </w:rPr>
            </w:pPr>
            <w:r>
              <w:rPr>
                <w:noProof/>
              </w:rPr>
              <w:t>58 %</w:t>
            </w:r>
          </w:p>
        </w:tc>
        <w:tc>
          <w:tcPr>
            <w:tcW w:w="993" w:type="dxa"/>
            <w:tcBorders>
              <w:top w:val="single" w:sz="4" w:space="0" w:color="auto"/>
              <w:left w:val="nil"/>
              <w:bottom w:val="single" w:sz="4" w:space="0" w:color="auto"/>
              <w:right w:val="single" w:sz="4" w:space="0" w:color="auto"/>
            </w:tcBorders>
          </w:tcPr>
          <w:p w14:paraId="0E23B423" w14:textId="77777777" w:rsidR="00F96509" w:rsidRPr="005E08A9" w:rsidRDefault="00F96509" w:rsidP="00CE4E4E">
            <w:pPr>
              <w:rPr>
                <w:noProof/>
              </w:rPr>
            </w:pPr>
            <w:r>
              <w:rPr>
                <w:noProof/>
              </w:rPr>
              <w:t>282</w:t>
            </w:r>
          </w:p>
        </w:tc>
        <w:tc>
          <w:tcPr>
            <w:tcW w:w="1134" w:type="dxa"/>
            <w:tcBorders>
              <w:top w:val="single" w:sz="4" w:space="0" w:color="auto"/>
              <w:left w:val="single" w:sz="4" w:space="0" w:color="auto"/>
              <w:bottom w:val="single" w:sz="4" w:space="0" w:color="auto"/>
              <w:right w:val="single" w:sz="4" w:space="0" w:color="auto"/>
            </w:tcBorders>
          </w:tcPr>
          <w:p w14:paraId="0AC24DE1" w14:textId="77777777" w:rsidR="00F96509" w:rsidRPr="005E08A9" w:rsidRDefault="00F96509" w:rsidP="00CE4E4E">
            <w:pPr>
              <w:rPr>
                <w:noProof/>
              </w:rPr>
            </w:pPr>
            <w:r>
              <w:rPr>
                <w:noProof/>
              </w:rPr>
              <w:t>304</w:t>
            </w:r>
          </w:p>
        </w:tc>
        <w:tc>
          <w:tcPr>
            <w:tcW w:w="1417" w:type="dxa"/>
            <w:tcBorders>
              <w:top w:val="single" w:sz="4" w:space="0" w:color="auto"/>
              <w:left w:val="single" w:sz="4" w:space="0" w:color="auto"/>
              <w:bottom w:val="single" w:sz="4" w:space="0" w:color="auto"/>
              <w:right w:val="single" w:sz="4" w:space="0" w:color="auto"/>
            </w:tcBorders>
          </w:tcPr>
          <w:p w14:paraId="5B3255D4" w14:textId="77777777" w:rsidR="00F96509" w:rsidRPr="005E08A9" w:rsidRDefault="00F96509" w:rsidP="00CE4E4E">
            <w:pPr>
              <w:rPr>
                <w:noProof/>
              </w:rPr>
            </w:pPr>
            <w:r>
              <w:rPr>
                <w:noProof/>
              </w:rPr>
              <w:t>1,1</w:t>
            </w:r>
          </w:p>
        </w:tc>
      </w:tr>
      <w:tr w:rsidR="005C3BF9" w:rsidRPr="005E08A9" w14:paraId="0493E4B9" w14:textId="77777777">
        <w:trPr>
          <w:trHeight w:val="246"/>
        </w:trPr>
        <w:tc>
          <w:tcPr>
            <w:tcW w:w="2553" w:type="dxa"/>
            <w:tcBorders>
              <w:top w:val="single" w:sz="4" w:space="0" w:color="auto"/>
              <w:bottom w:val="single" w:sz="4" w:space="0" w:color="auto"/>
            </w:tcBorders>
            <w:noWrap/>
            <w:vAlign w:val="bottom"/>
          </w:tcPr>
          <w:p w14:paraId="479B6C0D" w14:textId="173C748A" w:rsidR="00F96509" w:rsidRPr="005E08A9" w:rsidRDefault="00F96509" w:rsidP="00CE4E4E">
            <w:pPr>
              <w:rPr>
                <w:noProof/>
                <w:color w:val="000000"/>
              </w:rPr>
            </w:pPr>
            <w:r>
              <w:rPr>
                <w:noProof/>
                <w:color w:val="000000"/>
              </w:rPr>
              <w:t>Evropski inštitut za inovacije in tehnologijo (EIT)</w:t>
            </w:r>
            <w:r>
              <w:rPr>
                <w:rStyle w:val="FootnoteReference"/>
                <w:noProof/>
                <w:color w:val="000000"/>
              </w:rPr>
              <w:footnoteReference w:id="5"/>
            </w:r>
          </w:p>
        </w:tc>
        <w:tc>
          <w:tcPr>
            <w:tcW w:w="992" w:type="dxa"/>
            <w:tcBorders>
              <w:top w:val="single" w:sz="4" w:space="0" w:color="auto"/>
              <w:bottom w:val="single" w:sz="4" w:space="0" w:color="auto"/>
            </w:tcBorders>
            <w:noWrap/>
          </w:tcPr>
          <w:p w14:paraId="308D01BF" w14:textId="77777777" w:rsidR="00F96509" w:rsidRPr="005E08A9" w:rsidDel="009C76E0" w:rsidRDefault="00F96509" w:rsidP="00CE4E4E">
            <w:pPr>
              <w:rPr>
                <w:noProof/>
              </w:rPr>
            </w:pPr>
            <w:r>
              <w:rPr>
                <w:noProof/>
              </w:rPr>
              <w:t>40</w:t>
            </w:r>
          </w:p>
        </w:tc>
        <w:tc>
          <w:tcPr>
            <w:tcW w:w="850" w:type="dxa"/>
            <w:tcBorders>
              <w:top w:val="single" w:sz="4" w:space="0" w:color="auto"/>
              <w:bottom w:val="single" w:sz="4" w:space="0" w:color="auto"/>
            </w:tcBorders>
            <w:noWrap/>
          </w:tcPr>
          <w:p w14:paraId="2C88B9C1" w14:textId="77777777" w:rsidR="00F96509" w:rsidRPr="005E08A9" w:rsidRDefault="00F96509" w:rsidP="00CE4E4E">
            <w:pPr>
              <w:rPr>
                <w:noProof/>
              </w:rPr>
            </w:pPr>
            <w:r>
              <w:rPr>
                <w:noProof/>
              </w:rPr>
              <w:t>36</w:t>
            </w:r>
          </w:p>
        </w:tc>
        <w:tc>
          <w:tcPr>
            <w:tcW w:w="1134" w:type="dxa"/>
            <w:tcBorders>
              <w:top w:val="single" w:sz="4" w:space="0" w:color="auto"/>
              <w:bottom w:val="single" w:sz="4" w:space="0" w:color="auto"/>
            </w:tcBorders>
            <w:noWrap/>
          </w:tcPr>
          <w:p w14:paraId="144AF1E4" w14:textId="77777777" w:rsidR="00F96509" w:rsidRPr="005E08A9" w:rsidRDefault="00F96509" w:rsidP="00CE4E4E">
            <w:pPr>
              <w:rPr>
                <w:noProof/>
              </w:rPr>
            </w:pPr>
            <w:r>
              <w:rPr>
                <w:noProof/>
              </w:rPr>
              <w:t>90 %</w:t>
            </w:r>
          </w:p>
        </w:tc>
        <w:tc>
          <w:tcPr>
            <w:tcW w:w="1134" w:type="dxa"/>
            <w:tcBorders>
              <w:top w:val="single" w:sz="4" w:space="0" w:color="auto"/>
              <w:left w:val="nil"/>
              <w:bottom w:val="single" w:sz="4" w:space="0" w:color="auto"/>
              <w:right w:val="single" w:sz="4" w:space="0" w:color="auto"/>
            </w:tcBorders>
            <w:noWrap/>
          </w:tcPr>
          <w:p w14:paraId="1A2E63F7" w14:textId="77777777" w:rsidR="00F96509" w:rsidRPr="005E08A9" w:rsidRDefault="00F96509" w:rsidP="00CE4E4E">
            <w:pPr>
              <w:rPr>
                <w:noProof/>
              </w:rPr>
            </w:pPr>
            <w:r>
              <w:rPr>
                <w:noProof/>
              </w:rPr>
              <w:t>100 %</w:t>
            </w:r>
          </w:p>
        </w:tc>
        <w:tc>
          <w:tcPr>
            <w:tcW w:w="993" w:type="dxa"/>
            <w:tcBorders>
              <w:top w:val="single" w:sz="4" w:space="0" w:color="auto"/>
              <w:left w:val="nil"/>
              <w:bottom w:val="single" w:sz="4" w:space="0" w:color="auto"/>
              <w:right w:val="single" w:sz="4" w:space="0" w:color="auto"/>
            </w:tcBorders>
          </w:tcPr>
          <w:p w14:paraId="00BDADB0" w14:textId="77777777" w:rsidR="00F96509" w:rsidRPr="005E08A9" w:rsidRDefault="00F96509" w:rsidP="00CE4E4E">
            <w:pPr>
              <w:rPr>
                <w:noProof/>
              </w:rPr>
            </w:pPr>
            <w:r>
              <w:rPr>
                <w:noProof/>
              </w:rPr>
              <w:t>35</w:t>
            </w:r>
          </w:p>
        </w:tc>
        <w:tc>
          <w:tcPr>
            <w:tcW w:w="1134" w:type="dxa"/>
            <w:tcBorders>
              <w:top w:val="single" w:sz="4" w:space="0" w:color="auto"/>
              <w:left w:val="single" w:sz="4" w:space="0" w:color="auto"/>
              <w:bottom w:val="single" w:sz="4" w:space="0" w:color="auto"/>
              <w:right w:val="single" w:sz="4" w:space="0" w:color="auto"/>
            </w:tcBorders>
          </w:tcPr>
          <w:p w14:paraId="07BCD9D6" w14:textId="77777777" w:rsidR="00F96509" w:rsidRPr="005E08A9" w:rsidRDefault="00F96509" w:rsidP="00CE4E4E">
            <w:pPr>
              <w:rPr>
                <w:noProof/>
              </w:rPr>
            </w:pPr>
            <w:r>
              <w:rPr>
                <w:noProof/>
              </w:rPr>
              <w:t>2 115</w:t>
            </w:r>
          </w:p>
        </w:tc>
        <w:tc>
          <w:tcPr>
            <w:tcW w:w="1417" w:type="dxa"/>
            <w:tcBorders>
              <w:top w:val="single" w:sz="4" w:space="0" w:color="auto"/>
              <w:left w:val="single" w:sz="4" w:space="0" w:color="auto"/>
              <w:bottom w:val="single" w:sz="4" w:space="0" w:color="auto"/>
              <w:right w:val="single" w:sz="4" w:space="0" w:color="auto"/>
            </w:tcBorders>
          </w:tcPr>
          <w:p w14:paraId="72FD9040" w14:textId="77777777" w:rsidR="00F96509" w:rsidRPr="005E08A9" w:rsidRDefault="00F96509" w:rsidP="00CE4E4E">
            <w:pPr>
              <w:rPr>
                <w:noProof/>
              </w:rPr>
            </w:pPr>
            <w:r>
              <w:rPr>
                <w:noProof/>
              </w:rPr>
              <w:t>60,4</w:t>
            </w:r>
          </w:p>
        </w:tc>
      </w:tr>
      <w:tr w:rsidR="00456887" w:rsidRPr="005E08A9" w14:paraId="5A5C21BF" w14:textId="77777777">
        <w:trPr>
          <w:trHeight w:val="246"/>
        </w:trPr>
        <w:tc>
          <w:tcPr>
            <w:tcW w:w="10207" w:type="dxa"/>
            <w:gridSpan w:val="8"/>
            <w:tcBorders>
              <w:top w:val="single" w:sz="4" w:space="0" w:color="auto"/>
              <w:bottom w:val="single" w:sz="4" w:space="0" w:color="auto"/>
              <w:right w:val="single" w:sz="4" w:space="0" w:color="auto"/>
            </w:tcBorders>
            <w:shd w:val="clear" w:color="auto" w:fill="D9D9D9" w:themeFill="background1" w:themeFillShade="D9"/>
            <w:noWrap/>
            <w:vAlign w:val="bottom"/>
          </w:tcPr>
          <w:p w14:paraId="38BA33A5" w14:textId="77777777" w:rsidR="00F96509" w:rsidRPr="005E08A9" w:rsidRDefault="00F96509" w:rsidP="00CE4E4E">
            <w:pPr>
              <w:rPr>
                <w:b/>
                <w:noProof/>
                <w:color w:val="000000"/>
              </w:rPr>
            </w:pPr>
            <w:r>
              <w:rPr>
                <w:b/>
                <w:noProof/>
                <w:color w:val="000000"/>
              </w:rPr>
              <w:t>Širitev udeležbe in krepitev evropskega raziskovalnega prostora</w:t>
            </w:r>
          </w:p>
        </w:tc>
      </w:tr>
      <w:tr w:rsidR="005C3BF9" w:rsidRPr="005E08A9" w14:paraId="24FC4454" w14:textId="77777777">
        <w:trPr>
          <w:trHeight w:val="246"/>
        </w:trPr>
        <w:tc>
          <w:tcPr>
            <w:tcW w:w="2553" w:type="dxa"/>
            <w:tcBorders>
              <w:top w:val="single" w:sz="4" w:space="0" w:color="auto"/>
              <w:bottom w:val="single" w:sz="4" w:space="0" w:color="auto"/>
            </w:tcBorders>
            <w:noWrap/>
            <w:vAlign w:val="bottom"/>
            <w:hideMark/>
          </w:tcPr>
          <w:p w14:paraId="1B87904E" w14:textId="77777777" w:rsidR="00F96509" w:rsidRPr="005E08A9" w:rsidRDefault="00F96509" w:rsidP="00CE4E4E">
            <w:pPr>
              <w:rPr>
                <w:noProof/>
                <w:color w:val="000000"/>
              </w:rPr>
            </w:pPr>
            <w:r>
              <w:rPr>
                <w:noProof/>
                <w:color w:val="000000"/>
              </w:rPr>
              <w:t>Širitev udeležbe in širjenje odličnosti</w:t>
            </w:r>
          </w:p>
        </w:tc>
        <w:tc>
          <w:tcPr>
            <w:tcW w:w="992" w:type="dxa"/>
            <w:tcBorders>
              <w:top w:val="single" w:sz="4" w:space="0" w:color="auto"/>
              <w:bottom w:val="single" w:sz="4" w:space="0" w:color="auto"/>
            </w:tcBorders>
            <w:noWrap/>
          </w:tcPr>
          <w:p w14:paraId="3AB7B3BD" w14:textId="77777777" w:rsidR="00F96509" w:rsidRPr="005E08A9" w:rsidRDefault="00F96509" w:rsidP="00CE4E4E">
            <w:pPr>
              <w:rPr>
                <w:noProof/>
                <w:color w:val="000000"/>
              </w:rPr>
            </w:pPr>
            <w:r>
              <w:rPr>
                <w:noProof/>
              </w:rPr>
              <w:t>3 165</w:t>
            </w:r>
          </w:p>
        </w:tc>
        <w:tc>
          <w:tcPr>
            <w:tcW w:w="850" w:type="dxa"/>
            <w:tcBorders>
              <w:top w:val="single" w:sz="4" w:space="0" w:color="auto"/>
              <w:bottom w:val="single" w:sz="4" w:space="0" w:color="auto"/>
            </w:tcBorders>
            <w:noWrap/>
          </w:tcPr>
          <w:p w14:paraId="3477245D" w14:textId="77777777" w:rsidR="00F96509" w:rsidRPr="005E08A9" w:rsidRDefault="00F96509" w:rsidP="00CE4E4E">
            <w:pPr>
              <w:rPr>
                <w:noProof/>
                <w:color w:val="000000"/>
              </w:rPr>
            </w:pPr>
            <w:r>
              <w:rPr>
                <w:noProof/>
              </w:rPr>
              <w:t>831</w:t>
            </w:r>
          </w:p>
        </w:tc>
        <w:tc>
          <w:tcPr>
            <w:tcW w:w="1134" w:type="dxa"/>
            <w:tcBorders>
              <w:top w:val="single" w:sz="4" w:space="0" w:color="auto"/>
              <w:bottom w:val="single" w:sz="4" w:space="0" w:color="auto"/>
            </w:tcBorders>
            <w:noWrap/>
          </w:tcPr>
          <w:p w14:paraId="59BAE14B" w14:textId="77777777" w:rsidR="00F96509" w:rsidRPr="005E08A9" w:rsidRDefault="00F96509" w:rsidP="00CE4E4E">
            <w:pPr>
              <w:rPr>
                <w:noProof/>
                <w:color w:val="000000"/>
              </w:rPr>
            </w:pPr>
            <w:r>
              <w:rPr>
                <w:noProof/>
              </w:rPr>
              <w:t>26 %</w:t>
            </w:r>
          </w:p>
        </w:tc>
        <w:tc>
          <w:tcPr>
            <w:tcW w:w="1134" w:type="dxa"/>
            <w:tcBorders>
              <w:top w:val="single" w:sz="4" w:space="0" w:color="auto"/>
              <w:left w:val="nil"/>
              <w:bottom w:val="single" w:sz="4" w:space="0" w:color="auto"/>
              <w:right w:val="single" w:sz="4" w:space="0" w:color="auto"/>
            </w:tcBorders>
            <w:noWrap/>
          </w:tcPr>
          <w:p w14:paraId="7161EE75" w14:textId="77777777" w:rsidR="00F96509" w:rsidRPr="005E08A9" w:rsidRDefault="00F96509" w:rsidP="00CE4E4E">
            <w:pPr>
              <w:rPr>
                <w:noProof/>
                <w:color w:val="000000"/>
              </w:rPr>
            </w:pPr>
            <w:r>
              <w:rPr>
                <w:noProof/>
              </w:rPr>
              <w:t>77 %</w:t>
            </w:r>
          </w:p>
        </w:tc>
        <w:tc>
          <w:tcPr>
            <w:tcW w:w="993" w:type="dxa"/>
            <w:tcBorders>
              <w:top w:val="single" w:sz="4" w:space="0" w:color="auto"/>
              <w:left w:val="nil"/>
              <w:bottom w:val="single" w:sz="4" w:space="0" w:color="auto"/>
              <w:right w:val="single" w:sz="4" w:space="0" w:color="auto"/>
            </w:tcBorders>
          </w:tcPr>
          <w:p w14:paraId="5505F424" w14:textId="77777777" w:rsidR="00F96509" w:rsidRPr="005E08A9" w:rsidRDefault="00F96509" w:rsidP="00CE4E4E">
            <w:pPr>
              <w:rPr>
                <w:noProof/>
                <w:color w:val="000000"/>
              </w:rPr>
            </w:pPr>
            <w:r>
              <w:rPr>
                <w:noProof/>
              </w:rPr>
              <w:t>657</w:t>
            </w:r>
          </w:p>
        </w:tc>
        <w:tc>
          <w:tcPr>
            <w:tcW w:w="1134" w:type="dxa"/>
            <w:tcBorders>
              <w:top w:val="single" w:sz="4" w:space="0" w:color="auto"/>
              <w:left w:val="single" w:sz="4" w:space="0" w:color="auto"/>
              <w:bottom w:val="single" w:sz="4" w:space="0" w:color="auto"/>
              <w:right w:val="single" w:sz="4" w:space="0" w:color="auto"/>
            </w:tcBorders>
          </w:tcPr>
          <w:p w14:paraId="6073E9CF" w14:textId="77777777" w:rsidR="00F96509" w:rsidRPr="005E08A9" w:rsidRDefault="00F96509" w:rsidP="00CE4E4E">
            <w:pPr>
              <w:rPr>
                <w:noProof/>
                <w:color w:val="000000"/>
              </w:rPr>
            </w:pPr>
            <w:r>
              <w:rPr>
                <w:noProof/>
              </w:rPr>
              <w:t>1 487</w:t>
            </w:r>
          </w:p>
        </w:tc>
        <w:tc>
          <w:tcPr>
            <w:tcW w:w="1417" w:type="dxa"/>
            <w:tcBorders>
              <w:top w:val="single" w:sz="4" w:space="0" w:color="auto"/>
              <w:left w:val="single" w:sz="4" w:space="0" w:color="auto"/>
              <w:bottom w:val="single" w:sz="4" w:space="0" w:color="auto"/>
              <w:right w:val="single" w:sz="4" w:space="0" w:color="auto"/>
            </w:tcBorders>
          </w:tcPr>
          <w:p w14:paraId="59DD9725" w14:textId="77777777" w:rsidR="00F96509" w:rsidRPr="005E08A9" w:rsidRDefault="00F96509" w:rsidP="00CE4E4E">
            <w:pPr>
              <w:rPr>
                <w:noProof/>
                <w:color w:val="000000"/>
              </w:rPr>
            </w:pPr>
            <w:r>
              <w:rPr>
                <w:noProof/>
              </w:rPr>
              <w:t>2,3</w:t>
            </w:r>
          </w:p>
        </w:tc>
      </w:tr>
      <w:tr w:rsidR="005C3BF9" w:rsidRPr="005E08A9" w14:paraId="10013988" w14:textId="77777777">
        <w:trPr>
          <w:trHeight w:val="246"/>
        </w:trPr>
        <w:tc>
          <w:tcPr>
            <w:tcW w:w="2553" w:type="dxa"/>
            <w:tcBorders>
              <w:top w:val="single" w:sz="4" w:space="0" w:color="auto"/>
              <w:bottom w:val="single" w:sz="4" w:space="0" w:color="auto"/>
            </w:tcBorders>
            <w:noWrap/>
            <w:vAlign w:val="bottom"/>
            <w:hideMark/>
          </w:tcPr>
          <w:p w14:paraId="7CD614D7" w14:textId="054F7F22" w:rsidR="00F96509" w:rsidRPr="005E08A9" w:rsidRDefault="00F96509" w:rsidP="00CE4E4E">
            <w:pPr>
              <w:rPr>
                <w:noProof/>
                <w:color w:val="000000"/>
              </w:rPr>
            </w:pPr>
            <w:r>
              <w:rPr>
                <w:noProof/>
                <w:color w:val="000000"/>
              </w:rPr>
              <w:t>Reformiranje in krepitev evropskega sistema za raziskave in inovacije</w:t>
            </w:r>
          </w:p>
        </w:tc>
        <w:tc>
          <w:tcPr>
            <w:tcW w:w="992" w:type="dxa"/>
            <w:tcBorders>
              <w:top w:val="single" w:sz="4" w:space="0" w:color="auto"/>
              <w:bottom w:val="single" w:sz="4" w:space="0" w:color="auto"/>
            </w:tcBorders>
            <w:noWrap/>
          </w:tcPr>
          <w:p w14:paraId="3BEA8380" w14:textId="77777777" w:rsidR="00F96509" w:rsidRPr="005E08A9" w:rsidRDefault="00F96509" w:rsidP="00CE4E4E">
            <w:pPr>
              <w:rPr>
                <w:noProof/>
                <w:color w:val="000000"/>
              </w:rPr>
            </w:pPr>
            <w:r>
              <w:rPr>
                <w:noProof/>
              </w:rPr>
              <w:t>374</w:t>
            </w:r>
          </w:p>
        </w:tc>
        <w:tc>
          <w:tcPr>
            <w:tcW w:w="850" w:type="dxa"/>
            <w:tcBorders>
              <w:top w:val="single" w:sz="4" w:space="0" w:color="auto"/>
              <w:bottom w:val="single" w:sz="4" w:space="0" w:color="auto"/>
            </w:tcBorders>
            <w:noWrap/>
          </w:tcPr>
          <w:p w14:paraId="2EC3A808" w14:textId="77777777" w:rsidR="00F96509" w:rsidRPr="005E08A9" w:rsidRDefault="00F96509" w:rsidP="00CE4E4E">
            <w:pPr>
              <w:rPr>
                <w:noProof/>
                <w:color w:val="000000"/>
              </w:rPr>
            </w:pPr>
            <w:r>
              <w:rPr>
                <w:noProof/>
              </w:rPr>
              <w:t>109</w:t>
            </w:r>
          </w:p>
        </w:tc>
        <w:tc>
          <w:tcPr>
            <w:tcW w:w="1134" w:type="dxa"/>
            <w:tcBorders>
              <w:top w:val="single" w:sz="4" w:space="0" w:color="auto"/>
              <w:bottom w:val="single" w:sz="4" w:space="0" w:color="auto"/>
            </w:tcBorders>
            <w:noWrap/>
          </w:tcPr>
          <w:p w14:paraId="23120F47" w14:textId="77777777" w:rsidR="00F96509" w:rsidRPr="005E08A9" w:rsidRDefault="00F96509" w:rsidP="00CE4E4E">
            <w:pPr>
              <w:rPr>
                <w:noProof/>
                <w:color w:val="000000"/>
              </w:rPr>
            </w:pPr>
            <w:r>
              <w:rPr>
                <w:noProof/>
              </w:rPr>
              <w:t>29 %</w:t>
            </w:r>
          </w:p>
        </w:tc>
        <w:tc>
          <w:tcPr>
            <w:tcW w:w="1134" w:type="dxa"/>
            <w:tcBorders>
              <w:top w:val="single" w:sz="4" w:space="0" w:color="auto"/>
              <w:left w:val="nil"/>
              <w:bottom w:val="single" w:sz="4" w:space="0" w:color="auto"/>
              <w:right w:val="single" w:sz="4" w:space="0" w:color="auto"/>
            </w:tcBorders>
            <w:noWrap/>
          </w:tcPr>
          <w:p w14:paraId="06E0DE81" w14:textId="77777777" w:rsidR="00F96509" w:rsidRPr="005E08A9" w:rsidRDefault="00F96509" w:rsidP="00CE4E4E">
            <w:pPr>
              <w:rPr>
                <w:noProof/>
                <w:color w:val="000000"/>
              </w:rPr>
            </w:pPr>
            <w:r>
              <w:rPr>
                <w:noProof/>
              </w:rPr>
              <w:t>69 %</w:t>
            </w:r>
          </w:p>
        </w:tc>
        <w:tc>
          <w:tcPr>
            <w:tcW w:w="993" w:type="dxa"/>
            <w:tcBorders>
              <w:top w:val="single" w:sz="4" w:space="0" w:color="auto"/>
              <w:left w:val="nil"/>
              <w:bottom w:val="single" w:sz="4" w:space="0" w:color="auto"/>
              <w:right w:val="single" w:sz="4" w:space="0" w:color="auto"/>
            </w:tcBorders>
          </w:tcPr>
          <w:p w14:paraId="7BC4A7D1" w14:textId="77777777" w:rsidR="00F96509" w:rsidRPr="005E08A9" w:rsidRDefault="00F96509" w:rsidP="00CE4E4E">
            <w:pPr>
              <w:rPr>
                <w:noProof/>
                <w:color w:val="000000"/>
              </w:rPr>
            </w:pPr>
            <w:r>
              <w:rPr>
                <w:noProof/>
              </w:rPr>
              <w:t>110</w:t>
            </w:r>
          </w:p>
        </w:tc>
        <w:tc>
          <w:tcPr>
            <w:tcW w:w="1134" w:type="dxa"/>
            <w:tcBorders>
              <w:top w:val="single" w:sz="4" w:space="0" w:color="auto"/>
              <w:left w:val="single" w:sz="4" w:space="0" w:color="auto"/>
              <w:bottom w:val="single" w:sz="4" w:space="0" w:color="auto"/>
              <w:right w:val="single" w:sz="4" w:space="0" w:color="auto"/>
            </w:tcBorders>
          </w:tcPr>
          <w:p w14:paraId="4266FC87" w14:textId="77777777" w:rsidR="00F96509" w:rsidRPr="005E08A9" w:rsidRDefault="00F96509" w:rsidP="00CE4E4E">
            <w:pPr>
              <w:rPr>
                <w:noProof/>
                <w:color w:val="000000"/>
              </w:rPr>
            </w:pPr>
            <w:r>
              <w:rPr>
                <w:noProof/>
              </w:rPr>
              <w:t>236</w:t>
            </w:r>
          </w:p>
        </w:tc>
        <w:tc>
          <w:tcPr>
            <w:tcW w:w="1417" w:type="dxa"/>
            <w:tcBorders>
              <w:top w:val="single" w:sz="4" w:space="0" w:color="auto"/>
              <w:left w:val="single" w:sz="4" w:space="0" w:color="auto"/>
              <w:bottom w:val="single" w:sz="4" w:space="0" w:color="auto"/>
              <w:right w:val="single" w:sz="4" w:space="0" w:color="auto"/>
            </w:tcBorders>
          </w:tcPr>
          <w:p w14:paraId="03F2ADC6" w14:textId="77777777" w:rsidR="00F96509" w:rsidRPr="005E08A9" w:rsidRDefault="00F96509" w:rsidP="00CE4E4E">
            <w:pPr>
              <w:rPr>
                <w:noProof/>
                <w:color w:val="000000"/>
              </w:rPr>
            </w:pPr>
            <w:r>
              <w:rPr>
                <w:noProof/>
              </w:rPr>
              <w:t>2,1</w:t>
            </w:r>
          </w:p>
        </w:tc>
      </w:tr>
      <w:tr w:rsidR="00D336A8" w:rsidRPr="005E08A9" w14:paraId="37705C96" w14:textId="77777777">
        <w:trPr>
          <w:trHeight w:val="246"/>
        </w:trPr>
        <w:tc>
          <w:tcPr>
            <w:tcW w:w="2553" w:type="dxa"/>
            <w:tcBorders>
              <w:top w:val="single" w:sz="4" w:space="0" w:color="auto"/>
              <w:bottom w:val="single" w:sz="4" w:space="0" w:color="auto"/>
            </w:tcBorders>
            <w:shd w:val="clear" w:color="auto" w:fill="BFBFBF" w:themeFill="background1" w:themeFillShade="BF"/>
            <w:noWrap/>
            <w:vAlign w:val="bottom"/>
          </w:tcPr>
          <w:p w14:paraId="1A08DD84" w14:textId="77777777" w:rsidR="00F96509" w:rsidRPr="005E08A9" w:rsidRDefault="00F96509" w:rsidP="00CE4E4E">
            <w:pPr>
              <w:rPr>
                <w:b/>
                <w:noProof/>
                <w:color w:val="000000"/>
              </w:rPr>
            </w:pPr>
            <w:r>
              <w:rPr>
                <w:b/>
                <w:noProof/>
                <w:color w:val="000000"/>
              </w:rPr>
              <w:t>Skupaj za program Obzorje Evropa</w:t>
            </w:r>
          </w:p>
          <w:p w14:paraId="6126D2E3" w14:textId="77777777" w:rsidR="00F96509" w:rsidRPr="005E08A9" w:rsidRDefault="00F96509" w:rsidP="00CE4E4E">
            <w:pPr>
              <w:rPr>
                <w:b/>
                <w:noProof/>
                <w:color w:val="000000"/>
              </w:rPr>
            </w:pPr>
          </w:p>
        </w:tc>
        <w:tc>
          <w:tcPr>
            <w:tcW w:w="992" w:type="dxa"/>
            <w:tcBorders>
              <w:top w:val="single" w:sz="4" w:space="0" w:color="auto"/>
              <w:bottom w:val="single" w:sz="4" w:space="0" w:color="auto"/>
            </w:tcBorders>
            <w:shd w:val="clear" w:color="auto" w:fill="BFBFBF" w:themeFill="background1" w:themeFillShade="BF"/>
            <w:noWrap/>
          </w:tcPr>
          <w:p w14:paraId="297548AD" w14:textId="77777777" w:rsidR="00F96509" w:rsidRPr="005E08A9" w:rsidRDefault="00F96509" w:rsidP="00CE4E4E">
            <w:pPr>
              <w:rPr>
                <w:b/>
                <w:bCs/>
                <w:noProof/>
                <w:color w:val="000000" w:themeColor="text1"/>
              </w:rPr>
            </w:pPr>
            <w:r>
              <w:rPr>
                <w:b/>
                <w:noProof/>
              </w:rPr>
              <w:t>148 884</w:t>
            </w:r>
          </w:p>
        </w:tc>
        <w:tc>
          <w:tcPr>
            <w:tcW w:w="850" w:type="dxa"/>
            <w:tcBorders>
              <w:top w:val="single" w:sz="4" w:space="0" w:color="auto"/>
              <w:bottom w:val="single" w:sz="4" w:space="0" w:color="auto"/>
            </w:tcBorders>
            <w:shd w:val="clear" w:color="auto" w:fill="BFBFBF" w:themeFill="background1" w:themeFillShade="BF"/>
            <w:noWrap/>
          </w:tcPr>
          <w:p w14:paraId="1371D224" w14:textId="77777777" w:rsidR="00F96509" w:rsidRPr="005E08A9" w:rsidRDefault="00F96509" w:rsidP="00CE4E4E">
            <w:pPr>
              <w:rPr>
                <w:b/>
                <w:bCs/>
                <w:noProof/>
                <w:color w:val="000000" w:themeColor="text1"/>
              </w:rPr>
            </w:pPr>
            <w:r>
              <w:rPr>
                <w:b/>
                <w:noProof/>
              </w:rPr>
              <w:t>21 329</w:t>
            </w:r>
          </w:p>
        </w:tc>
        <w:tc>
          <w:tcPr>
            <w:tcW w:w="1134" w:type="dxa"/>
            <w:tcBorders>
              <w:top w:val="single" w:sz="4" w:space="0" w:color="auto"/>
              <w:bottom w:val="single" w:sz="4" w:space="0" w:color="auto"/>
            </w:tcBorders>
            <w:shd w:val="clear" w:color="auto" w:fill="BFBFBF" w:themeFill="background1" w:themeFillShade="BF"/>
            <w:noWrap/>
          </w:tcPr>
          <w:p w14:paraId="109778E3" w14:textId="77777777" w:rsidR="00F96509" w:rsidRPr="005E08A9" w:rsidRDefault="00F96509" w:rsidP="00CE4E4E">
            <w:pPr>
              <w:rPr>
                <w:b/>
                <w:bCs/>
                <w:noProof/>
                <w:color w:val="000000" w:themeColor="text1"/>
              </w:rPr>
            </w:pPr>
            <w:r>
              <w:rPr>
                <w:b/>
                <w:noProof/>
              </w:rPr>
              <w:t>14 %</w:t>
            </w:r>
          </w:p>
        </w:tc>
        <w:tc>
          <w:tcPr>
            <w:tcW w:w="1134" w:type="dxa"/>
            <w:tcBorders>
              <w:top w:val="single" w:sz="4" w:space="0" w:color="auto"/>
              <w:left w:val="nil"/>
              <w:bottom w:val="single" w:sz="4" w:space="0" w:color="auto"/>
              <w:right w:val="single" w:sz="4" w:space="0" w:color="auto"/>
            </w:tcBorders>
            <w:shd w:val="clear" w:color="auto" w:fill="BFBFBF" w:themeFill="background1" w:themeFillShade="BF"/>
            <w:noWrap/>
          </w:tcPr>
          <w:p w14:paraId="1E054CB9" w14:textId="77777777" w:rsidR="00F96509" w:rsidRPr="005E08A9" w:rsidRDefault="00F96509" w:rsidP="00CE4E4E">
            <w:pPr>
              <w:rPr>
                <w:b/>
                <w:bCs/>
                <w:noProof/>
                <w:color w:val="000000" w:themeColor="text1"/>
              </w:rPr>
            </w:pPr>
            <w:r>
              <w:rPr>
                <w:b/>
                <w:noProof/>
              </w:rPr>
              <w:t>57 %</w:t>
            </w:r>
          </w:p>
        </w:tc>
        <w:tc>
          <w:tcPr>
            <w:tcW w:w="993" w:type="dxa"/>
            <w:tcBorders>
              <w:top w:val="single" w:sz="4" w:space="0" w:color="auto"/>
              <w:left w:val="nil"/>
              <w:bottom w:val="single" w:sz="4" w:space="0" w:color="auto"/>
              <w:right w:val="single" w:sz="4" w:space="0" w:color="auto"/>
            </w:tcBorders>
            <w:shd w:val="clear" w:color="auto" w:fill="BFBFBF" w:themeFill="background1" w:themeFillShade="BF"/>
          </w:tcPr>
          <w:p w14:paraId="4C5D07C9" w14:textId="77777777" w:rsidR="00F96509" w:rsidRPr="005E08A9" w:rsidRDefault="00F96509" w:rsidP="00CE4E4E">
            <w:pPr>
              <w:rPr>
                <w:b/>
                <w:bCs/>
                <w:noProof/>
                <w:color w:val="000000" w:themeColor="text1"/>
              </w:rPr>
            </w:pPr>
            <w:r>
              <w:rPr>
                <w:b/>
                <w:noProof/>
              </w:rPr>
              <w:t>19 456</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0074CD" w14:textId="77777777" w:rsidR="00F96509" w:rsidRPr="005E08A9" w:rsidRDefault="00F96509" w:rsidP="00CE4E4E">
            <w:pPr>
              <w:rPr>
                <w:b/>
                <w:bCs/>
                <w:noProof/>
                <w:color w:val="000000"/>
              </w:rPr>
            </w:pPr>
            <w:r>
              <w:rPr>
                <w:b/>
                <w:noProof/>
              </w:rPr>
              <w:t>52 760</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8D9A97" w14:textId="77777777" w:rsidR="00F96509" w:rsidRPr="005E08A9" w:rsidRDefault="00F96509" w:rsidP="00CE4E4E">
            <w:pPr>
              <w:keepNext/>
              <w:rPr>
                <w:b/>
                <w:bCs/>
                <w:noProof/>
                <w:color w:val="000000"/>
              </w:rPr>
            </w:pPr>
            <w:r>
              <w:rPr>
                <w:b/>
                <w:noProof/>
              </w:rPr>
              <w:t>2,7</w:t>
            </w:r>
          </w:p>
        </w:tc>
      </w:tr>
    </w:tbl>
    <w:p w14:paraId="53046023" w14:textId="2F81D8D1" w:rsidR="00F96509" w:rsidRPr="005E08A9" w:rsidRDefault="00F96509" w:rsidP="00C52261">
      <w:pPr>
        <w:pStyle w:val="Caption"/>
        <w:spacing w:before="120" w:after="120"/>
        <w:rPr>
          <w:noProof/>
          <w:sz w:val="20"/>
        </w:rPr>
      </w:pPr>
      <w:r>
        <w:rPr>
          <w:noProof/>
          <w:sz w:val="20"/>
        </w:rPr>
        <w:t>Preglednica</w:t>
      </w:r>
      <w:r>
        <w:rPr>
          <w:noProof/>
          <w:sz w:val="20"/>
        </w:rPr>
        <w:fldChar w:fldCharType="begin"/>
      </w:r>
      <w:r>
        <w:rPr>
          <w:noProof/>
          <w:sz w:val="20"/>
        </w:rPr>
        <w:instrText xml:space="preserve"> SEQ Table \* ARABIC </w:instrText>
      </w:r>
      <w:r>
        <w:rPr>
          <w:noProof/>
          <w:sz w:val="20"/>
        </w:rPr>
        <w:fldChar w:fldCharType="separate"/>
      </w:r>
      <w:r>
        <w:rPr>
          <w:noProof/>
          <w:sz w:val="20"/>
        </w:rPr>
        <w:t>1</w:t>
      </w:r>
      <w:r>
        <w:rPr>
          <w:noProof/>
          <w:sz w:val="20"/>
        </w:rPr>
        <w:fldChar w:fldCharType="end"/>
      </w:r>
      <w:r>
        <w:rPr>
          <w:noProof/>
        </w:rPr>
        <w:t>:</w:t>
      </w:r>
      <w:r>
        <w:rPr>
          <w:noProof/>
          <w:sz w:val="20"/>
        </w:rPr>
        <w:t xml:space="preserve"> Predlogi in podpisani sporazumi o nepovratnih sredstvih po programskih delih v obdobju 2021–2025 (vir: podatki o predlogih in projektih podatkovnega portala programa Obzorje z dne 5. januarja 2026).</w:t>
      </w:r>
    </w:p>
    <w:p w14:paraId="69E90FA1" w14:textId="77777777" w:rsidR="00F96509" w:rsidRPr="005E08A9" w:rsidRDefault="00F96509" w:rsidP="699836A2">
      <w:pPr>
        <w:rPr>
          <w:rStyle w:val="Strong"/>
          <w:rFonts w:eastAsiaTheme="minorEastAsia"/>
          <w:noProof/>
        </w:rPr>
      </w:pPr>
      <w:r>
        <w:rPr>
          <w:rStyle w:val="Strong"/>
          <w:noProof/>
        </w:rPr>
        <w:t>Obravnavanje prednostnih nalog politike EU</w:t>
      </w:r>
    </w:p>
    <w:p w14:paraId="2D09896D" w14:textId="77777777" w:rsidR="00F96509" w:rsidRPr="005E08A9" w:rsidRDefault="00F96509" w:rsidP="00CE4E4E">
      <w:pPr>
        <w:rPr>
          <w:i/>
          <w:noProof/>
        </w:rPr>
      </w:pPr>
      <w:r>
        <w:rPr>
          <w:i/>
          <w:noProof/>
        </w:rPr>
        <w:t>Vir: izjava o uspešnosti programa Obzorje Evropa.</w:t>
      </w:r>
    </w:p>
    <w:p w14:paraId="61E9F0B0" w14:textId="5AB6CFF7" w:rsidR="00F96509" w:rsidRPr="00A4763C" w:rsidRDefault="00F96509" w:rsidP="00CE4E4E">
      <w:pPr>
        <w:rPr>
          <w:noProof/>
        </w:rPr>
      </w:pPr>
      <w:r>
        <w:rPr>
          <w:noProof/>
        </w:rPr>
        <w:t>Raziskave in inovacije imajo osrednjo vlogo pri pospeševanju zelenega prehoda. Trenutno je program Obzorje Evropa na dobri poti, da doseže 35-odstotni cilj porabe, dodeljene za obravnavanje podnebnih sprememb, za dosego cilja 10-odstotne porabe za biotsko raznovrstnost v obdobju 2026–2027 pa bodo potrebna dodatna prizadevanja.</w:t>
      </w:r>
    </w:p>
    <w:p w14:paraId="66C384D3" w14:textId="6A6F2AF4" w:rsidR="00F96509" w:rsidRPr="005E08A9" w:rsidRDefault="00F96509" w:rsidP="00CE4E4E">
      <w:pPr>
        <w:rPr>
          <w:noProof/>
        </w:rPr>
      </w:pPr>
      <w:r>
        <w:rPr>
          <w:noProof/>
        </w:rPr>
        <w:t xml:space="preserve">Leta 2025 je bilo po ocenah 58,7 milijona EUR dodeljenih projektom, katerih glavni cilj je izboljšati enakost spolov, 1 848 milijonov EUR pa projektom, ki bodo prispevali k enakosti spolov. </w:t>
      </w:r>
    </w:p>
    <w:p w14:paraId="75CB7A46" w14:textId="77777777" w:rsidR="00F96509" w:rsidRPr="005E08A9" w:rsidRDefault="00F96509" w:rsidP="00CE4E4E">
      <w:pPr>
        <w:rPr>
          <w:rStyle w:val="Strong"/>
          <w:rFonts w:eastAsiaTheme="minorHAnsi"/>
          <w:noProof/>
        </w:rPr>
      </w:pPr>
      <w:r>
        <w:rPr>
          <w:rStyle w:val="Strong"/>
          <w:noProof/>
        </w:rPr>
        <w:t>Vložniki in upravičenci</w:t>
      </w:r>
    </w:p>
    <w:p w14:paraId="1A1ED7A7" w14:textId="6DF7FF72" w:rsidR="00F96509" w:rsidRPr="005E08A9" w:rsidRDefault="00F96509" w:rsidP="00CE4E4E">
      <w:pPr>
        <w:rPr>
          <w:i/>
          <w:noProof/>
        </w:rPr>
      </w:pPr>
      <w:r>
        <w:rPr>
          <w:i/>
          <w:noProof/>
        </w:rPr>
        <w:t>Vir: podatki iz sistema Komisije za notranje spremljanje z dne 5. januarja 2026.</w:t>
      </w:r>
    </w:p>
    <w:p w14:paraId="2C43DDD6" w14:textId="05626F41" w:rsidR="00F96509" w:rsidRPr="005E08A9" w:rsidRDefault="00F96509" w:rsidP="00CE4E4E">
      <w:pPr>
        <w:rPr>
          <w:noProof/>
        </w:rPr>
      </w:pPr>
      <w:r>
        <w:rPr>
          <w:noProof/>
        </w:rPr>
        <w:t xml:space="preserve">Projekti, podpisani v prvih petih letih programa, vključujejo </w:t>
      </w:r>
      <w:r>
        <w:rPr>
          <w:b/>
          <w:noProof/>
        </w:rPr>
        <w:t>31 006 različnih udeležencev</w:t>
      </w:r>
      <w:r>
        <w:rPr>
          <w:noProof/>
        </w:rPr>
        <w:t xml:space="preserve"> iz </w:t>
      </w:r>
      <w:r>
        <w:rPr>
          <w:b/>
          <w:noProof/>
        </w:rPr>
        <w:t>175 različnih držav,</w:t>
      </w:r>
      <w:r>
        <w:rPr>
          <w:noProof/>
        </w:rPr>
        <w:t xml:space="preserve"> pri čemer je udeležba malih in srednjih podjetij 35-odstotna</w:t>
      </w:r>
      <w:r>
        <w:rPr>
          <w:rStyle w:val="FootnoteReference"/>
          <w:noProof/>
        </w:rPr>
        <w:footnoteReference w:id="6"/>
      </w:r>
      <w:r>
        <w:rPr>
          <w:noProof/>
        </w:rPr>
        <w:t>.</w:t>
      </w:r>
      <w:r>
        <w:rPr>
          <w:b/>
          <w:noProof/>
        </w:rPr>
        <w:t xml:space="preserve"> </w:t>
      </w:r>
      <w:r>
        <w:rPr>
          <w:noProof/>
        </w:rPr>
        <w:t>Vsak udeleženec v povprečju sodeluje pri 3,9 projekta.</w:t>
      </w:r>
    </w:p>
    <w:p w14:paraId="42A22F1D" w14:textId="1A4FF30A" w:rsidR="00F96509" w:rsidRPr="005E08A9" w:rsidRDefault="00356A73" w:rsidP="00CE4E4E">
      <w:pPr>
        <w:rPr>
          <w:noProof/>
        </w:rPr>
      </w:pPr>
      <w:r>
        <w:rPr>
          <w:b/>
          <w:noProof/>
        </w:rPr>
        <w:t>Novi udeleženci</w:t>
      </w:r>
      <w:r>
        <w:rPr>
          <w:noProof/>
        </w:rPr>
        <w:t xml:space="preserve"> v programu (novinci) predstavljajo 55 % vseh udeležencev, medtem ko je pred letom dni ta delež znašal 54 %. Stopnja udeležbe novincev (tj. povprečno število projektov, ki se jim pridruži vsak udeleženec) je nižja kot stopnja udeležbe tistih, ki niso novinci (1,2 v primerjavi s 5). Novinci večinoma prihajajo iz zasebnega sektorja – pretežno so to mala in srednja podjetja – in so do zdaj prejeli 16,7 % vseh sredstev programa Obzorje Evropa. </w:t>
      </w:r>
    </w:p>
    <w:p w14:paraId="62F6333D" w14:textId="70648044" w:rsidR="00F96509" w:rsidRPr="005E08A9" w:rsidRDefault="00F96509" w:rsidP="00CE4E4E">
      <w:pPr>
        <w:rPr>
          <w:noProof/>
        </w:rPr>
      </w:pPr>
      <w:r>
        <w:rPr>
          <w:noProof/>
        </w:rPr>
        <w:t xml:space="preserve">Največji so deleži udeležencev iz visokošolskih zavodov (35 %), ki prejemajo najvišji finančni prispevek (19 milijard EUR). Subjekti zasebnega sektorja predstavljajo 30 % udeležb in prejmejo 13,5 milijarde EUR, raziskovalne organizacije pa 22 % udeležb in prejmejo 14 milijard EUR. </w:t>
      </w:r>
    </w:p>
    <w:p w14:paraId="1A18A4D9" w14:textId="2E270851" w:rsidR="00F96509" w:rsidRPr="005E08A9" w:rsidRDefault="00F96509" w:rsidP="00CE4E4E">
      <w:pPr>
        <w:rPr>
          <w:noProof/>
        </w:rPr>
      </w:pPr>
      <w:r>
        <w:rPr>
          <w:noProof/>
        </w:rPr>
        <w:t>Udeleženci iz držav članic predstavljajo 80 % vseh upravičenih vlog, 19 % pa jih je iz držav s potencialom za izboljšanje raziskovalne odličnosti. Državam članicam je bilo skupaj dodeljenih 47,3 milijarde EUR ali 89,6 % sredstev. Državam članicam s potencialom za izboljšanje raziskovalne odličnosti</w:t>
      </w:r>
      <w:r>
        <w:rPr>
          <w:rStyle w:val="FootnoteReference"/>
          <w:noProof/>
        </w:rPr>
        <w:footnoteReference w:id="7"/>
      </w:r>
      <w:r>
        <w:rPr>
          <w:noProof/>
        </w:rPr>
        <w:t xml:space="preserve"> je bilo dodeljenih 13,1 % sredstev, kar je večji delež kot za iste države v okviru programa Obzorje 2020. </w:t>
      </w:r>
    </w:p>
    <w:p w14:paraId="3E78CBB5" w14:textId="5A99B134" w:rsidR="00F96509" w:rsidRPr="005E08A9" w:rsidRDefault="00D42CB3" w:rsidP="00CE4E4E">
      <w:pPr>
        <w:rPr>
          <w:noProof/>
        </w:rPr>
      </w:pPr>
      <w:r>
        <w:rPr>
          <w:noProof/>
        </w:rPr>
        <w:t xml:space="preserve">Metoda poročanja za pridružene države programa Obzorje Evropa je bila v spodnji preglednici prilagojena tako, da prikazuje datum začetka veljavnosti pridružitvenega sporazuma programa Obzorje Evropa. </w:t>
      </w:r>
    </w:p>
    <w:tbl>
      <w:tblPr>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391"/>
        <w:gridCol w:w="1047"/>
        <w:gridCol w:w="1106"/>
        <w:gridCol w:w="1134"/>
        <w:gridCol w:w="708"/>
        <w:gridCol w:w="1017"/>
        <w:gridCol w:w="1070"/>
      </w:tblGrid>
      <w:tr w:rsidR="00F96509" w:rsidRPr="005E08A9" w14:paraId="3AFC7189" w14:textId="77777777" w:rsidTr="5974E4A5">
        <w:trPr>
          <w:trHeight w:val="246"/>
        </w:trPr>
        <w:tc>
          <w:tcPr>
            <w:tcW w:w="2093" w:type="dxa"/>
            <w:tcBorders>
              <w:bottom w:val="single" w:sz="4" w:space="0" w:color="auto"/>
              <w:right w:val="nil"/>
            </w:tcBorders>
            <w:shd w:val="clear" w:color="auto" w:fill="4F81BD"/>
            <w:noWrap/>
            <w:vAlign w:val="center"/>
            <w:hideMark/>
          </w:tcPr>
          <w:p w14:paraId="3B2BC568" w14:textId="773214E1" w:rsidR="00F96509" w:rsidRPr="005E08A9" w:rsidRDefault="00F96509" w:rsidP="00BD4295">
            <w:pPr>
              <w:jc w:val="left"/>
              <w:rPr>
                <w:b/>
                <w:bCs/>
                <w:noProof/>
                <w:color w:val="FFFFFF"/>
                <w:sz w:val="20"/>
                <w:szCs w:val="20"/>
              </w:rPr>
            </w:pPr>
            <w:r>
              <w:rPr>
                <w:b/>
                <w:noProof/>
                <w:color w:val="FFFFFF"/>
                <w:sz w:val="20"/>
              </w:rPr>
              <w:t>Skupina držav</w:t>
            </w:r>
          </w:p>
        </w:tc>
        <w:tc>
          <w:tcPr>
            <w:tcW w:w="1391" w:type="dxa"/>
            <w:tcBorders>
              <w:left w:val="nil"/>
              <w:bottom w:val="single" w:sz="4" w:space="0" w:color="auto"/>
              <w:right w:val="nil"/>
            </w:tcBorders>
            <w:shd w:val="clear" w:color="auto" w:fill="4F81BD"/>
            <w:noWrap/>
            <w:vAlign w:val="center"/>
            <w:hideMark/>
          </w:tcPr>
          <w:p w14:paraId="1940FAC7" w14:textId="77777777" w:rsidR="00F96509" w:rsidRPr="005E08A9" w:rsidRDefault="00F96509" w:rsidP="00BD4295">
            <w:pPr>
              <w:jc w:val="left"/>
              <w:rPr>
                <w:b/>
                <w:bCs/>
                <w:noProof/>
                <w:color w:val="FFFFFF"/>
                <w:sz w:val="20"/>
                <w:szCs w:val="20"/>
              </w:rPr>
            </w:pPr>
            <w:r>
              <w:rPr>
                <w:b/>
                <w:noProof/>
                <w:color w:val="FFFFFF"/>
                <w:sz w:val="20"/>
              </w:rPr>
              <w:t>Vloge v sklopu upravičenih predlogov</w:t>
            </w:r>
          </w:p>
        </w:tc>
        <w:tc>
          <w:tcPr>
            <w:tcW w:w="1047" w:type="dxa"/>
            <w:tcBorders>
              <w:left w:val="nil"/>
              <w:bottom w:val="single" w:sz="4" w:space="0" w:color="auto"/>
              <w:right w:val="nil"/>
            </w:tcBorders>
            <w:shd w:val="clear" w:color="auto" w:fill="4F81BD"/>
            <w:noWrap/>
            <w:vAlign w:val="center"/>
            <w:hideMark/>
          </w:tcPr>
          <w:p w14:paraId="6CE16F85" w14:textId="575801DC" w:rsidR="00F96509" w:rsidRPr="005E08A9" w:rsidRDefault="00F96509" w:rsidP="00BD4295">
            <w:pPr>
              <w:jc w:val="left"/>
              <w:rPr>
                <w:b/>
                <w:bCs/>
                <w:noProof/>
                <w:color w:val="FFFFFF"/>
                <w:sz w:val="20"/>
                <w:szCs w:val="20"/>
              </w:rPr>
            </w:pPr>
            <w:r>
              <w:rPr>
                <w:b/>
                <w:noProof/>
                <w:color w:val="FFFFFF"/>
                <w:sz w:val="20"/>
              </w:rPr>
              <w:t>% skupnega števila vlog</w:t>
            </w:r>
          </w:p>
        </w:tc>
        <w:tc>
          <w:tcPr>
            <w:tcW w:w="1106" w:type="dxa"/>
            <w:tcBorders>
              <w:left w:val="nil"/>
              <w:bottom w:val="single" w:sz="4" w:space="0" w:color="auto"/>
              <w:right w:val="nil"/>
            </w:tcBorders>
            <w:shd w:val="clear" w:color="auto" w:fill="4F81BD"/>
          </w:tcPr>
          <w:p w14:paraId="2C070A99" w14:textId="07984E05" w:rsidR="00F96509" w:rsidRPr="005E08A9" w:rsidRDefault="00F96509" w:rsidP="00BD4295">
            <w:pPr>
              <w:jc w:val="left"/>
              <w:rPr>
                <w:b/>
                <w:bCs/>
                <w:noProof/>
                <w:color w:val="FFFFFF"/>
                <w:sz w:val="20"/>
                <w:szCs w:val="20"/>
              </w:rPr>
            </w:pPr>
            <w:r>
              <w:rPr>
                <w:b/>
                <w:noProof/>
                <w:color w:val="FFFFFF"/>
                <w:sz w:val="20"/>
              </w:rPr>
              <w:t>Stopnja uspešnosti vlog</w:t>
            </w:r>
          </w:p>
        </w:tc>
        <w:tc>
          <w:tcPr>
            <w:tcW w:w="1134" w:type="dxa"/>
            <w:tcBorders>
              <w:left w:val="nil"/>
              <w:bottom w:val="single" w:sz="4" w:space="0" w:color="auto"/>
              <w:right w:val="nil"/>
            </w:tcBorders>
            <w:shd w:val="clear" w:color="auto" w:fill="4F81BD"/>
            <w:noWrap/>
            <w:vAlign w:val="center"/>
            <w:hideMark/>
          </w:tcPr>
          <w:p w14:paraId="252E5365" w14:textId="77777777" w:rsidR="00F96509" w:rsidRPr="005E08A9" w:rsidRDefault="00F96509" w:rsidP="00BD4295">
            <w:pPr>
              <w:jc w:val="left"/>
              <w:rPr>
                <w:b/>
                <w:bCs/>
                <w:noProof/>
                <w:color w:val="FFFFFF"/>
                <w:sz w:val="20"/>
                <w:szCs w:val="20"/>
              </w:rPr>
            </w:pPr>
            <w:r>
              <w:rPr>
                <w:b/>
                <w:noProof/>
                <w:color w:val="FFFFFF"/>
                <w:sz w:val="20"/>
              </w:rPr>
              <w:t>Udeležba pri podpisanih sporazumih o nepovratnih sredstvih</w:t>
            </w:r>
          </w:p>
        </w:tc>
        <w:tc>
          <w:tcPr>
            <w:tcW w:w="708" w:type="dxa"/>
            <w:tcBorders>
              <w:left w:val="nil"/>
              <w:bottom w:val="single" w:sz="4" w:space="0" w:color="auto"/>
              <w:right w:val="nil"/>
            </w:tcBorders>
            <w:shd w:val="clear" w:color="auto" w:fill="4F81BD"/>
            <w:noWrap/>
            <w:vAlign w:val="center"/>
            <w:hideMark/>
          </w:tcPr>
          <w:p w14:paraId="7D420BED" w14:textId="77777777" w:rsidR="00F96509" w:rsidRPr="005E08A9" w:rsidRDefault="00F96509" w:rsidP="00BD4295">
            <w:pPr>
              <w:jc w:val="left"/>
              <w:rPr>
                <w:b/>
                <w:bCs/>
                <w:noProof/>
                <w:color w:val="FFFFFF"/>
                <w:sz w:val="20"/>
                <w:szCs w:val="20"/>
              </w:rPr>
            </w:pPr>
            <w:r>
              <w:rPr>
                <w:b/>
                <w:noProof/>
                <w:color w:val="FFFFFF"/>
                <w:sz w:val="20"/>
              </w:rPr>
              <w:t>% vseh udeležb</w:t>
            </w:r>
          </w:p>
        </w:tc>
        <w:tc>
          <w:tcPr>
            <w:tcW w:w="1017" w:type="dxa"/>
            <w:tcBorders>
              <w:left w:val="nil"/>
              <w:bottom w:val="single" w:sz="4" w:space="0" w:color="auto"/>
              <w:right w:val="nil"/>
            </w:tcBorders>
            <w:shd w:val="clear" w:color="auto" w:fill="4F81BD"/>
            <w:noWrap/>
            <w:vAlign w:val="center"/>
            <w:hideMark/>
          </w:tcPr>
          <w:p w14:paraId="69D072D0" w14:textId="77777777" w:rsidR="00F96509" w:rsidRPr="005E08A9" w:rsidRDefault="00F96509" w:rsidP="00BD4295">
            <w:pPr>
              <w:jc w:val="left"/>
              <w:rPr>
                <w:b/>
                <w:bCs/>
                <w:noProof/>
                <w:color w:val="FFFFFF"/>
                <w:sz w:val="20"/>
                <w:szCs w:val="20"/>
              </w:rPr>
            </w:pPr>
            <w:r>
              <w:rPr>
                <w:b/>
                <w:noProof/>
                <w:color w:val="FFFFFF"/>
                <w:sz w:val="20"/>
              </w:rPr>
              <w:t>Prispevek EU pri podpisanih sporazumih o nepovratnih sredstvih (v milijonih EUR)</w:t>
            </w:r>
          </w:p>
        </w:tc>
        <w:tc>
          <w:tcPr>
            <w:tcW w:w="1070" w:type="dxa"/>
            <w:tcBorders>
              <w:left w:val="nil"/>
              <w:bottom w:val="single" w:sz="4" w:space="0" w:color="auto"/>
            </w:tcBorders>
            <w:shd w:val="clear" w:color="auto" w:fill="4F81BD"/>
            <w:noWrap/>
            <w:vAlign w:val="center"/>
            <w:hideMark/>
          </w:tcPr>
          <w:p w14:paraId="7CD18F2B" w14:textId="77777777" w:rsidR="00F96509" w:rsidRPr="005E08A9" w:rsidRDefault="00F96509" w:rsidP="00BD4295">
            <w:pPr>
              <w:jc w:val="left"/>
              <w:rPr>
                <w:b/>
                <w:bCs/>
                <w:noProof/>
                <w:color w:val="FFFFFF"/>
                <w:sz w:val="20"/>
                <w:szCs w:val="20"/>
              </w:rPr>
            </w:pPr>
            <w:r>
              <w:rPr>
                <w:b/>
                <w:noProof/>
                <w:color w:val="FFFFFF"/>
                <w:sz w:val="20"/>
              </w:rPr>
              <w:t>% skupnega prispevka EU pri podpisanih sporazumih o nepovratnih sredstvih</w:t>
            </w:r>
          </w:p>
          <w:p w14:paraId="0E6E5D42" w14:textId="77777777" w:rsidR="00F96509" w:rsidRPr="005E08A9" w:rsidRDefault="00F96509" w:rsidP="00BD4295">
            <w:pPr>
              <w:jc w:val="left"/>
              <w:rPr>
                <w:b/>
                <w:bCs/>
                <w:noProof/>
                <w:color w:val="FFFFFF"/>
                <w:sz w:val="20"/>
                <w:szCs w:val="20"/>
              </w:rPr>
            </w:pPr>
          </w:p>
        </w:tc>
      </w:tr>
      <w:tr w:rsidR="00F96509" w:rsidRPr="005E08A9" w14:paraId="597A6665" w14:textId="77777777" w:rsidTr="5974E4A5">
        <w:trPr>
          <w:trHeight w:val="246"/>
        </w:trPr>
        <w:tc>
          <w:tcPr>
            <w:tcW w:w="2093" w:type="dxa"/>
            <w:tcBorders>
              <w:top w:val="single" w:sz="4" w:space="0" w:color="auto"/>
              <w:bottom w:val="single" w:sz="4" w:space="0" w:color="auto"/>
            </w:tcBorders>
            <w:noWrap/>
            <w:vAlign w:val="bottom"/>
          </w:tcPr>
          <w:p w14:paraId="019C7655" w14:textId="77777777" w:rsidR="00F96509" w:rsidRPr="005E08A9" w:rsidRDefault="00F96509" w:rsidP="00CE4E4E">
            <w:pPr>
              <w:rPr>
                <w:noProof/>
                <w:color w:val="000000"/>
              </w:rPr>
            </w:pPr>
            <w:r>
              <w:rPr>
                <w:noProof/>
                <w:color w:val="000000"/>
              </w:rPr>
              <w:t>Države članice</w:t>
            </w:r>
          </w:p>
        </w:tc>
        <w:tc>
          <w:tcPr>
            <w:tcW w:w="1391" w:type="dxa"/>
            <w:tcBorders>
              <w:top w:val="single" w:sz="4" w:space="0" w:color="auto"/>
              <w:bottom w:val="single" w:sz="4" w:space="0" w:color="auto"/>
            </w:tcBorders>
            <w:noWrap/>
          </w:tcPr>
          <w:p w14:paraId="6A743B05" w14:textId="77777777" w:rsidR="00F96509" w:rsidRPr="005E08A9" w:rsidRDefault="00F96509" w:rsidP="00CE4E4E">
            <w:pPr>
              <w:rPr>
                <w:noProof/>
              </w:rPr>
            </w:pPr>
            <w:r>
              <w:rPr>
                <w:noProof/>
              </w:rPr>
              <w:t>518 481</w:t>
            </w:r>
          </w:p>
        </w:tc>
        <w:tc>
          <w:tcPr>
            <w:tcW w:w="1047" w:type="dxa"/>
            <w:tcBorders>
              <w:top w:val="single" w:sz="4" w:space="0" w:color="auto"/>
              <w:bottom w:val="single" w:sz="4" w:space="0" w:color="auto"/>
            </w:tcBorders>
            <w:noWrap/>
          </w:tcPr>
          <w:p w14:paraId="08092C1A" w14:textId="77777777" w:rsidR="00F96509" w:rsidRPr="005E08A9" w:rsidRDefault="00F96509" w:rsidP="00CE4E4E">
            <w:pPr>
              <w:rPr>
                <w:noProof/>
              </w:rPr>
            </w:pPr>
            <w:r>
              <w:rPr>
                <w:noProof/>
              </w:rPr>
              <w:t xml:space="preserve">80 % </w:t>
            </w:r>
          </w:p>
        </w:tc>
        <w:tc>
          <w:tcPr>
            <w:tcW w:w="1106" w:type="dxa"/>
            <w:tcBorders>
              <w:top w:val="single" w:sz="4" w:space="0" w:color="auto"/>
              <w:bottom w:val="single" w:sz="4" w:space="0" w:color="auto"/>
            </w:tcBorders>
          </w:tcPr>
          <w:p w14:paraId="62ED94FF" w14:textId="77777777" w:rsidR="00F96509" w:rsidRPr="005E08A9" w:rsidRDefault="00F96509" w:rsidP="00CE4E4E">
            <w:pPr>
              <w:rPr>
                <w:noProof/>
              </w:rPr>
            </w:pPr>
            <w:r>
              <w:rPr>
                <w:noProof/>
              </w:rPr>
              <w:t>18 %</w:t>
            </w:r>
          </w:p>
        </w:tc>
        <w:tc>
          <w:tcPr>
            <w:tcW w:w="1134" w:type="dxa"/>
            <w:tcBorders>
              <w:top w:val="single" w:sz="4" w:space="0" w:color="auto"/>
              <w:bottom w:val="single" w:sz="4" w:space="0" w:color="auto"/>
            </w:tcBorders>
            <w:noWrap/>
          </w:tcPr>
          <w:p w14:paraId="4F79D347" w14:textId="77777777" w:rsidR="00F96509" w:rsidRPr="005E08A9" w:rsidRDefault="00F96509" w:rsidP="00CE4E4E">
            <w:pPr>
              <w:rPr>
                <w:noProof/>
              </w:rPr>
            </w:pPr>
            <w:r>
              <w:rPr>
                <w:noProof/>
              </w:rPr>
              <w:t>99 895</w:t>
            </w:r>
          </w:p>
        </w:tc>
        <w:tc>
          <w:tcPr>
            <w:tcW w:w="708" w:type="dxa"/>
            <w:tcBorders>
              <w:top w:val="single" w:sz="4" w:space="0" w:color="auto"/>
              <w:bottom w:val="single" w:sz="4" w:space="0" w:color="auto"/>
            </w:tcBorders>
            <w:noWrap/>
          </w:tcPr>
          <w:p w14:paraId="0FAB2011" w14:textId="77777777" w:rsidR="00F96509" w:rsidRPr="005E08A9" w:rsidRDefault="00F96509" w:rsidP="00CE4E4E">
            <w:pPr>
              <w:rPr>
                <w:noProof/>
              </w:rPr>
            </w:pPr>
            <w:r>
              <w:rPr>
                <w:noProof/>
              </w:rPr>
              <w:t>83 %</w:t>
            </w:r>
          </w:p>
        </w:tc>
        <w:tc>
          <w:tcPr>
            <w:tcW w:w="1017" w:type="dxa"/>
            <w:tcBorders>
              <w:top w:val="single" w:sz="4" w:space="0" w:color="auto"/>
              <w:bottom w:val="single" w:sz="4" w:space="0" w:color="auto"/>
            </w:tcBorders>
            <w:noWrap/>
          </w:tcPr>
          <w:p w14:paraId="32F9D46A" w14:textId="77777777" w:rsidR="00F96509" w:rsidRPr="005E08A9" w:rsidRDefault="00F96509" w:rsidP="00CE4E4E">
            <w:pPr>
              <w:rPr>
                <w:noProof/>
                <w:color w:val="000000"/>
              </w:rPr>
            </w:pPr>
            <w:r>
              <w:rPr>
                <w:noProof/>
              </w:rPr>
              <w:t>47 292</w:t>
            </w:r>
          </w:p>
        </w:tc>
        <w:tc>
          <w:tcPr>
            <w:tcW w:w="1070" w:type="dxa"/>
            <w:tcBorders>
              <w:top w:val="single" w:sz="4" w:space="0" w:color="auto"/>
              <w:left w:val="nil"/>
              <w:bottom w:val="single" w:sz="4" w:space="0" w:color="auto"/>
              <w:right w:val="single" w:sz="4" w:space="0" w:color="auto"/>
            </w:tcBorders>
            <w:noWrap/>
          </w:tcPr>
          <w:p w14:paraId="3556AEBD" w14:textId="77777777" w:rsidR="00F96509" w:rsidRPr="005E08A9" w:rsidRDefault="00F96509" w:rsidP="00CE4E4E">
            <w:pPr>
              <w:rPr>
                <w:noProof/>
              </w:rPr>
            </w:pPr>
            <w:r>
              <w:rPr>
                <w:noProof/>
              </w:rPr>
              <w:t>89 %</w:t>
            </w:r>
          </w:p>
        </w:tc>
      </w:tr>
      <w:tr w:rsidR="00F96509" w:rsidRPr="005E08A9" w14:paraId="6D81F5F8" w14:textId="77777777" w:rsidTr="5974E4A5">
        <w:trPr>
          <w:trHeight w:val="246"/>
        </w:trPr>
        <w:tc>
          <w:tcPr>
            <w:tcW w:w="2093" w:type="dxa"/>
            <w:tcBorders>
              <w:top w:val="single" w:sz="4" w:space="0" w:color="auto"/>
              <w:bottom w:val="single" w:sz="4" w:space="0" w:color="auto"/>
            </w:tcBorders>
            <w:noWrap/>
            <w:vAlign w:val="bottom"/>
          </w:tcPr>
          <w:p w14:paraId="47B71372" w14:textId="664C3427" w:rsidR="00F96509" w:rsidRPr="005E08A9" w:rsidRDefault="00F96509" w:rsidP="00CE4E4E">
            <w:pPr>
              <w:rPr>
                <w:i/>
                <w:noProof/>
                <w:color w:val="000000"/>
              </w:rPr>
            </w:pPr>
            <w:r>
              <w:rPr>
                <w:i/>
                <w:noProof/>
                <w:color w:val="000000"/>
              </w:rPr>
              <w:t xml:space="preserve">  Države, ki ne potrebujejo izboljšanja raziskovalne odličnosti</w:t>
            </w:r>
          </w:p>
        </w:tc>
        <w:tc>
          <w:tcPr>
            <w:tcW w:w="1391" w:type="dxa"/>
            <w:tcBorders>
              <w:top w:val="single" w:sz="4" w:space="0" w:color="auto"/>
              <w:bottom w:val="single" w:sz="4" w:space="0" w:color="auto"/>
            </w:tcBorders>
            <w:noWrap/>
          </w:tcPr>
          <w:p w14:paraId="5571E5B0" w14:textId="77777777" w:rsidR="00F96509" w:rsidRPr="005E08A9" w:rsidRDefault="00F96509" w:rsidP="00CE4E4E">
            <w:pPr>
              <w:rPr>
                <w:i/>
                <w:noProof/>
                <w:highlight w:val="cyan"/>
              </w:rPr>
            </w:pPr>
            <w:r>
              <w:rPr>
                <w:noProof/>
              </w:rPr>
              <w:t>395 074</w:t>
            </w:r>
          </w:p>
        </w:tc>
        <w:tc>
          <w:tcPr>
            <w:tcW w:w="1047" w:type="dxa"/>
            <w:tcBorders>
              <w:top w:val="single" w:sz="4" w:space="0" w:color="auto"/>
              <w:bottom w:val="single" w:sz="4" w:space="0" w:color="auto"/>
            </w:tcBorders>
            <w:noWrap/>
          </w:tcPr>
          <w:p w14:paraId="0D8572A6" w14:textId="77777777" w:rsidR="00F96509" w:rsidRPr="005E08A9" w:rsidRDefault="00F96509" w:rsidP="5974E4A5">
            <w:pPr>
              <w:rPr>
                <w:i/>
                <w:iCs/>
                <w:noProof/>
              </w:rPr>
            </w:pPr>
            <w:r>
              <w:rPr>
                <w:noProof/>
              </w:rPr>
              <w:t xml:space="preserve">61 % </w:t>
            </w:r>
          </w:p>
        </w:tc>
        <w:tc>
          <w:tcPr>
            <w:tcW w:w="1106" w:type="dxa"/>
            <w:tcBorders>
              <w:top w:val="single" w:sz="4" w:space="0" w:color="auto"/>
              <w:bottom w:val="single" w:sz="4" w:space="0" w:color="auto"/>
            </w:tcBorders>
          </w:tcPr>
          <w:p w14:paraId="538BF862" w14:textId="77777777" w:rsidR="00F96509" w:rsidRPr="005E08A9" w:rsidRDefault="00F96509" w:rsidP="5974E4A5">
            <w:pPr>
              <w:rPr>
                <w:i/>
                <w:iCs/>
                <w:noProof/>
              </w:rPr>
            </w:pPr>
            <w:r>
              <w:rPr>
                <w:noProof/>
              </w:rPr>
              <w:t xml:space="preserve">19 % </w:t>
            </w:r>
          </w:p>
        </w:tc>
        <w:tc>
          <w:tcPr>
            <w:tcW w:w="1134" w:type="dxa"/>
            <w:tcBorders>
              <w:top w:val="single" w:sz="4" w:space="0" w:color="auto"/>
              <w:bottom w:val="single" w:sz="4" w:space="0" w:color="auto"/>
            </w:tcBorders>
            <w:noWrap/>
          </w:tcPr>
          <w:p w14:paraId="3BC4BCA4" w14:textId="77777777" w:rsidR="00F96509" w:rsidRPr="005E08A9" w:rsidRDefault="00F96509" w:rsidP="00CE4E4E">
            <w:pPr>
              <w:rPr>
                <w:i/>
                <w:noProof/>
              </w:rPr>
            </w:pPr>
            <w:r>
              <w:rPr>
                <w:noProof/>
              </w:rPr>
              <w:t>79 093</w:t>
            </w:r>
          </w:p>
        </w:tc>
        <w:tc>
          <w:tcPr>
            <w:tcW w:w="708" w:type="dxa"/>
            <w:tcBorders>
              <w:top w:val="single" w:sz="4" w:space="0" w:color="auto"/>
              <w:bottom w:val="single" w:sz="4" w:space="0" w:color="auto"/>
            </w:tcBorders>
            <w:noWrap/>
          </w:tcPr>
          <w:p w14:paraId="0585AEC8" w14:textId="77777777" w:rsidR="00F96509" w:rsidRPr="005E08A9" w:rsidRDefault="00F96509" w:rsidP="00CE4E4E">
            <w:pPr>
              <w:rPr>
                <w:i/>
                <w:noProof/>
              </w:rPr>
            </w:pPr>
            <w:r>
              <w:rPr>
                <w:noProof/>
              </w:rPr>
              <w:t>66 %</w:t>
            </w:r>
          </w:p>
        </w:tc>
        <w:tc>
          <w:tcPr>
            <w:tcW w:w="1017" w:type="dxa"/>
            <w:tcBorders>
              <w:top w:val="single" w:sz="4" w:space="0" w:color="auto"/>
              <w:bottom w:val="single" w:sz="4" w:space="0" w:color="auto"/>
            </w:tcBorders>
            <w:noWrap/>
          </w:tcPr>
          <w:p w14:paraId="748EE1E8" w14:textId="77777777" w:rsidR="00F96509" w:rsidRPr="005E08A9" w:rsidRDefault="00F96509" w:rsidP="00CE4E4E">
            <w:pPr>
              <w:rPr>
                <w:i/>
                <w:noProof/>
                <w:color w:val="000000"/>
              </w:rPr>
            </w:pPr>
            <w:r>
              <w:rPr>
                <w:noProof/>
              </w:rPr>
              <w:t>40 371</w:t>
            </w:r>
          </w:p>
        </w:tc>
        <w:tc>
          <w:tcPr>
            <w:tcW w:w="1070" w:type="dxa"/>
            <w:tcBorders>
              <w:top w:val="single" w:sz="4" w:space="0" w:color="auto"/>
              <w:left w:val="nil"/>
              <w:bottom w:val="single" w:sz="4" w:space="0" w:color="auto"/>
              <w:right w:val="single" w:sz="4" w:space="0" w:color="auto"/>
            </w:tcBorders>
            <w:noWrap/>
          </w:tcPr>
          <w:p w14:paraId="287D646A" w14:textId="77777777" w:rsidR="00F96509" w:rsidRPr="005E08A9" w:rsidRDefault="00F96509" w:rsidP="00CE4E4E">
            <w:pPr>
              <w:rPr>
                <w:i/>
                <w:noProof/>
              </w:rPr>
            </w:pPr>
            <w:r>
              <w:rPr>
                <w:noProof/>
              </w:rPr>
              <w:t>76 %</w:t>
            </w:r>
          </w:p>
        </w:tc>
      </w:tr>
      <w:tr w:rsidR="00F96509" w:rsidRPr="005E08A9" w14:paraId="5E14C486" w14:textId="77777777" w:rsidTr="5974E4A5">
        <w:trPr>
          <w:trHeight w:val="246"/>
        </w:trPr>
        <w:tc>
          <w:tcPr>
            <w:tcW w:w="2093" w:type="dxa"/>
            <w:tcBorders>
              <w:top w:val="single" w:sz="4" w:space="0" w:color="auto"/>
              <w:bottom w:val="single" w:sz="4" w:space="0" w:color="auto"/>
            </w:tcBorders>
            <w:noWrap/>
            <w:vAlign w:val="bottom"/>
          </w:tcPr>
          <w:p w14:paraId="2DC62587" w14:textId="77777777" w:rsidR="00F96509" w:rsidRPr="005E08A9" w:rsidRDefault="00F96509" w:rsidP="00CE4E4E">
            <w:pPr>
              <w:rPr>
                <w:i/>
                <w:noProof/>
                <w:color w:val="000000"/>
              </w:rPr>
            </w:pPr>
            <w:r>
              <w:rPr>
                <w:i/>
                <w:noProof/>
                <w:color w:val="000000"/>
              </w:rPr>
              <w:t xml:space="preserve">  Države s potencialom za izboljšanje raziskovalne odličnosti</w:t>
            </w:r>
          </w:p>
        </w:tc>
        <w:tc>
          <w:tcPr>
            <w:tcW w:w="1391" w:type="dxa"/>
            <w:tcBorders>
              <w:top w:val="single" w:sz="4" w:space="0" w:color="auto"/>
              <w:bottom w:val="single" w:sz="4" w:space="0" w:color="auto"/>
            </w:tcBorders>
            <w:noWrap/>
          </w:tcPr>
          <w:p w14:paraId="259A7E64" w14:textId="77777777" w:rsidR="00F96509" w:rsidRPr="005E08A9" w:rsidRDefault="00F96509" w:rsidP="00CE4E4E">
            <w:pPr>
              <w:rPr>
                <w:i/>
                <w:noProof/>
                <w:highlight w:val="cyan"/>
              </w:rPr>
            </w:pPr>
            <w:r>
              <w:rPr>
                <w:noProof/>
              </w:rPr>
              <w:t>123 407</w:t>
            </w:r>
          </w:p>
        </w:tc>
        <w:tc>
          <w:tcPr>
            <w:tcW w:w="1047" w:type="dxa"/>
            <w:tcBorders>
              <w:top w:val="single" w:sz="4" w:space="0" w:color="auto"/>
              <w:bottom w:val="single" w:sz="4" w:space="0" w:color="auto"/>
            </w:tcBorders>
            <w:noWrap/>
          </w:tcPr>
          <w:p w14:paraId="32EF8DB5" w14:textId="77777777" w:rsidR="00F96509" w:rsidRPr="005E08A9" w:rsidRDefault="00F96509" w:rsidP="5974E4A5">
            <w:pPr>
              <w:rPr>
                <w:i/>
                <w:iCs/>
                <w:noProof/>
              </w:rPr>
            </w:pPr>
            <w:r>
              <w:rPr>
                <w:noProof/>
              </w:rPr>
              <w:t xml:space="preserve">19 % </w:t>
            </w:r>
          </w:p>
        </w:tc>
        <w:tc>
          <w:tcPr>
            <w:tcW w:w="1106" w:type="dxa"/>
            <w:tcBorders>
              <w:top w:val="single" w:sz="4" w:space="0" w:color="auto"/>
              <w:bottom w:val="single" w:sz="4" w:space="0" w:color="auto"/>
            </w:tcBorders>
          </w:tcPr>
          <w:p w14:paraId="2B1C2841" w14:textId="77777777" w:rsidR="00F96509" w:rsidRPr="005E08A9" w:rsidRDefault="00F96509" w:rsidP="5974E4A5">
            <w:pPr>
              <w:rPr>
                <w:i/>
                <w:iCs/>
                <w:noProof/>
              </w:rPr>
            </w:pPr>
            <w:r>
              <w:rPr>
                <w:noProof/>
              </w:rPr>
              <w:t>16 %</w:t>
            </w:r>
          </w:p>
        </w:tc>
        <w:tc>
          <w:tcPr>
            <w:tcW w:w="1134" w:type="dxa"/>
            <w:tcBorders>
              <w:top w:val="single" w:sz="4" w:space="0" w:color="auto"/>
              <w:bottom w:val="single" w:sz="4" w:space="0" w:color="auto"/>
            </w:tcBorders>
            <w:noWrap/>
          </w:tcPr>
          <w:p w14:paraId="724114BC" w14:textId="77777777" w:rsidR="00F96509" w:rsidRPr="005E08A9" w:rsidRDefault="00F96509" w:rsidP="00CE4E4E">
            <w:pPr>
              <w:rPr>
                <w:i/>
                <w:noProof/>
              </w:rPr>
            </w:pPr>
            <w:r>
              <w:rPr>
                <w:noProof/>
              </w:rPr>
              <w:t>20 802</w:t>
            </w:r>
          </w:p>
        </w:tc>
        <w:tc>
          <w:tcPr>
            <w:tcW w:w="708" w:type="dxa"/>
            <w:tcBorders>
              <w:top w:val="single" w:sz="4" w:space="0" w:color="auto"/>
              <w:bottom w:val="single" w:sz="4" w:space="0" w:color="auto"/>
            </w:tcBorders>
            <w:noWrap/>
          </w:tcPr>
          <w:p w14:paraId="45C5694E" w14:textId="77777777" w:rsidR="00F96509" w:rsidRPr="005E08A9" w:rsidRDefault="00F96509" w:rsidP="00CE4E4E">
            <w:pPr>
              <w:rPr>
                <w:i/>
                <w:noProof/>
              </w:rPr>
            </w:pPr>
            <w:r>
              <w:rPr>
                <w:noProof/>
              </w:rPr>
              <w:t>17 %</w:t>
            </w:r>
          </w:p>
        </w:tc>
        <w:tc>
          <w:tcPr>
            <w:tcW w:w="1017" w:type="dxa"/>
            <w:tcBorders>
              <w:top w:val="single" w:sz="4" w:space="0" w:color="auto"/>
              <w:bottom w:val="single" w:sz="4" w:space="0" w:color="auto"/>
            </w:tcBorders>
            <w:noWrap/>
          </w:tcPr>
          <w:p w14:paraId="4165BCAA" w14:textId="77777777" w:rsidR="00F96509" w:rsidRPr="005E08A9" w:rsidRDefault="00F96509" w:rsidP="00CE4E4E">
            <w:pPr>
              <w:rPr>
                <w:i/>
                <w:noProof/>
                <w:color w:val="000000"/>
              </w:rPr>
            </w:pPr>
            <w:r>
              <w:rPr>
                <w:noProof/>
              </w:rPr>
              <w:t>6 921</w:t>
            </w:r>
          </w:p>
        </w:tc>
        <w:tc>
          <w:tcPr>
            <w:tcW w:w="1070" w:type="dxa"/>
            <w:tcBorders>
              <w:top w:val="single" w:sz="4" w:space="0" w:color="auto"/>
              <w:left w:val="nil"/>
              <w:bottom w:val="single" w:sz="4" w:space="0" w:color="auto"/>
              <w:right w:val="single" w:sz="4" w:space="0" w:color="auto"/>
            </w:tcBorders>
            <w:noWrap/>
          </w:tcPr>
          <w:p w14:paraId="77038BBD" w14:textId="77777777" w:rsidR="00F96509" w:rsidRPr="005E08A9" w:rsidRDefault="00F96509" w:rsidP="00CE4E4E">
            <w:pPr>
              <w:rPr>
                <w:i/>
                <w:noProof/>
              </w:rPr>
            </w:pPr>
            <w:r>
              <w:rPr>
                <w:noProof/>
              </w:rPr>
              <w:t>13 %</w:t>
            </w:r>
          </w:p>
        </w:tc>
      </w:tr>
      <w:tr w:rsidR="00F96509" w:rsidRPr="005E08A9" w14:paraId="43ABBEC3" w14:textId="77777777" w:rsidTr="5974E4A5">
        <w:trPr>
          <w:trHeight w:val="246"/>
        </w:trPr>
        <w:tc>
          <w:tcPr>
            <w:tcW w:w="2093" w:type="dxa"/>
            <w:tcBorders>
              <w:top w:val="single" w:sz="4" w:space="0" w:color="auto"/>
              <w:bottom w:val="single" w:sz="4" w:space="0" w:color="auto"/>
            </w:tcBorders>
            <w:noWrap/>
            <w:vAlign w:val="bottom"/>
          </w:tcPr>
          <w:p w14:paraId="5DC4340D" w14:textId="21CBB4C6" w:rsidR="00F96509" w:rsidRPr="005E08A9" w:rsidRDefault="00F96509" w:rsidP="00CE4E4E">
            <w:pPr>
              <w:rPr>
                <w:noProof/>
                <w:color w:val="000000"/>
              </w:rPr>
            </w:pPr>
            <w:r>
              <w:rPr>
                <w:noProof/>
                <w:color w:val="000000"/>
              </w:rPr>
              <w:t>Pridružena država (brez Švice)</w:t>
            </w:r>
          </w:p>
        </w:tc>
        <w:tc>
          <w:tcPr>
            <w:tcW w:w="1391" w:type="dxa"/>
            <w:tcBorders>
              <w:top w:val="single" w:sz="4" w:space="0" w:color="auto"/>
              <w:bottom w:val="single" w:sz="4" w:space="0" w:color="auto"/>
            </w:tcBorders>
            <w:noWrap/>
          </w:tcPr>
          <w:p w14:paraId="4B0DBBBA" w14:textId="77777777" w:rsidR="00F96509" w:rsidRPr="005E08A9" w:rsidRDefault="00F96509" w:rsidP="00CE4E4E">
            <w:pPr>
              <w:rPr>
                <w:noProof/>
                <w:highlight w:val="cyan"/>
              </w:rPr>
            </w:pPr>
            <w:r>
              <w:rPr>
                <w:noProof/>
              </w:rPr>
              <w:t>61 637</w:t>
            </w:r>
          </w:p>
        </w:tc>
        <w:tc>
          <w:tcPr>
            <w:tcW w:w="1047" w:type="dxa"/>
            <w:tcBorders>
              <w:top w:val="single" w:sz="4" w:space="0" w:color="auto"/>
              <w:bottom w:val="single" w:sz="4" w:space="0" w:color="auto"/>
            </w:tcBorders>
            <w:noWrap/>
          </w:tcPr>
          <w:p w14:paraId="68E7A2B6" w14:textId="77777777" w:rsidR="00F96509" w:rsidRPr="005E08A9" w:rsidRDefault="00F96509" w:rsidP="5974E4A5">
            <w:pPr>
              <w:rPr>
                <w:noProof/>
              </w:rPr>
            </w:pPr>
            <w:r>
              <w:rPr>
                <w:noProof/>
              </w:rPr>
              <w:t xml:space="preserve">10 % </w:t>
            </w:r>
          </w:p>
        </w:tc>
        <w:tc>
          <w:tcPr>
            <w:tcW w:w="1106" w:type="dxa"/>
            <w:tcBorders>
              <w:top w:val="single" w:sz="4" w:space="0" w:color="auto"/>
              <w:bottom w:val="single" w:sz="4" w:space="0" w:color="auto"/>
            </w:tcBorders>
          </w:tcPr>
          <w:p w14:paraId="195A1FA6" w14:textId="77777777" w:rsidR="00F96509" w:rsidRPr="005E08A9" w:rsidRDefault="00F96509" w:rsidP="5974E4A5">
            <w:pPr>
              <w:rPr>
                <w:noProof/>
              </w:rPr>
            </w:pPr>
            <w:r>
              <w:rPr>
                <w:noProof/>
              </w:rPr>
              <w:t>15 %</w:t>
            </w:r>
          </w:p>
        </w:tc>
        <w:tc>
          <w:tcPr>
            <w:tcW w:w="1134" w:type="dxa"/>
            <w:tcBorders>
              <w:top w:val="single" w:sz="4" w:space="0" w:color="auto"/>
              <w:bottom w:val="single" w:sz="4" w:space="0" w:color="auto"/>
            </w:tcBorders>
            <w:noWrap/>
          </w:tcPr>
          <w:p w14:paraId="317CDCA0" w14:textId="77777777" w:rsidR="00F96509" w:rsidRPr="005E08A9" w:rsidRDefault="00F96509" w:rsidP="00CE4E4E">
            <w:pPr>
              <w:rPr>
                <w:noProof/>
              </w:rPr>
            </w:pPr>
            <w:r>
              <w:rPr>
                <w:noProof/>
              </w:rPr>
              <w:t>8 613</w:t>
            </w:r>
          </w:p>
        </w:tc>
        <w:tc>
          <w:tcPr>
            <w:tcW w:w="708" w:type="dxa"/>
            <w:tcBorders>
              <w:top w:val="single" w:sz="4" w:space="0" w:color="auto"/>
              <w:bottom w:val="single" w:sz="4" w:space="0" w:color="auto"/>
            </w:tcBorders>
            <w:noWrap/>
          </w:tcPr>
          <w:p w14:paraId="1E28BE3E" w14:textId="77777777" w:rsidR="00F96509" w:rsidRPr="005E08A9" w:rsidRDefault="00F96509" w:rsidP="00CE4E4E">
            <w:pPr>
              <w:rPr>
                <w:noProof/>
              </w:rPr>
            </w:pPr>
            <w:r>
              <w:rPr>
                <w:noProof/>
              </w:rPr>
              <w:t>7 %</w:t>
            </w:r>
          </w:p>
        </w:tc>
        <w:tc>
          <w:tcPr>
            <w:tcW w:w="1017" w:type="dxa"/>
            <w:tcBorders>
              <w:top w:val="single" w:sz="4" w:space="0" w:color="auto"/>
              <w:bottom w:val="single" w:sz="4" w:space="0" w:color="auto"/>
            </w:tcBorders>
            <w:noWrap/>
          </w:tcPr>
          <w:p w14:paraId="1C171B61" w14:textId="77777777" w:rsidR="00F96509" w:rsidRPr="005E08A9" w:rsidRDefault="00F96509" w:rsidP="00CE4E4E">
            <w:pPr>
              <w:rPr>
                <w:noProof/>
                <w:color w:val="000000"/>
              </w:rPr>
            </w:pPr>
            <w:r>
              <w:rPr>
                <w:noProof/>
                <w:color w:val="000000"/>
              </w:rPr>
              <w:t>4 470</w:t>
            </w:r>
          </w:p>
        </w:tc>
        <w:tc>
          <w:tcPr>
            <w:tcW w:w="1070" w:type="dxa"/>
            <w:tcBorders>
              <w:top w:val="single" w:sz="4" w:space="0" w:color="auto"/>
              <w:left w:val="nil"/>
              <w:bottom w:val="single" w:sz="4" w:space="0" w:color="auto"/>
              <w:right w:val="single" w:sz="4" w:space="0" w:color="auto"/>
            </w:tcBorders>
            <w:noWrap/>
          </w:tcPr>
          <w:p w14:paraId="3D821D53" w14:textId="77777777" w:rsidR="00F96509" w:rsidRPr="005E08A9" w:rsidRDefault="00F96509" w:rsidP="00CE4E4E">
            <w:pPr>
              <w:rPr>
                <w:noProof/>
              </w:rPr>
            </w:pPr>
            <w:r>
              <w:rPr>
                <w:noProof/>
              </w:rPr>
              <w:t>8,5 %</w:t>
            </w:r>
          </w:p>
        </w:tc>
      </w:tr>
      <w:tr w:rsidR="00F96509" w:rsidRPr="005E08A9" w14:paraId="49E3826A" w14:textId="77777777" w:rsidTr="5974E4A5">
        <w:trPr>
          <w:trHeight w:val="246"/>
        </w:trPr>
        <w:tc>
          <w:tcPr>
            <w:tcW w:w="2093" w:type="dxa"/>
            <w:tcBorders>
              <w:top w:val="nil"/>
              <w:left w:val="single" w:sz="4" w:space="0" w:color="auto"/>
              <w:bottom w:val="single" w:sz="4" w:space="0" w:color="auto"/>
              <w:right w:val="single" w:sz="4" w:space="0" w:color="auto"/>
            </w:tcBorders>
            <w:noWrap/>
            <w:vAlign w:val="center"/>
          </w:tcPr>
          <w:p w14:paraId="2EC20EDD" w14:textId="1C76031C" w:rsidR="00F96509" w:rsidRPr="005E08A9" w:rsidRDefault="004B44F7" w:rsidP="00CE4E4E">
            <w:pPr>
              <w:rPr>
                <w:noProof/>
                <w:color w:val="000000"/>
              </w:rPr>
            </w:pPr>
            <w:r>
              <w:rPr>
                <w:noProof/>
                <w:color w:val="000000"/>
              </w:rPr>
              <w:t>Švica – pridružena država</w:t>
            </w:r>
          </w:p>
        </w:tc>
        <w:tc>
          <w:tcPr>
            <w:tcW w:w="1391" w:type="dxa"/>
            <w:tcBorders>
              <w:top w:val="single" w:sz="4" w:space="0" w:color="auto"/>
              <w:left w:val="single" w:sz="4" w:space="0" w:color="auto"/>
              <w:bottom w:val="single" w:sz="4" w:space="0" w:color="auto"/>
            </w:tcBorders>
            <w:noWrap/>
          </w:tcPr>
          <w:p w14:paraId="65C10DD3" w14:textId="77777777" w:rsidR="00F96509" w:rsidRPr="005E08A9" w:rsidRDefault="00F96509" w:rsidP="00CE4E4E">
            <w:pPr>
              <w:rPr>
                <w:noProof/>
                <w:highlight w:val="cyan"/>
              </w:rPr>
            </w:pPr>
            <w:r>
              <w:rPr>
                <w:noProof/>
              </w:rPr>
              <w:t>2 690</w:t>
            </w:r>
          </w:p>
        </w:tc>
        <w:tc>
          <w:tcPr>
            <w:tcW w:w="1047" w:type="dxa"/>
            <w:tcBorders>
              <w:top w:val="single" w:sz="4" w:space="0" w:color="auto"/>
              <w:bottom w:val="single" w:sz="4" w:space="0" w:color="auto"/>
            </w:tcBorders>
            <w:noWrap/>
          </w:tcPr>
          <w:p w14:paraId="3A3C33D1" w14:textId="77777777" w:rsidR="00F96509" w:rsidRPr="005E08A9" w:rsidRDefault="00F96509" w:rsidP="00CE4E4E">
            <w:pPr>
              <w:rPr>
                <w:noProof/>
                <w:highlight w:val="cyan"/>
              </w:rPr>
            </w:pPr>
            <w:r>
              <w:rPr>
                <w:noProof/>
              </w:rPr>
              <w:t>0,4 %</w:t>
            </w:r>
          </w:p>
        </w:tc>
        <w:tc>
          <w:tcPr>
            <w:tcW w:w="1106" w:type="dxa"/>
            <w:tcBorders>
              <w:top w:val="single" w:sz="4" w:space="0" w:color="auto"/>
              <w:bottom w:val="single" w:sz="4" w:space="0" w:color="auto"/>
            </w:tcBorders>
          </w:tcPr>
          <w:p w14:paraId="329C9C70" w14:textId="77777777" w:rsidR="00F96509" w:rsidRPr="005E08A9" w:rsidRDefault="00F96509" w:rsidP="00CE4E4E">
            <w:pPr>
              <w:rPr>
                <w:noProof/>
                <w:highlight w:val="cyan"/>
              </w:rPr>
            </w:pPr>
            <w:r>
              <w:rPr>
                <w:noProof/>
              </w:rPr>
              <w:t>14 %</w:t>
            </w:r>
          </w:p>
        </w:tc>
        <w:tc>
          <w:tcPr>
            <w:tcW w:w="1134" w:type="dxa"/>
            <w:tcBorders>
              <w:top w:val="single" w:sz="4" w:space="0" w:color="auto"/>
              <w:bottom w:val="single" w:sz="4" w:space="0" w:color="auto"/>
            </w:tcBorders>
            <w:noWrap/>
          </w:tcPr>
          <w:p w14:paraId="3D2A416A" w14:textId="77777777" w:rsidR="00F96509" w:rsidRPr="005E08A9" w:rsidRDefault="00F96509" w:rsidP="00CE4E4E">
            <w:pPr>
              <w:rPr>
                <w:noProof/>
              </w:rPr>
            </w:pPr>
            <w:r>
              <w:rPr>
                <w:noProof/>
              </w:rPr>
              <w:t>75</w:t>
            </w:r>
          </w:p>
        </w:tc>
        <w:tc>
          <w:tcPr>
            <w:tcW w:w="708" w:type="dxa"/>
            <w:tcBorders>
              <w:top w:val="single" w:sz="4" w:space="0" w:color="auto"/>
              <w:bottom w:val="single" w:sz="4" w:space="0" w:color="auto"/>
            </w:tcBorders>
            <w:noWrap/>
          </w:tcPr>
          <w:p w14:paraId="191C5959" w14:textId="77777777" w:rsidR="00F96509" w:rsidRPr="005E08A9" w:rsidRDefault="00F96509" w:rsidP="00CE4E4E">
            <w:pPr>
              <w:rPr>
                <w:noProof/>
              </w:rPr>
            </w:pPr>
            <w:r>
              <w:rPr>
                <w:noProof/>
              </w:rPr>
              <w:t>0,1 %</w:t>
            </w:r>
          </w:p>
        </w:tc>
        <w:tc>
          <w:tcPr>
            <w:tcW w:w="1017" w:type="dxa"/>
            <w:tcBorders>
              <w:top w:val="single" w:sz="4" w:space="0" w:color="auto"/>
              <w:bottom w:val="single" w:sz="4" w:space="0" w:color="auto"/>
            </w:tcBorders>
            <w:noWrap/>
          </w:tcPr>
          <w:p w14:paraId="6F9C7D00" w14:textId="77777777" w:rsidR="00F96509" w:rsidRPr="005E08A9" w:rsidRDefault="00F96509" w:rsidP="00CE4E4E">
            <w:pPr>
              <w:rPr>
                <w:noProof/>
                <w:color w:val="000000"/>
              </w:rPr>
            </w:pPr>
            <w:r>
              <w:rPr>
                <w:noProof/>
                <w:color w:val="000000"/>
              </w:rPr>
              <w:t>92</w:t>
            </w:r>
          </w:p>
        </w:tc>
        <w:tc>
          <w:tcPr>
            <w:tcW w:w="1070" w:type="dxa"/>
            <w:tcBorders>
              <w:top w:val="single" w:sz="4" w:space="0" w:color="auto"/>
              <w:left w:val="nil"/>
              <w:bottom w:val="single" w:sz="4" w:space="0" w:color="auto"/>
              <w:right w:val="single" w:sz="4" w:space="0" w:color="auto"/>
            </w:tcBorders>
            <w:noWrap/>
          </w:tcPr>
          <w:p w14:paraId="617468C0" w14:textId="77777777" w:rsidR="00F96509" w:rsidRPr="005E08A9" w:rsidRDefault="00F96509" w:rsidP="00CE4E4E">
            <w:pPr>
              <w:rPr>
                <w:noProof/>
              </w:rPr>
            </w:pPr>
            <w:r>
              <w:rPr>
                <w:noProof/>
              </w:rPr>
              <w:t>0,2 %</w:t>
            </w:r>
          </w:p>
        </w:tc>
      </w:tr>
      <w:tr w:rsidR="00F96509" w:rsidRPr="005E08A9" w14:paraId="254D91BA" w14:textId="77777777" w:rsidTr="5974E4A5">
        <w:trPr>
          <w:trHeight w:val="246"/>
        </w:trPr>
        <w:tc>
          <w:tcPr>
            <w:tcW w:w="2093" w:type="dxa"/>
            <w:tcBorders>
              <w:top w:val="single" w:sz="4" w:space="0" w:color="auto"/>
              <w:left w:val="single" w:sz="4" w:space="0" w:color="auto"/>
              <w:bottom w:val="single" w:sz="4" w:space="0" w:color="auto"/>
              <w:right w:val="single" w:sz="4" w:space="0" w:color="auto"/>
            </w:tcBorders>
            <w:noWrap/>
            <w:vAlign w:val="center"/>
          </w:tcPr>
          <w:p w14:paraId="380EEF3B" w14:textId="2A738377" w:rsidR="00F96509" w:rsidRPr="005E08A9" w:rsidRDefault="004B44F7" w:rsidP="00CE4E4E">
            <w:pPr>
              <w:rPr>
                <w:noProof/>
                <w:color w:val="000000"/>
              </w:rPr>
            </w:pPr>
            <w:r>
              <w:rPr>
                <w:noProof/>
                <w:color w:val="000000"/>
              </w:rPr>
              <w:t>Švica – nepridružena tretja država</w:t>
            </w:r>
          </w:p>
        </w:tc>
        <w:tc>
          <w:tcPr>
            <w:tcW w:w="1391" w:type="dxa"/>
            <w:tcBorders>
              <w:top w:val="single" w:sz="4" w:space="0" w:color="auto"/>
              <w:left w:val="single" w:sz="4" w:space="0" w:color="auto"/>
              <w:bottom w:val="single" w:sz="4" w:space="0" w:color="auto"/>
            </w:tcBorders>
            <w:noWrap/>
          </w:tcPr>
          <w:p w14:paraId="2FFC724B" w14:textId="77777777" w:rsidR="00F96509" w:rsidRPr="005E08A9" w:rsidRDefault="00F96509" w:rsidP="00CE4E4E">
            <w:pPr>
              <w:rPr>
                <w:noProof/>
                <w:highlight w:val="cyan"/>
              </w:rPr>
            </w:pPr>
            <w:r>
              <w:rPr>
                <w:noProof/>
              </w:rPr>
              <w:t>12 101</w:t>
            </w:r>
          </w:p>
        </w:tc>
        <w:tc>
          <w:tcPr>
            <w:tcW w:w="1047" w:type="dxa"/>
            <w:tcBorders>
              <w:top w:val="single" w:sz="4" w:space="0" w:color="auto"/>
              <w:bottom w:val="single" w:sz="4" w:space="0" w:color="auto"/>
            </w:tcBorders>
            <w:noWrap/>
          </w:tcPr>
          <w:p w14:paraId="02B96225" w14:textId="77777777" w:rsidR="00F96509" w:rsidRPr="005E08A9" w:rsidRDefault="00F96509" w:rsidP="00CE4E4E">
            <w:pPr>
              <w:rPr>
                <w:noProof/>
                <w:highlight w:val="cyan"/>
              </w:rPr>
            </w:pPr>
            <w:r>
              <w:rPr>
                <w:noProof/>
              </w:rPr>
              <w:t>2 %</w:t>
            </w:r>
          </w:p>
        </w:tc>
        <w:tc>
          <w:tcPr>
            <w:tcW w:w="1106" w:type="dxa"/>
            <w:tcBorders>
              <w:top w:val="single" w:sz="4" w:space="0" w:color="auto"/>
              <w:bottom w:val="single" w:sz="4" w:space="0" w:color="auto"/>
            </w:tcBorders>
          </w:tcPr>
          <w:p w14:paraId="1CF6D014" w14:textId="77777777" w:rsidR="00F96509" w:rsidRPr="005E08A9" w:rsidRDefault="00F96509" w:rsidP="00CE4E4E">
            <w:pPr>
              <w:rPr>
                <w:noProof/>
                <w:highlight w:val="cyan"/>
              </w:rPr>
            </w:pPr>
            <w:r>
              <w:rPr>
                <w:noProof/>
              </w:rPr>
              <w:t>21 %</w:t>
            </w:r>
          </w:p>
        </w:tc>
        <w:tc>
          <w:tcPr>
            <w:tcW w:w="1134" w:type="dxa"/>
            <w:tcBorders>
              <w:top w:val="single" w:sz="4" w:space="0" w:color="auto"/>
              <w:bottom w:val="single" w:sz="4" w:space="0" w:color="auto"/>
            </w:tcBorders>
            <w:noWrap/>
          </w:tcPr>
          <w:p w14:paraId="4399504E" w14:textId="77777777" w:rsidR="00F96509" w:rsidRPr="005E08A9" w:rsidRDefault="00F96509" w:rsidP="00CE4E4E">
            <w:pPr>
              <w:rPr>
                <w:noProof/>
              </w:rPr>
            </w:pPr>
            <w:r>
              <w:rPr>
                <w:noProof/>
              </w:rPr>
              <w:t>2 827</w:t>
            </w:r>
          </w:p>
        </w:tc>
        <w:tc>
          <w:tcPr>
            <w:tcW w:w="708" w:type="dxa"/>
            <w:tcBorders>
              <w:top w:val="single" w:sz="4" w:space="0" w:color="auto"/>
              <w:bottom w:val="single" w:sz="4" w:space="0" w:color="auto"/>
            </w:tcBorders>
            <w:noWrap/>
          </w:tcPr>
          <w:p w14:paraId="6BAAA44A" w14:textId="77777777" w:rsidR="00F96509" w:rsidRPr="005E08A9" w:rsidRDefault="00F96509" w:rsidP="00CE4E4E">
            <w:pPr>
              <w:rPr>
                <w:noProof/>
              </w:rPr>
            </w:pPr>
            <w:r>
              <w:rPr>
                <w:noProof/>
              </w:rPr>
              <w:t>2 %</w:t>
            </w:r>
          </w:p>
        </w:tc>
        <w:tc>
          <w:tcPr>
            <w:tcW w:w="1017" w:type="dxa"/>
            <w:tcBorders>
              <w:top w:val="single" w:sz="4" w:space="0" w:color="auto"/>
              <w:bottom w:val="single" w:sz="4" w:space="0" w:color="auto"/>
            </w:tcBorders>
            <w:noWrap/>
          </w:tcPr>
          <w:p w14:paraId="0C6D9090" w14:textId="77777777" w:rsidR="00F96509" w:rsidRPr="005E08A9" w:rsidRDefault="00F96509" w:rsidP="00CE4E4E">
            <w:pPr>
              <w:rPr>
                <w:noProof/>
                <w:color w:val="000000"/>
              </w:rPr>
            </w:pPr>
            <w:r>
              <w:rPr>
                <w:noProof/>
                <w:color w:val="000000"/>
              </w:rPr>
              <w:t>126</w:t>
            </w:r>
          </w:p>
        </w:tc>
        <w:tc>
          <w:tcPr>
            <w:tcW w:w="1070" w:type="dxa"/>
            <w:tcBorders>
              <w:top w:val="single" w:sz="4" w:space="0" w:color="auto"/>
              <w:left w:val="nil"/>
              <w:bottom w:val="single" w:sz="4" w:space="0" w:color="auto"/>
              <w:right w:val="single" w:sz="4" w:space="0" w:color="auto"/>
            </w:tcBorders>
            <w:noWrap/>
          </w:tcPr>
          <w:p w14:paraId="624FAA85" w14:textId="77777777" w:rsidR="00F96509" w:rsidRPr="005E08A9" w:rsidRDefault="00F96509" w:rsidP="00CE4E4E">
            <w:pPr>
              <w:rPr>
                <w:noProof/>
              </w:rPr>
            </w:pPr>
            <w:r>
              <w:rPr>
                <w:noProof/>
              </w:rPr>
              <w:t>0,2 %</w:t>
            </w:r>
          </w:p>
        </w:tc>
      </w:tr>
      <w:tr w:rsidR="00F96509" w:rsidRPr="005E08A9" w14:paraId="7C04F077" w14:textId="77777777" w:rsidTr="5974E4A5">
        <w:trPr>
          <w:trHeight w:val="246"/>
        </w:trPr>
        <w:tc>
          <w:tcPr>
            <w:tcW w:w="2093" w:type="dxa"/>
            <w:tcBorders>
              <w:top w:val="single" w:sz="4" w:space="0" w:color="auto"/>
              <w:bottom w:val="single" w:sz="4" w:space="0" w:color="auto"/>
            </w:tcBorders>
            <w:noWrap/>
            <w:vAlign w:val="bottom"/>
          </w:tcPr>
          <w:p w14:paraId="2BDC4525" w14:textId="2C8744DF" w:rsidR="00F96509" w:rsidRPr="005E08A9" w:rsidRDefault="00F96509" w:rsidP="00CE4E4E">
            <w:pPr>
              <w:rPr>
                <w:noProof/>
                <w:color w:val="000000"/>
              </w:rPr>
            </w:pPr>
            <w:r>
              <w:rPr>
                <w:noProof/>
                <w:color w:val="000000"/>
              </w:rPr>
              <w:t>Tretje države</w:t>
            </w:r>
          </w:p>
        </w:tc>
        <w:tc>
          <w:tcPr>
            <w:tcW w:w="1391" w:type="dxa"/>
            <w:tcBorders>
              <w:top w:val="single" w:sz="4" w:space="0" w:color="auto"/>
              <w:bottom w:val="single" w:sz="4" w:space="0" w:color="auto"/>
            </w:tcBorders>
            <w:noWrap/>
          </w:tcPr>
          <w:p w14:paraId="3C55553D" w14:textId="77777777" w:rsidR="00F96509" w:rsidRPr="005E08A9" w:rsidRDefault="00F96509" w:rsidP="00CE4E4E">
            <w:pPr>
              <w:rPr>
                <w:noProof/>
                <w:highlight w:val="cyan"/>
              </w:rPr>
            </w:pPr>
            <w:r>
              <w:rPr>
                <w:noProof/>
              </w:rPr>
              <w:t>49 748</w:t>
            </w:r>
          </w:p>
        </w:tc>
        <w:tc>
          <w:tcPr>
            <w:tcW w:w="1047" w:type="dxa"/>
            <w:tcBorders>
              <w:top w:val="single" w:sz="4" w:space="0" w:color="auto"/>
              <w:bottom w:val="single" w:sz="4" w:space="0" w:color="auto"/>
            </w:tcBorders>
            <w:noWrap/>
          </w:tcPr>
          <w:p w14:paraId="30B3D2DD" w14:textId="77777777" w:rsidR="00F96509" w:rsidRPr="005E08A9" w:rsidRDefault="00F96509" w:rsidP="00CE4E4E">
            <w:pPr>
              <w:rPr>
                <w:noProof/>
                <w:highlight w:val="cyan"/>
              </w:rPr>
            </w:pPr>
            <w:r>
              <w:rPr>
                <w:noProof/>
              </w:rPr>
              <w:t>8 %</w:t>
            </w:r>
            <w:r>
              <w:rPr>
                <w:noProof/>
                <w:highlight w:val="cyan"/>
              </w:rPr>
              <w:t xml:space="preserve"> </w:t>
            </w:r>
          </w:p>
        </w:tc>
        <w:tc>
          <w:tcPr>
            <w:tcW w:w="1106" w:type="dxa"/>
            <w:tcBorders>
              <w:top w:val="single" w:sz="4" w:space="0" w:color="auto"/>
              <w:bottom w:val="single" w:sz="4" w:space="0" w:color="auto"/>
            </w:tcBorders>
          </w:tcPr>
          <w:p w14:paraId="7DAD299F" w14:textId="77777777" w:rsidR="00F96509" w:rsidRPr="005E08A9" w:rsidRDefault="00F96509" w:rsidP="00CE4E4E">
            <w:pPr>
              <w:rPr>
                <w:noProof/>
                <w:highlight w:val="cyan"/>
              </w:rPr>
            </w:pPr>
            <w:r>
              <w:rPr>
                <w:noProof/>
              </w:rPr>
              <w:t>20 %</w:t>
            </w:r>
          </w:p>
        </w:tc>
        <w:tc>
          <w:tcPr>
            <w:tcW w:w="1134" w:type="dxa"/>
            <w:tcBorders>
              <w:top w:val="single" w:sz="4" w:space="0" w:color="auto"/>
              <w:bottom w:val="single" w:sz="4" w:space="0" w:color="auto"/>
            </w:tcBorders>
            <w:noWrap/>
          </w:tcPr>
          <w:p w14:paraId="7722A195" w14:textId="161108A6" w:rsidR="00F96509" w:rsidRPr="005E08A9" w:rsidRDefault="00F127D5" w:rsidP="00CE4E4E">
            <w:pPr>
              <w:rPr>
                <w:noProof/>
              </w:rPr>
            </w:pPr>
            <w:r>
              <w:rPr>
                <w:noProof/>
              </w:rPr>
              <w:t>9 062</w:t>
            </w:r>
          </w:p>
        </w:tc>
        <w:tc>
          <w:tcPr>
            <w:tcW w:w="708" w:type="dxa"/>
            <w:tcBorders>
              <w:top w:val="single" w:sz="4" w:space="0" w:color="auto"/>
              <w:bottom w:val="single" w:sz="4" w:space="0" w:color="auto"/>
            </w:tcBorders>
            <w:noWrap/>
          </w:tcPr>
          <w:p w14:paraId="069DD5D5" w14:textId="77777777" w:rsidR="00F96509" w:rsidRPr="005E08A9" w:rsidRDefault="00F96509" w:rsidP="00CE4E4E">
            <w:pPr>
              <w:rPr>
                <w:noProof/>
              </w:rPr>
            </w:pPr>
            <w:r>
              <w:rPr>
                <w:noProof/>
              </w:rPr>
              <w:t>7 %</w:t>
            </w:r>
          </w:p>
        </w:tc>
        <w:tc>
          <w:tcPr>
            <w:tcW w:w="1017" w:type="dxa"/>
            <w:tcBorders>
              <w:top w:val="single" w:sz="4" w:space="0" w:color="auto"/>
              <w:bottom w:val="single" w:sz="4" w:space="0" w:color="auto"/>
            </w:tcBorders>
            <w:noWrap/>
          </w:tcPr>
          <w:p w14:paraId="7020F3DD" w14:textId="77777777" w:rsidR="00F96509" w:rsidRPr="005E08A9" w:rsidRDefault="00F96509" w:rsidP="00CE4E4E">
            <w:pPr>
              <w:rPr>
                <w:noProof/>
                <w:color w:val="000000"/>
              </w:rPr>
            </w:pPr>
            <w:r>
              <w:rPr>
                <w:noProof/>
                <w:color w:val="000000"/>
              </w:rPr>
              <w:t>780</w:t>
            </w:r>
          </w:p>
        </w:tc>
        <w:tc>
          <w:tcPr>
            <w:tcW w:w="1070" w:type="dxa"/>
            <w:tcBorders>
              <w:top w:val="single" w:sz="4" w:space="0" w:color="auto"/>
              <w:left w:val="nil"/>
              <w:bottom w:val="single" w:sz="4" w:space="0" w:color="auto"/>
              <w:right w:val="single" w:sz="4" w:space="0" w:color="auto"/>
            </w:tcBorders>
            <w:noWrap/>
          </w:tcPr>
          <w:p w14:paraId="3B385AEC" w14:textId="77777777" w:rsidR="00F96509" w:rsidRPr="005E08A9" w:rsidRDefault="00F96509" w:rsidP="00CE4E4E">
            <w:pPr>
              <w:rPr>
                <w:noProof/>
              </w:rPr>
            </w:pPr>
            <w:r>
              <w:rPr>
                <w:noProof/>
              </w:rPr>
              <w:t>1 %</w:t>
            </w:r>
          </w:p>
        </w:tc>
      </w:tr>
      <w:tr w:rsidR="00F96509" w:rsidRPr="005E08A9" w14:paraId="12E17F0A" w14:textId="77777777" w:rsidTr="5974E4A5">
        <w:trPr>
          <w:trHeight w:val="246"/>
        </w:trPr>
        <w:tc>
          <w:tcPr>
            <w:tcW w:w="2093" w:type="dxa"/>
            <w:tcBorders>
              <w:top w:val="single" w:sz="4" w:space="0" w:color="auto"/>
              <w:bottom w:val="single" w:sz="4" w:space="0" w:color="auto"/>
            </w:tcBorders>
            <w:shd w:val="clear" w:color="auto" w:fill="D9D9D9" w:themeFill="background1" w:themeFillShade="D9"/>
            <w:noWrap/>
            <w:vAlign w:val="bottom"/>
          </w:tcPr>
          <w:p w14:paraId="6489F22D" w14:textId="77777777" w:rsidR="00F96509" w:rsidRPr="005E08A9" w:rsidRDefault="00F96509" w:rsidP="00CE4E4E">
            <w:pPr>
              <w:rPr>
                <w:b/>
                <w:i/>
                <w:noProof/>
                <w:color w:val="000000"/>
              </w:rPr>
            </w:pPr>
            <w:r>
              <w:rPr>
                <w:b/>
                <w:i/>
                <w:noProof/>
                <w:color w:val="000000"/>
              </w:rPr>
              <w:t>SKUPAJ</w:t>
            </w:r>
          </w:p>
        </w:tc>
        <w:tc>
          <w:tcPr>
            <w:tcW w:w="1391" w:type="dxa"/>
            <w:tcBorders>
              <w:top w:val="single" w:sz="4" w:space="0" w:color="auto"/>
              <w:bottom w:val="single" w:sz="4" w:space="0" w:color="auto"/>
            </w:tcBorders>
            <w:shd w:val="clear" w:color="auto" w:fill="D9D9D9" w:themeFill="background1" w:themeFillShade="D9"/>
            <w:noWrap/>
          </w:tcPr>
          <w:p w14:paraId="1B1C8663" w14:textId="77777777" w:rsidR="00F96509" w:rsidRPr="005E08A9" w:rsidRDefault="00F96509" w:rsidP="00CE4E4E">
            <w:pPr>
              <w:rPr>
                <w:b/>
                <w:bCs/>
                <w:noProof/>
                <w:color w:val="000000"/>
                <w:highlight w:val="cyan"/>
              </w:rPr>
            </w:pPr>
            <w:r>
              <w:rPr>
                <w:b/>
                <w:noProof/>
              </w:rPr>
              <w:t>644 657</w:t>
            </w:r>
          </w:p>
        </w:tc>
        <w:tc>
          <w:tcPr>
            <w:tcW w:w="1047" w:type="dxa"/>
            <w:tcBorders>
              <w:top w:val="single" w:sz="4" w:space="0" w:color="auto"/>
              <w:bottom w:val="single" w:sz="4" w:space="0" w:color="auto"/>
            </w:tcBorders>
            <w:shd w:val="clear" w:color="auto" w:fill="D9D9D9" w:themeFill="background1" w:themeFillShade="D9"/>
            <w:noWrap/>
          </w:tcPr>
          <w:p w14:paraId="305C35DE" w14:textId="77777777" w:rsidR="00F96509" w:rsidRPr="005E08A9" w:rsidRDefault="00F96509" w:rsidP="00CE4E4E">
            <w:pPr>
              <w:rPr>
                <w:b/>
                <w:bCs/>
                <w:noProof/>
                <w:color w:val="000000"/>
              </w:rPr>
            </w:pPr>
            <w:r>
              <w:rPr>
                <w:b/>
                <w:noProof/>
              </w:rPr>
              <w:t>–</w:t>
            </w:r>
          </w:p>
        </w:tc>
        <w:tc>
          <w:tcPr>
            <w:tcW w:w="1106" w:type="dxa"/>
            <w:tcBorders>
              <w:top w:val="single" w:sz="4" w:space="0" w:color="auto"/>
              <w:bottom w:val="single" w:sz="4" w:space="0" w:color="auto"/>
            </w:tcBorders>
            <w:shd w:val="clear" w:color="auto" w:fill="D9D9D9" w:themeFill="background1" w:themeFillShade="D9"/>
          </w:tcPr>
          <w:p w14:paraId="5C8B5E70" w14:textId="77777777" w:rsidR="00F96509" w:rsidRPr="005E08A9" w:rsidRDefault="00F96509" w:rsidP="00CE4E4E">
            <w:pPr>
              <w:rPr>
                <w:b/>
                <w:bCs/>
                <w:noProof/>
                <w:color w:val="000000"/>
                <w:highlight w:val="cyan"/>
              </w:rPr>
            </w:pPr>
            <w:r>
              <w:rPr>
                <w:b/>
                <w:noProof/>
              </w:rPr>
              <w:t>–</w:t>
            </w:r>
          </w:p>
        </w:tc>
        <w:tc>
          <w:tcPr>
            <w:tcW w:w="1134" w:type="dxa"/>
            <w:tcBorders>
              <w:top w:val="single" w:sz="4" w:space="0" w:color="auto"/>
              <w:bottom w:val="single" w:sz="4" w:space="0" w:color="auto"/>
            </w:tcBorders>
            <w:shd w:val="clear" w:color="auto" w:fill="D9D9D9" w:themeFill="background1" w:themeFillShade="D9"/>
            <w:noWrap/>
          </w:tcPr>
          <w:p w14:paraId="69B2D1E4" w14:textId="77777777" w:rsidR="00F96509" w:rsidRPr="005E08A9" w:rsidRDefault="00F96509" w:rsidP="00CE4E4E">
            <w:pPr>
              <w:rPr>
                <w:b/>
                <w:bCs/>
                <w:noProof/>
              </w:rPr>
            </w:pPr>
            <w:r>
              <w:rPr>
                <w:b/>
                <w:noProof/>
              </w:rPr>
              <w:t>120 472</w:t>
            </w:r>
          </w:p>
        </w:tc>
        <w:tc>
          <w:tcPr>
            <w:tcW w:w="708" w:type="dxa"/>
            <w:tcBorders>
              <w:top w:val="single" w:sz="4" w:space="0" w:color="auto"/>
              <w:bottom w:val="single" w:sz="4" w:space="0" w:color="auto"/>
            </w:tcBorders>
            <w:shd w:val="clear" w:color="auto" w:fill="D9D9D9" w:themeFill="background1" w:themeFillShade="D9"/>
            <w:noWrap/>
          </w:tcPr>
          <w:p w14:paraId="0C2B048D" w14:textId="77777777" w:rsidR="00F96509" w:rsidRPr="005E08A9" w:rsidRDefault="00F96509" w:rsidP="00CE4E4E">
            <w:pPr>
              <w:rPr>
                <w:b/>
                <w:bCs/>
                <w:noProof/>
                <w:color w:val="000000"/>
              </w:rPr>
            </w:pPr>
            <w:r>
              <w:rPr>
                <w:b/>
                <w:noProof/>
              </w:rPr>
              <w:t>–</w:t>
            </w:r>
          </w:p>
        </w:tc>
        <w:tc>
          <w:tcPr>
            <w:tcW w:w="1017" w:type="dxa"/>
            <w:tcBorders>
              <w:top w:val="single" w:sz="4" w:space="0" w:color="auto"/>
              <w:bottom w:val="single" w:sz="4" w:space="0" w:color="auto"/>
            </w:tcBorders>
            <w:shd w:val="clear" w:color="auto" w:fill="D9D9D9" w:themeFill="background1" w:themeFillShade="D9"/>
            <w:noWrap/>
          </w:tcPr>
          <w:p w14:paraId="695A5E33" w14:textId="77777777" w:rsidR="00F96509" w:rsidRPr="005E08A9" w:rsidRDefault="00F96509" w:rsidP="00CE4E4E">
            <w:pPr>
              <w:rPr>
                <w:b/>
                <w:bCs/>
                <w:noProof/>
                <w:color w:val="000000"/>
              </w:rPr>
            </w:pPr>
            <w:r>
              <w:rPr>
                <w:b/>
                <w:noProof/>
              </w:rPr>
              <w:t>52 761</w:t>
            </w:r>
          </w:p>
        </w:tc>
        <w:tc>
          <w:tcPr>
            <w:tcW w:w="1070" w:type="dxa"/>
            <w:tcBorders>
              <w:top w:val="single" w:sz="4" w:space="0" w:color="auto"/>
              <w:left w:val="nil"/>
              <w:bottom w:val="single" w:sz="4" w:space="0" w:color="auto"/>
              <w:right w:val="single" w:sz="4" w:space="0" w:color="auto"/>
            </w:tcBorders>
            <w:shd w:val="clear" w:color="auto" w:fill="D9D9D9" w:themeFill="background1" w:themeFillShade="D9"/>
            <w:noWrap/>
          </w:tcPr>
          <w:p w14:paraId="4ADCC795" w14:textId="77777777" w:rsidR="00F96509" w:rsidRPr="005E08A9" w:rsidRDefault="00F96509" w:rsidP="00CE4E4E">
            <w:pPr>
              <w:keepNext/>
              <w:rPr>
                <w:b/>
                <w:bCs/>
                <w:noProof/>
                <w:color w:val="000000"/>
              </w:rPr>
            </w:pPr>
            <w:r>
              <w:rPr>
                <w:b/>
                <w:noProof/>
              </w:rPr>
              <w:t>–</w:t>
            </w:r>
          </w:p>
        </w:tc>
      </w:tr>
    </w:tbl>
    <w:p w14:paraId="6FD3694A" w14:textId="7864CC8B" w:rsidR="00F96509" w:rsidRPr="005E08A9" w:rsidRDefault="00F96509" w:rsidP="00CE4E4E">
      <w:pPr>
        <w:pStyle w:val="Caption"/>
        <w:spacing w:before="120" w:after="120"/>
        <w:rPr>
          <w:i w:val="0"/>
          <w:noProof/>
          <w:sz w:val="18"/>
          <w:szCs w:val="18"/>
        </w:rPr>
      </w:pPr>
      <w:r>
        <w:rPr>
          <w:noProof/>
          <w:sz w:val="18"/>
        </w:rPr>
        <w:t>Preglednica</w:t>
      </w:r>
      <w:r>
        <w:rPr>
          <w:noProof/>
          <w:sz w:val="18"/>
        </w:rPr>
        <w:fldChar w:fldCharType="begin"/>
      </w:r>
      <w:r>
        <w:rPr>
          <w:noProof/>
          <w:sz w:val="18"/>
        </w:rPr>
        <w:instrText xml:space="preserve"> SEQ Table \* ARABIC </w:instrText>
      </w:r>
      <w:r>
        <w:rPr>
          <w:noProof/>
          <w:sz w:val="18"/>
        </w:rPr>
        <w:fldChar w:fldCharType="separate"/>
      </w:r>
      <w:r>
        <w:rPr>
          <w:noProof/>
          <w:sz w:val="18"/>
        </w:rPr>
        <w:t>2</w:t>
      </w:r>
      <w:r>
        <w:rPr>
          <w:noProof/>
          <w:sz w:val="18"/>
        </w:rPr>
        <w:fldChar w:fldCharType="end"/>
      </w:r>
      <w:r>
        <w:rPr>
          <w:noProof/>
          <w:sz w:val="18"/>
        </w:rPr>
        <w:t xml:space="preserve">: Država izvora vložnikov in upravičencev </w:t>
      </w:r>
    </w:p>
    <w:p w14:paraId="1C7B20BD" w14:textId="67CD3CC1" w:rsidR="00F96509" w:rsidRPr="005E08A9" w:rsidRDefault="00F96509" w:rsidP="00CE4E4E">
      <w:pPr>
        <w:rPr>
          <w:rStyle w:val="Strong"/>
          <w:rFonts w:eastAsiaTheme="minorHAnsi"/>
          <w:noProof/>
        </w:rPr>
      </w:pPr>
      <w:r>
        <w:rPr>
          <w:rStyle w:val="Strong"/>
          <w:noProof/>
        </w:rPr>
        <w:t>Ključne poti do učinka</w:t>
      </w:r>
    </w:p>
    <w:p w14:paraId="3AA3B905" w14:textId="19E4DD2B" w:rsidR="00F96509" w:rsidRPr="005E08A9" w:rsidRDefault="00F96509" w:rsidP="00CE4E4E">
      <w:pPr>
        <w:rPr>
          <w:i/>
          <w:noProof/>
        </w:rPr>
      </w:pPr>
      <w:r>
        <w:rPr>
          <w:i/>
          <w:noProof/>
        </w:rPr>
        <w:t>Vir: podatki podatkovnega portala o ključnih poteh do učinka z dne 5. januarja 2026.</w:t>
      </w:r>
    </w:p>
    <w:p w14:paraId="35FDBDCC" w14:textId="733D7CE8" w:rsidR="00F96509" w:rsidRPr="005E08A9" w:rsidRDefault="00F96509" w:rsidP="00CE4E4E">
      <w:pPr>
        <w:rPr>
          <w:noProof/>
        </w:rPr>
      </w:pPr>
      <w:r>
        <w:rPr>
          <w:noProof/>
        </w:rPr>
        <w:t xml:space="preserve">V programu Obzorje Evropa so bile uvedene ključne poti do učinka, da bi se učinek programa spremljal s kratko- in srednjeročnimi ter dolgoročnejšimi kazalniki. </w:t>
      </w:r>
    </w:p>
    <w:p w14:paraId="626711CD" w14:textId="2685873F" w:rsidR="00F96509" w:rsidRPr="005E08A9" w:rsidRDefault="00F96509" w:rsidP="00CE4E4E">
      <w:pPr>
        <w:rPr>
          <w:noProof/>
        </w:rPr>
      </w:pPr>
      <w:r>
        <w:rPr>
          <w:noProof/>
        </w:rPr>
        <w:t>Podatki večinoma temeljijo na sistemu rednega poročanja v okviru projekta. Do te analize je bilo zaključenih 2 664 projektov (14 %), pri 40 % projektov pa je bilo zaključeno vsaj eno redno poročanje. Ker je treba za večino srednjeročnih in dolgoročnejših kazalnikov zaključiti precejšnje število projektov, da bi bilo mogoče pridobiti pomembne rezultate, je v tem oddelku poudarek samo na kratkoročnih kazalnikih.</w:t>
      </w:r>
    </w:p>
    <w:p w14:paraId="2722C562" w14:textId="77777777" w:rsidR="00F96509" w:rsidRPr="005E08A9" w:rsidRDefault="00F96509" w:rsidP="00CE4E4E">
      <w:pPr>
        <w:rPr>
          <w:i/>
          <w:iCs/>
          <w:noProof/>
        </w:rPr>
      </w:pPr>
      <w:r>
        <w:rPr>
          <w:i/>
          <w:noProof/>
        </w:rPr>
        <w:t>Znanstveni učinek</w:t>
      </w:r>
    </w:p>
    <w:p w14:paraId="7BFB0741" w14:textId="18EDD415" w:rsidR="00F96509" w:rsidRPr="005E08A9" w:rsidRDefault="00F96509" w:rsidP="00CE4E4E">
      <w:pPr>
        <w:numPr>
          <w:ilvl w:val="0"/>
          <w:numId w:val="52"/>
        </w:numPr>
        <w:rPr>
          <w:noProof/>
        </w:rPr>
      </w:pPr>
      <w:r>
        <w:rPr>
          <w:noProof/>
        </w:rPr>
        <w:t>V okviru projektov programa Obzorje Evropa se je do zdaj poročalo o 18 478 recenziranih objavah (ključna pot do učinka 1).</w:t>
      </w:r>
    </w:p>
    <w:p w14:paraId="685253D4" w14:textId="213384DC" w:rsidR="00F96509" w:rsidRPr="005E08A9" w:rsidRDefault="00F96509" w:rsidP="00CE4E4E">
      <w:pPr>
        <w:numPr>
          <w:ilvl w:val="0"/>
          <w:numId w:val="52"/>
        </w:numPr>
        <w:rPr>
          <w:noProof/>
        </w:rPr>
      </w:pPr>
      <w:r>
        <w:rPr>
          <w:noProof/>
        </w:rPr>
        <w:t xml:space="preserve">V programu Obzorje Evropa sodeluje 126 407 raziskovalcev na začetku poklicne poti (ključna pot do učinka 2), od katerih je 44 % žensk. </w:t>
      </w:r>
    </w:p>
    <w:p w14:paraId="3966D8BD" w14:textId="54134852" w:rsidR="00F96509" w:rsidRPr="005E08A9" w:rsidRDefault="00F96509" w:rsidP="00CE4E4E">
      <w:pPr>
        <w:numPr>
          <w:ilvl w:val="0"/>
          <w:numId w:val="52"/>
        </w:numPr>
        <w:rPr>
          <w:noProof/>
        </w:rPr>
      </w:pPr>
      <w:r>
        <w:rPr>
          <w:noProof/>
        </w:rPr>
        <w:t>Upravičenci so 80,8 % rezultatov raziskav, ustvarjenih v okviru programa (objave, nabori podatkov, programska oprema), dali na voljo v odprtem dostopu (ključna pot do učinka 3).</w:t>
      </w:r>
    </w:p>
    <w:p w14:paraId="399593A4" w14:textId="77777777" w:rsidR="00F96509" w:rsidRPr="005E08A9" w:rsidRDefault="00F96509" w:rsidP="00A4763C">
      <w:pPr>
        <w:keepNext/>
        <w:rPr>
          <w:i/>
          <w:iCs/>
          <w:noProof/>
        </w:rPr>
      </w:pPr>
      <w:r>
        <w:rPr>
          <w:i/>
          <w:noProof/>
        </w:rPr>
        <w:t>Družbeni učinek</w:t>
      </w:r>
    </w:p>
    <w:p w14:paraId="3A4DD145" w14:textId="57C00F14" w:rsidR="00F96509" w:rsidRPr="005E08A9" w:rsidRDefault="00F96509" w:rsidP="00CE4E4E">
      <w:pPr>
        <w:numPr>
          <w:ilvl w:val="0"/>
          <w:numId w:val="53"/>
        </w:numPr>
        <w:rPr>
          <w:noProof/>
        </w:rPr>
      </w:pPr>
      <w:r>
        <w:rPr>
          <w:noProof/>
        </w:rPr>
        <w:t>Več kot 99 % vseh rezultatov programa Obzorje Evropa je označenih kot pomembnih za eno od prednostnih nalog politike EU, in sicer za prednostne naloge Komisije za obdobje 2019–2024, cilje trajnostnega razvoja ali cilje prilagajanja podnebnim spremembam/blažitve podnebnih sprememb (ključna pot do učinka 4)</w:t>
      </w:r>
      <w:r>
        <w:rPr>
          <w:rStyle w:val="FootnoteReference"/>
          <w:noProof/>
        </w:rPr>
        <w:footnoteReference w:id="8"/>
      </w:r>
      <w:r>
        <w:rPr>
          <w:noProof/>
        </w:rPr>
        <w:t xml:space="preserve">. </w:t>
      </w:r>
    </w:p>
    <w:p w14:paraId="566223F9" w14:textId="7E0F66C7" w:rsidR="00F96509" w:rsidRPr="005E08A9" w:rsidRDefault="00F96509" w:rsidP="00CE4E4E">
      <w:pPr>
        <w:numPr>
          <w:ilvl w:val="0"/>
          <w:numId w:val="53"/>
        </w:numPr>
        <w:rPr>
          <w:noProof/>
        </w:rPr>
      </w:pPr>
      <w:r>
        <w:rPr>
          <w:noProof/>
        </w:rPr>
        <w:t xml:space="preserve">V okviru projektov misij EU je bilo do zdaj ustvarjenih 206 recenziranih objav in 284 inovativnih rezultatov (ključna pot do učinka 5). </w:t>
      </w:r>
    </w:p>
    <w:p w14:paraId="0E0AF47B" w14:textId="2FE6CB71" w:rsidR="00F96509" w:rsidRPr="005E08A9" w:rsidRDefault="00F96509" w:rsidP="00CE4E4E">
      <w:pPr>
        <w:numPr>
          <w:ilvl w:val="0"/>
          <w:numId w:val="53"/>
        </w:numPr>
        <w:rPr>
          <w:noProof/>
        </w:rPr>
      </w:pPr>
      <w:r>
        <w:rPr>
          <w:noProof/>
        </w:rPr>
        <w:t>41 % projektov ima strukturirane mehanizme za vključevanje javnosti ali končnih uporabnikov v soustvarjanje vsebin raziskav in inovacij (ključna pot do učinka 6).</w:t>
      </w:r>
    </w:p>
    <w:p w14:paraId="5551D12C" w14:textId="44177E4D" w:rsidR="00F96509" w:rsidRPr="005E08A9" w:rsidRDefault="00F96509" w:rsidP="00CE4E4E">
      <w:pPr>
        <w:rPr>
          <w:i/>
          <w:iCs/>
          <w:noProof/>
        </w:rPr>
      </w:pPr>
      <w:r>
        <w:rPr>
          <w:i/>
          <w:noProof/>
        </w:rPr>
        <w:t xml:space="preserve">Gospodarski/tehnološki učinek </w:t>
      </w:r>
    </w:p>
    <w:p w14:paraId="3ED2718E" w14:textId="55300582" w:rsidR="00F96509" w:rsidRPr="005E08A9" w:rsidRDefault="00F96509" w:rsidP="00CE4E4E">
      <w:pPr>
        <w:numPr>
          <w:ilvl w:val="0"/>
          <w:numId w:val="52"/>
        </w:numPr>
        <w:rPr>
          <w:noProof/>
        </w:rPr>
      </w:pPr>
      <w:r>
        <w:rPr>
          <w:noProof/>
        </w:rPr>
        <w:t>V okviru projektov so poročali o 7 645 inovativnih rezultatih (proizvodih, postopkih, metodah itd.). Upravičenci so poleg tega že prijavili 283 nezaupnih rezultatov s področja pravic intelektualne lastnine, od tega 94 patentnih prijav, pričakuje pa se, da se bo to število še povečalo, ko za večino prijav ne bo več veljala zaupnost (ključna pot do učinka 7).</w:t>
      </w:r>
    </w:p>
    <w:p w14:paraId="2A5B35FF" w14:textId="77777777" w:rsidR="00F96509" w:rsidRPr="005E08A9" w:rsidRDefault="00F96509" w:rsidP="00CE4E4E">
      <w:pPr>
        <w:numPr>
          <w:ilvl w:val="0"/>
          <w:numId w:val="52"/>
        </w:numPr>
        <w:rPr>
          <w:noProof/>
        </w:rPr>
      </w:pPr>
      <w:r>
        <w:rPr>
          <w:noProof/>
        </w:rPr>
        <w:t xml:space="preserve">S financiranimi projekti se podpira najmanj 95 798 delovnih mest (zaposleni v ekvivalentu polnega delovnega časa) pri udeleženih pravnih subjektih (ključna pot do učinka 8). </w:t>
      </w:r>
    </w:p>
    <w:p w14:paraId="08333036" w14:textId="3CC6BF0F" w:rsidR="00F96509" w:rsidRPr="005E08A9" w:rsidRDefault="00F96509" w:rsidP="00CE4E4E">
      <w:pPr>
        <w:numPr>
          <w:ilvl w:val="0"/>
          <w:numId w:val="52"/>
        </w:numPr>
        <w:rPr>
          <w:rStyle w:val="Strong"/>
          <w:b w:val="0"/>
          <w:bCs w:val="0"/>
          <w:noProof/>
        </w:rPr>
      </w:pPr>
      <w:r>
        <w:rPr>
          <w:noProof/>
        </w:rPr>
        <w:t xml:space="preserve">Poleg začetne naložbe EU so udeleženci v projektih izvedli neposredna sovlaganja v vrednosti najmanj 12,9 milijarde EUR (ključna pot do učinka 9). </w:t>
      </w:r>
    </w:p>
    <w:p w14:paraId="2ECD406A" w14:textId="2F9C79BE" w:rsidR="00F96509" w:rsidRPr="005E08A9" w:rsidRDefault="00F96509" w:rsidP="00CE4E4E">
      <w:pPr>
        <w:rPr>
          <w:rStyle w:val="Strong"/>
          <w:rFonts w:eastAsiaTheme="minorHAnsi"/>
          <w:noProof/>
        </w:rPr>
      </w:pPr>
      <w:r>
        <w:rPr>
          <w:rStyle w:val="Strong"/>
          <w:noProof/>
        </w:rPr>
        <w:t>Poudarek na evropskih partnerstvih</w:t>
      </w:r>
    </w:p>
    <w:p w14:paraId="132CF036" w14:textId="7E30D226" w:rsidR="00F96509" w:rsidRPr="005E08A9" w:rsidRDefault="00F96509" w:rsidP="00CE4E4E">
      <w:pPr>
        <w:rPr>
          <w:i/>
          <w:noProof/>
        </w:rPr>
      </w:pPr>
      <w:r>
        <w:rPr>
          <w:i/>
          <w:noProof/>
        </w:rPr>
        <w:t>Vir: podatki o projektih podatkovnega portala programa Obzorje z dne 5. januarja 2026.</w:t>
      </w:r>
    </w:p>
    <w:p w14:paraId="3E0808F5" w14:textId="28CAA618" w:rsidR="00F96509" w:rsidRPr="005E08A9" w:rsidRDefault="00AA0CFA" w:rsidP="00CE4E4E">
      <w:pPr>
        <w:rPr>
          <w:noProof/>
          <w:highlight w:val="cyan"/>
        </w:rPr>
      </w:pPr>
      <w:r>
        <w:rPr>
          <w:noProof/>
        </w:rPr>
        <w:t xml:space="preserve">Do konca leta 2025 je bilo dejavnih 54 evropskih partnerstev, pri čemer naj bi bili dve podpisani januarja 2026, še štiri pa pozneje. V vseh partnerstvih je bilo skupaj podpisanih 1 345 sporazumov o nepovratnih sredstvih, ki vključujejo 9 568 posameznih udeležencev in prispevek EU v višini 12,5 milijarde EUR. </w:t>
      </w:r>
    </w:p>
    <w:p w14:paraId="7E0A5470" w14:textId="26E31C50" w:rsidR="00D1586E" w:rsidRPr="005E08A9" w:rsidRDefault="00185284" w:rsidP="00CE4E4E">
      <w:pPr>
        <w:rPr>
          <w:noProof/>
        </w:rPr>
      </w:pPr>
      <w:r>
        <w:rPr>
          <w:noProof/>
        </w:rPr>
        <w:t xml:space="preserve">Od leta 2021 je </w:t>
      </w:r>
      <w:r>
        <w:rPr>
          <w:b/>
          <w:noProof/>
        </w:rPr>
        <w:t>deset aktivnih skupnih podjetij</w:t>
      </w:r>
      <w:r>
        <w:rPr>
          <w:rStyle w:val="FootnoteReference"/>
          <w:noProof/>
        </w:rPr>
        <w:footnoteReference w:id="9"/>
      </w:r>
      <w:r>
        <w:rPr>
          <w:noProof/>
        </w:rPr>
        <w:t xml:space="preserve"> podpisalo 701 sporazum o nepovratnih sredstvih v skupni vrednosti </w:t>
      </w:r>
      <w:r>
        <w:rPr>
          <w:b/>
          <w:noProof/>
        </w:rPr>
        <w:t>6,7 milijarde EUR</w:t>
      </w:r>
      <w:r>
        <w:rPr>
          <w:noProof/>
        </w:rPr>
        <w:t xml:space="preserve">, v te sporazume pa je bilo vključenih 5 350 posameznih udeležencev. Poleg tega je bilo s </w:t>
      </w:r>
      <w:r>
        <w:rPr>
          <w:b/>
          <w:noProof/>
        </w:rPr>
        <w:t xml:space="preserve">4,3 milijarde EUR </w:t>
      </w:r>
      <w:r>
        <w:rPr>
          <w:noProof/>
        </w:rPr>
        <w:t>iz programa Obzorje Evropa podprtih 11 </w:t>
      </w:r>
      <w:r>
        <w:rPr>
          <w:b/>
          <w:noProof/>
        </w:rPr>
        <w:t>skupaj načrtovanih partnerstev</w:t>
      </w:r>
      <w:r>
        <w:rPr>
          <w:noProof/>
        </w:rPr>
        <w:t xml:space="preserve">, pri čemer je bilo podpisanih 635 sporazumov o nepovratnih sredstvih, ki so bila namenjena 4 944 različnim organizacijam. Kar zadeva </w:t>
      </w:r>
      <w:r>
        <w:rPr>
          <w:b/>
          <w:noProof/>
        </w:rPr>
        <w:t>sofinancirana partnerstva</w:t>
      </w:r>
      <w:r>
        <w:rPr>
          <w:noProof/>
        </w:rPr>
        <w:t xml:space="preserve">, je bilo podpisanih 18 sporazumov o nepovratnih sredstvih v skupni vrednosti 1,5 milijarde EUR, vanje pa je bilo vključenih 754 posameznih udeležencev. </w:t>
      </w:r>
    </w:p>
    <w:p w14:paraId="3F6DD895" w14:textId="50C47B69" w:rsidR="00F96509" w:rsidRPr="005E08A9" w:rsidRDefault="00F96509" w:rsidP="00CE4E4E">
      <w:pPr>
        <w:rPr>
          <w:b/>
          <w:bCs/>
          <w:noProof/>
        </w:rPr>
      </w:pPr>
      <w:r>
        <w:rPr>
          <w:b/>
          <w:noProof/>
        </w:rPr>
        <w:t>Poudarek na misijah EU</w:t>
      </w:r>
    </w:p>
    <w:p w14:paraId="741A98A1" w14:textId="39E515E0" w:rsidR="00F96509" w:rsidRPr="005E08A9" w:rsidRDefault="00F96509" w:rsidP="00CE4E4E">
      <w:pPr>
        <w:rPr>
          <w:i/>
          <w:noProof/>
        </w:rPr>
      </w:pPr>
      <w:r>
        <w:rPr>
          <w:i/>
          <w:noProof/>
        </w:rPr>
        <w:t>Vir: podatki o predlogih in projektih podatkovnega portala programa Obzorje z dne 5. januarja 2026.</w:t>
      </w:r>
    </w:p>
    <w:p w14:paraId="4B24E23D" w14:textId="2E504277" w:rsidR="003F3D73" w:rsidRPr="005E08A9" w:rsidRDefault="00F41E29" w:rsidP="00CE4E4E">
      <w:pPr>
        <w:rPr>
          <w:noProof/>
        </w:rPr>
      </w:pPr>
      <w:r>
        <w:rPr>
          <w:noProof/>
        </w:rPr>
        <w:t>V delovnem programu za leto 2025 je bilo objavljenih devet razpisov za misije. Med letoma 2021 in 2025 je nanje prispelo 1 515 upravičenih predlogov. Podpisanih je bilo 321 sporazumov o nepovratnih sredstvih v skupni vrednosti 2,48 milijarde EUR, vanje pa je bilo vključenih 3 845 upravičencev.</w:t>
      </w:r>
    </w:p>
    <w:p w14:paraId="0CB4755B" w14:textId="77777777" w:rsidR="00F96509" w:rsidRPr="005E08A9" w:rsidRDefault="00F96509" w:rsidP="00CE4E4E">
      <w:pPr>
        <w:pStyle w:val="Heading2"/>
        <w:rPr>
          <w:noProof/>
        </w:rPr>
      </w:pPr>
      <w:r>
        <w:rPr>
          <w:noProof/>
        </w:rPr>
        <w:t>Poglobljena analiza: poročila o spremljanju programa Obzorje Evropa in druge študije</w:t>
      </w:r>
    </w:p>
    <w:p w14:paraId="0206D67D" w14:textId="7327D42A" w:rsidR="00F96509" w:rsidRPr="005E08A9" w:rsidRDefault="00F96509" w:rsidP="00CE4E4E">
      <w:pPr>
        <w:rPr>
          <w:noProof/>
        </w:rPr>
      </w:pPr>
      <w:r>
        <w:rPr>
          <w:noProof/>
        </w:rPr>
        <w:t>Leta 2025 je bilo objavljenih več tematskih poročil o izvajanju in uspešnosti programa Obzorje Evropa:</w:t>
      </w:r>
    </w:p>
    <w:p w14:paraId="5B5F3640" w14:textId="3E2F7250" w:rsidR="00F96509" w:rsidRPr="005E08A9" w:rsidRDefault="003813D3" w:rsidP="00CE4E4E">
      <w:pPr>
        <w:numPr>
          <w:ilvl w:val="0"/>
          <w:numId w:val="54"/>
        </w:numPr>
        <w:rPr>
          <w:noProof/>
        </w:rPr>
      </w:pPr>
      <w:r>
        <w:rPr>
          <w:noProof/>
        </w:rPr>
        <w:t xml:space="preserve">poročilo o spremljanju programa, v katerem je predstavljen </w:t>
      </w:r>
      <w:hyperlink r:id="rId74" w:history="1">
        <w:r>
          <w:rPr>
            <w:rStyle w:val="Hyperlink"/>
            <w:noProof/>
          </w:rPr>
          <w:t>pregled enakosti spolov v programih EU za raziskave in inovacije</w:t>
        </w:r>
      </w:hyperlink>
      <w:r>
        <w:rPr>
          <w:noProof/>
        </w:rPr>
        <w:t>,</w:t>
      </w:r>
    </w:p>
    <w:p w14:paraId="6EB121F9" w14:textId="6296A478" w:rsidR="00F96509" w:rsidRPr="005E08A9" w:rsidRDefault="003813D3" w:rsidP="00CE4E4E">
      <w:pPr>
        <w:numPr>
          <w:ilvl w:val="0"/>
          <w:numId w:val="54"/>
        </w:numPr>
        <w:rPr>
          <w:noProof/>
        </w:rPr>
      </w:pPr>
      <w:r>
        <w:rPr>
          <w:noProof/>
        </w:rPr>
        <w:t xml:space="preserve">poročilo o spremljanju programa, v katerem je predstavljen </w:t>
      </w:r>
      <w:hyperlink r:id="rId75" w:history="1">
        <w:r>
          <w:rPr>
            <w:rStyle w:val="Hyperlink"/>
            <w:noProof/>
          </w:rPr>
          <w:t>prispevek programa Obzorje Evropa k petim misijam EU</w:t>
        </w:r>
      </w:hyperlink>
      <w:r>
        <w:rPr>
          <w:noProof/>
        </w:rPr>
        <w:t>,</w:t>
      </w:r>
    </w:p>
    <w:p w14:paraId="1C712D71" w14:textId="7E565715" w:rsidR="00F96509" w:rsidRPr="005E08A9" w:rsidRDefault="003813D3" w:rsidP="00CE4E4E">
      <w:pPr>
        <w:numPr>
          <w:ilvl w:val="0"/>
          <w:numId w:val="54"/>
        </w:numPr>
        <w:rPr>
          <w:noProof/>
        </w:rPr>
      </w:pPr>
      <w:r>
        <w:rPr>
          <w:noProof/>
        </w:rPr>
        <w:t xml:space="preserve">študija, v kateri so </w:t>
      </w:r>
      <w:hyperlink r:id="rId76" w:history="1">
        <w:r>
          <w:rPr>
            <w:rStyle w:val="Hyperlink"/>
            <w:noProof/>
          </w:rPr>
          <w:t>količinsko opredeljene koristi programa Obzorje Evropa za okolje</w:t>
        </w:r>
      </w:hyperlink>
      <w:r>
        <w:rPr>
          <w:noProof/>
        </w:rPr>
        <w:t>, zlasti z vidika prihrankov energije ali virov,</w:t>
      </w:r>
    </w:p>
    <w:p w14:paraId="3CE915C0" w14:textId="211BEB29" w:rsidR="00F96509" w:rsidRPr="005E08A9" w:rsidRDefault="003813D3" w:rsidP="00CE4E4E">
      <w:pPr>
        <w:numPr>
          <w:ilvl w:val="0"/>
          <w:numId w:val="54"/>
        </w:numPr>
        <w:rPr>
          <w:noProof/>
        </w:rPr>
      </w:pPr>
      <w:r>
        <w:rPr>
          <w:noProof/>
        </w:rPr>
        <w:t xml:space="preserve">študija z oceno </w:t>
      </w:r>
      <w:hyperlink r:id="rId77" w:history="1">
        <w:r>
          <w:rPr>
            <w:rStyle w:val="Hyperlink"/>
            <w:noProof/>
          </w:rPr>
          <w:t>makroekonomskega učinka programa Obzorje Evropa</w:t>
        </w:r>
      </w:hyperlink>
      <w:r>
        <w:rPr>
          <w:noProof/>
        </w:rPr>
        <w:t xml:space="preserve"> na BDP in zaposlenost,</w:t>
      </w:r>
    </w:p>
    <w:p w14:paraId="54F44E73" w14:textId="3B5C9B63" w:rsidR="00F96509" w:rsidRPr="005E08A9" w:rsidRDefault="003813D3" w:rsidP="00CE4E4E">
      <w:pPr>
        <w:numPr>
          <w:ilvl w:val="0"/>
          <w:numId w:val="54"/>
        </w:numPr>
        <w:rPr>
          <w:noProof/>
        </w:rPr>
      </w:pPr>
      <w:r>
        <w:rPr>
          <w:noProof/>
        </w:rPr>
        <w:t xml:space="preserve">poročilo o spremljanju programa z vidika </w:t>
      </w:r>
      <w:hyperlink r:id="rId78" w:history="1">
        <w:r>
          <w:rPr>
            <w:rStyle w:val="Hyperlink"/>
            <w:noProof/>
          </w:rPr>
          <w:t>uporabe ravni tehnološke pripravljenosti v okviru programa Obzorje Evropa</w:t>
        </w:r>
      </w:hyperlink>
      <w:r>
        <w:rPr>
          <w:noProof/>
        </w:rPr>
        <w:t>,</w:t>
      </w:r>
    </w:p>
    <w:p w14:paraId="3B727A9A" w14:textId="7CE3AF1A" w:rsidR="00F96509" w:rsidRPr="005E08A9" w:rsidRDefault="003813D3" w:rsidP="00CE4E4E">
      <w:pPr>
        <w:numPr>
          <w:ilvl w:val="0"/>
          <w:numId w:val="54"/>
        </w:numPr>
        <w:rPr>
          <w:rFonts w:eastAsia="Aptos"/>
          <w:noProof/>
        </w:rPr>
      </w:pPr>
      <w:r>
        <w:rPr>
          <w:noProof/>
        </w:rPr>
        <w:t xml:space="preserve">pregledna študija o </w:t>
      </w:r>
      <w:hyperlink r:id="rId79" w:history="1">
        <w:r>
          <w:rPr>
            <w:rStyle w:val="Hyperlink"/>
            <w:noProof/>
          </w:rPr>
          <w:t>20 letih raziskav na področju (civilne) varnosti, financiranih s sredstvi EU</w:t>
        </w:r>
      </w:hyperlink>
      <w:r>
        <w:rPr>
          <w:noProof/>
        </w:rPr>
        <w:t>.</w:t>
      </w:r>
    </w:p>
    <w:p w14:paraId="31D64435" w14:textId="77777777" w:rsidR="00F96509" w:rsidRPr="005E08A9" w:rsidRDefault="00F96509" w:rsidP="00CE4E4E">
      <w:pPr>
        <w:rPr>
          <w:b/>
          <w:bCs/>
          <w:noProof/>
        </w:rPr>
      </w:pPr>
      <w:r>
        <w:rPr>
          <w:b/>
          <w:noProof/>
        </w:rPr>
        <w:t>Vmesna ocena programa Obzorje Evropa</w:t>
      </w:r>
    </w:p>
    <w:p w14:paraId="1AED93A1" w14:textId="58129AD5" w:rsidR="00544698" w:rsidRPr="005E08A9" w:rsidRDefault="001A5F7A" w:rsidP="00CE4E4E">
      <w:pPr>
        <w:rPr>
          <w:noProof/>
        </w:rPr>
      </w:pPr>
      <w:r>
        <w:rPr>
          <w:noProof/>
        </w:rPr>
        <w:t xml:space="preserve">Komisija je aprila objavila </w:t>
      </w:r>
      <w:hyperlink r:id="rId80" w:history="1">
        <w:r>
          <w:rPr>
            <w:rStyle w:val="Hyperlink"/>
            <w:noProof/>
          </w:rPr>
          <w:t>vmesno oceno</w:t>
        </w:r>
      </w:hyperlink>
      <w:r>
        <w:rPr>
          <w:noProof/>
        </w:rPr>
        <w:t xml:space="preserve"> programa Obzorje Evropa. Poleg tega je bilo Evropskemu parlamentu in Svetu poslano sporočilo, v katerem so predstavljene </w:t>
      </w:r>
      <w:hyperlink r:id="rId81" w:history="1">
        <w:r>
          <w:rPr>
            <w:rStyle w:val="Hyperlink"/>
            <w:noProof/>
          </w:rPr>
          <w:t>izkušnje in predlogi za prihodnje ukrepanje</w:t>
        </w:r>
      </w:hyperlink>
      <w:r>
        <w:rPr>
          <w:noProof/>
        </w:rPr>
        <w:t>. Ključne ugotovitve kažejo, da ima program Obzorje Evropa velik učinek, ki se kaže v oprijemljivih inovacijah in njegovi znanstveni odličnosti. Program povečuje učinek inovacij, saj vsak euro, vložen prek sklada Evropskega sveta za inovacije, pritegne več kot tri eure zasebnih naložb. Tudi udeležba držav članic s potencialom za izboljšanje raziskovalne odličnosti se je povečala, in sicer s 47 % v okviru programa Obzorje 2020 na 58 %.</w:t>
      </w:r>
    </w:p>
    <w:p w14:paraId="4CDC1E23" w14:textId="395A4A52" w:rsidR="00F96509" w:rsidRPr="005E08A9" w:rsidRDefault="00F96509" w:rsidP="00A4763C">
      <w:pPr>
        <w:keepNext/>
        <w:rPr>
          <w:b/>
          <w:bCs/>
          <w:noProof/>
        </w:rPr>
      </w:pPr>
      <w:r>
        <w:rPr>
          <w:b/>
          <w:noProof/>
        </w:rPr>
        <w:t>Ocena učinka in predlog za prihodnji program Obzorje Evropa ter Evropski sklad za konkurenčnost</w:t>
      </w:r>
    </w:p>
    <w:p w14:paraId="1C2504F3" w14:textId="7A38ED28" w:rsidR="00F96509" w:rsidRPr="005E08A9" w:rsidRDefault="008C62B4" w:rsidP="00CE4E4E">
      <w:pPr>
        <w:rPr>
          <w:noProof/>
        </w:rPr>
      </w:pPr>
      <w:r>
        <w:rPr>
          <w:noProof/>
        </w:rPr>
        <w:t xml:space="preserve">Komisija je objavila tudi </w:t>
      </w:r>
      <w:hyperlink r:id="rId82">
        <w:r>
          <w:rPr>
            <w:rStyle w:val="Hyperlink"/>
            <w:noProof/>
          </w:rPr>
          <w:t>oceno učinka za prihodnji program Obzorje Evropa (2028–2034) in novi Evropski sklad za konkurenčnost</w:t>
        </w:r>
      </w:hyperlink>
      <w:r>
        <w:rPr>
          <w:noProof/>
        </w:rPr>
        <w:t xml:space="preserve">. Nato je sprejela predloga za oba povezana programa, s katerima se bo podprla celotna pot inovacij iz laboratorija na trg. O teh predlogih, ki ju je Komisija sprejela julija, potekajo pogajanja med sozakonodajalcema. </w:t>
      </w:r>
    </w:p>
    <w:p w14:paraId="0DB9422F" w14:textId="6EB076DE" w:rsidR="00517B47" w:rsidRPr="005E08A9" w:rsidRDefault="00517B47" w:rsidP="00CE4E4E">
      <w:pPr>
        <w:pStyle w:val="Heading2"/>
        <w:rPr>
          <w:noProof/>
        </w:rPr>
      </w:pPr>
      <w:r>
        <w:rPr>
          <w:noProof/>
        </w:rPr>
        <w:t>Razširjanje in izkoriščanje rezultatov</w:t>
      </w:r>
    </w:p>
    <w:p w14:paraId="5F3CFF5E" w14:textId="384FD4C1" w:rsidR="007D7A52" w:rsidRPr="005E08A9" w:rsidRDefault="00DD15C7" w:rsidP="00CE4E4E">
      <w:pPr>
        <w:rPr>
          <w:rFonts w:eastAsia="Aptos"/>
          <w:noProof/>
        </w:rPr>
      </w:pPr>
      <w:r>
        <w:rPr>
          <w:noProof/>
        </w:rPr>
        <w:t xml:space="preserve">Komisija je še naprej upravljala in razvijala </w:t>
      </w:r>
      <w:hyperlink r:id="rId83" w:history="1">
        <w:r>
          <w:rPr>
            <w:rStyle w:val="Hyperlink"/>
            <w:noProof/>
            <w:color w:val="467886"/>
          </w:rPr>
          <w:t>platformo za rezultate programa Obzorje</w:t>
        </w:r>
      </w:hyperlink>
      <w:r>
        <w:rPr>
          <w:noProof/>
        </w:rPr>
        <w:t xml:space="preserve"> ter storitev za </w:t>
      </w:r>
      <w:hyperlink r:id="rId84" w:history="1">
        <w:r>
          <w:rPr>
            <w:rStyle w:val="Hyperlink"/>
            <w:noProof/>
            <w:color w:val="467886"/>
          </w:rPr>
          <w:t>spodbujanje rezultatov programa Obzorje</w:t>
        </w:r>
      </w:hyperlink>
      <w:r>
        <w:rPr>
          <w:noProof/>
        </w:rPr>
        <w:t xml:space="preserve">, da bi upravičencem programa Obzorje Evropa pomagala pri razširjanju in izkoriščanju njihovih rezultatov. Platforma za rezultate programa Obzorje, na kateri je objavljenih 569 novih rezultatov, je z namenskim financiranjem in možnostmi za udeležbo na dogodkih za vlagatelje dejavno podprla 25 podjetij na njihovi poti vstopa na trg. 1 602 upravičencema je bilo zagotovljenih 764 storitev za spodbujanje izkoriščanja rezultatov programa Obzorje, od razširjanja do podpore pri vstopu na trg. </w:t>
      </w:r>
    </w:p>
    <w:p w14:paraId="35C606ED" w14:textId="0B02427F" w:rsidR="2B694D0F" w:rsidRPr="005E08A9" w:rsidRDefault="21DD01F5" w:rsidP="00CE4E4E">
      <w:pPr>
        <w:rPr>
          <w:noProof/>
        </w:rPr>
      </w:pPr>
      <w:r>
        <w:rPr>
          <w:noProof/>
        </w:rPr>
        <w:t xml:space="preserve">Komisija je pripravila več publikacij </w:t>
      </w:r>
      <w:hyperlink r:id="rId85" w:history="1">
        <w:r>
          <w:rPr>
            <w:rStyle w:val="Hyperlink"/>
            <w:noProof/>
            <w:color w:val="467886"/>
          </w:rPr>
          <w:t>Službe Skupnosti za informacije o raziskavah in razvoju (CORDIS)</w:t>
        </w:r>
      </w:hyperlink>
      <w:r>
        <w:rPr>
          <w:noProof/>
        </w:rPr>
        <w:t xml:space="preserve">, med drugim 20 tematskih svežnjev, 10 videov s poročili o rezultatih in 10 podkastov CORDIScovery. </w:t>
      </w:r>
    </w:p>
    <w:p w14:paraId="41B82B11" w14:textId="1A2E568B" w:rsidR="004551DD" w:rsidRPr="005E08A9" w:rsidRDefault="00517B47" w:rsidP="00CE4E4E">
      <w:pPr>
        <w:pStyle w:val="Heading2"/>
        <w:rPr>
          <w:noProof/>
        </w:rPr>
      </w:pPr>
      <w:r>
        <w:rPr>
          <w:noProof/>
        </w:rPr>
        <w:t>Izvajanje in spremljanje programa Euratoma</w:t>
      </w:r>
    </w:p>
    <w:p w14:paraId="76CCB2BB" w14:textId="62CE3890" w:rsidR="008A5B87" w:rsidRPr="005E08A9" w:rsidRDefault="008A5B87" w:rsidP="00CE4E4E">
      <w:pPr>
        <w:spacing w:line="259" w:lineRule="auto"/>
        <w:rPr>
          <w:noProof/>
        </w:rPr>
      </w:pPr>
      <w:r>
        <w:rPr>
          <w:noProof/>
        </w:rPr>
        <w:t xml:space="preserve">Svet je na podlagi </w:t>
      </w:r>
      <w:hyperlink r:id="rId86" w:history="1">
        <w:r>
          <w:rPr>
            <w:rStyle w:val="Hyperlink"/>
            <w:noProof/>
          </w:rPr>
          <w:t>predloga</w:t>
        </w:r>
      </w:hyperlink>
      <w:r>
        <w:rPr>
          <w:noProof/>
        </w:rPr>
        <w:t xml:space="preserve"> Komisije sprejel </w:t>
      </w:r>
      <w:hyperlink r:id="rId87" w:history="1">
        <w:r>
          <w:rPr>
            <w:rStyle w:val="Hyperlink"/>
            <w:noProof/>
          </w:rPr>
          <w:t>podaljšanje programa Euratoma za raziskave in usposabljanje</w:t>
        </w:r>
      </w:hyperlink>
      <w:r>
        <w:rPr>
          <w:noProof/>
        </w:rPr>
        <w:t xml:space="preserve"> za obdobje 2026–2027, ki temelji na </w:t>
      </w:r>
      <w:hyperlink r:id="rId88" w:history="1">
        <w:r>
          <w:rPr>
            <w:rStyle w:val="Hyperlink"/>
            <w:noProof/>
          </w:rPr>
          <w:t>vmesni oceni</w:t>
        </w:r>
      </w:hyperlink>
      <w:r>
        <w:rPr>
          <w:noProof/>
        </w:rPr>
        <w:t xml:space="preserve"> programa za obdobje 2021–2025.</w:t>
      </w:r>
    </w:p>
    <w:p w14:paraId="4297B0B4" w14:textId="7520E8AE" w:rsidR="008A5B87" w:rsidRPr="005E08A9" w:rsidRDefault="008A5B87" w:rsidP="00CE4E4E">
      <w:pPr>
        <w:spacing w:line="259" w:lineRule="auto"/>
        <w:rPr>
          <w:noProof/>
        </w:rPr>
      </w:pPr>
      <w:r>
        <w:rPr>
          <w:noProof/>
        </w:rPr>
        <w:t>Skupni proračun programa za obdobje 2021–2025 znaša 1,38 milijarde EUR. Izvaja se z neposrednimi in posrednimi ukrepi, ki predstavljajo 38,5 % oziroma 61,5 % proračuna. V okviru sklopa posrednih ukrepov je bilo do konca leta 2025 podpisanih 61 sporazumov o nepovratnih sredstvih za projekte, vključno s štirimi sofinanciranimi partnerstvi. Sodelovalo je 578 posameznih udeležencev, pri čemer so prispevki Euratoma znašali 816 milijonov EUR.</w:t>
      </w:r>
    </w:p>
    <w:p w14:paraId="596E1526" w14:textId="44EEA153" w:rsidR="00B26ABE" w:rsidRPr="005E08A9" w:rsidRDefault="00D46450" w:rsidP="00CE4E4E">
      <w:pPr>
        <w:spacing w:line="259" w:lineRule="auto"/>
        <w:rPr>
          <w:noProof/>
        </w:rPr>
      </w:pPr>
      <w:r>
        <w:rPr>
          <w:noProof/>
        </w:rPr>
        <w:t xml:space="preserve">Komisija je septembra predstavila svoj predlog za naslednji program Euratoma za raziskave in usposabljanje (2028–2032). </w:t>
      </w:r>
    </w:p>
    <w:p w14:paraId="5CB92751" w14:textId="60073F22" w:rsidR="00517B47" w:rsidRPr="005E08A9" w:rsidRDefault="00517B47" w:rsidP="00CE4E4E">
      <w:pPr>
        <w:numPr>
          <w:ilvl w:val="0"/>
          <w:numId w:val="50"/>
        </w:numPr>
        <w:rPr>
          <w:b/>
          <w:bCs/>
          <w:noProof/>
        </w:rPr>
      </w:pPr>
      <w:r>
        <w:rPr>
          <w:b/>
          <w:noProof/>
        </w:rPr>
        <w:t>Jedrski neposredni ukrepi, ki jih izvaja Skupno raziskovalno središče</w:t>
      </w:r>
    </w:p>
    <w:p w14:paraId="0377148D" w14:textId="50234824" w:rsidR="00567360" w:rsidRPr="005E08A9" w:rsidRDefault="00567360" w:rsidP="00CE4E4E">
      <w:pPr>
        <w:rPr>
          <w:iCs/>
          <w:noProof/>
        </w:rPr>
      </w:pPr>
      <w:r>
        <w:rPr>
          <w:noProof/>
        </w:rPr>
        <w:t>Skupno raziskovalno središče je leta 2025 pripravilo 102 recenzirana članka o temah s področja jedrskih raziskav, 90 tehničnih poročil, tri referenčna gradiva, tri validirane metode, vnesene v mednarodne knjižnice jedrskih podatkov, štiri tehnične sisteme za okrepitev jedrskih zaščitnih ukrepov in en prispevek k mednarodnim standardom.</w:t>
      </w:r>
    </w:p>
    <w:p w14:paraId="28226D6B" w14:textId="30A12B88" w:rsidR="00567360" w:rsidRPr="005E08A9" w:rsidRDefault="00B26ABE" w:rsidP="00CE4E4E">
      <w:pPr>
        <w:rPr>
          <w:iCs/>
          <w:noProof/>
        </w:rPr>
      </w:pPr>
      <w:r>
        <w:rPr>
          <w:noProof/>
        </w:rPr>
        <w:t xml:space="preserve">Skupno raziskovalno središče je prispevalo k </w:t>
      </w:r>
      <w:hyperlink r:id="rId89" w:history="1">
        <w:r>
          <w:rPr>
            <w:rStyle w:val="Hyperlink"/>
            <w:noProof/>
          </w:rPr>
          <w:t>strateškemu akcijskemu načrtu za male modularne reaktorje</w:t>
        </w:r>
      </w:hyperlink>
      <w:r>
        <w:rPr>
          <w:noProof/>
        </w:rPr>
        <w:t>, ki ga je podprlo evropsko industrijsko zavezništvo za male modularne reaktorje, katerega cilj je do leta 2030 olajšati njihov varen razvoj in uvajanje.</w:t>
      </w:r>
    </w:p>
    <w:p w14:paraId="4626433D" w14:textId="432D782A" w:rsidR="00A330F6" w:rsidRPr="005E08A9" w:rsidRDefault="00A330F6" w:rsidP="00CE4E4E">
      <w:pPr>
        <w:numPr>
          <w:ilvl w:val="0"/>
          <w:numId w:val="50"/>
        </w:numPr>
        <w:rPr>
          <w:b/>
          <w:noProof/>
        </w:rPr>
      </w:pPr>
      <w:r>
        <w:rPr>
          <w:b/>
          <w:noProof/>
        </w:rPr>
        <w:t xml:space="preserve">Posredni ukrepi programa Euratoma za raziskave in usposabljanje </w:t>
      </w:r>
    </w:p>
    <w:p w14:paraId="50BDB734" w14:textId="44D2B05E" w:rsidR="003C1F3E" w:rsidRPr="005E08A9" w:rsidRDefault="000556D2" w:rsidP="00CE4E4E">
      <w:pPr>
        <w:spacing w:line="257" w:lineRule="auto"/>
        <w:rPr>
          <w:rFonts w:eastAsia="Aptos"/>
          <w:noProof/>
        </w:rPr>
      </w:pPr>
      <w:r>
        <w:rPr>
          <w:noProof/>
        </w:rPr>
        <w:t xml:space="preserve">Komisija je začela pobude za odpravo pomanjkanja specializiranih znanj in spretnosti na jedrskem področju, zlasti na področju jedrske varnosti, inovativnih tehnologij in varstva pred sevanjem. </w:t>
      </w:r>
      <w:hyperlink r:id="rId90" w:history="1">
        <w:r>
          <w:rPr>
            <w:rStyle w:val="Hyperlink"/>
            <w:noProof/>
          </w:rPr>
          <w:t>Projekt Skills4Nuclear</w:t>
        </w:r>
      </w:hyperlink>
      <w:r>
        <w:rPr>
          <w:noProof/>
        </w:rPr>
        <w:t xml:space="preserve"> podpira razvoj kvalificirane delovne sile za obstoječe in nove jedrske tehnologije. Hkrati je </w:t>
      </w:r>
      <w:hyperlink r:id="rId91" w:history="1">
        <w:r>
          <w:rPr>
            <w:rStyle w:val="Hyperlink"/>
            <w:noProof/>
          </w:rPr>
          <w:t>sofinancirano partnerstvo PIANOFORTE</w:t>
        </w:r>
      </w:hyperlink>
      <w:r>
        <w:rPr>
          <w:noProof/>
        </w:rPr>
        <w:t xml:space="preserve"> s 108 partnerji iz 26 držav objavilo tretji mednarodni odprti razpisni postopek, v okviru katerega je bilo izbranih šest novih projektov. Evropske zmogljivosti je dodatno okrepilo </w:t>
      </w:r>
      <w:hyperlink r:id="rId92" w:history="1">
        <w:r>
          <w:rPr>
            <w:rStyle w:val="Hyperlink"/>
            <w:noProof/>
          </w:rPr>
          <w:t>sofinancirano partnerstvo EURAD 2</w:t>
        </w:r>
      </w:hyperlink>
      <w:r>
        <w:rPr>
          <w:noProof/>
        </w:rPr>
        <w:t xml:space="preserve"> z uvedbo svojega programa mobilnosti.</w:t>
      </w:r>
    </w:p>
    <w:p w14:paraId="642A59E8" w14:textId="77777777" w:rsidR="00C52261" w:rsidRPr="005E08A9" w:rsidRDefault="00C52261" w:rsidP="00CE4E4E">
      <w:pPr>
        <w:spacing w:line="257" w:lineRule="auto"/>
        <w:rPr>
          <w:rFonts w:eastAsia="Aptos"/>
          <w:noProof/>
        </w:rPr>
      </w:pPr>
    </w:p>
    <w:p w14:paraId="44EE5BD1" w14:textId="660C0314" w:rsidR="00517B47" w:rsidRPr="005E08A9" w:rsidRDefault="00521402" w:rsidP="00CE4E4E">
      <w:pPr>
        <w:pStyle w:val="Heading1"/>
        <w:spacing w:before="120"/>
        <w:rPr>
          <w:noProof/>
        </w:rPr>
      </w:pPr>
      <w:r>
        <w:rPr>
          <w:noProof/>
        </w:rPr>
        <w:t>Obeti za leto 2026</w:t>
      </w:r>
    </w:p>
    <w:p w14:paraId="11BA06B1" w14:textId="44624EBE" w:rsidR="00E91C83" w:rsidRPr="005E08A9" w:rsidRDefault="00E91C83" w:rsidP="00CE4E4E">
      <w:pPr>
        <w:rPr>
          <w:noProof/>
          <w:color w:val="000000" w:themeColor="text1"/>
        </w:rPr>
      </w:pPr>
      <w:r>
        <w:rPr>
          <w:noProof/>
          <w:color w:val="000000" w:themeColor="text1"/>
        </w:rPr>
        <w:t xml:space="preserve">Komisija namerava leta 2026 okrepiti evropski ekosistem raziskav in inovacij, in sicer z </w:t>
      </w:r>
      <w:r>
        <w:rPr>
          <w:b/>
          <w:noProof/>
          <w:color w:val="000000" w:themeColor="text1"/>
        </w:rPr>
        <w:t>evropskim aktom o inovacijah</w:t>
      </w:r>
      <w:r>
        <w:rPr>
          <w:noProof/>
          <w:color w:val="000000" w:themeColor="text1"/>
        </w:rPr>
        <w:t xml:space="preserve"> in </w:t>
      </w:r>
      <w:r>
        <w:rPr>
          <w:b/>
          <w:noProof/>
          <w:color w:val="000000" w:themeColor="text1"/>
        </w:rPr>
        <w:t>aktom o evropskem raziskovalnem prostoru</w:t>
      </w:r>
      <w:r>
        <w:rPr>
          <w:noProof/>
          <w:color w:val="000000" w:themeColor="text1"/>
        </w:rPr>
        <w:t>. Akta bosta pospešila uvajanje inovacij na trg, uskladila prednostne naloge EU z nacionalnimi prednostnimi nalogami ter pomagala doseči naložbeni cilj na področju raziskav in inovacij v višini 3 % BDP po vsej Evropi. Te pobude bodo olajšale prenos inovativnih zamisli na trg v vseh sektorjih, zmanjšale razdrobljenost ter okrepile prosti pretok raziskovalcev, znanja in tehnologije.</w:t>
      </w:r>
    </w:p>
    <w:p w14:paraId="074546E8" w14:textId="5B5AAA0D" w:rsidR="00094173" w:rsidRPr="005E08A9" w:rsidRDefault="00E91C83" w:rsidP="00CE4E4E">
      <w:pPr>
        <w:rPr>
          <w:noProof/>
          <w:color w:val="000000" w:themeColor="text1"/>
        </w:rPr>
      </w:pPr>
      <w:r>
        <w:rPr>
          <w:noProof/>
        </w:rPr>
        <w:t>Leta </w:t>
      </w:r>
      <w:r>
        <w:rPr>
          <w:noProof/>
          <w:color w:val="000000" w:themeColor="text1"/>
        </w:rPr>
        <w:t xml:space="preserve">2026 bo vzpostavljen </w:t>
      </w:r>
      <w:hyperlink r:id="rId93" w:history="1">
        <w:r>
          <w:rPr>
            <w:rStyle w:val="Hyperlink"/>
            <w:b/>
            <w:noProof/>
          </w:rPr>
          <w:t>sklad Scaleup Europe</w:t>
        </w:r>
      </w:hyperlink>
      <w:r>
        <w:rPr>
          <w:noProof/>
        </w:rPr>
        <w:t xml:space="preserve"> </w:t>
      </w:r>
      <w:r>
        <w:rPr>
          <w:noProof/>
          <w:color w:val="000000" w:themeColor="text1"/>
        </w:rPr>
        <w:t xml:space="preserve">v vrednosti več milijard eurov za podporo evropskim najobetavnejšim podjetjem na področju strateških tehnologij, sprejet pa bo tudi </w:t>
      </w:r>
      <w:hyperlink r:id="rId94" w:history="1">
        <w:r>
          <w:rPr>
            <w:rStyle w:val="Hyperlink"/>
            <w:b/>
            <w:noProof/>
          </w:rPr>
          <w:t>akt o naprednih materialih</w:t>
        </w:r>
      </w:hyperlink>
      <w:r>
        <w:rPr>
          <w:noProof/>
          <w:color w:val="000000" w:themeColor="text1"/>
        </w:rPr>
        <w:t xml:space="preserve">, katerega cilj je pospešiti inovacije in povečati obseg naprednih materialov. Nove raziskovalne in inovativne pobude bodo uvedene tudi na drugih področjih, med drugim na področjih </w:t>
      </w:r>
      <w:r>
        <w:rPr>
          <w:b/>
          <w:noProof/>
          <w:color w:val="000000" w:themeColor="text1"/>
        </w:rPr>
        <w:t>umetne inteligence, baterij, dostopa do podatkov, zdravja, podnebja,</w:t>
      </w:r>
      <w:r>
        <w:rPr>
          <w:noProof/>
          <w:color w:val="000000" w:themeColor="text1"/>
        </w:rPr>
        <w:t xml:space="preserve"> </w:t>
      </w:r>
      <w:r>
        <w:rPr>
          <w:b/>
          <w:noProof/>
          <w:color w:val="000000" w:themeColor="text1"/>
        </w:rPr>
        <w:t>kmetijstva, razvoja podeželja, biotske raznovrstnosti</w:t>
      </w:r>
      <w:r>
        <w:rPr>
          <w:noProof/>
          <w:color w:val="000000" w:themeColor="text1"/>
        </w:rPr>
        <w:t xml:space="preserve">, </w:t>
      </w:r>
      <w:r>
        <w:rPr>
          <w:b/>
          <w:noProof/>
          <w:color w:val="000000" w:themeColor="text1"/>
        </w:rPr>
        <w:t>oceanov in odpornosti v zvezi z vodo</w:t>
      </w:r>
      <w:r>
        <w:rPr>
          <w:noProof/>
          <w:color w:val="000000" w:themeColor="text1"/>
        </w:rPr>
        <w:t>.</w:t>
      </w:r>
    </w:p>
    <w:sectPr w:rsidR="00094173" w:rsidRPr="005E08A9" w:rsidSect="00A75E58">
      <w:headerReference w:type="even" r:id="rId95"/>
      <w:headerReference w:type="default" r:id="rId96"/>
      <w:footerReference w:type="even" r:id="rId97"/>
      <w:footerReference w:type="default" r:id="rId98"/>
      <w:headerReference w:type="first" r:id="rId99"/>
      <w:footerReference w:type="first" r:id="rId100"/>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59F39" w14:textId="77777777" w:rsidR="00CA7B55" w:rsidRDefault="00CA7B55" w:rsidP="00517B47">
      <w:pPr>
        <w:spacing w:before="0" w:after="0"/>
      </w:pPr>
      <w:r>
        <w:separator/>
      </w:r>
    </w:p>
  </w:endnote>
  <w:endnote w:type="continuationSeparator" w:id="0">
    <w:p w14:paraId="407A1F26" w14:textId="77777777" w:rsidR="00CA7B55" w:rsidRDefault="00CA7B55" w:rsidP="00517B47">
      <w:pPr>
        <w:spacing w:before="0" w:after="0"/>
      </w:pPr>
      <w:r>
        <w:continuationSeparator/>
      </w:r>
    </w:p>
  </w:endnote>
  <w:endnote w:type="continuationNotice" w:id="1">
    <w:p w14:paraId="198615EC" w14:textId="77777777" w:rsidR="00CA7B55" w:rsidRDefault="00CA7B5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Aptos">
    <w:altName w:val="Arial"/>
    <w:panose1 w:val="00000000000000000000"/>
    <w:charset w:val="00"/>
    <w:family w:val="roman"/>
    <w:notTrueType/>
    <w:pitch w:val="default"/>
  </w:font>
  <w:font w:name="Times New Roman_MSFontService">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D5E4A" w14:textId="403F95EA" w:rsidR="00E4422D" w:rsidRPr="00E4422D" w:rsidRDefault="00E4422D" w:rsidP="00E4422D">
    <w:pPr>
      <w:pStyle w:val="FooterCoverPage"/>
      <w:rPr>
        <w:rFonts w:ascii="Arial" w:hAnsi="Arial" w:cs="Arial"/>
        <w:b/>
        <w:sz w:val="48"/>
      </w:rPr>
    </w:pPr>
    <w:r w:rsidRPr="00E4422D">
      <w:rPr>
        <w:rFonts w:ascii="Arial" w:hAnsi="Arial" w:cs="Arial"/>
        <w:b/>
        <w:sz w:val="48"/>
      </w:rPr>
      <w:t>SL</w:t>
    </w:r>
    <w:r w:rsidRPr="00E4422D">
      <w:rPr>
        <w:rFonts w:ascii="Arial" w:hAnsi="Arial" w:cs="Arial"/>
        <w:b/>
        <w:sz w:val="48"/>
      </w:rPr>
      <w:tab/>
    </w:r>
    <w:r w:rsidRPr="00E4422D">
      <w:rPr>
        <w:rFonts w:ascii="Arial" w:hAnsi="Arial" w:cs="Arial"/>
        <w:b/>
        <w:sz w:val="48"/>
      </w:rPr>
      <w:tab/>
    </w:r>
    <w:r w:rsidRPr="00E4422D">
      <w:tab/>
    </w:r>
    <w:r w:rsidRPr="00E4422D">
      <w:rPr>
        <w:rFonts w:ascii="Arial" w:hAnsi="Arial" w:cs="Arial"/>
        <w:b/>
        <w:sz w:val="48"/>
      </w:rP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CC3F7" w14:textId="07146DF4" w:rsidR="00E4422D" w:rsidRPr="00E4422D" w:rsidRDefault="00E4422D" w:rsidP="00E4422D">
    <w:pPr>
      <w:pStyle w:val="FooterCoverPage"/>
      <w:rPr>
        <w:rFonts w:ascii="Arial" w:hAnsi="Arial" w:cs="Arial"/>
        <w:b/>
        <w:sz w:val="48"/>
      </w:rPr>
    </w:pPr>
    <w:r w:rsidRPr="00E4422D">
      <w:rPr>
        <w:rFonts w:ascii="Arial" w:hAnsi="Arial" w:cs="Arial"/>
        <w:b/>
        <w:sz w:val="48"/>
      </w:rPr>
      <w:t>SL</w:t>
    </w:r>
    <w:r w:rsidRPr="00E4422D">
      <w:rPr>
        <w:rFonts w:ascii="Arial" w:hAnsi="Arial" w:cs="Arial"/>
        <w:b/>
        <w:sz w:val="48"/>
      </w:rPr>
      <w:tab/>
    </w:r>
    <w:r w:rsidRPr="00E4422D">
      <w:rPr>
        <w:rFonts w:ascii="Arial" w:hAnsi="Arial" w:cs="Arial"/>
        <w:b/>
        <w:sz w:val="48"/>
      </w:rPr>
      <w:tab/>
    </w:r>
    <w:r w:rsidRPr="00E4422D">
      <w:tab/>
    </w:r>
    <w:r w:rsidRPr="00E4422D">
      <w:rPr>
        <w:rFonts w:ascii="Arial" w:hAnsi="Arial" w:cs="Arial"/>
        <w:b/>
        <w:sz w:val="48"/>
      </w:rPr>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7C8B8" w14:textId="77777777" w:rsidR="00E4422D" w:rsidRPr="00E4422D" w:rsidRDefault="00E4422D" w:rsidP="00E4422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EF193" w14:textId="77777777" w:rsidR="00B808DD" w:rsidRDefault="00B808DD">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2D186" w14:textId="4472F962" w:rsidR="00724DAD" w:rsidRDefault="00724DAD">
    <w:pPr>
      <w:pStyle w:val="FooterLine"/>
      <w:jc w:val="center"/>
    </w:pPr>
    <w:r>
      <w:fldChar w:fldCharType="begin"/>
    </w:r>
    <w:r>
      <w:instrText>PAGE   \* MERGEFORMAT</w:instrText>
    </w:r>
    <w:r>
      <w:fldChar w:fldCharType="separate"/>
    </w:r>
    <w:r w:rsidR="00E4422D">
      <w:rPr>
        <w:noProof/>
      </w:rPr>
      <w:t>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42266" w14:textId="77777777" w:rsidR="002E1CD5" w:rsidRDefault="002E1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F082D" w14:textId="77777777" w:rsidR="00CA7B55" w:rsidRDefault="00CA7B55" w:rsidP="00517B47">
      <w:pPr>
        <w:spacing w:before="0" w:after="0"/>
      </w:pPr>
      <w:r>
        <w:separator/>
      </w:r>
    </w:p>
  </w:footnote>
  <w:footnote w:type="continuationSeparator" w:id="0">
    <w:p w14:paraId="7FE7728D" w14:textId="77777777" w:rsidR="00CA7B55" w:rsidRDefault="00CA7B55" w:rsidP="00517B47">
      <w:pPr>
        <w:spacing w:before="0" w:after="0"/>
      </w:pPr>
      <w:r>
        <w:continuationSeparator/>
      </w:r>
    </w:p>
  </w:footnote>
  <w:footnote w:type="continuationNotice" w:id="1">
    <w:p w14:paraId="62AA5691" w14:textId="77777777" w:rsidR="00CA7B55" w:rsidRDefault="00CA7B55">
      <w:pPr>
        <w:spacing w:before="0" w:after="0"/>
      </w:pPr>
    </w:p>
  </w:footnote>
  <w:footnote w:id="2">
    <w:p w14:paraId="6C33D74B" w14:textId="77777777" w:rsidR="00F96509" w:rsidRPr="00F10561" w:rsidRDefault="00F96509" w:rsidP="00F96509">
      <w:pPr>
        <w:pStyle w:val="FootnoteText"/>
      </w:pPr>
      <w:r>
        <w:rPr>
          <w:rStyle w:val="FootnoteReference"/>
        </w:rPr>
        <w:footnoteRef/>
      </w:r>
      <w:r>
        <w:t xml:space="preserve"> Število upravičenih predlogov, predloženih samo v okviru razpisov, ki so zaključeni in v celoti ocenjeni.</w:t>
      </w:r>
    </w:p>
  </w:footnote>
  <w:footnote w:id="3">
    <w:p w14:paraId="1BD73FB9" w14:textId="57356D26" w:rsidR="00F96509" w:rsidRPr="005F37BF" w:rsidRDefault="00F96509" w:rsidP="00F96509">
      <w:pPr>
        <w:pStyle w:val="FootnoteText"/>
      </w:pPr>
      <w:r>
        <w:rPr>
          <w:rStyle w:val="FootnoteReference"/>
        </w:rPr>
        <w:footnoteRef/>
      </w:r>
      <w:r>
        <w:t xml:space="preserve"> Instrument za mala in srednja podjetja ni vključen.</w:t>
      </w:r>
    </w:p>
  </w:footnote>
  <w:footnote w:id="4">
    <w:p w14:paraId="0F34EE58" w14:textId="7062C401" w:rsidR="00353AF7" w:rsidRPr="005E7B29" w:rsidRDefault="00353AF7">
      <w:pPr>
        <w:pStyle w:val="FootnoteText"/>
      </w:pPr>
      <w:r>
        <w:rPr>
          <w:rStyle w:val="FootnoteReference"/>
        </w:rPr>
        <w:footnoteRef/>
      </w:r>
      <w:r>
        <w:t xml:space="preserve"> Več informacij o podjetjih, podprtih iz sklada Evropskega sveta za inovacije, je na voljo v </w:t>
      </w:r>
      <w:hyperlink r:id="rId1" w:history="1">
        <w:r>
          <w:rPr>
            <w:rStyle w:val="Hyperlink"/>
          </w:rPr>
          <w:t>poročilu o učinkih za leto 2025 Evropskega sveta za inovacije</w:t>
        </w:r>
        <w:bookmarkStart w:id="6" w:name="_Hlt225512406"/>
        <w:bookmarkStart w:id="7" w:name="_Hlt225512407"/>
        <w:bookmarkEnd w:id="6"/>
        <w:bookmarkEnd w:id="7"/>
      </w:hyperlink>
      <w:r>
        <w:t>.</w:t>
      </w:r>
    </w:p>
  </w:footnote>
  <w:footnote w:id="5">
    <w:p w14:paraId="2BB47034" w14:textId="0A087E54" w:rsidR="00F96509" w:rsidRPr="00D51F74" w:rsidRDefault="00F96509" w:rsidP="00BC5951">
      <w:pPr>
        <w:pStyle w:val="FootnoteText"/>
        <w:ind w:left="0" w:firstLine="0"/>
      </w:pPr>
      <w:r>
        <w:rPr>
          <w:rStyle w:val="FootnoteReference"/>
        </w:rPr>
        <w:footnoteRef/>
      </w:r>
      <w:r>
        <w:t xml:space="preserve"> Navedeni podatek se nanaša samo na nepovratna sredstva za vzpostavitev skupnosti znanja in inovacij Evropskega inštituta za inovacije in tehnologijo, ki so odgovorne za izvajanje dejavnosti.</w:t>
      </w:r>
    </w:p>
  </w:footnote>
  <w:footnote w:id="6">
    <w:p w14:paraId="4441461E" w14:textId="717FB0A0" w:rsidR="00F96509" w:rsidRPr="000126EA" w:rsidRDefault="00F96509" w:rsidP="00F96509">
      <w:pPr>
        <w:pStyle w:val="FootnoteText"/>
      </w:pPr>
      <w:r>
        <w:rPr>
          <w:rStyle w:val="FootnoteReference"/>
        </w:rPr>
        <w:footnoteRef/>
      </w:r>
      <w:r>
        <w:t xml:space="preserve"> Od vseh posameznih udeležencev.</w:t>
      </w:r>
    </w:p>
  </w:footnote>
  <w:footnote w:id="7">
    <w:p w14:paraId="172BD4D4" w14:textId="6C077FA1" w:rsidR="00F96509" w:rsidRPr="00CC4511" w:rsidRDefault="00F96509" w:rsidP="00F96509">
      <w:pPr>
        <w:pStyle w:val="FootnoteText"/>
        <w:tabs>
          <w:tab w:val="left" w:pos="2509"/>
        </w:tabs>
        <w:ind w:left="0" w:firstLine="0"/>
      </w:pPr>
      <w:r>
        <w:rPr>
          <w:rStyle w:val="FootnoteReference"/>
        </w:rPr>
        <w:footnoteRef/>
      </w:r>
      <w:r>
        <w:t xml:space="preserve"> Samo države članice (Bolgarija, Češka, Estonija, Grčija, Hrvaška, Ciper, Latvija, Litva, Madžarska, Malta, Poljska, Portugalska, Romunija, Slovenija in Slovaška).</w:t>
      </w:r>
    </w:p>
  </w:footnote>
  <w:footnote w:id="8">
    <w:p w14:paraId="131DAB6A" w14:textId="77777777" w:rsidR="00F96509" w:rsidRPr="00D93E70" w:rsidRDefault="00F96509" w:rsidP="00F96509">
      <w:pPr>
        <w:pStyle w:val="FootnoteText"/>
      </w:pPr>
      <w:r>
        <w:rPr>
          <w:rStyle w:val="FootnoteReference"/>
        </w:rPr>
        <w:footnoteRef/>
      </w:r>
      <w:r>
        <w:t xml:space="preserve"> Pri izračunu nista upoštevana Skupno raziskovalno središče in Evropski inštitut za inovacije in tehnologijo. </w:t>
      </w:r>
    </w:p>
  </w:footnote>
  <w:footnote w:id="9">
    <w:p w14:paraId="7445C35E" w14:textId="76B82FE8" w:rsidR="00F96509" w:rsidRPr="000126EA" w:rsidRDefault="00F96509" w:rsidP="00F96509">
      <w:pPr>
        <w:pStyle w:val="FootnoteText"/>
      </w:pPr>
      <w:r>
        <w:rPr>
          <w:rStyle w:val="FootnoteReference"/>
        </w:rPr>
        <w:footnoteRef/>
      </w:r>
      <w:r>
        <w:t xml:space="preserve"> Institucionalizirana partnerstva na podlagi člena 187 PDEU.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999D7" w14:textId="77777777" w:rsidR="00E4422D" w:rsidRPr="00E4422D" w:rsidRDefault="00E4422D" w:rsidP="00E4422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A593D" w14:textId="77777777" w:rsidR="00E4422D" w:rsidRPr="00E4422D" w:rsidRDefault="00E4422D" w:rsidP="00E4422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01CEB" w14:textId="77777777" w:rsidR="00E4422D" w:rsidRPr="00E4422D" w:rsidRDefault="00E4422D" w:rsidP="00E4422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7E43" w14:textId="77777777" w:rsidR="00152F50" w:rsidRDefault="00152F5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DCD9E" w14:textId="77777777" w:rsidR="001C0138" w:rsidRDefault="001C013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28670" w14:textId="77777777" w:rsidR="000C0139" w:rsidRDefault="000C01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06263A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590BC0"/>
    <w:multiLevelType w:val="hybridMultilevel"/>
    <w:tmpl w:val="ECD40D9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631E0"/>
    <w:multiLevelType w:val="hybridMultilevel"/>
    <w:tmpl w:val="86225F24"/>
    <w:lvl w:ilvl="0" w:tplc="4790DB26">
      <w:start w:val="1"/>
      <w:numFmt w:val="bullet"/>
      <w:lvlText w:val=""/>
      <w:lvlJc w:val="left"/>
      <w:pPr>
        <w:ind w:left="720" w:hanging="360"/>
      </w:pPr>
      <w:rPr>
        <w:rFonts w:ascii="Symbol" w:hAnsi="Symbol" w:hint="default"/>
      </w:rPr>
    </w:lvl>
    <w:lvl w:ilvl="1" w:tplc="C922B58E">
      <w:start w:val="1"/>
      <w:numFmt w:val="bullet"/>
      <w:lvlText w:val="o"/>
      <w:lvlJc w:val="left"/>
      <w:pPr>
        <w:ind w:left="1440" w:hanging="360"/>
      </w:pPr>
      <w:rPr>
        <w:rFonts w:ascii="Courier New" w:hAnsi="Courier New" w:hint="default"/>
      </w:rPr>
    </w:lvl>
    <w:lvl w:ilvl="2" w:tplc="BF9657DE">
      <w:start w:val="1"/>
      <w:numFmt w:val="bullet"/>
      <w:lvlText w:val=""/>
      <w:lvlJc w:val="left"/>
      <w:pPr>
        <w:ind w:left="2160" w:hanging="360"/>
      </w:pPr>
      <w:rPr>
        <w:rFonts w:ascii="Wingdings" w:hAnsi="Wingdings" w:hint="default"/>
      </w:rPr>
    </w:lvl>
    <w:lvl w:ilvl="3" w:tplc="62DE46FE">
      <w:start w:val="1"/>
      <w:numFmt w:val="bullet"/>
      <w:lvlText w:val=""/>
      <w:lvlJc w:val="left"/>
      <w:pPr>
        <w:ind w:left="2880" w:hanging="360"/>
      </w:pPr>
      <w:rPr>
        <w:rFonts w:ascii="Symbol" w:hAnsi="Symbol" w:hint="default"/>
      </w:rPr>
    </w:lvl>
    <w:lvl w:ilvl="4" w:tplc="058661B4">
      <w:start w:val="1"/>
      <w:numFmt w:val="bullet"/>
      <w:lvlText w:val="o"/>
      <w:lvlJc w:val="left"/>
      <w:pPr>
        <w:ind w:left="3600" w:hanging="360"/>
      </w:pPr>
      <w:rPr>
        <w:rFonts w:ascii="Courier New" w:hAnsi="Courier New" w:hint="default"/>
      </w:rPr>
    </w:lvl>
    <w:lvl w:ilvl="5" w:tplc="A6245530">
      <w:start w:val="1"/>
      <w:numFmt w:val="bullet"/>
      <w:lvlText w:val=""/>
      <w:lvlJc w:val="left"/>
      <w:pPr>
        <w:ind w:left="4320" w:hanging="360"/>
      </w:pPr>
      <w:rPr>
        <w:rFonts w:ascii="Wingdings" w:hAnsi="Wingdings" w:hint="default"/>
      </w:rPr>
    </w:lvl>
    <w:lvl w:ilvl="6" w:tplc="7116D73C">
      <w:start w:val="1"/>
      <w:numFmt w:val="bullet"/>
      <w:lvlText w:val=""/>
      <w:lvlJc w:val="left"/>
      <w:pPr>
        <w:ind w:left="5040" w:hanging="360"/>
      </w:pPr>
      <w:rPr>
        <w:rFonts w:ascii="Symbol" w:hAnsi="Symbol" w:hint="default"/>
      </w:rPr>
    </w:lvl>
    <w:lvl w:ilvl="7" w:tplc="B47C979E">
      <w:start w:val="1"/>
      <w:numFmt w:val="bullet"/>
      <w:lvlText w:val="o"/>
      <w:lvlJc w:val="left"/>
      <w:pPr>
        <w:ind w:left="5760" w:hanging="360"/>
      </w:pPr>
      <w:rPr>
        <w:rFonts w:ascii="Courier New" w:hAnsi="Courier New" w:hint="default"/>
      </w:rPr>
    </w:lvl>
    <w:lvl w:ilvl="8" w:tplc="166A2042">
      <w:start w:val="1"/>
      <w:numFmt w:val="bullet"/>
      <w:lvlText w:val=""/>
      <w:lvlJc w:val="left"/>
      <w:pPr>
        <w:ind w:left="6480" w:hanging="360"/>
      </w:pPr>
      <w:rPr>
        <w:rFonts w:ascii="Wingdings" w:hAnsi="Wingdings" w:hint="default"/>
      </w:rPr>
    </w:lvl>
  </w:abstractNum>
  <w:abstractNum w:abstractNumId="3" w15:restartNumberingAfterBreak="0">
    <w:nsid w:val="094A4C44"/>
    <w:multiLevelType w:val="hybridMultilevel"/>
    <w:tmpl w:val="FFFFFFFF"/>
    <w:lvl w:ilvl="0" w:tplc="B2A6F664">
      <w:start w:val="1"/>
      <w:numFmt w:val="bullet"/>
      <w:lvlText w:val="§"/>
      <w:lvlJc w:val="left"/>
      <w:pPr>
        <w:ind w:left="720" w:hanging="360"/>
      </w:pPr>
      <w:rPr>
        <w:rFonts w:ascii="Wingdings" w:hAnsi="Wingdings" w:hint="default"/>
      </w:rPr>
    </w:lvl>
    <w:lvl w:ilvl="1" w:tplc="2200A040">
      <w:start w:val="1"/>
      <w:numFmt w:val="bullet"/>
      <w:lvlText w:val="o"/>
      <w:lvlJc w:val="left"/>
      <w:pPr>
        <w:ind w:left="1440" w:hanging="360"/>
      </w:pPr>
      <w:rPr>
        <w:rFonts w:ascii="Courier New" w:hAnsi="Courier New" w:hint="default"/>
      </w:rPr>
    </w:lvl>
    <w:lvl w:ilvl="2" w:tplc="32BCAC98">
      <w:start w:val="1"/>
      <w:numFmt w:val="bullet"/>
      <w:lvlText w:val=""/>
      <w:lvlJc w:val="left"/>
      <w:pPr>
        <w:ind w:left="2160" w:hanging="360"/>
      </w:pPr>
      <w:rPr>
        <w:rFonts w:ascii="Wingdings" w:hAnsi="Wingdings" w:hint="default"/>
      </w:rPr>
    </w:lvl>
    <w:lvl w:ilvl="3" w:tplc="C2220D5C">
      <w:start w:val="1"/>
      <w:numFmt w:val="bullet"/>
      <w:lvlText w:val=""/>
      <w:lvlJc w:val="left"/>
      <w:pPr>
        <w:ind w:left="2880" w:hanging="360"/>
      </w:pPr>
      <w:rPr>
        <w:rFonts w:ascii="Symbol" w:hAnsi="Symbol" w:hint="default"/>
      </w:rPr>
    </w:lvl>
    <w:lvl w:ilvl="4" w:tplc="C4E65900">
      <w:start w:val="1"/>
      <w:numFmt w:val="bullet"/>
      <w:lvlText w:val="o"/>
      <w:lvlJc w:val="left"/>
      <w:pPr>
        <w:ind w:left="3600" w:hanging="360"/>
      </w:pPr>
      <w:rPr>
        <w:rFonts w:ascii="Courier New" w:hAnsi="Courier New" w:hint="default"/>
      </w:rPr>
    </w:lvl>
    <w:lvl w:ilvl="5" w:tplc="DDAE14C8">
      <w:start w:val="1"/>
      <w:numFmt w:val="bullet"/>
      <w:lvlText w:val=""/>
      <w:lvlJc w:val="left"/>
      <w:pPr>
        <w:ind w:left="4320" w:hanging="360"/>
      </w:pPr>
      <w:rPr>
        <w:rFonts w:ascii="Wingdings" w:hAnsi="Wingdings" w:hint="default"/>
      </w:rPr>
    </w:lvl>
    <w:lvl w:ilvl="6" w:tplc="AEC66F94">
      <w:start w:val="1"/>
      <w:numFmt w:val="bullet"/>
      <w:lvlText w:val=""/>
      <w:lvlJc w:val="left"/>
      <w:pPr>
        <w:ind w:left="5040" w:hanging="360"/>
      </w:pPr>
      <w:rPr>
        <w:rFonts w:ascii="Symbol" w:hAnsi="Symbol" w:hint="default"/>
      </w:rPr>
    </w:lvl>
    <w:lvl w:ilvl="7" w:tplc="0738462E">
      <w:start w:val="1"/>
      <w:numFmt w:val="bullet"/>
      <w:lvlText w:val="o"/>
      <w:lvlJc w:val="left"/>
      <w:pPr>
        <w:ind w:left="5760" w:hanging="360"/>
      </w:pPr>
      <w:rPr>
        <w:rFonts w:ascii="Courier New" w:hAnsi="Courier New" w:hint="default"/>
      </w:rPr>
    </w:lvl>
    <w:lvl w:ilvl="8" w:tplc="E9D2BDA6">
      <w:start w:val="1"/>
      <w:numFmt w:val="bullet"/>
      <w:lvlText w:val=""/>
      <w:lvlJc w:val="left"/>
      <w:pPr>
        <w:ind w:left="6480" w:hanging="360"/>
      </w:pPr>
      <w:rPr>
        <w:rFonts w:ascii="Wingdings" w:hAnsi="Wingdings" w:hint="default"/>
      </w:rPr>
    </w:lvl>
  </w:abstractNum>
  <w:abstractNum w:abstractNumId="4" w15:restartNumberingAfterBreak="0">
    <w:nsid w:val="0A2900F7"/>
    <w:multiLevelType w:val="multilevel"/>
    <w:tmpl w:val="7444DB9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C537B31"/>
    <w:multiLevelType w:val="hybridMultilevel"/>
    <w:tmpl w:val="AD2AD2F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216538"/>
    <w:multiLevelType w:val="multilevel"/>
    <w:tmpl w:val="26BC6770"/>
    <w:lvl w:ilvl="0">
      <w:start w:val="1"/>
      <w:numFmt w:val="decimal"/>
      <w:pStyle w:val="HeaderSensitivityRight"/>
      <w:lvlText w:val="%1."/>
      <w:lvlJc w:val="left"/>
      <w:pPr>
        <w:ind w:left="502" w:hanging="360"/>
      </w:pPr>
      <w:rPr>
        <w:rFonts w:hint="default"/>
        <w:b/>
        <w:i w:val="0"/>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EFB7115"/>
    <w:multiLevelType w:val="multilevel"/>
    <w:tmpl w:val="0C2C547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0B7201"/>
    <w:multiLevelType w:val="multilevel"/>
    <w:tmpl w:val="00C4D5A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0B8345"/>
    <w:multiLevelType w:val="multilevel"/>
    <w:tmpl w:val="6540B2E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62685D"/>
    <w:multiLevelType w:val="multilevel"/>
    <w:tmpl w:val="3384B128"/>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43D0A16"/>
    <w:multiLevelType w:val="multilevel"/>
    <w:tmpl w:val="FE12A71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72F0AC5"/>
    <w:multiLevelType w:val="multilevel"/>
    <w:tmpl w:val="BFF4A5B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194E7930"/>
    <w:multiLevelType w:val="hybridMultilevel"/>
    <w:tmpl w:val="D2964DF2"/>
    <w:lvl w:ilvl="0" w:tplc="CFB86FA8">
      <w:start w:val="1"/>
      <w:numFmt w:val="lowerLetter"/>
      <w:lvlText w:val="%1)"/>
      <w:lvlJc w:val="left"/>
      <w:pPr>
        <w:ind w:left="1210" w:hanging="360"/>
      </w:pPr>
      <w:rPr>
        <w:rFonts w:hint="default"/>
        <w:lang w:val="en-GB"/>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4" w15:restartNumberingAfterBreak="0">
    <w:nsid w:val="1A1A6EFE"/>
    <w:multiLevelType w:val="hybridMultilevel"/>
    <w:tmpl w:val="4FA61270"/>
    <w:lvl w:ilvl="0" w:tplc="CB6C8E8E">
      <w:start w:val="1"/>
      <w:numFmt w:val="bullet"/>
      <w:lvlText w:val="·"/>
      <w:lvlJc w:val="left"/>
      <w:pPr>
        <w:ind w:left="-130" w:hanging="360"/>
      </w:pPr>
      <w:rPr>
        <w:rFonts w:ascii="Symbol" w:hAnsi="Symbol" w:hint="default"/>
      </w:rPr>
    </w:lvl>
    <w:lvl w:ilvl="1" w:tplc="7076BCBE">
      <w:start w:val="1"/>
      <w:numFmt w:val="bullet"/>
      <w:lvlText w:val="o"/>
      <w:lvlJc w:val="left"/>
      <w:pPr>
        <w:ind w:left="590" w:hanging="360"/>
      </w:pPr>
      <w:rPr>
        <w:rFonts w:ascii="Courier New" w:hAnsi="Courier New" w:hint="default"/>
      </w:rPr>
    </w:lvl>
    <w:lvl w:ilvl="2" w:tplc="5CD6ED30">
      <w:start w:val="1"/>
      <w:numFmt w:val="bullet"/>
      <w:lvlText w:val=""/>
      <w:lvlJc w:val="left"/>
      <w:pPr>
        <w:ind w:left="1310" w:hanging="360"/>
      </w:pPr>
      <w:rPr>
        <w:rFonts w:ascii="Wingdings" w:hAnsi="Wingdings" w:hint="default"/>
      </w:rPr>
    </w:lvl>
    <w:lvl w:ilvl="3" w:tplc="0A94454E">
      <w:start w:val="1"/>
      <w:numFmt w:val="bullet"/>
      <w:lvlText w:val=""/>
      <w:lvlJc w:val="left"/>
      <w:pPr>
        <w:ind w:left="2030" w:hanging="360"/>
      </w:pPr>
      <w:rPr>
        <w:rFonts w:ascii="Symbol" w:hAnsi="Symbol" w:hint="default"/>
      </w:rPr>
    </w:lvl>
    <w:lvl w:ilvl="4" w:tplc="36B65C00">
      <w:start w:val="1"/>
      <w:numFmt w:val="bullet"/>
      <w:lvlText w:val="o"/>
      <w:lvlJc w:val="left"/>
      <w:pPr>
        <w:ind w:left="2750" w:hanging="360"/>
      </w:pPr>
      <w:rPr>
        <w:rFonts w:ascii="Courier New" w:hAnsi="Courier New" w:hint="default"/>
      </w:rPr>
    </w:lvl>
    <w:lvl w:ilvl="5" w:tplc="D5A6C9B0">
      <w:start w:val="1"/>
      <w:numFmt w:val="bullet"/>
      <w:lvlText w:val=""/>
      <w:lvlJc w:val="left"/>
      <w:pPr>
        <w:ind w:left="3470" w:hanging="360"/>
      </w:pPr>
      <w:rPr>
        <w:rFonts w:ascii="Wingdings" w:hAnsi="Wingdings" w:hint="default"/>
      </w:rPr>
    </w:lvl>
    <w:lvl w:ilvl="6" w:tplc="22CE9EFC">
      <w:start w:val="1"/>
      <w:numFmt w:val="bullet"/>
      <w:lvlText w:val=""/>
      <w:lvlJc w:val="left"/>
      <w:pPr>
        <w:ind w:left="4190" w:hanging="360"/>
      </w:pPr>
      <w:rPr>
        <w:rFonts w:ascii="Symbol" w:hAnsi="Symbol" w:hint="default"/>
      </w:rPr>
    </w:lvl>
    <w:lvl w:ilvl="7" w:tplc="A7669D6C">
      <w:start w:val="1"/>
      <w:numFmt w:val="bullet"/>
      <w:lvlText w:val="o"/>
      <w:lvlJc w:val="left"/>
      <w:pPr>
        <w:ind w:left="4910" w:hanging="360"/>
      </w:pPr>
      <w:rPr>
        <w:rFonts w:ascii="Courier New" w:hAnsi="Courier New" w:hint="default"/>
      </w:rPr>
    </w:lvl>
    <w:lvl w:ilvl="8" w:tplc="B96C1DD0">
      <w:start w:val="1"/>
      <w:numFmt w:val="bullet"/>
      <w:lvlText w:val=""/>
      <w:lvlJc w:val="left"/>
      <w:pPr>
        <w:ind w:left="5630" w:hanging="360"/>
      </w:pPr>
      <w:rPr>
        <w:rFonts w:ascii="Wingdings" w:hAnsi="Wingdings" w:hint="default"/>
      </w:rPr>
    </w:lvl>
  </w:abstractNum>
  <w:abstractNum w:abstractNumId="15" w15:restartNumberingAfterBreak="0">
    <w:nsid w:val="1AD35267"/>
    <w:multiLevelType w:val="hybridMultilevel"/>
    <w:tmpl w:val="C084F9FA"/>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7B624F"/>
    <w:multiLevelType w:val="multilevel"/>
    <w:tmpl w:val="41A01D02"/>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1CB45724"/>
    <w:multiLevelType w:val="hybridMultilevel"/>
    <w:tmpl w:val="B128DECA"/>
    <w:lvl w:ilvl="0" w:tplc="08090001">
      <w:start w:val="1"/>
      <w:numFmt w:val="bullet"/>
      <w:lvlText w:val=""/>
      <w:lvlJc w:val="left"/>
      <w:pPr>
        <w:ind w:left="850" w:hanging="360"/>
      </w:pPr>
      <w:rPr>
        <w:rFonts w:ascii="Symbol" w:hAnsi="Symbo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18" w15:restartNumberingAfterBreak="0">
    <w:nsid w:val="24AF0002"/>
    <w:multiLevelType w:val="hybridMultilevel"/>
    <w:tmpl w:val="F07C56B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2C8DFDF8"/>
    <w:multiLevelType w:val="multilevel"/>
    <w:tmpl w:val="23806158"/>
    <w:name w:val="ListBullet2Numbering"/>
    <w:lvl w:ilvl="0">
      <w:start w:val="1"/>
      <w:numFmt w:val="bullet"/>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E3"/>
    <w:multiLevelType w:val="multilevel"/>
    <w:tmpl w:val="336E49A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2D293CF4"/>
    <w:multiLevelType w:val="multilevel"/>
    <w:tmpl w:val="E3D4FD1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2ED3529B"/>
    <w:multiLevelType w:val="hybridMultilevel"/>
    <w:tmpl w:val="FFFFFFFF"/>
    <w:lvl w:ilvl="0" w:tplc="DE68BDF8">
      <w:start w:val="1"/>
      <w:numFmt w:val="bullet"/>
      <w:lvlText w:val="·"/>
      <w:lvlJc w:val="left"/>
      <w:pPr>
        <w:ind w:left="720" w:hanging="360"/>
      </w:pPr>
      <w:rPr>
        <w:rFonts w:ascii="Symbol" w:hAnsi="Symbol" w:hint="default"/>
      </w:rPr>
    </w:lvl>
    <w:lvl w:ilvl="1" w:tplc="6792DA20">
      <w:start w:val="1"/>
      <w:numFmt w:val="bullet"/>
      <w:lvlText w:val="o"/>
      <w:lvlJc w:val="left"/>
      <w:pPr>
        <w:ind w:left="1440" w:hanging="360"/>
      </w:pPr>
      <w:rPr>
        <w:rFonts w:ascii="Courier New" w:hAnsi="Courier New" w:hint="default"/>
      </w:rPr>
    </w:lvl>
    <w:lvl w:ilvl="2" w:tplc="AF3E775A">
      <w:start w:val="1"/>
      <w:numFmt w:val="bullet"/>
      <w:lvlText w:val=""/>
      <w:lvlJc w:val="left"/>
      <w:pPr>
        <w:ind w:left="2160" w:hanging="360"/>
      </w:pPr>
      <w:rPr>
        <w:rFonts w:ascii="Wingdings" w:hAnsi="Wingdings" w:hint="default"/>
      </w:rPr>
    </w:lvl>
    <w:lvl w:ilvl="3" w:tplc="44C6C238">
      <w:start w:val="1"/>
      <w:numFmt w:val="bullet"/>
      <w:lvlText w:val=""/>
      <w:lvlJc w:val="left"/>
      <w:pPr>
        <w:ind w:left="2880" w:hanging="360"/>
      </w:pPr>
      <w:rPr>
        <w:rFonts w:ascii="Symbol" w:hAnsi="Symbol" w:hint="default"/>
      </w:rPr>
    </w:lvl>
    <w:lvl w:ilvl="4" w:tplc="603C47F0">
      <w:start w:val="1"/>
      <w:numFmt w:val="bullet"/>
      <w:lvlText w:val="o"/>
      <w:lvlJc w:val="left"/>
      <w:pPr>
        <w:ind w:left="3600" w:hanging="360"/>
      </w:pPr>
      <w:rPr>
        <w:rFonts w:ascii="Courier New" w:hAnsi="Courier New" w:hint="default"/>
      </w:rPr>
    </w:lvl>
    <w:lvl w:ilvl="5" w:tplc="5352CA32">
      <w:start w:val="1"/>
      <w:numFmt w:val="bullet"/>
      <w:lvlText w:val=""/>
      <w:lvlJc w:val="left"/>
      <w:pPr>
        <w:ind w:left="4320" w:hanging="360"/>
      </w:pPr>
      <w:rPr>
        <w:rFonts w:ascii="Wingdings" w:hAnsi="Wingdings" w:hint="default"/>
      </w:rPr>
    </w:lvl>
    <w:lvl w:ilvl="6" w:tplc="5B041B6C">
      <w:start w:val="1"/>
      <w:numFmt w:val="bullet"/>
      <w:lvlText w:val=""/>
      <w:lvlJc w:val="left"/>
      <w:pPr>
        <w:ind w:left="5040" w:hanging="360"/>
      </w:pPr>
      <w:rPr>
        <w:rFonts w:ascii="Symbol" w:hAnsi="Symbol" w:hint="default"/>
      </w:rPr>
    </w:lvl>
    <w:lvl w:ilvl="7" w:tplc="631ED890">
      <w:start w:val="1"/>
      <w:numFmt w:val="bullet"/>
      <w:lvlText w:val="o"/>
      <w:lvlJc w:val="left"/>
      <w:pPr>
        <w:ind w:left="5760" w:hanging="360"/>
      </w:pPr>
      <w:rPr>
        <w:rFonts w:ascii="Courier New" w:hAnsi="Courier New" w:hint="default"/>
      </w:rPr>
    </w:lvl>
    <w:lvl w:ilvl="8" w:tplc="A06AA59C">
      <w:start w:val="1"/>
      <w:numFmt w:val="bullet"/>
      <w:lvlText w:val=""/>
      <w:lvlJc w:val="left"/>
      <w:pPr>
        <w:ind w:left="6480" w:hanging="360"/>
      </w:pPr>
      <w:rPr>
        <w:rFonts w:ascii="Wingdings" w:hAnsi="Wingdings" w:hint="default"/>
      </w:rPr>
    </w:lvl>
  </w:abstractNum>
  <w:abstractNum w:abstractNumId="24" w15:restartNumberingAfterBreak="0">
    <w:nsid w:val="30950501"/>
    <w:multiLevelType w:val="hybridMultilevel"/>
    <w:tmpl w:val="02CA8058"/>
    <w:lvl w:ilvl="0" w:tplc="18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5" w15:restartNumberingAfterBreak="0">
    <w:nsid w:val="358A37E1"/>
    <w:multiLevelType w:val="hybridMultilevel"/>
    <w:tmpl w:val="FC7223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6324F1E"/>
    <w:multiLevelType w:val="multilevel"/>
    <w:tmpl w:val="95C4F95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7CB1E1C"/>
    <w:multiLevelType w:val="multilevel"/>
    <w:tmpl w:val="4972EC5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38526BEA"/>
    <w:multiLevelType w:val="hybridMultilevel"/>
    <w:tmpl w:val="75825C92"/>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30" w15:restartNumberingAfterBreak="0">
    <w:nsid w:val="3A7730C4"/>
    <w:multiLevelType w:val="multilevel"/>
    <w:tmpl w:val="E1AE5C2C"/>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3C02C37D"/>
    <w:multiLevelType w:val="hybridMultilevel"/>
    <w:tmpl w:val="FFFFFFFF"/>
    <w:lvl w:ilvl="0" w:tplc="8D6CCF34">
      <w:start w:val="1"/>
      <w:numFmt w:val="bullet"/>
      <w:lvlText w:val="§"/>
      <w:lvlJc w:val="left"/>
      <w:pPr>
        <w:ind w:left="720" w:hanging="360"/>
      </w:pPr>
      <w:rPr>
        <w:rFonts w:ascii="Wingdings" w:hAnsi="Wingdings" w:hint="default"/>
      </w:rPr>
    </w:lvl>
    <w:lvl w:ilvl="1" w:tplc="8938B6E0">
      <w:start w:val="1"/>
      <w:numFmt w:val="bullet"/>
      <w:lvlText w:val="o"/>
      <w:lvlJc w:val="left"/>
      <w:pPr>
        <w:ind w:left="1440" w:hanging="360"/>
      </w:pPr>
      <w:rPr>
        <w:rFonts w:ascii="Courier New" w:hAnsi="Courier New" w:hint="default"/>
      </w:rPr>
    </w:lvl>
    <w:lvl w:ilvl="2" w:tplc="2006D3D8">
      <w:start w:val="1"/>
      <w:numFmt w:val="bullet"/>
      <w:lvlText w:val=""/>
      <w:lvlJc w:val="left"/>
      <w:pPr>
        <w:ind w:left="2160" w:hanging="360"/>
      </w:pPr>
      <w:rPr>
        <w:rFonts w:ascii="Wingdings" w:hAnsi="Wingdings" w:hint="default"/>
      </w:rPr>
    </w:lvl>
    <w:lvl w:ilvl="3" w:tplc="99748EFA">
      <w:start w:val="1"/>
      <w:numFmt w:val="bullet"/>
      <w:lvlText w:val=""/>
      <w:lvlJc w:val="left"/>
      <w:pPr>
        <w:ind w:left="2880" w:hanging="360"/>
      </w:pPr>
      <w:rPr>
        <w:rFonts w:ascii="Symbol" w:hAnsi="Symbol" w:hint="default"/>
      </w:rPr>
    </w:lvl>
    <w:lvl w:ilvl="4" w:tplc="732484D4">
      <w:start w:val="1"/>
      <w:numFmt w:val="bullet"/>
      <w:lvlText w:val="o"/>
      <w:lvlJc w:val="left"/>
      <w:pPr>
        <w:ind w:left="3600" w:hanging="360"/>
      </w:pPr>
      <w:rPr>
        <w:rFonts w:ascii="Courier New" w:hAnsi="Courier New" w:hint="default"/>
      </w:rPr>
    </w:lvl>
    <w:lvl w:ilvl="5" w:tplc="4E44E79E">
      <w:start w:val="1"/>
      <w:numFmt w:val="bullet"/>
      <w:lvlText w:val=""/>
      <w:lvlJc w:val="left"/>
      <w:pPr>
        <w:ind w:left="4320" w:hanging="360"/>
      </w:pPr>
      <w:rPr>
        <w:rFonts w:ascii="Wingdings" w:hAnsi="Wingdings" w:hint="default"/>
      </w:rPr>
    </w:lvl>
    <w:lvl w:ilvl="6" w:tplc="54F6D1AC">
      <w:start w:val="1"/>
      <w:numFmt w:val="bullet"/>
      <w:lvlText w:val=""/>
      <w:lvlJc w:val="left"/>
      <w:pPr>
        <w:ind w:left="5040" w:hanging="360"/>
      </w:pPr>
      <w:rPr>
        <w:rFonts w:ascii="Symbol" w:hAnsi="Symbol" w:hint="default"/>
      </w:rPr>
    </w:lvl>
    <w:lvl w:ilvl="7" w:tplc="3258BB1A">
      <w:start w:val="1"/>
      <w:numFmt w:val="bullet"/>
      <w:lvlText w:val="o"/>
      <w:lvlJc w:val="left"/>
      <w:pPr>
        <w:ind w:left="5760" w:hanging="360"/>
      </w:pPr>
      <w:rPr>
        <w:rFonts w:ascii="Courier New" w:hAnsi="Courier New" w:hint="default"/>
      </w:rPr>
    </w:lvl>
    <w:lvl w:ilvl="8" w:tplc="703AC0D8">
      <w:start w:val="1"/>
      <w:numFmt w:val="bullet"/>
      <w:lvlText w:val=""/>
      <w:lvlJc w:val="left"/>
      <w:pPr>
        <w:ind w:left="6480" w:hanging="360"/>
      </w:pPr>
      <w:rPr>
        <w:rFonts w:ascii="Wingdings" w:hAnsi="Wingdings" w:hint="default"/>
      </w:rPr>
    </w:lvl>
  </w:abstractNum>
  <w:abstractNum w:abstractNumId="33" w15:restartNumberingAfterBreak="0">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34" w15:restartNumberingAfterBreak="0">
    <w:nsid w:val="3EE464FD"/>
    <w:multiLevelType w:val="hybridMultilevel"/>
    <w:tmpl w:val="082AA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1F1A49"/>
    <w:multiLevelType w:val="multilevel"/>
    <w:tmpl w:val="2E9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BC11F1"/>
    <w:multiLevelType w:val="hybridMultilevel"/>
    <w:tmpl w:val="F47A9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29E662A"/>
    <w:multiLevelType w:val="multilevel"/>
    <w:tmpl w:val="83D2923E"/>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8" w15:restartNumberingAfterBreak="0">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9" w15:restartNumberingAfterBreak="0">
    <w:nsid w:val="4D9D5169"/>
    <w:multiLevelType w:val="hybridMultilevel"/>
    <w:tmpl w:val="DF160B5C"/>
    <w:lvl w:ilvl="0" w:tplc="43FEBFA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1A63DF"/>
    <w:multiLevelType w:val="multilevel"/>
    <w:tmpl w:val="3A08B00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4E1A982C"/>
    <w:multiLevelType w:val="multilevel"/>
    <w:tmpl w:val="64A8E49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5072619B"/>
    <w:multiLevelType w:val="multilevel"/>
    <w:tmpl w:val="BD52A63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3" w15:restartNumberingAfterBreak="0">
    <w:nsid w:val="50729B52"/>
    <w:multiLevelType w:val="multilevel"/>
    <w:tmpl w:val="06C8663C"/>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4" w15:restartNumberingAfterBreak="0">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5" w15:restartNumberingAfterBreak="0">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46" w15:restartNumberingAfterBreak="0">
    <w:nsid w:val="5CE0DCD5"/>
    <w:multiLevelType w:val="hybridMultilevel"/>
    <w:tmpl w:val="B838E1C0"/>
    <w:lvl w:ilvl="0" w:tplc="FCE695DA">
      <w:start w:val="1"/>
      <w:numFmt w:val="bullet"/>
      <w:lvlText w:val="·"/>
      <w:lvlJc w:val="left"/>
      <w:pPr>
        <w:ind w:left="-130" w:hanging="360"/>
      </w:pPr>
      <w:rPr>
        <w:rFonts w:ascii="Symbol" w:hAnsi="Symbol" w:hint="default"/>
      </w:rPr>
    </w:lvl>
    <w:lvl w:ilvl="1" w:tplc="31DA0096">
      <w:start w:val="1"/>
      <w:numFmt w:val="bullet"/>
      <w:lvlText w:val="o"/>
      <w:lvlJc w:val="left"/>
      <w:pPr>
        <w:ind w:left="590" w:hanging="360"/>
      </w:pPr>
      <w:rPr>
        <w:rFonts w:ascii="Courier New" w:hAnsi="Courier New" w:hint="default"/>
      </w:rPr>
    </w:lvl>
    <w:lvl w:ilvl="2" w:tplc="BA6C72B2">
      <w:start w:val="1"/>
      <w:numFmt w:val="bullet"/>
      <w:lvlText w:val=""/>
      <w:lvlJc w:val="left"/>
      <w:pPr>
        <w:ind w:left="1310" w:hanging="360"/>
      </w:pPr>
      <w:rPr>
        <w:rFonts w:ascii="Wingdings" w:hAnsi="Wingdings" w:hint="default"/>
      </w:rPr>
    </w:lvl>
    <w:lvl w:ilvl="3" w:tplc="890AB220">
      <w:start w:val="1"/>
      <w:numFmt w:val="bullet"/>
      <w:lvlText w:val=""/>
      <w:lvlJc w:val="left"/>
      <w:pPr>
        <w:ind w:left="2030" w:hanging="360"/>
      </w:pPr>
      <w:rPr>
        <w:rFonts w:ascii="Symbol" w:hAnsi="Symbol" w:hint="default"/>
      </w:rPr>
    </w:lvl>
    <w:lvl w:ilvl="4" w:tplc="10724E8E">
      <w:start w:val="1"/>
      <w:numFmt w:val="bullet"/>
      <w:lvlText w:val="o"/>
      <w:lvlJc w:val="left"/>
      <w:pPr>
        <w:ind w:left="2750" w:hanging="360"/>
      </w:pPr>
      <w:rPr>
        <w:rFonts w:ascii="Courier New" w:hAnsi="Courier New" w:hint="default"/>
      </w:rPr>
    </w:lvl>
    <w:lvl w:ilvl="5" w:tplc="0816ADBA">
      <w:start w:val="1"/>
      <w:numFmt w:val="bullet"/>
      <w:lvlText w:val=""/>
      <w:lvlJc w:val="left"/>
      <w:pPr>
        <w:ind w:left="3470" w:hanging="360"/>
      </w:pPr>
      <w:rPr>
        <w:rFonts w:ascii="Wingdings" w:hAnsi="Wingdings" w:hint="default"/>
      </w:rPr>
    </w:lvl>
    <w:lvl w:ilvl="6" w:tplc="55889D84">
      <w:start w:val="1"/>
      <w:numFmt w:val="bullet"/>
      <w:lvlText w:val=""/>
      <w:lvlJc w:val="left"/>
      <w:pPr>
        <w:ind w:left="4190" w:hanging="360"/>
      </w:pPr>
      <w:rPr>
        <w:rFonts w:ascii="Symbol" w:hAnsi="Symbol" w:hint="default"/>
      </w:rPr>
    </w:lvl>
    <w:lvl w:ilvl="7" w:tplc="7FF4219E">
      <w:start w:val="1"/>
      <w:numFmt w:val="bullet"/>
      <w:lvlText w:val="o"/>
      <w:lvlJc w:val="left"/>
      <w:pPr>
        <w:ind w:left="4910" w:hanging="360"/>
      </w:pPr>
      <w:rPr>
        <w:rFonts w:ascii="Courier New" w:hAnsi="Courier New" w:hint="default"/>
      </w:rPr>
    </w:lvl>
    <w:lvl w:ilvl="8" w:tplc="0CDE1D6C">
      <w:start w:val="1"/>
      <w:numFmt w:val="bullet"/>
      <w:lvlText w:val=""/>
      <w:lvlJc w:val="left"/>
      <w:pPr>
        <w:ind w:left="5630" w:hanging="360"/>
      </w:pPr>
      <w:rPr>
        <w:rFonts w:ascii="Wingdings" w:hAnsi="Wingdings" w:hint="default"/>
      </w:rPr>
    </w:lvl>
  </w:abstractNum>
  <w:abstractNum w:abstractNumId="47" w15:restartNumberingAfterBreak="0">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8" w15:restartNumberingAfterBreak="0">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9" w15:restartNumberingAfterBreak="0">
    <w:nsid w:val="5FF46F51"/>
    <w:multiLevelType w:val="hybridMultilevel"/>
    <w:tmpl w:val="8F842EBE"/>
    <w:lvl w:ilvl="0" w:tplc="D7E29A94">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51" w15:restartNumberingAfterBreak="0">
    <w:nsid w:val="6604A5BF"/>
    <w:multiLevelType w:val="hybridMultilevel"/>
    <w:tmpl w:val="2D58FA0C"/>
    <w:lvl w:ilvl="0" w:tplc="2C0889C6">
      <w:start w:val="1"/>
      <w:numFmt w:val="bullet"/>
      <w:lvlText w:val=""/>
      <w:lvlJc w:val="left"/>
      <w:pPr>
        <w:ind w:left="720" w:hanging="360"/>
      </w:pPr>
      <w:rPr>
        <w:rFonts w:ascii="Symbol" w:hAnsi="Symbol" w:hint="default"/>
      </w:rPr>
    </w:lvl>
    <w:lvl w:ilvl="1" w:tplc="D5687C54">
      <w:start w:val="1"/>
      <w:numFmt w:val="bullet"/>
      <w:lvlText w:val="o"/>
      <w:lvlJc w:val="left"/>
      <w:pPr>
        <w:ind w:left="1440" w:hanging="360"/>
      </w:pPr>
      <w:rPr>
        <w:rFonts w:ascii="Courier New" w:hAnsi="Courier New" w:hint="default"/>
      </w:rPr>
    </w:lvl>
    <w:lvl w:ilvl="2" w:tplc="20EA3ABC">
      <w:start w:val="1"/>
      <w:numFmt w:val="bullet"/>
      <w:lvlText w:val=""/>
      <w:lvlJc w:val="left"/>
      <w:pPr>
        <w:ind w:left="2160" w:hanging="360"/>
      </w:pPr>
      <w:rPr>
        <w:rFonts w:ascii="Wingdings" w:hAnsi="Wingdings" w:hint="default"/>
      </w:rPr>
    </w:lvl>
    <w:lvl w:ilvl="3" w:tplc="ADA0446C">
      <w:start w:val="1"/>
      <w:numFmt w:val="bullet"/>
      <w:lvlText w:val=""/>
      <w:lvlJc w:val="left"/>
      <w:pPr>
        <w:ind w:left="2880" w:hanging="360"/>
      </w:pPr>
      <w:rPr>
        <w:rFonts w:ascii="Symbol" w:hAnsi="Symbol" w:hint="default"/>
      </w:rPr>
    </w:lvl>
    <w:lvl w:ilvl="4" w:tplc="3EF6F1AE">
      <w:start w:val="1"/>
      <w:numFmt w:val="bullet"/>
      <w:lvlText w:val="o"/>
      <w:lvlJc w:val="left"/>
      <w:pPr>
        <w:ind w:left="3600" w:hanging="360"/>
      </w:pPr>
      <w:rPr>
        <w:rFonts w:ascii="Courier New" w:hAnsi="Courier New" w:hint="default"/>
      </w:rPr>
    </w:lvl>
    <w:lvl w:ilvl="5" w:tplc="2B78F5D4">
      <w:start w:val="1"/>
      <w:numFmt w:val="bullet"/>
      <w:lvlText w:val=""/>
      <w:lvlJc w:val="left"/>
      <w:pPr>
        <w:ind w:left="4320" w:hanging="360"/>
      </w:pPr>
      <w:rPr>
        <w:rFonts w:ascii="Wingdings" w:hAnsi="Wingdings" w:hint="default"/>
      </w:rPr>
    </w:lvl>
    <w:lvl w:ilvl="6" w:tplc="4CFCC696">
      <w:start w:val="1"/>
      <w:numFmt w:val="bullet"/>
      <w:lvlText w:val=""/>
      <w:lvlJc w:val="left"/>
      <w:pPr>
        <w:ind w:left="5040" w:hanging="360"/>
      </w:pPr>
      <w:rPr>
        <w:rFonts w:ascii="Symbol" w:hAnsi="Symbol" w:hint="default"/>
      </w:rPr>
    </w:lvl>
    <w:lvl w:ilvl="7" w:tplc="E0909D08">
      <w:start w:val="1"/>
      <w:numFmt w:val="bullet"/>
      <w:lvlText w:val="o"/>
      <w:lvlJc w:val="left"/>
      <w:pPr>
        <w:ind w:left="5760" w:hanging="360"/>
      </w:pPr>
      <w:rPr>
        <w:rFonts w:ascii="Courier New" w:hAnsi="Courier New" w:hint="default"/>
      </w:rPr>
    </w:lvl>
    <w:lvl w:ilvl="8" w:tplc="D9F4E46C">
      <w:start w:val="1"/>
      <w:numFmt w:val="bullet"/>
      <w:lvlText w:val=""/>
      <w:lvlJc w:val="left"/>
      <w:pPr>
        <w:ind w:left="6480" w:hanging="360"/>
      </w:pPr>
      <w:rPr>
        <w:rFonts w:ascii="Wingdings" w:hAnsi="Wingdings" w:hint="default"/>
      </w:rPr>
    </w:lvl>
  </w:abstractNum>
  <w:abstractNum w:abstractNumId="52" w15:restartNumberingAfterBreak="0">
    <w:nsid w:val="693F719A"/>
    <w:multiLevelType w:val="multilevel"/>
    <w:tmpl w:val="DAA8D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977472E"/>
    <w:multiLevelType w:val="multilevel"/>
    <w:tmpl w:val="B03699F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4" w15:restartNumberingAfterBreak="0">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55" w15:restartNumberingAfterBreak="0">
    <w:nsid w:val="6E21654A"/>
    <w:multiLevelType w:val="hybridMultilevel"/>
    <w:tmpl w:val="17F0DBD8"/>
    <w:lvl w:ilvl="0" w:tplc="A2BC9158">
      <w:start w:val="1"/>
      <w:numFmt w:val="bullet"/>
      <w:lvlText w:val="Ø"/>
      <w:lvlJc w:val="left"/>
      <w:pPr>
        <w:ind w:left="720" w:hanging="360"/>
      </w:pPr>
      <w:rPr>
        <w:rFonts w:ascii="Wingdings" w:hAnsi="Wingdings" w:hint="default"/>
      </w:rPr>
    </w:lvl>
    <w:lvl w:ilvl="1" w:tplc="46F6DD66">
      <w:start w:val="1"/>
      <w:numFmt w:val="bullet"/>
      <w:lvlText w:val="o"/>
      <w:lvlJc w:val="left"/>
      <w:pPr>
        <w:ind w:left="1440" w:hanging="360"/>
      </w:pPr>
      <w:rPr>
        <w:rFonts w:ascii="Courier New" w:hAnsi="Courier New" w:hint="default"/>
      </w:rPr>
    </w:lvl>
    <w:lvl w:ilvl="2" w:tplc="43961E8E">
      <w:start w:val="1"/>
      <w:numFmt w:val="bullet"/>
      <w:lvlText w:val=""/>
      <w:lvlJc w:val="left"/>
      <w:pPr>
        <w:ind w:left="2160" w:hanging="360"/>
      </w:pPr>
      <w:rPr>
        <w:rFonts w:ascii="Wingdings" w:hAnsi="Wingdings" w:hint="default"/>
      </w:rPr>
    </w:lvl>
    <w:lvl w:ilvl="3" w:tplc="AE324920">
      <w:start w:val="1"/>
      <w:numFmt w:val="bullet"/>
      <w:lvlText w:val=""/>
      <w:lvlJc w:val="left"/>
      <w:pPr>
        <w:ind w:left="2880" w:hanging="360"/>
      </w:pPr>
      <w:rPr>
        <w:rFonts w:ascii="Symbol" w:hAnsi="Symbol" w:hint="default"/>
      </w:rPr>
    </w:lvl>
    <w:lvl w:ilvl="4" w:tplc="9CB66822">
      <w:start w:val="1"/>
      <w:numFmt w:val="bullet"/>
      <w:lvlText w:val="o"/>
      <w:lvlJc w:val="left"/>
      <w:pPr>
        <w:ind w:left="3600" w:hanging="360"/>
      </w:pPr>
      <w:rPr>
        <w:rFonts w:ascii="Courier New" w:hAnsi="Courier New" w:hint="default"/>
      </w:rPr>
    </w:lvl>
    <w:lvl w:ilvl="5" w:tplc="446C4FE2">
      <w:start w:val="1"/>
      <w:numFmt w:val="bullet"/>
      <w:lvlText w:val=""/>
      <w:lvlJc w:val="left"/>
      <w:pPr>
        <w:ind w:left="4320" w:hanging="360"/>
      </w:pPr>
      <w:rPr>
        <w:rFonts w:ascii="Wingdings" w:hAnsi="Wingdings" w:hint="default"/>
      </w:rPr>
    </w:lvl>
    <w:lvl w:ilvl="6" w:tplc="01127868">
      <w:start w:val="1"/>
      <w:numFmt w:val="bullet"/>
      <w:lvlText w:val=""/>
      <w:lvlJc w:val="left"/>
      <w:pPr>
        <w:ind w:left="5040" w:hanging="360"/>
      </w:pPr>
      <w:rPr>
        <w:rFonts w:ascii="Symbol" w:hAnsi="Symbol" w:hint="default"/>
      </w:rPr>
    </w:lvl>
    <w:lvl w:ilvl="7" w:tplc="A8CE9372">
      <w:start w:val="1"/>
      <w:numFmt w:val="bullet"/>
      <w:lvlText w:val="o"/>
      <w:lvlJc w:val="left"/>
      <w:pPr>
        <w:ind w:left="5760" w:hanging="360"/>
      </w:pPr>
      <w:rPr>
        <w:rFonts w:ascii="Courier New" w:hAnsi="Courier New" w:hint="default"/>
      </w:rPr>
    </w:lvl>
    <w:lvl w:ilvl="8" w:tplc="F67C7C72">
      <w:start w:val="1"/>
      <w:numFmt w:val="bullet"/>
      <w:lvlText w:val=""/>
      <w:lvlJc w:val="left"/>
      <w:pPr>
        <w:ind w:left="6480" w:hanging="360"/>
      </w:pPr>
      <w:rPr>
        <w:rFonts w:ascii="Wingdings" w:hAnsi="Wingdings" w:hint="default"/>
      </w:rPr>
    </w:lvl>
  </w:abstractNum>
  <w:abstractNum w:abstractNumId="56"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71BE5FE0"/>
    <w:multiLevelType w:val="hybridMultilevel"/>
    <w:tmpl w:val="C4FEDE66"/>
    <w:lvl w:ilvl="0" w:tplc="7B886D00">
      <w:start w:val="1"/>
      <w:numFmt w:val="decimal"/>
      <w:lvlText w:val="%1."/>
      <w:lvlJc w:val="left"/>
      <w:pPr>
        <w:ind w:left="720" w:hanging="360"/>
      </w:pPr>
    </w:lvl>
    <w:lvl w:ilvl="1" w:tplc="F6D01ED6">
      <w:start w:val="1"/>
      <w:numFmt w:val="lowerLetter"/>
      <w:lvlText w:val="%2."/>
      <w:lvlJc w:val="left"/>
      <w:pPr>
        <w:ind w:left="1440" w:hanging="360"/>
      </w:pPr>
    </w:lvl>
    <w:lvl w:ilvl="2" w:tplc="49AA8E06">
      <w:start w:val="1"/>
      <w:numFmt w:val="lowerRoman"/>
      <w:lvlText w:val="%3."/>
      <w:lvlJc w:val="right"/>
      <w:pPr>
        <w:ind w:left="2160" w:hanging="180"/>
      </w:pPr>
    </w:lvl>
    <w:lvl w:ilvl="3" w:tplc="05BAFFB0">
      <w:start w:val="1"/>
      <w:numFmt w:val="decimal"/>
      <w:lvlText w:val="%4."/>
      <w:lvlJc w:val="left"/>
      <w:pPr>
        <w:ind w:left="2880" w:hanging="360"/>
      </w:pPr>
    </w:lvl>
    <w:lvl w:ilvl="4" w:tplc="94A4DD78">
      <w:start w:val="1"/>
      <w:numFmt w:val="lowerLetter"/>
      <w:lvlText w:val="%5."/>
      <w:lvlJc w:val="left"/>
      <w:pPr>
        <w:ind w:left="3600" w:hanging="360"/>
      </w:pPr>
    </w:lvl>
    <w:lvl w:ilvl="5" w:tplc="099859F4">
      <w:start w:val="1"/>
      <w:numFmt w:val="lowerRoman"/>
      <w:lvlText w:val="%6."/>
      <w:lvlJc w:val="right"/>
      <w:pPr>
        <w:ind w:left="4320" w:hanging="180"/>
      </w:pPr>
    </w:lvl>
    <w:lvl w:ilvl="6" w:tplc="6A7C8348">
      <w:start w:val="1"/>
      <w:numFmt w:val="decimal"/>
      <w:lvlText w:val="%7."/>
      <w:lvlJc w:val="left"/>
      <w:pPr>
        <w:ind w:left="5040" w:hanging="360"/>
      </w:pPr>
    </w:lvl>
    <w:lvl w:ilvl="7" w:tplc="CDF85C6A">
      <w:start w:val="1"/>
      <w:numFmt w:val="lowerLetter"/>
      <w:lvlText w:val="%8."/>
      <w:lvlJc w:val="left"/>
      <w:pPr>
        <w:ind w:left="5760" w:hanging="360"/>
      </w:pPr>
    </w:lvl>
    <w:lvl w:ilvl="8" w:tplc="C8F05C2E">
      <w:start w:val="1"/>
      <w:numFmt w:val="lowerRoman"/>
      <w:lvlText w:val="%9."/>
      <w:lvlJc w:val="right"/>
      <w:pPr>
        <w:ind w:left="6480" w:hanging="180"/>
      </w:pPr>
    </w:lvl>
  </w:abstractNum>
  <w:abstractNum w:abstractNumId="58" w15:restartNumberingAfterBreak="0">
    <w:nsid w:val="74A4128C"/>
    <w:multiLevelType w:val="hybridMultilevel"/>
    <w:tmpl w:val="6A326B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4D92B67"/>
    <w:multiLevelType w:val="hybridMultilevel"/>
    <w:tmpl w:val="4E5A41A2"/>
    <w:lvl w:ilvl="0" w:tplc="454AB5FA">
      <w:start w:val="1"/>
      <w:numFmt w:val="bullet"/>
      <w:lvlText w:val=""/>
      <w:lvlJc w:val="left"/>
      <w:pPr>
        <w:ind w:left="720" w:hanging="360"/>
      </w:pPr>
      <w:rPr>
        <w:rFonts w:ascii="Symbol" w:hAnsi="Symbol" w:hint="default"/>
      </w:rPr>
    </w:lvl>
    <w:lvl w:ilvl="1" w:tplc="AA52A150">
      <w:start w:val="1"/>
      <w:numFmt w:val="bullet"/>
      <w:lvlText w:val="o"/>
      <w:lvlJc w:val="left"/>
      <w:pPr>
        <w:ind w:left="1440" w:hanging="360"/>
      </w:pPr>
      <w:rPr>
        <w:rFonts w:ascii="Courier New" w:hAnsi="Courier New" w:hint="default"/>
      </w:rPr>
    </w:lvl>
    <w:lvl w:ilvl="2" w:tplc="ED42AA7E">
      <w:start w:val="1"/>
      <w:numFmt w:val="bullet"/>
      <w:lvlText w:val=""/>
      <w:lvlJc w:val="left"/>
      <w:pPr>
        <w:ind w:left="2160" w:hanging="360"/>
      </w:pPr>
      <w:rPr>
        <w:rFonts w:ascii="Wingdings" w:hAnsi="Wingdings" w:hint="default"/>
      </w:rPr>
    </w:lvl>
    <w:lvl w:ilvl="3" w:tplc="44C0E904">
      <w:start w:val="1"/>
      <w:numFmt w:val="bullet"/>
      <w:lvlText w:val=""/>
      <w:lvlJc w:val="left"/>
      <w:pPr>
        <w:ind w:left="2880" w:hanging="360"/>
      </w:pPr>
      <w:rPr>
        <w:rFonts w:ascii="Symbol" w:hAnsi="Symbol" w:hint="default"/>
      </w:rPr>
    </w:lvl>
    <w:lvl w:ilvl="4" w:tplc="D172AEB0">
      <w:start w:val="1"/>
      <w:numFmt w:val="bullet"/>
      <w:lvlText w:val="o"/>
      <w:lvlJc w:val="left"/>
      <w:pPr>
        <w:ind w:left="3600" w:hanging="360"/>
      </w:pPr>
      <w:rPr>
        <w:rFonts w:ascii="Courier New" w:hAnsi="Courier New" w:hint="default"/>
      </w:rPr>
    </w:lvl>
    <w:lvl w:ilvl="5" w:tplc="21FE91F0">
      <w:start w:val="1"/>
      <w:numFmt w:val="bullet"/>
      <w:lvlText w:val=""/>
      <w:lvlJc w:val="left"/>
      <w:pPr>
        <w:ind w:left="4320" w:hanging="360"/>
      </w:pPr>
      <w:rPr>
        <w:rFonts w:ascii="Wingdings" w:hAnsi="Wingdings" w:hint="default"/>
      </w:rPr>
    </w:lvl>
    <w:lvl w:ilvl="6" w:tplc="19321CCC">
      <w:start w:val="1"/>
      <w:numFmt w:val="bullet"/>
      <w:lvlText w:val=""/>
      <w:lvlJc w:val="left"/>
      <w:pPr>
        <w:ind w:left="5040" w:hanging="360"/>
      </w:pPr>
      <w:rPr>
        <w:rFonts w:ascii="Symbol" w:hAnsi="Symbol" w:hint="default"/>
      </w:rPr>
    </w:lvl>
    <w:lvl w:ilvl="7" w:tplc="FF4A518A">
      <w:start w:val="1"/>
      <w:numFmt w:val="bullet"/>
      <w:lvlText w:val="o"/>
      <w:lvlJc w:val="left"/>
      <w:pPr>
        <w:ind w:left="5760" w:hanging="360"/>
      </w:pPr>
      <w:rPr>
        <w:rFonts w:ascii="Courier New" w:hAnsi="Courier New" w:hint="default"/>
      </w:rPr>
    </w:lvl>
    <w:lvl w:ilvl="8" w:tplc="910E2FE4">
      <w:start w:val="1"/>
      <w:numFmt w:val="bullet"/>
      <w:lvlText w:val=""/>
      <w:lvlJc w:val="left"/>
      <w:pPr>
        <w:ind w:left="6480" w:hanging="360"/>
      </w:pPr>
      <w:rPr>
        <w:rFonts w:ascii="Wingdings" w:hAnsi="Wingdings" w:hint="default"/>
      </w:rPr>
    </w:lvl>
  </w:abstractNum>
  <w:abstractNum w:abstractNumId="60" w15:restartNumberingAfterBreak="0">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7B984E0C"/>
    <w:multiLevelType w:val="hybridMultilevel"/>
    <w:tmpl w:val="2782E8F4"/>
    <w:lvl w:ilvl="0" w:tplc="1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3" w15:restartNumberingAfterBreak="0">
    <w:nsid w:val="7C65145E"/>
    <w:multiLevelType w:val="multilevel"/>
    <w:tmpl w:val="F60CB520"/>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lvlText w:val="%1.%2.%3."/>
      <w:lvlJc w:val="left"/>
      <w:pPr>
        <w:tabs>
          <w:tab w:val="num" w:pos="1922"/>
        </w:tabs>
        <w:ind w:left="1922" w:hanging="720"/>
      </w:pPr>
    </w:lvl>
    <w:lvl w:ilvl="3">
      <w:start w:val="1"/>
      <w:numFmt w:val="decimal"/>
      <w:lvlText w:val="%1.%2.%3.%4."/>
      <w:lvlJc w:val="left"/>
      <w:pPr>
        <w:tabs>
          <w:tab w:val="num" w:pos="1922"/>
        </w:tabs>
        <w:ind w:left="1922" w:hanging="720"/>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6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65" w15:restartNumberingAfterBreak="0">
    <w:nsid w:val="7CCDDBC5"/>
    <w:multiLevelType w:val="hybridMultilevel"/>
    <w:tmpl w:val="381271BA"/>
    <w:lvl w:ilvl="0" w:tplc="7FB83610">
      <w:start w:val="1"/>
      <w:numFmt w:val="bullet"/>
      <w:lvlText w:val=""/>
      <w:lvlJc w:val="left"/>
      <w:pPr>
        <w:ind w:left="360" w:hanging="360"/>
      </w:pPr>
      <w:rPr>
        <w:rFonts w:ascii="Symbol" w:hAnsi="Symbol" w:hint="default"/>
      </w:rPr>
    </w:lvl>
    <w:lvl w:ilvl="1" w:tplc="5418A99A">
      <w:start w:val="1"/>
      <w:numFmt w:val="bullet"/>
      <w:lvlText w:val="o"/>
      <w:lvlJc w:val="left"/>
      <w:pPr>
        <w:ind w:left="1440" w:hanging="360"/>
      </w:pPr>
      <w:rPr>
        <w:rFonts w:ascii="Courier New" w:hAnsi="Courier New" w:hint="default"/>
      </w:rPr>
    </w:lvl>
    <w:lvl w:ilvl="2" w:tplc="29D0896A">
      <w:start w:val="1"/>
      <w:numFmt w:val="bullet"/>
      <w:lvlText w:val=""/>
      <w:lvlJc w:val="left"/>
      <w:pPr>
        <w:ind w:left="2160" w:hanging="360"/>
      </w:pPr>
      <w:rPr>
        <w:rFonts w:ascii="Wingdings" w:hAnsi="Wingdings" w:hint="default"/>
      </w:rPr>
    </w:lvl>
    <w:lvl w:ilvl="3" w:tplc="42F051D2">
      <w:start w:val="1"/>
      <w:numFmt w:val="bullet"/>
      <w:lvlText w:val=""/>
      <w:lvlJc w:val="left"/>
      <w:pPr>
        <w:ind w:left="2880" w:hanging="360"/>
      </w:pPr>
      <w:rPr>
        <w:rFonts w:ascii="Symbol" w:hAnsi="Symbol" w:hint="default"/>
      </w:rPr>
    </w:lvl>
    <w:lvl w:ilvl="4" w:tplc="54AE10DE">
      <w:start w:val="1"/>
      <w:numFmt w:val="bullet"/>
      <w:lvlText w:val="o"/>
      <w:lvlJc w:val="left"/>
      <w:pPr>
        <w:ind w:left="3600" w:hanging="360"/>
      </w:pPr>
      <w:rPr>
        <w:rFonts w:ascii="Courier New" w:hAnsi="Courier New" w:hint="default"/>
      </w:rPr>
    </w:lvl>
    <w:lvl w:ilvl="5" w:tplc="6718804C">
      <w:start w:val="1"/>
      <w:numFmt w:val="bullet"/>
      <w:lvlText w:val=""/>
      <w:lvlJc w:val="left"/>
      <w:pPr>
        <w:ind w:left="4320" w:hanging="360"/>
      </w:pPr>
      <w:rPr>
        <w:rFonts w:ascii="Wingdings" w:hAnsi="Wingdings" w:hint="default"/>
      </w:rPr>
    </w:lvl>
    <w:lvl w:ilvl="6" w:tplc="5C2C9CF8">
      <w:start w:val="1"/>
      <w:numFmt w:val="bullet"/>
      <w:lvlText w:val=""/>
      <w:lvlJc w:val="left"/>
      <w:pPr>
        <w:ind w:left="5040" w:hanging="360"/>
      </w:pPr>
      <w:rPr>
        <w:rFonts w:ascii="Symbol" w:hAnsi="Symbol" w:hint="default"/>
      </w:rPr>
    </w:lvl>
    <w:lvl w:ilvl="7" w:tplc="4D1EC934">
      <w:start w:val="1"/>
      <w:numFmt w:val="bullet"/>
      <w:lvlText w:val="o"/>
      <w:lvlJc w:val="left"/>
      <w:pPr>
        <w:ind w:left="5760" w:hanging="360"/>
      </w:pPr>
      <w:rPr>
        <w:rFonts w:ascii="Courier New" w:hAnsi="Courier New" w:hint="default"/>
      </w:rPr>
    </w:lvl>
    <w:lvl w:ilvl="8" w:tplc="64568FDA">
      <w:start w:val="1"/>
      <w:numFmt w:val="bullet"/>
      <w:lvlText w:val=""/>
      <w:lvlJc w:val="left"/>
      <w:pPr>
        <w:ind w:left="6480" w:hanging="360"/>
      </w:pPr>
      <w:rPr>
        <w:rFonts w:ascii="Wingdings" w:hAnsi="Wingdings" w:hint="default"/>
      </w:rPr>
    </w:lvl>
  </w:abstractNum>
  <w:num w:numId="1">
    <w:abstractNumId w:val="23"/>
  </w:num>
  <w:num w:numId="2">
    <w:abstractNumId w:val="55"/>
  </w:num>
  <w:num w:numId="3">
    <w:abstractNumId w:val="46"/>
  </w:num>
  <w:num w:numId="4">
    <w:abstractNumId w:val="14"/>
  </w:num>
  <w:num w:numId="5">
    <w:abstractNumId w:val="2"/>
  </w:num>
  <w:num w:numId="6">
    <w:abstractNumId w:val="59"/>
  </w:num>
  <w:num w:numId="7">
    <w:abstractNumId w:val="65"/>
  </w:num>
  <w:num w:numId="8">
    <w:abstractNumId w:val="57"/>
  </w:num>
  <w:num w:numId="9">
    <w:abstractNumId w:val="51"/>
  </w:num>
  <w:num w:numId="10">
    <w:abstractNumId w:val="44"/>
  </w:num>
  <w:num w:numId="11">
    <w:abstractNumId w:val="19"/>
  </w:num>
  <w:num w:numId="12">
    <w:abstractNumId w:val="48"/>
  </w:num>
  <w:num w:numId="13">
    <w:abstractNumId w:val="47"/>
  </w:num>
  <w:num w:numId="14">
    <w:abstractNumId w:val="38"/>
  </w:num>
  <w:num w:numId="15">
    <w:abstractNumId w:val="54"/>
  </w:num>
  <w:num w:numId="16">
    <w:abstractNumId w:val="60"/>
  </w:num>
  <w:num w:numId="17">
    <w:abstractNumId w:val="56"/>
  </w:num>
  <w:num w:numId="18">
    <w:abstractNumId w:val="62"/>
  </w:num>
  <w:num w:numId="19">
    <w:abstractNumId w:val="31"/>
  </w:num>
  <w:num w:numId="20">
    <w:abstractNumId w:val="29"/>
  </w:num>
  <w:num w:numId="21">
    <w:abstractNumId w:val="50"/>
  </w:num>
  <w:num w:numId="22">
    <w:abstractNumId w:val="33"/>
  </w:num>
  <w:num w:numId="23">
    <w:abstractNumId w:val="45"/>
  </w:num>
  <w:num w:numId="24">
    <w:abstractNumId w:val="6"/>
  </w:num>
  <w:num w:numId="25">
    <w:abstractNumId w:val="4"/>
  </w:num>
  <w:num w:numId="26">
    <w:abstractNumId w:val="26"/>
  </w:num>
  <w:num w:numId="27">
    <w:abstractNumId w:val="16"/>
  </w:num>
  <w:num w:numId="28">
    <w:abstractNumId w:val="27"/>
  </w:num>
  <w:num w:numId="29">
    <w:abstractNumId w:val="42"/>
  </w:num>
  <w:num w:numId="30">
    <w:abstractNumId w:val="53"/>
  </w:num>
  <w:num w:numId="31">
    <w:abstractNumId w:val="7"/>
  </w:num>
  <w:num w:numId="32">
    <w:abstractNumId w:val="12"/>
  </w:num>
  <w:num w:numId="33">
    <w:abstractNumId w:val="37"/>
  </w:num>
  <w:num w:numId="34">
    <w:abstractNumId w:val="8"/>
  </w:num>
  <w:num w:numId="35">
    <w:abstractNumId w:val="10"/>
  </w:num>
  <w:num w:numId="36">
    <w:abstractNumId w:val="11"/>
  </w:num>
  <w:num w:numId="37">
    <w:abstractNumId w:val="20"/>
  </w:num>
  <w:num w:numId="38">
    <w:abstractNumId w:val="30"/>
  </w:num>
  <w:num w:numId="39">
    <w:abstractNumId w:val="41"/>
  </w:num>
  <w:num w:numId="40">
    <w:abstractNumId w:val="63"/>
  </w:num>
  <w:num w:numId="41">
    <w:abstractNumId w:val="21"/>
  </w:num>
  <w:num w:numId="42">
    <w:abstractNumId w:val="22"/>
  </w:num>
  <w:num w:numId="43">
    <w:abstractNumId w:val="64"/>
  </w:num>
  <w:num w:numId="44">
    <w:abstractNumId w:val="40"/>
  </w:num>
  <w:num w:numId="45">
    <w:abstractNumId w:val="43"/>
  </w:num>
  <w:num w:numId="46">
    <w:abstractNumId w:val="9"/>
  </w:num>
  <w:num w:numId="47">
    <w:abstractNumId w:val="0"/>
  </w:num>
  <w:num w:numId="48">
    <w:abstractNumId w:val="0"/>
  </w:num>
  <w:num w:numId="49">
    <w:abstractNumId w:val="39"/>
  </w:num>
  <w:num w:numId="50">
    <w:abstractNumId w:val="13"/>
  </w:num>
  <w:num w:numId="51">
    <w:abstractNumId w:val="60"/>
  </w:num>
  <w:num w:numId="52">
    <w:abstractNumId w:val="25"/>
  </w:num>
  <w:num w:numId="53">
    <w:abstractNumId w:val="58"/>
  </w:num>
  <w:num w:numId="54">
    <w:abstractNumId w:val="49"/>
  </w:num>
  <w:num w:numId="55">
    <w:abstractNumId w:val="35"/>
  </w:num>
  <w:num w:numId="56">
    <w:abstractNumId w:val="3"/>
  </w:num>
  <w:num w:numId="57">
    <w:abstractNumId w:val="32"/>
  </w:num>
  <w:num w:numId="58">
    <w:abstractNumId w:val="24"/>
  </w:num>
  <w:num w:numId="59">
    <w:abstractNumId w:val="52"/>
  </w:num>
  <w:num w:numId="60">
    <w:abstractNumId w:val="34"/>
  </w:num>
  <w:num w:numId="61">
    <w:abstractNumId w:val="36"/>
  </w:num>
  <w:num w:numId="62">
    <w:abstractNumId w:val="17"/>
  </w:num>
  <w:num w:numId="63">
    <w:abstractNumId w:val="5"/>
  </w:num>
  <w:num w:numId="64">
    <w:abstractNumId w:val="28"/>
  </w:num>
  <w:num w:numId="65">
    <w:abstractNumId w:val="18"/>
  </w:num>
  <w:num w:numId="66">
    <w:abstractNumId w:val="1"/>
  </w:num>
  <w:num w:numId="67">
    <w:abstractNumId w:val="15"/>
  </w:num>
  <w:num w:numId="68">
    <w:abstractNumId w:val="6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DocStatus" w:val="Green"/>
    <w:docVar w:name="LW_CORRIGENDUM" w:val="&lt;UNUSED&gt;"/>
    <w:docVar w:name="LW_COVERPAGE_EXISTS" w:val="True"/>
    <w:docVar w:name="LW_COVERPAGE_GUID" w:val="E4A93524-7D3F-4087-B7EE-C2D6ED45985C"/>
    <w:docVar w:name="LW_COVERPAGE_TYPE" w:val="1"/>
    <w:docVar w:name="LW_CROSSREFERENCE" w:val="&lt;UNUSED&gt;"/>
    <w:docVar w:name="LW_DocType" w:val="NORMAL"/>
    <w:docVar w:name="LW_EMISSION" w:val="28.5.2026"/>
    <w:docVar w:name="LW_EMISSION_ISODATE" w:val="2026-05-28"/>
    <w:docVar w:name="LW_EMISSION_LOCATION" w:val="BRX"/>
    <w:docVar w:name="LW_EMISSION_PREFIX" w:val="Bruselj, "/>
    <w:docVar w:name="LW_EMISSION_SUFFIX" w:val=" "/>
    <w:docVar w:name="LW_ID_DOCTYPE_NONLW" w:val="CP-006"/>
    <w:docVar w:name="LW_LANGUE" w:val="SL"/>
    <w:docVar w:name="LW_LEVEL_OF_SENSITIVITY" w:val="Standard treatmen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26) 2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etno poro\u269?ilo o dejavnostih Evropske unije na podro\u269?ju raziskav in tehnolo\u353?kega razvoja ter spremljanju programa Obzorje Evropa v letu 2025"/>
    <w:docVar w:name="LW_TYPE.DOC.CP" w:val="PORO\u268?ILO KOMISIJE EVROPSKEMU PARLAMENTU IN SVETU"/>
    <w:docVar w:name="LwApiVersions" w:val="LW4CoDe 1.24.5.0; LW 9.2, Build 20251112"/>
  </w:docVars>
  <w:rsids>
    <w:rsidRoot w:val="005643CD"/>
    <w:rsid w:val="0000068A"/>
    <w:rsid w:val="00000BFE"/>
    <w:rsid w:val="00001C06"/>
    <w:rsid w:val="00002CA5"/>
    <w:rsid w:val="0000302A"/>
    <w:rsid w:val="000030E6"/>
    <w:rsid w:val="000031EB"/>
    <w:rsid w:val="0000344B"/>
    <w:rsid w:val="000037C5"/>
    <w:rsid w:val="00003B58"/>
    <w:rsid w:val="0000450E"/>
    <w:rsid w:val="0000468F"/>
    <w:rsid w:val="0000549F"/>
    <w:rsid w:val="00006097"/>
    <w:rsid w:val="00006752"/>
    <w:rsid w:val="0000695E"/>
    <w:rsid w:val="00007215"/>
    <w:rsid w:val="0001020E"/>
    <w:rsid w:val="0001032F"/>
    <w:rsid w:val="00011CC4"/>
    <w:rsid w:val="00012922"/>
    <w:rsid w:val="00013228"/>
    <w:rsid w:val="000137FA"/>
    <w:rsid w:val="000144BD"/>
    <w:rsid w:val="00015553"/>
    <w:rsid w:val="00015EF8"/>
    <w:rsid w:val="00016CBE"/>
    <w:rsid w:val="00017802"/>
    <w:rsid w:val="00020D37"/>
    <w:rsid w:val="00022F7C"/>
    <w:rsid w:val="0002463A"/>
    <w:rsid w:val="000246F9"/>
    <w:rsid w:val="00025545"/>
    <w:rsid w:val="00026231"/>
    <w:rsid w:val="0002698B"/>
    <w:rsid w:val="000274B8"/>
    <w:rsid w:val="00027DAF"/>
    <w:rsid w:val="00030176"/>
    <w:rsid w:val="000301F1"/>
    <w:rsid w:val="00030756"/>
    <w:rsid w:val="00030B46"/>
    <w:rsid w:val="0003102D"/>
    <w:rsid w:val="00032E28"/>
    <w:rsid w:val="00033880"/>
    <w:rsid w:val="00033CC6"/>
    <w:rsid w:val="000361D6"/>
    <w:rsid w:val="00037704"/>
    <w:rsid w:val="0004071A"/>
    <w:rsid w:val="00042737"/>
    <w:rsid w:val="000446B5"/>
    <w:rsid w:val="00046024"/>
    <w:rsid w:val="000465B8"/>
    <w:rsid w:val="0004796E"/>
    <w:rsid w:val="00047ABC"/>
    <w:rsid w:val="00050011"/>
    <w:rsid w:val="00050F68"/>
    <w:rsid w:val="00051503"/>
    <w:rsid w:val="00051978"/>
    <w:rsid w:val="000519C9"/>
    <w:rsid w:val="00051D64"/>
    <w:rsid w:val="0005262F"/>
    <w:rsid w:val="00052AFE"/>
    <w:rsid w:val="00052D60"/>
    <w:rsid w:val="000530C9"/>
    <w:rsid w:val="00053912"/>
    <w:rsid w:val="000556D2"/>
    <w:rsid w:val="0005618C"/>
    <w:rsid w:val="00056332"/>
    <w:rsid w:val="000566FB"/>
    <w:rsid w:val="0005678F"/>
    <w:rsid w:val="000572D7"/>
    <w:rsid w:val="00060A60"/>
    <w:rsid w:val="000619A6"/>
    <w:rsid w:val="000621D9"/>
    <w:rsid w:val="00063CC2"/>
    <w:rsid w:val="00064005"/>
    <w:rsid w:val="00064A0F"/>
    <w:rsid w:val="000650CC"/>
    <w:rsid w:val="00065220"/>
    <w:rsid w:val="000654E1"/>
    <w:rsid w:val="0006659B"/>
    <w:rsid w:val="000672D3"/>
    <w:rsid w:val="00067FAF"/>
    <w:rsid w:val="00067FF9"/>
    <w:rsid w:val="000700FF"/>
    <w:rsid w:val="00071189"/>
    <w:rsid w:val="0007118C"/>
    <w:rsid w:val="00073247"/>
    <w:rsid w:val="0007426F"/>
    <w:rsid w:val="0007471B"/>
    <w:rsid w:val="00074A3D"/>
    <w:rsid w:val="00075455"/>
    <w:rsid w:val="00075F37"/>
    <w:rsid w:val="00076EBD"/>
    <w:rsid w:val="000775AE"/>
    <w:rsid w:val="0007771D"/>
    <w:rsid w:val="00080168"/>
    <w:rsid w:val="0008050C"/>
    <w:rsid w:val="00080663"/>
    <w:rsid w:val="00080DC9"/>
    <w:rsid w:val="000814CC"/>
    <w:rsid w:val="000819F2"/>
    <w:rsid w:val="00082A7A"/>
    <w:rsid w:val="00083992"/>
    <w:rsid w:val="00083C59"/>
    <w:rsid w:val="00084D9F"/>
    <w:rsid w:val="00085E2D"/>
    <w:rsid w:val="00085E7E"/>
    <w:rsid w:val="00086A59"/>
    <w:rsid w:val="00092279"/>
    <w:rsid w:val="00092EE1"/>
    <w:rsid w:val="000935A8"/>
    <w:rsid w:val="00093FF9"/>
    <w:rsid w:val="00094173"/>
    <w:rsid w:val="00094214"/>
    <w:rsid w:val="00094A2A"/>
    <w:rsid w:val="000958F9"/>
    <w:rsid w:val="00097ABD"/>
    <w:rsid w:val="000A131E"/>
    <w:rsid w:val="000A2A81"/>
    <w:rsid w:val="000A2D48"/>
    <w:rsid w:val="000A3B64"/>
    <w:rsid w:val="000A4C87"/>
    <w:rsid w:val="000A50FA"/>
    <w:rsid w:val="000A585B"/>
    <w:rsid w:val="000A6C03"/>
    <w:rsid w:val="000A7BAB"/>
    <w:rsid w:val="000B1C1E"/>
    <w:rsid w:val="000B26FE"/>
    <w:rsid w:val="000B2C58"/>
    <w:rsid w:val="000B345D"/>
    <w:rsid w:val="000B3ED2"/>
    <w:rsid w:val="000B3F66"/>
    <w:rsid w:val="000B424B"/>
    <w:rsid w:val="000B4E2A"/>
    <w:rsid w:val="000B5BE0"/>
    <w:rsid w:val="000B6CCD"/>
    <w:rsid w:val="000B7498"/>
    <w:rsid w:val="000B7C2D"/>
    <w:rsid w:val="000C00D1"/>
    <w:rsid w:val="000C0139"/>
    <w:rsid w:val="000C0588"/>
    <w:rsid w:val="000C1935"/>
    <w:rsid w:val="000C1AB6"/>
    <w:rsid w:val="000C1FB6"/>
    <w:rsid w:val="000C27B9"/>
    <w:rsid w:val="000C2AED"/>
    <w:rsid w:val="000C2C22"/>
    <w:rsid w:val="000C379E"/>
    <w:rsid w:val="000C4368"/>
    <w:rsid w:val="000C52C4"/>
    <w:rsid w:val="000C5395"/>
    <w:rsid w:val="000C58E3"/>
    <w:rsid w:val="000D0318"/>
    <w:rsid w:val="000D078C"/>
    <w:rsid w:val="000D1FDB"/>
    <w:rsid w:val="000D26C5"/>
    <w:rsid w:val="000D3057"/>
    <w:rsid w:val="000D3AA8"/>
    <w:rsid w:val="000D47B2"/>
    <w:rsid w:val="000D6A21"/>
    <w:rsid w:val="000E0CD8"/>
    <w:rsid w:val="000E0F9B"/>
    <w:rsid w:val="000E130C"/>
    <w:rsid w:val="000E1E58"/>
    <w:rsid w:val="000E2182"/>
    <w:rsid w:val="000E2F8C"/>
    <w:rsid w:val="000E3C59"/>
    <w:rsid w:val="000E43FC"/>
    <w:rsid w:val="000E690C"/>
    <w:rsid w:val="000E6DE0"/>
    <w:rsid w:val="000F02F4"/>
    <w:rsid w:val="000F0347"/>
    <w:rsid w:val="000F1140"/>
    <w:rsid w:val="000F1B96"/>
    <w:rsid w:val="000F25BE"/>
    <w:rsid w:val="000F5177"/>
    <w:rsid w:val="000F72D7"/>
    <w:rsid w:val="000F77FA"/>
    <w:rsid w:val="000F7946"/>
    <w:rsid w:val="001076B0"/>
    <w:rsid w:val="00107D28"/>
    <w:rsid w:val="00110EF9"/>
    <w:rsid w:val="00110F2D"/>
    <w:rsid w:val="001115A6"/>
    <w:rsid w:val="00111A7A"/>
    <w:rsid w:val="00111CBB"/>
    <w:rsid w:val="001128F1"/>
    <w:rsid w:val="00112AC6"/>
    <w:rsid w:val="00112F0C"/>
    <w:rsid w:val="00113055"/>
    <w:rsid w:val="00113139"/>
    <w:rsid w:val="001134A2"/>
    <w:rsid w:val="0011383E"/>
    <w:rsid w:val="00114053"/>
    <w:rsid w:val="001147E8"/>
    <w:rsid w:val="00116A7C"/>
    <w:rsid w:val="00116E94"/>
    <w:rsid w:val="00120181"/>
    <w:rsid w:val="0012048D"/>
    <w:rsid w:val="00120AAA"/>
    <w:rsid w:val="00120C47"/>
    <w:rsid w:val="0012110C"/>
    <w:rsid w:val="0012202B"/>
    <w:rsid w:val="001235CC"/>
    <w:rsid w:val="0012476A"/>
    <w:rsid w:val="001257BE"/>
    <w:rsid w:val="00125A69"/>
    <w:rsid w:val="001272ED"/>
    <w:rsid w:val="00127901"/>
    <w:rsid w:val="00127E57"/>
    <w:rsid w:val="00127EBA"/>
    <w:rsid w:val="00130EAB"/>
    <w:rsid w:val="00131179"/>
    <w:rsid w:val="00132014"/>
    <w:rsid w:val="00132E83"/>
    <w:rsid w:val="00133EE6"/>
    <w:rsid w:val="00133F0D"/>
    <w:rsid w:val="00134AC8"/>
    <w:rsid w:val="001356C8"/>
    <w:rsid w:val="00135895"/>
    <w:rsid w:val="00135933"/>
    <w:rsid w:val="0013594C"/>
    <w:rsid w:val="00136249"/>
    <w:rsid w:val="00140821"/>
    <w:rsid w:val="00141666"/>
    <w:rsid w:val="0014184C"/>
    <w:rsid w:val="001430A1"/>
    <w:rsid w:val="001439FF"/>
    <w:rsid w:val="00147DFD"/>
    <w:rsid w:val="001504CD"/>
    <w:rsid w:val="00150BD7"/>
    <w:rsid w:val="00152780"/>
    <w:rsid w:val="00152933"/>
    <w:rsid w:val="00152A34"/>
    <w:rsid w:val="00152F50"/>
    <w:rsid w:val="001538AC"/>
    <w:rsid w:val="00154567"/>
    <w:rsid w:val="001549B8"/>
    <w:rsid w:val="00154F4D"/>
    <w:rsid w:val="001564A5"/>
    <w:rsid w:val="001564B6"/>
    <w:rsid w:val="00156C9A"/>
    <w:rsid w:val="00156DA9"/>
    <w:rsid w:val="00161DEA"/>
    <w:rsid w:val="00162403"/>
    <w:rsid w:val="00164F9F"/>
    <w:rsid w:val="0016526C"/>
    <w:rsid w:val="00165924"/>
    <w:rsid w:val="00165E98"/>
    <w:rsid w:val="00165FF7"/>
    <w:rsid w:val="00167EE1"/>
    <w:rsid w:val="00170529"/>
    <w:rsid w:val="0017099D"/>
    <w:rsid w:val="00171AEF"/>
    <w:rsid w:val="00171CA5"/>
    <w:rsid w:val="00172001"/>
    <w:rsid w:val="00175B5C"/>
    <w:rsid w:val="00180311"/>
    <w:rsid w:val="001806CB"/>
    <w:rsid w:val="001812DA"/>
    <w:rsid w:val="00181353"/>
    <w:rsid w:val="001816A7"/>
    <w:rsid w:val="00182034"/>
    <w:rsid w:val="00182701"/>
    <w:rsid w:val="00182F14"/>
    <w:rsid w:val="0018309F"/>
    <w:rsid w:val="0018352F"/>
    <w:rsid w:val="00183BB9"/>
    <w:rsid w:val="0018461F"/>
    <w:rsid w:val="00185284"/>
    <w:rsid w:val="0018630A"/>
    <w:rsid w:val="00186BB8"/>
    <w:rsid w:val="00186ED5"/>
    <w:rsid w:val="00187868"/>
    <w:rsid w:val="00190609"/>
    <w:rsid w:val="0019079D"/>
    <w:rsid w:val="001907EB"/>
    <w:rsid w:val="00190A4D"/>
    <w:rsid w:val="00190D2A"/>
    <w:rsid w:val="00192E91"/>
    <w:rsid w:val="00193015"/>
    <w:rsid w:val="001944AD"/>
    <w:rsid w:val="0019545D"/>
    <w:rsid w:val="00196221"/>
    <w:rsid w:val="0019692F"/>
    <w:rsid w:val="00197E23"/>
    <w:rsid w:val="001A0A0C"/>
    <w:rsid w:val="001A1DAA"/>
    <w:rsid w:val="001A3CB1"/>
    <w:rsid w:val="001A4366"/>
    <w:rsid w:val="001A5BE8"/>
    <w:rsid w:val="001A5E5E"/>
    <w:rsid w:val="001A5F7A"/>
    <w:rsid w:val="001A6353"/>
    <w:rsid w:val="001A673E"/>
    <w:rsid w:val="001A748F"/>
    <w:rsid w:val="001B01F7"/>
    <w:rsid w:val="001B1982"/>
    <w:rsid w:val="001B1C78"/>
    <w:rsid w:val="001B27DA"/>
    <w:rsid w:val="001B341B"/>
    <w:rsid w:val="001B5021"/>
    <w:rsid w:val="001B61A7"/>
    <w:rsid w:val="001B6E7E"/>
    <w:rsid w:val="001C0138"/>
    <w:rsid w:val="001C0416"/>
    <w:rsid w:val="001C0F4C"/>
    <w:rsid w:val="001C1EA7"/>
    <w:rsid w:val="001C385F"/>
    <w:rsid w:val="001C3867"/>
    <w:rsid w:val="001C3D50"/>
    <w:rsid w:val="001C3E2A"/>
    <w:rsid w:val="001C4A45"/>
    <w:rsid w:val="001C4B29"/>
    <w:rsid w:val="001C560C"/>
    <w:rsid w:val="001C56CD"/>
    <w:rsid w:val="001C578C"/>
    <w:rsid w:val="001D0530"/>
    <w:rsid w:val="001D06E8"/>
    <w:rsid w:val="001D15D3"/>
    <w:rsid w:val="001D407D"/>
    <w:rsid w:val="001D4782"/>
    <w:rsid w:val="001D4957"/>
    <w:rsid w:val="001D4E9A"/>
    <w:rsid w:val="001D6524"/>
    <w:rsid w:val="001D68A2"/>
    <w:rsid w:val="001E1A27"/>
    <w:rsid w:val="001E32CD"/>
    <w:rsid w:val="001E41FE"/>
    <w:rsid w:val="001E553F"/>
    <w:rsid w:val="001E5F3F"/>
    <w:rsid w:val="001E6564"/>
    <w:rsid w:val="001E6CBA"/>
    <w:rsid w:val="001E700C"/>
    <w:rsid w:val="001F04E9"/>
    <w:rsid w:val="001F081C"/>
    <w:rsid w:val="001F233C"/>
    <w:rsid w:val="001F30A7"/>
    <w:rsid w:val="001F313F"/>
    <w:rsid w:val="001F5842"/>
    <w:rsid w:val="001F5DEA"/>
    <w:rsid w:val="001F6885"/>
    <w:rsid w:val="001F68C5"/>
    <w:rsid w:val="001F77EC"/>
    <w:rsid w:val="002002B5"/>
    <w:rsid w:val="00200A63"/>
    <w:rsid w:val="00202454"/>
    <w:rsid w:val="00202A5A"/>
    <w:rsid w:val="00203694"/>
    <w:rsid w:val="00203E1E"/>
    <w:rsid w:val="00203F39"/>
    <w:rsid w:val="0020525E"/>
    <w:rsid w:val="0020534C"/>
    <w:rsid w:val="00207DFF"/>
    <w:rsid w:val="002100F1"/>
    <w:rsid w:val="0021017C"/>
    <w:rsid w:val="002116B3"/>
    <w:rsid w:val="00212405"/>
    <w:rsid w:val="00214879"/>
    <w:rsid w:val="002148DA"/>
    <w:rsid w:val="00214D81"/>
    <w:rsid w:val="002161A6"/>
    <w:rsid w:val="00216F69"/>
    <w:rsid w:val="00217CB9"/>
    <w:rsid w:val="00220264"/>
    <w:rsid w:val="002205EE"/>
    <w:rsid w:val="002211CE"/>
    <w:rsid w:val="00222FD8"/>
    <w:rsid w:val="002233BC"/>
    <w:rsid w:val="00224537"/>
    <w:rsid w:val="00224CE0"/>
    <w:rsid w:val="00225D05"/>
    <w:rsid w:val="00226BD1"/>
    <w:rsid w:val="00227B01"/>
    <w:rsid w:val="00231603"/>
    <w:rsid w:val="002318F7"/>
    <w:rsid w:val="002333B6"/>
    <w:rsid w:val="002338CA"/>
    <w:rsid w:val="00234E03"/>
    <w:rsid w:val="00235125"/>
    <w:rsid w:val="00235216"/>
    <w:rsid w:val="00235D2A"/>
    <w:rsid w:val="00235FB7"/>
    <w:rsid w:val="002375DA"/>
    <w:rsid w:val="00244238"/>
    <w:rsid w:val="002463DD"/>
    <w:rsid w:val="002465E4"/>
    <w:rsid w:val="00247752"/>
    <w:rsid w:val="002478A2"/>
    <w:rsid w:val="002478AB"/>
    <w:rsid w:val="00247B43"/>
    <w:rsid w:val="002500AD"/>
    <w:rsid w:val="00250DAC"/>
    <w:rsid w:val="0025144A"/>
    <w:rsid w:val="00251B8F"/>
    <w:rsid w:val="0025316F"/>
    <w:rsid w:val="00255B5B"/>
    <w:rsid w:val="0025602F"/>
    <w:rsid w:val="00256D4B"/>
    <w:rsid w:val="002578BF"/>
    <w:rsid w:val="00257B11"/>
    <w:rsid w:val="00257EF9"/>
    <w:rsid w:val="002603EC"/>
    <w:rsid w:val="00261875"/>
    <w:rsid w:val="00261FC2"/>
    <w:rsid w:val="00264B13"/>
    <w:rsid w:val="00265397"/>
    <w:rsid w:val="002653F7"/>
    <w:rsid w:val="00265420"/>
    <w:rsid w:val="002656C4"/>
    <w:rsid w:val="00265DC4"/>
    <w:rsid w:val="002669DA"/>
    <w:rsid w:val="002675FF"/>
    <w:rsid w:val="00267651"/>
    <w:rsid w:val="00267FA0"/>
    <w:rsid w:val="002713FC"/>
    <w:rsid w:val="002719BF"/>
    <w:rsid w:val="00271A67"/>
    <w:rsid w:val="00272AC6"/>
    <w:rsid w:val="00273040"/>
    <w:rsid w:val="00273BD0"/>
    <w:rsid w:val="00274307"/>
    <w:rsid w:val="00274A26"/>
    <w:rsid w:val="00274DB6"/>
    <w:rsid w:val="00274E9E"/>
    <w:rsid w:val="00275300"/>
    <w:rsid w:val="0027532C"/>
    <w:rsid w:val="00275359"/>
    <w:rsid w:val="00275800"/>
    <w:rsid w:val="00275E5E"/>
    <w:rsid w:val="00276699"/>
    <w:rsid w:val="002766AB"/>
    <w:rsid w:val="00276CAF"/>
    <w:rsid w:val="0027765C"/>
    <w:rsid w:val="00280451"/>
    <w:rsid w:val="0028115B"/>
    <w:rsid w:val="002829E8"/>
    <w:rsid w:val="0028366C"/>
    <w:rsid w:val="0028386A"/>
    <w:rsid w:val="0028544F"/>
    <w:rsid w:val="002861D2"/>
    <w:rsid w:val="002874FE"/>
    <w:rsid w:val="00287966"/>
    <w:rsid w:val="00290C78"/>
    <w:rsid w:val="0029192C"/>
    <w:rsid w:val="00292EDF"/>
    <w:rsid w:val="00293704"/>
    <w:rsid w:val="00294626"/>
    <w:rsid w:val="00294A4E"/>
    <w:rsid w:val="00295AE7"/>
    <w:rsid w:val="00296961"/>
    <w:rsid w:val="002971FA"/>
    <w:rsid w:val="00297936"/>
    <w:rsid w:val="002A0B4C"/>
    <w:rsid w:val="002A0EBD"/>
    <w:rsid w:val="002A0FAB"/>
    <w:rsid w:val="002A1AB9"/>
    <w:rsid w:val="002A24C9"/>
    <w:rsid w:val="002A3C2E"/>
    <w:rsid w:val="002A44D4"/>
    <w:rsid w:val="002A4D7D"/>
    <w:rsid w:val="002A5C46"/>
    <w:rsid w:val="002A5C9B"/>
    <w:rsid w:val="002A612F"/>
    <w:rsid w:val="002A62A0"/>
    <w:rsid w:val="002A6FB2"/>
    <w:rsid w:val="002B0221"/>
    <w:rsid w:val="002B0CCF"/>
    <w:rsid w:val="002B15CC"/>
    <w:rsid w:val="002B1F05"/>
    <w:rsid w:val="002B23AA"/>
    <w:rsid w:val="002B2786"/>
    <w:rsid w:val="002B303D"/>
    <w:rsid w:val="002B3C89"/>
    <w:rsid w:val="002B4AA1"/>
    <w:rsid w:val="002B4F51"/>
    <w:rsid w:val="002B68C7"/>
    <w:rsid w:val="002B74F2"/>
    <w:rsid w:val="002B7BB8"/>
    <w:rsid w:val="002C10D0"/>
    <w:rsid w:val="002C1B35"/>
    <w:rsid w:val="002C225B"/>
    <w:rsid w:val="002C2EEB"/>
    <w:rsid w:val="002C4310"/>
    <w:rsid w:val="002C51A2"/>
    <w:rsid w:val="002C559E"/>
    <w:rsid w:val="002C713E"/>
    <w:rsid w:val="002C78FF"/>
    <w:rsid w:val="002D179C"/>
    <w:rsid w:val="002D1AB6"/>
    <w:rsid w:val="002D1ADF"/>
    <w:rsid w:val="002D483C"/>
    <w:rsid w:val="002D516E"/>
    <w:rsid w:val="002D5DAB"/>
    <w:rsid w:val="002D61AB"/>
    <w:rsid w:val="002D69DF"/>
    <w:rsid w:val="002D6C97"/>
    <w:rsid w:val="002E0FC6"/>
    <w:rsid w:val="002E11EA"/>
    <w:rsid w:val="002E156D"/>
    <w:rsid w:val="002E1CD5"/>
    <w:rsid w:val="002E32CA"/>
    <w:rsid w:val="002E37C1"/>
    <w:rsid w:val="002E40BE"/>
    <w:rsid w:val="002E41DB"/>
    <w:rsid w:val="002E448B"/>
    <w:rsid w:val="002E469D"/>
    <w:rsid w:val="002E6470"/>
    <w:rsid w:val="002F0974"/>
    <w:rsid w:val="002F0A50"/>
    <w:rsid w:val="002F0AA3"/>
    <w:rsid w:val="002F0B03"/>
    <w:rsid w:val="002F15F4"/>
    <w:rsid w:val="002F1D1A"/>
    <w:rsid w:val="002F285E"/>
    <w:rsid w:val="002F3CBD"/>
    <w:rsid w:val="002F4337"/>
    <w:rsid w:val="002F44C7"/>
    <w:rsid w:val="002F51F1"/>
    <w:rsid w:val="002F573B"/>
    <w:rsid w:val="002F68E2"/>
    <w:rsid w:val="00301948"/>
    <w:rsid w:val="00302E68"/>
    <w:rsid w:val="00303776"/>
    <w:rsid w:val="0030413C"/>
    <w:rsid w:val="0030418E"/>
    <w:rsid w:val="003041E6"/>
    <w:rsid w:val="00304664"/>
    <w:rsid w:val="00304FDE"/>
    <w:rsid w:val="00306F32"/>
    <w:rsid w:val="003100E3"/>
    <w:rsid w:val="00310B48"/>
    <w:rsid w:val="00311756"/>
    <w:rsid w:val="00314B76"/>
    <w:rsid w:val="00315AE2"/>
    <w:rsid w:val="00316119"/>
    <w:rsid w:val="0031613B"/>
    <w:rsid w:val="003177AE"/>
    <w:rsid w:val="003204B5"/>
    <w:rsid w:val="00320748"/>
    <w:rsid w:val="00320B4E"/>
    <w:rsid w:val="00320E90"/>
    <w:rsid w:val="00322137"/>
    <w:rsid w:val="003226C3"/>
    <w:rsid w:val="003229CE"/>
    <w:rsid w:val="003232B8"/>
    <w:rsid w:val="003233AA"/>
    <w:rsid w:val="00323869"/>
    <w:rsid w:val="0032409E"/>
    <w:rsid w:val="0032456C"/>
    <w:rsid w:val="00324986"/>
    <w:rsid w:val="00325D8F"/>
    <w:rsid w:val="0032638E"/>
    <w:rsid w:val="00326D0C"/>
    <w:rsid w:val="00326DB6"/>
    <w:rsid w:val="003273EE"/>
    <w:rsid w:val="003300EE"/>
    <w:rsid w:val="00330666"/>
    <w:rsid w:val="00330FE7"/>
    <w:rsid w:val="003315A1"/>
    <w:rsid w:val="00331A05"/>
    <w:rsid w:val="00331BEE"/>
    <w:rsid w:val="00331C36"/>
    <w:rsid w:val="003320B4"/>
    <w:rsid w:val="003326A1"/>
    <w:rsid w:val="00332F62"/>
    <w:rsid w:val="003331A9"/>
    <w:rsid w:val="003343FE"/>
    <w:rsid w:val="0033632F"/>
    <w:rsid w:val="0033695E"/>
    <w:rsid w:val="00336BD2"/>
    <w:rsid w:val="00337EA3"/>
    <w:rsid w:val="00337FAD"/>
    <w:rsid w:val="00341895"/>
    <w:rsid w:val="0034210C"/>
    <w:rsid w:val="00343B9A"/>
    <w:rsid w:val="0034406F"/>
    <w:rsid w:val="00344089"/>
    <w:rsid w:val="003447B8"/>
    <w:rsid w:val="0034534F"/>
    <w:rsid w:val="003461D4"/>
    <w:rsid w:val="00346CC3"/>
    <w:rsid w:val="00346D1D"/>
    <w:rsid w:val="00346F2E"/>
    <w:rsid w:val="00350D70"/>
    <w:rsid w:val="003520FA"/>
    <w:rsid w:val="00353079"/>
    <w:rsid w:val="00353AF7"/>
    <w:rsid w:val="003553FB"/>
    <w:rsid w:val="003559C7"/>
    <w:rsid w:val="00355BEE"/>
    <w:rsid w:val="0035607A"/>
    <w:rsid w:val="003560D8"/>
    <w:rsid w:val="00356A73"/>
    <w:rsid w:val="00356DFE"/>
    <w:rsid w:val="00357554"/>
    <w:rsid w:val="003578FD"/>
    <w:rsid w:val="00361DCC"/>
    <w:rsid w:val="0036318D"/>
    <w:rsid w:val="00364050"/>
    <w:rsid w:val="003647A6"/>
    <w:rsid w:val="00364B5B"/>
    <w:rsid w:val="00365908"/>
    <w:rsid w:val="00365D1A"/>
    <w:rsid w:val="003670FC"/>
    <w:rsid w:val="0037055F"/>
    <w:rsid w:val="003720C0"/>
    <w:rsid w:val="00372BB3"/>
    <w:rsid w:val="00372BDE"/>
    <w:rsid w:val="003742AD"/>
    <w:rsid w:val="00374B46"/>
    <w:rsid w:val="00375393"/>
    <w:rsid w:val="0037555C"/>
    <w:rsid w:val="0037576C"/>
    <w:rsid w:val="003778AB"/>
    <w:rsid w:val="00380C15"/>
    <w:rsid w:val="003813D3"/>
    <w:rsid w:val="00381541"/>
    <w:rsid w:val="00381824"/>
    <w:rsid w:val="003841BA"/>
    <w:rsid w:val="00384433"/>
    <w:rsid w:val="003847FF"/>
    <w:rsid w:val="003853D4"/>
    <w:rsid w:val="003859E9"/>
    <w:rsid w:val="0038676B"/>
    <w:rsid w:val="003868CF"/>
    <w:rsid w:val="003907CA"/>
    <w:rsid w:val="00391188"/>
    <w:rsid w:val="00391297"/>
    <w:rsid w:val="003914AE"/>
    <w:rsid w:val="0039184F"/>
    <w:rsid w:val="00391DAD"/>
    <w:rsid w:val="00393438"/>
    <w:rsid w:val="00393451"/>
    <w:rsid w:val="003948FB"/>
    <w:rsid w:val="00394DA9"/>
    <w:rsid w:val="00396AAD"/>
    <w:rsid w:val="00396E57"/>
    <w:rsid w:val="003970C0"/>
    <w:rsid w:val="00397A38"/>
    <w:rsid w:val="003A023E"/>
    <w:rsid w:val="003A02F1"/>
    <w:rsid w:val="003A1EAD"/>
    <w:rsid w:val="003A3544"/>
    <w:rsid w:val="003A356F"/>
    <w:rsid w:val="003A372C"/>
    <w:rsid w:val="003A3EE1"/>
    <w:rsid w:val="003A50C9"/>
    <w:rsid w:val="003A54EE"/>
    <w:rsid w:val="003A6EBB"/>
    <w:rsid w:val="003B20F7"/>
    <w:rsid w:val="003B2355"/>
    <w:rsid w:val="003B2787"/>
    <w:rsid w:val="003B2CA8"/>
    <w:rsid w:val="003B2ED8"/>
    <w:rsid w:val="003B3D34"/>
    <w:rsid w:val="003B56E8"/>
    <w:rsid w:val="003B7717"/>
    <w:rsid w:val="003B7DE1"/>
    <w:rsid w:val="003C0D61"/>
    <w:rsid w:val="003C1F3E"/>
    <w:rsid w:val="003C2892"/>
    <w:rsid w:val="003C4420"/>
    <w:rsid w:val="003C4745"/>
    <w:rsid w:val="003C4B9B"/>
    <w:rsid w:val="003C51A4"/>
    <w:rsid w:val="003C65D9"/>
    <w:rsid w:val="003C6DE4"/>
    <w:rsid w:val="003D0E5F"/>
    <w:rsid w:val="003D1208"/>
    <w:rsid w:val="003D3D1E"/>
    <w:rsid w:val="003D4A8C"/>
    <w:rsid w:val="003D545B"/>
    <w:rsid w:val="003D5690"/>
    <w:rsid w:val="003D58CD"/>
    <w:rsid w:val="003D6029"/>
    <w:rsid w:val="003D66B0"/>
    <w:rsid w:val="003D69C3"/>
    <w:rsid w:val="003E2DB5"/>
    <w:rsid w:val="003E2FFC"/>
    <w:rsid w:val="003E329A"/>
    <w:rsid w:val="003E459C"/>
    <w:rsid w:val="003E4EB3"/>
    <w:rsid w:val="003E5217"/>
    <w:rsid w:val="003E5B2D"/>
    <w:rsid w:val="003E6048"/>
    <w:rsid w:val="003E6312"/>
    <w:rsid w:val="003E6632"/>
    <w:rsid w:val="003E7560"/>
    <w:rsid w:val="003E7ABA"/>
    <w:rsid w:val="003E7C43"/>
    <w:rsid w:val="003E7F04"/>
    <w:rsid w:val="003F16F7"/>
    <w:rsid w:val="003F19F0"/>
    <w:rsid w:val="003F2028"/>
    <w:rsid w:val="003F3D73"/>
    <w:rsid w:val="003F3FB4"/>
    <w:rsid w:val="003F62FC"/>
    <w:rsid w:val="003F6560"/>
    <w:rsid w:val="00400D10"/>
    <w:rsid w:val="004022FE"/>
    <w:rsid w:val="00402468"/>
    <w:rsid w:val="00402B3B"/>
    <w:rsid w:val="004033FB"/>
    <w:rsid w:val="0040362C"/>
    <w:rsid w:val="00403951"/>
    <w:rsid w:val="00403988"/>
    <w:rsid w:val="00404CCC"/>
    <w:rsid w:val="00404E29"/>
    <w:rsid w:val="00405C6A"/>
    <w:rsid w:val="004062EA"/>
    <w:rsid w:val="00406470"/>
    <w:rsid w:val="004074FE"/>
    <w:rsid w:val="00407C76"/>
    <w:rsid w:val="004104B3"/>
    <w:rsid w:val="0041144F"/>
    <w:rsid w:val="00412194"/>
    <w:rsid w:val="004128E6"/>
    <w:rsid w:val="00412A0F"/>
    <w:rsid w:val="00412A23"/>
    <w:rsid w:val="00414356"/>
    <w:rsid w:val="00414BBC"/>
    <w:rsid w:val="004154DF"/>
    <w:rsid w:val="00415781"/>
    <w:rsid w:val="00415C64"/>
    <w:rsid w:val="00420216"/>
    <w:rsid w:val="00420494"/>
    <w:rsid w:val="004204C9"/>
    <w:rsid w:val="00420B0D"/>
    <w:rsid w:val="00420B96"/>
    <w:rsid w:val="0042189F"/>
    <w:rsid w:val="00421A30"/>
    <w:rsid w:val="00423D3B"/>
    <w:rsid w:val="004264C9"/>
    <w:rsid w:val="00426D40"/>
    <w:rsid w:val="0042759E"/>
    <w:rsid w:val="00430497"/>
    <w:rsid w:val="004322BF"/>
    <w:rsid w:val="004330F8"/>
    <w:rsid w:val="00434190"/>
    <w:rsid w:val="00435537"/>
    <w:rsid w:val="0043568B"/>
    <w:rsid w:val="00435F1A"/>
    <w:rsid w:val="004361D6"/>
    <w:rsid w:val="00436293"/>
    <w:rsid w:val="0043634A"/>
    <w:rsid w:val="00436EC1"/>
    <w:rsid w:val="00437338"/>
    <w:rsid w:val="004377F4"/>
    <w:rsid w:val="00442240"/>
    <w:rsid w:val="00443687"/>
    <w:rsid w:val="00446F6D"/>
    <w:rsid w:val="00447F3E"/>
    <w:rsid w:val="00450080"/>
    <w:rsid w:val="004504EA"/>
    <w:rsid w:val="0045149C"/>
    <w:rsid w:val="00451E97"/>
    <w:rsid w:val="00454487"/>
    <w:rsid w:val="0045492A"/>
    <w:rsid w:val="004551DD"/>
    <w:rsid w:val="00455F17"/>
    <w:rsid w:val="00456887"/>
    <w:rsid w:val="0045749C"/>
    <w:rsid w:val="00461B0F"/>
    <w:rsid w:val="00462036"/>
    <w:rsid w:val="00462256"/>
    <w:rsid w:val="004636EE"/>
    <w:rsid w:val="004638A7"/>
    <w:rsid w:val="00463DD6"/>
    <w:rsid w:val="00464C0C"/>
    <w:rsid w:val="004651B1"/>
    <w:rsid w:val="00465B7E"/>
    <w:rsid w:val="00465E93"/>
    <w:rsid w:val="00467711"/>
    <w:rsid w:val="00467765"/>
    <w:rsid w:val="00470E95"/>
    <w:rsid w:val="0047185D"/>
    <w:rsid w:val="00471F25"/>
    <w:rsid w:val="004727ED"/>
    <w:rsid w:val="00472EC1"/>
    <w:rsid w:val="00472FDE"/>
    <w:rsid w:val="0047305F"/>
    <w:rsid w:val="00473439"/>
    <w:rsid w:val="00474415"/>
    <w:rsid w:val="0047524C"/>
    <w:rsid w:val="004758D9"/>
    <w:rsid w:val="00476764"/>
    <w:rsid w:val="0047752F"/>
    <w:rsid w:val="00477813"/>
    <w:rsid w:val="00480086"/>
    <w:rsid w:val="004800EC"/>
    <w:rsid w:val="00480E34"/>
    <w:rsid w:val="0048139C"/>
    <w:rsid w:val="00484697"/>
    <w:rsid w:val="00485810"/>
    <w:rsid w:val="004858CF"/>
    <w:rsid w:val="00485C2B"/>
    <w:rsid w:val="00485D05"/>
    <w:rsid w:val="004865F6"/>
    <w:rsid w:val="00487622"/>
    <w:rsid w:val="004878E7"/>
    <w:rsid w:val="00487DAB"/>
    <w:rsid w:val="00490682"/>
    <w:rsid w:val="00490A58"/>
    <w:rsid w:val="004912BF"/>
    <w:rsid w:val="0049144D"/>
    <w:rsid w:val="004915F8"/>
    <w:rsid w:val="00492D89"/>
    <w:rsid w:val="0049350C"/>
    <w:rsid w:val="00494732"/>
    <w:rsid w:val="00494A15"/>
    <w:rsid w:val="0049533D"/>
    <w:rsid w:val="00495640"/>
    <w:rsid w:val="004961F9"/>
    <w:rsid w:val="00497085"/>
    <w:rsid w:val="0049722C"/>
    <w:rsid w:val="004A097D"/>
    <w:rsid w:val="004A0BC8"/>
    <w:rsid w:val="004A18E3"/>
    <w:rsid w:val="004A18F7"/>
    <w:rsid w:val="004A2386"/>
    <w:rsid w:val="004A2ABC"/>
    <w:rsid w:val="004A2CF5"/>
    <w:rsid w:val="004A311A"/>
    <w:rsid w:val="004A3264"/>
    <w:rsid w:val="004A3A9A"/>
    <w:rsid w:val="004A3DDB"/>
    <w:rsid w:val="004A44C1"/>
    <w:rsid w:val="004A50F5"/>
    <w:rsid w:val="004A5CFE"/>
    <w:rsid w:val="004A6461"/>
    <w:rsid w:val="004A6B44"/>
    <w:rsid w:val="004A728E"/>
    <w:rsid w:val="004B0E77"/>
    <w:rsid w:val="004B15E0"/>
    <w:rsid w:val="004B1C74"/>
    <w:rsid w:val="004B25B1"/>
    <w:rsid w:val="004B2954"/>
    <w:rsid w:val="004B44F7"/>
    <w:rsid w:val="004B5E3E"/>
    <w:rsid w:val="004B5F9D"/>
    <w:rsid w:val="004B6439"/>
    <w:rsid w:val="004B7267"/>
    <w:rsid w:val="004B7BA7"/>
    <w:rsid w:val="004B7FB2"/>
    <w:rsid w:val="004C0196"/>
    <w:rsid w:val="004C02A8"/>
    <w:rsid w:val="004C0D26"/>
    <w:rsid w:val="004C18C6"/>
    <w:rsid w:val="004C1C15"/>
    <w:rsid w:val="004C2906"/>
    <w:rsid w:val="004C5CBB"/>
    <w:rsid w:val="004C6319"/>
    <w:rsid w:val="004C6C94"/>
    <w:rsid w:val="004D0421"/>
    <w:rsid w:val="004D1277"/>
    <w:rsid w:val="004D1CF3"/>
    <w:rsid w:val="004D2B7D"/>
    <w:rsid w:val="004D2D3E"/>
    <w:rsid w:val="004D3259"/>
    <w:rsid w:val="004D34B1"/>
    <w:rsid w:val="004D428B"/>
    <w:rsid w:val="004D4D0C"/>
    <w:rsid w:val="004D4EA7"/>
    <w:rsid w:val="004D5365"/>
    <w:rsid w:val="004D5408"/>
    <w:rsid w:val="004D5AD1"/>
    <w:rsid w:val="004D77ED"/>
    <w:rsid w:val="004D77F2"/>
    <w:rsid w:val="004D792C"/>
    <w:rsid w:val="004E05F8"/>
    <w:rsid w:val="004E0BBE"/>
    <w:rsid w:val="004E0E43"/>
    <w:rsid w:val="004E1B3F"/>
    <w:rsid w:val="004E2381"/>
    <w:rsid w:val="004E2D37"/>
    <w:rsid w:val="004E3448"/>
    <w:rsid w:val="004E3AA2"/>
    <w:rsid w:val="004E500A"/>
    <w:rsid w:val="004E557A"/>
    <w:rsid w:val="004E5737"/>
    <w:rsid w:val="004E7593"/>
    <w:rsid w:val="004E7A2D"/>
    <w:rsid w:val="004E7B37"/>
    <w:rsid w:val="004E7DB8"/>
    <w:rsid w:val="004F0F72"/>
    <w:rsid w:val="004F0FA1"/>
    <w:rsid w:val="004F0FEB"/>
    <w:rsid w:val="004F1827"/>
    <w:rsid w:val="004F2705"/>
    <w:rsid w:val="004F4052"/>
    <w:rsid w:val="004F47B9"/>
    <w:rsid w:val="004F4B59"/>
    <w:rsid w:val="004F569D"/>
    <w:rsid w:val="004F582C"/>
    <w:rsid w:val="004F5A2A"/>
    <w:rsid w:val="004F5D7D"/>
    <w:rsid w:val="004F6491"/>
    <w:rsid w:val="004F776A"/>
    <w:rsid w:val="004F7AC2"/>
    <w:rsid w:val="00500E5A"/>
    <w:rsid w:val="005010F2"/>
    <w:rsid w:val="00501ABE"/>
    <w:rsid w:val="00502289"/>
    <w:rsid w:val="005027D9"/>
    <w:rsid w:val="00502931"/>
    <w:rsid w:val="00502CD2"/>
    <w:rsid w:val="0050420D"/>
    <w:rsid w:val="005059C5"/>
    <w:rsid w:val="005074EC"/>
    <w:rsid w:val="00507C59"/>
    <w:rsid w:val="00510FF2"/>
    <w:rsid w:val="005116FC"/>
    <w:rsid w:val="00512633"/>
    <w:rsid w:val="005135C5"/>
    <w:rsid w:val="00513E70"/>
    <w:rsid w:val="005144FB"/>
    <w:rsid w:val="00514FEE"/>
    <w:rsid w:val="0051565B"/>
    <w:rsid w:val="0051644F"/>
    <w:rsid w:val="00516774"/>
    <w:rsid w:val="00517AA6"/>
    <w:rsid w:val="00517B47"/>
    <w:rsid w:val="00517BCE"/>
    <w:rsid w:val="00520B43"/>
    <w:rsid w:val="00521402"/>
    <w:rsid w:val="00521D5B"/>
    <w:rsid w:val="00522437"/>
    <w:rsid w:val="00522AEF"/>
    <w:rsid w:val="00523279"/>
    <w:rsid w:val="005234EF"/>
    <w:rsid w:val="00523D8D"/>
    <w:rsid w:val="005241EF"/>
    <w:rsid w:val="0052491D"/>
    <w:rsid w:val="00524A59"/>
    <w:rsid w:val="00525540"/>
    <w:rsid w:val="005255C8"/>
    <w:rsid w:val="005256FB"/>
    <w:rsid w:val="0052688F"/>
    <w:rsid w:val="00526979"/>
    <w:rsid w:val="005279F7"/>
    <w:rsid w:val="005307CF"/>
    <w:rsid w:val="00530D3A"/>
    <w:rsid w:val="005320F0"/>
    <w:rsid w:val="005322A5"/>
    <w:rsid w:val="0053284D"/>
    <w:rsid w:val="00532C4D"/>
    <w:rsid w:val="00532D9B"/>
    <w:rsid w:val="00533060"/>
    <w:rsid w:val="005361EB"/>
    <w:rsid w:val="005367EA"/>
    <w:rsid w:val="00537118"/>
    <w:rsid w:val="00537FD9"/>
    <w:rsid w:val="0054049E"/>
    <w:rsid w:val="00540BF3"/>
    <w:rsid w:val="005410E0"/>
    <w:rsid w:val="00541BD5"/>
    <w:rsid w:val="00541F15"/>
    <w:rsid w:val="0054266C"/>
    <w:rsid w:val="00542780"/>
    <w:rsid w:val="00542C54"/>
    <w:rsid w:val="00544698"/>
    <w:rsid w:val="00544BD6"/>
    <w:rsid w:val="005457DA"/>
    <w:rsid w:val="00546A39"/>
    <w:rsid w:val="00547252"/>
    <w:rsid w:val="00547377"/>
    <w:rsid w:val="0055009E"/>
    <w:rsid w:val="00554E0E"/>
    <w:rsid w:val="00555088"/>
    <w:rsid w:val="005555EE"/>
    <w:rsid w:val="00556BA8"/>
    <w:rsid w:val="0055734E"/>
    <w:rsid w:val="005575C0"/>
    <w:rsid w:val="00557C57"/>
    <w:rsid w:val="00560497"/>
    <w:rsid w:val="0056199F"/>
    <w:rsid w:val="00561B76"/>
    <w:rsid w:val="00562B2A"/>
    <w:rsid w:val="005632BF"/>
    <w:rsid w:val="0056421B"/>
    <w:rsid w:val="005643CD"/>
    <w:rsid w:val="00565077"/>
    <w:rsid w:val="005652A1"/>
    <w:rsid w:val="00565B28"/>
    <w:rsid w:val="005666FC"/>
    <w:rsid w:val="00567360"/>
    <w:rsid w:val="005673DA"/>
    <w:rsid w:val="005709C6"/>
    <w:rsid w:val="005709FF"/>
    <w:rsid w:val="00571757"/>
    <w:rsid w:val="00571C44"/>
    <w:rsid w:val="00571CDC"/>
    <w:rsid w:val="005725E8"/>
    <w:rsid w:val="00573A19"/>
    <w:rsid w:val="00574542"/>
    <w:rsid w:val="005758BF"/>
    <w:rsid w:val="0057792C"/>
    <w:rsid w:val="0058022B"/>
    <w:rsid w:val="00580A50"/>
    <w:rsid w:val="00580CA5"/>
    <w:rsid w:val="00580E44"/>
    <w:rsid w:val="00582023"/>
    <w:rsid w:val="0058226C"/>
    <w:rsid w:val="005825A2"/>
    <w:rsid w:val="00582962"/>
    <w:rsid w:val="005834D9"/>
    <w:rsid w:val="00584510"/>
    <w:rsid w:val="00584A7C"/>
    <w:rsid w:val="00584C4E"/>
    <w:rsid w:val="00584DBD"/>
    <w:rsid w:val="00584E75"/>
    <w:rsid w:val="00585666"/>
    <w:rsid w:val="00585700"/>
    <w:rsid w:val="00586DCA"/>
    <w:rsid w:val="0058726A"/>
    <w:rsid w:val="00587F06"/>
    <w:rsid w:val="00587FA6"/>
    <w:rsid w:val="00590F07"/>
    <w:rsid w:val="00591D3F"/>
    <w:rsid w:val="0059593C"/>
    <w:rsid w:val="00595EAC"/>
    <w:rsid w:val="00595FCA"/>
    <w:rsid w:val="00596D9C"/>
    <w:rsid w:val="00597846"/>
    <w:rsid w:val="005A06F2"/>
    <w:rsid w:val="005A3965"/>
    <w:rsid w:val="005A406C"/>
    <w:rsid w:val="005A5B8C"/>
    <w:rsid w:val="005A6EF8"/>
    <w:rsid w:val="005B1DD1"/>
    <w:rsid w:val="005B1F49"/>
    <w:rsid w:val="005B3532"/>
    <w:rsid w:val="005B4291"/>
    <w:rsid w:val="005B4AAF"/>
    <w:rsid w:val="005B4D60"/>
    <w:rsid w:val="005B52FF"/>
    <w:rsid w:val="005B5D9E"/>
    <w:rsid w:val="005B5E8D"/>
    <w:rsid w:val="005B69C5"/>
    <w:rsid w:val="005B732E"/>
    <w:rsid w:val="005B733E"/>
    <w:rsid w:val="005B7C40"/>
    <w:rsid w:val="005B7EF5"/>
    <w:rsid w:val="005C0E46"/>
    <w:rsid w:val="005C1020"/>
    <w:rsid w:val="005C1027"/>
    <w:rsid w:val="005C379D"/>
    <w:rsid w:val="005C392C"/>
    <w:rsid w:val="005C3BF9"/>
    <w:rsid w:val="005C46DC"/>
    <w:rsid w:val="005C4D05"/>
    <w:rsid w:val="005C4F08"/>
    <w:rsid w:val="005C5DB0"/>
    <w:rsid w:val="005C66B3"/>
    <w:rsid w:val="005C70D1"/>
    <w:rsid w:val="005C77C4"/>
    <w:rsid w:val="005C79C8"/>
    <w:rsid w:val="005C7BA8"/>
    <w:rsid w:val="005C7D17"/>
    <w:rsid w:val="005D0424"/>
    <w:rsid w:val="005D05FF"/>
    <w:rsid w:val="005D1113"/>
    <w:rsid w:val="005D12AA"/>
    <w:rsid w:val="005D1C81"/>
    <w:rsid w:val="005D22D0"/>
    <w:rsid w:val="005D29D4"/>
    <w:rsid w:val="005D324A"/>
    <w:rsid w:val="005D42DE"/>
    <w:rsid w:val="005D447B"/>
    <w:rsid w:val="005D4E21"/>
    <w:rsid w:val="005D5BDE"/>
    <w:rsid w:val="005D632F"/>
    <w:rsid w:val="005E08A9"/>
    <w:rsid w:val="005E20D2"/>
    <w:rsid w:val="005E23BD"/>
    <w:rsid w:val="005E293B"/>
    <w:rsid w:val="005E2AE4"/>
    <w:rsid w:val="005E2FCB"/>
    <w:rsid w:val="005E308D"/>
    <w:rsid w:val="005E3888"/>
    <w:rsid w:val="005E4E15"/>
    <w:rsid w:val="005E5192"/>
    <w:rsid w:val="005E5DC3"/>
    <w:rsid w:val="005E6F13"/>
    <w:rsid w:val="005E7B29"/>
    <w:rsid w:val="005F0D9C"/>
    <w:rsid w:val="005F0FC9"/>
    <w:rsid w:val="005F2460"/>
    <w:rsid w:val="005F24D1"/>
    <w:rsid w:val="005F2A1A"/>
    <w:rsid w:val="005F3417"/>
    <w:rsid w:val="005F4BCC"/>
    <w:rsid w:val="005F69ED"/>
    <w:rsid w:val="005F70B0"/>
    <w:rsid w:val="005F745C"/>
    <w:rsid w:val="005F7BF4"/>
    <w:rsid w:val="005F7EF6"/>
    <w:rsid w:val="006001A9"/>
    <w:rsid w:val="00600683"/>
    <w:rsid w:val="0060088E"/>
    <w:rsid w:val="006013A4"/>
    <w:rsid w:val="0060195B"/>
    <w:rsid w:val="00601D3C"/>
    <w:rsid w:val="00604413"/>
    <w:rsid w:val="00605076"/>
    <w:rsid w:val="00606AF1"/>
    <w:rsid w:val="00606CB2"/>
    <w:rsid w:val="00607F09"/>
    <w:rsid w:val="00610DB4"/>
    <w:rsid w:val="00610FBF"/>
    <w:rsid w:val="006115E8"/>
    <w:rsid w:val="0061171E"/>
    <w:rsid w:val="00611B00"/>
    <w:rsid w:val="00611D1C"/>
    <w:rsid w:val="0061428C"/>
    <w:rsid w:val="00614388"/>
    <w:rsid w:val="00614D5D"/>
    <w:rsid w:val="00615B55"/>
    <w:rsid w:val="00616103"/>
    <w:rsid w:val="00616549"/>
    <w:rsid w:val="00617C19"/>
    <w:rsid w:val="00620103"/>
    <w:rsid w:val="006204E7"/>
    <w:rsid w:val="00620536"/>
    <w:rsid w:val="006207FE"/>
    <w:rsid w:val="00620A0E"/>
    <w:rsid w:val="006228F3"/>
    <w:rsid w:val="00624831"/>
    <w:rsid w:val="00626078"/>
    <w:rsid w:val="00626089"/>
    <w:rsid w:val="00626E3B"/>
    <w:rsid w:val="0062728A"/>
    <w:rsid w:val="00627A2A"/>
    <w:rsid w:val="00627EFE"/>
    <w:rsid w:val="006301AD"/>
    <w:rsid w:val="00630CC2"/>
    <w:rsid w:val="006310B2"/>
    <w:rsid w:val="0063247F"/>
    <w:rsid w:val="0063301D"/>
    <w:rsid w:val="00634417"/>
    <w:rsid w:val="0063455C"/>
    <w:rsid w:val="006349C8"/>
    <w:rsid w:val="00637A9B"/>
    <w:rsid w:val="006400B3"/>
    <w:rsid w:val="00640A76"/>
    <w:rsid w:val="00641296"/>
    <w:rsid w:val="00645382"/>
    <w:rsid w:val="00645663"/>
    <w:rsid w:val="00651923"/>
    <w:rsid w:val="00651FE1"/>
    <w:rsid w:val="006530AC"/>
    <w:rsid w:val="00653496"/>
    <w:rsid w:val="00654491"/>
    <w:rsid w:val="00654BDC"/>
    <w:rsid w:val="006551D6"/>
    <w:rsid w:val="00655392"/>
    <w:rsid w:val="006555A8"/>
    <w:rsid w:val="00655D10"/>
    <w:rsid w:val="00656874"/>
    <w:rsid w:val="00660F19"/>
    <w:rsid w:val="0066112B"/>
    <w:rsid w:val="00661210"/>
    <w:rsid w:val="006615A4"/>
    <w:rsid w:val="0066176C"/>
    <w:rsid w:val="00662773"/>
    <w:rsid w:val="006630F7"/>
    <w:rsid w:val="0066329B"/>
    <w:rsid w:val="0066330C"/>
    <w:rsid w:val="006635C5"/>
    <w:rsid w:val="00663647"/>
    <w:rsid w:val="006638BC"/>
    <w:rsid w:val="00663D56"/>
    <w:rsid w:val="00664383"/>
    <w:rsid w:val="006657CB"/>
    <w:rsid w:val="00665BFF"/>
    <w:rsid w:val="00665E0C"/>
    <w:rsid w:val="00666400"/>
    <w:rsid w:val="00666480"/>
    <w:rsid w:val="006675BC"/>
    <w:rsid w:val="0067050D"/>
    <w:rsid w:val="00670C37"/>
    <w:rsid w:val="00671460"/>
    <w:rsid w:val="006714B4"/>
    <w:rsid w:val="006714B6"/>
    <w:rsid w:val="0067204C"/>
    <w:rsid w:val="00672A40"/>
    <w:rsid w:val="00672D57"/>
    <w:rsid w:val="006731E4"/>
    <w:rsid w:val="006738F2"/>
    <w:rsid w:val="0067508F"/>
    <w:rsid w:val="006769EF"/>
    <w:rsid w:val="00677460"/>
    <w:rsid w:val="006804FF"/>
    <w:rsid w:val="0068072C"/>
    <w:rsid w:val="00680FCA"/>
    <w:rsid w:val="00681B8A"/>
    <w:rsid w:val="00681BD9"/>
    <w:rsid w:val="00681F33"/>
    <w:rsid w:val="006824B2"/>
    <w:rsid w:val="00682E88"/>
    <w:rsid w:val="00682F4C"/>
    <w:rsid w:val="00684067"/>
    <w:rsid w:val="006845DB"/>
    <w:rsid w:val="00684DD2"/>
    <w:rsid w:val="00684E17"/>
    <w:rsid w:val="00685644"/>
    <w:rsid w:val="00685B6A"/>
    <w:rsid w:val="006870C9"/>
    <w:rsid w:val="0069022A"/>
    <w:rsid w:val="00691179"/>
    <w:rsid w:val="00693EC8"/>
    <w:rsid w:val="00694579"/>
    <w:rsid w:val="00694876"/>
    <w:rsid w:val="00694D7F"/>
    <w:rsid w:val="00694E39"/>
    <w:rsid w:val="00695FF1"/>
    <w:rsid w:val="0069623B"/>
    <w:rsid w:val="0069692E"/>
    <w:rsid w:val="006969A8"/>
    <w:rsid w:val="006971BA"/>
    <w:rsid w:val="00697E44"/>
    <w:rsid w:val="006A041A"/>
    <w:rsid w:val="006A09D0"/>
    <w:rsid w:val="006A12F8"/>
    <w:rsid w:val="006A1456"/>
    <w:rsid w:val="006A1656"/>
    <w:rsid w:val="006A1678"/>
    <w:rsid w:val="006A222F"/>
    <w:rsid w:val="006A2580"/>
    <w:rsid w:val="006A289B"/>
    <w:rsid w:val="006A2B65"/>
    <w:rsid w:val="006A40BC"/>
    <w:rsid w:val="006A50CC"/>
    <w:rsid w:val="006A5119"/>
    <w:rsid w:val="006A5A69"/>
    <w:rsid w:val="006A5CA3"/>
    <w:rsid w:val="006A5F4F"/>
    <w:rsid w:val="006A6134"/>
    <w:rsid w:val="006A72C2"/>
    <w:rsid w:val="006A76ED"/>
    <w:rsid w:val="006A7B59"/>
    <w:rsid w:val="006A7BA1"/>
    <w:rsid w:val="006A7ECA"/>
    <w:rsid w:val="006B01DE"/>
    <w:rsid w:val="006B15DC"/>
    <w:rsid w:val="006B215D"/>
    <w:rsid w:val="006B2C6E"/>
    <w:rsid w:val="006B3172"/>
    <w:rsid w:val="006B43DA"/>
    <w:rsid w:val="006B5022"/>
    <w:rsid w:val="006B6D9D"/>
    <w:rsid w:val="006C0AAE"/>
    <w:rsid w:val="006C0E08"/>
    <w:rsid w:val="006C212E"/>
    <w:rsid w:val="006C28D2"/>
    <w:rsid w:val="006C2C55"/>
    <w:rsid w:val="006C5884"/>
    <w:rsid w:val="006C63EE"/>
    <w:rsid w:val="006C6984"/>
    <w:rsid w:val="006C7BE9"/>
    <w:rsid w:val="006D0947"/>
    <w:rsid w:val="006D27B9"/>
    <w:rsid w:val="006D2C61"/>
    <w:rsid w:val="006D315A"/>
    <w:rsid w:val="006D418F"/>
    <w:rsid w:val="006D563E"/>
    <w:rsid w:val="006D5693"/>
    <w:rsid w:val="006D56B7"/>
    <w:rsid w:val="006D6B69"/>
    <w:rsid w:val="006D6B82"/>
    <w:rsid w:val="006E173E"/>
    <w:rsid w:val="006E27B0"/>
    <w:rsid w:val="006E27BF"/>
    <w:rsid w:val="006E3493"/>
    <w:rsid w:val="006E40F8"/>
    <w:rsid w:val="006E4A92"/>
    <w:rsid w:val="006E5BE0"/>
    <w:rsid w:val="006E5FB4"/>
    <w:rsid w:val="006E7BD3"/>
    <w:rsid w:val="006E7C29"/>
    <w:rsid w:val="006F2324"/>
    <w:rsid w:val="006F2EDD"/>
    <w:rsid w:val="006F3834"/>
    <w:rsid w:val="006F3C5F"/>
    <w:rsid w:val="006F4A66"/>
    <w:rsid w:val="006F4EF3"/>
    <w:rsid w:val="006F62DD"/>
    <w:rsid w:val="007005EA"/>
    <w:rsid w:val="00700C54"/>
    <w:rsid w:val="0070207B"/>
    <w:rsid w:val="00702E81"/>
    <w:rsid w:val="00703B10"/>
    <w:rsid w:val="0070473B"/>
    <w:rsid w:val="00704EF1"/>
    <w:rsid w:val="00704F64"/>
    <w:rsid w:val="00705069"/>
    <w:rsid w:val="00706374"/>
    <w:rsid w:val="007063E8"/>
    <w:rsid w:val="007064BA"/>
    <w:rsid w:val="007068C9"/>
    <w:rsid w:val="0070701C"/>
    <w:rsid w:val="00707655"/>
    <w:rsid w:val="00711628"/>
    <w:rsid w:val="007146D8"/>
    <w:rsid w:val="00714D01"/>
    <w:rsid w:val="00715770"/>
    <w:rsid w:val="00715A59"/>
    <w:rsid w:val="00715C19"/>
    <w:rsid w:val="00716A2D"/>
    <w:rsid w:val="00717177"/>
    <w:rsid w:val="00717592"/>
    <w:rsid w:val="00721127"/>
    <w:rsid w:val="00721A41"/>
    <w:rsid w:val="00722864"/>
    <w:rsid w:val="00723135"/>
    <w:rsid w:val="0072385A"/>
    <w:rsid w:val="0072438A"/>
    <w:rsid w:val="00724DAD"/>
    <w:rsid w:val="0072642D"/>
    <w:rsid w:val="0072655D"/>
    <w:rsid w:val="00726B10"/>
    <w:rsid w:val="00727610"/>
    <w:rsid w:val="007305ED"/>
    <w:rsid w:val="00731066"/>
    <w:rsid w:val="00732529"/>
    <w:rsid w:val="00733443"/>
    <w:rsid w:val="00733873"/>
    <w:rsid w:val="007338C7"/>
    <w:rsid w:val="00734328"/>
    <w:rsid w:val="00735B51"/>
    <w:rsid w:val="00736192"/>
    <w:rsid w:val="0073634E"/>
    <w:rsid w:val="0073644B"/>
    <w:rsid w:val="00740876"/>
    <w:rsid w:val="0074088F"/>
    <w:rsid w:val="00740949"/>
    <w:rsid w:val="00741089"/>
    <w:rsid w:val="00741336"/>
    <w:rsid w:val="007415CC"/>
    <w:rsid w:val="007423EC"/>
    <w:rsid w:val="007426CC"/>
    <w:rsid w:val="007428A2"/>
    <w:rsid w:val="007443B2"/>
    <w:rsid w:val="00744981"/>
    <w:rsid w:val="00744A65"/>
    <w:rsid w:val="00744EE5"/>
    <w:rsid w:val="00745C97"/>
    <w:rsid w:val="007465D3"/>
    <w:rsid w:val="007469B2"/>
    <w:rsid w:val="00746CD7"/>
    <w:rsid w:val="00747332"/>
    <w:rsid w:val="007505B8"/>
    <w:rsid w:val="00750B7B"/>
    <w:rsid w:val="0075132B"/>
    <w:rsid w:val="0075158E"/>
    <w:rsid w:val="00751862"/>
    <w:rsid w:val="00752344"/>
    <w:rsid w:val="00752C42"/>
    <w:rsid w:val="00752C78"/>
    <w:rsid w:val="007536CC"/>
    <w:rsid w:val="0075380D"/>
    <w:rsid w:val="007543E1"/>
    <w:rsid w:val="00754EFB"/>
    <w:rsid w:val="00755A4E"/>
    <w:rsid w:val="00755CA9"/>
    <w:rsid w:val="00756429"/>
    <w:rsid w:val="00761619"/>
    <w:rsid w:val="00761D29"/>
    <w:rsid w:val="00761FD7"/>
    <w:rsid w:val="00762BAD"/>
    <w:rsid w:val="007630AD"/>
    <w:rsid w:val="007637FA"/>
    <w:rsid w:val="007639F2"/>
    <w:rsid w:val="00763D20"/>
    <w:rsid w:val="00764222"/>
    <w:rsid w:val="007655A2"/>
    <w:rsid w:val="00765A48"/>
    <w:rsid w:val="00766B80"/>
    <w:rsid w:val="00766CE3"/>
    <w:rsid w:val="007673AA"/>
    <w:rsid w:val="0077024E"/>
    <w:rsid w:val="00770F56"/>
    <w:rsid w:val="00772163"/>
    <w:rsid w:val="0077343C"/>
    <w:rsid w:val="00774426"/>
    <w:rsid w:val="00774447"/>
    <w:rsid w:val="007747AB"/>
    <w:rsid w:val="007748C6"/>
    <w:rsid w:val="00774D3A"/>
    <w:rsid w:val="0077538E"/>
    <w:rsid w:val="0077568E"/>
    <w:rsid w:val="007808E7"/>
    <w:rsid w:val="00780F25"/>
    <w:rsid w:val="007829AC"/>
    <w:rsid w:val="00782AE4"/>
    <w:rsid w:val="007839AD"/>
    <w:rsid w:val="00784362"/>
    <w:rsid w:val="007860ED"/>
    <w:rsid w:val="00786189"/>
    <w:rsid w:val="007863AB"/>
    <w:rsid w:val="00786610"/>
    <w:rsid w:val="00787331"/>
    <w:rsid w:val="00790634"/>
    <w:rsid w:val="00791E74"/>
    <w:rsid w:val="0079312F"/>
    <w:rsid w:val="0079339D"/>
    <w:rsid w:val="00794A4A"/>
    <w:rsid w:val="00794B21"/>
    <w:rsid w:val="007951F0"/>
    <w:rsid w:val="00795334"/>
    <w:rsid w:val="00795C77"/>
    <w:rsid w:val="00795EE4"/>
    <w:rsid w:val="00795F55"/>
    <w:rsid w:val="0079657C"/>
    <w:rsid w:val="00797213"/>
    <w:rsid w:val="0079791E"/>
    <w:rsid w:val="007A0070"/>
    <w:rsid w:val="007A06B9"/>
    <w:rsid w:val="007A11B3"/>
    <w:rsid w:val="007A161E"/>
    <w:rsid w:val="007A1D64"/>
    <w:rsid w:val="007A32A9"/>
    <w:rsid w:val="007A3784"/>
    <w:rsid w:val="007A396C"/>
    <w:rsid w:val="007A47D1"/>
    <w:rsid w:val="007A7022"/>
    <w:rsid w:val="007B0457"/>
    <w:rsid w:val="007B1F22"/>
    <w:rsid w:val="007B228D"/>
    <w:rsid w:val="007B2EFE"/>
    <w:rsid w:val="007B3513"/>
    <w:rsid w:val="007B40D5"/>
    <w:rsid w:val="007B4139"/>
    <w:rsid w:val="007B416F"/>
    <w:rsid w:val="007B538F"/>
    <w:rsid w:val="007B5C0B"/>
    <w:rsid w:val="007B6391"/>
    <w:rsid w:val="007B78CB"/>
    <w:rsid w:val="007B7A62"/>
    <w:rsid w:val="007C09CA"/>
    <w:rsid w:val="007C0D53"/>
    <w:rsid w:val="007C0E09"/>
    <w:rsid w:val="007C2DD3"/>
    <w:rsid w:val="007C3D90"/>
    <w:rsid w:val="007C401E"/>
    <w:rsid w:val="007C4513"/>
    <w:rsid w:val="007C475B"/>
    <w:rsid w:val="007C7371"/>
    <w:rsid w:val="007C7A08"/>
    <w:rsid w:val="007D0547"/>
    <w:rsid w:val="007D2AB7"/>
    <w:rsid w:val="007D38E4"/>
    <w:rsid w:val="007D4ADF"/>
    <w:rsid w:val="007D5474"/>
    <w:rsid w:val="007D6720"/>
    <w:rsid w:val="007D6805"/>
    <w:rsid w:val="007D7127"/>
    <w:rsid w:val="007D74A9"/>
    <w:rsid w:val="007D7A52"/>
    <w:rsid w:val="007D7AF7"/>
    <w:rsid w:val="007E0CA3"/>
    <w:rsid w:val="007E2183"/>
    <w:rsid w:val="007E2350"/>
    <w:rsid w:val="007E2BA7"/>
    <w:rsid w:val="007E2E91"/>
    <w:rsid w:val="007E39C0"/>
    <w:rsid w:val="007E3A2F"/>
    <w:rsid w:val="007E7A16"/>
    <w:rsid w:val="007F0698"/>
    <w:rsid w:val="007F274D"/>
    <w:rsid w:val="007F3233"/>
    <w:rsid w:val="007F5C41"/>
    <w:rsid w:val="007F6872"/>
    <w:rsid w:val="007F6D60"/>
    <w:rsid w:val="007F7D8C"/>
    <w:rsid w:val="007F7D9F"/>
    <w:rsid w:val="00800793"/>
    <w:rsid w:val="008032E5"/>
    <w:rsid w:val="0080452C"/>
    <w:rsid w:val="00805BF5"/>
    <w:rsid w:val="0080680C"/>
    <w:rsid w:val="00806E19"/>
    <w:rsid w:val="00807226"/>
    <w:rsid w:val="008104DE"/>
    <w:rsid w:val="008107CE"/>
    <w:rsid w:val="008119E7"/>
    <w:rsid w:val="00811A6D"/>
    <w:rsid w:val="00811DBE"/>
    <w:rsid w:val="00813CF0"/>
    <w:rsid w:val="008150CB"/>
    <w:rsid w:val="008156D7"/>
    <w:rsid w:val="00815712"/>
    <w:rsid w:val="0081571C"/>
    <w:rsid w:val="00816E09"/>
    <w:rsid w:val="008173EA"/>
    <w:rsid w:val="0082012B"/>
    <w:rsid w:val="00820380"/>
    <w:rsid w:val="00822D25"/>
    <w:rsid w:val="00823B02"/>
    <w:rsid w:val="00823BE0"/>
    <w:rsid w:val="00825AE1"/>
    <w:rsid w:val="00826070"/>
    <w:rsid w:val="0082665D"/>
    <w:rsid w:val="0082716C"/>
    <w:rsid w:val="008274F9"/>
    <w:rsid w:val="0083014C"/>
    <w:rsid w:val="00831181"/>
    <w:rsid w:val="008319E2"/>
    <w:rsid w:val="00833110"/>
    <w:rsid w:val="00833D2C"/>
    <w:rsid w:val="0083415C"/>
    <w:rsid w:val="00834F12"/>
    <w:rsid w:val="0083557F"/>
    <w:rsid w:val="00835655"/>
    <w:rsid w:val="00835EF0"/>
    <w:rsid w:val="00836134"/>
    <w:rsid w:val="00836600"/>
    <w:rsid w:val="00836D66"/>
    <w:rsid w:val="0084054E"/>
    <w:rsid w:val="00840E93"/>
    <w:rsid w:val="0084297E"/>
    <w:rsid w:val="00843A37"/>
    <w:rsid w:val="00843B05"/>
    <w:rsid w:val="00844653"/>
    <w:rsid w:val="008446C5"/>
    <w:rsid w:val="00844950"/>
    <w:rsid w:val="00846B9C"/>
    <w:rsid w:val="00847569"/>
    <w:rsid w:val="00847993"/>
    <w:rsid w:val="00847D12"/>
    <w:rsid w:val="00847F9E"/>
    <w:rsid w:val="00851C64"/>
    <w:rsid w:val="008524E0"/>
    <w:rsid w:val="0085330D"/>
    <w:rsid w:val="00853760"/>
    <w:rsid w:val="0085426D"/>
    <w:rsid w:val="00854550"/>
    <w:rsid w:val="00854571"/>
    <w:rsid w:val="0085464A"/>
    <w:rsid w:val="00854E17"/>
    <w:rsid w:val="0085572D"/>
    <w:rsid w:val="00855981"/>
    <w:rsid w:val="00856466"/>
    <w:rsid w:val="00856C10"/>
    <w:rsid w:val="00856CA2"/>
    <w:rsid w:val="0085731D"/>
    <w:rsid w:val="00860465"/>
    <w:rsid w:val="00860BAE"/>
    <w:rsid w:val="008624BF"/>
    <w:rsid w:val="00862AAD"/>
    <w:rsid w:val="00863779"/>
    <w:rsid w:val="00863A73"/>
    <w:rsid w:val="00863BD6"/>
    <w:rsid w:val="00863CA2"/>
    <w:rsid w:val="0086417E"/>
    <w:rsid w:val="00864746"/>
    <w:rsid w:val="0086504D"/>
    <w:rsid w:val="00866215"/>
    <w:rsid w:val="00866AA9"/>
    <w:rsid w:val="00866C96"/>
    <w:rsid w:val="00866FB3"/>
    <w:rsid w:val="008674E8"/>
    <w:rsid w:val="0087173B"/>
    <w:rsid w:val="008742DB"/>
    <w:rsid w:val="008748C2"/>
    <w:rsid w:val="0087586E"/>
    <w:rsid w:val="0087651F"/>
    <w:rsid w:val="008774D5"/>
    <w:rsid w:val="008774E1"/>
    <w:rsid w:val="008811C5"/>
    <w:rsid w:val="00883533"/>
    <w:rsid w:val="0088366F"/>
    <w:rsid w:val="00883A04"/>
    <w:rsid w:val="008848AD"/>
    <w:rsid w:val="00884C0A"/>
    <w:rsid w:val="00885490"/>
    <w:rsid w:val="00885BED"/>
    <w:rsid w:val="00885EA7"/>
    <w:rsid w:val="008862C3"/>
    <w:rsid w:val="00886AEB"/>
    <w:rsid w:val="00886DB1"/>
    <w:rsid w:val="00887AD6"/>
    <w:rsid w:val="00890912"/>
    <w:rsid w:val="00890E1B"/>
    <w:rsid w:val="008931C9"/>
    <w:rsid w:val="00893808"/>
    <w:rsid w:val="00893CBA"/>
    <w:rsid w:val="008957E8"/>
    <w:rsid w:val="008965EB"/>
    <w:rsid w:val="008966C6"/>
    <w:rsid w:val="008A10A4"/>
    <w:rsid w:val="008A19EC"/>
    <w:rsid w:val="008A2293"/>
    <w:rsid w:val="008A52FB"/>
    <w:rsid w:val="008A5B87"/>
    <w:rsid w:val="008A5D08"/>
    <w:rsid w:val="008A6072"/>
    <w:rsid w:val="008A66C0"/>
    <w:rsid w:val="008A7F32"/>
    <w:rsid w:val="008B0146"/>
    <w:rsid w:val="008B0ABB"/>
    <w:rsid w:val="008B0D36"/>
    <w:rsid w:val="008B2460"/>
    <w:rsid w:val="008B2D57"/>
    <w:rsid w:val="008B3F1C"/>
    <w:rsid w:val="008B461F"/>
    <w:rsid w:val="008B5729"/>
    <w:rsid w:val="008B5B4D"/>
    <w:rsid w:val="008B6471"/>
    <w:rsid w:val="008B7DD8"/>
    <w:rsid w:val="008C0A2E"/>
    <w:rsid w:val="008C0BBD"/>
    <w:rsid w:val="008C14CC"/>
    <w:rsid w:val="008C161E"/>
    <w:rsid w:val="008C19E7"/>
    <w:rsid w:val="008C2899"/>
    <w:rsid w:val="008C3057"/>
    <w:rsid w:val="008C336E"/>
    <w:rsid w:val="008C3C15"/>
    <w:rsid w:val="008C3F6D"/>
    <w:rsid w:val="008C49AF"/>
    <w:rsid w:val="008C4ABC"/>
    <w:rsid w:val="008C4C73"/>
    <w:rsid w:val="008C5E71"/>
    <w:rsid w:val="008C62B4"/>
    <w:rsid w:val="008C6458"/>
    <w:rsid w:val="008C66D4"/>
    <w:rsid w:val="008C7345"/>
    <w:rsid w:val="008D0D7C"/>
    <w:rsid w:val="008D1F5B"/>
    <w:rsid w:val="008D382F"/>
    <w:rsid w:val="008D5818"/>
    <w:rsid w:val="008D7D0E"/>
    <w:rsid w:val="008E058D"/>
    <w:rsid w:val="008E0B2D"/>
    <w:rsid w:val="008E13C8"/>
    <w:rsid w:val="008E3744"/>
    <w:rsid w:val="008E37D4"/>
    <w:rsid w:val="008E3A4B"/>
    <w:rsid w:val="008E4115"/>
    <w:rsid w:val="008E5BE2"/>
    <w:rsid w:val="008E72AC"/>
    <w:rsid w:val="008F12E5"/>
    <w:rsid w:val="008F15A8"/>
    <w:rsid w:val="008F2665"/>
    <w:rsid w:val="008F4E3B"/>
    <w:rsid w:val="008F510F"/>
    <w:rsid w:val="008F594B"/>
    <w:rsid w:val="008F6FC8"/>
    <w:rsid w:val="00900232"/>
    <w:rsid w:val="0090103D"/>
    <w:rsid w:val="009018A7"/>
    <w:rsid w:val="009029B9"/>
    <w:rsid w:val="0090303F"/>
    <w:rsid w:val="009050C0"/>
    <w:rsid w:val="00905CC0"/>
    <w:rsid w:val="00905F6B"/>
    <w:rsid w:val="00906294"/>
    <w:rsid w:val="00906B01"/>
    <w:rsid w:val="00906CF5"/>
    <w:rsid w:val="00907A28"/>
    <w:rsid w:val="00907E2E"/>
    <w:rsid w:val="00910783"/>
    <w:rsid w:val="009112B0"/>
    <w:rsid w:val="0091186E"/>
    <w:rsid w:val="00912003"/>
    <w:rsid w:val="00913910"/>
    <w:rsid w:val="00913B09"/>
    <w:rsid w:val="00913B20"/>
    <w:rsid w:val="00914126"/>
    <w:rsid w:val="00914A2F"/>
    <w:rsid w:val="00914EBA"/>
    <w:rsid w:val="00915FAD"/>
    <w:rsid w:val="00916EC6"/>
    <w:rsid w:val="0092027A"/>
    <w:rsid w:val="0092410F"/>
    <w:rsid w:val="00925042"/>
    <w:rsid w:val="00925521"/>
    <w:rsid w:val="00925532"/>
    <w:rsid w:val="009255D7"/>
    <w:rsid w:val="00925C02"/>
    <w:rsid w:val="00926BF8"/>
    <w:rsid w:val="009277E9"/>
    <w:rsid w:val="00927951"/>
    <w:rsid w:val="00927A2B"/>
    <w:rsid w:val="009307A6"/>
    <w:rsid w:val="00931270"/>
    <w:rsid w:val="00934D12"/>
    <w:rsid w:val="00935E3C"/>
    <w:rsid w:val="00936092"/>
    <w:rsid w:val="009362B3"/>
    <w:rsid w:val="009364C6"/>
    <w:rsid w:val="00936C7F"/>
    <w:rsid w:val="009372C7"/>
    <w:rsid w:val="009372EB"/>
    <w:rsid w:val="009373ED"/>
    <w:rsid w:val="0094087A"/>
    <w:rsid w:val="00940F6A"/>
    <w:rsid w:val="00941F0D"/>
    <w:rsid w:val="009420C8"/>
    <w:rsid w:val="0094228C"/>
    <w:rsid w:val="009425DE"/>
    <w:rsid w:val="00942900"/>
    <w:rsid w:val="0094410B"/>
    <w:rsid w:val="0094431A"/>
    <w:rsid w:val="009444E6"/>
    <w:rsid w:val="00946392"/>
    <w:rsid w:val="00946AD8"/>
    <w:rsid w:val="00946E4F"/>
    <w:rsid w:val="0095053C"/>
    <w:rsid w:val="00952717"/>
    <w:rsid w:val="00953334"/>
    <w:rsid w:val="00953D8E"/>
    <w:rsid w:val="00954E29"/>
    <w:rsid w:val="00955B9A"/>
    <w:rsid w:val="00960799"/>
    <w:rsid w:val="009612CA"/>
    <w:rsid w:val="00961D55"/>
    <w:rsid w:val="00962971"/>
    <w:rsid w:val="00962D9F"/>
    <w:rsid w:val="00962EBA"/>
    <w:rsid w:val="00963068"/>
    <w:rsid w:val="0096444F"/>
    <w:rsid w:val="00964933"/>
    <w:rsid w:val="00965F27"/>
    <w:rsid w:val="0096632B"/>
    <w:rsid w:val="009704A6"/>
    <w:rsid w:val="00971281"/>
    <w:rsid w:val="009728AE"/>
    <w:rsid w:val="00973DAD"/>
    <w:rsid w:val="0097412A"/>
    <w:rsid w:val="00974EB1"/>
    <w:rsid w:val="00977482"/>
    <w:rsid w:val="0097752E"/>
    <w:rsid w:val="00977F41"/>
    <w:rsid w:val="009801A9"/>
    <w:rsid w:val="00980681"/>
    <w:rsid w:val="009807C9"/>
    <w:rsid w:val="00980AAF"/>
    <w:rsid w:val="00980EC2"/>
    <w:rsid w:val="009814F4"/>
    <w:rsid w:val="00981790"/>
    <w:rsid w:val="00981F86"/>
    <w:rsid w:val="0098212B"/>
    <w:rsid w:val="009831EE"/>
    <w:rsid w:val="00985607"/>
    <w:rsid w:val="00986614"/>
    <w:rsid w:val="0098666E"/>
    <w:rsid w:val="00986A51"/>
    <w:rsid w:val="00990305"/>
    <w:rsid w:val="00990762"/>
    <w:rsid w:val="0099156C"/>
    <w:rsid w:val="00992232"/>
    <w:rsid w:val="009926A7"/>
    <w:rsid w:val="00993C4B"/>
    <w:rsid w:val="00993F6A"/>
    <w:rsid w:val="00995A49"/>
    <w:rsid w:val="00996131"/>
    <w:rsid w:val="009963DA"/>
    <w:rsid w:val="00996A6B"/>
    <w:rsid w:val="0099706A"/>
    <w:rsid w:val="00997079"/>
    <w:rsid w:val="009A08A8"/>
    <w:rsid w:val="009A1FEA"/>
    <w:rsid w:val="009A30F3"/>
    <w:rsid w:val="009A3335"/>
    <w:rsid w:val="009A34EA"/>
    <w:rsid w:val="009A4BFD"/>
    <w:rsid w:val="009A5BBE"/>
    <w:rsid w:val="009A5EF3"/>
    <w:rsid w:val="009A7F07"/>
    <w:rsid w:val="009B0324"/>
    <w:rsid w:val="009B08BF"/>
    <w:rsid w:val="009B2233"/>
    <w:rsid w:val="009B29A4"/>
    <w:rsid w:val="009B3440"/>
    <w:rsid w:val="009B36C9"/>
    <w:rsid w:val="009B4D47"/>
    <w:rsid w:val="009B6992"/>
    <w:rsid w:val="009B74B8"/>
    <w:rsid w:val="009C0C0D"/>
    <w:rsid w:val="009C119B"/>
    <w:rsid w:val="009C386C"/>
    <w:rsid w:val="009C51BC"/>
    <w:rsid w:val="009C6375"/>
    <w:rsid w:val="009C6647"/>
    <w:rsid w:val="009C691C"/>
    <w:rsid w:val="009C6F75"/>
    <w:rsid w:val="009C71D3"/>
    <w:rsid w:val="009C7A21"/>
    <w:rsid w:val="009C7F0C"/>
    <w:rsid w:val="009D13E8"/>
    <w:rsid w:val="009D338B"/>
    <w:rsid w:val="009D3E5F"/>
    <w:rsid w:val="009D4FA3"/>
    <w:rsid w:val="009D5B39"/>
    <w:rsid w:val="009D5D5D"/>
    <w:rsid w:val="009D6355"/>
    <w:rsid w:val="009D63FF"/>
    <w:rsid w:val="009D6749"/>
    <w:rsid w:val="009D6F8F"/>
    <w:rsid w:val="009E071E"/>
    <w:rsid w:val="009E1E00"/>
    <w:rsid w:val="009E2568"/>
    <w:rsid w:val="009E2892"/>
    <w:rsid w:val="009E2BBF"/>
    <w:rsid w:val="009E31C1"/>
    <w:rsid w:val="009E5061"/>
    <w:rsid w:val="009E5962"/>
    <w:rsid w:val="009E6913"/>
    <w:rsid w:val="009E7B42"/>
    <w:rsid w:val="009F0496"/>
    <w:rsid w:val="009F2239"/>
    <w:rsid w:val="009F292C"/>
    <w:rsid w:val="009F3C32"/>
    <w:rsid w:val="009F3C97"/>
    <w:rsid w:val="009F4583"/>
    <w:rsid w:val="009F56FF"/>
    <w:rsid w:val="009F5B7F"/>
    <w:rsid w:val="009F647C"/>
    <w:rsid w:val="00A0000B"/>
    <w:rsid w:val="00A00F74"/>
    <w:rsid w:val="00A0153A"/>
    <w:rsid w:val="00A017C0"/>
    <w:rsid w:val="00A01BB8"/>
    <w:rsid w:val="00A02B53"/>
    <w:rsid w:val="00A0307E"/>
    <w:rsid w:val="00A03E03"/>
    <w:rsid w:val="00A044E6"/>
    <w:rsid w:val="00A046EE"/>
    <w:rsid w:val="00A049AF"/>
    <w:rsid w:val="00A04DF1"/>
    <w:rsid w:val="00A060A5"/>
    <w:rsid w:val="00A06E84"/>
    <w:rsid w:val="00A078CB"/>
    <w:rsid w:val="00A1024F"/>
    <w:rsid w:val="00A10C2A"/>
    <w:rsid w:val="00A11BE7"/>
    <w:rsid w:val="00A12C0F"/>
    <w:rsid w:val="00A13D79"/>
    <w:rsid w:val="00A1421D"/>
    <w:rsid w:val="00A153F6"/>
    <w:rsid w:val="00A16199"/>
    <w:rsid w:val="00A16450"/>
    <w:rsid w:val="00A16612"/>
    <w:rsid w:val="00A200B7"/>
    <w:rsid w:val="00A2049F"/>
    <w:rsid w:val="00A204E3"/>
    <w:rsid w:val="00A208D8"/>
    <w:rsid w:val="00A2274F"/>
    <w:rsid w:val="00A22909"/>
    <w:rsid w:val="00A22918"/>
    <w:rsid w:val="00A230A2"/>
    <w:rsid w:val="00A23AAD"/>
    <w:rsid w:val="00A253F0"/>
    <w:rsid w:val="00A26D5E"/>
    <w:rsid w:val="00A27F76"/>
    <w:rsid w:val="00A3050D"/>
    <w:rsid w:val="00A305EF"/>
    <w:rsid w:val="00A30608"/>
    <w:rsid w:val="00A313C0"/>
    <w:rsid w:val="00A3140B"/>
    <w:rsid w:val="00A322A2"/>
    <w:rsid w:val="00A32ACE"/>
    <w:rsid w:val="00A32CF5"/>
    <w:rsid w:val="00A330F6"/>
    <w:rsid w:val="00A343B7"/>
    <w:rsid w:val="00A35B15"/>
    <w:rsid w:val="00A36611"/>
    <w:rsid w:val="00A40D81"/>
    <w:rsid w:val="00A41562"/>
    <w:rsid w:val="00A42863"/>
    <w:rsid w:val="00A42FD1"/>
    <w:rsid w:val="00A43408"/>
    <w:rsid w:val="00A448DD"/>
    <w:rsid w:val="00A44CBA"/>
    <w:rsid w:val="00A45A9F"/>
    <w:rsid w:val="00A4611E"/>
    <w:rsid w:val="00A4707D"/>
    <w:rsid w:val="00A4763C"/>
    <w:rsid w:val="00A47BB6"/>
    <w:rsid w:val="00A50952"/>
    <w:rsid w:val="00A530D1"/>
    <w:rsid w:val="00A53577"/>
    <w:rsid w:val="00A5399A"/>
    <w:rsid w:val="00A539C2"/>
    <w:rsid w:val="00A55554"/>
    <w:rsid w:val="00A55B74"/>
    <w:rsid w:val="00A571FE"/>
    <w:rsid w:val="00A60458"/>
    <w:rsid w:val="00A604BF"/>
    <w:rsid w:val="00A613E0"/>
    <w:rsid w:val="00A61FE4"/>
    <w:rsid w:val="00A622B0"/>
    <w:rsid w:val="00A623A6"/>
    <w:rsid w:val="00A62A57"/>
    <w:rsid w:val="00A62AC6"/>
    <w:rsid w:val="00A630E8"/>
    <w:rsid w:val="00A635D9"/>
    <w:rsid w:val="00A642B6"/>
    <w:rsid w:val="00A64303"/>
    <w:rsid w:val="00A64EB7"/>
    <w:rsid w:val="00A65CB3"/>
    <w:rsid w:val="00A6685A"/>
    <w:rsid w:val="00A66E83"/>
    <w:rsid w:val="00A70AF0"/>
    <w:rsid w:val="00A716BC"/>
    <w:rsid w:val="00A71E46"/>
    <w:rsid w:val="00A72840"/>
    <w:rsid w:val="00A730EC"/>
    <w:rsid w:val="00A745D4"/>
    <w:rsid w:val="00A75C46"/>
    <w:rsid w:val="00A75E58"/>
    <w:rsid w:val="00A76818"/>
    <w:rsid w:val="00A775D0"/>
    <w:rsid w:val="00A77CBB"/>
    <w:rsid w:val="00A818AB"/>
    <w:rsid w:val="00A82B83"/>
    <w:rsid w:val="00A843B8"/>
    <w:rsid w:val="00A84899"/>
    <w:rsid w:val="00A84F1D"/>
    <w:rsid w:val="00A859BA"/>
    <w:rsid w:val="00A862D8"/>
    <w:rsid w:val="00A8644E"/>
    <w:rsid w:val="00A8774D"/>
    <w:rsid w:val="00A905C9"/>
    <w:rsid w:val="00A90698"/>
    <w:rsid w:val="00A914AF"/>
    <w:rsid w:val="00A91B8F"/>
    <w:rsid w:val="00A91F24"/>
    <w:rsid w:val="00A92092"/>
    <w:rsid w:val="00A924B3"/>
    <w:rsid w:val="00A926B7"/>
    <w:rsid w:val="00A92E41"/>
    <w:rsid w:val="00A93082"/>
    <w:rsid w:val="00A938EF"/>
    <w:rsid w:val="00A94F07"/>
    <w:rsid w:val="00A94FD0"/>
    <w:rsid w:val="00A95FD0"/>
    <w:rsid w:val="00A96637"/>
    <w:rsid w:val="00A96AAB"/>
    <w:rsid w:val="00A96B56"/>
    <w:rsid w:val="00A975C2"/>
    <w:rsid w:val="00A97651"/>
    <w:rsid w:val="00AA0CFA"/>
    <w:rsid w:val="00AA0D6B"/>
    <w:rsid w:val="00AA3ECA"/>
    <w:rsid w:val="00AA50D2"/>
    <w:rsid w:val="00AA5982"/>
    <w:rsid w:val="00AA5B8D"/>
    <w:rsid w:val="00AA6178"/>
    <w:rsid w:val="00AA6B6E"/>
    <w:rsid w:val="00AA6F76"/>
    <w:rsid w:val="00AA7212"/>
    <w:rsid w:val="00AA76D1"/>
    <w:rsid w:val="00AB1ECF"/>
    <w:rsid w:val="00AB1F53"/>
    <w:rsid w:val="00AB2024"/>
    <w:rsid w:val="00AB2FF2"/>
    <w:rsid w:val="00AB4944"/>
    <w:rsid w:val="00AB62FE"/>
    <w:rsid w:val="00AB7061"/>
    <w:rsid w:val="00AC0927"/>
    <w:rsid w:val="00AC0F0C"/>
    <w:rsid w:val="00AC3840"/>
    <w:rsid w:val="00AC448F"/>
    <w:rsid w:val="00AD095F"/>
    <w:rsid w:val="00AD1925"/>
    <w:rsid w:val="00AD198C"/>
    <w:rsid w:val="00AD24F7"/>
    <w:rsid w:val="00AD2733"/>
    <w:rsid w:val="00AD32A4"/>
    <w:rsid w:val="00AD4C40"/>
    <w:rsid w:val="00AD64CF"/>
    <w:rsid w:val="00AD6A1C"/>
    <w:rsid w:val="00AD6B6E"/>
    <w:rsid w:val="00AD6CF4"/>
    <w:rsid w:val="00AD6E20"/>
    <w:rsid w:val="00AD75B5"/>
    <w:rsid w:val="00AE0051"/>
    <w:rsid w:val="00AE2400"/>
    <w:rsid w:val="00AE2B05"/>
    <w:rsid w:val="00AE3376"/>
    <w:rsid w:val="00AE3AB7"/>
    <w:rsid w:val="00AE403D"/>
    <w:rsid w:val="00AE443E"/>
    <w:rsid w:val="00AE489F"/>
    <w:rsid w:val="00AE51DB"/>
    <w:rsid w:val="00AE5F4B"/>
    <w:rsid w:val="00AE6694"/>
    <w:rsid w:val="00AF0033"/>
    <w:rsid w:val="00AF0042"/>
    <w:rsid w:val="00AF12C8"/>
    <w:rsid w:val="00AF1805"/>
    <w:rsid w:val="00AF2477"/>
    <w:rsid w:val="00AF26B6"/>
    <w:rsid w:val="00AF2893"/>
    <w:rsid w:val="00AF2AAA"/>
    <w:rsid w:val="00AF364D"/>
    <w:rsid w:val="00AF43B2"/>
    <w:rsid w:val="00AF4F8E"/>
    <w:rsid w:val="00AF52B4"/>
    <w:rsid w:val="00AF5309"/>
    <w:rsid w:val="00AF53DB"/>
    <w:rsid w:val="00AF6798"/>
    <w:rsid w:val="00B00A57"/>
    <w:rsid w:val="00B01479"/>
    <w:rsid w:val="00B02240"/>
    <w:rsid w:val="00B025A8"/>
    <w:rsid w:val="00B028A1"/>
    <w:rsid w:val="00B02EF4"/>
    <w:rsid w:val="00B03396"/>
    <w:rsid w:val="00B1000F"/>
    <w:rsid w:val="00B11C1F"/>
    <w:rsid w:val="00B126DE"/>
    <w:rsid w:val="00B126F3"/>
    <w:rsid w:val="00B12767"/>
    <w:rsid w:val="00B12AEA"/>
    <w:rsid w:val="00B1407C"/>
    <w:rsid w:val="00B14113"/>
    <w:rsid w:val="00B151EE"/>
    <w:rsid w:val="00B16E64"/>
    <w:rsid w:val="00B16FA7"/>
    <w:rsid w:val="00B170E9"/>
    <w:rsid w:val="00B17754"/>
    <w:rsid w:val="00B17C5E"/>
    <w:rsid w:val="00B2084D"/>
    <w:rsid w:val="00B20E8A"/>
    <w:rsid w:val="00B20FFA"/>
    <w:rsid w:val="00B238A3"/>
    <w:rsid w:val="00B240E1"/>
    <w:rsid w:val="00B254A9"/>
    <w:rsid w:val="00B262BD"/>
    <w:rsid w:val="00B264B2"/>
    <w:rsid w:val="00B26ABE"/>
    <w:rsid w:val="00B272C6"/>
    <w:rsid w:val="00B27D56"/>
    <w:rsid w:val="00B31574"/>
    <w:rsid w:val="00B31723"/>
    <w:rsid w:val="00B31937"/>
    <w:rsid w:val="00B31C93"/>
    <w:rsid w:val="00B321BB"/>
    <w:rsid w:val="00B32A47"/>
    <w:rsid w:val="00B3491A"/>
    <w:rsid w:val="00B34FBE"/>
    <w:rsid w:val="00B357BB"/>
    <w:rsid w:val="00B361EE"/>
    <w:rsid w:val="00B36AC7"/>
    <w:rsid w:val="00B36C38"/>
    <w:rsid w:val="00B375AC"/>
    <w:rsid w:val="00B3789A"/>
    <w:rsid w:val="00B4002D"/>
    <w:rsid w:val="00B401D9"/>
    <w:rsid w:val="00B407EE"/>
    <w:rsid w:val="00B42313"/>
    <w:rsid w:val="00B425B6"/>
    <w:rsid w:val="00B4270A"/>
    <w:rsid w:val="00B42EC0"/>
    <w:rsid w:val="00B45032"/>
    <w:rsid w:val="00B45850"/>
    <w:rsid w:val="00B46230"/>
    <w:rsid w:val="00B464A6"/>
    <w:rsid w:val="00B4732F"/>
    <w:rsid w:val="00B50294"/>
    <w:rsid w:val="00B5186B"/>
    <w:rsid w:val="00B51BBB"/>
    <w:rsid w:val="00B52106"/>
    <w:rsid w:val="00B52386"/>
    <w:rsid w:val="00B52590"/>
    <w:rsid w:val="00B53598"/>
    <w:rsid w:val="00B53D85"/>
    <w:rsid w:val="00B54340"/>
    <w:rsid w:val="00B55630"/>
    <w:rsid w:val="00B56603"/>
    <w:rsid w:val="00B56A1B"/>
    <w:rsid w:val="00B56AE8"/>
    <w:rsid w:val="00B57CCF"/>
    <w:rsid w:val="00B60F69"/>
    <w:rsid w:val="00B613A7"/>
    <w:rsid w:val="00B61910"/>
    <w:rsid w:val="00B61C67"/>
    <w:rsid w:val="00B61E0E"/>
    <w:rsid w:val="00B62C75"/>
    <w:rsid w:val="00B64A91"/>
    <w:rsid w:val="00B64CC6"/>
    <w:rsid w:val="00B64DAE"/>
    <w:rsid w:val="00B64F69"/>
    <w:rsid w:val="00B6625F"/>
    <w:rsid w:val="00B663B6"/>
    <w:rsid w:val="00B6793E"/>
    <w:rsid w:val="00B70C67"/>
    <w:rsid w:val="00B711B5"/>
    <w:rsid w:val="00B71488"/>
    <w:rsid w:val="00B71C92"/>
    <w:rsid w:val="00B724B3"/>
    <w:rsid w:val="00B73344"/>
    <w:rsid w:val="00B739E0"/>
    <w:rsid w:val="00B73E5A"/>
    <w:rsid w:val="00B7401C"/>
    <w:rsid w:val="00B74AF3"/>
    <w:rsid w:val="00B7598C"/>
    <w:rsid w:val="00B7613E"/>
    <w:rsid w:val="00B77556"/>
    <w:rsid w:val="00B808DD"/>
    <w:rsid w:val="00B813A9"/>
    <w:rsid w:val="00B81E6F"/>
    <w:rsid w:val="00B8205F"/>
    <w:rsid w:val="00B82319"/>
    <w:rsid w:val="00B82B61"/>
    <w:rsid w:val="00B82BBB"/>
    <w:rsid w:val="00B82C06"/>
    <w:rsid w:val="00B83551"/>
    <w:rsid w:val="00B86A77"/>
    <w:rsid w:val="00B8739A"/>
    <w:rsid w:val="00B87F24"/>
    <w:rsid w:val="00B903E4"/>
    <w:rsid w:val="00B90C22"/>
    <w:rsid w:val="00B91856"/>
    <w:rsid w:val="00B9261F"/>
    <w:rsid w:val="00B95174"/>
    <w:rsid w:val="00B961FB"/>
    <w:rsid w:val="00B9699F"/>
    <w:rsid w:val="00B97F68"/>
    <w:rsid w:val="00BA0466"/>
    <w:rsid w:val="00BA0B39"/>
    <w:rsid w:val="00BA2260"/>
    <w:rsid w:val="00BA2A46"/>
    <w:rsid w:val="00BA2EE2"/>
    <w:rsid w:val="00BA3902"/>
    <w:rsid w:val="00BA4065"/>
    <w:rsid w:val="00BA4075"/>
    <w:rsid w:val="00BA41CD"/>
    <w:rsid w:val="00BA4B15"/>
    <w:rsid w:val="00BA4E06"/>
    <w:rsid w:val="00BA6D6C"/>
    <w:rsid w:val="00BA6E8F"/>
    <w:rsid w:val="00BA6EED"/>
    <w:rsid w:val="00BA7542"/>
    <w:rsid w:val="00BB13FB"/>
    <w:rsid w:val="00BB3BB1"/>
    <w:rsid w:val="00BB44AE"/>
    <w:rsid w:val="00BB6FB9"/>
    <w:rsid w:val="00BB7E36"/>
    <w:rsid w:val="00BC05E9"/>
    <w:rsid w:val="00BC0DD5"/>
    <w:rsid w:val="00BC124D"/>
    <w:rsid w:val="00BC2598"/>
    <w:rsid w:val="00BC3547"/>
    <w:rsid w:val="00BC5434"/>
    <w:rsid w:val="00BC563A"/>
    <w:rsid w:val="00BC5951"/>
    <w:rsid w:val="00BC6713"/>
    <w:rsid w:val="00BC7BD8"/>
    <w:rsid w:val="00BC7D65"/>
    <w:rsid w:val="00BD0497"/>
    <w:rsid w:val="00BD0FCE"/>
    <w:rsid w:val="00BD13B9"/>
    <w:rsid w:val="00BD15EF"/>
    <w:rsid w:val="00BD20EA"/>
    <w:rsid w:val="00BD2414"/>
    <w:rsid w:val="00BD2565"/>
    <w:rsid w:val="00BD2A95"/>
    <w:rsid w:val="00BD3A04"/>
    <w:rsid w:val="00BD40EF"/>
    <w:rsid w:val="00BD4295"/>
    <w:rsid w:val="00BD461A"/>
    <w:rsid w:val="00BD4B7B"/>
    <w:rsid w:val="00BD5300"/>
    <w:rsid w:val="00BD659F"/>
    <w:rsid w:val="00BD6677"/>
    <w:rsid w:val="00BD68CA"/>
    <w:rsid w:val="00BD719D"/>
    <w:rsid w:val="00BE08C2"/>
    <w:rsid w:val="00BE0900"/>
    <w:rsid w:val="00BE2DE8"/>
    <w:rsid w:val="00BE3756"/>
    <w:rsid w:val="00BE3D8B"/>
    <w:rsid w:val="00BE530C"/>
    <w:rsid w:val="00BE7FE2"/>
    <w:rsid w:val="00BF0FFF"/>
    <w:rsid w:val="00BF2616"/>
    <w:rsid w:val="00BF29FA"/>
    <w:rsid w:val="00BF3078"/>
    <w:rsid w:val="00BF3605"/>
    <w:rsid w:val="00BF3812"/>
    <w:rsid w:val="00BF3CBA"/>
    <w:rsid w:val="00BF4C1D"/>
    <w:rsid w:val="00BF5D0E"/>
    <w:rsid w:val="00BF6FC5"/>
    <w:rsid w:val="00C018AF"/>
    <w:rsid w:val="00C01914"/>
    <w:rsid w:val="00C02C8D"/>
    <w:rsid w:val="00C044CA"/>
    <w:rsid w:val="00C04714"/>
    <w:rsid w:val="00C05DE7"/>
    <w:rsid w:val="00C06F4D"/>
    <w:rsid w:val="00C07E85"/>
    <w:rsid w:val="00C109B6"/>
    <w:rsid w:val="00C110B6"/>
    <w:rsid w:val="00C11436"/>
    <w:rsid w:val="00C1164D"/>
    <w:rsid w:val="00C11767"/>
    <w:rsid w:val="00C122DB"/>
    <w:rsid w:val="00C12663"/>
    <w:rsid w:val="00C130A3"/>
    <w:rsid w:val="00C13A06"/>
    <w:rsid w:val="00C1400E"/>
    <w:rsid w:val="00C14224"/>
    <w:rsid w:val="00C146D3"/>
    <w:rsid w:val="00C14BB6"/>
    <w:rsid w:val="00C14D94"/>
    <w:rsid w:val="00C1524F"/>
    <w:rsid w:val="00C158B8"/>
    <w:rsid w:val="00C15915"/>
    <w:rsid w:val="00C15D5A"/>
    <w:rsid w:val="00C163F0"/>
    <w:rsid w:val="00C167DD"/>
    <w:rsid w:val="00C16E4B"/>
    <w:rsid w:val="00C17002"/>
    <w:rsid w:val="00C17B68"/>
    <w:rsid w:val="00C20030"/>
    <w:rsid w:val="00C20078"/>
    <w:rsid w:val="00C2008D"/>
    <w:rsid w:val="00C21C5E"/>
    <w:rsid w:val="00C21F1C"/>
    <w:rsid w:val="00C2219E"/>
    <w:rsid w:val="00C23E15"/>
    <w:rsid w:val="00C242DC"/>
    <w:rsid w:val="00C2447F"/>
    <w:rsid w:val="00C2459F"/>
    <w:rsid w:val="00C24776"/>
    <w:rsid w:val="00C25CEC"/>
    <w:rsid w:val="00C26EED"/>
    <w:rsid w:val="00C27079"/>
    <w:rsid w:val="00C2788D"/>
    <w:rsid w:val="00C305B8"/>
    <w:rsid w:val="00C3097C"/>
    <w:rsid w:val="00C31ADF"/>
    <w:rsid w:val="00C323DB"/>
    <w:rsid w:val="00C33444"/>
    <w:rsid w:val="00C34064"/>
    <w:rsid w:val="00C34A06"/>
    <w:rsid w:val="00C352D2"/>
    <w:rsid w:val="00C37FAA"/>
    <w:rsid w:val="00C4318C"/>
    <w:rsid w:val="00C435F6"/>
    <w:rsid w:val="00C438D4"/>
    <w:rsid w:val="00C43B7A"/>
    <w:rsid w:val="00C43C97"/>
    <w:rsid w:val="00C44525"/>
    <w:rsid w:val="00C4497F"/>
    <w:rsid w:val="00C455E0"/>
    <w:rsid w:val="00C460AA"/>
    <w:rsid w:val="00C47CD1"/>
    <w:rsid w:val="00C50E30"/>
    <w:rsid w:val="00C520FE"/>
    <w:rsid w:val="00C52261"/>
    <w:rsid w:val="00C5391D"/>
    <w:rsid w:val="00C53E25"/>
    <w:rsid w:val="00C546D2"/>
    <w:rsid w:val="00C54E9C"/>
    <w:rsid w:val="00C551CE"/>
    <w:rsid w:val="00C5622B"/>
    <w:rsid w:val="00C56AAA"/>
    <w:rsid w:val="00C56B53"/>
    <w:rsid w:val="00C572BD"/>
    <w:rsid w:val="00C57499"/>
    <w:rsid w:val="00C60BB2"/>
    <w:rsid w:val="00C611D7"/>
    <w:rsid w:val="00C615A3"/>
    <w:rsid w:val="00C61CE6"/>
    <w:rsid w:val="00C61E9F"/>
    <w:rsid w:val="00C631E2"/>
    <w:rsid w:val="00C637B8"/>
    <w:rsid w:val="00C63B45"/>
    <w:rsid w:val="00C63CA7"/>
    <w:rsid w:val="00C642D0"/>
    <w:rsid w:val="00C653E9"/>
    <w:rsid w:val="00C65C28"/>
    <w:rsid w:val="00C662C8"/>
    <w:rsid w:val="00C6670F"/>
    <w:rsid w:val="00C66878"/>
    <w:rsid w:val="00C6724F"/>
    <w:rsid w:val="00C675DC"/>
    <w:rsid w:val="00C7039E"/>
    <w:rsid w:val="00C71136"/>
    <w:rsid w:val="00C73A01"/>
    <w:rsid w:val="00C73B7E"/>
    <w:rsid w:val="00C752C3"/>
    <w:rsid w:val="00C75546"/>
    <w:rsid w:val="00C81507"/>
    <w:rsid w:val="00C82244"/>
    <w:rsid w:val="00C82964"/>
    <w:rsid w:val="00C82CA2"/>
    <w:rsid w:val="00C84950"/>
    <w:rsid w:val="00C84A64"/>
    <w:rsid w:val="00C84C56"/>
    <w:rsid w:val="00C8618F"/>
    <w:rsid w:val="00C8632C"/>
    <w:rsid w:val="00C871A2"/>
    <w:rsid w:val="00C90EE5"/>
    <w:rsid w:val="00C91176"/>
    <w:rsid w:val="00C9145A"/>
    <w:rsid w:val="00C93329"/>
    <w:rsid w:val="00C9344B"/>
    <w:rsid w:val="00C93996"/>
    <w:rsid w:val="00C9469A"/>
    <w:rsid w:val="00C94AB2"/>
    <w:rsid w:val="00C9589B"/>
    <w:rsid w:val="00C95E64"/>
    <w:rsid w:val="00C95E8E"/>
    <w:rsid w:val="00C969E8"/>
    <w:rsid w:val="00C96FA4"/>
    <w:rsid w:val="00C97248"/>
    <w:rsid w:val="00C97C12"/>
    <w:rsid w:val="00C97CB2"/>
    <w:rsid w:val="00C97D17"/>
    <w:rsid w:val="00CA05D9"/>
    <w:rsid w:val="00CA0865"/>
    <w:rsid w:val="00CA1FFE"/>
    <w:rsid w:val="00CA32E2"/>
    <w:rsid w:val="00CA3C2E"/>
    <w:rsid w:val="00CA3EF4"/>
    <w:rsid w:val="00CA4DEC"/>
    <w:rsid w:val="00CA6298"/>
    <w:rsid w:val="00CA79BC"/>
    <w:rsid w:val="00CA7B55"/>
    <w:rsid w:val="00CB1403"/>
    <w:rsid w:val="00CB3732"/>
    <w:rsid w:val="00CB3D68"/>
    <w:rsid w:val="00CB48AB"/>
    <w:rsid w:val="00CB4F01"/>
    <w:rsid w:val="00CB57AA"/>
    <w:rsid w:val="00CB66DE"/>
    <w:rsid w:val="00CB7B53"/>
    <w:rsid w:val="00CB7E04"/>
    <w:rsid w:val="00CC06FD"/>
    <w:rsid w:val="00CC0FE7"/>
    <w:rsid w:val="00CC307B"/>
    <w:rsid w:val="00CC4F44"/>
    <w:rsid w:val="00CC52D7"/>
    <w:rsid w:val="00CC6826"/>
    <w:rsid w:val="00CD0BB0"/>
    <w:rsid w:val="00CD129D"/>
    <w:rsid w:val="00CD185C"/>
    <w:rsid w:val="00CD18E7"/>
    <w:rsid w:val="00CD1E5C"/>
    <w:rsid w:val="00CD260E"/>
    <w:rsid w:val="00CD563F"/>
    <w:rsid w:val="00CD5D4D"/>
    <w:rsid w:val="00CD5EE0"/>
    <w:rsid w:val="00CD62F4"/>
    <w:rsid w:val="00CD713C"/>
    <w:rsid w:val="00CD722C"/>
    <w:rsid w:val="00CD7A82"/>
    <w:rsid w:val="00CD844B"/>
    <w:rsid w:val="00CE026A"/>
    <w:rsid w:val="00CE169E"/>
    <w:rsid w:val="00CE2316"/>
    <w:rsid w:val="00CE3C7D"/>
    <w:rsid w:val="00CE3D08"/>
    <w:rsid w:val="00CE4C0E"/>
    <w:rsid w:val="00CE4E4E"/>
    <w:rsid w:val="00CE4F26"/>
    <w:rsid w:val="00CE56AF"/>
    <w:rsid w:val="00CE59A3"/>
    <w:rsid w:val="00CE5DF6"/>
    <w:rsid w:val="00CE7039"/>
    <w:rsid w:val="00CE73A3"/>
    <w:rsid w:val="00CE74C9"/>
    <w:rsid w:val="00CE784C"/>
    <w:rsid w:val="00CF00C9"/>
    <w:rsid w:val="00CF0A8D"/>
    <w:rsid w:val="00CF0DAF"/>
    <w:rsid w:val="00CF173E"/>
    <w:rsid w:val="00CF32A5"/>
    <w:rsid w:val="00CF4256"/>
    <w:rsid w:val="00CF785F"/>
    <w:rsid w:val="00D006C5"/>
    <w:rsid w:val="00D01855"/>
    <w:rsid w:val="00D02439"/>
    <w:rsid w:val="00D034CC"/>
    <w:rsid w:val="00D05F22"/>
    <w:rsid w:val="00D061BF"/>
    <w:rsid w:val="00D06CE7"/>
    <w:rsid w:val="00D06DB8"/>
    <w:rsid w:val="00D07BFE"/>
    <w:rsid w:val="00D106E9"/>
    <w:rsid w:val="00D11466"/>
    <w:rsid w:val="00D119D4"/>
    <w:rsid w:val="00D11AE0"/>
    <w:rsid w:val="00D1232E"/>
    <w:rsid w:val="00D128E6"/>
    <w:rsid w:val="00D12B49"/>
    <w:rsid w:val="00D12BEF"/>
    <w:rsid w:val="00D1426F"/>
    <w:rsid w:val="00D146B5"/>
    <w:rsid w:val="00D149EE"/>
    <w:rsid w:val="00D14A96"/>
    <w:rsid w:val="00D1528B"/>
    <w:rsid w:val="00D15600"/>
    <w:rsid w:val="00D1586E"/>
    <w:rsid w:val="00D15875"/>
    <w:rsid w:val="00D21145"/>
    <w:rsid w:val="00D215DA"/>
    <w:rsid w:val="00D218DC"/>
    <w:rsid w:val="00D21FE5"/>
    <w:rsid w:val="00D2201E"/>
    <w:rsid w:val="00D22FAF"/>
    <w:rsid w:val="00D23EF3"/>
    <w:rsid w:val="00D23FDA"/>
    <w:rsid w:val="00D24C20"/>
    <w:rsid w:val="00D24CBB"/>
    <w:rsid w:val="00D254A3"/>
    <w:rsid w:val="00D25BF6"/>
    <w:rsid w:val="00D25C76"/>
    <w:rsid w:val="00D25E54"/>
    <w:rsid w:val="00D26113"/>
    <w:rsid w:val="00D2766E"/>
    <w:rsid w:val="00D277CA"/>
    <w:rsid w:val="00D27A9B"/>
    <w:rsid w:val="00D30846"/>
    <w:rsid w:val="00D30CE7"/>
    <w:rsid w:val="00D32B90"/>
    <w:rsid w:val="00D333E3"/>
    <w:rsid w:val="00D334C7"/>
    <w:rsid w:val="00D336A8"/>
    <w:rsid w:val="00D33AF9"/>
    <w:rsid w:val="00D34AE5"/>
    <w:rsid w:val="00D35EAC"/>
    <w:rsid w:val="00D36987"/>
    <w:rsid w:val="00D37132"/>
    <w:rsid w:val="00D37190"/>
    <w:rsid w:val="00D3741F"/>
    <w:rsid w:val="00D378DE"/>
    <w:rsid w:val="00D37EF0"/>
    <w:rsid w:val="00D40674"/>
    <w:rsid w:val="00D4082A"/>
    <w:rsid w:val="00D41C82"/>
    <w:rsid w:val="00D42CB3"/>
    <w:rsid w:val="00D43A90"/>
    <w:rsid w:val="00D44187"/>
    <w:rsid w:val="00D443C6"/>
    <w:rsid w:val="00D449F5"/>
    <w:rsid w:val="00D44C7F"/>
    <w:rsid w:val="00D4510E"/>
    <w:rsid w:val="00D46450"/>
    <w:rsid w:val="00D46A1A"/>
    <w:rsid w:val="00D46B3F"/>
    <w:rsid w:val="00D46FE7"/>
    <w:rsid w:val="00D51F4D"/>
    <w:rsid w:val="00D52133"/>
    <w:rsid w:val="00D52A47"/>
    <w:rsid w:val="00D53B94"/>
    <w:rsid w:val="00D53BF2"/>
    <w:rsid w:val="00D53DF8"/>
    <w:rsid w:val="00D54072"/>
    <w:rsid w:val="00D5444D"/>
    <w:rsid w:val="00D54480"/>
    <w:rsid w:val="00D54640"/>
    <w:rsid w:val="00D54D60"/>
    <w:rsid w:val="00D5698D"/>
    <w:rsid w:val="00D572D2"/>
    <w:rsid w:val="00D60146"/>
    <w:rsid w:val="00D6026B"/>
    <w:rsid w:val="00D61031"/>
    <w:rsid w:val="00D61CD2"/>
    <w:rsid w:val="00D61D77"/>
    <w:rsid w:val="00D6333A"/>
    <w:rsid w:val="00D6333F"/>
    <w:rsid w:val="00D6352D"/>
    <w:rsid w:val="00D63CCA"/>
    <w:rsid w:val="00D64482"/>
    <w:rsid w:val="00D64E7C"/>
    <w:rsid w:val="00D65AF4"/>
    <w:rsid w:val="00D66651"/>
    <w:rsid w:val="00D66C86"/>
    <w:rsid w:val="00D673FE"/>
    <w:rsid w:val="00D70818"/>
    <w:rsid w:val="00D70C82"/>
    <w:rsid w:val="00D719E0"/>
    <w:rsid w:val="00D71AC4"/>
    <w:rsid w:val="00D71E7E"/>
    <w:rsid w:val="00D72A9E"/>
    <w:rsid w:val="00D73581"/>
    <w:rsid w:val="00D7395C"/>
    <w:rsid w:val="00D74687"/>
    <w:rsid w:val="00D7495B"/>
    <w:rsid w:val="00D7577B"/>
    <w:rsid w:val="00D763C2"/>
    <w:rsid w:val="00D76DA5"/>
    <w:rsid w:val="00D77EF7"/>
    <w:rsid w:val="00D77F1A"/>
    <w:rsid w:val="00D80EB4"/>
    <w:rsid w:val="00D80EFB"/>
    <w:rsid w:val="00D8102A"/>
    <w:rsid w:val="00D82353"/>
    <w:rsid w:val="00D827C3"/>
    <w:rsid w:val="00D82E64"/>
    <w:rsid w:val="00D83085"/>
    <w:rsid w:val="00D837CC"/>
    <w:rsid w:val="00D83931"/>
    <w:rsid w:val="00D83BFB"/>
    <w:rsid w:val="00D84C52"/>
    <w:rsid w:val="00D857E0"/>
    <w:rsid w:val="00D86994"/>
    <w:rsid w:val="00D877FE"/>
    <w:rsid w:val="00D92B26"/>
    <w:rsid w:val="00D937EE"/>
    <w:rsid w:val="00D93AD6"/>
    <w:rsid w:val="00D942F8"/>
    <w:rsid w:val="00D94F86"/>
    <w:rsid w:val="00D95A91"/>
    <w:rsid w:val="00D96138"/>
    <w:rsid w:val="00D97923"/>
    <w:rsid w:val="00DA04EB"/>
    <w:rsid w:val="00DA0A20"/>
    <w:rsid w:val="00DA277A"/>
    <w:rsid w:val="00DA48DA"/>
    <w:rsid w:val="00DA58F3"/>
    <w:rsid w:val="00DA6E38"/>
    <w:rsid w:val="00DA76C3"/>
    <w:rsid w:val="00DA7BF5"/>
    <w:rsid w:val="00DB10B0"/>
    <w:rsid w:val="00DB12E0"/>
    <w:rsid w:val="00DB2457"/>
    <w:rsid w:val="00DB29A0"/>
    <w:rsid w:val="00DB32CC"/>
    <w:rsid w:val="00DB332A"/>
    <w:rsid w:val="00DB37B6"/>
    <w:rsid w:val="00DB405F"/>
    <w:rsid w:val="00DB47AB"/>
    <w:rsid w:val="00DB6181"/>
    <w:rsid w:val="00DC001F"/>
    <w:rsid w:val="00DC04F0"/>
    <w:rsid w:val="00DC082E"/>
    <w:rsid w:val="00DC0B85"/>
    <w:rsid w:val="00DC1BA4"/>
    <w:rsid w:val="00DC1BC6"/>
    <w:rsid w:val="00DC1F40"/>
    <w:rsid w:val="00DC2763"/>
    <w:rsid w:val="00DC2CB5"/>
    <w:rsid w:val="00DC3931"/>
    <w:rsid w:val="00DC4A4E"/>
    <w:rsid w:val="00DC4C02"/>
    <w:rsid w:val="00DC52B4"/>
    <w:rsid w:val="00DC543B"/>
    <w:rsid w:val="00DC6585"/>
    <w:rsid w:val="00DC6CB1"/>
    <w:rsid w:val="00DC7042"/>
    <w:rsid w:val="00DC708F"/>
    <w:rsid w:val="00DC71AF"/>
    <w:rsid w:val="00DC71C4"/>
    <w:rsid w:val="00DC7AA4"/>
    <w:rsid w:val="00DC7C06"/>
    <w:rsid w:val="00DD029F"/>
    <w:rsid w:val="00DD0A72"/>
    <w:rsid w:val="00DD10AB"/>
    <w:rsid w:val="00DD15C7"/>
    <w:rsid w:val="00DD3404"/>
    <w:rsid w:val="00DD4B95"/>
    <w:rsid w:val="00DD5993"/>
    <w:rsid w:val="00DD6025"/>
    <w:rsid w:val="00DD61B6"/>
    <w:rsid w:val="00DE01B2"/>
    <w:rsid w:val="00DE0A72"/>
    <w:rsid w:val="00DE2D01"/>
    <w:rsid w:val="00DE36CA"/>
    <w:rsid w:val="00DE40B7"/>
    <w:rsid w:val="00DE4111"/>
    <w:rsid w:val="00DE496C"/>
    <w:rsid w:val="00DE4C8F"/>
    <w:rsid w:val="00DE4F01"/>
    <w:rsid w:val="00DE6640"/>
    <w:rsid w:val="00DE677E"/>
    <w:rsid w:val="00DE683A"/>
    <w:rsid w:val="00DE6FE8"/>
    <w:rsid w:val="00DE7C45"/>
    <w:rsid w:val="00DF04A7"/>
    <w:rsid w:val="00DF1412"/>
    <w:rsid w:val="00DF1930"/>
    <w:rsid w:val="00DF42C6"/>
    <w:rsid w:val="00DF4DCA"/>
    <w:rsid w:val="00DF5079"/>
    <w:rsid w:val="00DF5700"/>
    <w:rsid w:val="00DF709C"/>
    <w:rsid w:val="00E000E3"/>
    <w:rsid w:val="00E00D78"/>
    <w:rsid w:val="00E015E4"/>
    <w:rsid w:val="00E028C5"/>
    <w:rsid w:val="00E029C6"/>
    <w:rsid w:val="00E03F61"/>
    <w:rsid w:val="00E054C0"/>
    <w:rsid w:val="00E05845"/>
    <w:rsid w:val="00E07206"/>
    <w:rsid w:val="00E10E58"/>
    <w:rsid w:val="00E1104C"/>
    <w:rsid w:val="00E1117D"/>
    <w:rsid w:val="00E111E0"/>
    <w:rsid w:val="00E11B92"/>
    <w:rsid w:val="00E11F86"/>
    <w:rsid w:val="00E12FA8"/>
    <w:rsid w:val="00E131EE"/>
    <w:rsid w:val="00E132F3"/>
    <w:rsid w:val="00E147AB"/>
    <w:rsid w:val="00E15537"/>
    <w:rsid w:val="00E155E4"/>
    <w:rsid w:val="00E15E31"/>
    <w:rsid w:val="00E162C4"/>
    <w:rsid w:val="00E20339"/>
    <w:rsid w:val="00E20D74"/>
    <w:rsid w:val="00E212D5"/>
    <w:rsid w:val="00E21D6A"/>
    <w:rsid w:val="00E22C40"/>
    <w:rsid w:val="00E23C7D"/>
    <w:rsid w:val="00E2460D"/>
    <w:rsid w:val="00E24A1A"/>
    <w:rsid w:val="00E24AF7"/>
    <w:rsid w:val="00E255B0"/>
    <w:rsid w:val="00E25ED6"/>
    <w:rsid w:val="00E2631F"/>
    <w:rsid w:val="00E3035C"/>
    <w:rsid w:val="00E30550"/>
    <w:rsid w:val="00E30E10"/>
    <w:rsid w:val="00E31134"/>
    <w:rsid w:val="00E311D3"/>
    <w:rsid w:val="00E34270"/>
    <w:rsid w:val="00E35024"/>
    <w:rsid w:val="00E3521A"/>
    <w:rsid w:val="00E35289"/>
    <w:rsid w:val="00E359C0"/>
    <w:rsid w:val="00E35A35"/>
    <w:rsid w:val="00E36FEB"/>
    <w:rsid w:val="00E370C3"/>
    <w:rsid w:val="00E37284"/>
    <w:rsid w:val="00E37D1A"/>
    <w:rsid w:val="00E41342"/>
    <w:rsid w:val="00E43907"/>
    <w:rsid w:val="00E43AFD"/>
    <w:rsid w:val="00E43DEA"/>
    <w:rsid w:val="00E4422D"/>
    <w:rsid w:val="00E44524"/>
    <w:rsid w:val="00E44567"/>
    <w:rsid w:val="00E44761"/>
    <w:rsid w:val="00E45246"/>
    <w:rsid w:val="00E45FFC"/>
    <w:rsid w:val="00E473AD"/>
    <w:rsid w:val="00E474F3"/>
    <w:rsid w:val="00E50700"/>
    <w:rsid w:val="00E51C82"/>
    <w:rsid w:val="00E51FCE"/>
    <w:rsid w:val="00E53CB9"/>
    <w:rsid w:val="00E542F3"/>
    <w:rsid w:val="00E56796"/>
    <w:rsid w:val="00E57D4D"/>
    <w:rsid w:val="00E62551"/>
    <w:rsid w:val="00E627EC"/>
    <w:rsid w:val="00E6329A"/>
    <w:rsid w:val="00E632C3"/>
    <w:rsid w:val="00E64CF7"/>
    <w:rsid w:val="00E6575C"/>
    <w:rsid w:val="00E65844"/>
    <w:rsid w:val="00E66E92"/>
    <w:rsid w:val="00E7062A"/>
    <w:rsid w:val="00E70CA1"/>
    <w:rsid w:val="00E7291F"/>
    <w:rsid w:val="00E72A17"/>
    <w:rsid w:val="00E736D7"/>
    <w:rsid w:val="00E7376F"/>
    <w:rsid w:val="00E757BC"/>
    <w:rsid w:val="00E760B3"/>
    <w:rsid w:val="00E76125"/>
    <w:rsid w:val="00E76719"/>
    <w:rsid w:val="00E770A6"/>
    <w:rsid w:val="00E7793F"/>
    <w:rsid w:val="00E80464"/>
    <w:rsid w:val="00E81A5D"/>
    <w:rsid w:val="00E834C0"/>
    <w:rsid w:val="00E8377A"/>
    <w:rsid w:val="00E83789"/>
    <w:rsid w:val="00E839B1"/>
    <w:rsid w:val="00E8476B"/>
    <w:rsid w:val="00E8495C"/>
    <w:rsid w:val="00E858BA"/>
    <w:rsid w:val="00E8669E"/>
    <w:rsid w:val="00E8744F"/>
    <w:rsid w:val="00E90C0F"/>
    <w:rsid w:val="00E91C83"/>
    <w:rsid w:val="00E9216D"/>
    <w:rsid w:val="00E92569"/>
    <w:rsid w:val="00E94987"/>
    <w:rsid w:val="00E96C64"/>
    <w:rsid w:val="00E97D4A"/>
    <w:rsid w:val="00EA1C51"/>
    <w:rsid w:val="00EA2963"/>
    <w:rsid w:val="00EA2DBA"/>
    <w:rsid w:val="00EA3D47"/>
    <w:rsid w:val="00EA4FF8"/>
    <w:rsid w:val="00EA696D"/>
    <w:rsid w:val="00EA758D"/>
    <w:rsid w:val="00EB0D8F"/>
    <w:rsid w:val="00EB0F4C"/>
    <w:rsid w:val="00EB1713"/>
    <w:rsid w:val="00EB17B4"/>
    <w:rsid w:val="00EB1895"/>
    <w:rsid w:val="00EB1B23"/>
    <w:rsid w:val="00EB25E0"/>
    <w:rsid w:val="00EB2F8D"/>
    <w:rsid w:val="00EB34A7"/>
    <w:rsid w:val="00EB4175"/>
    <w:rsid w:val="00EB49BA"/>
    <w:rsid w:val="00EB4E21"/>
    <w:rsid w:val="00EB5532"/>
    <w:rsid w:val="00EB6BFE"/>
    <w:rsid w:val="00EB79EF"/>
    <w:rsid w:val="00EB7A40"/>
    <w:rsid w:val="00EC01EB"/>
    <w:rsid w:val="00EC08F3"/>
    <w:rsid w:val="00EC32CC"/>
    <w:rsid w:val="00EC38C0"/>
    <w:rsid w:val="00EC4F0C"/>
    <w:rsid w:val="00EC541E"/>
    <w:rsid w:val="00EC545D"/>
    <w:rsid w:val="00EC61EB"/>
    <w:rsid w:val="00ED06AF"/>
    <w:rsid w:val="00ED0A62"/>
    <w:rsid w:val="00ED12D7"/>
    <w:rsid w:val="00ED1B4A"/>
    <w:rsid w:val="00ED2129"/>
    <w:rsid w:val="00ED2438"/>
    <w:rsid w:val="00ED27A3"/>
    <w:rsid w:val="00ED35BC"/>
    <w:rsid w:val="00ED44A6"/>
    <w:rsid w:val="00ED44B6"/>
    <w:rsid w:val="00ED4ED8"/>
    <w:rsid w:val="00ED5D73"/>
    <w:rsid w:val="00ED69D3"/>
    <w:rsid w:val="00ED6F58"/>
    <w:rsid w:val="00ED7414"/>
    <w:rsid w:val="00ED7C97"/>
    <w:rsid w:val="00EE077A"/>
    <w:rsid w:val="00EE17E3"/>
    <w:rsid w:val="00EE30A9"/>
    <w:rsid w:val="00EE39D6"/>
    <w:rsid w:val="00EE4CF7"/>
    <w:rsid w:val="00EE544B"/>
    <w:rsid w:val="00EE6A0A"/>
    <w:rsid w:val="00EE7128"/>
    <w:rsid w:val="00EE747E"/>
    <w:rsid w:val="00EE78DE"/>
    <w:rsid w:val="00EF09C7"/>
    <w:rsid w:val="00EF2B77"/>
    <w:rsid w:val="00EF3550"/>
    <w:rsid w:val="00EF453D"/>
    <w:rsid w:val="00EF591C"/>
    <w:rsid w:val="00EF5B3F"/>
    <w:rsid w:val="00EF6C89"/>
    <w:rsid w:val="00EF6CA9"/>
    <w:rsid w:val="00F007CC"/>
    <w:rsid w:val="00F0113F"/>
    <w:rsid w:val="00F014A3"/>
    <w:rsid w:val="00F0243D"/>
    <w:rsid w:val="00F03DFA"/>
    <w:rsid w:val="00F055F1"/>
    <w:rsid w:val="00F05765"/>
    <w:rsid w:val="00F059E1"/>
    <w:rsid w:val="00F06897"/>
    <w:rsid w:val="00F07376"/>
    <w:rsid w:val="00F07511"/>
    <w:rsid w:val="00F076F0"/>
    <w:rsid w:val="00F07DEC"/>
    <w:rsid w:val="00F112A5"/>
    <w:rsid w:val="00F11543"/>
    <w:rsid w:val="00F124FD"/>
    <w:rsid w:val="00F127D5"/>
    <w:rsid w:val="00F13397"/>
    <w:rsid w:val="00F143C1"/>
    <w:rsid w:val="00F21700"/>
    <w:rsid w:val="00F21EE3"/>
    <w:rsid w:val="00F2289C"/>
    <w:rsid w:val="00F22B6C"/>
    <w:rsid w:val="00F23369"/>
    <w:rsid w:val="00F24036"/>
    <w:rsid w:val="00F247A7"/>
    <w:rsid w:val="00F24822"/>
    <w:rsid w:val="00F24864"/>
    <w:rsid w:val="00F25464"/>
    <w:rsid w:val="00F259B1"/>
    <w:rsid w:val="00F26B6A"/>
    <w:rsid w:val="00F26BE7"/>
    <w:rsid w:val="00F26BEF"/>
    <w:rsid w:val="00F272E7"/>
    <w:rsid w:val="00F30C5E"/>
    <w:rsid w:val="00F3179A"/>
    <w:rsid w:val="00F330D1"/>
    <w:rsid w:val="00F33A8E"/>
    <w:rsid w:val="00F3467A"/>
    <w:rsid w:val="00F348B4"/>
    <w:rsid w:val="00F34E20"/>
    <w:rsid w:val="00F3511F"/>
    <w:rsid w:val="00F35846"/>
    <w:rsid w:val="00F367A4"/>
    <w:rsid w:val="00F41E29"/>
    <w:rsid w:val="00F422FB"/>
    <w:rsid w:val="00F4310B"/>
    <w:rsid w:val="00F438E7"/>
    <w:rsid w:val="00F443AE"/>
    <w:rsid w:val="00F4481E"/>
    <w:rsid w:val="00F46D31"/>
    <w:rsid w:val="00F476D4"/>
    <w:rsid w:val="00F47A40"/>
    <w:rsid w:val="00F52481"/>
    <w:rsid w:val="00F527EE"/>
    <w:rsid w:val="00F56C31"/>
    <w:rsid w:val="00F56EED"/>
    <w:rsid w:val="00F57388"/>
    <w:rsid w:val="00F579FF"/>
    <w:rsid w:val="00F61285"/>
    <w:rsid w:val="00F614FD"/>
    <w:rsid w:val="00F6228C"/>
    <w:rsid w:val="00F6239C"/>
    <w:rsid w:val="00F62922"/>
    <w:rsid w:val="00F62F15"/>
    <w:rsid w:val="00F6301C"/>
    <w:rsid w:val="00F64883"/>
    <w:rsid w:val="00F652E4"/>
    <w:rsid w:val="00F65D90"/>
    <w:rsid w:val="00F66EB2"/>
    <w:rsid w:val="00F6721B"/>
    <w:rsid w:val="00F67668"/>
    <w:rsid w:val="00F7057B"/>
    <w:rsid w:val="00F706E4"/>
    <w:rsid w:val="00F71423"/>
    <w:rsid w:val="00F7190E"/>
    <w:rsid w:val="00F74F1B"/>
    <w:rsid w:val="00F7570B"/>
    <w:rsid w:val="00F75715"/>
    <w:rsid w:val="00F75E8D"/>
    <w:rsid w:val="00F7619B"/>
    <w:rsid w:val="00F772AF"/>
    <w:rsid w:val="00F81865"/>
    <w:rsid w:val="00F823F3"/>
    <w:rsid w:val="00F829EA"/>
    <w:rsid w:val="00F84AB6"/>
    <w:rsid w:val="00F851D8"/>
    <w:rsid w:val="00F85961"/>
    <w:rsid w:val="00F85A49"/>
    <w:rsid w:val="00F86795"/>
    <w:rsid w:val="00F86805"/>
    <w:rsid w:val="00F86A4F"/>
    <w:rsid w:val="00F8786E"/>
    <w:rsid w:val="00F90524"/>
    <w:rsid w:val="00F92157"/>
    <w:rsid w:val="00F93E65"/>
    <w:rsid w:val="00F94140"/>
    <w:rsid w:val="00F94992"/>
    <w:rsid w:val="00F94AE8"/>
    <w:rsid w:val="00F96509"/>
    <w:rsid w:val="00F965A6"/>
    <w:rsid w:val="00F9662B"/>
    <w:rsid w:val="00F971E0"/>
    <w:rsid w:val="00FA00DD"/>
    <w:rsid w:val="00FA16E3"/>
    <w:rsid w:val="00FA18C8"/>
    <w:rsid w:val="00FA2091"/>
    <w:rsid w:val="00FA2389"/>
    <w:rsid w:val="00FA2576"/>
    <w:rsid w:val="00FA33F0"/>
    <w:rsid w:val="00FA3479"/>
    <w:rsid w:val="00FA4B36"/>
    <w:rsid w:val="00FA77B7"/>
    <w:rsid w:val="00FB010F"/>
    <w:rsid w:val="00FB05AB"/>
    <w:rsid w:val="00FB1734"/>
    <w:rsid w:val="00FB1FD3"/>
    <w:rsid w:val="00FB48DB"/>
    <w:rsid w:val="00FB4FCC"/>
    <w:rsid w:val="00FB64FF"/>
    <w:rsid w:val="00FB67B1"/>
    <w:rsid w:val="00FB7556"/>
    <w:rsid w:val="00FB7662"/>
    <w:rsid w:val="00FB77E2"/>
    <w:rsid w:val="00FC2605"/>
    <w:rsid w:val="00FC4332"/>
    <w:rsid w:val="00FC718D"/>
    <w:rsid w:val="00FC732D"/>
    <w:rsid w:val="00FD0C41"/>
    <w:rsid w:val="00FD0E11"/>
    <w:rsid w:val="00FD0F11"/>
    <w:rsid w:val="00FD3105"/>
    <w:rsid w:val="00FD347B"/>
    <w:rsid w:val="00FD36E0"/>
    <w:rsid w:val="00FD4B45"/>
    <w:rsid w:val="00FD67C7"/>
    <w:rsid w:val="00FD730D"/>
    <w:rsid w:val="00FD746D"/>
    <w:rsid w:val="00FD74C8"/>
    <w:rsid w:val="00FE0D3C"/>
    <w:rsid w:val="00FE11B7"/>
    <w:rsid w:val="00FE2B24"/>
    <w:rsid w:val="00FE4BC5"/>
    <w:rsid w:val="00FE51B5"/>
    <w:rsid w:val="00FE53C2"/>
    <w:rsid w:val="00FE5C50"/>
    <w:rsid w:val="00FE614D"/>
    <w:rsid w:val="00FE63E8"/>
    <w:rsid w:val="00FE6C0A"/>
    <w:rsid w:val="00FE7CBC"/>
    <w:rsid w:val="00FF0609"/>
    <w:rsid w:val="00FF082B"/>
    <w:rsid w:val="00FF0D69"/>
    <w:rsid w:val="00FF197E"/>
    <w:rsid w:val="00FF29BE"/>
    <w:rsid w:val="00FF3124"/>
    <w:rsid w:val="00FF3909"/>
    <w:rsid w:val="00FF3C58"/>
    <w:rsid w:val="00FF4464"/>
    <w:rsid w:val="00FF4EA5"/>
    <w:rsid w:val="00FF571C"/>
    <w:rsid w:val="00FF5730"/>
    <w:rsid w:val="00FF5A20"/>
    <w:rsid w:val="00FF5B70"/>
    <w:rsid w:val="00FF7035"/>
    <w:rsid w:val="01112D90"/>
    <w:rsid w:val="011B8D16"/>
    <w:rsid w:val="012F3935"/>
    <w:rsid w:val="0148B565"/>
    <w:rsid w:val="01FA653B"/>
    <w:rsid w:val="025C1AE9"/>
    <w:rsid w:val="0284105B"/>
    <w:rsid w:val="029DFAF1"/>
    <w:rsid w:val="02AFE634"/>
    <w:rsid w:val="02D088DA"/>
    <w:rsid w:val="030F3E60"/>
    <w:rsid w:val="03145C4D"/>
    <w:rsid w:val="035F2B08"/>
    <w:rsid w:val="03A230B9"/>
    <w:rsid w:val="03A5AA2C"/>
    <w:rsid w:val="03AFABD7"/>
    <w:rsid w:val="03B202BA"/>
    <w:rsid w:val="03DA6A44"/>
    <w:rsid w:val="03F1ABED"/>
    <w:rsid w:val="03FE9A4B"/>
    <w:rsid w:val="045713F7"/>
    <w:rsid w:val="04736E31"/>
    <w:rsid w:val="04824DA3"/>
    <w:rsid w:val="049FAF53"/>
    <w:rsid w:val="04C3BAE2"/>
    <w:rsid w:val="04FA893E"/>
    <w:rsid w:val="0505F602"/>
    <w:rsid w:val="055788DA"/>
    <w:rsid w:val="058465FF"/>
    <w:rsid w:val="05A81C97"/>
    <w:rsid w:val="06EBA3DE"/>
    <w:rsid w:val="06F78505"/>
    <w:rsid w:val="07265A31"/>
    <w:rsid w:val="077C4B1D"/>
    <w:rsid w:val="078EB77B"/>
    <w:rsid w:val="079B96D1"/>
    <w:rsid w:val="07B09B25"/>
    <w:rsid w:val="08118C87"/>
    <w:rsid w:val="0833A364"/>
    <w:rsid w:val="084E5A70"/>
    <w:rsid w:val="086CBD31"/>
    <w:rsid w:val="0923AD95"/>
    <w:rsid w:val="09B0AC46"/>
    <w:rsid w:val="0A439E9A"/>
    <w:rsid w:val="0B17CDDD"/>
    <w:rsid w:val="0B2EAF45"/>
    <w:rsid w:val="0B70C230"/>
    <w:rsid w:val="0B7CE0A2"/>
    <w:rsid w:val="0BB83991"/>
    <w:rsid w:val="0BBE2234"/>
    <w:rsid w:val="0BC40492"/>
    <w:rsid w:val="0C1FDF46"/>
    <w:rsid w:val="0C29DC3C"/>
    <w:rsid w:val="0CBF988E"/>
    <w:rsid w:val="0CC9BF83"/>
    <w:rsid w:val="0CFE1208"/>
    <w:rsid w:val="0D1C3755"/>
    <w:rsid w:val="0D87D2C7"/>
    <w:rsid w:val="0DB32383"/>
    <w:rsid w:val="0E609BFA"/>
    <w:rsid w:val="0E85443B"/>
    <w:rsid w:val="0E8FC80F"/>
    <w:rsid w:val="0E9ABF7D"/>
    <w:rsid w:val="0EAC2132"/>
    <w:rsid w:val="0F0A2EAB"/>
    <w:rsid w:val="0F68661E"/>
    <w:rsid w:val="0FF6D6B0"/>
    <w:rsid w:val="103CE6D4"/>
    <w:rsid w:val="104635E1"/>
    <w:rsid w:val="107855DD"/>
    <w:rsid w:val="10A7865B"/>
    <w:rsid w:val="111A4357"/>
    <w:rsid w:val="111B0695"/>
    <w:rsid w:val="119764C0"/>
    <w:rsid w:val="11A3CF18"/>
    <w:rsid w:val="11AF0584"/>
    <w:rsid w:val="11C7908F"/>
    <w:rsid w:val="11D98FBB"/>
    <w:rsid w:val="1214EE4D"/>
    <w:rsid w:val="1231D921"/>
    <w:rsid w:val="12948A95"/>
    <w:rsid w:val="1297889F"/>
    <w:rsid w:val="129982F4"/>
    <w:rsid w:val="12A65E58"/>
    <w:rsid w:val="136B5850"/>
    <w:rsid w:val="13D3FDC3"/>
    <w:rsid w:val="13F649F6"/>
    <w:rsid w:val="143066A7"/>
    <w:rsid w:val="15B267F0"/>
    <w:rsid w:val="15BFCD2E"/>
    <w:rsid w:val="15CED49D"/>
    <w:rsid w:val="15E48BC2"/>
    <w:rsid w:val="16272ECA"/>
    <w:rsid w:val="162A8308"/>
    <w:rsid w:val="1658B941"/>
    <w:rsid w:val="1710994A"/>
    <w:rsid w:val="17994D56"/>
    <w:rsid w:val="1834506A"/>
    <w:rsid w:val="1843A830"/>
    <w:rsid w:val="184BD477"/>
    <w:rsid w:val="18C7375B"/>
    <w:rsid w:val="194188F4"/>
    <w:rsid w:val="195783BE"/>
    <w:rsid w:val="19B233D8"/>
    <w:rsid w:val="19F27724"/>
    <w:rsid w:val="19F65AF4"/>
    <w:rsid w:val="1A40250B"/>
    <w:rsid w:val="1A85EAFD"/>
    <w:rsid w:val="1AB45F4A"/>
    <w:rsid w:val="1B054BD6"/>
    <w:rsid w:val="1B06BD82"/>
    <w:rsid w:val="1B2007F9"/>
    <w:rsid w:val="1B2BBAD0"/>
    <w:rsid w:val="1B369D5E"/>
    <w:rsid w:val="1BAFB6B4"/>
    <w:rsid w:val="1BC07675"/>
    <w:rsid w:val="1BC95FC0"/>
    <w:rsid w:val="1BCCAA9D"/>
    <w:rsid w:val="1C1904BD"/>
    <w:rsid w:val="1C4A39AB"/>
    <w:rsid w:val="1C5321BD"/>
    <w:rsid w:val="1C563ACF"/>
    <w:rsid w:val="1C86ECA4"/>
    <w:rsid w:val="1CB0C395"/>
    <w:rsid w:val="1CDD5ADC"/>
    <w:rsid w:val="1CEE9210"/>
    <w:rsid w:val="1D42AF56"/>
    <w:rsid w:val="1F3BFA54"/>
    <w:rsid w:val="1F53BB96"/>
    <w:rsid w:val="1F7E1A02"/>
    <w:rsid w:val="1F9226A5"/>
    <w:rsid w:val="1FFB9758"/>
    <w:rsid w:val="1FFDCB92"/>
    <w:rsid w:val="2007B110"/>
    <w:rsid w:val="2051C54F"/>
    <w:rsid w:val="206AE3D7"/>
    <w:rsid w:val="208AB1AF"/>
    <w:rsid w:val="20BE5616"/>
    <w:rsid w:val="210292BA"/>
    <w:rsid w:val="21133B6D"/>
    <w:rsid w:val="211E8C90"/>
    <w:rsid w:val="21C01533"/>
    <w:rsid w:val="21DD01F5"/>
    <w:rsid w:val="22B2E51B"/>
    <w:rsid w:val="22C130E8"/>
    <w:rsid w:val="22E699DA"/>
    <w:rsid w:val="22F51143"/>
    <w:rsid w:val="234DC129"/>
    <w:rsid w:val="23A0DD16"/>
    <w:rsid w:val="23B089A7"/>
    <w:rsid w:val="23C044FF"/>
    <w:rsid w:val="23E93C10"/>
    <w:rsid w:val="2405E6E3"/>
    <w:rsid w:val="2447EC39"/>
    <w:rsid w:val="246518FF"/>
    <w:rsid w:val="2467B104"/>
    <w:rsid w:val="2482F50D"/>
    <w:rsid w:val="249D3192"/>
    <w:rsid w:val="24AA690F"/>
    <w:rsid w:val="250DA976"/>
    <w:rsid w:val="25397434"/>
    <w:rsid w:val="25647E93"/>
    <w:rsid w:val="2597D6A9"/>
    <w:rsid w:val="25A02782"/>
    <w:rsid w:val="25EECF2D"/>
    <w:rsid w:val="26292409"/>
    <w:rsid w:val="2674E6C0"/>
    <w:rsid w:val="267BDCB3"/>
    <w:rsid w:val="277F27AA"/>
    <w:rsid w:val="27DF92E0"/>
    <w:rsid w:val="27E747E7"/>
    <w:rsid w:val="28057C18"/>
    <w:rsid w:val="2821BF39"/>
    <w:rsid w:val="28472A9D"/>
    <w:rsid w:val="2868BA83"/>
    <w:rsid w:val="288A95EB"/>
    <w:rsid w:val="28D84E39"/>
    <w:rsid w:val="28ED389D"/>
    <w:rsid w:val="28F624AC"/>
    <w:rsid w:val="29128EC0"/>
    <w:rsid w:val="293CF300"/>
    <w:rsid w:val="295464B0"/>
    <w:rsid w:val="2971DCF0"/>
    <w:rsid w:val="2A12C0A7"/>
    <w:rsid w:val="2A2D4ABB"/>
    <w:rsid w:val="2A4C1825"/>
    <w:rsid w:val="2A5261E7"/>
    <w:rsid w:val="2A5B0B2E"/>
    <w:rsid w:val="2A74A612"/>
    <w:rsid w:val="2A7BCD10"/>
    <w:rsid w:val="2A833DB0"/>
    <w:rsid w:val="2AEF6F23"/>
    <w:rsid w:val="2B3003D3"/>
    <w:rsid w:val="2B52D0C6"/>
    <w:rsid w:val="2B64EF3B"/>
    <w:rsid w:val="2B694D0F"/>
    <w:rsid w:val="2BCA124B"/>
    <w:rsid w:val="2C0C8E24"/>
    <w:rsid w:val="2C26CF31"/>
    <w:rsid w:val="2C3E6B7C"/>
    <w:rsid w:val="2C5ABD26"/>
    <w:rsid w:val="2C62842E"/>
    <w:rsid w:val="2C912DAC"/>
    <w:rsid w:val="2CA89A6D"/>
    <w:rsid w:val="2D35722D"/>
    <w:rsid w:val="2D55C879"/>
    <w:rsid w:val="2DF41AB8"/>
    <w:rsid w:val="2DFCF9ED"/>
    <w:rsid w:val="2E030F0D"/>
    <w:rsid w:val="2E0A1791"/>
    <w:rsid w:val="2E0CA3D5"/>
    <w:rsid w:val="2E2D7FFD"/>
    <w:rsid w:val="2E510CBD"/>
    <w:rsid w:val="2E527628"/>
    <w:rsid w:val="2EC90B02"/>
    <w:rsid w:val="2F061161"/>
    <w:rsid w:val="2F0CA3F5"/>
    <w:rsid w:val="2F3F29E8"/>
    <w:rsid w:val="2F6FC46C"/>
    <w:rsid w:val="2FBF6D7D"/>
    <w:rsid w:val="30547438"/>
    <w:rsid w:val="305A7B84"/>
    <w:rsid w:val="30C0A397"/>
    <w:rsid w:val="30F7ACBA"/>
    <w:rsid w:val="3181F0C0"/>
    <w:rsid w:val="31B8CA3C"/>
    <w:rsid w:val="3227A555"/>
    <w:rsid w:val="323E0BC7"/>
    <w:rsid w:val="32679C4B"/>
    <w:rsid w:val="32B0B6DC"/>
    <w:rsid w:val="32B33D35"/>
    <w:rsid w:val="3333298A"/>
    <w:rsid w:val="34F3FB20"/>
    <w:rsid w:val="34FE8602"/>
    <w:rsid w:val="350CBD04"/>
    <w:rsid w:val="351F46C6"/>
    <w:rsid w:val="35F46430"/>
    <w:rsid w:val="365A28B0"/>
    <w:rsid w:val="367FA4A7"/>
    <w:rsid w:val="36B8A94F"/>
    <w:rsid w:val="36C417B0"/>
    <w:rsid w:val="36D4F6BA"/>
    <w:rsid w:val="37161765"/>
    <w:rsid w:val="377D415F"/>
    <w:rsid w:val="3816A687"/>
    <w:rsid w:val="383CBE73"/>
    <w:rsid w:val="3853C11A"/>
    <w:rsid w:val="386B0E31"/>
    <w:rsid w:val="38A7F0D5"/>
    <w:rsid w:val="38D8AD2B"/>
    <w:rsid w:val="391ACA75"/>
    <w:rsid w:val="393D9068"/>
    <w:rsid w:val="396DE04F"/>
    <w:rsid w:val="399586E7"/>
    <w:rsid w:val="399B914E"/>
    <w:rsid w:val="39AC64FB"/>
    <w:rsid w:val="3ABCB888"/>
    <w:rsid w:val="3ADDFA10"/>
    <w:rsid w:val="3B74A288"/>
    <w:rsid w:val="3B87689E"/>
    <w:rsid w:val="3C88753B"/>
    <w:rsid w:val="3CEBFED7"/>
    <w:rsid w:val="3D40EA64"/>
    <w:rsid w:val="3DC13E83"/>
    <w:rsid w:val="3DE6726B"/>
    <w:rsid w:val="3DF276A2"/>
    <w:rsid w:val="3E09E018"/>
    <w:rsid w:val="3E292276"/>
    <w:rsid w:val="3EE1EF2B"/>
    <w:rsid w:val="3F368E4F"/>
    <w:rsid w:val="3F59ED8E"/>
    <w:rsid w:val="3FE5175D"/>
    <w:rsid w:val="403182AE"/>
    <w:rsid w:val="40811910"/>
    <w:rsid w:val="408EB017"/>
    <w:rsid w:val="40A55218"/>
    <w:rsid w:val="40D986E6"/>
    <w:rsid w:val="40EAFC96"/>
    <w:rsid w:val="40FAAB48"/>
    <w:rsid w:val="41133146"/>
    <w:rsid w:val="416253B7"/>
    <w:rsid w:val="41723B44"/>
    <w:rsid w:val="419133D8"/>
    <w:rsid w:val="41A6BFF9"/>
    <w:rsid w:val="41A77E3D"/>
    <w:rsid w:val="41B54AC2"/>
    <w:rsid w:val="42492751"/>
    <w:rsid w:val="42560D8F"/>
    <w:rsid w:val="427CEB47"/>
    <w:rsid w:val="428CB400"/>
    <w:rsid w:val="428DF3D0"/>
    <w:rsid w:val="4297C82E"/>
    <w:rsid w:val="42FC5198"/>
    <w:rsid w:val="434A6FA2"/>
    <w:rsid w:val="435D805C"/>
    <w:rsid w:val="439167E9"/>
    <w:rsid w:val="43D6AB23"/>
    <w:rsid w:val="441D3015"/>
    <w:rsid w:val="442A6A74"/>
    <w:rsid w:val="4433A826"/>
    <w:rsid w:val="44C09EA5"/>
    <w:rsid w:val="44DB05F5"/>
    <w:rsid w:val="452119BA"/>
    <w:rsid w:val="454F4072"/>
    <w:rsid w:val="458CE6E0"/>
    <w:rsid w:val="459EAEAA"/>
    <w:rsid w:val="45AF5E4C"/>
    <w:rsid w:val="460DE403"/>
    <w:rsid w:val="46428F63"/>
    <w:rsid w:val="465ABC9D"/>
    <w:rsid w:val="46892BC4"/>
    <w:rsid w:val="46B7F386"/>
    <w:rsid w:val="47367351"/>
    <w:rsid w:val="47790367"/>
    <w:rsid w:val="4799CC6A"/>
    <w:rsid w:val="47A3E108"/>
    <w:rsid w:val="47CD257E"/>
    <w:rsid w:val="47FD8D45"/>
    <w:rsid w:val="481BEE00"/>
    <w:rsid w:val="481C58FA"/>
    <w:rsid w:val="48A331FB"/>
    <w:rsid w:val="48B55468"/>
    <w:rsid w:val="48CF9625"/>
    <w:rsid w:val="4901E9B0"/>
    <w:rsid w:val="492FE999"/>
    <w:rsid w:val="49612154"/>
    <w:rsid w:val="49D54535"/>
    <w:rsid w:val="49E06432"/>
    <w:rsid w:val="4A1F1A5F"/>
    <w:rsid w:val="4A3E68D5"/>
    <w:rsid w:val="4A8C43E8"/>
    <w:rsid w:val="4A92FFB3"/>
    <w:rsid w:val="4B3DBD63"/>
    <w:rsid w:val="4B87BE3C"/>
    <w:rsid w:val="4B897569"/>
    <w:rsid w:val="4B89C594"/>
    <w:rsid w:val="4BD98D16"/>
    <w:rsid w:val="4BE69B0E"/>
    <w:rsid w:val="4C0D995A"/>
    <w:rsid w:val="4C2EE263"/>
    <w:rsid w:val="4C30450F"/>
    <w:rsid w:val="4C6C75D8"/>
    <w:rsid w:val="4C8D5E58"/>
    <w:rsid w:val="4CD5E209"/>
    <w:rsid w:val="4D290EB1"/>
    <w:rsid w:val="4D515FC3"/>
    <w:rsid w:val="4D5BAA8B"/>
    <w:rsid w:val="4D7C3B1A"/>
    <w:rsid w:val="4D8ED296"/>
    <w:rsid w:val="4D9E2DA0"/>
    <w:rsid w:val="4DA7007F"/>
    <w:rsid w:val="4DCF59F0"/>
    <w:rsid w:val="4E5A4969"/>
    <w:rsid w:val="4E60FF1D"/>
    <w:rsid w:val="4F007FF9"/>
    <w:rsid w:val="4F08AF6A"/>
    <w:rsid w:val="4F24D670"/>
    <w:rsid w:val="4F3FEFD6"/>
    <w:rsid w:val="50168CE7"/>
    <w:rsid w:val="5053FD4B"/>
    <w:rsid w:val="506DCA65"/>
    <w:rsid w:val="5096502E"/>
    <w:rsid w:val="5123B0AE"/>
    <w:rsid w:val="515C9F08"/>
    <w:rsid w:val="51B49318"/>
    <w:rsid w:val="51BD6768"/>
    <w:rsid w:val="51EDD999"/>
    <w:rsid w:val="521C39CA"/>
    <w:rsid w:val="528BAAA7"/>
    <w:rsid w:val="52931EDD"/>
    <w:rsid w:val="529ED0FE"/>
    <w:rsid w:val="52B5973D"/>
    <w:rsid w:val="53261B48"/>
    <w:rsid w:val="536ECFB2"/>
    <w:rsid w:val="5379FC10"/>
    <w:rsid w:val="538D2A56"/>
    <w:rsid w:val="53ACAA38"/>
    <w:rsid w:val="53BFCC82"/>
    <w:rsid w:val="53F5419B"/>
    <w:rsid w:val="5407E690"/>
    <w:rsid w:val="541A491C"/>
    <w:rsid w:val="5428E84D"/>
    <w:rsid w:val="553B4392"/>
    <w:rsid w:val="555E0B7C"/>
    <w:rsid w:val="5565D9A7"/>
    <w:rsid w:val="55FFDFEC"/>
    <w:rsid w:val="56511526"/>
    <w:rsid w:val="568D2283"/>
    <w:rsid w:val="56AD8DAB"/>
    <w:rsid w:val="5728DB31"/>
    <w:rsid w:val="572D0844"/>
    <w:rsid w:val="57A7243A"/>
    <w:rsid w:val="57D35073"/>
    <w:rsid w:val="57EDCA32"/>
    <w:rsid w:val="5868D631"/>
    <w:rsid w:val="58730A8D"/>
    <w:rsid w:val="58BC3F0E"/>
    <w:rsid w:val="58BC9219"/>
    <w:rsid w:val="58EAE588"/>
    <w:rsid w:val="59281740"/>
    <w:rsid w:val="593E8AF5"/>
    <w:rsid w:val="5973F3B4"/>
    <w:rsid w:val="5974E4A5"/>
    <w:rsid w:val="5979E536"/>
    <w:rsid w:val="598730C9"/>
    <w:rsid w:val="59E9D92F"/>
    <w:rsid w:val="59EA4893"/>
    <w:rsid w:val="5A398597"/>
    <w:rsid w:val="5A461FE9"/>
    <w:rsid w:val="5A78CC74"/>
    <w:rsid w:val="5A94673D"/>
    <w:rsid w:val="5A989ACE"/>
    <w:rsid w:val="5ABC7698"/>
    <w:rsid w:val="5B002E9C"/>
    <w:rsid w:val="5B038E75"/>
    <w:rsid w:val="5BA7F75D"/>
    <w:rsid w:val="5BC61CFF"/>
    <w:rsid w:val="5BD6E797"/>
    <w:rsid w:val="5C02D2A1"/>
    <w:rsid w:val="5C5BBC0A"/>
    <w:rsid w:val="5C640B8A"/>
    <w:rsid w:val="5C73705E"/>
    <w:rsid w:val="5CA3CADB"/>
    <w:rsid w:val="5CEE42D9"/>
    <w:rsid w:val="5D5528A7"/>
    <w:rsid w:val="5D9EC2E2"/>
    <w:rsid w:val="5E0FD26D"/>
    <w:rsid w:val="5E14532A"/>
    <w:rsid w:val="5E22C986"/>
    <w:rsid w:val="5E294AB9"/>
    <w:rsid w:val="5E40D506"/>
    <w:rsid w:val="5E7E921F"/>
    <w:rsid w:val="5EDC0330"/>
    <w:rsid w:val="5F16520A"/>
    <w:rsid w:val="5F74A14E"/>
    <w:rsid w:val="5F8265F6"/>
    <w:rsid w:val="5FC48E9D"/>
    <w:rsid w:val="5FEA8F71"/>
    <w:rsid w:val="60C4095C"/>
    <w:rsid w:val="60E6B760"/>
    <w:rsid w:val="611B79D2"/>
    <w:rsid w:val="6129191C"/>
    <w:rsid w:val="614DE7A0"/>
    <w:rsid w:val="61531BB8"/>
    <w:rsid w:val="61AACB60"/>
    <w:rsid w:val="621E990A"/>
    <w:rsid w:val="6240B1BE"/>
    <w:rsid w:val="62800BDC"/>
    <w:rsid w:val="628F4DB1"/>
    <w:rsid w:val="628FA40F"/>
    <w:rsid w:val="629E71BE"/>
    <w:rsid w:val="636FE3AB"/>
    <w:rsid w:val="644F2D1E"/>
    <w:rsid w:val="64DAFDB0"/>
    <w:rsid w:val="6530993F"/>
    <w:rsid w:val="6537E648"/>
    <w:rsid w:val="6553959C"/>
    <w:rsid w:val="658EB727"/>
    <w:rsid w:val="66A208FE"/>
    <w:rsid w:val="673EF28C"/>
    <w:rsid w:val="6744E025"/>
    <w:rsid w:val="674DB2F2"/>
    <w:rsid w:val="680E5361"/>
    <w:rsid w:val="682749E1"/>
    <w:rsid w:val="682B921E"/>
    <w:rsid w:val="687E784F"/>
    <w:rsid w:val="6900B2FF"/>
    <w:rsid w:val="69539CB8"/>
    <w:rsid w:val="699836A2"/>
    <w:rsid w:val="69DBFE57"/>
    <w:rsid w:val="6A13377D"/>
    <w:rsid w:val="6A3D60B7"/>
    <w:rsid w:val="6AB689AE"/>
    <w:rsid w:val="6AE014BD"/>
    <w:rsid w:val="6B5C0396"/>
    <w:rsid w:val="6B6B37BD"/>
    <w:rsid w:val="6B8F2AA1"/>
    <w:rsid w:val="6B952298"/>
    <w:rsid w:val="6BC0CA89"/>
    <w:rsid w:val="6BC930B8"/>
    <w:rsid w:val="6BD0C62D"/>
    <w:rsid w:val="6BFF7C5B"/>
    <w:rsid w:val="6C1F5655"/>
    <w:rsid w:val="6C29C83C"/>
    <w:rsid w:val="6C306C16"/>
    <w:rsid w:val="6CE62EF9"/>
    <w:rsid w:val="6D40B419"/>
    <w:rsid w:val="6D61191B"/>
    <w:rsid w:val="6D74E792"/>
    <w:rsid w:val="6E409AC1"/>
    <w:rsid w:val="6EB063AB"/>
    <w:rsid w:val="6F1CDC34"/>
    <w:rsid w:val="6F1DE2B9"/>
    <w:rsid w:val="6F36F4A4"/>
    <w:rsid w:val="70175EAE"/>
    <w:rsid w:val="704210BB"/>
    <w:rsid w:val="7049ACAF"/>
    <w:rsid w:val="7061D8A0"/>
    <w:rsid w:val="70AE4036"/>
    <w:rsid w:val="7119440E"/>
    <w:rsid w:val="711E3101"/>
    <w:rsid w:val="71358916"/>
    <w:rsid w:val="7145DB21"/>
    <w:rsid w:val="71D57820"/>
    <w:rsid w:val="71E38E32"/>
    <w:rsid w:val="71EBF060"/>
    <w:rsid w:val="720732E8"/>
    <w:rsid w:val="7275F155"/>
    <w:rsid w:val="73161D90"/>
    <w:rsid w:val="7327EE7E"/>
    <w:rsid w:val="73A7BE84"/>
    <w:rsid w:val="73B3B00C"/>
    <w:rsid w:val="73EDC53C"/>
    <w:rsid w:val="740A722A"/>
    <w:rsid w:val="74181427"/>
    <w:rsid w:val="7422BA61"/>
    <w:rsid w:val="74B004B9"/>
    <w:rsid w:val="74B46BE3"/>
    <w:rsid w:val="74EA39C9"/>
    <w:rsid w:val="751664C3"/>
    <w:rsid w:val="75471B4E"/>
    <w:rsid w:val="757D98F1"/>
    <w:rsid w:val="75D10D62"/>
    <w:rsid w:val="75D45AFC"/>
    <w:rsid w:val="75DAFD9E"/>
    <w:rsid w:val="76041E9A"/>
    <w:rsid w:val="760DBC1D"/>
    <w:rsid w:val="76252E26"/>
    <w:rsid w:val="763755DD"/>
    <w:rsid w:val="7647C54B"/>
    <w:rsid w:val="764C5022"/>
    <w:rsid w:val="7662F9D0"/>
    <w:rsid w:val="76787540"/>
    <w:rsid w:val="76ADA80A"/>
    <w:rsid w:val="76B1D6B5"/>
    <w:rsid w:val="770EC819"/>
    <w:rsid w:val="77824848"/>
    <w:rsid w:val="77FFC1AC"/>
    <w:rsid w:val="7838EDDD"/>
    <w:rsid w:val="78F6B109"/>
    <w:rsid w:val="7966A4E9"/>
    <w:rsid w:val="79B1909F"/>
    <w:rsid w:val="7A2183F1"/>
    <w:rsid w:val="7A234954"/>
    <w:rsid w:val="7A6487C8"/>
    <w:rsid w:val="7AC8B74A"/>
    <w:rsid w:val="7AFE12D0"/>
    <w:rsid w:val="7B09A15A"/>
    <w:rsid w:val="7B5F3705"/>
    <w:rsid w:val="7B6AE90A"/>
    <w:rsid w:val="7BD0D6F3"/>
    <w:rsid w:val="7BEAD450"/>
    <w:rsid w:val="7BF162C5"/>
    <w:rsid w:val="7C21B7EC"/>
    <w:rsid w:val="7C418496"/>
    <w:rsid w:val="7C61202B"/>
    <w:rsid w:val="7C6A134C"/>
    <w:rsid w:val="7C8BCAE8"/>
    <w:rsid w:val="7D2F6311"/>
    <w:rsid w:val="7DAD3D7E"/>
    <w:rsid w:val="7E0BABBB"/>
    <w:rsid w:val="7E9148C7"/>
    <w:rsid w:val="7EAA1993"/>
    <w:rsid w:val="7EDB0D6D"/>
    <w:rsid w:val="7F8DD077"/>
    <w:rsid w:val="7FA81179"/>
    <w:rsid w:val="7FB6F658"/>
    <w:rsid w:val="7FE4AC8A"/>
    <w:rsid w:val="7FEDBC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BA5F7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2"/>
    <w:lsdException w:name="footer" w:uiPriority="2"/>
    <w:lsdException w:name="caption" w:semiHidden="1" w:unhideWhenUsed="1" w:qFormat="1"/>
    <w:lsdException w:name="footnote reference" w:uiPriority="99" w:qFormat="1"/>
    <w:lsdException w:name="annotation reference" w:uiPriority="99"/>
    <w:lsdException w:name="macro" w:uiPriority="1" w:qFormat="1"/>
    <w:lsdException w:name="List Bullet" w:uiPriority="1"/>
    <w:lsdException w:name="List Number" w:uiPriority="1"/>
    <w:lsdException w:name="List Bullet 2" w:uiPriority="1"/>
    <w:lsdException w:name="List Bullet 3" w:uiPriority="1"/>
    <w:lsdException w:name="List Bullet 4" w:uiPriority="1"/>
    <w:lsdException w:name="List Number 2" w:uiPriority="1"/>
    <w:lsdException w:name="List Number 3" w:uiPriority="1"/>
    <w:lsdException w:name="List Number 4" w:uiPriority="1"/>
    <w:lsdException w:name="Title" w:uiPriority="1" w:qFormat="1"/>
    <w:lsdException w:name="Signature" w:uiPriority="2"/>
    <w:lsdException w:name="Subtitle" w:qFormat="1"/>
    <w:lsdException w:name="Date" w:uiPriority="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CCA"/>
    <w:pPr>
      <w:spacing w:before="120" w:after="120"/>
      <w:jc w:val="both"/>
    </w:pPr>
    <w:rPr>
      <w:sz w:val="24"/>
      <w:szCs w:val="24"/>
      <w:lang w:eastAsia="en-US"/>
    </w:rPr>
  </w:style>
  <w:style w:type="paragraph" w:styleId="Heading1">
    <w:name w:val="heading 1"/>
    <w:basedOn w:val="Normal"/>
    <w:next w:val="Normal"/>
    <w:uiPriority w:val="1"/>
    <w:qFormat/>
    <w:rsid w:val="005643CD"/>
    <w:pPr>
      <w:keepNext/>
      <w:numPr>
        <w:numId w:val="16"/>
      </w:numPr>
      <w:spacing w:before="360"/>
      <w:outlineLvl w:val="0"/>
    </w:pPr>
    <w:rPr>
      <w:b/>
      <w:bCs/>
      <w:smallCaps/>
      <w:szCs w:val="32"/>
    </w:rPr>
  </w:style>
  <w:style w:type="paragraph" w:styleId="Heading2">
    <w:name w:val="heading 2"/>
    <w:basedOn w:val="Normal"/>
    <w:next w:val="Normal"/>
    <w:uiPriority w:val="1"/>
    <w:qFormat/>
    <w:rsid w:val="005643CD"/>
    <w:pPr>
      <w:keepNext/>
      <w:numPr>
        <w:ilvl w:val="1"/>
        <w:numId w:val="16"/>
      </w:numPr>
      <w:outlineLvl w:val="1"/>
    </w:pPr>
    <w:rPr>
      <w:b/>
      <w:bCs/>
      <w:iCs/>
      <w:szCs w:val="28"/>
    </w:rPr>
  </w:style>
  <w:style w:type="paragraph" w:styleId="Heading3">
    <w:name w:val="heading 3"/>
    <w:basedOn w:val="Normal"/>
    <w:next w:val="Normal"/>
    <w:uiPriority w:val="1"/>
    <w:qFormat/>
    <w:rsid w:val="005643CD"/>
    <w:pPr>
      <w:keepNext/>
      <w:numPr>
        <w:ilvl w:val="2"/>
        <w:numId w:val="16"/>
      </w:numPr>
      <w:outlineLvl w:val="2"/>
    </w:pPr>
    <w:rPr>
      <w:bCs/>
      <w:i/>
      <w:szCs w:val="26"/>
    </w:rPr>
  </w:style>
  <w:style w:type="paragraph" w:styleId="Heading4">
    <w:name w:val="heading 4"/>
    <w:basedOn w:val="Normal"/>
    <w:next w:val="Normal"/>
    <w:uiPriority w:val="1"/>
    <w:qFormat/>
    <w:rsid w:val="005643CD"/>
    <w:pPr>
      <w:keepNext/>
      <w:numPr>
        <w:ilvl w:val="3"/>
        <w:numId w:val="16"/>
      </w:numPr>
      <w:outlineLvl w:val="3"/>
    </w:pPr>
    <w:rPr>
      <w:bCs/>
      <w:szCs w:val="28"/>
    </w:rPr>
  </w:style>
  <w:style w:type="paragraph" w:styleId="Heading5">
    <w:name w:val="heading 5"/>
    <w:basedOn w:val="Normal"/>
    <w:next w:val="Normal"/>
    <w:link w:val="Heading5Char"/>
    <w:semiHidden/>
    <w:rsid w:val="00517B47"/>
    <w:pPr>
      <w:keepNext/>
      <w:tabs>
        <w:tab w:val="num" w:pos="2880"/>
      </w:tabs>
      <w:spacing w:before="0" w:after="240"/>
      <w:ind w:left="3838" w:hanging="958"/>
      <w:outlineLvl w:val="4"/>
    </w:pPr>
    <w:rPr>
      <w:szCs w:val="20"/>
      <w:lang w:eastAsia="en-IE"/>
    </w:rPr>
  </w:style>
  <w:style w:type="paragraph" w:styleId="Heading6">
    <w:name w:val="heading 6"/>
    <w:basedOn w:val="Normal"/>
    <w:next w:val="Normal"/>
    <w:link w:val="Heading6Char"/>
    <w:semiHidden/>
    <w:rsid w:val="00517B47"/>
    <w:pPr>
      <w:keepNext/>
      <w:tabs>
        <w:tab w:val="num" w:pos="2880"/>
      </w:tabs>
      <w:spacing w:before="0" w:after="240"/>
      <w:ind w:left="3838" w:hanging="958"/>
      <w:outlineLvl w:val="5"/>
    </w:pPr>
    <w:rPr>
      <w:szCs w:val="20"/>
      <w:lang w:eastAsia="en-IE"/>
    </w:rPr>
  </w:style>
  <w:style w:type="paragraph" w:styleId="Heading7">
    <w:name w:val="heading 7"/>
    <w:basedOn w:val="Normal"/>
    <w:next w:val="Normal"/>
    <w:link w:val="Heading7Char"/>
    <w:semiHidden/>
    <w:rsid w:val="00517B47"/>
    <w:pPr>
      <w:keepNext/>
      <w:tabs>
        <w:tab w:val="num" w:pos="2880"/>
      </w:tabs>
      <w:spacing w:before="0" w:after="240"/>
      <w:ind w:left="3838" w:hanging="958"/>
      <w:outlineLvl w:val="6"/>
    </w:pPr>
    <w:rPr>
      <w:szCs w:val="20"/>
      <w:lang w:eastAsia="en-IE"/>
    </w:rPr>
  </w:style>
  <w:style w:type="paragraph" w:styleId="Heading8">
    <w:name w:val="heading 8"/>
    <w:basedOn w:val="Normal"/>
    <w:next w:val="Normal"/>
    <w:link w:val="Heading8Char"/>
    <w:semiHidden/>
    <w:rsid w:val="00517B47"/>
    <w:pPr>
      <w:keepNext/>
      <w:tabs>
        <w:tab w:val="num" w:pos="2880"/>
      </w:tabs>
      <w:spacing w:before="0" w:after="240"/>
      <w:ind w:left="3838" w:hanging="958"/>
      <w:outlineLvl w:val="7"/>
    </w:pPr>
    <w:rPr>
      <w:szCs w:val="20"/>
      <w:lang w:eastAsia="en-IE"/>
    </w:rPr>
  </w:style>
  <w:style w:type="paragraph" w:styleId="Heading9">
    <w:name w:val="heading 9"/>
    <w:basedOn w:val="Normal"/>
    <w:next w:val="Normal"/>
    <w:link w:val="Heading9Char"/>
    <w:semiHidden/>
    <w:rsid w:val="00517B47"/>
    <w:pPr>
      <w:keepNext/>
      <w:tabs>
        <w:tab w:val="num" w:pos="2880"/>
      </w:tabs>
      <w:spacing w:before="0" w:after="240"/>
      <w:ind w:left="3838" w:hanging="958"/>
      <w:outlineLvl w:val="8"/>
    </w:pPr>
    <w:rPr>
      <w:szCs w:val="20"/>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5643CD"/>
    <w:pPr>
      <w:spacing w:before="0" w:after="240"/>
      <w:jc w:val="center"/>
    </w:pPr>
    <w:rPr>
      <w:b/>
      <w:i/>
    </w:rPr>
  </w:style>
  <w:style w:type="paragraph" w:customStyle="1" w:styleId="AccompagnantPagedecouverture">
    <w:name w:val="Accompagnant (Page de couverture)"/>
    <w:basedOn w:val="Accompagnant"/>
    <w:next w:val="Normal"/>
    <w:rsid w:val="005643CD"/>
  </w:style>
  <w:style w:type="character" w:customStyle="1" w:styleId="Added">
    <w:name w:val="Added"/>
    <w:basedOn w:val="DefaultParagraphFont"/>
    <w:rsid w:val="005643CD"/>
    <w:rPr>
      <w:b/>
      <w:u w:val="single"/>
      <w:shd w:val="clear" w:color="auto" w:fill="auto"/>
    </w:rPr>
  </w:style>
  <w:style w:type="paragraph" w:customStyle="1" w:styleId="Address">
    <w:name w:val="Address"/>
    <w:basedOn w:val="Normal"/>
    <w:next w:val="Normal"/>
    <w:rsid w:val="005643CD"/>
    <w:pPr>
      <w:keepLines/>
      <w:spacing w:line="360" w:lineRule="auto"/>
      <w:ind w:left="3402"/>
      <w:jc w:val="left"/>
    </w:pPr>
  </w:style>
  <w:style w:type="paragraph" w:customStyle="1" w:styleId="Annexetitre">
    <w:name w:val="Annexe titre"/>
    <w:basedOn w:val="Normal"/>
    <w:next w:val="Normal"/>
    <w:rsid w:val="005643CD"/>
    <w:pPr>
      <w:jc w:val="center"/>
    </w:pPr>
    <w:rPr>
      <w:b/>
      <w:u w:val="single"/>
    </w:rPr>
  </w:style>
  <w:style w:type="paragraph" w:customStyle="1" w:styleId="Annexetitreexpos">
    <w:name w:val="Annexe titre (exposé)"/>
    <w:basedOn w:val="Normal"/>
    <w:next w:val="Normal"/>
    <w:rsid w:val="005643CD"/>
    <w:pPr>
      <w:jc w:val="center"/>
    </w:pPr>
    <w:rPr>
      <w:b/>
      <w:u w:val="single"/>
    </w:rPr>
  </w:style>
  <w:style w:type="paragraph" w:customStyle="1" w:styleId="Annexetitrefichefinancire">
    <w:name w:val="Annexe titre (fiche financière)"/>
    <w:basedOn w:val="Normal"/>
    <w:next w:val="Normal"/>
    <w:rsid w:val="005643CD"/>
    <w:pPr>
      <w:jc w:val="center"/>
    </w:pPr>
    <w:rPr>
      <w:b/>
      <w:u w:val="single"/>
    </w:rPr>
  </w:style>
  <w:style w:type="paragraph" w:customStyle="1" w:styleId="Applicationdirecte">
    <w:name w:val="Application directe"/>
    <w:basedOn w:val="Normal"/>
    <w:next w:val="Normal"/>
    <w:rsid w:val="005643CD"/>
    <w:pPr>
      <w:spacing w:before="480"/>
    </w:pPr>
  </w:style>
  <w:style w:type="paragraph" w:customStyle="1" w:styleId="Avertissementtitre">
    <w:name w:val="Avertissement titre"/>
    <w:basedOn w:val="Normal"/>
    <w:next w:val="Normal"/>
    <w:rsid w:val="005643CD"/>
    <w:pPr>
      <w:keepNext/>
      <w:spacing w:before="480"/>
    </w:pPr>
    <w:rPr>
      <w:u w:val="single"/>
    </w:rPr>
  </w:style>
  <w:style w:type="paragraph" w:customStyle="1" w:styleId="Bullet0">
    <w:name w:val="Bullet 0"/>
    <w:basedOn w:val="Normal"/>
    <w:rsid w:val="005643CD"/>
    <w:pPr>
      <w:numPr>
        <w:numId w:val="10"/>
      </w:numPr>
    </w:pPr>
  </w:style>
  <w:style w:type="paragraph" w:customStyle="1" w:styleId="Bullet1">
    <w:name w:val="Bullet 1"/>
    <w:basedOn w:val="Normal"/>
    <w:rsid w:val="005643CD"/>
    <w:pPr>
      <w:numPr>
        <w:numId w:val="11"/>
      </w:numPr>
    </w:pPr>
  </w:style>
  <w:style w:type="paragraph" w:customStyle="1" w:styleId="Bullet2">
    <w:name w:val="Bullet 2"/>
    <w:basedOn w:val="Normal"/>
    <w:rsid w:val="005643CD"/>
    <w:pPr>
      <w:numPr>
        <w:numId w:val="12"/>
      </w:numPr>
    </w:pPr>
  </w:style>
  <w:style w:type="paragraph" w:customStyle="1" w:styleId="Bullet3">
    <w:name w:val="Bullet 3"/>
    <w:basedOn w:val="Normal"/>
    <w:rsid w:val="005643CD"/>
    <w:pPr>
      <w:numPr>
        <w:numId w:val="13"/>
      </w:numPr>
    </w:pPr>
  </w:style>
  <w:style w:type="paragraph" w:customStyle="1" w:styleId="Bullet4">
    <w:name w:val="Bullet 4"/>
    <w:basedOn w:val="Normal"/>
    <w:rsid w:val="005643CD"/>
    <w:pPr>
      <w:numPr>
        <w:numId w:val="14"/>
      </w:numPr>
    </w:pPr>
  </w:style>
  <w:style w:type="paragraph" w:customStyle="1" w:styleId="ChapterTitle">
    <w:name w:val="ChapterTitle"/>
    <w:basedOn w:val="Normal"/>
    <w:next w:val="Normal"/>
    <w:uiPriority w:val="1"/>
    <w:qFormat/>
    <w:rsid w:val="005643CD"/>
    <w:pPr>
      <w:keepNext/>
      <w:spacing w:after="360"/>
      <w:jc w:val="center"/>
    </w:pPr>
    <w:rPr>
      <w:b/>
      <w:sz w:val="32"/>
    </w:rPr>
  </w:style>
  <w:style w:type="paragraph" w:customStyle="1" w:styleId="Confidence">
    <w:name w:val="Confidence"/>
    <w:basedOn w:val="Normal"/>
    <w:next w:val="Normal"/>
    <w:rsid w:val="005643CD"/>
    <w:pPr>
      <w:spacing w:before="360"/>
      <w:jc w:val="center"/>
    </w:pPr>
  </w:style>
  <w:style w:type="paragraph" w:customStyle="1" w:styleId="Confidentialit">
    <w:name w:val="Confidentialité"/>
    <w:basedOn w:val="Normal"/>
    <w:next w:val="Normal"/>
    <w:rsid w:val="005643CD"/>
    <w:pPr>
      <w:spacing w:before="240" w:after="240"/>
      <w:ind w:left="5103"/>
    </w:pPr>
    <w:rPr>
      <w:u w:val="single"/>
    </w:rPr>
  </w:style>
  <w:style w:type="paragraph" w:customStyle="1" w:styleId="Considrant">
    <w:name w:val="Considérant"/>
    <w:basedOn w:val="Normal"/>
    <w:rsid w:val="005643CD"/>
    <w:pPr>
      <w:numPr>
        <w:numId w:val="15"/>
      </w:numPr>
    </w:pPr>
  </w:style>
  <w:style w:type="paragraph" w:customStyle="1" w:styleId="Corrigendum">
    <w:name w:val="Corrigendum"/>
    <w:basedOn w:val="Normal"/>
    <w:next w:val="Normal"/>
    <w:rsid w:val="005643CD"/>
    <w:pPr>
      <w:spacing w:before="0" w:after="240"/>
      <w:jc w:val="left"/>
    </w:pPr>
  </w:style>
  <w:style w:type="paragraph" w:customStyle="1" w:styleId="Datedadoption">
    <w:name w:val="Date d'adoption"/>
    <w:basedOn w:val="Normal"/>
    <w:next w:val="Normal"/>
    <w:rsid w:val="005643CD"/>
    <w:pPr>
      <w:spacing w:before="360" w:after="0"/>
      <w:jc w:val="center"/>
    </w:pPr>
    <w:rPr>
      <w:b/>
    </w:rPr>
  </w:style>
  <w:style w:type="paragraph" w:customStyle="1" w:styleId="DatedadoptionPagedecouverture">
    <w:name w:val="Date d'adoption (Page de couverture)"/>
    <w:basedOn w:val="Datedadoption"/>
    <w:next w:val="Normal"/>
    <w:rsid w:val="005643CD"/>
  </w:style>
  <w:style w:type="character" w:customStyle="1" w:styleId="Deleted">
    <w:name w:val="Deleted"/>
    <w:basedOn w:val="DefaultParagraphFont"/>
    <w:rsid w:val="005643CD"/>
    <w:rPr>
      <w:strike/>
      <w:shd w:val="clear" w:color="auto" w:fill="auto"/>
    </w:rPr>
  </w:style>
  <w:style w:type="paragraph" w:customStyle="1" w:styleId="Emission">
    <w:name w:val="Emission"/>
    <w:basedOn w:val="Normal"/>
    <w:next w:val="Normal"/>
    <w:rsid w:val="005643CD"/>
    <w:pPr>
      <w:spacing w:before="0" w:after="0"/>
      <w:ind w:left="5103"/>
      <w:jc w:val="left"/>
    </w:pPr>
  </w:style>
  <w:style w:type="paragraph" w:customStyle="1" w:styleId="Exposdesmotifstitre">
    <w:name w:val="Exposé des motifs titre"/>
    <w:basedOn w:val="Normal"/>
    <w:next w:val="Normal"/>
    <w:rsid w:val="005643CD"/>
    <w:pPr>
      <w:jc w:val="center"/>
    </w:pPr>
    <w:rPr>
      <w:b/>
      <w:u w:val="single"/>
    </w:rPr>
  </w:style>
  <w:style w:type="paragraph" w:customStyle="1" w:styleId="Fait">
    <w:name w:val="Fait à"/>
    <w:basedOn w:val="Normal"/>
    <w:next w:val="Normal"/>
    <w:rsid w:val="005643CD"/>
    <w:pPr>
      <w:keepNext/>
      <w:spacing w:after="0"/>
    </w:pPr>
  </w:style>
  <w:style w:type="paragraph" w:customStyle="1" w:styleId="Fichefinanciretitre">
    <w:name w:val="Fiche financière titre"/>
    <w:basedOn w:val="Normal"/>
    <w:next w:val="Normal"/>
    <w:rsid w:val="005643CD"/>
    <w:pPr>
      <w:jc w:val="center"/>
    </w:pPr>
    <w:rPr>
      <w:b/>
      <w:u w:val="single"/>
    </w:rPr>
  </w:style>
  <w:style w:type="paragraph" w:styleId="Footer">
    <w:name w:val="footer"/>
    <w:basedOn w:val="Normal"/>
    <w:uiPriority w:val="2"/>
    <w:rsid w:val="005643C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643CD"/>
    <w:pPr>
      <w:tabs>
        <w:tab w:val="center" w:pos="7285"/>
        <w:tab w:val="center" w:pos="10913"/>
        <w:tab w:val="right" w:pos="15137"/>
      </w:tabs>
      <w:spacing w:before="360" w:after="0"/>
      <w:ind w:left="-567" w:right="-567"/>
      <w:jc w:val="left"/>
    </w:p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Exposant 3 Point,R,note TESI"/>
    <w:basedOn w:val="DefaultParagraphFont"/>
    <w:link w:val="FootnotesymbolChar"/>
    <w:uiPriority w:val="99"/>
    <w:qFormat/>
    <w:rsid w:val="005643CD"/>
    <w:rPr>
      <w:shd w:val="clear" w:color="auto" w:fill="auto"/>
      <w:vertAlign w:val="superscript"/>
    </w:rPr>
  </w:style>
  <w:style w:type="paragraph" w:styleId="FootnoteText">
    <w:name w:val="footnote text"/>
    <w:aliases w:val="single space,Fußnotentextf,Footnote text,fn,Schriftart: 9 pt,Schriftart: 10 pt,Schriftart: 8 pt,WB-Fußnotentext,footnote text,Footnote Text2,Footnote Text11,ALTS FOOTNOTE11,Footnote Text Char111,ALTS FOOTNOTE2,Footnote Text Char1,stile 1,f"/>
    <w:basedOn w:val="Normal"/>
    <w:uiPriority w:val="99"/>
    <w:qFormat/>
    <w:rsid w:val="005643CD"/>
    <w:pPr>
      <w:spacing w:before="0" w:after="0"/>
      <w:ind w:left="720" w:hanging="720"/>
    </w:pPr>
    <w:rPr>
      <w:sz w:val="20"/>
      <w:szCs w:val="20"/>
    </w:rPr>
  </w:style>
  <w:style w:type="paragraph" w:customStyle="1" w:styleId="Formuledadoption">
    <w:name w:val="Formule d'adoption"/>
    <w:basedOn w:val="Normal"/>
    <w:next w:val="Normal"/>
    <w:rsid w:val="005643CD"/>
    <w:pPr>
      <w:keepNext/>
    </w:pPr>
  </w:style>
  <w:style w:type="paragraph" w:styleId="Header">
    <w:name w:val="header"/>
    <w:basedOn w:val="Normal"/>
    <w:link w:val="HeaderChar"/>
    <w:uiPriority w:val="2"/>
    <w:rsid w:val="005643CD"/>
    <w:pPr>
      <w:tabs>
        <w:tab w:val="center" w:pos="4535"/>
        <w:tab w:val="right" w:pos="9071"/>
      </w:tabs>
    </w:pPr>
  </w:style>
  <w:style w:type="paragraph" w:customStyle="1" w:styleId="HeaderLandscape">
    <w:name w:val="HeaderLandscape"/>
    <w:basedOn w:val="Normal"/>
    <w:rsid w:val="005643CD"/>
    <w:pPr>
      <w:tabs>
        <w:tab w:val="center" w:pos="7285"/>
        <w:tab w:val="right" w:pos="14003"/>
      </w:tabs>
    </w:pPr>
  </w:style>
  <w:style w:type="paragraph" w:customStyle="1" w:styleId="Institutionquiagit">
    <w:name w:val="Institution qui agit"/>
    <w:basedOn w:val="Normal"/>
    <w:next w:val="Normal"/>
    <w:rsid w:val="005643CD"/>
    <w:pPr>
      <w:keepNext/>
      <w:spacing w:before="600"/>
    </w:pPr>
  </w:style>
  <w:style w:type="paragraph" w:customStyle="1" w:styleId="Institutionquisigne">
    <w:name w:val="Institution qui signe"/>
    <w:basedOn w:val="Normal"/>
    <w:next w:val="Normal"/>
    <w:rsid w:val="005643CD"/>
    <w:pPr>
      <w:keepNext/>
      <w:tabs>
        <w:tab w:val="left" w:pos="4252"/>
      </w:tabs>
      <w:spacing w:before="720" w:after="0"/>
    </w:pPr>
    <w:rPr>
      <w:i/>
    </w:rPr>
  </w:style>
  <w:style w:type="paragraph" w:customStyle="1" w:styleId="Languesfaisantfoi">
    <w:name w:val="Langues faisant foi"/>
    <w:basedOn w:val="Normal"/>
    <w:next w:val="Normal"/>
    <w:rsid w:val="00B5186B"/>
    <w:pPr>
      <w:spacing w:before="360" w:after="240"/>
      <w:jc w:val="center"/>
    </w:pPr>
    <w:rPr>
      <w:rFonts w:eastAsiaTheme="minorHAnsi"/>
      <w:szCs w:val="22"/>
    </w:rPr>
  </w:style>
  <w:style w:type="paragraph" w:customStyle="1" w:styleId="IntrtEEE">
    <w:name w:val="Intérêt EEE"/>
    <w:basedOn w:val="Languesfaisantfoi"/>
    <w:next w:val="Normal"/>
    <w:rsid w:val="00B5186B"/>
    <w:pPr>
      <w:spacing w:after="0"/>
    </w:pPr>
  </w:style>
  <w:style w:type="paragraph" w:customStyle="1" w:styleId="IntrtEEEPagedecouverture">
    <w:name w:val="Intérêt EEE (Page de couverture)"/>
    <w:basedOn w:val="IntrtEEE"/>
    <w:next w:val="Normal"/>
    <w:rsid w:val="00B5186B"/>
  </w:style>
  <w:style w:type="paragraph" w:customStyle="1" w:styleId="Langue">
    <w:name w:val="Langue"/>
    <w:basedOn w:val="Normal"/>
    <w:next w:val="Normal"/>
    <w:rsid w:val="005643CD"/>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Rfrencecroise"/>
    <w:rsid w:val="00B5186B"/>
    <w:pPr>
      <w:spacing w:before="360" w:after="240"/>
      <w:jc w:val="center"/>
    </w:pPr>
    <w:rPr>
      <w:rFonts w:eastAsiaTheme="minorHAnsi"/>
      <w:szCs w:val="22"/>
    </w:rPr>
  </w:style>
  <w:style w:type="paragraph" w:customStyle="1" w:styleId="ManualConsidrant">
    <w:name w:val="Manual Considérant"/>
    <w:basedOn w:val="Normal"/>
    <w:rsid w:val="005643CD"/>
    <w:pPr>
      <w:ind w:left="709" w:hanging="709"/>
    </w:pPr>
  </w:style>
  <w:style w:type="paragraph" w:customStyle="1" w:styleId="ManualHeading1">
    <w:name w:val="Manual Heading 1"/>
    <w:basedOn w:val="Normal"/>
    <w:next w:val="Normal"/>
    <w:rsid w:val="005643CD"/>
    <w:pPr>
      <w:keepNext/>
      <w:tabs>
        <w:tab w:val="left" w:pos="850"/>
      </w:tabs>
      <w:spacing w:before="360"/>
      <w:ind w:left="850" w:hanging="850"/>
      <w:outlineLvl w:val="0"/>
    </w:pPr>
    <w:rPr>
      <w:b/>
      <w:smallCaps/>
    </w:rPr>
  </w:style>
  <w:style w:type="paragraph" w:customStyle="1" w:styleId="ManualHeading2">
    <w:name w:val="Manual Heading 2"/>
    <w:basedOn w:val="Normal"/>
    <w:next w:val="Normal"/>
    <w:rsid w:val="005643CD"/>
    <w:pPr>
      <w:keepNext/>
      <w:tabs>
        <w:tab w:val="left" w:pos="850"/>
      </w:tabs>
      <w:ind w:left="850" w:hanging="850"/>
      <w:outlineLvl w:val="1"/>
    </w:pPr>
    <w:rPr>
      <w:b/>
    </w:rPr>
  </w:style>
  <w:style w:type="paragraph" w:customStyle="1" w:styleId="ManualHeading3">
    <w:name w:val="Manual Heading 3"/>
    <w:basedOn w:val="Normal"/>
    <w:next w:val="Normal"/>
    <w:rsid w:val="005643CD"/>
    <w:pPr>
      <w:keepNext/>
      <w:tabs>
        <w:tab w:val="left" w:pos="850"/>
      </w:tabs>
      <w:ind w:left="850" w:hanging="850"/>
      <w:outlineLvl w:val="2"/>
    </w:pPr>
    <w:rPr>
      <w:i/>
    </w:rPr>
  </w:style>
  <w:style w:type="paragraph" w:customStyle="1" w:styleId="ManualHeading4">
    <w:name w:val="Manual Heading 4"/>
    <w:basedOn w:val="Normal"/>
    <w:next w:val="Normal"/>
    <w:rsid w:val="005643CD"/>
    <w:pPr>
      <w:keepNext/>
      <w:tabs>
        <w:tab w:val="left" w:pos="850"/>
      </w:tabs>
      <w:ind w:left="850" w:hanging="850"/>
      <w:outlineLvl w:val="3"/>
    </w:pPr>
  </w:style>
  <w:style w:type="paragraph" w:customStyle="1" w:styleId="ManualNumPar1">
    <w:name w:val="Manual NumPar 1"/>
    <w:basedOn w:val="Normal"/>
    <w:next w:val="Normal"/>
    <w:rsid w:val="005643CD"/>
    <w:pPr>
      <w:ind w:left="850" w:hanging="850"/>
    </w:pPr>
  </w:style>
  <w:style w:type="paragraph" w:customStyle="1" w:styleId="ManualNumPar2">
    <w:name w:val="Manual NumPar 2"/>
    <w:basedOn w:val="Normal"/>
    <w:next w:val="Normal"/>
    <w:rsid w:val="005643CD"/>
    <w:pPr>
      <w:ind w:left="850" w:hanging="850"/>
    </w:pPr>
  </w:style>
  <w:style w:type="paragraph" w:customStyle="1" w:styleId="ManualNumPar3">
    <w:name w:val="Manual NumPar 3"/>
    <w:basedOn w:val="Normal"/>
    <w:next w:val="Normal"/>
    <w:rsid w:val="005643CD"/>
    <w:pPr>
      <w:ind w:left="850" w:hanging="850"/>
    </w:pPr>
  </w:style>
  <w:style w:type="paragraph" w:customStyle="1" w:styleId="ManualNumPar4">
    <w:name w:val="Manual NumPar 4"/>
    <w:basedOn w:val="Normal"/>
    <w:next w:val="Normal"/>
    <w:rsid w:val="005643CD"/>
    <w:pPr>
      <w:ind w:left="850" w:hanging="850"/>
    </w:pPr>
  </w:style>
  <w:style w:type="character" w:customStyle="1" w:styleId="Marker">
    <w:name w:val="Marker"/>
    <w:basedOn w:val="DefaultParagraphFont"/>
    <w:rsid w:val="005643CD"/>
    <w:rPr>
      <w:color w:val="0000FF"/>
      <w:shd w:val="clear" w:color="auto" w:fill="auto"/>
    </w:rPr>
  </w:style>
  <w:style w:type="character" w:customStyle="1" w:styleId="Marker1">
    <w:name w:val="Marker1"/>
    <w:basedOn w:val="DefaultParagraphFont"/>
    <w:rsid w:val="005643CD"/>
    <w:rPr>
      <w:color w:val="008000"/>
      <w:shd w:val="clear" w:color="auto" w:fill="auto"/>
    </w:rPr>
  </w:style>
  <w:style w:type="character" w:customStyle="1" w:styleId="Marker2">
    <w:name w:val="Marker2"/>
    <w:basedOn w:val="DefaultParagraphFont"/>
    <w:rsid w:val="005643CD"/>
    <w:rPr>
      <w:color w:val="FF0000"/>
      <w:shd w:val="clear" w:color="auto" w:fill="auto"/>
    </w:rPr>
  </w:style>
  <w:style w:type="paragraph" w:customStyle="1" w:styleId="Nomdelinstitution">
    <w:name w:val="Nom de l'institution"/>
    <w:basedOn w:val="Normal"/>
    <w:next w:val="Emission"/>
    <w:rsid w:val="005643CD"/>
    <w:pPr>
      <w:spacing w:before="0" w:after="0"/>
      <w:jc w:val="left"/>
    </w:pPr>
    <w:rPr>
      <w:rFonts w:ascii="Arial" w:hAnsi="Arial" w:cs="Arial"/>
    </w:rPr>
  </w:style>
  <w:style w:type="paragraph" w:customStyle="1" w:styleId="NormalCentered">
    <w:name w:val="Normal Centered"/>
    <w:basedOn w:val="Normal"/>
    <w:rsid w:val="005643CD"/>
    <w:pPr>
      <w:jc w:val="center"/>
    </w:pPr>
  </w:style>
  <w:style w:type="paragraph" w:customStyle="1" w:styleId="NormalLeft">
    <w:name w:val="Normal Left"/>
    <w:basedOn w:val="Normal"/>
    <w:rsid w:val="005643CD"/>
    <w:pPr>
      <w:jc w:val="left"/>
    </w:pPr>
  </w:style>
  <w:style w:type="paragraph" w:customStyle="1" w:styleId="NormalRight">
    <w:name w:val="Normal Right"/>
    <w:basedOn w:val="Normal"/>
    <w:rsid w:val="005643CD"/>
    <w:pPr>
      <w:jc w:val="right"/>
    </w:pPr>
  </w:style>
  <w:style w:type="paragraph" w:customStyle="1" w:styleId="NumPar1">
    <w:name w:val="NumPar 1"/>
    <w:basedOn w:val="Normal"/>
    <w:next w:val="Normal"/>
    <w:uiPriority w:val="1"/>
    <w:qFormat/>
    <w:rsid w:val="005643CD"/>
    <w:pPr>
      <w:numPr>
        <w:numId w:val="17"/>
      </w:numPr>
    </w:pPr>
  </w:style>
  <w:style w:type="paragraph" w:customStyle="1" w:styleId="NumPar2">
    <w:name w:val="NumPar 2"/>
    <w:basedOn w:val="Normal"/>
    <w:next w:val="Normal"/>
    <w:uiPriority w:val="1"/>
    <w:qFormat/>
    <w:rsid w:val="005643CD"/>
    <w:pPr>
      <w:numPr>
        <w:ilvl w:val="1"/>
        <w:numId w:val="17"/>
      </w:numPr>
    </w:pPr>
  </w:style>
  <w:style w:type="paragraph" w:customStyle="1" w:styleId="NumPar3">
    <w:name w:val="NumPar 3"/>
    <w:basedOn w:val="Normal"/>
    <w:next w:val="Normal"/>
    <w:uiPriority w:val="1"/>
    <w:qFormat/>
    <w:rsid w:val="005643CD"/>
    <w:pPr>
      <w:numPr>
        <w:ilvl w:val="2"/>
        <w:numId w:val="17"/>
      </w:numPr>
    </w:pPr>
  </w:style>
  <w:style w:type="paragraph" w:customStyle="1" w:styleId="NumPar4">
    <w:name w:val="NumPar 4"/>
    <w:basedOn w:val="Normal"/>
    <w:next w:val="Normal"/>
    <w:uiPriority w:val="1"/>
    <w:qFormat/>
    <w:rsid w:val="005643CD"/>
    <w:pPr>
      <w:numPr>
        <w:ilvl w:val="3"/>
        <w:numId w:val="17"/>
      </w:numPr>
    </w:pPr>
  </w:style>
  <w:style w:type="paragraph" w:customStyle="1" w:styleId="Objetacteprincipal">
    <w:name w:val="Objet acte principal"/>
    <w:basedOn w:val="Normal"/>
    <w:next w:val="Normal"/>
    <w:rsid w:val="005643CD"/>
    <w:pPr>
      <w:spacing w:before="0" w:after="360"/>
      <w:jc w:val="center"/>
    </w:pPr>
    <w:rPr>
      <w:b/>
    </w:rPr>
  </w:style>
  <w:style w:type="paragraph" w:customStyle="1" w:styleId="ObjetacteprincipalPagedecouverture">
    <w:name w:val="Objet acte principal (Page de couverture)"/>
    <w:basedOn w:val="Objetacteprincipal"/>
    <w:next w:val="Normal"/>
    <w:rsid w:val="005643CD"/>
  </w:style>
  <w:style w:type="paragraph" w:customStyle="1" w:styleId="Objetexterne">
    <w:name w:val="Objet externe"/>
    <w:basedOn w:val="Normal"/>
    <w:next w:val="Normal"/>
    <w:rsid w:val="005643CD"/>
    <w:rPr>
      <w:i/>
      <w:caps/>
    </w:rPr>
  </w:style>
  <w:style w:type="paragraph" w:customStyle="1" w:styleId="Pagedecouverture">
    <w:name w:val="Page de couverture"/>
    <w:basedOn w:val="Normal"/>
    <w:next w:val="Normal"/>
    <w:rsid w:val="005643CD"/>
  </w:style>
  <w:style w:type="paragraph" w:customStyle="1" w:styleId="PartTitle">
    <w:name w:val="PartTitle"/>
    <w:basedOn w:val="Normal"/>
    <w:next w:val="ChapterTitle"/>
    <w:uiPriority w:val="1"/>
    <w:qFormat/>
    <w:rsid w:val="005643CD"/>
    <w:pPr>
      <w:keepNext/>
      <w:pageBreakBefore/>
      <w:spacing w:after="360"/>
      <w:jc w:val="center"/>
    </w:pPr>
    <w:rPr>
      <w:b/>
      <w:sz w:val="36"/>
    </w:rPr>
  </w:style>
  <w:style w:type="paragraph" w:customStyle="1" w:styleId="Personnequisigne">
    <w:name w:val="Personne qui signe"/>
    <w:basedOn w:val="Normal"/>
    <w:next w:val="Institutionquisigne"/>
    <w:rsid w:val="005643CD"/>
    <w:pPr>
      <w:tabs>
        <w:tab w:val="left" w:pos="4252"/>
      </w:tabs>
      <w:spacing w:before="0" w:after="0"/>
      <w:jc w:val="left"/>
    </w:pPr>
    <w:rPr>
      <w:i/>
    </w:rPr>
  </w:style>
  <w:style w:type="paragraph" w:customStyle="1" w:styleId="Point0">
    <w:name w:val="Point 0"/>
    <w:basedOn w:val="Normal"/>
    <w:rsid w:val="005643CD"/>
    <w:pPr>
      <w:ind w:left="850" w:hanging="850"/>
    </w:pPr>
  </w:style>
  <w:style w:type="paragraph" w:customStyle="1" w:styleId="Point0letter">
    <w:name w:val="Point 0 (letter)"/>
    <w:basedOn w:val="Normal"/>
    <w:rsid w:val="005643CD"/>
    <w:pPr>
      <w:numPr>
        <w:ilvl w:val="1"/>
        <w:numId w:val="18"/>
      </w:numPr>
    </w:pPr>
  </w:style>
  <w:style w:type="paragraph" w:customStyle="1" w:styleId="Point0number">
    <w:name w:val="Point 0 (number)"/>
    <w:basedOn w:val="Normal"/>
    <w:rsid w:val="005643CD"/>
    <w:pPr>
      <w:numPr>
        <w:numId w:val="18"/>
      </w:numPr>
    </w:pPr>
  </w:style>
  <w:style w:type="paragraph" w:customStyle="1" w:styleId="Point1">
    <w:name w:val="Point 1"/>
    <w:basedOn w:val="Normal"/>
    <w:rsid w:val="005643CD"/>
    <w:pPr>
      <w:ind w:left="1417" w:hanging="567"/>
    </w:pPr>
  </w:style>
  <w:style w:type="paragraph" w:customStyle="1" w:styleId="Point1letter">
    <w:name w:val="Point 1 (letter)"/>
    <w:basedOn w:val="Normal"/>
    <w:rsid w:val="005643CD"/>
    <w:pPr>
      <w:numPr>
        <w:ilvl w:val="3"/>
        <w:numId w:val="18"/>
      </w:numPr>
    </w:pPr>
  </w:style>
  <w:style w:type="paragraph" w:customStyle="1" w:styleId="Point1number">
    <w:name w:val="Point 1 (number)"/>
    <w:basedOn w:val="Normal"/>
    <w:rsid w:val="005643CD"/>
    <w:pPr>
      <w:numPr>
        <w:ilvl w:val="2"/>
        <w:numId w:val="18"/>
      </w:numPr>
    </w:pPr>
  </w:style>
  <w:style w:type="paragraph" w:customStyle="1" w:styleId="Point2">
    <w:name w:val="Point 2"/>
    <w:basedOn w:val="Normal"/>
    <w:rsid w:val="005643CD"/>
    <w:pPr>
      <w:ind w:left="1984" w:hanging="567"/>
    </w:pPr>
  </w:style>
  <w:style w:type="paragraph" w:customStyle="1" w:styleId="Point2letter">
    <w:name w:val="Point 2 (letter)"/>
    <w:basedOn w:val="Normal"/>
    <w:rsid w:val="005643CD"/>
    <w:pPr>
      <w:numPr>
        <w:ilvl w:val="5"/>
        <w:numId w:val="18"/>
      </w:numPr>
    </w:pPr>
  </w:style>
  <w:style w:type="paragraph" w:customStyle="1" w:styleId="Point2number">
    <w:name w:val="Point 2 (number)"/>
    <w:basedOn w:val="Normal"/>
    <w:rsid w:val="005643CD"/>
    <w:pPr>
      <w:numPr>
        <w:ilvl w:val="4"/>
        <w:numId w:val="18"/>
      </w:numPr>
    </w:pPr>
  </w:style>
  <w:style w:type="paragraph" w:customStyle="1" w:styleId="Point3">
    <w:name w:val="Point 3"/>
    <w:basedOn w:val="Normal"/>
    <w:rsid w:val="005643CD"/>
    <w:pPr>
      <w:ind w:left="2551" w:hanging="567"/>
    </w:pPr>
  </w:style>
  <w:style w:type="paragraph" w:customStyle="1" w:styleId="Point3letter">
    <w:name w:val="Point 3 (letter)"/>
    <w:basedOn w:val="Normal"/>
    <w:rsid w:val="005643CD"/>
    <w:pPr>
      <w:numPr>
        <w:ilvl w:val="7"/>
        <w:numId w:val="18"/>
      </w:numPr>
    </w:pPr>
  </w:style>
  <w:style w:type="paragraph" w:customStyle="1" w:styleId="Point3number">
    <w:name w:val="Point 3 (number)"/>
    <w:basedOn w:val="Normal"/>
    <w:rsid w:val="005643CD"/>
    <w:pPr>
      <w:numPr>
        <w:ilvl w:val="6"/>
        <w:numId w:val="18"/>
      </w:numPr>
    </w:pPr>
  </w:style>
  <w:style w:type="paragraph" w:customStyle="1" w:styleId="Point4">
    <w:name w:val="Point 4"/>
    <w:basedOn w:val="Normal"/>
    <w:rsid w:val="005643CD"/>
    <w:pPr>
      <w:ind w:left="3118" w:hanging="567"/>
    </w:pPr>
  </w:style>
  <w:style w:type="paragraph" w:customStyle="1" w:styleId="Point4letter">
    <w:name w:val="Point 4 (letter)"/>
    <w:basedOn w:val="Normal"/>
    <w:rsid w:val="005643CD"/>
    <w:pPr>
      <w:numPr>
        <w:ilvl w:val="8"/>
        <w:numId w:val="18"/>
      </w:numPr>
    </w:pPr>
  </w:style>
  <w:style w:type="paragraph" w:customStyle="1" w:styleId="PointDouble0">
    <w:name w:val="PointDouble 0"/>
    <w:basedOn w:val="Normal"/>
    <w:rsid w:val="005643CD"/>
    <w:pPr>
      <w:tabs>
        <w:tab w:val="left" w:pos="850"/>
      </w:tabs>
      <w:ind w:left="1417" w:hanging="1417"/>
    </w:pPr>
  </w:style>
  <w:style w:type="paragraph" w:customStyle="1" w:styleId="PointDouble1">
    <w:name w:val="PointDouble 1"/>
    <w:basedOn w:val="Normal"/>
    <w:rsid w:val="005643CD"/>
    <w:pPr>
      <w:tabs>
        <w:tab w:val="left" w:pos="1417"/>
      </w:tabs>
      <w:ind w:left="1984" w:hanging="1134"/>
    </w:pPr>
  </w:style>
  <w:style w:type="paragraph" w:customStyle="1" w:styleId="PointDouble2">
    <w:name w:val="PointDouble 2"/>
    <w:basedOn w:val="Normal"/>
    <w:rsid w:val="005643CD"/>
    <w:pPr>
      <w:tabs>
        <w:tab w:val="left" w:pos="1984"/>
      </w:tabs>
      <w:ind w:left="2551" w:hanging="1134"/>
    </w:pPr>
  </w:style>
  <w:style w:type="paragraph" w:customStyle="1" w:styleId="PointDouble3">
    <w:name w:val="PointDouble 3"/>
    <w:basedOn w:val="Normal"/>
    <w:rsid w:val="005643CD"/>
    <w:pPr>
      <w:tabs>
        <w:tab w:val="left" w:pos="2551"/>
      </w:tabs>
      <w:ind w:left="3118" w:hanging="1134"/>
    </w:pPr>
  </w:style>
  <w:style w:type="paragraph" w:customStyle="1" w:styleId="PointDouble4">
    <w:name w:val="PointDouble 4"/>
    <w:basedOn w:val="Normal"/>
    <w:rsid w:val="005643CD"/>
    <w:pPr>
      <w:tabs>
        <w:tab w:val="left" w:pos="3118"/>
      </w:tabs>
      <w:ind w:left="3685" w:hanging="1134"/>
    </w:pPr>
  </w:style>
  <w:style w:type="paragraph" w:customStyle="1" w:styleId="PointTriple0">
    <w:name w:val="PointTriple 0"/>
    <w:basedOn w:val="Normal"/>
    <w:rsid w:val="005643CD"/>
    <w:pPr>
      <w:tabs>
        <w:tab w:val="left" w:pos="850"/>
        <w:tab w:val="left" w:pos="1417"/>
      </w:tabs>
      <w:ind w:left="1984" w:hanging="1984"/>
    </w:pPr>
  </w:style>
  <w:style w:type="paragraph" w:customStyle="1" w:styleId="PointTriple1">
    <w:name w:val="PointTriple 1"/>
    <w:basedOn w:val="Normal"/>
    <w:rsid w:val="005643CD"/>
    <w:pPr>
      <w:tabs>
        <w:tab w:val="left" w:pos="1417"/>
        <w:tab w:val="left" w:pos="1984"/>
      </w:tabs>
      <w:ind w:left="2551" w:hanging="1701"/>
    </w:pPr>
  </w:style>
  <w:style w:type="paragraph" w:customStyle="1" w:styleId="PointTriple2">
    <w:name w:val="PointTriple 2"/>
    <w:basedOn w:val="Normal"/>
    <w:rsid w:val="005643CD"/>
    <w:pPr>
      <w:tabs>
        <w:tab w:val="left" w:pos="1984"/>
        <w:tab w:val="left" w:pos="2551"/>
      </w:tabs>
      <w:ind w:left="3118" w:hanging="1701"/>
    </w:pPr>
  </w:style>
  <w:style w:type="paragraph" w:customStyle="1" w:styleId="PointTriple3">
    <w:name w:val="PointTriple 3"/>
    <w:basedOn w:val="Normal"/>
    <w:rsid w:val="005643CD"/>
    <w:pPr>
      <w:tabs>
        <w:tab w:val="left" w:pos="2551"/>
        <w:tab w:val="left" w:pos="3118"/>
      </w:tabs>
      <w:ind w:left="3685" w:hanging="1701"/>
    </w:pPr>
  </w:style>
  <w:style w:type="paragraph" w:customStyle="1" w:styleId="PointTriple4">
    <w:name w:val="PointTriple 4"/>
    <w:basedOn w:val="Normal"/>
    <w:rsid w:val="005643CD"/>
    <w:pPr>
      <w:tabs>
        <w:tab w:val="left" w:pos="3118"/>
        <w:tab w:val="left" w:pos="3685"/>
      </w:tabs>
      <w:ind w:left="4252" w:hanging="1701"/>
    </w:pPr>
  </w:style>
  <w:style w:type="paragraph" w:customStyle="1" w:styleId="QuotedNumPar">
    <w:name w:val="Quoted NumPar"/>
    <w:basedOn w:val="Normal"/>
    <w:rsid w:val="005643CD"/>
    <w:pPr>
      <w:ind w:left="1417" w:hanging="567"/>
    </w:pPr>
  </w:style>
  <w:style w:type="paragraph" w:customStyle="1" w:styleId="QuotedText">
    <w:name w:val="Quoted Text"/>
    <w:basedOn w:val="Normal"/>
    <w:rsid w:val="005643CD"/>
    <w:pPr>
      <w:ind w:left="1417"/>
    </w:pPr>
  </w:style>
  <w:style w:type="paragraph" w:customStyle="1" w:styleId="Rfrencecroise">
    <w:name w:val="Référence croisée"/>
    <w:basedOn w:val="Normal"/>
    <w:rsid w:val="005643CD"/>
    <w:pPr>
      <w:spacing w:before="0" w:after="0"/>
      <w:jc w:val="center"/>
    </w:pPr>
  </w:style>
  <w:style w:type="paragraph" w:customStyle="1" w:styleId="Rfrenceinstitutionnelle">
    <w:name w:val="Référence institutionnelle"/>
    <w:basedOn w:val="Normal"/>
    <w:next w:val="Confidentialit"/>
    <w:rsid w:val="005643CD"/>
    <w:pPr>
      <w:spacing w:before="0" w:after="240"/>
      <w:ind w:left="5103"/>
      <w:jc w:val="left"/>
    </w:pPr>
  </w:style>
  <w:style w:type="paragraph" w:customStyle="1" w:styleId="Rfrenceinterinstitutionnelle">
    <w:name w:val="Référence interinstitutionnelle"/>
    <w:basedOn w:val="Normal"/>
    <w:next w:val="Normal"/>
    <w:rsid w:val="005643CD"/>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rsid w:val="005643CD"/>
  </w:style>
  <w:style w:type="paragraph" w:customStyle="1" w:styleId="Rfrenceinterne">
    <w:name w:val="Référence interne"/>
    <w:basedOn w:val="Normal"/>
    <w:next w:val="Rfrenceinterinstitutionnelle"/>
    <w:rsid w:val="005643CD"/>
    <w:pPr>
      <w:spacing w:before="0" w:after="0"/>
      <w:ind w:left="5103"/>
      <w:jc w:val="left"/>
    </w:pPr>
  </w:style>
  <w:style w:type="paragraph" w:customStyle="1" w:styleId="SectionTitle">
    <w:name w:val="SectionTitle"/>
    <w:basedOn w:val="Normal"/>
    <w:next w:val="Heading1"/>
    <w:uiPriority w:val="1"/>
    <w:qFormat/>
    <w:rsid w:val="005643CD"/>
    <w:pPr>
      <w:keepNext/>
      <w:spacing w:after="360"/>
      <w:jc w:val="center"/>
    </w:pPr>
    <w:rPr>
      <w:b/>
      <w:smallCaps/>
      <w:sz w:val="28"/>
    </w:rPr>
  </w:style>
  <w:style w:type="paragraph" w:customStyle="1" w:styleId="Sous-titreobjet">
    <w:name w:val="Sous-titre objet"/>
    <w:basedOn w:val="Normal"/>
    <w:rsid w:val="005643CD"/>
    <w:pPr>
      <w:spacing w:before="0" w:after="0"/>
      <w:jc w:val="center"/>
    </w:pPr>
    <w:rPr>
      <w:b/>
    </w:rPr>
  </w:style>
  <w:style w:type="paragraph" w:customStyle="1" w:styleId="Sous-titreobjetPagedecouverture">
    <w:name w:val="Sous-titre objet (Page de couverture)"/>
    <w:basedOn w:val="Sous-titreobjet"/>
    <w:rsid w:val="005643CD"/>
  </w:style>
  <w:style w:type="paragraph" w:customStyle="1" w:styleId="Statut">
    <w:name w:val="Statut"/>
    <w:basedOn w:val="Normal"/>
    <w:next w:val="Normal"/>
    <w:rsid w:val="005643CD"/>
    <w:pPr>
      <w:spacing w:before="360" w:after="0"/>
      <w:jc w:val="center"/>
    </w:pPr>
  </w:style>
  <w:style w:type="paragraph" w:customStyle="1" w:styleId="StatutPagedecouverture">
    <w:name w:val="Statut (Page de couverture)"/>
    <w:basedOn w:val="Statut"/>
    <w:next w:val="Normal"/>
    <w:rsid w:val="005643CD"/>
  </w:style>
  <w:style w:type="paragraph" w:customStyle="1" w:styleId="Supertitre">
    <w:name w:val="Supertitre"/>
    <w:basedOn w:val="Normal"/>
    <w:next w:val="Normal"/>
    <w:rsid w:val="005643CD"/>
    <w:pPr>
      <w:spacing w:before="0" w:after="600"/>
      <w:jc w:val="center"/>
    </w:pPr>
    <w:rPr>
      <w:b/>
    </w:rPr>
  </w:style>
  <w:style w:type="paragraph" w:customStyle="1" w:styleId="TableTitle">
    <w:name w:val="Table Title"/>
    <w:basedOn w:val="Normal"/>
    <w:next w:val="Normal"/>
    <w:uiPriority w:val="1"/>
    <w:rsid w:val="005643CD"/>
    <w:pPr>
      <w:jc w:val="center"/>
    </w:pPr>
    <w:rPr>
      <w:b/>
    </w:rPr>
  </w:style>
  <w:style w:type="paragraph" w:customStyle="1" w:styleId="Text1">
    <w:name w:val="Text 1"/>
    <w:basedOn w:val="Normal"/>
    <w:uiPriority w:val="1"/>
    <w:qFormat/>
    <w:rsid w:val="005643CD"/>
    <w:pPr>
      <w:ind w:left="850"/>
    </w:pPr>
  </w:style>
  <w:style w:type="paragraph" w:customStyle="1" w:styleId="Text2">
    <w:name w:val="Text 2"/>
    <w:basedOn w:val="Normal"/>
    <w:uiPriority w:val="1"/>
    <w:qFormat/>
    <w:rsid w:val="005643CD"/>
    <w:pPr>
      <w:ind w:left="1417"/>
    </w:pPr>
  </w:style>
  <w:style w:type="paragraph" w:customStyle="1" w:styleId="Text3">
    <w:name w:val="Text 3"/>
    <w:basedOn w:val="Normal"/>
    <w:uiPriority w:val="1"/>
    <w:qFormat/>
    <w:rsid w:val="005643CD"/>
    <w:pPr>
      <w:ind w:left="1984"/>
    </w:pPr>
  </w:style>
  <w:style w:type="paragraph" w:customStyle="1" w:styleId="Text4">
    <w:name w:val="Text 4"/>
    <w:basedOn w:val="Normal"/>
    <w:uiPriority w:val="1"/>
    <w:qFormat/>
    <w:rsid w:val="005643CD"/>
    <w:pPr>
      <w:ind w:left="2551"/>
    </w:pPr>
  </w:style>
  <w:style w:type="paragraph" w:customStyle="1" w:styleId="Tiret0">
    <w:name w:val="Tiret 0"/>
    <w:basedOn w:val="Point0"/>
    <w:rsid w:val="005643CD"/>
    <w:pPr>
      <w:numPr>
        <w:numId w:val="19"/>
      </w:numPr>
    </w:pPr>
  </w:style>
  <w:style w:type="paragraph" w:customStyle="1" w:styleId="Tiret1">
    <w:name w:val="Tiret 1"/>
    <w:basedOn w:val="Point1"/>
    <w:rsid w:val="005643CD"/>
    <w:pPr>
      <w:numPr>
        <w:numId w:val="20"/>
      </w:numPr>
    </w:pPr>
  </w:style>
  <w:style w:type="paragraph" w:customStyle="1" w:styleId="Tiret2">
    <w:name w:val="Tiret 2"/>
    <w:basedOn w:val="Point2"/>
    <w:rsid w:val="005643CD"/>
    <w:pPr>
      <w:numPr>
        <w:numId w:val="21"/>
      </w:numPr>
    </w:pPr>
  </w:style>
  <w:style w:type="paragraph" w:customStyle="1" w:styleId="Tiret3">
    <w:name w:val="Tiret 3"/>
    <w:basedOn w:val="Point3"/>
    <w:rsid w:val="005643CD"/>
    <w:pPr>
      <w:numPr>
        <w:numId w:val="22"/>
      </w:numPr>
    </w:pPr>
  </w:style>
  <w:style w:type="paragraph" w:customStyle="1" w:styleId="Tiret4">
    <w:name w:val="Tiret 4"/>
    <w:basedOn w:val="Point4"/>
    <w:rsid w:val="005643CD"/>
    <w:pPr>
      <w:numPr>
        <w:numId w:val="23"/>
      </w:numPr>
    </w:pPr>
  </w:style>
  <w:style w:type="paragraph" w:customStyle="1" w:styleId="Titrearticle">
    <w:name w:val="Titre article"/>
    <w:basedOn w:val="Normal"/>
    <w:next w:val="Normal"/>
    <w:rsid w:val="005643CD"/>
    <w:pPr>
      <w:keepNext/>
      <w:spacing w:before="360"/>
      <w:jc w:val="center"/>
    </w:pPr>
    <w:rPr>
      <w:i/>
    </w:rPr>
  </w:style>
  <w:style w:type="paragraph" w:customStyle="1" w:styleId="Titreobjet">
    <w:name w:val="Titre objet"/>
    <w:basedOn w:val="Normal"/>
    <w:next w:val="Sous-titreobjet"/>
    <w:rsid w:val="005643CD"/>
    <w:pPr>
      <w:spacing w:before="360" w:after="360"/>
      <w:jc w:val="center"/>
    </w:pPr>
    <w:rPr>
      <w:b/>
    </w:rPr>
  </w:style>
  <w:style w:type="paragraph" w:customStyle="1" w:styleId="TitreobjetPagedecouverture">
    <w:name w:val="Titre objet (Page de couverture)"/>
    <w:basedOn w:val="Titreobjet"/>
    <w:next w:val="Sous-titreobjetPagedecouverture"/>
    <w:rsid w:val="005643CD"/>
  </w:style>
  <w:style w:type="paragraph" w:styleId="TOC1">
    <w:name w:val="toc 1"/>
    <w:basedOn w:val="Normal"/>
    <w:next w:val="Normal"/>
    <w:semiHidden/>
    <w:rsid w:val="005643CD"/>
    <w:pPr>
      <w:tabs>
        <w:tab w:val="right" w:leader="dot" w:pos="9071"/>
      </w:tabs>
      <w:spacing w:before="60"/>
      <w:ind w:left="850" w:hanging="850"/>
      <w:jc w:val="left"/>
    </w:pPr>
  </w:style>
  <w:style w:type="paragraph" w:styleId="TOC2">
    <w:name w:val="toc 2"/>
    <w:basedOn w:val="Normal"/>
    <w:next w:val="Normal"/>
    <w:semiHidden/>
    <w:rsid w:val="005643CD"/>
    <w:pPr>
      <w:tabs>
        <w:tab w:val="right" w:leader="dot" w:pos="9071"/>
      </w:tabs>
      <w:spacing w:before="60"/>
      <w:ind w:left="850" w:hanging="850"/>
      <w:jc w:val="left"/>
    </w:pPr>
  </w:style>
  <w:style w:type="paragraph" w:styleId="TOC3">
    <w:name w:val="toc 3"/>
    <w:basedOn w:val="Normal"/>
    <w:next w:val="Normal"/>
    <w:semiHidden/>
    <w:rsid w:val="005643CD"/>
    <w:pPr>
      <w:tabs>
        <w:tab w:val="right" w:leader="dot" w:pos="9071"/>
      </w:tabs>
      <w:spacing w:before="60"/>
      <w:ind w:left="850" w:hanging="850"/>
      <w:jc w:val="left"/>
    </w:pPr>
  </w:style>
  <w:style w:type="paragraph" w:styleId="TOC4">
    <w:name w:val="toc 4"/>
    <w:basedOn w:val="Normal"/>
    <w:next w:val="Normal"/>
    <w:semiHidden/>
    <w:rsid w:val="005643CD"/>
    <w:pPr>
      <w:tabs>
        <w:tab w:val="right" w:leader="dot" w:pos="9071"/>
      </w:tabs>
      <w:spacing w:before="60"/>
      <w:ind w:left="850" w:hanging="850"/>
      <w:jc w:val="left"/>
    </w:pPr>
  </w:style>
  <w:style w:type="paragraph" w:styleId="TOC5">
    <w:name w:val="toc 5"/>
    <w:basedOn w:val="Normal"/>
    <w:next w:val="Normal"/>
    <w:semiHidden/>
    <w:rsid w:val="005643CD"/>
    <w:pPr>
      <w:tabs>
        <w:tab w:val="right" w:leader="dot" w:pos="9071"/>
      </w:tabs>
      <w:spacing w:before="300"/>
      <w:jc w:val="left"/>
    </w:pPr>
  </w:style>
  <w:style w:type="paragraph" w:styleId="TOC6">
    <w:name w:val="toc 6"/>
    <w:basedOn w:val="Normal"/>
    <w:next w:val="Normal"/>
    <w:semiHidden/>
    <w:rsid w:val="005643CD"/>
    <w:pPr>
      <w:tabs>
        <w:tab w:val="right" w:leader="dot" w:pos="9071"/>
      </w:tabs>
      <w:spacing w:before="240"/>
      <w:jc w:val="left"/>
    </w:pPr>
  </w:style>
  <w:style w:type="paragraph" w:styleId="TOC7">
    <w:name w:val="toc 7"/>
    <w:basedOn w:val="Normal"/>
    <w:next w:val="Normal"/>
    <w:semiHidden/>
    <w:rsid w:val="005643CD"/>
    <w:pPr>
      <w:tabs>
        <w:tab w:val="right" w:leader="dot" w:pos="9071"/>
      </w:tabs>
      <w:spacing w:before="180"/>
      <w:jc w:val="left"/>
    </w:pPr>
  </w:style>
  <w:style w:type="paragraph" w:styleId="TOC8">
    <w:name w:val="toc 8"/>
    <w:basedOn w:val="Normal"/>
    <w:next w:val="Normal"/>
    <w:semiHidden/>
    <w:rsid w:val="005643CD"/>
    <w:pPr>
      <w:tabs>
        <w:tab w:val="right" w:leader="dot" w:pos="9071"/>
      </w:tabs>
      <w:jc w:val="left"/>
    </w:pPr>
  </w:style>
  <w:style w:type="paragraph" w:styleId="TOC9">
    <w:name w:val="toc 9"/>
    <w:basedOn w:val="Normal"/>
    <w:next w:val="Normal"/>
    <w:semiHidden/>
    <w:rsid w:val="005643CD"/>
    <w:pPr>
      <w:tabs>
        <w:tab w:val="right" w:leader="dot" w:pos="9071"/>
      </w:tabs>
    </w:pPr>
  </w:style>
  <w:style w:type="paragraph" w:styleId="TOCHeading">
    <w:name w:val="TOC Heading"/>
    <w:basedOn w:val="Normal"/>
    <w:next w:val="Normal"/>
    <w:qFormat/>
    <w:rsid w:val="005643CD"/>
    <w:pPr>
      <w:spacing w:after="240"/>
      <w:jc w:val="center"/>
    </w:pPr>
    <w:rPr>
      <w:b/>
      <w:sz w:val="28"/>
    </w:rPr>
  </w:style>
  <w:style w:type="paragraph" w:customStyle="1" w:styleId="Typeacteprincipal">
    <w:name w:val="Type acte principal"/>
    <w:basedOn w:val="Normal"/>
    <w:next w:val="Objetacteprincipal"/>
    <w:rsid w:val="005643CD"/>
    <w:pPr>
      <w:spacing w:before="0" w:after="240"/>
      <w:jc w:val="center"/>
    </w:pPr>
    <w:rPr>
      <w:b/>
    </w:rPr>
  </w:style>
  <w:style w:type="paragraph" w:customStyle="1" w:styleId="TypeacteprincipalPagedecouverture">
    <w:name w:val="Type acte principal (Page de couverture)"/>
    <w:basedOn w:val="Typeacteprincipal"/>
    <w:next w:val="ObjetacteprincipalPagedecouverture"/>
    <w:rsid w:val="005643CD"/>
  </w:style>
  <w:style w:type="paragraph" w:customStyle="1" w:styleId="Typedudocument">
    <w:name w:val="Type du document"/>
    <w:basedOn w:val="Normal"/>
    <w:next w:val="Titreobjet"/>
    <w:rsid w:val="005643CD"/>
    <w:pPr>
      <w:spacing w:before="360" w:after="0"/>
      <w:jc w:val="center"/>
    </w:pPr>
    <w:rPr>
      <w:b/>
    </w:rPr>
  </w:style>
  <w:style w:type="paragraph" w:customStyle="1" w:styleId="TypedudocumentPagedecouverture">
    <w:name w:val="Type du document (Page de couverture)"/>
    <w:basedOn w:val="Typedudocument"/>
    <w:next w:val="TitreobjetPagedecouverture"/>
    <w:rsid w:val="005643CD"/>
  </w:style>
  <w:style w:type="paragraph" w:customStyle="1" w:styleId="Volume">
    <w:name w:val="Volume"/>
    <w:basedOn w:val="Normal"/>
    <w:next w:val="Confidentialit"/>
    <w:rsid w:val="005643CD"/>
    <w:pPr>
      <w:spacing w:before="0" w:after="240"/>
      <w:ind w:left="5103"/>
      <w:jc w:val="left"/>
    </w:pPr>
  </w:style>
  <w:style w:type="character" w:customStyle="1" w:styleId="Heading5Char">
    <w:name w:val="Heading 5 Char"/>
    <w:basedOn w:val="DefaultParagraphFont"/>
    <w:link w:val="Heading5"/>
    <w:semiHidden/>
    <w:rsid w:val="00517B47"/>
    <w:rPr>
      <w:sz w:val="24"/>
      <w:lang w:eastAsia="en-IE"/>
    </w:rPr>
  </w:style>
  <w:style w:type="character" w:customStyle="1" w:styleId="Heading6Char">
    <w:name w:val="Heading 6 Char"/>
    <w:basedOn w:val="DefaultParagraphFont"/>
    <w:link w:val="Heading6"/>
    <w:semiHidden/>
    <w:rsid w:val="00517B47"/>
    <w:rPr>
      <w:sz w:val="24"/>
      <w:lang w:eastAsia="en-IE"/>
    </w:rPr>
  </w:style>
  <w:style w:type="character" w:customStyle="1" w:styleId="Heading7Char">
    <w:name w:val="Heading 7 Char"/>
    <w:basedOn w:val="DefaultParagraphFont"/>
    <w:link w:val="Heading7"/>
    <w:semiHidden/>
    <w:rsid w:val="00517B47"/>
    <w:rPr>
      <w:sz w:val="24"/>
      <w:lang w:eastAsia="en-IE"/>
    </w:rPr>
  </w:style>
  <w:style w:type="character" w:customStyle="1" w:styleId="Heading8Char">
    <w:name w:val="Heading 8 Char"/>
    <w:basedOn w:val="DefaultParagraphFont"/>
    <w:link w:val="Heading8"/>
    <w:semiHidden/>
    <w:rsid w:val="00517B47"/>
    <w:rPr>
      <w:sz w:val="24"/>
      <w:lang w:eastAsia="en-IE"/>
    </w:rPr>
  </w:style>
  <w:style w:type="character" w:customStyle="1" w:styleId="Heading9Char">
    <w:name w:val="Heading 9 Char"/>
    <w:basedOn w:val="DefaultParagraphFont"/>
    <w:link w:val="Heading9"/>
    <w:semiHidden/>
    <w:rsid w:val="00517B47"/>
    <w:rPr>
      <w:sz w:val="24"/>
      <w:lang w:eastAsia="en-IE"/>
    </w:rPr>
  </w:style>
  <w:style w:type="paragraph" w:styleId="ListParagraph">
    <w:name w:val="List Paragraph"/>
    <w:basedOn w:val="Normal"/>
    <w:link w:val="ListParagraphChar"/>
    <w:uiPriority w:val="34"/>
    <w:qFormat/>
    <w:rsid w:val="00517B47"/>
    <w:pPr>
      <w:spacing w:before="0" w:after="160" w:line="259" w:lineRule="auto"/>
      <w:ind w:left="720"/>
      <w:contextualSpacing/>
      <w:jc w:val="left"/>
    </w:pPr>
    <w:rPr>
      <w:rFonts w:ascii="Calibri" w:eastAsia="Calibri" w:hAnsi="Calibri"/>
      <w:sz w:val="22"/>
      <w:szCs w:val="22"/>
      <w:lang w:eastAsia="en-GB"/>
    </w:rPr>
  </w:style>
  <w:style w:type="character" w:customStyle="1" w:styleId="FootnoteTextChar">
    <w:name w:val="Footnote Text Char"/>
    <w:uiPriority w:val="99"/>
    <w:rsid w:val="00517B47"/>
    <w:rPr>
      <w:sz w:val="20"/>
    </w:rPr>
  </w:style>
  <w:style w:type="character" w:styleId="Hyperlink">
    <w:name w:val="Hyperlink"/>
    <w:rsid w:val="00517B47"/>
    <w:rPr>
      <w:color w:val="0563C1"/>
      <w:u w:val="single"/>
    </w:rPr>
  </w:style>
  <w:style w:type="paragraph" w:styleId="BalloonText">
    <w:name w:val="Balloon Text"/>
    <w:basedOn w:val="Normal"/>
    <w:link w:val="BalloonTextChar"/>
    <w:rsid w:val="00517B47"/>
    <w:pPr>
      <w:spacing w:before="0" w:after="0"/>
      <w:jc w:val="left"/>
    </w:pPr>
    <w:rPr>
      <w:rFonts w:ascii="Segoe UI" w:eastAsia="Calibri" w:hAnsi="Segoe UI" w:cs="Segoe UI"/>
      <w:sz w:val="18"/>
      <w:szCs w:val="18"/>
      <w:lang w:eastAsia="en-GB"/>
    </w:rPr>
  </w:style>
  <w:style w:type="character" w:customStyle="1" w:styleId="BalloonTextChar">
    <w:name w:val="Balloon Text Char"/>
    <w:basedOn w:val="DefaultParagraphFont"/>
    <w:link w:val="BalloonText"/>
    <w:rsid w:val="00517B47"/>
    <w:rPr>
      <w:rFonts w:ascii="Segoe UI" w:eastAsia="Calibri" w:hAnsi="Segoe UI" w:cs="Segoe UI"/>
      <w:sz w:val="18"/>
      <w:szCs w:val="18"/>
    </w:rPr>
  </w:style>
  <w:style w:type="character" w:customStyle="1" w:styleId="FooterChar">
    <w:name w:val="Footer Char"/>
    <w:rsid w:val="00517B47"/>
    <w:rPr>
      <w:sz w:val="16"/>
    </w:rPr>
  </w:style>
  <w:style w:type="character" w:styleId="CommentReference">
    <w:name w:val="annotation reference"/>
    <w:uiPriority w:val="99"/>
    <w:rsid w:val="00517B47"/>
    <w:rPr>
      <w:sz w:val="16"/>
      <w:szCs w:val="16"/>
    </w:rPr>
  </w:style>
  <w:style w:type="paragraph" w:styleId="CommentText">
    <w:name w:val="annotation text"/>
    <w:basedOn w:val="Normal"/>
    <w:link w:val="CommentTextChar"/>
    <w:uiPriority w:val="99"/>
    <w:rsid w:val="00517B47"/>
    <w:pPr>
      <w:spacing w:before="0" w:after="160"/>
      <w:jc w:val="left"/>
    </w:pPr>
    <w:rPr>
      <w:rFonts w:ascii="Calibri" w:eastAsia="Calibri" w:hAnsi="Calibri"/>
      <w:sz w:val="20"/>
      <w:szCs w:val="20"/>
      <w:lang w:eastAsia="en-GB"/>
    </w:rPr>
  </w:style>
  <w:style w:type="character" w:customStyle="1" w:styleId="CommentTextChar">
    <w:name w:val="Comment Text Char"/>
    <w:basedOn w:val="DefaultParagraphFont"/>
    <w:link w:val="CommentText"/>
    <w:uiPriority w:val="99"/>
    <w:rsid w:val="00517B47"/>
    <w:rPr>
      <w:rFonts w:ascii="Calibri" w:eastAsia="Calibri" w:hAnsi="Calibri"/>
    </w:rPr>
  </w:style>
  <w:style w:type="paragraph" w:styleId="CommentSubject">
    <w:name w:val="annotation subject"/>
    <w:basedOn w:val="CommentText"/>
    <w:next w:val="CommentText"/>
    <w:link w:val="CommentSubjectChar"/>
    <w:rsid w:val="00517B47"/>
    <w:rPr>
      <w:b/>
      <w:bCs/>
    </w:rPr>
  </w:style>
  <w:style w:type="character" w:customStyle="1" w:styleId="CommentSubjectChar">
    <w:name w:val="Comment Subject Char"/>
    <w:basedOn w:val="CommentTextChar"/>
    <w:link w:val="CommentSubject"/>
    <w:rsid w:val="00517B47"/>
    <w:rPr>
      <w:rFonts w:ascii="Calibri" w:eastAsia="Calibri" w:hAnsi="Calibri"/>
      <w:b/>
      <w:bCs/>
    </w:rPr>
  </w:style>
  <w:style w:type="character" w:styleId="FollowedHyperlink">
    <w:name w:val="FollowedHyperlink"/>
    <w:rsid w:val="00517B47"/>
    <w:rPr>
      <w:color w:val="954F72"/>
      <w:u w:val="single"/>
    </w:rPr>
  </w:style>
  <w:style w:type="table" w:customStyle="1" w:styleId="TableGrid1">
    <w:name w:val="Table Grid1"/>
    <w:basedOn w:val="TableNormal"/>
    <w:next w:val="TableGrid"/>
    <w:rsid w:val="00517B4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rsid w:val="00517B47"/>
    <w:rPr>
      <w:rFonts w:ascii="Calibri" w:eastAsia="Calibri" w:hAnsi="Calibri"/>
      <w:sz w:val="22"/>
      <w:szCs w:val="22"/>
    </w:rPr>
  </w:style>
  <w:style w:type="character" w:styleId="Strong">
    <w:name w:val="Strong"/>
    <w:qFormat/>
    <w:rsid w:val="00517B47"/>
    <w:rPr>
      <w:b/>
      <w:bCs/>
    </w:rPr>
  </w:style>
  <w:style w:type="character" w:customStyle="1" w:styleId="Mention1">
    <w:name w:val="Mention1"/>
    <w:rsid w:val="00517B47"/>
    <w:rPr>
      <w:color w:val="2B579A"/>
      <w:shd w:val="clear" w:color="auto" w:fill="E6E6E6"/>
    </w:rPr>
  </w:style>
  <w:style w:type="character" w:customStyle="1" w:styleId="normaltextrun">
    <w:name w:val="normaltextrun"/>
    <w:basedOn w:val="DefaultParagraphFont"/>
    <w:rsid w:val="00517B47"/>
  </w:style>
  <w:style w:type="character" w:customStyle="1" w:styleId="Heading2Char">
    <w:name w:val="Heading 2 Char"/>
    <w:uiPriority w:val="1"/>
    <w:rsid w:val="00517B47"/>
    <w:rPr>
      <w:b/>
    </w:rPr>
  </w:style>
  <w:style w:type="paragraph" w:customStyle="1" w:styleId="FooterCoverPage">
    <w:name w:val="Footer Cover Page"/>
    <w:basedOn w:val="Normal"/>
    <w:link w:val="FooterCoverPageChar"/>
    <w:rsid w:val="00517B47"/>
    <w:pPr>
      <w:keepNext/>
      <w:tabs>
        <w:tab w:val="center" w:pos="4535"/>
        <w:tab w:val="right" w:pos="9071"/>
        <w:tab w:val="right" w:pos="9921"/>
      </w:tabs>
      <w:spacing w:before="360" w:after="0"/>
      <w:ind w:left="-850" w:right="-850" w:hanging="360"/>
      <w:jc w:val="left"/>
      <w:outlineLvl w:val="0"/>
    </w:pPr>
  </w:style>
  <w:style w:type="character" w:customStyle="1" w:styleId="ListParagraphChar">
    <w:name w:val="List Paragraph Char"/>
    <w:link w:val="ListParagraph"/>
    <w:uiPriority w:val="34"/>
    <w:rsid w:val="00517B47"/>
    <w:rPr>
      <w:rFonts w:ascii="Calibri" w:eastAsia="Calibri" w:hAnsi="Calibri"/>
      <w:sz w:val="22"/>
      <w:szCs w:val="22"/>
    </w:rPr>
  </w:style>
  <w:style w:type="character" w:customStyle="1" w:styleId="FooterCoverPageChar">
    <w:name w:val="Footer Cover Page Char"/>
    <w:link w:val="FooterCoverPage"/>
    <w:rsid w:val="00517B47"/>
    <w:rPr>
      <w:sz w:val="24"/>
      <w:szCs w:val="24"/>
      <w:lang w:eastAsia="en-US"/>
    </w:rPr>
  </w:style>
  <w:style w:type="paragraph" w:customStyle="1" w:styleId="FooterSensitivity">
    <w:name w:val="Footer Sensitivity"/>
    <w:basedOn w:val="Normal"/>
    <w:link w:val="FooterSensitivityChar"/>
    <w:rsid w:val="00517B47"/>
    <w:pPr>
      <w:keepNext/>
      <w:pBdr>
        <w:top w:val="single" w:sz="4" w:space="1" w:color="auto"/>
        <w:left w:val="single" w:sz="4" w:space="4" w:color="auto"/>
        <w:bottom w:val="single" w:sz="4" w:space="1" w:color="auto"/>
        <w:right w:val="single" w:sz="4" w:space="4" w:color="auto"/>
      </w:pBdr>
      <w:spacing w:before="360" w:after="0"/>
      <w:ind w:left="113" w:right="113" w:hanging="360"/>
      <w:jc w:val="center"/>
      <w:outlineLvl w:val="0"/>
    </w:pPr>
    <w:rPr>
      <w:b/>
      <w:sz w:val="32"/>
    </w:rPr>
  </w:style>
  <w:style w:type="character" w:customStyle="1" w:styleId="FooterSensitivityChar">
    <w:name w:val="Footer Sensitivity Char"/>
    <w:link w:val="FooterSensitivity"/>
    <w:rsid w:val="00517B47"/>
    <w:rPr>
      <w:b/>
      <w:sz w:val="32"/>
      <w:szCs w:val="24"/>
      <w:lang w:eastAsia="en-US"/>
    </w:rPr>
  </w:style>
  <w:style w:type="paragraph" w:customStyle="1" w:styleId="HeaderCoverPage">
    <w:name w:val="Header Cover Page"/>
    <w:basedOn w:val="Normal"/>
    <w:link w:val="HeaderCoverPageChar"/>
    <w:rsid w:val="00517B47"/>
    <w:pPr>
      <w:keepNext/>
      <w:tabs>
        <w:tab w:val="center" w:pos="4535"/>
        <w:tab w:val="right" w:pos="9071"/>
      </w:tabs>
      <w:spacing w:before="0"/>
      <w:ind w:hanging="360"/>
      <w:outlineLvl w:val="0"/>
    </w:pPr>
  </w:style>
  <w:style w:type="character" w:customStyle="1" w:styleId="HeaderCoverPageChar">
    <w:name w:val="Header Cover Page Char"/>
    <w:link w:val="HeaderCoverPage"/>
    <w:rsid w:val="00517B47"/>
    <w:rPr>
      <w:sz w:val="24"/>
      <w:szCs w:val="24"/>
      <w:lang w:eastAsia="en-US"/>
    </w:rPr>
  </w:style>
  <w:style w:type="paragraph" w:customStyle="1" w:styleId="HeaderSensitivity">
    <w:name w:val="Header Sensitivity"/>
    <w:basedOn w:val="Normal"/>
    <w:link w:val="HeaderSensitivityChar"/>
    <w:rsid w:val="00517B47"/>
    <w:pPr>
      <w:keepNext/>
      <w:pBdr>
        <w:top w:val="single" w:sz="4" w:space="1" w:color="auto"/>
        <w:left w:val="single" w:sz="4" w:space="4" w:color="auto"/>
        <w:bottom w:val="single" w:sz="4" w:space="1" w:color="auto"/>
        <w:right w:val="single" w:sz="4" w:space="4" w:color="auto"/>
      </w:pBdr>
      <w:spacing w:before="0"/>
      <w:ind w:left="113" w:right="113" w:hanging="360"/>
      <w:jc w:val="center"/>
      <w:outlineLvl w:val="0"/>
    </w:pPr>
    <w:rPr>
      <w:b/>
      <w:sz w:val="32"/>
    </w:rPr>
  </w:style>
  <w:style w:type="character" w:customStyle="1" w:styleId="HeaderSensitivityChar">
    <w:name w:val="Header Sensitivity Char"/>
    <w:link w:val="HeaderSensitivity"/>
    <w:rsid w:val="00517B47"/>
    <w:rPr>
      <w:b/>
      <w:sz w:val="32"/>
      <w:szCs w:val="24"/>
      <w:lang w:eastAsia="en-US"/>
    </w:rPr>
  </w:style>
  <w:style w:type="paragraph" w:customStyle="1" w:styleId="HeaderSensitivityRight">
    <w:name w:val="Header Sensitivity Right"/>
    <w:basedOn w:val="Normal"/>
    <w:link w:val="HeaderSensitivityRightChar"/>
    <w:rsid w:val="00517B47"/>
    <w:pPr>
      <w:keepNext/>
      <w:numPr>
        <w:numId w:val="24"/>
      </w:numPr>
      <w:spacing w:before="0"/>
      <w:ind w:left="0"/>
      <w:jc w:val="right"/>
      <w:outlineLvl w:val="0"/>
    </w:pPr>
    <w:rPr>
      <w:sz w:val="28"/>
    </w:rPr>
  </w:style>
  <w:style w:type="character" w:customStyle="1" w:styleId="HeaderSensitivityRightChar">
    <w:name w:val="Header Sensitivity Right Char"/>
    <w:link w:val="HeaderSensitivityRight"/>
    <w:rsid w:val="00517B47"/>
    <w:rPr>
      <w:sz w:val="28"/>
      <w:szCs w:val="24"/>
      <w:lang w:eastAsia="en-US"/>
    </w:rPr>
  </w:style>
  <w:style w:type="character" w:customStyle="1" w:styleId="UnresolvedMention1">
    <w:name w:val="Unresolved Mention1"/>
    <w:locked/>
    <w:rsid w:val="00517B47"/>
    <w:rPr>
      <w:color w:val="605E5C"/>
      <w:shd w:val="clear" w:color="auto" w:fill="E1DFDD"/>
    </w:rPr>
  </w:style>
  <w:style w:type="character" w:customStyle="1" w:styleId="BodyPlaceholderText">
    <w:name w:val="BodyPlaceholderText"/>
    <w:basedOn w:val="PlaceholderText"/>
    <w:semiHidden/>
    <w:rsid w:val="00517B47"/>
    <w:rPr>
      <w:color w:val="3366CC"/>
    </w:rPr>
  </w:style>
  <w:style w:type="character" w:customStyle="1" w:styleId="CrossReference">
    <w:name w:val="Cross Reference"/>
    <w:basedOn w:val="DefaultParagraphFont"/>
    <w:uiPriority w:val="2"/>
    <w:rsid w:val="00517B47"/>
    <w:rPr>
      <w:i/>
    </w:rPr>
  </w:style>
  <w:style w:type="character" w:customStyle="1" w:styleId="InstructionBlue">
    <w:name w:val="InstructionBlue"/>
    <w:uiPriority w:val="1"/>
    <w:rsid w:val="00517B47"/>
    <w:rPr>
      <w:i/>
      <w:color w:val="3366CC"/>
    </w:rPr>
  </w:style>
  <w:style w:type="character" w:customStyle="1" w:styleId="InstructionPlaceholder">
    <w:name w:val="InstructionPlaceholder"/>
    <w:uiPriority w:val="1"/>
    <w:rsid w:val="00517B47"/>
    <w:rPr>
      <w:color w:val="CB3535"/>
    </w:rPr>
  </w:style>
  <w:style w:type="character" w:customStyle="1" w:styleId="InstructionRed">
    <w:name w:val="InstructionRed"/>
    <w:uiPriority w:val="1"/>
    <w:rsid w:val="00517B47"/>
    <w:rPr>
      <w:i/>
      <w:color w:val="CB3535"/>
    </w:rPr>
  </w:style>
  <w:style w:type="character" w:customStyle="1" w:styleId="MarkingLabel">
    <w:name w:val="MarkingLabel"/>
    <w:semiHidden/>
    <w:rsid w:val="00517B47"/>
    <w:rPr>
      <w:b/>
      <w:caps/>
      <w:sz w:val="28"/>
    </w:rPr>
  </w:style>
  <w:style w:type="character" w:customStyle="1" w:styleId="MarkingText">
    <w:name w:val="MarkingText"/>
    <w:semiHidden/>
    <w:rsid w:val="00517B47"/>
    <w:rPr>
      <w:i/>
      <w:sz w:val="28"/>
    </w:rPr>
  </w:style>
  <w:style w:type="character" w:styleId="PlaceholderText">
    <w:name w:val="Placeholder Text"/>
    <w:basedOn w:val="DefaultParagraphFont"/>
    <w:semiHidden/>
    <w:rsid w:val="00517B47"/>
    <w:rPr>
      <w:color w:val="288061"/>
    </w:rPr>
  </w:style>
  <w:style w:type="paragraph" w:customStyle="1" w:styleId="AfterTable">
    <w:name w:val="After Table"/>
    <w:semiHidden/>
    <w:rsid w:val="00517B47"/>
    <w:rPr>
      <w:sz w:val="4"/>
      <w:lang w:eastAsia="en-IE"/>
    </w:rPr>
  </w:style>
  <w:style w:type="paragraph" w:customStyle="1" w:styleId="AnnexTitle">
    <w:name w:val="AnnexTitle"/>
    <w:basedOn w:val="Normal"/>
    <w:next w:val="Normal"/>
    <w:uiPriority w:val="1"/>
    <w:qFormat/>
    <w:rsid w:val="00517B47"/>
    <w:pPr>
      <w:pageBreakBefore/>
      <w:numPr>
        <w:numId w:val="43"/>
      </w:numPr>
      <w:spacing w:before="0" w:after="480"/>
      <w:outlineLvl w:val="0"/>
    </w:pPr>
    <w:rPr>
      <w:b/>
      <w:sz w:val="32"/>
      <w:szCs w:val="20"/>
      <w:lang w:eastAsia="en-IE"/>
    </w:rPr>
  </w:style>
  <w:style w:type="paragraph" w:styleId="Caption">
    <w:name w:val="caption"/>
    <w:basedOn w:val="Normal"/>
    <w:next w:val="Normal"/>
    <w:semiHidden/>
    <w:rsid w:val="00517B47"/>
    <w:pPr>
      <w:spacing w:before="160" w:after="240"/>
    </w:pPr>
    <w:rPr>
      <w:i/>
      <w:sz w:val="22"/>
      <w:szCs w:val="20"/>
      <w:lang w:eastAsia="en-IE"/>
    </w:rPr>
  </w:style>
  <w:style w:type="paragraph" w:customStyle="1" w:styleId="ConfidentialUE">
    <w:name w:val="Confidential UE"/>
    <w:basedOn w:val="Normal"/>
    <w:semiHidden/>
    <w:rsid w:val="00517B47"/>
    <w:pPr>
      <w:spacing w:before="0" w:after="0"/>
      <w:jc w:val="center"/>
    </w:pPr>
    <w:rPr>
      <w:b/>
      <w:caps/>
      <w:sz w:val="32"/>
      <w:szCs w:val="20"/>
      <w:bdr w:val="single" w:sz="18" w:space="0" w:color="auto"/>
      <w:lang w:eastAsia="en-IE"/>
    </w:rPr>
  </w:style>
  <w:style w:type="paragraph" w:customStyle="1" w:styleId="Contact">
    <w:name w:val="Contact"/>
    <w:basedOn w:val="Normal"/>
    <w:uiPriority w:val="1"/>
    <w:rsid w:val="00517B47"/>
    <w:pPr>
      <w:spacing w:before="480" w:after="0"/>
      <w:ind w:left="567" w:hanging="567"/>
      <w:contextualSpacing/>
      <w:jc w:val="left"/>
    </w:pPr>
    <w:rPr>
      <w:szCs w:val="20"/>
      <w:lang w:eastAsia="en-IE"/>
    </w:rPr>
  </w:style>
  <w:style w:type="paragraph" w:customStyle="1" w:styleId="ContNum">
    <w:name w:val="ContNum"/>
    <w:basedOn w:val="Normal"/>
    <w:uiPriority w:val="1"/>
    <w:qFormat/>
    <w:rsid w:val="00517B47"/>
    <w:pPr>
      <w:numPr>
        <w:numId w:val="42"/>
      </w:numPr>
      <w:spacing w:before="0" w:after="240"/>
    </w:pPr>
    <w:rPr>
      <w:szCs w:val="20"/>
      <w:lang w:eastAsia="en-IE"/>
    </w:rPr>
  </w:style>
  <w:style w:type="paragraph" w:customStyle="1" w:styleId="ContNumLevel2">
    <w:name w:val="ContNum (Level 2)"/>
    <w:basedOn w:val="Normal"/>
    <w:uiPriority w:val="1"/>
    <w:rsid w:val="00517B47"/>
    <w:pPr>
      <w:numPr>
        <w:ilvl w:val="1"/>
        <w:numId w:val="42"/>
      </w:numPr>
      <w:spacing w:before="0" w:after="240"/>
    </w:pPr>
    <w:rPr>
      <w:szCs w:val="20"/>
      <w:lang w:eastAsia="en-IE"/>
    </w:rPr>
  </w:style>
  <w:style w:type="paragraph" w:customStyle="1" w:styleId="ContNumLevel3">
    <w:name w:val="ContNum (Level 3)"/>
    <w:basedOn w:val="Normal"/>
    <w:uiPriority w:val="1"/>
    <w:rsid w:val="00517B47"/>
    <w:pPr>
      <w:numPr>
        <w:ilvl w:val="2"/>
        <w:numId w:val="42"/>
      </w:numPr>
      <w:spacing w:before="0" w:after="240"/>
    </w:pPr>
    <w:rPr>
      <w:szCs w:val="20"/>
      <w:lang w:eastAsia="en-IE"/>
    </w:rPr>
  </w:style>
  <w:style w:type="paragraph" w:styleId="Date">
    <w:name w:val="Date"/>
    <w:basedOn w:val="Normal"/>
    <w:next w:val="References"/>
    <w:link w:val="DateChar"/>
    <w:uiPriority w:val="1"/>
    <w:rsid w:val="00517B47"/>
    <w:pPr>
      <w:spacing w:before="0" w:after="0"/>
      <w:ind w:left="5102" w:right="-567"/>
      <w:jc w:val="left"/>
    </w:pPr>
    <w:rPr>
      <w:szCs w:val="20"/>
      <w:lang w:eastAsia="en-IE"/>
    </w:rPr>
  </w:style>
  <w:style w:type="character" w:customStyle="1" w:styleId="DateChar">
    <w:name w:val="Date Char"/>
    <w:basedOn w:val="DefaultParagraphFont"/>
    <w:link w:val="Date"/>
    <w:uiPriority w:val="1"/>
    <w:rsid w:val="00517B47"/>
    <w:rPr>
      <w:sz w:val="24"/>
      <w:lang w:eastAsia="en-IE"/>
    </w:rPr>
  </w:style>
  <w:style w:type="paragraph" w:customStyle="1" w:styleId="Designator">
    <w:name w:val="Designator"/>
    <w:basedOn w:val="Normal"/>
    <w:semiHidden/>
    <w:rsid w:val="00517B47"/>
    <w:pPr>
      <w:spacing w:before="0" w:after="0"/>
      <w:jc w:val="center"/>
    </w:pPr>
    <w:rPr>
      <w:b/>
      <w:caps/>
      <w:sz w:val="32"/>
      <w:szCs w:val="20"/>
      <w:lang w:eastAsia="en-IE"/>
    </w:rPr>
  </w:style>
  <w:style w:type="paragraph" w:customStyle="1" w:styleId="DoubSign">
    <w:name w:val="DoubSign"/>
    <w:basedOn w:val="Normal"/>
    <w:uiPriority w:val="2"/>
    <w:rsid w:val="00517B47"/>
    <w:pPr>
      <w:spacing w:before="1200" w:after="0"/>
      <w:jc w:val="left"/>
    </w:pPr>
    <w:rPr>
      <w:szCs w:val="20"/>
      <w:lang w:eastAsia="en-IE"/>
    </w:rPr>
  </w:style>
  <w:style w:type="paragraph" w:customStyle="1" w:styleId="EmptyParagraph">
    <w:name w:val="Empty Paragraph"/>
    <w:basedOn w:val="Normal"/>
    <w:next w:val="Normal"/>
    <w:semiHidden/>
    <w:rsid w:val="00517B47"/>
    <w:pPr>
      <w:spacing w:before="240" w:after="240"/>
    </w:pPr>
    <w:rPr>
      <w:szCs w:val="20"/>
      <w:lang w:eastAsia="en-IE"/>
    </w:rPr>
  </w:style>
  <w:style w:type="paragraph" w:styleId="EndnoteText">
    <w:name w:val="endnote text"/>
    <w:basedOn w:val="Normal"/>
    <w:link w:val="EndnoteTextChar"/>
    <w:unhideWhenUsed/>
    <w:rsid w:val="00517B47"/>
    <w:pPr>
      <w:spacing w:before="0" w:after="240"/>
    </w:pPr>
    <w:rPr>
      <w:sz w:val="20"/>
      <w:szCs w:val="20"/>
      <w:lang w:eastAsia="en-IE"/>
    </w:rPr>
  </w:style>
  <w:style w:type="character" w:customStyle="1" w:styleId="EndnoteTextChar">
    <w:name w:val="Endnote Text Char"/>
    <w:basedOn w:val="DefaultParagraphFont"/>
    <w:link w:val="EndnoteText"/>
    <w:rsid w:val="00517B47"/>
    <w:rPr>
      <w:lang w:eastAsia="en-IE"/>
    </w:rPr>
  </w:style>
  <w:style w:type="paragraph" w:customStyle="1" w:styleId="FigureBody">
    <w:name w:val="Figure Body"/>
    <w:basedOn w:val="Normal"/>
    <w:next w:val="FigureSource"/>
    <w:uiPriority w:val="2"/>
    <w:rsid w:val="00517B47"/>
    <w:pPr>
      <w:keepNext/>
      <w:spacing w:before="0" w:after="40"/>
    </w:pPr>
    <w:rPr>
      <w:szCs w:val="20"/>
      <w:lang w:eastAsia="en-IE"/>
    </w:rPr>
  </w:style>
  <w:style w:type="paragraph" w:customStyle="1" w:styleId="FigureBody1">
    <w:name w:val="Figure Body 1"/>
    <w:basedOn w:val="Text1"/>
    <w:next w:val="FigureSource1"/>
    <w:uiPriority w:val="2"/>
    <w:rsid w:val="00517B47"/>
    <w:pPr>
      <w:keepNext/>
      <w:spacing w:before="0" w:after="40"/>
      <w:ind w:left="482"/>
    </w:pPr>
    <w:rPr>
      <w:szCs w:val="20"/>
      <w:lang w:eastAsia="en-IE"/>
    </w:rPr>
  </w:style>
  <w:style w:type="paragraph" w:customStyle="1" w:styleId="FigureBody2">
    <w:name w:val="Figure Body 2"/>
    <w:basedOn w:val="Text2"/>
    <w:next w:val="FigureSource2"/>
    <w:uiPriority w:val="2"/>
    <w:rsid w:val="00517B47"/>
    <w:pPr>
      <w:keepNext/>
      <w:spacing w:before="0" w:after="40"/>
      <w:ind w:left="1202"/>
    </w:pPr>
    <w:rPr>
      <w:szCs w:val="20"/>
      <w:lang w:eastAsia="en-IE"/>
    </w:rPr>
  </w:style>
  <w:style w:type="paragraph" w:customStyle="1" w:styleId="FigureBody3">
    <w:name w:val="Figure Body 3"/>
    <w:basedOn w:val="Text3"/>
    <w:next w:val="FigureSource3"/>
    <w:uiPriority w:val="2"/>
    <w:rsid w:val="00517B47"/>
    <w:pPr>
      <w:keepNext/>
      <w:spacing w:before="0" w:after="40"/>
      <w:ind w:left="1202"/>
    </w:pPr>
    <w:rPr>
      <w:szCs w:val="20"/>
      <w:lang w:eastAsia="en-IE"/>
    </w:rPr>
  </w:style>
  <w:style w:type="paragraph" w:customStyle="1" w:styleId="FigureBody4">
    <w:name w:val="Figure Body 4"/>
    <w:basedOn w:val="Text4"/>
    <w:next w:val="FigureSource4"/>
    <w:uiPriority w:val="2"/>
    <w:rsid w:val="00517B47"/>
    <w:pPr>
      <w:keepNext/>
      <w:spacing w:before="0" w:after="40"/>
      <w:ind w:left="1202"/>
    </w:pPr>
    <w:rPr>
      <w:szCs w:val="20"/>
      <w:lang w:eastAsia="en-IE"/>
    </w:rPr>
  </w:style>
  <w:style w:type="paragraph" w:customStyle="1" w:styleId="FigureSource">
    <w:name w:val="Figure Source"/>
    <w:basedOn w:val="Normal"/>
    <w:next w:val="Normal"/>
    <w:uiPriority w:val="2"/>
    <w:rsid w:val="00517B47"/>
    <w:pPr>
      <w:spacing w:before="0" w:after="240"/>
    </w:pPr>
    <w:rPr>
      <w:sz w:val="20"/>
      <w:szCs w:val="20"/>
      <w:lang w:eastAsia="en-IE"/>
    </w:rPr>
  </w:style>
  <w:style w:type="paragraph" w:customStyle="1" w:styleId="FigureSource1">
    <w:name w:val="Figure Source 1"/>
    <w:basedOn w:val="Text1"/>
    <w:next w:val="Text1"/>
    <w:uiPriority w:val="2"/>
    <w:rsid w:val="00517B47"/>
    <w:pPr>
      <w:spacing w:before="0" w:after="240"/>
      <w:ind w:left="482"/>
    </w:pPr>
    <w:rPr>
      <w:sz w:val="20"/>
      <w:szCs w:val="20"/>
      <w:lang w:eastAsia="en-IE"/>
    </w:rPr>
  </w:style>
  <w:style w:type="paragraph" w:customStyle="1" w:styleId="FigureSource2">
    <w:name w:val="Figure Source 2"/>
    <w:basedOn w:val="Text2"/>
    <w:next w:val="Text2"/>
    <w:uiPriority w:val="2"/>
    <w:rsid w:val="00517B47"/>
    <w:pPr>
      <w:spacing w:before="0" w:after="240"/>
      <w:ind w:left="1202"/>
    </w:pPr>
    <w:rPr>
      <w:sz w:val="20"/>
      <w:szCs w:val="20"/>
      <w:lang w:eastAsia="en-IE"/>
    </w:rPr>
  </w:style>
  <w:style w:type="paragraph" w:customStyle="1" w:styleId="FigureSource3">
    <w:name w:val="Figure Source 3"/>
    <w:basedOn w:val="Text3"/>
    <w:next w:val="Text3"/>
    <w:uiPriority w:val="2"/>
    <w:rsid w:val="00517B47"/>
    <w:pPr>
      <w:spacing w:before="0" w:after="240"/>
      <w:ind w:left="1202"/>
    </w:pPr>
    <w:rPr>
      <w:sz w:val="20"/>
      <w:szCs w:val="20"/>
      <w:lang w:eastAsia="en-IE"/>
    </w:rPr>
  </w:style>
  <w:style w:type="paragraph" w:customStyle="1" w:styleId="FigureSource4">
    <w:name w:val="Figure Source 4"/>
    <w:basedOn w:val="Text4"/>
    <w:next w:val="Text4"/>
    <w:uiPriority w:val="2"/>
    <w:rsid w:val="00517B47"/>
    <w:pPr>
      <w:spacing w:before="0" w:after="240"/>
      <w:ind w:left="1202"/>
    </w:pPr>
    <w:rPr>
      <w:sz w:val="20"/>
      <w:szCs w:val="20"/>
      <w:lang w:eastAsia="en-IE"/>
    </w:rPr>
  </w:style>
  <w:style w:type="paragraph" w:customStyle="1" w:styleId="FigureTitle">
    <w:name w:val="Figure Title"/>
    <w:basedOn w:val="Normal"/>
    <w:next w:val="FigureBody"/>
    <w:uiPriority w:val="2"/>
    <w:rsid w:val="00517B47"/>
    <w:pPr>
      <w:keepNext/>
      <w:spacing w:before="0"/>
    </w:pPr>
    <w:rPr>
      <w:b/>
      <w:i/>
      <w:szCs w:val="20"/>
      <w:lang w:eastAsia="en-IE"/>
    </w:rPr>
  </w:style>
  <w:style w:type="paragraph" w:customStyle="1" w:styleId="FigureTitle1">
    <w:name w:val="Figure Title 1"/>
    <w:basedOn w:val="Text1"/>
    <w:next w:val="FigureBody1"/>
    <w:uiPriority w:val="2"/>
    <w:rsid w:val="00517B47"/>
    <w:pPr>
      <w:keepNext/>
      <w:spacing w:before="0"/>
      <w:ind w:left="482"/>
    </w:pPr>
    <w:rPr>
      <w:b/>
      <w:i/>
      <w:szCs w:val="20"/>
      <w:lang w:eastAsia="en-IE"/>
    </w:rPr>
  </w:style>
  <w:style w:type="paragraph" w:customStyle="1" w:styleId="FigureTitle2">
    <w:name w:val="Figure Title 2"/>
    <w:basedOn w:val="Text2"/>
    <w:next w:val="FigureBody2"/>
    <w:uiPriority w:val="2"/>
    <w:rsid w:val="00517B47"/>
    <w:pPr>
      <w:keepNext/>
      <w:spacing w:before="0"/>
      <w:ind w:left="1202"/>
    </w:pPr>
    <w:rPr>
      <w:b/>
      <w:i/>
      <w:szCs w:val="20"/>
      <w:lang w:eastAsia="en-IE"/>
    </w:rPr>
  </w:style>
  <w:style w:type="paragraph" w:customStyle="1" w:styleId="FigureTitle3">
    <w:name w:val="Figure Title 3"/>
    <w:basedOn w:val="Text3"/>
    <w:next w:val="FigureBody3"/>
    <w:uiPriority w:val="2"/>
    <w:rsid w:val="00517B47"/>
    <w:pPr>
      <w:keepNext/>
      <w:spacing w:before="0"/>
      <w:ind w:left="1202"/>
    </w:pPr>
    <w:rPr>
      <w:b/>
      <w:i/>
      <w:szCs w:val="20"/>
      <w:lang w:eastAsia="en-IE"/>
    </w:rPr>
  </w:style>
  <w:style w:type="paragraph" w:customStyle="1" w:styleId="FigureTitle4">
    <w:name w:val="Figure Title 4"/>
    <w:basedOn w:val="Text4"/>
    <w:next w:val="FigureBody4"/>
    <w:uiPriority w:val="2"/>
    <w:rsid w:val="00517B47"/>
    <w:pPr>
      <w:keepNext/>
      <w:spacing w:before="0"/>
      <w:ind w:left="1202"/>
    </w:pPr>
    <w:rPr>
      <w:b/>
      <w:i/>
      <w:szCs w:val="20"/>
      <w:lang w:eastAsia="en-IE"/>
    </w:rPr>
  </w:style>
  <w:style w:type="paragraph" w:customStyle="1" w:styleId="FooterLine">
    <w:name w:val="Footer Line"/>
    <w:basedOn w:val="Footer"/>
    <w:next w:val="Footer"/>
    <w:uiPriority w:val="2"/>
    <w:rsid w:val="00517B47"/>
    <w:pPr>
      <w:tabs>
        <w:tab w:val="clear" w:pos="4535"/>
        <w:tab w:val="clear" w:pos="9071"/>
        <w:tab w:val="clear" w:pos="9921"/>
        <w:tab w:val="right" w:pos="8646"/>
      </w:tabs>
      <w:spacing w:before="120" w:line="264" w:lineRule="auto"/>
      <w:ind w:left="0" w:right="0"/>
      <w:jc w:val="both"/>
    </w:pPr>
    <w:rPr>
      <w:sz w:val="16"/>
      <w:szCs w:val="20"/>
      <w:lang w:eastAsia="en-IE"/>
    </w:rPr>
  </w:style>
  <w:style w:type="paragraph" w:customStyle="1" w:styleId="HistoryTable">
    <w:name w:val="HistoryTable"/>
    <w:basedOn w:val="Normal"/>
    <w:uiPriority w:val="2"/>
    <w:rsid w:val="00517B47"/>
    <w:pPr>
      <w:spacing w:before="60" w:after="60"/>
      <w:jc w:val="left"/>
    </w:pPr>
    <w:rPr>
      <w:sz w:val="20"/>
      <w:szCs w:val="20"/>
      <w:lang w:eastAsia="en-IE"/>
    </w:rPr>
  </w:style>
  <w:style w:type="paragraph" w:customStyle="1" w:styleId="HistTableHeading">
    <w:name w:val="HistTableHeading"/>
    <w:basedOn w:val="Normal"/>
    <w:next w:val="HistoryTable"/>
    <w:uiPriority w:val="2"/>
    <w:rsid w:val="00517B47"/>
    <w:pPr>
      <w:spacing w:before="240" w:after="240"/>
      <w:jc w:val="center"/>
    </w:pPr>
    <w:rPr>
      <w:rFonts w:ascii="Times New Roman Bold" w:hAnsi="Times New Roman Bold"/>
      <w:b/>
      <w:caps/>
      <w:szCs w:val="20"/>
      <w:lang w:eastAsia="en-IE"/>
    </w:rPr>
  </w:style>
  <w:style w:type="paragraph" w:customStyle="1" w:styleId="LegalNumPar">
    <w:name w:val="LegalNumPar"/>
    <w:basedOn w:val="Normal"/>
    <w:uiPriority w:val="1"/>
    <w:qFormat/>
    <w:rsid w:val="00517B47"/>
    <w:pPr>
      <w:numPr>
        <w:numId w:val="41"/>
      </w:numPr>
      <w:spacing w:before="0" w:after="240" w:line="360" w:lineRule="auto"/>
    </w:pPr>
    <w:rPr>
      <w:szCs w:val="20"/>
      <w:lang w:eastAsia="en-IE"/>
    </w:rPr>
  </w:style>
  <w:style w:type="paragraph" w:customStyle="1" w:styleId="LegalNumPar2">
    <w:name w:val="LegalNumPar2"/>
    <w:basedOn w:val="Normal"/>
    <w:uiPriority w:val="1"/>
    <w:rsid w:val="00517B47"/>
    <w:pPr>
      <w:numPr>
        <w:ilvl w:val="1"/>
        <w:numId w:val="41"/>
      </w:numPr>
      <w:spacing w:before="0" w:after="240" w:line="360" w:lineRule="auto"/>
    </w:pPr>
    <w:rPr>
      <w:szCs w:val="20"/>
      <w:lang w:eastAsia="en-IE"/>
    </w:rPr>
  </w:style>
  <w:style w:type="paragraph" w:customStyle="1" w:styleId="LegalNumPar3">
    <w:name w:val="LegalNumPar3"/>
    <w:basedOn w:val="Normal"/>
    <w:uiPriority w:val="1"/>
    <w:rsid w:val="00517B47"/>
    <w:pPr>
      <w:numPr>
        <w:ilvl w:val="2"/>
        <w:numId w:val="41"/>
      </w:numPr>
      <w:spacing w:before="0" w:after="240" w:line="360" w:lineRule="auto"/>
    </w:pPr>
    <w:rPr>
      <w:szCs w:val="20"/>
      <w:lang w:eastAsia="en-IE"/>
    </w:rPr>
  </w:style>
  <w:style w:type="paragraph" w:styleId="ListBullet">
    <w:name w:val="List Bullet"/>
    <w:basedOn w:val="Normal"/>
    <w:uiPriority w:val="1"/>
    <w:rsid w:val="00517B47"/>
    <w:pPr>
      <w:numPr>
        <w:numId w:val="39"/>
      </w:numPr>
      <w:spacing w:before="0" w:after="240"/>
    </w:pPr>
    <w:rPr>
      <w:szCs w:val="20"/>
      <w:lang w:eastAsia="en-IE"/>
    </w:rPr>
  </w:style>
  <w:style w:type="paragraph" w:customStyle="1" w:styleId="ListBulletLevel2">
    <w:name w:val="List Bullet (Level 2)"/>
    <w:basedOn w:val="Normal"/>
    <w:uiPriority w:val="1"/>
    <w:rsid w:val="00517B47"/>
    <w:pPr>
      <w:numPr>
        <w:ilvl w:val="1"/>
        <w:numId w:val="39"/>
      </w:numPr>
      <w:spacing w:before="0" w:after="240"/>
    </w:pPr>
    <w:rPr>
      <w:szCs w:val="20"/>
      <w:lang w:eastAsia="en-IE"/>
    </w:rPr>
  </w:style>
  <w:style w:type="paragraph" w:customStyle="1" w:styleId="ListBulletLevel3">
    <w:name w:val="List Bullet (Level 3)"/>
    <w:basedOn w:val="Normal"/>
    <w:uiPriority w:val="1"/>
    <w:semiHidden/>
    <w:unhideWhenUsed/>
    <w:rsid w:val="00517B47"/>
    <w:pPr>
      <w:numPr>
        <w:ilvl w:val="2"/>
        <w:numId w:val="39"/>
      </w:numPr>
      <w:spacing w:before="0" w:after="240"/>
    </w:pPr>
    <w:rPr>
      <w:szCs w:val="20"/>
      <w:lang w:eastAsia="en-IE"/>
    </w:rPr>
  </w:style>
  <w:style w:type="paragraph" w:customStyle="1" w:styleId="ListBulletLevel4">
    <w:name w:val="List Bullet (Level 4)"/>
    <w:basedOn w:val="Normal"/>
    <w:uiPriority w:val="1"/>
    <w:semiHidden/>
    <w:unhideWhenUsed/>
    <w:rsid w:val="00517B47"/>
    <w:pPr>
      <w:numPr>
        <w:ilvl w:val="3"/>
        <w:numId w:val="39"/>
      </w:numPr>
      <w:spacing w:before="0" w:after="240"/>
    </w:pPr>
    <w:rPr>
      <w:szCs w:val="20"/>
      <w:lang w:eastAsia="en-IE"/>
    </w:rPr>
  </w:style>
  <w:style w:type="paragraph" w:customStyle="1" w:styleId="ListBullet1">
    <w:name w:val="List Bullet 1"/>
    <w:basedOn w:val="Text1"/>
    <w:uiPriority w:val="1"/>
    <w:rsid w:val="00517B47"/>
    <w:pPr>
      <w:numPr>
        <w:numId w:val="38"/>
      </w:numPr>
      <w:spacing w:before="0" w:after="240"/>
    </w:pPr>
    <w:rPr>
      <w:szCs w:val="20"/>
      <w:lang w:eastAsia="en-IE"/>
    </w:rPr>
  </w:style>
  <w:style w:type="paragraph" w:customStyle="1" w:styleId="ListBullet1Level2">
    <w:name w:val="List Bullet 1 (Level 2)"/>
    <w:basedOn w:val="Text1"/>
    <w:uiPriority w:val="1"/>
    <w:rsid w:val="00517B47"/>
    <w:pPr>
      <w:numPr>
        <w:ilvl w:val="1"/>
        <w:numId w:val="38"/>
      </w:numPr>
      <w:spacing w:before="0" w:after="240"/>
    </w:pPr>
    <w:rPr>
      <w:szCs w:val="20"/>
      <w:lang w:eastAsia="en-IE"/>
    </w:rPr>
  </w:style>
  <w:style w:type="paragraph" w:customStyle="1" w:styleId="ListBullet1Level3">
    <w:name w:val="List Bullet 1 (Level 3)"/>
    <w:basedOn w:val="Text1"/>
    <w:uiPriority w:val="1"/>
    <w:semiHidden/>
    <w:unhideWhenUsed/>
    <w:rsid w:val="00517B47"/>
    <w:pPr>
      <w:numPr>
        <w:ilvl w:val="2"/>
        <w:numId w:val="38"/>
      </w:numPr>
      <w:spacing w:before="0" w:after="240"/>
    </w:pPr>
    <w:rPr>
      <w:szCs w:val="20"/>
      <w:lang w:eastAsia="en-IE"/>
    </w:rPr>
  </w:style>
  <w:style w:type="paragraph" w:customStyle="1" w:styleId="ListBullet1Level4">
    <w:name w:val="List Bullet 1 (Level 4)"/>
    <w:basedOn w:val="Text1"/>
    <w:uiPriority w:val="1"/>
    <w:semiHidden/>
    <w:unhideWhenUsed/>
    <w:rsid w:val="00517B47"/>
    <w:pPr>
      <w:numPr>
        <w:ilvl w:val="3"/>
        <w:numId w:val="38"/>
      </w:numPr>
      <w:spacing w:before="0" w:after="240"/>
    </w:pPr>
    <w:rPr>
      <w:szCs w:val="20"/>
      <w:lang w:eastAsia="en-IE"/>
    </w:rPr>
  </w:style>
  <w:style w:type="paragraph" w:styleId="ListBullet2">
    <w:name w:val="List Bullet 2"/>
    <w:basedOn w:val="Text2"/>
    <w:uiPriority w:val="1"/>
    <w:rsid w:val="00517B47"/>
    <w:pPr>
      <w:numPr>
        <w:numId w:val="47"/>
      </w:numPr>
      <w:spacing w:before="0" w:after="240"/>
    </w:pPr>
    <w:rPr>
      <w:szCs w:val="20"/>
      <w:lang w:eastAsia="en-IE"/>
    </w:rPr>
  </w:style>
  <w:style w:type="paragraph" w:customStyle="1" w:styleId="ListBullet2Level2">
    <w:name w:val="List Bullet 2 (Level 2)"/>
    <w:basedOn w:val="Text2"/>
    <w:uiPriority w:val="1"/>
    <w:rsid w:val="00517B47"/>
    <w:pPr>
      <w:numPr>
        <w:ilvl w:val="1"/>
        <w:numId w:val="37"/>
      </w:numPr>
      <w:spacing w:before="0" w:after="240"/>
    </w:pPr>
    <w:rPr>
      <w:szCs w:val="20"/>
      <w:lang w:eastAsia="en-IE"/>
    </w:rPr>
  </w:style>
  <w:style w:type="paragraph" w:customStyle="1" w:styleId="ListBullet2Level3">
    <w:name w:val="List Bullet 2 (Level 3)"/>
    <w:basedOn w:val="Text2"/>
    <w:uiPriority w:val="1"/>
    <w:semiHidden/>
    <w:unhideWhenUsed/>
    <w:rsid w:val="00517B47"/>
    <w:pPr>
      <w:numPr>
        <w:ilvl w:val="2"/>
        <w:numId w:val="37"/>
      </w:numPr>
      <w:spacing w:before="0" w:after="240"/>
    </w:pPr>
    <w:rPr>
      <w:szCs w:val="20"/>
      <w:lang w:eastAsia="en-IE"/>
    </w:rPr>
  </w:style>
  <w:style w:type="paragraph" w:customStyle="1" w:styleId="ListBullet2Level4">
    <w:name w:val="List Bullet 2 (Level 4)"/>
    <w:basedOn w:val="Text2"/>
    <w:uiPriority w:val="1"/>
    <w:semiHidden/>
    <w:unhideWhenUsed/>
    <w:rsid w:val="00517B47"/>
    <w:pPr>
      <w:numPr>
        <w:ilvl w:val="3"/>
        <w:numId w:val="37"/>
      </w:numPr>
      <w:spacing w:before="0" w:after="240"/>
    </w:pPr>
    <w:rPr>
      <w:szCs w:val="20"/>
      <w:lang w:eastAsia="en-IE"/>
    </w:rPr>
  </w:style>
  <w:style w:type="paragraph" w:styleId="ListBullet3">
    <w:name w:val="List Bullet 3"/>
    <w:basedOn w:val="Text3"/>
    <w:uiPriority w:val="1"/>
    <w:rsid w:val="00517B47"/>
    <w:pPr>
      <w:numPr>
        <w:numId w:val="36"/>
      </w:numPr>
      <w:spacing w:before="0" w:after="240"/>
    </w:pPr>
    <w:rPr>
      <w:szCs w:val="20"/>
      <w:lang w:eastAsia="en-IE"/>
    </w:rPr>
  </w:style>
  <w:style w:type="paragraph" w:customStyle="1" w:styleId="ListBullet3Level2">
    <w:name w:val="List Bullet 3 (Level 2)"/>
    <w:basedOn w:val="Text3"/>
    <w:uiPriority w:val="1"/>
    <w:rsid w:val="00517B47"/>
    <w:pPr>
      <w:numPr>
        <w:ilvl w:val="1"/>
        <w:numId w:val="36"/>
      </w:numPr>
      <w:spacing w:before="0" w:after="240"/>
    </w:pPr>
    <w:rPr>
      <w:szCs w:val="20"/>
      <w:lang w:eastAsia="en-IE"/>
    </w:rPr>
  </w:style>
  <w:style w:type="paragraph" w:customStyle="1" w:styleId="ListBullet3Level3">
    <w:name w:val="List Bullet 3 (Level 3)"/>
    <w:basedOn w:val="Text3"/>
    <w:uiPriority w:val="1"/>
    <w:semiHidden/>
    <w:unhideWhenUsed/>
    <w:rsid w:val="00517B47"/>
    <w:pPr>
      <w:numPr>
        <w:ilvl w:val="2"/>
        <w:numId w:val="36"/>
      </w:numPr>
      <w:spacing w:before="0" w:after="240"/>
    </w:pPr>
    <w:rPr>
      <w:szCs w:val="20"/>
      <w:lang w:eastAsia="en-IE"/>
    </w:rPr>
  </w:style>
  <w:style w:type="paragraph" w:customStyle="1" w:styleId="ListBullet3Level4">
    <w:name w:val="List Bullet 3 (Level 4)"/>
    <w:basedOn w:val="Text3"/>
    <w:uiPriority w:val="1"/>
    <w:semiHidden/>
    <w:unhideWhenUsed/>
    <w:rsid w:val="00517B47"/>
    <w:pPr>
      <w:numPr>
        <w:ilvl w:val="3"/>
        <w:numId w:val="36"/>
      </w:numPr>
      <w:spacing w:before="0" w:after="240"/>
    </w:pPr>
    <w:rPr>
      <w:szCs w:val="20"/>
      <w:lang w:eastAsia="en-IE"/>
    </w:rPr>
  </w:style>
  <w:style w:type="paragraph" w:styleId="ListBullet4">
    <w:name w:val="List Bullet 4"/>
    <w:basedOn w:val="Text4"/>
    <w:uiPriority w:val="1"/>
    <w:rsid w:val="00517B47"/>
    <w:pPr>
      <w:numPr>
        <w:numId w:val="35"/>
      </w:numPr>
      <w:spacing w:before="0" w:after="240"/>
    </w:pPr>
    <w:rPr>
      <w:szCs w:val="20"/>
      <w:lang w:eastAsia="en-IE"/>
    </w:rPr>
  </w:style>
  <w:style w:type="paragraph" w:customStyle="1" w:styleId="ListBullet4Level2">
    <w:name w:val="List Bullet 4 (Level 2)"/>
    <w:basedOn w:val="Text4"/>
    <w:uiPriority w:val="1"/>
    <w:rsid w:val="00517B47"/>
    <w:pPr>
      <w:numPr>
        <w:ilvl w:val="1"/>
        <w:numId w:val="35"/>
      </w:numPr>
      <w:spacing w:before="0" w:after="240"/>
    </w:pPr>
    <w:rPr>
      <w:szCs w:val="20"/>
      <w:lang w:eastAsia="en-IE"/>
    </w:rPr>
  </w:style>
  <w:style w:type="paragraph" w:customStyle="1" w:styleId="ListBullet4Level3">
    <w:name w:val="List Bullet 4 (Level 3)"/>
    <w:basedOn w:val="Text4"/>
    <w:uiPriority w:val="1"/>
    <w:semiHidden/>
    <w:unhideWhenUsed/>
    <w:rsid w:val="00517B47"/>
    <w:pPr>
      <w:numPr>
        <w:ilvl w:val="2"/>
        <w:numId w:val="35"/>
      </w:numPr>
      <w:spacing w:before="0" w:after="240"/>
    </w:pPr>
    <w:rPr>
      <w:szCs w:val="20"/>
      <w:lang w:eastAsia="en-IE"/>
    </w:rPr>
  </w:style>
  <w:style w:type="paragraph" w:customStyle="1" w:styleId="ListBullet4Level4">
    <w:name w:val="List Bullet 4 (Level 4)"/>
    <w:basedOn w:val="Text4"/>
    <w:uiPriority w:val="1"/>
    <w:semiHidden/>
    <w:unhideWhenUsed/>
    <w:rsid w:val="00517B47"/>
    <w:pPr>
      <w:numPr>
        <w:ilvl w:val="3"/>
        <w:numId w:val="35"/>
      </w:numPr>
      <w:spacing w:before="0" w:after="240"/>
    </w:pPr>
    <w:rPr>
      <w:szCs w:val="20"/>
      <w:lang w:eastAsia="en-IE"/>
    </w:rPr>
  </w:style>
  <w:style w:type="paragraph" w:customStyle="1" w:styleId="ListDash">
    <w:name w:val="List Dash"/>
    <w:basedOn w:val="Normal"/>
    <w:uiPriority w:val="1"/>
    <w:rsid w:val="00517B47"/>
    <w:pPr>
      <w:numPr>
        <w:numId w:val="29"/>
      </w:numPr>
      <w:spacing w:before="0" w:after="240"/>
    </w:pPr>
    <w:rPr>
      <w:szCs w:val="20"/>
      <w:lang w:eastAsia="en-IE"/>
    </w:rPr>
  </w:style>
  <w:style w:type="paragraph" w:customStyle="1" w:styleId="ListDashLevel2">
    <w:name w:val="List Dash (Level 2)"/>
    <w:basedOn w:val="Normal"/>
    <w:uiPriority w:val="1"/>
    <w:rsid w:val="00517B47"/>
    <w:pPr>
      <w:numPr>
        <w:ilvl w:val="1"/>
        <w:numId w:val="29"/>
      </w:numPr>
      <w:spacing w:before="0" w:after="240"/>
    </w:pPr>
    <w:rPr>
      <w:szCs w:val="20"/>
      <w:lang w:eastAsia="en-IE"/>
    </w:rPr>
  </w:style>
  <w:style w:type="paragraph" w:customStyle="1" w:styleId="ListDashLevel3">
    <w:name w:val="List Dash (Level 3)"/>
    <w:basedOn w:val="Normal"/>
    <w:uiPriority w:val="1"/>
    <w:semiHidden/>
    <w:unhideWhenUsed/>
    <w:rsid w:val="00517B47"/>
    <w:pPr>
      <w:numPr>
        <w:ilvl w:val="2"/>
        <w:numId w:val="29"/>
      </w:numPr>
      <w:spacing w:before="0" w:after="240"/>
    </w:pPr>
    <w:rPr>
      <w:szCs w:val="20"/>
      <w:lang w:eastAsia="en-IE"/>
    </w:rPr>
  </w:style>
  <w:style w:type="paragraph" w:customStyle="1" w:styleId="ListDashLevel4">
    <w:name w:val="List Dash (Level 4)"/>
    <w:basedOn w:val="Normal"/>
    <w:uiPriority w:val="1"/>
    <w:semiHidden/>
    <w:unhideWhenUsed/>
    <w:rsid w:val="00517B47"/>
    <w:pPr>
      <w:numPr>
        <w:ilvl w:val="3"/>
        <w:numId w:val="29"/>
      </w:numPr>
      <w:spacing w:before="0" w:after="240"/>
    </w:pPr>
    <w:rPr>
      <w:szCs w:val="20"/>
      <w:lang w:eastAsia="en-IE"/>
    </w:rPr>
  </w:style>
  <w:style w:type="paragraph" w:customStyle="1" w:styleId="ListDash1">
    <w:name w:val="List Dash 1"/>
    <w:basedOn w:val="Text1"/>
    <w:uiPriority w:val="1"/>
    <w:rsid w:val="00517B47"/>
    <w:pPr>
      <w:numPr>
        <w:numId w:val="28"/>
      </w:numPr>
      <w:spacing w:before="0" w:after="240"/>
    </w:pPr>
    <w:rPr>
      <w:szCs w:val="20"/>
      <w:lang w:eastAsia="en-IE"/>
    </w:rPr>
  </w:style>
  <w:style w:type="paragraph" w:customStyle="1" w:styleId="ListDash1Level2">
    <w:name w:val="List Dash 1 (Level 2)"/>
    <w:basedOn w:val="Text1"/>
    <w:uiPriority w:val="1"/>
    <w:rsid w:val="00517B47"/>
    <w:pPr>
      <w:numPr>
        <w:ilvl w:val="1"/>
        <w:numId w:val="28"/>
      </w:numPr>
      <w:spacing w:before="0" w:after="240"/>
    </w:pPr>
    <w:rPr>
      <w:szCs w:val="20"/>
      <w:lang w:eastAsia="en-IE"/>
    </w:rPr>
  </w:style>
  <w:style w:type="paragraph" w:customStyle="1" w:styleId="ListDash1Level3">
    <w:name w:val="List Dash 1 (Level 3)"/>
    <w:basedOn w:val="Text1"/>
    <w:uiPriority w:val="1"/>
    <w:semiHidden/>
    <w:unhideWhenUsed/>
    <w:rsid w:val="00517B47"/>
    <w:pPr>
      <w:numPr>
        <w:ilvl w:val="2"/>
        <w:numId w:val="28"/>
      </w:numPr>
      <w:spacing w:before="0" w:after="240"/>
    </w:pPr>
    <w:rPr>
      <w:szCs w:val="20"/>
      <w:lang w:eastAsia="en-IE"/>
    </w:rPr>
  </w:style>
  <w:style w:type="paragraph" w:customStyle="1" w:styleId="ListDash1Level4">
    <w:name w:val="List Dash 1 (Level 4)"/>
    <w:basedOn w:val="Text1"/>
    <w:uiPriority w:val="1"/>
    <w:semiHidden/>
    <w:unhideWhenUsed/>
    <w:rsid w:val="00517B47"/>
    <w:pPr>
      <w:numPr>
        <w:ilvl w:val="3"/>
        <w:numId w:val="28"/>
      </w:numPr>
      <w:spacing w:before="0" w:after="240"/>
    </w:pPr>
    <w:rPr>
      <w:szCs w:val="20"/>
      <w:lang w:eastAsia="en-IE"/>
    </w:rPr>
  </w:style>
  <w:style w:type="paragraph" w:customStyle="1" w:styleId="ListDash2">
    <w:name w:val="List Dash 2"/>
    <w:basedOn w:val="Text2"/>
    <w:uiPriority w:val="1"/>
    <w:rsid w:val="00517B47"/>
    <w:pPr>
      <w:numPr>
        <w:numId w:val="27"/>
      </w:numPr>
      <w:spacing w:before="0" w:after="240"/>
    </w:pPr>
    <w:rPr>
      <w:szCs w:val="20"/>
      <w:lang w:eastAsia="en-IE"/>
    </w:rPr>
  </w:style>
  <w:style w:type="paragraph" w:customStyle="1" w:styleId="ListDash2Level2">
    <w:name w:val="List Dash 2 (Level 2)"/>
    <w:basedOn w:val="Text2"/>
    <w:uiPriority w:val="1"/>
    <w:rsid w:val="00517B47"/>
    <w:pPr>
      <w:numPr>
        <w:ilvl w:val="1"/>
        <w:numId w:val="27"/>
      </w:numPr>
      <w:spacing w:before="0" w:after="240"/>
    </w:pPr>
    <w:rPr>
      <w:szCs w:val="20"/>
      <w:lang w:eastAsia="en-IE"/>
    </w:rPr>
  </w:style>
  <w:style w:type="paragraph" w:customStyle="1" w:styleId="ListDash2Level3">
    <w:name w:val="List Dash 2 (Level 3)"/>
    <w:basedOn w:val="Text2"/>
    <w:uiPriority w:val="1"/>
    <w:semiHidden/>
    <w:unhideWhenUsed/>
    <w:rsid w:val="00517B47"/>
    <w:pPr>
      <w:numPr>
        <w:ilvl w:val="2"/>
        <w:numId w:val="27"/>
      </w:numPr>
      <w:spacing w:before="0" w:after="240"/>
    </w:pPr>
    <w:rPr>
      <w:szCs w:val="20"/>
      <w:lang w:eastAsia="en-IE"/>
    </w:rPr>
  </w:style>
  <w:style w:type="paragraph" w:customStyle="1" w:styleId="ListDash2Level4">
    <w:name w:val="List Dash 2 (Level 4)"/>
    <w:basedOn w:val="Text2"/>
    <w:uiPriority w:val="1"/>
    <w:semiHidden/>
    <w:unhideWhenUsed/>
    <w:rsid w:val="00517B47"/>
    <w:pPr>
      <w:numPr>
        <w:ilvl w:val="3"/>
        <w:numId w:val="27"/>
      </w:numPr>
      <w:spacing w:before="0" w:after="240"/>
    </w:pPr>
    <w:rPr>
      <w:szCs w:val="20"/>
      <w:lang w:eastAsia="en-IE"/>
    </w:rPr>
  </w:style>
  <w:style w:type="paragraph" w:customStyle="1" w:styleId="ListDash3">
    <w:name w:val="List Dash 3"/>
    <w:basedOn w:val="Text3"/>
    <w:uiPriority w:val="1"/>
    <w:rsid w:val="00517B47"/>
    <w:pPr>
      <w:numPr>
        <w:numId w:val="26"/>
      </w:numPr>
      <w:spacing w:before="0" w:after="240"/>
    </w:pPr>
    <w:rPr>
      <w:szCs w:val="20"/>
      <w:lang w:eastAsia="en-IE"/>
    </w:rPr>
  </w:style>
  <w:style w:type="paragraph" w:customStyle="1" w:styleId="ListDash3Level2">
    <w:name w:val="List Dash 3 (Level 2)"/>
    <w:basedOn w:val="Text3"/>
    <w:uiPriority w:val="1"/>
    <w:rsid w:val="00517B47"/>
    <w:pPr>
      <w:numPr>
        <w:ilvl w:val="1"/>
        <w:numId w:val="26"/>
      </w:numPr>
      <w:spacing w:before="0" w:after="240"/>
    </w:pPr>
    <w:rPr>
      <w:szCs w:val="20"/>
      <w:lang w:eastAsia="en-IE"/>
    </w:rPr>
  </w:style>
  <w:style w:type="paragraph" w:customStyle="1" w:styleId="ListDash3Level3">
    <w:name w:val="List Dash 3 (Level 3)"/>
    <w:basedOn w:val="Text3"/>
    <w:uiPriority w:val="1"/>
    <w:semiHidden/>
    <w:unhideWhenUsed/>
    <w:rsid w:val="00517B47"/>
    <w:pPr>
      <w:numPr>
        <w:ilvl w:val="2"/>
        <w:numId w:val="26"/>
      </w:numPr>
      <w:spacing w:before="0" w:after="240"/>
    </w:pPr>
    <w:rPr>
      <w:szCs w:val="20"/>
      <w:lang w:eastAsia="en-IE"/>
    </w:rPr>
  </w:style>
  <w:style w:type="paragraph" w:customStyle="1" w:styleId="ListDash3Level4">
    <w:name w:val="List Dash 3 (Level 4)"/>
    <w:basedOn w:val="Text3"/>
    <w:uiPriority w:val="1"/>
    <w:semiHidden/>
    <w:unhideWhenUsed/>
    <w:rsid w:val="00517B47"/>
    <w:pPr>
      <w:numPr>
        <w:ilvl w:val="3"/>
        <w:numId w:val="26"/>
      </w:numPr>
      <w:spacing w:before="0" w:after="240"/>
    </w:pPr>
    <w:rPr>
      <w:szCs w:val="20"/>
      <w:lang w:eastAsia="en-IE"/>
    </w:rPr>
  </w:style>
  <w:style w:type="paragraph" w:customStyle="1" w:styleId="ListDash4">
    <w:name w:val="List Dash 4"/>
    <w:basedOn w:val="Text4"/>
    <w:uiPriority w:val="1"/>
    <w:rsid w:val="00517B47"/>
    <w:pPr>
      <w:numPr>
        <w:numId w:val="25"/>
      </w:numPr>
      <w:spacing w:before="0" w:after="240"/>
    </w:pPr>
    <w:rPr>
      <w:szCs w:val="20"/>
      <w:lang w:eastAsia="en-IE"/>
    </w:rPr>
  </w:style>
  <w:style w:type="paragraph" w:customStyle="1" w:styleId="ListDash4Level2">
    <w:name w:val="List Dash 4 (Level 2)"/>
    <w:basedOn w:val="Text4"/>
    <w:uiPriority w:val="1"/>
    <w:rsid w:val="00517B47"/>
    <w:pPr>
      <w:numPr>
        <w:ilvl w:val="1"/>
        <w:numId w:val="25"/>
      </w:numPr>
      <w:spacing w:before="0" w:after="240"/>
    </w:pPr>
    <w:rPr>
      <w:szCs w:val="20"/>
      <w:lang w:eastAsia="en-IE"/>
    </w:rPr>
  </w:style>
  <w:style w:type="paragraph" w:customStyle="1" w:styleId="ListDash4Level3">
    <w:name w:val="List Dash 4 (Level 3)"/>
    <w:basedOn w:val="Text4"/>
    <w:uiPriority w:val="1"/>
    <w:semiHidden/>
    <w:unhideWhenUsed/>
    <w:rsid w:val="00517B47"/>
    <w:pPr>
      <w:numPr>
        <w:ilvl w:val="2"/>
        <w:numId w:val="25"/>
      </w:numPr>
      <w:spacing w:before="0" w:after="240"/>
    </w:pPr>
    <w:rPr>
      <w:szCs w:val="20"/>
      <w:lang w:eastAsia="en-IE"/>
    </w:rPr>
  </w:style>
  <w:style w:type="paragraph" w:customStyle="1" w:styleId="ListDash4Level4">
    <w:name w:val="List Dash 4 (Level 4)"/>
    <w:basedOn w:val="Text4"/>
    <w:uiPriority w:val="1"/>
    <w:semiHidden/>
    <w:unhideWhenUsed/>
    <w:rsid w:val="00517B47"/>
    <w:pPr>
      <w:numPr>
        <w:ilvl w:val="3"/>
        <w:numId w:val="25"/>
      </w:numPr>
      <w:spacing w:before="0" w:after="240"/>
    </w:pPr>
    <w:rPr>
      <w:szCs w:val="20"/>
      <w:lang w:eastAsia="en-IE"/>
    </w:rPr>
  </w:style>
  <w:style w:type="paragraph" w:styleId="ListNumber">
    <w:name w:val="List Number"/>
    <w:basedOn w:val="Normal"/>
    <w:uiPriority w:val="1"/>
    <w:rsid w:val="00517B47"/>
    <w:pPr>
      <w:numPr>
        <w:numId w:val="34"/>
      </w:numPr>
      <w:spacing w:before="0" w:after="240"/>
    </w:pPr>
    <w:rPr>
      <w:szCs w:val="20"/>
      <w:lang w:eastAsia="en-IE"/>
    </w:rPr>
  </w:style>
  <w:style w:type="paragraph" w:customStyle="1" w:styleId="ListNumberLevel2">
    <w:name w:val="List Number (Level 2)"/>
    <w:basedOn w:val="Normal"/>
    <w:uiPriority w:val="1"/>
    <w:rsid w:val="00517B47"/>
    <w:pPr>
      <w:numPr>
        <w:ilvl w:val="1"/>
        <w:numId w:val="34"/>
      </w:numPr>
      <w:spacing w:before="0" w:after="240"/>
    </w:pPr>
    <w:rPr>
      <w:szCs w:val="20"/>
      <w:lang w:eastAsia="en-IE"/>
    </w:rPr>
  </w:style>
  <w:style w:type="paragraph" w:customStyle="1" w:styleId="ListNumberLevel3">
    <w:name w:val="List Number (Level 3)"/>
    <w:basedOn w:val="Normal"/>
    <w:uiPriority w:val="1"/>
    <w:semiHidden/>
    <w:unhideWhenUsed/>
    <w:rsid w:val="00517B47"/>
    <w:pPr>
      <w:numPr>
        <w:ilvl w:val="2"/>
        <w:numId w:val="34"/>
      </w:numPr>
      <w:spacing w:before="0" w:after="240"/>
    </w:pPr>
    <w:rPr>
      <w:szCs w:val="20"/>
      <w:lang w:eastAsia="en-IE"/>
    </w:rPr>
  </w:style>
  <w:style w:type="paragraph" w:customStyle="1" w:styleId="ListNumberLevel4">
    <w:name w:val="List Number (Level 4)"/>
    <w:basedOn w:val="Normal"/>
    <w:uiPriority w:val="1"/>
    <w:semiHidden/>
    <w:unhideWhenUsed/>
    <w:rsid w:val="00517B47"/>
    <w:pPr>
      <w:numPr>
        <w:ilvl w:val="3"/>
        <w:numId w:val="34"/>
      </w:numPr>
      <w:spacing w:before="0" w:after="240"/>
    </w:pPr>
    <w:rPr>
      <w:szCs w:val="20"/>
      <w:lang w:eastAsia="en-IE"/>
    </w:rPr>
  </w:style>
  <w:style w:type="paragraph" w:customStyle="1" w:styleId="ListNumber1">
    <w:name w:val="List Number 1"/>
    <w:basedOn w:val="Text1"/>
    <w:uiPriority w:val="1"/>
    <w:rsid w:val="00517B47"/>
    <w:pPr>
      <w:numPr>
        <w:numId w:val="33"/>
      </w:numPr>
      <w:spacing w:before="0" w:after="240"/>
    </w:pPr>
    <w:rPr>
      <w:szCs w:val="20"/>
      <w:lang w:eastAsia="en-IE"/>
    </w:rPr>
  </w:style>
  <w:style w:type="paragraph" w:customStyle="1" w:styleId="ListNumber1Level2">
    <w:name w:val="List Number 1 (Level 2)"/>
    <w:basedOn w:val="Text1"/>
    <w:uiPriority w:val="1"/>
    <w:rsid w:val="00517B47"/>
    <w:pPr>
      <w:numPr>
        <w:ilvl w:val="1"/>
        <w:numId w:val="33"/>
      </w:numPr>
      <w:spacing w:before="0" w:after="240"/>
    </w:pPr>
    <w:rPr>
      <w:szCs w:val="20"/>
      <w:lang w:eastAsia="en-IE"/>
    </w:rPr>
  </w:style>
  <w:style w:type="paragraph" w:customStyle="1" w:styleId="ListNumber1Level3">
    <w:name w:val="List Number 1 (Level 3)"/>
    <w:basedOn w:val="Text1"/>
    <w:uiPriority w:val="1"/>
    <w:semiHidden/>
    <w:unhideWhenUsed/>
    <w:rsid w:val="00517B47"/>
    <w:pPr>
      <w:numPr>
        <w:ilvl w:val="2"/>
        <w:numId w:val="33"/>
      </w:numPr>
      <w:spacing w:before="0" w:after="240"/>
    </w:pPr>
    <w:rPr>
      <w:szCs w:val="20"/>
      <w:lang w:eastAsia="en-IE"/>
    </w:rPr>
  </w:style>
  <w:style w:type="paragraph" w:customStyle="1" w:styleId="ListNumber1Level4">
    <w:name w:val="List Number 1 (Level 4)"/>
    <w:basedOn w:val="Text1"/>
    <w:uiPriority w:val="1"/>
    <w:semiHidden/>
    <w:unhideWhenUsed/>
    <w:rsid w:val="00517B47"/>
    <w:pPr>
      <w:numPr>
        <w:ilvl w:val="3"/>
        <w:numId w:val="33"/>
      </w:numPr>
      <w:spacing w:before="0" w:after="240"/>
    </w:pPr>
    <w:rPr>
      <w:szCs w:val="20"/>
      <w:lang w:eastAsia="en-IE"/>
    </w:rPr>
  </w:style>
  <w:style w:type="paragraph" w:styleId="ListNumber2">
    <w:name w:val="List Number 2"/>
    <w:basedOn w:val="Text2"/>
    <w:uiPriority w:val="1"/>
    <w:rsid w:val="00517B47"/>
    <w:pPr>
      <w:numPr>
        <w:numId w:val="32"/>
      </w:numPr>
      <w:spacing w:before="0" w:after="240"/>
    </w:pPr>
    <w:rPr>
      <w:szCs w:val="20"/>
      <w:lang w:eastAsia="en-IE"/>
    </w:rPr>
  </w:style>
  <w:style w:type="paragraph" w:customStyle="1" w:styleId="ListNumber2Level2">
    <w:name w:val="List Number 2 (Level 2)"/>
    <w:basedOn w:val="Text2"/>
    <w:uiPriority w:val="1"/>
    <w:rsid w:val="00517B47"/>
    <w:pPr>
      <w:numPr>
        <w:ilvl w:val="1"/>
        <w:numId w:val="32"/>
      </w:numPr>
      <w:spacing w:before="0" w:after="240"/>
    </w:pPr>
    <w:rPr>
      <w:szCs w:val="20"/>
      <w:lang w:eastAsia="en-IE"/>
    </w:rPr>
  </w:style>
  <w:style w:type="paragraph" w:customStyle="1" w:styleId="ListNumber2Level3">
    <w:name w:val="List Number 2 (Level 3)"/>
    <w:basedOn w:val="Text2"/>
    <w:uiPriority w:val="1"/>
    <w:semiHidden/>
    <w:unhideWhenUsed/>
    <w:rsid w:val="00517B47"/>
    <w:pPr>
      <w:numPr>
        <w:ilvl w:val="2"/>
        <w:numId w:val="32"/>
      </w:numPr>
      <w:spacing w:before="0" w:after="240"/>
    </w:pPr>
    <w:rPr>
      <w:szCs w:val="20"/>
      <w:lang w:eastAsia="en-IE"/>
    </w:rPr>
  </w:style>
  <w:style w:type="paragraph" w:customStyle="1" w:styleId="ListNumber2Level4">
    <w:name w:val="List Number 2 (Level 4)"/>
    <w:basedOn w:val="Text2"/>
    <w:uiPriority w:val="1"/>
    <w:semiHidden/>
    <w:unhideWhenUsed/>
    <w:rsid w:val="00517B47"/>
    <w:pPr>
      <w:numPr>
        <w:ilvl w:val="3"/>
        <w:numId w:val="32"/>
      </w:numPr>
      <w:spacing w:before="0" w:after="240"/>
    </w:pPr>
    <w:rPr>
      <w:szCs w:val="20"/>
      <w:lang w:eastAsia="en-IE"/>
    </w:rPr>
  </w:style>
  <w:style w:type="paragraph" w:styleId="ListNumber3">
    <w:name w:val="List Number 3"/>
    <w:basedOn w:val="Text3"/>
    <w:uiPriority w:val="1"/>
    <w:rsid w:val="00517B47"/>
    <w:pPr>
      <w:numPr>
        <w:numId w:val="31"/>
      </w:numPr>
      <w:spacing w:before="0" w:after="240"/>
    </w:pPr>
    <w:rPr>
      <w:szCs w:val="20"/>
      <w:lang w:eastAsia="en-IE"/>
    </w:rPr>
  </w:style>
  <w:style w:type="paragraph" w:customStyle="1" w:styleId="ListNumber3Level2">
    <w:name w:val="List Number 3 (Level 2)"/>
    <w:basedOn w:val="Text3"/>
    <w:uiPriority w:val="1"/>
    <w:rsid w:val="00517B47"/>
    <w:pPr>
      <w:numPr>
        <w:ilvl w:val="1"/>
        <w:numId w:val="31"/>
      </w:numPr>
      <w:spacing w:before="0" w:after="240"/>
    </w:pPr>
    <w:rPr>
      <w:szCs w:val="20"/>
      <w:lang w:eastAsia="en-IE"/>
    </w:rPr>
  </w:style>
  <w:style w:type="paragraph" w:customStyle="1" w:styleId="ListNumber3Level3">
    <w:name w:val="List Number 3 (Level 3)"/>
    <w:basedOn w:val="Text3"/>
    <w:uiPriority w:val="1"/>
    <w:semiHidden/>
    <w:unhideWhenUsed/>
    <w:rsid w:val="00517B47"/>
    <w:pPr>
      <w:numPr>
        <w:ilvl w:val="2"/>
        <w:numId w:val="31"/>
      </w:numPr>
      <w:spacing w:before="0" w:after="240"/>
    </w:pPr>
    <w:rPr>
      <w:szCs w:val="20"/>
      <w:lang w:eastAsia="en-IE"/>
    </w:rPr>
  </w:style>
  <w:style w:type="paragraph" w:customStyle="1" w:styleId="ListNumber3Level4">
    <w:name w:val="List Number 3 (Level 4)"/>
    <w:basedOn w:val="Text3"/>
    <w:uiPriority w:val="1"/>
    <w:semiHidden/>
    <w:unhideWhenUsed/>
    <w:rsid w:val="00517B47"/>
    <w:pPr>
      <w:numPr>
        <w:ilvl w:val="3"/>
        <w:numId w:val="31"/>
      </w:numPr>
      <w:spacing w:before="0" w:after="240"/>
    </w:pPr>
    <w:rPr>
      <w:szCs w:val="20"/>
      <w:lang w:eastAsia="en-IE"/>
    </w:rPr>
  </w:style>
  <w:style w:type="paragraph" w:styleId="ListNumber4">
    <w:name w:val="List Number 4"/>
    <w:basedOn w:val="Text4"/>
    <w:uiPriority w:val="1"/>
    <w:rsid w:val="00517B47"/>
    <w:pPr>
      <w:numPr>
        <w:numId w:val="30"/>
      </w:numPr>
      <w:spacing w:before="0" w:after="240"/>
    </w:pPr>
    <w:rPr>
      <w:szCs w:val="20"/>
      <w:lang w:eastAsia="en-IE"/>
    </w:rPr>
  </w:style>
  <w:style w:type="paragraph" w:customStyle="1" w:styleId="ListNumber4Level2">
    <w:name w:val="List Number 4 (Level 2)"/>
    <w:basedOn w:val="Text4"/>
    <w:uiPriority w:val="1"/>
    <w:rsid w:val="00517B47"/>
    <w:pPr>
      <w:numPr>
        <w:ilvl w:val="1"/>
        <w:numId w:val="30"/>
      </w:numPr>
      <w:spacing w:before="0" w:after="240"/>
    </w:pPr>
    <w:rPr>
      <w:szCs w:val="20"/>
      <w:lang w:eastAsia="en-IE"/>
    </w:rPr>
  </w:style>
  <w:style w:type="paragraph" w:customStyle="1" w:styleId="ListNumber4Level3">
    <w:name w:val="List Number 4 (Level 3)"/>
    <w:basedOn w:val="Text4"/>
    <w:uiPriority w:val="1"/>
    <w:semiHidden/>
    <w:unhideWhenUsed/>
    <w:rsid w:val="00517B47"/>
    <w:pPr>
      <w:numPr>
        <w:ilvl w:val="2"/>
        <w:numId w:val="30"/>
      </w:numPr>
      <w:spacing w:before="0" w:after="240"/>
    </w:pPr>
    <w:rPr>
      <w:szCs w:val="20"/>
      <w:lang w:eastAsia="en-IE"/>
    </w:rPr>
  </w:style>
  <w:style w:type="paragraph" w:customStyle="1" w:styleId="ListNumber4Level4">
    <w:name w:val="List Number 4 (Level 4)"/>
    <w:basedOn w:val="Text4"/>
    <w:uiPriority w:val="1"/>
    <w:semiHidden/>
    <w:unhideWhenUsed/>
    <w:rsid w:val="00517B47"/>
    <w:pPr>
      <w:numPr>
        <w:ilvl w:val="3"/>
        <w:numId w:val="30"/>
      </w:numPr>
      <w:spacing w:before="0" w:after="240"/>
    </w:pPr>
    <w:rPr>
      <w:szCs w:val="20"/>
      <w:lang w:eastAsia="en-IE"/>
    </w:rPr>
  </w:style>
  <w:style w:type="paragraph" w:styleId="MacroText">
    <w:name w:val="macro"/>
    <w:basedOn w:val="Normal"/>
    <w:link w:val="MacroTextChar"/>
    <w:uiPriority w:val="1"/>
    <w:qFormat/>
    <w:rsid w:val="00517B47"/>
    <w:pPr>
      <w:tabs>
        <w:tab w:val="left" w:pos="482"/>
        <w:tab w:val="left" w:pos="958"/>
        <w:tab w:val="left" w:pos="1440"/>
        <w:tab w:val="left" w:pos="1922"/>
        <w:tab w:val="left" w:pos="2398"/>
        <w:tab w:val="left" w:pos="2880"/>
        <w:tab w:val="left" w:pos="3362"/>
        <w:tab w:val="left" w:pos="3838"/>
        <w:tab w:val="left" w:pos="4320"/>
      </w:tabs>
      <w:spacing w:before="0" w:after="240"/>
    </w:pPr>
    <w:rPr>
      <w:rFonts w:ascii="Courier New" w:hAnsi="Courier New"/>
      <w:sz w:val="22"/>
      <w:szCs w:val="20"/>
      <w:lang w:eastAsia="en-IE"/>
    </w:rPr>
  </w:style>
  <w:style w:type="character" w:customStyle="1" w:styleId="MacroTextChar">
    <w:name w:val="Macro Text Char"/>
    <w:basedOn w:val="DefaultParagraphFont"/>
    <w:link w:val="MacroText"/>
    <w:uiPriority w:val="1"/>
    <w:rsid w:val="00517B47"/>
    <w:rPr>
      <w:rFonts w:ascii="Courier New" w:hAnsi="Courier New"/>
      <w:sz w:val="22"/>
      <w:lang w:eastAsia="en-IE"/>
    </w:rPr>
  </w:style>
  <w:style w:type="paragraph" w:customStyle="1" w:styleId="Marking">
    <w:name w:val="Marking"/>
    <w:basedOn w:val="Normal"/>
    <w:semiHidden/>
    <w:rsid w:val="00517B47"/>
    <w:pPr>
      <w:spacing w:before="0" w:after="240"/>
      <w:ind w:left="5102" w:right="-567"/>
      <w:contextualSpacing/>
      <w:jc w:val="left"/>
    </w:pPr>
    <w:rPr>
      <w:sz w:val="28"/>
      <w:szCs w:val="20"/>
      <w:lang w:eastAsia="en-IE"/>
    </w:rPr>
  </w:style>
  <w:style w:type="paragraph" w:customStyle="1" w:styleId="References">
    <w:name w:val="References"/>
    <w:basedOn w:val="Normal"/>
    <w:uiPriority w:val="1"/>
    <w:rsid w:val="00517B47"/>
    <w:pPr>
      <w:spacing w:before="0" w:after="240"/>
      <w:ind w:left="5102" w:right="-567"/>
      <w:contextualSpacing/>
      <w:jc w:val="left"/>
    </w:pPr>
    <w:rPr>
      <w:sz w:val="20"/>
      <w:szCs w:val="20"/>
      <w:lang w:eastAsia="en-IE"/>
    </w:rPr>
  </w:style>
  <w:style w:type="paragraph" w:customStyle="1" w:styleId="Releasable">
    <w:name w:val="Releasable"/>
    <w:basedOn w:val="Normal"/>
    <w:semiHidden/>
    <w:rsid w:val="00517B47"/>
    <w:pPr>
      <w:spacing w:before="0" w:after="0"/>
      <w:jc w:val="center"/>
    </w:pPr>
    <w:rPr>
      <w:b/>
      <w:caps/>
      <w:sz w:val="32"/>
      <w:szCs w:val="20"/>
      <w:lang w:eastAsia="en-IE"/>
    </w:rPr>
  </w:style>
  <w:style w:type="paragraph" w:customStyle="1" w:styleId="RUE">
    <w:name w:val="RUE"/>
    <w:basedOn w:val="Normal"/>
    <w:semiHidden/>
    <w:rsid w:val="00517B47"/>
    <w:pPr>
      <w:spacing w:before="0" w:after="0"/>
      <w:jc w:val="center"/>
    </w:pPr>
    <w:rPr>
      <w:b/>
      <w:caps/>
      <w:sz w:val="32"/>
      <w:szCs w:val="20"/>
      <w:bdr w:val="single" w:sz="18" w:space="0" w:color="auto"/>
      <w:lang w:eastAsia="en-IE"/>
    </w:rPr>
  </w:style>
  <w:style w:type="paragraph" w:customStyle="1" w:styleId="SecretUE">
    <w:name w:val="Secret UE"/>
    <w:basedOn w:val="Normal"/>
    <w:semiHidden/>
    <w:rsid w:val="00517B47"/>
    <w:pPr>
      <w:spacing w:before="0" w:after="0"/>
      <w:jc w:val="center"/>
    </w:pPr>
    <w:rPr>
      <w:b/>
      <w:caps/>
      <w:color w:val="FF0000"/>
      <w:sz w:val="32"/>
      <w:szCs w:val="20"/>
      <w:bdr w:val="single" w:sz="18" w:space="0" w:color="FF0000"/>
      <w:lang w:eastAsia="en-IE"/>
    </w:rPr>
  </w:style>
  <w:style w:type="paragraph" w:styleId="Signature">
    <w:name w:val="Signature"/>
    <w:basedOn w:val="Normal"/>
    <w:link w:val="SignatureChar"/>
    <w:uiPriority w:val="2"/>
    <w:rsid w:val="00517B47"/>
    <w:pPr>
      <w:spacing w:before="1200" w:after="0"/>
      <w:ind w:left="5102"/>
      <w:jc w:val="center"/>
    </w:pPr>
    <w:rPr>
      <w:szCs w:val="20"/>
      <w:lang w:eastAsia="en-IE"/>
    </w:rPr>
  </w:style>
  <w:style w:type="character" w:customStyle="1" w:styleId="SignatureChar">
    <w:name w:val="Signature Char"/>
    <w:basedOn w:val="DefaultParagraphFont"/>
    <w:link w:val="Signature"/>
    <w:uiPriority w:val="2"/>
    <w:rsid w:val="00517B47"/>
    <w:rPr>
      <w:sz w:val="24"/>
      <w:lang w:eastAsia="en-IE"/>
    </w:rPr>
  </w:style>
  <w:style w:type="paragraph" w:customStyle="1" w:styleId="SignatureL">
    <w:name w:val="SignatureL"/>
    <w:basedOn w:val="Normal"/>
    <w:uiPriority w:val="2"/>
    <w:rsid w:val="00517B47"/>
    <w:pPr>
      <w:spacing w:before="1200" w:after="0"/>
      <w:jc w:val="left"/>
    </w:pPr>
    <w:rPr>
      <w:szCs w:val="20"/>
      <w:lang w:eastAsia="en-IE"/>
    </w:rPr>
  </w:style>
  <w:style w:type="paragraph" w:customStyle="1" w:styleId="SubTitle1">
    <w:name w:val="SubTitle 1"/>
    <w:basedOn w:val="Normal"/>
    <w:next w:val="SubTitle2"/>
    <w:uiPriority w:val="1"/>
    <w:qFormat/>
    <w:rsid w:val="00517B47"/>
    <w:pPr>
      <w:spacing w:before="0" w:after="240"/>
      <w:jc w:val="center"/>
    </w:pPr>
    <w:rPr>
      <w:b/>
      <w:sz w:val="40"/>
      <w:szCs w:val="20"/>
      <w:lang w:eastAsia="en-IE"/>
    </w:rPr>
  </w:style>
  <w:style w:type="paragraph" w:customStyle="1" w:styleId="SubTitle2">
    <w:name w:val="SubTitle 2"/>
    <w:basedOn w:val="Normal"/>
    <w:uiPriority w:val="1"/>
    <w:qFormat/>
    <w:rsid w:val="00517B47"/>
    <w:pPr>
      <w:spacing w:before="0" w:after="240"/>
      <w:jc w:val="center"/>
    </w:pPr>
    <w:rPr>
      <w:b/>
      <w:sz w:val="32"/>
      <w:szCs w:val="20"/>
      <w:lang w:eastAsia="en-IE"/>
    </w:rPr>
  </w:style>
  <w:style w:type="paragraph" w:customStyle="1" w:styleId="TableListBullet">
    <w:name w:val="Table List Bullet"/>
    <w:basedOn w:val="TableText"/>
    <w:uiPriority w:val="1"/>
    <w:rsid w:val="00517B47"/>
    <w:pPr>
      <w:numPr>
        <w:numId w:val="44"/>
      </w:numPr>
    </w:pPr>
  </w:style>
  <w:style w:type="paragraph" w:customStyle="1" w:styleId="TableListBulletLevel2">
    <w:name w:val="Table List Bullet (Level 2)"/>
    <w:basedOn w:val="TableText"/>
    <w:uiPriority w:val="1"/>
    <w:rsid w:val="00517B47"/>
    <w:pPr>
      <w:numPr>
        <w:ilvl w:val="1"/>
        <w:numId w:val="44"/>
      </w:numPr>
    </w:pPr>
  </w:style>
  <w:style w:type="paragraph" w:customStyle="1" w:styleId="TableListBulletLevel3">
    <w:name w:val="Table List Bullet (Level 3)"/>
    <w:basedOn w:val="TableText"/>
    <w:uiPriority w:val="1"/>
    <w:semiHidden/>
    <w:unhideWhenUsed/>
    <w:rsid w:val="00517B47"/>
    <w:pPr>
      <w:numPr>
        <w:ilvl w:val="2"/>
        <w:numId w:val="44"/>
      </w:numPr>
    </w:pPr>
  </w:style>
  <w:style w:type="paragraph" w:customStyle="1" w:styleId="TableListBulletLevel4">
    <w:name w:val="Table List Bullet (Level 4)"/>
    <w:basedOn w:val="TableText"/>
    <w:uiPriority w:val="1"/>
    <w:semiHidden/>
    <w:unhideWhenUsed/>
    <w:rsid w:val="00517B47"/>
    <w:pPr>
      <w:numPr>
        <w:ilvl w:val="3"/>
        <w:numId w:val="44"/>
      </w:numPr>
    </w:pPr>
  </w:style>
  <w:style w:type="paragraph" w:customStyle="1" w:styleId="TableListDash">
    <w:name w:val="Table List Dash"/>
    <w:basedOn w:val="TableText"/>
    <w:uiPriority w:val="1"/>
    <w:rsid w:val="00517B47"/>
    <w:pPr>
      <w:numPr>
        <w:numId w:val="45"/>
      </w:numPr>
    </w:pPr>
  </w:style>
  <w:style w:type="paragraph" w:customStyle="1" w:styleId="TableListDashLevel2">
    <w:name w:val="Table List Dash (Level 2)"/>
    <w:basedOn w:val="TableText"/>
    <w:uiPriority w:val="1"/>
    <w:rsid w:val="00517B47"/>
    <w:pPr>
      <w:numPr>
        <w:ilvl w:val="1"/>
        <w:numId w:val="45"/>
      </w:numPr>
    </w:pPr>
  </w:style>
  <w:style w:type="paragraph" w:customStyle="1" w:styleId="TableListDashLevel3">
    <w:name w:val="Table List Dash (Level 3)"/>
    <w:basedOn w:val="TableText"/>
    <w:uiPriority w:val="1"/>
    <w:semiHidden/>
    <w:unhideWhenUsed/>
    <w:rsid w:val="00517B47"/>
    <w:pPr>
      <w:numPr>
        <w:ilvl w:val="2"/>
        <w:numId w:val="45"/>
      </w:numPr>
    </w:pPr>
  </w:style>
  <w:style w:type="paragraph" w:customStyle="1" w:styleId="TableListDashLevel4">
    <w:name w:val="Table List Dash (Level 4)"/>
    <w:basedOn w:val="TableText"/>
    <w:uiPriority w:val="1"/>
    <w:semiHidden/>
    <w:unhideWhenUsed/>
    <w:rsid w:val="00517B47"/>
    <w:pPr>
      <w:numPr>
        <w:ilvl w:val="3"/>
        <w:numId w:val="45"/>
      </w:numPr>
    </w:pPr>
  </w:style>
  <w:style w:type="paragraph" w:customStyle="1" w:styleId="TableListNumber">
    <w:name w:val="Table List Number"/>
    <w:basedOn w:val="TableText"/>
    <w:uiPriority w:val="1"/>
    <w:rsid w:val="00517B47"/>
    <w:pPr>
      <w:numPr>
        <w:numId w:val="46"/>
      </w:numPr>
    </w:pPr>
  </w:style>
  <w:style w:type="paragraph" w:customStyle="1" w:styleId="TableListNumberLevel2">
    <w:name w:val="Table List Number (Level 2)"/>
    <w:basedOn w:val="TableText"/>
    <w:uiPriority w:val="1"/>
    <w:rsid w:val="00517B47"/>
    <w:pPr>
      <w:numPr>
        <w:ilvl w:val="1"/>
        <w:numId w:val="46"/>
      </w:numPr>
    </w:pPr>
  </w:style>
  <w:style w:type="paragraph" w:customStyle="1" w:styleId="TableListNumberLevel3">
    <w:name w:val="Table List Number (Level 3)"/>
    <w:basedOn w:val="TableText"/>
    <w:uiPriority w:val="1"/>
    <w:semiHidden/>
    <w:unhideWhenUsed/>
    <w:rsid w:val="00517B47"/>
    <w:pPr>
      <w:numPr>
        <w:ilvl w:val="2"/>
        <w:numId w:val="46"/>
      </w:numPr>
    </w:pPr>
  </w:style>
  <w:style w:type="paragraph" w:customStyle="1" w:styleId="TableListNumberLevel4">
    <w:name w:val="Table List Number (Level 4)"/>
    <w:basedOn w:val="TableText"/>
    <w:uiPriority w:val="1"/>
    <w:semiHidden/>
    <w:unhideWhenUsed/>
    <w:rsid w:val="00517B47"/>
    <w:pPr>
      <w:numPr>
        <w:ilvl w:val="3"/>
        <w:numId w:val="46"/>
      </w:numPr>
    </w:pPr>
  </w:style>
  <w:style w:type="paragraph" w:customStyle="1" w:styleId="TableSource">
    <w:name w:val="Table Source"/>
    <w:basedOn w:val="Normal"/>
    <w:next w:val="Normal"/>
    <w:semiHidden/>
    <w:unhideWhenUsed/>
    <w:rsid w:val="00517B47"/>
    <w:pPr>
      <w:spacing w:before="0" w:after="240"/>
    </w:pPr>
    <w:rPr>
      <w:sz w:val="20"/>
      <w:szCs w:val="20"/>
      <w:lang w:eastAsia="en-IE"/>
    </w:rPr>
  </w:style>
  <w:style w:type="paragraph" w:customStyle="1" w:styleId="TableSource1">
    <w:name w:val="Table Source 1"/>
    <w:basedOn w:val="Text1"/>
    <w:next w:val="Text1"/>
    <w:semiHidden/>
    <w:unhideWhenUsed/>
    <w:rsid w:val="00517B47"/>
    <w:pPr>
      <w:spacing w:before="0" w:after="240"/>
      <w:ind w:left="482"/>
    </w:pPr>
    <w:rPr>
      <w:sz w:val="20"/>
      <w:szCs w:val="20"/>
      <w:lang w:eastAsia="en-IE"/>
    </w:rPr>
  </w:style>
  <w:style w:type="paragraph" w:customStyle="1" w:styleId="TableSource2">
    <w:name w:val="Table Source 2"/>
    <w:basedOn w:val="Text2"/>
    <w:next w:val="Text2"/>
    <w:semiHidden/>
    <w:unhideWhenUsed/>
    <w:rsid w:val="00517B47"/>
    <w:pPr>
      <w:spacing w:before="0" w:after="240"/>
      <w:ind w:left="1202"/>
    </w:pPr>
    <w:rPr>
      <w:sz w:val="20"/>
      <w:szCs w:val="20"/>
      <w:lang w:eastAsia="en-IE"/>
    </w:rPr>
  </w:style>
  <w:style w:type="paragraph" w:customStyle="1" w:styleId="TableSource3">
    <w:name w:val="Table Source 3"/>
    <w:basedOn w:val="Text3"/>
    <w:next w:val="Text3"/>
    <w:semiHidden/>
    <w:unhideWhenUsed/>
    <w:rsid w:val="00517B47"/>
    <w:pPr>
      <w:spacing w:before="0" w:after="240"/>
      <w:ind w:left="1202"/>
    </w:pPr>
    <w:rPr>
      <w:sz w:val="20"/>
      <w:szCs w:val="20"/>
      <w:lang w:eastAsia="en-IE"/>
    </w:rPr>
  </w:style>
  <w:style w:type="paragraph" w:customStyle="1" w:styleId="TableSource4">
    <w:name w:val="Table Source 4"/>
    <w:basedOn w:val="Text4"/>
    <w:next w:val="Text4"/>
    <w:semiHidden/>
    <w:unhideWhenUsed/>
    <w:rsid w:val="00517B47"/>
    <w:pPr>
      <w:spacing w:before="0" w:after="240"/>
      <w:ind w:left="1202"/>
    </w:pPr>
    <w:rPr>
      <w:sz w:val="20"/>
      <w:szCs w:val="20"/>
      <w:lang w:eastAsia="en-IE"/>
    </w:rPr>
  </w:style>
  <w:style w:type="paragraph" w:customStyle="1" w:styleId="TableText">
    <w:name w:val="Table Text"/>
    <w:basedOn w:val="Normal"/>
    <w:uiPriority w:val="1"/>
    <w:qFormat/>
    <w:rsid w:val="00517B47"/>
    <w:pPr>
      <w:spacing w:before="60" w:after="60"/>
      <w:jc w:val="left"/>
    </w:pPr>
    <w:rPr>
      <w:szCs w:val="20"/>
      <w:lang w:eastAsia="en-IE"/>
    </w:rPr>
  </w:style>
  <w:style w:type="paragraph" w:customStyle="1" w:styleId="TableTitle1">
    <w:name w:val="Table Title 1"/>
    <w:basedOn w:val="Text1"/>
    <w:uiPriority w:val="1"/>
    <w:semiHidden/>
    <w:unhideWhenUsed/>
    <w:rsid w:val="00517B47"/>
    <w:pPr>
      <w:keepNext/>
      <w:spacing w:before="0"/>
      <w:ind w:left="482"/>
    </w:pPr>
    <w:rPr>
      <w:b/>
      <w:i/>
      <w:szCs w:val="20"/>
      <w:lang w:eastAsia="en-IE"/>
    </w:rPr>
  </w:style>
  <w:style w:type="paragraph" w:customStyle="1" w:styleId="TableTitle2">
    <w:name w:val="Table Title 2"/>
    <w:basedOn w:val="Text2"/>
    <w:uiPriority w:val="1"/>
    <w:semiHidden/>
    <w:unhideWhenUsed/>
    <w:rsid w:val="00517B47"/>
    <w:pPr>
      <w:keepNext/>
      <w:spacing w:before="0"/>
      <w:ind w:left="1202"/>
    </w:pPr>
    <w:rPr>
      <w:b/>
      <w:i/>
      <w:szCs w:val="20"/>
      <w:lang w:eastAsia="en-IE"/>
    </w:rPr>
  </w:style>
  <w:style w:type="paragraph" w:customStyle="1" w:styleId="TableTitle3">
    <w:name w:val="Table Title 3"/>
    <w:basedOn w:val="Text3"/>
    <w:uiPriority w:val="1"/>
    <w:semiHidden/>
    <w:unhideWhenUsed/>
    <w:rsid w:val="00517B47"/>
    <w:pPr>
      <w:keepNext/>
      <w:spacing w:before="0"/>
      <w:ind w:left="1202"/>
    </w:pPr>
    <w:rPr>
      <w:b/>
      <w:i/>
      <w:szCs w:val="20"/>
      <w:lang w:eastAsia="en-IE"/>
    </w:rPr>
  </w:style>
  <w:style w:type="paragraph" w:customStyle="1" w:styleId="TableTitle4">
    <w:name w:val="Table Title 4"/>
    <w:basedOn w:val="Text4"/>
    <w:uiPriority w:val="1"/>
    <w:semiHidden/>
    <w:unhideWhenUsed/>
    <w:rsid w:val="00517B47"/>
    <w:pPr>
      <w:keepNext/>
      <w:spacing w:before="0"/>
      <w:ind w:left="1202"/>
    </w:pPr>
    <w:rPr>
      <w:b/>
      <w:i/>
      <w:szCs w:val="20"/>
      <w:lang w:eastAsia="en-IE"/>
    </w:rPr>
  </w:style>
  <w:style w:type="paragraph" w:styleId="Title">
    <w:name w:val="Title"/>
    <w:basedOn w:val="Normal"/>
    <w:next w:val="SubTitle1"/>
    <w:link w:val="TitleChar"/>
    <w:uiPriority w:val="1"/>
    <w:qFormat/>
    <w:rsid w:val="00517B47"/>
    <w:pPr>
      <w:spacing w:before="0" w:after="480"/>
      <w:jc w:val="center"/>
    </w:pPr>
    <w:rPr>
      <w:b/>
      <w:kern w:val="28"/>
      <w:sz w:val="48"/>
      <w:szCs w:val="20"/>
      <w:lang w:eastAsia="en-IE"/>
    </w:rPr>
  </w:style>
  <w:style w:type="character" w:customStyle="1" w:styleId="TitleChar">
    <w:name w:val="Title Char"/>
    <w:basedOn w:val="DefaultParagraphFont"/>
    <w:link w:val="Title"/>
    <w:uiPriority w:val="1"/>
    <w:rsid w:val="00517B47"/>
    <w:rPr>
      <w:b/>
      <w:kern w:val="28"/>
      <w:sz w:val="48"/>
      <w:lang w:eastAsia="en-IE"/>
    </w:rPr>
  </w:style>
  <w:style w:type="paragraph" w:customStyle="1" w:styleId="TrsSecretUE">
    <w:name w:val="Très Secret UE"/>
    <w:basedOn w:val="Normal"/>
    <w:semiHidden/>
    <w:rsid w:val="00517B47"/>
    <w:pPr>
      <w:spacing w:before="0" w:after="0"/>
      <w:jc w:val="center"/>
    </w:pPr>
    <w:rPr>
      <w:b/>
      <w:caps/>
      <w:color w:val="FF0000"/>
      <w:sz w:val="32"/>
      <w:szCs w:val="20"/>
      <w:bdr w:val="single" w:sz="18" w:space="0" w:color="FF0000"/>
      <w:lang w:eastAsia="en-IE"/>
    </w:rPr>
  </w:style>
  <w:style w:type="paragraph" w:customStyle="1" w:styleId="ZCom">
    <w:name w:val="Z_Com"/>
    <w:basedOn w:val="Normal"/>
    <w:next w:val="Normal"/>
    <w:uiPriority w:val="2"/>
    <w:rsid w:val="00517B47"/>
    <w:pPr>
      <w:widowControl w:val="0"/>
      <w:spacing w:before="90" w:after="0"/>
      <w:ind w:right="85"/>
      <w:jc w:val="left"/>
    </w:pPr>
    <w:rPr>
      <w:szCs w:val="20"/>
      <w:lang w:eastAsia="en-IE"/>
    </w:rPr>
  </w:style>
  <w:style w:type="paragraph" w:customStyle="1" w:styleId="ZDGName">
    <w:name w:val="Z_DGName"/>
    <w:basedOn w:val="Normal"/>
    <w:uiPriority w:val="2"/>
    <w:rsid w:val="00517B47"/>
    <w:pPr>
      <w:widowControl w:val="0"/>
      <w:spacing w:before="0" w:after="0"/>
      <w:ind w:right="85"/>
      <w:jc w:val="left"/>
    </w:pPr>
    <w:rPr>
      <w:sz w:val="16"/>
      <w:szCs w:val="20"/>
      <w:lang w:eastAsia="en-IE"/>
    </w:rPr>
  </w:style>
  <w:style w:type="paragraph" w:customStyle="1" w:styleId="ZFlag">
    <w:name w:val="Z_Flag"/>
    <w:basedOn w:val="Normal"/>
    <w:next w:val="Normal"/>
    <w:uiPriority w:val="2"/>
    <w:rsid w:val="00517B47"/>
    <w:pPr>
      <w:widowControl w:val="0"/>
      <w:spacing w:before="0" w:after="0"/>
      <w:ind w:right="85"/>
    </w:pPr>
    <w:rPr>
      <w:szCs w:val="20"/>
      <w:lang w:eastAsia="en-IE"/>
    </w:rPr>
  </w:style>
  <w:style w:type="character" w:customStyle="1" w:styleId="HeaderChar">
    <w:name w:val="Header Char"/>
    <w:basedOn w:val="DefaultParagraphFont"/>
    <w:link w:val="Header"/>
    <w:uiPriority w:val="2"/>
    <w:rsid w:val="00517B47"/>
    <w:rPr>
      <w:sz w:val="24"/>
      <w:szCs w:val="24"/>
      <w:lang w:eastAsia="en-US"/>
    </w:rPr>
  </w:style>
  <w:style w:type="table" w:customStyle="1" w:styleId="EurolookClassicBlue">
    <w:name w:val="Eurolook Classic Blue"/>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rsid w:val="00517B47"/>
    <w:pPr>
      <w:spacing w:after="240"/>
    </w:pPr>
    <w:rPr>
      <w:sz w:val="24"/>
      <w:lang w:eastAsia="en-I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517B47"/>
    <w:pPr>
      <w:spacing w:after="240"/>
    </w:pPr>
    <w:rPr>
      <w:sz w:val="24"/>
      <w:lang w:eastAsia="en-I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517B47"/>
    <w:pPr>
      <w:spacing w:after="240"/>
    </w:pPr>
    <w:rPr>
      <w:sz w:val="24"/>
      <w:lang w:eastAsia="en-I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rsid w:val="00517B47"/>
    <w:pPr>
      <w:spacing w:after="240"/>
    </w:pPr>
    <w:rPr>
      <w:sz w:val="24"/>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517B47"/>
    <w:pPr>
      <w:spacing w:after="240"/>
    </w:pPr>
    <w:rPr>
      <w:sz w:val="24"/>
      <w:lang w:eastAsia="en-I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517B47"/>
    <w:pPr>
      <w:spacing w:after="240"/>
    </w:pPr>
    <w:rPr>
      <w:sz w:val="24"/>
      <w:lang w:eastAsia="en-I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rsid w:val="00517B47"/>
    <w:rPr>
      <w:sz w:val="24"/>
      <w:lang w:val="en-GB"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EurolookTable1">
    <w:name w:val="Eurolook Table 1"/>
    <w:basedOn w:val="EurolookTable"/>
    <w:semiHidden/>
    <w:unhideWhenUsed/>
    <w:rsid w:val="00517B47"/>
    <w:tblPr>
      <w:tblInd w:w="482" w:type="dxa"/>
    </w:tblPr>
    <w:tblStylePr w:type="firstRow">
      <w:rPr>
        <w:b/>
      </w:rPr>
    </w:tblStylePr>
  </w:style>
  <w:style w:type="table" w:customStyle="1" w:styleId="EurolookTable2">
    <w:name w:val="Eurolook Table 2"/>
    <w:basedOn w:val="EurolookTable"/>
    <w:semiHidden/>
    <w:unhideWhenUsed/>
    <w:rsid w:val="00517B47"/>
    <w:tblPr>
      <w:tblInd w:w="1202" w:type="dxa"/>
    </w:tblPr>
    <w:tblStylePr w:type="firstRow">
      <w:rPr>
        <w:b/>
      </w:rPr>
    </w:tblStylePr>
  </w:style>
  <w:style w:type="table" w:customStyle="1" w:styleId="EurolookTable3">
    <w:name w:val="Eurolook Table 3"/>
    <w:basedOn w:val="EurolookTable"/>
    <w:semiHidden/>
    <w:unhideWhenUsed/>
    <w:rsid w:val="00517B47"/>
    <w:tblPr>
      <w:tblInd w:w="1202" w:type="dxa"/>
    </w:tblPr>
    <w:tblStylePr w:type="firstRow">
      <w:rPr>
        <w:b/>
      </w:rPr>
    </w:tblStylePr>
  </w:style>
  <w:style w:type="table" w:customStyle="1" w:styleId="EurolookTable4">
    <w:name w:val="Eurolook Table 4"/>
    <w:basedOn w:val="EurolookTable"/>
    <w:semiHidden/>
    <w:unhideWhenUsed/>
    <w:rsid w:val="00517B47"/>
    <w:tblPr>
      <w:tblInd w:w="1202" w:type="dxa"/>
    </w:tblPr>
    <w:tblStylePr w:type="firstRow">
      <w:rPr>
        <w:b/>
      </w:rPr>
    </w:tblStylePr>
  </w:style>
  <w:style w:type="table" w:customStyle="1" w:styleId="HelperTableBase">
    <w:name w:val="Helper Table Base"/>
    <w:semiHidden/>
    <w:rsid w:val="00517B47"/>
    <w:rPr>
      <w:sz w:val="24"/>
      <w:lang w:eastAsia="en-I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517B47"/>
    <w:tblPr>
      <w:tblCellMar>
        <w:left w:w="567" w:type="dxa"/>
      </w:tblCellMar>
    </w:tblPr>
  </w:style>
  <w:style w:type="table" w:styleId="TableGrid">
    <w:name w:val="Table Grid"/>
    <w:rsid w:val="00517B47"/>
    <w:rPr>
      <w:sz w:val="24"/>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rsid w:val="00517B47"/>
    <w:pPr>
      <w:spacing w:before="60" w:after="60" w:line="264" w:lineRule="auto"/>
    </w:pPr>
    <w:rPr>
      <w:sz w:val="22"/>
      <w:lang w:eastAsia="en-IE"/>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517B47"/>
    <w:rPr>
      <w:sz w:val="24"/>
      <w:lang w:eastAsia="en-IE"/>
    </w:rPr>
    <w:tblPr>
      <w:tblCellMar>
        <w:left w:w="0" w:type="dxa"/>
        <w:bottom w:w="340" w:type="dxa"/>
        <w:right w:w="0" w:type="dxa"/>
      </w:tblCellMar>
    </w:tblPr>
  </w:style>
  <w:style w:type="character" w:customStyle="1" w:styleId="UnresolvedMention">
    <w:name w:val="Unresolved Mention"/>
    <w:basedOn w:val="DefaultParagraphFont"/>
    <w:uiPriority w:val="99"/>
    <w:semiHidden/>
    <w:unhideWhenUsed/>
    <w:rsid w:val="0070473B"/>
    <w:rPr>
      <w:color w:val="605E5C"/>
      <w:shd w:val="clear" w:color="auto" w:fill="E1DFDD"/>
    </w:rPr>
  </w:style>
  <w:style w:type="paragraph" w:customStyle="1" w:styleId="FootnotesymbolChar">
    <w:name w:val="Footnote symbol Char"/>
    <w:aliases w:val="Footnote reference number Char,Times 10 Point Char,Exposant 3 Point Char,EN Footnote Reference Char,note TESI Char,SUPERS Char,Nota Char,Footnote number Char, Char1 Char,Char1 Char,Ref Char,de nota al pie Char"/>
    <w:basedOn w:val="Normal"/>
    <w:link w:val="FootnoteReference"/>
    <w:uiPriority w:val="99"/>
    <w:rsid w:val="001F6885"/>
    <w:pPr>
      <w:spacing w:after="160" w:line="240" w:lineRule="exact"/>
    </w:pPr>
    <w:rPr>
      <w:sz w:val="20"/>
      <w:szCs w:val="20"/>
      <w:vertAlign w:val="superscript"/>
      <w:lang w:eastAsia="en-GB"/>
    </w:rPr>
  </w:style>
  <w:style w:type="character" w:customStyle="1" w:styleId="Mention">
    <w:name w:val="Mention"/>
    <w:basedOn w:val="DefaultParagraphFont"/>
    <w:uiPriority w:val="99"/>
    <w:unhideWhenUsed/>
    <w:rsid w:val="00A2049F"/>
    <w:rPr>
      <w:color w:val="2B579A"/>
      <w:shd w:val="clear" w:color="auto" w:fill="E1DFDD"/>
    </w:rPr>
  </w:style>
  <w:style w:type="paragraph" w:styleId="NormalWeb">
    <w:name w:val="Normal (Web)"/>
    <w:basedOn w:val="Normal"/>
    <w:uiPriority w:val="99"/>
    <w:unhideWhenUsed/>
    <w:rsid w:val="0041144F"/>
    <w:pPr>
      <w:spacing w:before="100" w:beforeAutospacing="1" w:after="100" w:afterAutospacing="1"/>
      <w:jc w:val="left"/>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4773">
      <w:bodyDiv w:val="1"/>
      <w:marLeft w:val="0"/>
      <w:marRight w:val="0"/>
      <w:marTop w:val="0"/>
      <w:marBottom w:val="0"/>
      <w:divBdr>
        <w:top w:val="none" w:sz="0" w:space="0" w:color="auto"/>
        <w:left w:val="none" w:sz="0" w:space="0" w:color="auto"/>
        <w:bottom w:val="none" w:sz="0" w:space="0" w:color="auto"/>
        <w:right w:val="none" w:sz="0" w:space="0" w:color="auto"/>
      </w:divBdr>
    </w:div>
    <w:div w:id="181167043">
      <w:bodyDiv w:val="1"/>
      <w:marLeft w:val="0"/>
      <w:marRight w:val="0"/>
      <w:marTop w:val="0"/>
      <w:marBottom w:val="0"/>
      <w:divBdr>
        <w:top w:val="none" w:sz="0" w:space="0" w:color="auto"/>
        <w:left w:val="none" w:sz="0" w:space="0" w:color="auto"/>
        <w:bottom w:val="none" w:sz="0" w:space="0" w:color="auto"/>
        <w:right w:val="none" w:sz="0" w:space="0" w:color="auto"/>
      </w:divBdr>
    </w:div>
    <w:div w:id="250552186">
      <w:bodyDiv w:val="1"/>
      <w:marLeft w:val="0"/>
      <w:marRight w:val="0"/>
      <w:marTop w:val="0"/>
      <w:marBottom w:val="0"/>
      <w:divBdr>
        <w:top w:val="none" w:sz="0" w:space="0" w:color="auto"/>
        <w:left w:val="none" w:sz="0" w:space="0" w:color="auto"/>
        <w:bottom w:val="none" w:sz="0" w:space="0" w:color="auto"/>
        <w:right w:val="none" w:sz="0" w:space="0" w:color="auto"/>
      </w:divBdr>
    </w:div>
    <w:div w:id="355159041">
      <w:bodyDiv w:val="1"/>
      <w:marLeft w:val="0"/>
      <w:marRight w:val="0"/>
      <w:marTop w:val="0"/>
      <w:marBottom w:val="0"/>
      <w:divBdr>
        <w:top w:val="none" w:sz="0" w:space="0" w:color="auto"/>
        <w:left w:val="none" w:sz="0" w:space="0" w:color="auto"/>
        <w:bottom w:val="none" w:sz="0" w:space="0" w:color="auto"/>
        <w:right w:val="none" w:sz="0" w:space="0" w:color="auto"/>
      </w:divBdr>
    </w:div>
    <w:div w:id="505828075">
      <w:bodyDiv w:val="1"/>
      <w:marLeft w:val="0"/>
      <w:marRight w:val="0"/>
      <w:marTop w:val="0"/>
      <w:marBottom w:val="0"/>
      <w:divBdr>
        <w:top w:val="none" w:sz="0" w:space="0" w:color="auto"/>
        <w:left w:val="none" w:sz="0" w:space="0" w:color="auto"/>
        <w:bottom w:val="none" w:sz="0" w:space="0" w:color="auto"/>
        <w:right w:val="none" w:sz="0" w:space="0" w:color="auto"/>
      </w:divBdr>
      <w:divsChild>
        <w:div w:id="35082185">
          <w:marLeft w:val="0"/>
          <w:marRight w:val="0"/>
          <w:marTop w:val="0"/>
          <w:marBottom w:val="0"/>
          <w:divBdr>
            <w:top w:val="none" w:sz="0" w:space="0" w:color="auto"/>
            <w:left w:val="none" w:sz="0" w:space="0" w:color="auto"/>
            <w:bottom w:val="none" w:sz="0" w:space="0" w:color="auto"/>
            <w:right w:val="none" w:sz="0" w:space="0" w:color="auto"/>
          </w:divBdr>
        </w:div>
        <w:div w:id="2073192326">
          <w:marLeft w:val="0"/>
          <w:marRight w:val="0"/>
          <w:marTop w:val="0"/>
          <w:marBottom w:val="0"/>
          <w:divBdr>
            <w:top w:val="none" w:sz="0" w:space="0" w:color="auto"/>
            <w:left w:val="none" w:sz="0" w:space="0" w:color="auto"/>
            <w:bottom w:val="none" w:sz="0" w:space="0" w:color="auto"/>
            <w:right w:val="none" w:sz="0" w:space="0" w:color="auto"/>
          </w:divBdr>
        </w:div>
      </w:divsChild>
    </w:div>
    <w:div w:id="507985800">
      <w:bodyDiv w:val="1"/>
      <w:marLeft w:val="0"/>
      <w:marRight w:val="0"/>
      <w:marTop w:val="0"/>
      <w:marBottom w:val="0"/>
      <w:divBdr>
        <w:top w:val="none" w:sz="0" w:space="0" w:color="auto"/>
        <w:left w:val="none" w:sz="0" w:space="0" w:color="auto"/>
        <w:bottom w:val="none" w:sz="0" w:space="0" w:color="auto"/>
        <w:right w:val="none" w:sz="0" w:space="0" w:color="auto"/>
      </w:divBdr>
    </w:div>
    <w:div w:id="536358232">
      <w:bodyDiv w:val="1"/>
      <w:marLeft w:val="0"/>
      <w:marRight w:val="0"/>
      <w:marTop w:val="0"/>
      <w:marBottom w:val="0"/>
      <w:divBdr>
        <w:top w:val="none" w:sz="0" w:space="0" w:color="auto"/>
        <w:left w:val="none" w:sz="0" w:space="0" w:color="auto"/>
        <w:bottom w:val="none" w:sz="0" w:space="0" w:color="auto"/>
        <w:right w:val="none" w:sz="0" w:space="0" w:color="auto"/>
      </w:divBdr>
    </w:div>
    <w:div w:id="635835820">
      <w:bodyDiv w:val="1"/>
      <w:marLeft w:val="0"/>
      <w:marRight w:val="0"/>
      <w:marTop w:val="0"/>
      <w:marBottom w:val="0"/>
      <w:divBdr>
        <w:top w:val="none" w:sz="0" w:space="0" w:color="auto"/>
        <w:left w:val="none" w:sz="0" w:space="0" w:color="auto"/>
        <w:bottom w:val="none" w:sz="0" w:space="0" w:color="auto"/>
        <w:right w:val="none" w:sz="0" w:space="0" w:color="auto"/>
      </w:divBdr>
    </w:div>
    <w:div w:id="795639484">
      <w:bodyDiv w:val="1"/>
      <w:marLeft w:val="0"/>
      <w:marRight w:val="0"/>
      <w:marTop w:val="0"/>
      <w:marBottom w:val="0"/>
      <w:divBdr>
        <w:top w:val="none" w:sz="0" w:space="0" w:color="auto"/>
        <w:left w:val="none" w:sz="0" w:space="0" w:color="auto"/>
        <w:bottom w:val="none" w:sz="0" w:space="0" w:color="auto"/>
        <w:right w:val="none" w:sz="0" w:space="0" w:color="auto"/>
      </w:divBdr>
    </w:div>
    <w:div w:id="864097976">
      <w:bodyDiv w:val="1"/>
      <w:marLeft w:val="0"/>
      <w:marRight w:val="0"/>
      <w:marTop w:val="0"/>
      <w:marBottom w:val="0"/>
      <w:divBdr>
        <w:top w:val="none" w:sz="0" w:space="0" w:color="auto"/>
        <w:left w:val="none" w:sz="0" w:space="0" w:color="auto"/>
        <w:bottom w:val="none" w:sz="0" w:space="0" w:color="auto"/>
        <w:right w:val="none" w:sz="0" w:space="0" w:color="auto"/>
      </w:divBdr>
    </w:div>
    <w:div w:id="1042511485">
      <w:bodyDiv w:val="1"/>
      <w:marLeft w:val="0"/>
      <w:marRight w:val="0"/>
      <w:marTop w:val="0"/>
      <w:marBottom w:val="0"/>
      <w:divBdr>
        <w:top w:val="none" w:sz="0" w:space="0" w:color="auto"/>
        <w:left w:val="none" w:sz="0" w:space="0" w:color="auto"/>
        <w:bottom w:val="none" w:sz="0" w:space="0" w:color="auto"/>
        <w:right w:val="none" w:sz="0" w:space="0" w:color="auto"/>
      </w:divBdr>
    </w:div>
    <w:div w:id="1173884544">
      <w:bodyDiv w:val="1"/>
      <w:marLeft w:val="0"/>
      <w:marRight w:val="0"/>
      <w:marTop w:val="0"/>
      <w:marBottom w:val="0"/>
      <w:divBdr>
        <w:top w:val="none" w:sz="0" w:space="0" w:color="auto"/>
        <w:left w:val="none" w:sz="0" w:space="0" w:color="auto"/>
        <w:bottom w:val="none" w:sz="0" w:space="0" w:color="auto"/>
        <w:right w:val="none" w:sz="0" w:space="0" w:color="auto"/>
      </w:divBdr>
    </w:div>
    <w:div w:id="1208302833">
      <w:bodyDiv w:val="1"/>
      <w:marLeft w:val="0"/>
      <w:marRight w:val="0"/>
      <w:marTop w:val="0"/>
      <w:marBottom w:val="0"/>
      <w:divBdr>
        <w:top w:val="none" w:sz="0" w:space="0" w:color="auto"/>
        <w:left w:val="none" w:sz="0" w:space="0" w:color="auto"/>
        <w:bottom w:val="none" w:sz="0" w:space="0" w:color="auto"/>
        <w:right w:val="none" w:sz="0" w:space="0" w:color="auto"/>
      </w:divBdr>
    </w:div>
    <w:div w:id="1263033010">
      <w:bodyDiv w:val="1"/>
      <w:marLeft w:val="0"/>
      <w:marRight w:val="0"/>
      <w:marTop w:val="0"/>
      <w:marBottom w:val="0"/>
      <w:divBdr>
        <w:top w:val="none" w:sz="0" w:space="0" w:color="auto"/>
        <w:left w:val="none" w:sz="0" w:space="0" w:color="auto"/>
        <w:bottom w:val="none" w:sz="0" w:space="0" w:color="auto"/>
        <w:right w:val="none" w:sz="0" w:space="0" w:color="auto"/>
      </w:divBdr>
      <w:divsChild>
        <w:div w:id="119956700">
          <w:marLeft w:val="0"/>
          <w:marRight w:val="0"/>
          <w:marTop w:val="0"/>
          <w:marBottom w:val="0"/>
          <w:divBdr>
            <w:top w:val="none" w:sz="0" w:space="0" w:color="auto"/>
            <w:left w:val="none" w:sz="0" w:space="0" w:color="auto"/>
            <w:bottom w:val="none" w:sz="0" w:space="0" w:color="auto"/>
            <w:right w:val="none" w:sz="0" w:space="0" w:color="auto"/>
          </w:divBdr>
        </w:div>
        <w:div w:id="1922713854">
          <w:marLeft w:val="0"/>
          <w:marRight w:val="0"/>
          <w:marTop w:val="0"/>
          <w:marBottom w:val="0"/>
          <w:divBdr>
            <w:top w:val="none" w:sz="0" w:space="0" w:color="auto"/>
            <w:left w:val="none" w:sz="0" w:space="0" w:color="auto"/>
            <w:bottom w:val="none" w:sz="0" w:space="0" w:color="auto"/>
            <w:right w:val="none" w:sz="0" w:space="0" w:color="auto"/>
          </w:divBdr>
        </w:div>
      </w:divsChild>
    </w:div>
    <w:div w:id="1284846259">
      <w:bodyDiv w:val="1"/>
      <w:marLeft w:val="0"/>
      <w:marRight w:val="0"/>
      <w:marTop w:val="0"/>
      <w:marBottom w:val="0"/>
      <w:divBdr>
        <w:top w:val="none" w:sz="0" w:space="0" w:color="auto"/>
        <w:left w:val="none" w:sz="0" w:space="0" w:color="auto"/>
        <w:bottom w:val="none" w:sz="0" w:space="0" w:color="auto"/>
        <w:right w:val="none" w:sz="0" w:space="0" w:color="auto"/>
      </w:divBdr>
    </w:div>
    <w:div w:id="1287739526">
      <w:bodyDiv w:val="1"/>
      <w:marLeft w:val="0"/>
      <w:marRight w:val="0"/>
      <w:marTop w:val="0"/>
      <w:marBottom w:val="0"/>
      <w:divBdr>
        <w:top w:val="none" w:sz="0" w:space="0" w:color="auto"/>
        <w:left w:val="none" w:sz="0" w:space="0" w:color="auto"/>
        <w:bottom w:val="none" w:sz="0" w:space="0" w:color="auto"/>
        <w:right w:val="none" w:sz="0" w:space="0" w:color="auto"/>
      </w:divBdr>
    </w:div>
    <w:div w:id="1308704405">
      <w:bodyDiv w:val="1"/>
      <w:marLeft w:val="0"/>
      <w:marRight w:val="0"/>
      <w:marTop w:val="0"/>
      <w:marBottom w:val="0"/>
      <w:divBdr>
        <w:top w:val="none" w:sz="0" w:space="0" w:color="auto"/>
        <w:left w:val="none" w:sz="0" w:space="0" w:color="auto"/>
        <w:bottom w:val="none" w:sz="0" w:space="0" w:color="auto"/>
        <w:right w:val="none" w:sz="0" w:space="0" w:color="auto"/>
      </w:divBdr>
    </w:div>
    <w:div w:id="1551109001">
      <w:bodyDiv w:val="1"/>
      <w:marLeft w:val="0"/>
      <w:marRight w:val="0"/>
      <w:marTop w:val="0"/>
      <w:marBottom w:val="0"/>
      <w:divBdr>
        <w:top w:val="none" w:sz="0" w:space="0" w:color="auto"/>
        <w:left w:val="none" w:sz="0" w:space="0" w:color="auto"/>
        <w:bottom w:val="none" w:sz="0" w:space="0" w:color="auto"/>
        <w:right w:val="none" w:sz="0" w:space="0" w:color="auto"/>
      </w:divBdr>
    </w:div>
    <w:div w:id="1583953757">
      <w:bodyDiv w:val="1"/>
      <w:marLeft w:val="0"/>
      <w:marRight w:val="0"/>
      <w:marTop w:val="0"/>
      <w:marBottom w:val="0"/>
      <w:divBdr>
        <w:top w:val="none" w:sz="0" w:space="0" w:color="auto"/>
        <w:left w:val="none" w:sz="0" w:space="0" w:color="auto"/>
        <w:bottom w:val="none" w:sz="0" w:space="0" w:color="auto"/>
        <w:right w:val="none" w:sz="0" w:space="0" w:color="auto"/>
      </w:divBdr>
    </w:div>
    <w:div w:id="1762333802">
      <w:bodyDiv w:val="1"/>
      <w:marLeft w:val="0"/>
      <w:marRight w:val="0"/>
      <w:marTop w:val="0"/>
      <w:marBottom w:val="0"/>
      <w:divBdr>
        <w:top w:val="none" w:sz="0" w:space="0" w:color="auto"/>
        <w:left w:val="none" w:sz="0" w:space="0" w:color="auto"/>
        <w:bottom w:val="none" w:sz="0" w:space="0" w:color="auto"/>
        <w:right w:val="none" w:sz="0" w:space="0" w:color="auto"/>
      </w:divBdr>
    </w:div>
    <w:div w:id="2055999386">
      <w:bodyDiv w:val="1"/>
      <w:marLeft w:val="0"/>
      <w:marRight w:val="0"/>
      <w:marTop w:val="0"/>
      <w:marBottom w:val="0"/>
      <w:divBdr>
        <w:top w:val="none" w:sz="0" w:space="0" w:color="auto"/>
        <w:left w:val="none" w:sz="0" w:space="0" w:color="auto"/>
        <w:bottom w:val="none" w:sz="0" w:space="0" w:color="auto"/>
        <w:right w:val="none" w:sz="0" w:space="0" w:color="auto"/>
      </w:divBdr>
    </w:div>
    <w:div w:id="213459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SL/TXT/?uri=celex:52025DC0095" TargetMode="External"/><Relationship Id="rId21" Type="http://schemas.openxmlformats.org/officeDocument/2006/relationships/hyperlink" Target="https://eur-lex.europa.eu/eli/reg/2021/765/oj" TargetMode="External"/><Relationship Id="rId34" Type="http://schemas.openxmlformats.org/officeDocument/2006/relationships/hyperlink" Target="https://eur-lex.europa.eu/legal-content/SL/TXT/?uri=COM%3A2025%3A1027%3AFIN" TargetMode="External"/><Relationship Id="rId42" Type="http://schemas.openxmlformats.org/officeDocument/2006/relationships/hyperlink" Target="https://eic.ec.europa.eu/eic-funding-opportunities/eic-accelerator_en" TargetMode="External"/><Relationship Id="rId47" Type="http://schemas.openxmlformats.org/officeDocument/2006/relationships/hyperlink" Target="https://op.europa.eu/sl/publication-detail/-/publication/616cce9c-39e5-11f0-8a44-01aa75ed71a1" TargetMode="External"/><Relationship Id="rId50" Type="http://schemas.openxmlformats.org/officeDocument/2006/relationships/hyperlink" Target="https://eur-lex.europa.eu/legal-content/EN/TXT/?uri=PI_COM%3AC%282025%294011&amp;qid=1767969425803" TargetMode="External"/><Relationship Id="rId55" Type="http://schemas.openxmlformats.org/officeDocument/2006/relationships/hyperlink" Target="https://digital-strategy.ec.europa.eu/sl/news/eu-launches-investai-initiative-mobilise-eu200-billion-investment-artificial-intelligence" TargetMode="External"/><Relationship Id="rId63" Type="http://schemas.openxmlformats.org/officeDocument/2006/relationships/hyperlink" Target="https://allatlanticocean.org/" TargetMode="External"/><Relationship Id="rId68" Type="http://schemas.openxmlformats.org/officeDocument/2006/relationships/hyperlink" Target="https://joint-research-centre.ec.europa.eu/jrc-news-and-updates/jrc-launches-border-security-lab-2025-04-10_sl" TargetMode="External"/><Relationship Id="rId76" Type="http://schemas.openxmlformats.org/officeDocument/2006/relationships/hyperlink" Target="https://data.europa.eu/doi/10.2760/6258234" TargetMode="External"/><Relationship Id="rId84" Type="http://schemas.openxmlformats.org/officeDocument/2006/relationships/hyperlink" Target="https://www.horizonresultsbooster.eu/" TargetMode="External"/><Relationship Id="rId89" Type="http://schemas.openxmlformats.org/officeDocument/2006/relationships/hyperlink" Target="https://webgate.ec.europa.eu/circabc-ewpp/d/d/workspace/SpacesStore/d5970517-ec7c-4aa6-af5a-77fc8dde33a9/download" TargetMode="External"/><Relationship Id="rId97"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hyperlink" Target="https://urban-mobility-observatory.transport.ec.europa.eu/news-events/news/joint-research-centre-launches-transport-poverty-hub-enhance-regional-connectivity-across-europe-2025-07-15_sl" TargetMode="External"/><Relationship Id="rId92" Type="http://schemas.openxmlformats.org/officeDocument/2006/relationships/hyperlink" Target="https://www.ejp-eurad.eu/" TargetMode="Externa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environment.ec.europa.eu/strategy/bioeconomy-strategy_sl" TargetMode="External"/><Relationship Id="rId11" Type="http://schemas.openxmlformats.org/officeDocument/2006/relationships/image" Target="media/image1.emf"/><Relationship Id="rId24" Type="http://schemas.openxmlformats.org/officeDocument/2006/relationships/hyperlink" Target="https://research-and-innovation.ec.europa.eu/strategy/strategy-research-and-innovation/our-digital-future/european-strategy-research-and-technology-infrastructures_sl" TargetMode="External"/><Relationship Id="rId32" Type="http://schemas.openxmlformats.org/officeDocument/2006/relationships/hyperlink" Target="https://new-european-bauhaus.europa.eu/index_sl" TargetMode="External"/><Relationship Id="rId37" Type="http://schemas.openxmlformats.org/officeDocument/2006/relationships/hyperlink" Target="https://commission.europa.eu/document/download/e6d5db69-e0ab-4bec-9dc0-3867b4373019_en?filename=White%20paper%20for%20European%20defence%20%E2%80%93%20Readiness%202030.pdf" TargetMode="External"/><Relationship Id="rId40" Type="http://schemas.openxmlformats.org/officeDocument/2006/relationships/hyperlink" Target="https://ec.europa.eu/commission/presscorner/detail/sl/ip_25_1076" TargetMode="External"/><Relationship Id="rId45" Type="http://schemas.openxmlformats.org/officeDocument/2006/relationships/hyperlink" Target="https://eur-lex.europa.eu/legal-content/SL/TXT/?uri=CELEX%3A52025DC0280&amp;qid=1750857768458" TargetMode="External"/><Relationship Id="rId53" Type="http://schemas.openxmlformats.org/officeDocument/2006/relationships/hyperlink" Target="https://digital-strategy.ec.europa.eu/sl/library/ai-continent-action-plan" TargetMode="External"/><Relationship Id="rId58" Type="http://schemas.openxmlformats.org/officeDocument/2006/relationships/hyperlink" Target="https://research-and-innovation.ec.europa.eu/news/all-research-and-innovation-news/european-commission-unveils-european-digital-twin-ocean-prototype-2024-06-13_en" TargetMode="External"/><Relationship Id="rId66" Type="http://schemas.openxmlformats.org/officeDocument/2006/relationships/hyperlink" Target="https://commission.europa.eu/topics/international-partnerships/global-gateway_sl" TargetMode="External"/><Relationship Id="rId74" Type="http://schemas.openxmlformats.org/officeDocument/2006/relationships/hyperlink" Target="https://data.europa.eu/doi/10.2777/2941871" TargetMode="External"/><Relationship Id="rId79" Type="http://schemas.openxmlformats.org/officeDocument/2006/relationships/hyperlink" Target="https://op.europa.eu/sl/publication-detail/-/publication/19a32537-c11d-11f0-a612-01aa75ed71a1" TargetMode="External"/><Relationship Id="rId87" Type="http://schemas.openxmlformats.org/officeDocument/2006/relationships/hyperlink" Target="https://eur-lex.europa.eu/legal-content/sl/TXT/?uri=CELEX:32025R1304" TargetMode="External"/><Relationship Id="rId102"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op.europa.eu/sl/publication-detail/-/publication/c246671a-78b6-11f0-9af8-01aa75ed71a1" TargetMode="External"/><Relationship Id="rId82" Type="http://schemas.openxmlformats.org/officeDocument/2006/relationships/hyperlink" Target="https://eur-lex.europa.eu/legal-content/EN/TXT/?uri=CELEX%3A52025SC0555&amp;qid=1754901373347" TargetMode="External"/><Relationship Id="rId90" Type="http://schemas.openxmlformats.org/officeDocument/2006/relationships/hyperlink" Target="https://cordis.europa.eu/project/id/101213280" TargetMode="External"/><Relationship Id="rId95" Type="http://schemas.openxmlformats.org/officeDocument/2006/relationships/header" Target="header4.xml"/><Relationship Id="rId19" Type="http://schemas.openxmlformats.org/officeDocument/2006/relationships/hyperlink" Target="https://eur-lex.europa.eu/eli/treaty/euratom_2012/oj" TargetMode="External"/><Relationship Id="rId14" Type="http://schemas.openxmlformats.org/officeDocument/2006/relationships/footer" Target="footer1.xml"/><Relationship Id="rId22" Type="http://schemas.openxmlformats.org/officeDocument/2006/relationships/hyperlink" Target="https://commission.europa.eu/topics/research-and-innovation/choose-europe_sl" TargetMode="External"/><Relationship Id="rId27" Type="http://schemas.openxmlformats.org/officeDocument/2006/relationships/hyperlink" Target="https://eur-lex.europa.eu/legal-content/SL/TXT/PDF/?uri=CELEX:52025DC0075" TargetMode="External"/><Relationship Id="rId30" Type="http://schemas.openxmlformats.org/officeDocument/2006/relationships/hyperlink" Target="https://eur-lex.europa.eu/legal-content/EN/TXT/?uri=CELEX%3A52025PC1022" TargetMode="External"/><Relationship Id="rId35" Type="http://schemas.openxmlformats.org/officeDocument/2006/relationships/hyperlink" Target="https://eur-lex.europa.eu/legal-content/SL/TXT/?uri=celex:52025JC0130" TargetMode="External"/><Relationship Id="rId43" Type="http://schemas.openxmlformats.org/officeDocument/2006/relationships/hyperlink" Target="https://commission.europa.eu/topics/competitiveness/clean-industrial-deal_sl" TargetMode="External"/><Relationship Id="rId48" Type="http://schemas.openxmlformats.org/officeDocument/2006/relationships/hyperlink" Target="https://eur-lex.europa.eu/legal-content/SL/TXT/?uri=CELEX%3A52025DC0079&amp;qid=1741780110418" TargetMode="External"/><Relationship Id="rId56" Type="http://schemas.openxmlformats.org/officeDocument/2006/relationships/hyperlink" Target="https://digital-strategy.ec.europa.eu/en/news/eu-expands-network-ai-factories-strengthening-its-ai-continent-ambition" TargetMode="External"/><Relationship Id="rId64" Type="http://schemas.openxmlformats.org/officeDocument/2006/relationships/hyperlink" Target="https://allatlanticocean.org/news/tackling-coastal-risks-new-all-atlantic-network-of-beacon-sites-launched-to-link-local-resilience-efforts/" TargetMode="External"/><Relationship Id="rId69" Type="http://schemas.openxmlformats.org/officeDocument/2006/relationships/hyperlink" Target="https://publications.jrc.ec.europa.eu/repository/handle/JRC144743" TargetMode="External"/><Relationship Id="rId77" Type="http://schemas.openxmlformats.org/officeDocument/2006/relationships/hyperlink" Target="https://data.europa.eu/doi/10.2777/4058193" TargetMode="External"/><Relationship Id="rId100"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eur-lex.europa.eu/legal-content/SL/TXT/?uri=CELEX%3A52025DC1005&amp;qid=1770212329024" TargetMode="External"/><Relationship Id="rId72" Type="http://schemas.openxmlformats.org/officeDocument/2006/relationships/hyperlink" Target="https://joint-research-centre.ec.europa.eu/jrc-news-and-updates/air-quality-pm25-atlases-track-pollution-sources-eu-cities-and-beyond-2025-12-01_sl" TargetMode="External"/><Relationship Id="rId80" Type="http://schemas.openxmlformats.org/officeDocument/2006/relationships/hyperlink" Target="https://research-and-innovation.ec.europa.eu/document/download/a3aa9b90-15c0-4ea7-b25e-9f4e29cfa740_en?filename=ec_rtd_he-evaluation-swd.pdf" TargetMode="External"/><Relationship Id="rId85" Type="http://schemas.openxmlformats.org/officeDocument/2006/relationships/hyperlink" Target="https://cordis.europa.eu/" TargetMode="External"/><Relationship Id="rId93" Type="http://schemas.openxmlformats.org/officeDocument/2006/relationships/hyperlink" Target="https://ec.europa.eu/commission/presscorner/detail/sl/ip_25_2529" TargetMode="External"/><Relationship Id="rId98"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commission.europa.eu/business-economy-euro/european-semester_sl" TargetMode="External"/><Relationship Id="rId33" Type="http://schemas.openxmlformats.org/officeDocument/2006/relationships/hyperlink" Target="https://eur-lex.europa.eu/legal-content/SL/TXT/PDF/?uri=CELEX:52025DC1026" TargetMode="External"/><Relationship Id="rId38" Type="http://schemas.openxmlformats.org/officeDocument/2006/relationships/hyperlink" Target="https://eur-lex.europa.eu/legal-content/SL/TXT/?uri=celex:52025JC0027" TargetMode="External"/><Relationship Id="rId46" Type="http://schemas.openxmlformats.org/officeDocument/2006/relationships/hyperlink" Target="https://eur-lex.europa.eu/legal-content/SL/ALL/?uri=comnat:COM_2025_0281_FIN" TargetMode="External"/><Relationship Id="rId59" Type="http://schemas.openxmlformats.org/officeDocument/2006/relationships/hyperlink" Target="https://eur-lex.europa.eu/legal-content/SL/TXT/?uri=celex:52025JC0140" TargetMode="External"/><Relationship Id="rId67" Type="http://schemas.openxmlformats.org/officeDocument/2006/relationships/hyperlink" Target="https://publications.jrc.ec.europa.eu/repository/handle/JRC142598" TargetMode="External"/><Relationship Id="rId20" Type="http://schemas.openxmlformats.org/officeDocument/2006/relationships/hyperlink" Target="https://eur-lex.europa.eu/legal-content/SL/ALL/?uri=CELEX:32021R0695" TargetMode="External"/><Relationship Id="rId41" Type="http://schemas.openxmlformats.org/officeDocument/2006/relationships/hyperlink" Target="https://strategic-technologies.europa.eu/index_sl" TargetMode="External"/><Relationship Id="rId54" Type="http://schemas.openxmlformats.org/officeDocument/2006/relationships/hyperlink" Target="https://digital-strategy.ec.europa.eu/sl/policies/apply-ai" TargetMode="External"/><Relationship Id="rId62" Type="http://schemas.openxmlformats.org/officeDocument/2006/relationships/hyperlink" Target="http://stip.oecd.org/" TargetMode="External"/><Relationship Id="rId70" Type="http://schemas.openxmlformats.org/officeDocument/2006/relationships/hyperlink" Target="https://publications.jrc.ec.europa.eu/repository/handle/JRC142938" TargetMode="External"/><Relationship Id="rId75" Type="http://schemas.openxmlformats.org/officeDocument/2006/relationships/hyperlink" Target="https://op.europa.eu/sl/publication-detail/-/publication/f740c592-1b56-11f0-b1a3-01aa75ed71a1" TargetMode="External"/><Relationship Id="rId83" Type="http://schemas.openxmlformats.org/officeDocument/2006/relationships/hyperlink" Target="https://ec.europa.eu/info/funding-tenders/opportunities/portal/screen/opportunities/horizon-results-platform" TargetMode="External"/><Relationship Id="rId88" Type="http://schemas.openxmlformats.org/officeDocument/2006/relationships/hyperlink" Target="https://eur-lex.europa.eu/legal-content/SL/TXT/?uri=celex:52025DC0061" TargetMode="External"/><Relationship Id="rId91" Type="http://schemas.openxmlformats.org/officeDocument/2006/relationships/hyperlink" Target="https://pianoforte-partnership.eu/"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research-and-innovation.ec.europa.eu/strategy/strategy-research-and-innovation/jobs-and-economy/eu-startup-and-scaleup-strategy_sl" TargetMode="External"/><Relationship Id="rId28" Type="http://schemas.openxmlformats.org/officeDocument/2006/relationships/hyperlink" Target="https://eur-lex.europa.eu/legal-content/SL/TXT/?uri=celex:52025DC0530" TargetMode="External"/><Relationship Id="rId36" Type="http://schemas.openxmlformats.org/officeDocument/2006/relationships/hyperlink" Target="https://eur-lex.europa.eu/legal-content/SL/TXT/?uri=CELEX%3A52025DC0148" TargetMode="External"/><Relationship Id="rId49" Type="http://schemas.openxmlformats.org/officeDocument/2006/relationships/hyperlink" Target="https://energy.ec.europa.eu/publications/2025-progress-report-competitiveness-clean-energy-technologies_sl" TargetMode="External"/><Relationship Id="rId57" Type="http://schemas.openxmlformats.org/officeDocument/2006/relationships/hyperlink" Target="https://digital-strategy.ec.europa.eu/sl/library/quantum-europe-strategy" TargetMode="External"/><Relationship Id="rId10" Type="http://schemas.openxmlformats.org/officeDocument/2006/relationships/endnotes" Target="endnotes.xml"/><Relationship Id="rId31" Type="http://schemas.openxmlformats.org/officeDocument/2006/relationships/hyperlink" Target="https://eur-lex.europa.eu/legal-content/SL/TXT/?uri=CELEX%3A52025DC0525&amp;qid=1762330863739" TargetMode="External"/><Relationship Id="rId44" Type="http://schemas.openxmlformats.org/officeDocument/2006/relationships/hyperlink" Target="https://eur-lex.europa.eu/eli/dir/2025/2360/oj" TargetMode="External"/><Relationship Id="rId52" Type="http://schemas.openxmlformats.org/officeDocument/2006/relationships/hyperlink" Target="https://research-and-innovation.ec.europa.eu/strategy/strategy-research-and-innovation/our-digital-future/european-ai-science-strategy_sl" TargetMode="External"/><Relationship Id="rId60" Type="http://schemas.openxmlformats.org/officeDocument/2006/relationships/hyperlink" Target="https://research-and-innovation.ec.europa.eu/knowledge-publications-tools-and-data/documents_sl?f%5B0%5D=document_title%3ARecovery%20and%20Resilience%20Facility" TargetMode="External"/><Relationship Id="rId65" Type="http://schemas.openxmlformats.org/officeDocument/2006/relationships/hyperlink" Target="https://allatlanticocean.org/news/all-atlantic-blue-intergenerational-programme-and-its-pilot-integrated-platform-launched-to-strengthen-ocean-cooperation-across-generations/" TargetMode="External"/><Relationship Id="rId73" Type="http://schemas.openxmlformats.org/officeDocument/2006/relationships/hyperlink" Target="https://ec.europa.eu/info/funding-tenders/opportunities/docs/2021-2027/common/guidance/list-3rd-country-participation_horizon-euratom_en.pdf" TargetMode="External"/><Relationship Id="rId78" Type="http://schemas.openxmlformats.org/officeDocument/2006/relationships/hyperlink" Target="https://data.europa.eu/doi/10.2777/1580173" TargetMode="External"/><Relationship Id="rId81" Type="http://schemas.openxmlformats.org/officeDocument/2006/relationships/hyperlink" Target="https://eur-lex.europa.eu/legal-content/SL/TXT/?uri=celex:52025DC0189" TargetMode="External"/><Relationship Id="rId86" Type="http://schemas.openxmlformats.org/officeDocument/2006/relationships/hyperlink" Target="https://eur-lex.europa.eu/legal-content/SL/TXT/?uri=celex:52025PC0060" TargetMode="External"/><Relationship Id="rId94" Type="http://schemas.openxmlformats.org/officeDocument/2006/relationships/hyperlink" Target="https://research-and-innovation.ec.europa.eu/research-area/industrial-research-and-innovation/chemicals-and-advanced-materials/towards-advanced-materials-act_en" TargetMode="External"/><Relationship Id="rId99" Type="http://schemas.openxmlformats.org/officeDocument/2006/relationships/header" Target="header6.xml"/><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ur-lex.europa.eu/legal-content/SL/TXT/?uri=celex%3A12016ME%2FTXT" TargetMode="External"/><Relationship Id="rId39" Type="http://schemas.openxmlformats.org/officeDocument/2006/relationships/hyperlink" Target="https://eur-lex.europa.eu/legal-content/SL/TXT/?uri=celex:52025DC084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ic.ec.europa.eu/document/download/7b947b36-66cb-4471-a2d0-158d5ae6770f_en?filename=EIC-Impact-Report-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1E423E1053143A72AC4DF303AC6F5" ma:contentTypeVersion="20" ma:contentTypeDescription="Create a new document." ma:contentTypeScope="" ma:versionID="7384a6ee1daebc9df38306f9ab095c63">
  <xsd:schema xmlns:xsd="http://www.w3.org/2001/XMLSchema" xmlns:xs="http://www.w3.org/2001/XMLSchema" xmlns:p="http://schemas.microsoft.com/office/2006/metadata/properties" xmlns:ns2="d47e9b79-a238-4c23-8f8d-deb36af73bea" xmlns:ns3="827efdc9-378e-418a-934d-4e27c154476b" targetNamespace="http://schemas.microsoft.com/office/2006/metadata/properties" ma:root="true" ma:fieldsID="d8f634f894a04c6f772a1a5f5f52b46d" ns2:_="" ns3:_="">
    <xsd:import namespace="d47e9b79-a238-4c23-8f8d-deb36af73bea"/>
    <xsd:import namespace="827efdc9-378e-418a-934d-4e27c15447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ategory" minOccurs="0"/>
                <xsd:element ref="ns3:SharedWithUsers" minOccurs="0"/>
                <xsd:element ref="ns3:SharedWithDetails" minOccurs="0"/>
                <xsd:element ref="ns2:MediaServiceDateTaken" minOccurs="0"/>
                <xsd:element ref="ns2:MediaLengthInSeconds" minOccurs="0"/>
                <xsd:element ref="ns2:MediaServiceAutoTags" minOccurs="0"/>
                <xsd:element ref="ns2:Kind"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9b79-a238-4c23-8f8d-deb36af73b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ategory" ma:index="12" nillable="true" ma:displayName="Category" ma:format="Dropdown" ma:internalName="Category">
      <xsd:simpleType>
        <xsd:restriction base="dms:Choice">
          <xsd:enumeration value="Choice 1"/>
          <xsd:enumeration value="fake category"/>
          <xsd:enumeration value="double fake"/>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Kind" ma:index="18" nillable="true" ma:displayName="Kind" ma:format="Dropdown" ma:indexed="true" ma:internalName="Kind">
      <xsd:simpleType>
        <xsd:restriction base="dms:Choice">
          <xsd:enumeration value="fake kind"/>
          <xsd:enumeration value="Choice 2"/>
          <xsd:enumeration value="Choice 3"/>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dc9-378e-418a-934d-4e27c154476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56360f6-15ca-43a0-b8cc-5886f6f40889}" ma:internalName="TaxCatchAll" ma:showField="CatchAllData" ma:web="827efdc9-378e-418a-934d-4e27c1544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7efdc9-378e-418a-934d-4e27c154476b" xsi:nil="true"/>
    <Kind xmlns="d47e9b79-a238-4c23-8f8d-deb36af73bea" xsi:nil="true"/>
    <lcf76f155ced4ddcb4097134ff3c332f xmlns="d47e9b79-a238-4c23-8f8d-deb36af73bea">
      <Terms xmlns="http://schemas.microsoft.com/office/infopath/2007/PartnerControls"/>
    </lcf76f155ced4ddcb4097134ff3c332f>
    <Category xmlns="d47e9b79-a238-4c23-8f8d-deb36af73bea"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6953BF9-CD24-4CF0-A6FB-59914B357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9b79-a238-4c23-8f8d-deb36af73bea"/>
    <ds:schemaRef ds:uri="827efdc9-378e-418a-934d-4e27c15447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35BB4-B09A-4668-B3DB-DB3728F41E65}">
  <ds:schemaRefs>
    <ds:schemaRef ds:uri="http://schemas.microsoft.com/sharepoint/v3/contenttype/forms"/>
  </ds:schemaRefs>
</ds:datastoreItem>
</file>

<file path=customXml/itemProps3.xml><?xml version="1.0" encoding="utf-8"?>
<ds:datastoreItem xmlns:ds="http://schemas.openxmlformats.org/officeDocument/2006/customXml" ds:itemID="{A697B13C-CC42-4D42-B0EA-3AC3D912816F}">
  <ds:schemaRefs>
    <ds:schemaRef ds:uri="http://schemas.microsoft.com/office/2006/metadata/properties"/>
    <ds:schemaRef ds:uri="http://schemas.microsoft.com/office/infopath/2007/PartnerControls"/>
    <ds:schemaRef ds:uri="827efdc9-378e-418a-934d-4e27c154476b"/>
    <ds:schemaRef ds:uri="d47e9b79-a238-4c23-8f8d-deb36af73bea"/>
  </ds:schemaRefs>
</ds:datastoreItem>
</file>

<file path=customXml/itemProps4.xml><?xml version="1.0" encoding="utf-8"?>
<ds:datastoreItem xmlns:ds="http://schemas.openxmlformats.org/officeDocument/2006/customXml" ds:itemID="{5FA26F15-B1C0-4068-AC85-89400A929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6106</Words>
  <Characters>34810</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40835</CharactersWithSpaces>
  <SharedDoc>false</SharedDoc>
  <HLinks>
    <vt:vector size="468" baseType="variant">
      <vt:variant>
        <vt:i4>6291530</vt:i4>
      </vt:variant>
      <vt:variant>
        <vt:i4>237</vt:i4>
      </vt:variant>
      <vt:variant>
        <vt:i4>0</vt:i4>
      </vt:variant>
      <vt:variant>
        <vt:i4>5</vt:i4>
      </vt:variant>
      <vt:variant>
        <vt:lpwstr>https://research-and-innovation.ec.europa.eu/research-area/industrial-research-and-innovation/chemicals-and-advanced-materials/towards-advanced-materials-act_en</vt:lpwstr>
      </vt:variant>
      <vt:variant>
        <vt:lpwstr/>
      </vt:variant>
      <vt:variant>
        <vt:i4>7536738</vt:i4>
      </vt:variant>
      <vt:variant>
        <vt:i4>234</vt:i4>
      </vt:variant>
      <vt:variant>
        <vt:i4>0</vt:i4>
      </vt:variant>
      <vt:variant>
        <vt:i4>5</vt:i4>
      </vt:variant>
      <vt:variant>
        <vt:lpwstr>https://ec.europa.eu/commission/presscorner/detail/en/ip_25_2529</vt:lpwstr>
      </vt:variant>
      <vt:variant>
        <vt:lpwstr/>
      </vt:variant>
      <vt:variant>
        <vt:i4>4194371</vt:i4>
      </vt:variant>
      <vt:variant>
        <vt:i4>231</vt:i4>
      </vt:variant>
      <vt:variant>
        <vt:i4>0</vt:i4>
      </vt:variant>
      <vt:variant>
        <vt:i4>5</vt:i4>
      </vt:variant>
      <vt:variant>
        <vt:lpwstr>https://www.ejp-eurad.eu/</vt:lpwstr>
      </vt:variant>
      <vt:variant>
        <vt:lpwstr/>
      </vt:variant>
      <vt:variant>
        <vt:i4>2818105</vt:i4>
      </vt:variant>
      <vt:variant>
        <vt:i4>228</vt:i4>
      </vt:variant>
      <vt:variant>
        <vt:i4>0</vt:i4>
      </vt:variant>
      <vt:variant>
        <vt:i4>5</vt:i4>
      </vt:variant>
      <vt:variant>
        <vt:lpwstr>https://pianoforte-partnership.eu/</vt:lpwstr>
      </vt:variant>
      <vt:variant>
        <vt:lpwstr/>
      </vt:variant>
      <vt:variant>
        <vt:i4>1310740</vt:i4>
      </vt:variant>
      <vt:variant>
        <vt:i4>225</vt:i4>
      </vt:variant>
      <vt:variant>
        <vt:i4>0</vt:i4>
      </vt:variant>
      <vt:variant>
        <vt:i4>5</vt:i4>
      </vt:variant>
      <vt:variant>
        <vt:lpwstr>https://cordis.europa.eu/project/id/101213280</vt:lpwstr>
      </vt:variant>
      <vt:variant>
        <vt:lpwstr/>
      </vt:variant>
      <vt:variant>
        <vt:i4>6160389</vt:i4>
      </vt:variant>
      <vt:variant>
        <vt:i4>222</vt:i4>
      </vt:variant>
      <vt:variant>
        <vt:i4>0</vt:i4>
      </vt:variant>
      <vt:variant>
        <vt:i4>5</vt:i4>
      </vt:variant>
      <vt:variant>
        <vt:lpwstr>https://webgate.ec.europa.eu/circabc-ewpp/d/d/workspace/SpacesStore/d5970517-ec7c-4aa6-af5a-77fc8dde33a9/download</vt:lpwstr>
      </vt:variant>
      <vt:variant>
        <vt:lpwstr/>
      </vt:variant>
      <vt:variant>
        <vt:i4>393233</vt:i4>
      </vt:variant>
      <vt:variant>
        <vt:i4>219</vt:i4>
      </vt:variant>
      <vt:variant>
        <vt:i4>0</vt:i4>
      </vt:variant>
      <vt:variant>
        <vt:i4>5</vt:i4>
      </vt:variant>
      <vt:variant>
        <vt:lpwstr>https://eur-lex.europa.eu/legal-content/EN/TXT/?uri=celex:52025DC0061</vt:lpwstr>
      </vt:variant>
      <vt:variant>
        <vt:lpwstr/>
      </vt:variant>
      <vt:variant>
        <vt:i4>1114181</vt:i4>
      </vt:variant>
      <vt:variant>
        <vt:i4>216</vt:i4>
      </vt:variant>
      <vt:variant>
        <vt:i4>0</vt:i4>
      </vt:variant>
      <vt:variant>
        <vt:i4>5</vt:i4>
      </vt:variant>
      <vt:variant>
        <vt:lpwstr>https://eur-lex.europa.eu/legal-content/en/TXT/?uri=CELEX:32025R1304</vt:lpwstr>
      </vt:variant>
      <vt:variant>
        <vt:lpwstr/>
      </vt:variant>
      <vt:variant>
        <vt:i4>1179665</vt:i4>
      </vt:variant>
      <vt:variant>
        <vt:i4>213</vt:i4>
      </vt:variant>
      <vt:variant>
        <vt:i4>0</vt:i4>
      </vt:variant>
      <vt:variant>
        <vt:i4>5</vt:i4>
      </vt:variant>
      <vt:variant>
        <vt:lpwstr>https://eur-lex.europa.eu/legal-content/EN/TXT/?uri=celex:52025PC0060</vt:lpwstr>
      </vt:variant>
      <vt:variant>
        <vt:lpwstr/>
      </vt:variant>
      <vt:variant>
        <vt:i4>5570568</vt:i4>
      </vt:variant>
      <vt:variant>
        <vt:i4>210</vt:i4>
      </vt:variant>
      <vt:variant>
        <vt:i4>0</vt:i4>
      </vt:variant>
      <vt:variant>
        <vt:i4>5</vt:i4>
      </vt:variant>
      <vt:variant>
        <vt:lpwstr>https://cordis.europa.eu/</vt:lpwstr>
      </vt:variant>
      <vt:variant>
        <vt:lpwstr/>
      </vt:variant>
      <vt:variant>
        <vt:i4>1900612</vt:i4>
      </vt:variant>
      <vt:variant>
        <vt:i4>207</vt:i4>
      </vt:variant>
      <vt:variant>
        <vt:i4>0</vt:i4>
      </vt:variant>
      <vt:variant>
        <vt:i4>5</vt:i4>
      </vt:variant>
      <vt:variant>
        <vt:lpwstr>https://www.horizonresultsbooster.eu/</vt:lpwstr>
      </vt:variant>
      <vt:variant>
        <vt:lpwstr/>
      </vt:variant>
      <vt:variant>
        <vt:i4>4915200</vt:i4>
      </vt:variant>
      <vt:variant>
        <vt:i4>204</vt:i4>
      </vt:variant>
      <vt:variant>
        <vt:i4>0</vt:i4>
      </vt:variant>
      <vt:variant>
        <vt:i4>5</vt:i4>
      </vt:variant>
      <vt:variant>
        <vt:lpwstr>https://ec.europa.eu/info/funding-tenders/opportunities/portal/screen/opportunities/horizon-results-platform</vt:lpwstr>
      </vt:variant>
      <vt:variant>
        <vt:lpwstr/>
      </vt:variant>
      <vt:variant>
        <vt:i4>1638415</vt:i4>
      </vt:variant>
      <vt:variant>
        <vt:i4>201</vt:i4>
      </vt:variant>
      <vt:variant>
        <vt:i4>0</vt:i4>
      </vt:variant>
      <vt:variant>
        <vt:i4>5</vt:i4>
      </vt:variant>
      <vt:variant>
        <vt:lpwstr>https://eur-lex.europa.eu/legal-content/EN/TXT/?uri=CELEX%3A52025SC0555&amp;qid=1754901373347</vt:lpwstr>
      </vt:variant>
      <vt:variant>
        <vt:lpwstr/>
      </vt:variant>
      <vt:variant>
        <vt:i4>524304</vt:i4>
      </vt:variant>
      <vt:variant>
        <vt:i4>198</vt:i4>
      </vt:variant>
      <vt:variant>
        <vt:i4>0</vt:i4>
      </vt:variant>
      <vt:variant>
        <vt:i4>5</vt:i4>
      </vt:variant>
      <vt:variant>
        <vt:lpwstr>https://eur-lex.europa.eu/legal-content/EN/TXT/?uri=celex:52025DC0189</vt:lpwstr>
      </vt:variant>
      <vt:variant>
        <vt:lpwstr/>
      </vt:variant>
      <vt:variant>
        <vt:i4>7471194</vt:i4>
      </vt:variant>
      <vt:variant>
        <vt:i4>195</vt:i4>
      </vt:variant>
      <vt:variant>
        <vt:i4>0</vt:i4>
      </vt:variant>
      <vt:variant>
        <vt:i4>5</vt:i4>
      </vt:variant>
      <vt:variant>
        <vt:lpwstr>https://research-and-innovation.ec.europa.eu/document/download/a3aa9b90-15c0-4ea7-b25e-9f4e29cfa740_en?filename=ec_rtd_he-evaluation-swd.pdf</vt:lpwstr>
      </vt:variant>
      <vt:variant>
        <vt:lpwstr/>
      </vt:variant>
      <vt:variant>
        <vt:i4>4784195</vt:i4>
      </vt:variant>
      <vt:variant>
        <vt:i4>192</vt:i4>
      </vt:variant>
      <vt:variant>
        <vt:i4>0</vt:i4>
      </vt:variant>
      <vt:variant>
        <vt:i4>5</vt:i4>
      </vt:variant>
      <vt:variant>
        <vt:lpwstr>https://op.europa.eu/en/publication-detail/-/publication/19a32537-c11d-11f0-a612-01aa75ed71a1/language-en</vt:lpwstr>
      </vt:variant>
      <vt:variant>
        <vt:lpwstr/>
      </vt:variant>
      <vt:variant>
        <vt:i4>3407911</vt:i4>
      </vt:variant>
      <vt:variant>
        <vt:i4>189</vt:i4>
      </vt:variant>
      <vt:variant>
        <vt:i4>0</vt:i4>
      </vt:variant>
      <vt:variant>
        <vt:i4>5</vt:i4>
      </vt:variant>
      <vt:variant>
        <vt:lpwstr>https://data.europa.eu/doi/10.2777/1580173</vt:lpwstr>
      </vt:variant>
      <vt:variant>
        <vt:lpwstr/>
      </vt:variant>
      <vt:variant>
        <vt:i4>3932196</vt:i4>
      </vt:variant>
      <vt:variant>
        <vt:i4>186</vt:i4>
      </vt:variant>
      <vt:variant>
        <vt:i4>0</vt:i4>
      </vt:variant>
      <vt:variant>
        <vt:i4>5</vt:i4>
      </vt:variant>
      <vt:variant>
        <vt:lpwstr>https://data.europa.eu/doi/10.2777/4058193</vt:lpwstr>
      </vt:variant>
      <vt:variant>
        <vt:lpwstr/>
      </vt:variant>
      <vt:variant>
        <vt:i4>3997741</vt:i4>
      </vt:variant>
      <vt:variant>
        <vt:i4>183</vt:i4>
      </vt:variant>
      <vt:variant>
        <vt:i4>0</vt:i4>
      </vt:variant>
      <vt:variant>
        <vt:i4>5</vt:i4>
      </vt:variant>
      <vt:variant>
        <vt:lpwstr>https://data.europa.eu/doi/10.2760/6258234</vt:lpwstr>
      </vt:variant>
      <vt:variant>
        <vt:lpwstr/>
      </vt:variant>
      <vt:variant>
        <vt:i4>6225986</vt:i4>
      </vt:variant>
      <vt:variant>
        <vt:i4>180</vt:i4>
      </vt:variant>
      <vt:variant>
        <vt:i4>0</vt:i4>
      </vt:variant>
      <vt:variant>
        <vt:i4>5</vt:i4>
      </vt:variant>
      <vt:variant>
        <vt:lpwstr>https://op.europa.eu/en/publication-detail/-/publication/f740c592-1b56-11f0-b1a3-01aa75ed71a1</vt:lpwstr>
      </vt:variant>
      <vt:variant>
        <vt:lpwstr/>
      </vt:variant>
      <vt:variant>
        <vt:i4>3145770</vt:i4>
      </vt:variant>
      <vt:variant>
        <vt:i4>177</vt:i4>
      </vt:variant>
      <vt:variant>
        <vt:i4>0</vt:i4>
      </vt:variant>
      <vt:variant>
        <vt:i4>5</vt:i4>
      </vt:variant>
      <vt:variant>
        <vt:lpwstr>https://data.europa.eu/doi/10.2777/2941871</vt:lpwstr>
      </vt:variant>
      <vt:variant>
        <vt:lpwstr/>
      </vt:variant>
      <vt:variant>
        <vt:i4>5242889</vt:i4>
      </vt:variant>
      <vt:variant>
        <vt:i4>168</vt:i4>
      </vt:variant>
      <vt:variant>
        <vt:i4>0</vt:i4>
      </vt:variant>
      <vt:variant>
        <vt:i4>5</vt:i4>
      </vt:variant>
      <vt:variant>
        <vt:lpwstr>https://ec.europa.eu/info/funding-tenders/opportunities/docs/2021-2027/common/guidance/list-3rd-country-participation_horizon-euratom_en.pdf</vt:lpwstr>
      </vt:variant>
      <vt:variant>
        <vt:lpwstr/>
      </vt:variant>
      <vt:variant>
        <vt:i4>7340103</vt:i4>
      </vt:variant>
      <vt:variant>
        <vt:i4>165</vt:i4>
      </vt:variant>
      <vt:variant>
        <vt:i4>0</vt:i4>
      </vt:variant>
      <vt:variant>
        <vt:i4>5</vt:i4>
      </vt:variant>
      <vt:variant>
        <vt:lpwstr>https://joint-research-centre.ec.europa.eu/jrc-news-and-updates/air-quality-pm25-atlases-track-pollution-sources-eu-cities-and-beyond-2025-12-01_en</vt:lpwstr>
      </vt:variant>
      <vt:variant>
        <vt:lpwstr/>
      </vt:variant>
      <vt:variant>
        <vt:i4>5898299</vt:i4>
      </vt:variant>
      <vt:variant>
        <vt:i4>162</vt:i4>
      </vt:variant>
      <vt:variant>
        <vt:i4>0</vt:i4>
      </vt:variant>
      <vt:variant>
        <vt:i4>5</vt:i4>
      </vt:variant>
      <vt:variant>
        <vt:lpwstr>https://urban-mobility-observatory.transport.ec.europa.eu/news-events/news/joint-research-centre-launches-transport-poverty-hub-enhance-regional-connectivity-across-europe-2025-07-15_en</vt:lpwstr>
      </vt:variant>
      <vt:variant>
        <vt:lpwstr/>
      </vt:variant>
      <vt:variant>
        <vt:i4>131148</vt:i4>
      </vt:variant>
      <vt:variant>
        <vt:i4>159</vt:i4>
      </vt:variant>
      <vt:variant>
        <vt:i4>0</vt:i4>
      </vt:variant>
      <vt:variant>
        <vt:i4>5</vt:i4>
      </vt:variant>
      <vt:variant>
        <vt:lpwstr>https://publications.jrc.ec.europa.eu/repository/handle/JRC142938</vt:lpwstr>
      </vt:variant>
      <vt:variant>
        <vt:lpwstr/>
      </vt:variant>
      <vt:variant>
        <vt:i4>196674</vt:i4>
      </vt:variant>
      <vt:variant>
        <vt:i4>156</vt:i4>
      </vt:variant>
      <vt:variant>
        <vt:i4>0</vt:i4>
      </vt:variant>
      <vt:variant>
        <vt:i4>5</vt:i4>
      </vt:variant>
      <vt:variant>
        <vt:lpwstr>https://publications.jrc.ec.europa.eu/repository/handle/JRC144743</vt:lpwstr>
      </vt:variant>
      <vt:variant>
        <vt:lpwstr/>
      </vt:variant>
      <vt:variant>
        <vt:i4>524341</vt:i4>
      </vt:variant>
      <vt:variant>
        <vt:i4>153</vt:i4>
      </vt:variant>
      <vt:variant>
        <vt:i4>0</vt:i4>
      </vt:variant>
      <vt:variant>
        <vt:i4>5</vt:i4>
      </vt:variant>
      <vt:variant>
        <vt:lpwstr>https://joint-research-centre.ec.europa.eu/jrc-news-and-updates/jrc-launches-border-security-lab-2025-04-10_en</vt:lpwstr>
      </vt:variant>
      <vt:variant>
        <vt:lpwstr/>
      </vt:variant>
      <vt:variant>
        <vt:i4>524352</vt:i4>
      </vt:variant>
      <vt:variant>
        <vt:i4>150</vt:i4>
      </vt:variant>
      <vt:variant>
        <vt:i4>0</vt:i4>
      </vt:variant>
      <vt:variant>
        <vt:i4>5</vt:i4>
      </vt:variant>
      <vt:variant>
        <vt:lpwstr>https://publications.jrc.ec.europa.eu/repository/handle/JRC142598</vt:lpwstr>
      </vt:variant>
      <vt:variant>
        <vt:lpwstr/>
      </vt:variant>
      <vt:variant>
        <vt:i4>2621447</vt:i4>
      </vt:variant>
      <vt:variant>
        <vt:i4>147</vt:i4>
      </vt:variant>
      <vt:variant>
        <vt:i4>0</vt:i4>
      </vt:variant>
      <vt:variant>
        <vt:i4>5</vt:i4>
      </vt:variant>
      <vt:variant>
        <vt:lpwstr>https://commission.europa.eu/topics/international-partnerships/global-gateway_en</vt:lpwstr>
      </vt:variant>
      <vt:variant>
        <vt:lpwstr/>
      </vt:variant>
      <vt:variant>
        <vt:i4>3997815</vt:i4>
      </vt:variant>
      <vt:variant>
        <vt:i4>144</vt:i4>
      </vt:variant>
      <vt:variant>
        <vt:i4>0</vt:i4>
      </vt:variant>
      <vt:variant>
        <vt:i4>5</vt:i4>
      </vt:variant>
      <vt:variant>
        <vt:lpwstr>https://allatlanticocean.org/news/all-atlantic-blue-intergenerational-programme-and-its-pilot-integrated-platform-launched-to-strengthen-ocean-cooperation-across-generations/</vt:lpwstr>
      </vt:variant>
      <vt:variant>
        <vt:lpwstr>:~:text=Brussels%2C%2025%20September%202025%20%E2%80%93%20The%20All-Atlantic%20Ocean,empower%20ocean%20professionals%20across%20generations%2C%20cultures%2C%20and%20continents.</vt:lpwstr>
      </vt:variant>
      <vt:variant>
        <vt:i4>1441817</vt:i4>
      </vt:variant>
      <vt:variant>
        <vt:i4>141</vt:i4>
      </vt:variant>
      <vt:variant>
        <vt:i4>0</vt:i4>
      </vt:variant>
      <vt:variant>
        <vt:i4>5</vt:i4>
      </vt:variant>
      <vt:variant>
        <vt:lpwstr>https://allatlanticocean.org/news/tackling-coastal-risks-new-all-atlantic-network-of-beacon-sites-launched-to-link-local-resilience-efforts/</vt:lpwstr>
      </vt:variant>
      <vt:variant>
        <vt:lpwstr/>
      </vt:variant>
      <vt:variant>
        <vt:i4>8126589</vt:i4>
      </vt:variant>
      <vt:variant>
        <vt:i4>138</vt:i4>
      </vt:variant>
      <vt:variant>
        <vt:i4>0</vt:i4>
      </vt:variant>
      <vt:variant>
        <vt:i4>5</vt:i4>
      </vt:variant>
      <vt:variant>
        <vt:lpwstr>https://allatlanticocean.org/</vt:lpwstr>
      </vt:variant>
      <vt:variant>
        <vt:lpwstr>:~:text=What%20is%20the%20All-Atlantic%20Ocean%20Research%20and%20Innovation,Atlantic%20to%20enhance%20marine%20research%20and%20innovation%20cooperation.</vt:lpwstr>
      </vt:variant>
      <vt:variant>
        <vt:i4>1441885</vt:i4>
      </vt:variant>
      <vt:variant>
        <vt:i4>135</vt:i4>
      </vt:variant>
      <vt:variant>
        <vt:i4>0</vt:i4>
      </vt:variant>
      <vt:variant>
        <vt:i4>5</vt:i4>
      </vt:variant>
      <vt:variant>
        <vt:lpwstr>http://stip.oecd.org/</vt:lpwstr>
      </vt:variant>
      <vt:variant>
        <vt:lpwstr/>
      </vt:variant>
      <vt:variant>
        <vt:i4>393245</vt:i4>
      </vt:variant>
      <vt:variant>
        <vt:i4>132</vt:i4>
      </vt:variant>
      <vt:variant>
        <vt:i4>0</vt:i4>
      </vt:variant>
      <vt:variant>
        <vt:i4>5</vt:i4>
      </vt:variant>
      <vt:variant>
        <vt:lpwstr>https://op.europa.eu/en/publication-detail/-/publication/c246671a-78b6-11f0-9af8-01aa75ed71a1</vt:lpwstr>
      </vt:variant>
      <vt:variant>
        <vt:lpwstr/>
      </vt:variant>
      <vt:variant>
        <vt:i4>6619248</vt:i4>
      </vt:variant>
      <vt:variant>
        <vt:i4>129</vt:i4>
      </vt:variant>
      <vt:variant>
        <vt:i4>0</vt:i4>
      </vt:variant>
      <vt:variant>
        <vt:i4>5</vt:i4>
      </vt:variant>
      <vt:variant>
        <vt:lpwstr>https://research-and-innovation.ec.europa.eu/knowledge-publications-tools-and-data/documents_en?f%5B0%5D=document_title%3ARecovery%20and%20Resilience%20Facility</vt:lpwstr>
      </vt:variant>
      <vt:variant>
        <vt:lpwstr/>
      </vt:variant>
      <vt:variant>
        <vt:i4>655376</vt:i4>
      </vt:variant>
      <vt:variant>
        <vt:i4>126</vt:i4>
      </vt:variant>
      <vt:variant>
        <vt:i4>0</vt:i4>
      </vt:variant>
      <vt:variant>
        <vt:i4>5</vt:i4>
      </vt:variant>
      <vt:variant>
        <vt:lpwstr>https://eur-lex.europa.eu/legal-content/EN/TXT/?uri=celex:52025JC0140</vt:lpwstr>
      </vt:variant>
      <vt:variant>
        <vt:lpwstr/>
      </vt:variant>
      <vt:variant>
        <vt:i4>327791</vt:i4>
      </vt:variant>
      <vt:variant>
        <vt:i4>123</vt:i4>
      </vt:variant>
      <vt:variant>
        <vt:i4>0</vt:i4>
      </vt:variant>
      <vt:variant>
        <vt:i4>5</vt:i4>
      </vt:variant>
      <vt:variant>
        <vt:lpwstr>https://research-and-innovation.ec.europa.eu/news/all-research-and-innovation-news/european-commission-unveils-european-digital-twin-ocean-prototype-2024-06-13_en</vt:lpwstr>
      </vt:variant>
      <vt:variant>
        <vt:lpwstr/>
      </vt:variant>
      <vt:variant>
        <vt:i4>1835034</vt:i4>
      </vt:variant>
      <vt:variant>
        <vt:i4>120</vt:i4>
      </vt:variant>
      <vt:variant>
        <vt:i4>0</vt:i4>
      </vt:variant>
      <vt:variant>
        <vt:i4>5</vt:i4>
      </vt:variant>
      <vt:variant>
        <vt:lpwstr>https://digital-strategy.ec.europa.eu/en/library/quantum-europe-strategy</vt:lpwstr>
      </vt:variant>
      <vt:variant>
        <vt:lpwstr/>
      </vt:variant>
      <vt:variant>
        <vt:i4>1572949</vt:i4>
      </vt:variant>
      <vt:variant>
        <vt:i4>117</vt:i4>
      </vt:variant>
      <vt:variant>
        <vt:i4>0</vt:i4>
      </vt:variant>
      <vt:variant>
        <vt:i4>5</vt:i4>
      </vt:variant>
      <vt:variant>
        <vt:lpwstr>https://digital-strategy.ec.europa.eu/en/news/eu-expands-network-ai-factories-strengthening-its-ai-continent-ambition</vt:lpwstr>
      </vt:variant>
      <vt:variant>
        <vt:lpwstr/>
      </vt:variant>
      <vt:variant>
        <vt:i4>3014689</vt:i4>
      </vt:variant>
      <vt:variant>
        <vt:i4>114</vt:i4>
      </vt:variant>
      <vt:variant>
        <vt:i4>0</vt:i4>
      </vt:variant>
      <vt:variant>
        <vt:i4>5</vt:i4>
      </vt:variant>
      <vt:variant>
        <vt:lpwstr>https://digital-strategy.ec.europa.eu/en/news/eu-launches-investai-initiative-mobilise-eu200-billion-investment-artificial-intelligence</vt:lpwstr>
      </vt:variant>
      <vt:variant>
        <vt:lpwstr/>
      </vt:variant>
      <vt:variant>
        <vt:i4>2949223</vt:i4>
      </vt:variant>
      <vt:variant>
        <vt:i4>111</vt:i4>
      </vt:variant>
      <vt:variant>
        <vt:i4>0</vt:i4>
      </vt:variant>
      <vt:variant>
        <vt:i4>5</vt:i4>
      </vt:variant>
      <vt:variant>
        <vt:lpwstr>https://digital-strategy.ec.europa.eu/en/policies/apply-ai</vt:lpwstr>
      </vt:variant>
      <vt:variant>
        <vt:lpwstr/>
      </vt:variant>
      <vt:variant>
        <vt:i4>5832723</vt:i4>
      </vt:variant>
      <vt:variant>
        <vt:i4>108</vt:i4>
      </vt:variant>
      <vt:variant>
        <vt:i4>0</vt:i4>
      </vt:variant>
      <vt:variant>
        <vt:i4>5</vt:i4>
      </vt:variant>
      <vt:variant>
        <vt:lpwstr>https://digital-strategy.ec.europa.eu/en/library/ai-continent-action-plan</vt:lpwstr>
      </vt:variant>
      <vt:variant>
        <vt:lpwstr/>
      </vt:variant>
      <vt:variant>
        <vt:i4>2097171</vt:i4>
      </vt:variant>
      <vt:variant>
        <vt:i4>105</vt:i4>
      </vt:variant>
      <vt:variant>
        <vt:i4>0</vt:i4>
      </vt:variant>
      <vt:variant>
        <vt:i4>5</vt:i4>
      </vt:variant>
      <vt:variant>
        <vt:lpwstr>https://research-and-innovation.ec.europa.eu/strategy/strategy-research-and-innovation/our-digital-future/european-ai-science-strategy_en</vt:lpwstr>
      </vt:variant>
      <vt:variant>
        <vt:lpwstr>resource-for-ai-science-in-europe-raise</vt:lpwstr>
      </vt:variant>
      <vt:variant>
        <vt:i4>196614</vt:i4>
      </vt:variant>
      <vt:variant>
        <vt:i4>102</vt:i4>
      </vt:variant>
      <vt:variant>
        <vt:i4>0</vt:i4>
      </vt:variant>
      <vt:variant>
        <vt:i4>5</vt:i4>
      </vt:variant>
      <vt:variant>
        <vt:lpwstr>https://eur-lex.europa.eu/legal-content/EN/TXT/?uri=CELEX%3A52025DC1005&amp;qid=1770212329024</vt:lpwstr>
      </vt:variant>
      <vt:variant>
        <vt:lpwstr/>
      </vt:variant>
      <vt:variant>
        <vt:i4>7143515</vt:i4>
      </vt:variant>
      <vt:variant>
        <vt:i4>99</vt:i4>
      </vt:variant>
      <vt:variant>
        <vt:i4>0</vt:i4>
      </vt:variant>
      <vt:variant>
        <vt:i4>5</vt:i4>
      </vt:variant>
      <vt:variant>
        <vt:lpwstr>https://eur-lex.europa.eu/legal-content/EN/TXT/?uri=PI_COM%3AC%282025%294011&amp;qid=1767969425803</vt:lpwstr>
      </vt:variant>
      <vt:variant>
        <vt:lpwstr/>
      </vt:variant>
      <vt:variant>
        <vt:i4>5570660</vt:i4>
      </vt:variant>
      <vt:variant>
        <vt:i4>96</vt:i4>
      </vt:variant>
      <vt:variant>
        <vt:i4>0</vt:i4>
      </vt:variant>
      <vt:variant>
        <vt:i4>5</vt:i4>
      </vt:variant>
      <vt:variant>
        <vt:lpwstr>https://energy.ec.europa.eu/publications/2025-progress-report-competitiveness-clean-energy-technologies_en</vt:lpwstr>
      </vt:variant>
      <vt:variant>
        <vt:lpwstr/>
      </vt:variant>
      <vt:variant>
        <vt:i4>327689</vt:i4>
      </vt:variant>
      <vt:variant>
        <vt:i4>93</vt:i4>
      </vt:variant>
      <vt:variant>
        <vt:i4>0</vt:i4>
      </vt:variant>
      <vt:variant>
        <vt:i4>5</vt:i4>
      </vt:variant>
      <vt:variant>
        <vt:lpwstr>https://eur-lex.europa.eu/legal-content/EN/TXT/?uri=CELEX%3A52025DC0079&amp;qid=1741780110418</vt:lpwstr>
      </vt:variant>
      <vt:variant>
        <vt:lpwstr/>
      </vt:variant>
      <vt:variant>
        <vt:i4>4849735</vt:i4>
      </vt:variant>
      <vt:variant>
        <vt:i4>90</vt:i4>
      </vt:variant>
      <vt:variant>
        <vt:i4>0</vt:i4>
      </vt:variant>
      <vt:variant>
        <vt:i4>5</vt:i4>
      </vt:variant>
      <vt:variant>
        <vt:lpwstr>https://op.europa.eu/en/publication-detail/-/publication/616cce9c-39e5-11f0-8a44-01aa75ed71a1/language-en</vt:lpwstr>
      </vt:variant>
      <vt:variant>
        <vt:lpwstr/>
      </vt:variant>
      <vt:variant>
        <vt:i4>8126543</vt:i4>
      </vt:variant>
      <vt:variant>
        <vt:i4>87</vt:i4>
      </vt:variant>
      <vt:variant>
        <vt:i4>0</vt:i4>
      </vt:variant>
      <vt:variant>
        <vt:i4>5</vt:i4>
      </vt:variant>
      <vt:variant>
        <vt:lpwstr>https://eur-lex.europa.eu/legal-content/EN/ALL/?uri=comnat:COM_2025_0281_FIN</vt:lpwstr>
      </vt:variant>
      <vt:variant>
        <vt:lpwstr/>
      </vt:variant>
      <vt:variant>
        <vt:i4>786444</vt:i4>
      </vt:variant>
      <vt:variant>
        <vt:i4>84</vt:i4>
      </vt:variant>
      <vt:variant>
        <vt:i4>0</vt:i4>
      </vt:variant>
      <vt:variant>
        <vt:i4>5</vt:i4>
      </vt:variant>
      <vt:variant>
        <vt:lpwstr>https://eur-lex.europa.eu/legal-content/EN/TXT/?uri=CELEX%3A52025DC0280&amp;qid=1750857768458</vt:lpwstr>
      </vt:variant>
      <vt:variant>
        <vt:lpwstr/>
      </vt:variant>
      <vt:variant>
        <vt:i4>7471142</vt:i4>
      </vt:variant>
      <vt:variant>
        <vt:i4>81</vt:i4>
      </vt:variant>
      <vt:variant>
        <vt:i4>0</vt:i4>
      </vt:variant>
      <vt:variant>
        <vt:i4>5</vt:i4>
      </vt:variant>
      <vt:variant>
        <vt:lpwstr>https://eur-lex.europa.eu/eli/dir/2025/2360/oj</vt:lpwstr>
      </vt:variant>
      <vt:variant>
        <vt:lpwstr/>
      </vt:variant>
      <vt:variant>
        <vt:i4>3538957</vt:i4>
      </vt:variant>
      <vt:variant>
        <vt:i4>78</vt:i4>
      </vt:variant>
      <vt:variant>
        <vt:i4>0</vt:i4>
      </vt:variant>
      <vt:variant>
        <vt:i4>5</vt:i4>
      </vt:variant>
      <vt:variant>
        <vt:lpwstr>https://commission.europa.eu/topics/competitiveness/clean-industrial-deal_en</vt:lpwstr>
      </vt:variant>
      <vt:variant>
        <vt:lpwstr/>
      </vt:variant>
      <vt:variant>
        <vt:i4>1769575</vt:i4>
      </vt:variant>
      <vt:variant>
        <vt:i4>75</vt:i4>
      </vt:variant>
      <vt:variant>
        <vt:i4>0</vt:i4>
      </vt:variant>
      <vt:variant>
        <vt:i4>5</vt:i4>
      </vt:variant>
      <vt:variant>
        <vt:lpwstr>https://eic.ec.europa.eu/eic-funding-opportunities/eic-accelerator_en</vt:lpwstr>
      </vt:variant>
      <vt:variant>
        <vt:lpwstr/>
      </vt:variant>
      <vt:variant>
        <vt:i4>1966189</vt:i4>
      </vt:variant>
      <vt:variant>
        <vt:i4>72</vt:i4>
      </vt:variant>
      <vt:variant>
        <vt:i4>0</vt:i4>
      </vt:variant>
      <vt:variant>
        <vt:i4>5</vt:i4>
      </vt:variant>
      <vt:variant>
        <vt:lpwstr>https://strategic-technologies.europa.eu/index_en</vt:lpwstr>
      </vt:variant>
      <vt:variant>
        <vt:lpwstr/>
      </vt:variant>
      <vt:variant>
        <vt:i4>7929956</vt:i4>
      </vt:variant>
      <vt:variant>
        <vt:i4>69</vt:i4>
      </vt:variant>
      <vt:variant>
        <vt:i4>0</vt:i4>
      </vt:variant>
      <vt:variant>
        <vt:i4>5</vt:i4>
      </vt:variant>
      <vt:variant>
        <vt:lpwstr>https://ec.europa.eu/commission/presscorner/detail/en/ip_25_1076</vt:lpwstr>
      </vt:variant>
      <vt:variant>
        <vt:lpwstr/>
      </vt:variant>
      <vt:variant>
        <vt:i4>262169</vt:i4>
      </vt:variant>
      <vt:variant>
        <vt:i4>66</vt:i4>
      </vt:variant>
      <vt:variant>
        <vt:i4>0</vt:i4>
      </vt:variant>
      <vt:variant>
        <vt:i4>5</vt:i4>
      </vt:variant>
      <vt:variant>
        <vt:lpwstr>https://eur-lex.europa.eu/legal-content/EN/TXT/?uri=celex:52025DC0845</vt:lpwstr>
      </vt:variant>
      <vt:variant>
        <vt:lpwstr/>
      </vt:variant>
      <vt:variant>
        <vt:i4>786449</vt:i4>
      </vt:variant>
      <vt:variant>
        <vt:i4>63</vt:i4>
      </vt:variant>
      <vt:variant>
        <vt:i4>0</vt:i4>
      </vt:variant>
      <vt:variant>
        <vt:i4>5</vt:i4>
      </vt:variant>
      <vt:variant>
        <vt:lpwstr>https://eur-lex.europa.eu/legal-content/EN/TXT/?uri=celex:52025JC0027</vt:lpwstr>
      </vt:variant>
      <vt:variant>
        <vt:lpwstr/>
      </vt:variant>
      <vt:variant>
        <vt:i4>4784161</vt:i4>
      </vt:variant>
      <vt:variant>
        <vt:i4>60</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7995427</vt:i4>
      </vt:variant>
      <vt:variant>
        <vt:i4>57</vt:i4>
      </vt:variant>
      <vt:variant>
        <vt:i4>0</vt:i4>
      </vt:variant>
      <vt:variant>
        <vt:i4>5</vt:i4>
      </vt:variant>
      <vt:variant>
        <vt:lpwstr>https://eur-lex.europa.eu/legal-content/EN/TXT/?uri=CELEX%3A52025DC0148</vt:lpwstr>
      </vt:variant>
      <vt:variant>
        <vt:lpwstr/>
      </vt:variant>
      <vt:variant>
        <vt:i4>851984</vt:i4>
      </vt:variant>
      <vt:variant>
        <vt:i4>54</vt:i4>
      </vt:variant>
      <vt:variant>
        <vt:i4>0</vt:i4>
      </vt:variant>
      <vt:variant>
        <vt:i4>5</vt:i4>
      </vt:variant>
      <vt:variant>
        <vt:lpwstr>https://eur-lex.europa.eu/legal-content/EN/TXT/?uri=celex:52025JC0130</vt:lpwstr>
      </vt:variant>
      <vt:variant>
        <vt:lpwstr/>
      </vt:variant>
      <vt:variant>
        <vt:i4>7143470</vt:i4>
      </vt:variant>
      <vt:variant>
        <vt:i4>51</vt:i4>
      </vt:variant>
      <vt:variant>
        <vt:i4>0</vt:i4>
      </vt:variant>
      <vt:variant>
        <vt:i4>5</vt:i4>
      </vt:variant>
      <vt:variant>
        <vt:lpwstr>https://eur-lex.europa.eu/legal-content/EN/TXT/?uri=COM%3A2025%3A1027%3AFIN</vt:lpwstr>
      </vt:variant>
      <vt:variant>
        <vt:lpwstr/>
      </vt:variant>
      <vt:variant>
        <vt:i4>1376346</vt:i4>
      </vt:variant>
      <vt:variant>
        <vt:i4>48</vt:i4>
      </vt:variant>
      <vt:variant>
        <vt:i4>0</vt:i4>
      </vt:variant>
      <vt:variant>
        <vt:i4>5</vt:i4>
      </vt:variant>
      <vt:variant>
        <vt:lpwstr>https://eur-lex.europa.eu/legal-content/EN/TXT/PDF/?uri=CELEX:52025DC1026</vt:lpwstr>
      </vt:variant>
      <vt:variant>
        <vt:lpwstr/>
      </vt:variant>
      <vt:variant>
        <vt:i4>6357061</vt:i4>
      </vt:variant>
      <vt:variant>
        <vt:i4>45</vt:i4>
      </vt:variant>
      <vt:variant>
        <vt:i4>0</vt:i4>
      </vt:variant>
      <vt:variant>
        <vt:i4>5</vt:i4>
      </vt:variant>
      <vt:variant>
        <vt:lpwstr>https://new-european-bauhaus.europa.eu/index_en</vt:lpwstr>
      </vt:variant>
      <vt:variant>
        <vt:lpwstr/>
      </vt:variant>
      <vt:variant>
        <vt:i4>2</vt:i4>
      </vt:variant>
      <vt:variant>
        <vt:i4>42</vt:i4>
      </vt:variant>
      <vt:variant>
        <vt:i4>0</vt:i4>
      </vt:variant>
      <vt:variant>
        <vt:i4>5</vt:i4>
      </vt:variant>
      <vt:variant>
        <vt:lpwstr>https://eur-lex.europa.eu/legal-content/EN/TXT/?uri=CELEX%3A52025DC0525&amp;qid=1762330863739</vt:lpwstr>
      </vt:variant>
      <vt:variant>
        <vt:lpwstr/>
      </vt:variant>
      <vt:variant>
        <vt:i4>6881314</vt:i4>
      </vt:variant>
      <vt:variant>
        <vt:i4>39</vt:i4>
      </vt:variant>
      <vt:variant>
        <vt:i4>0</vt:i4>
      </vt:variant>
      <vt:variant>
        <vt:i4>5</vt:i4>
      </vt:variant>
      <vt:variant>
        <vt:lpwstr>https://eur-lex.europa.eu/legal-content/EN/TXT/?uri=CELEX%3A52025PC1022</vt:lpwstr>
      </vt:variant>
      <vt:variant>
        <vt:lpwstr/>
      </vt:variant>
      <vt:variant>
        <vt:i4>6291457</vt:i4>
      </vt:variant>
      <vt:variant>
        <vt:i4>36</vt:i4>
      </vt:variant>
      <vt:variant>
        <vt:i4>0</vt:i4>
      </vt:variant>
      <vt:variant>
        <vt:i4>5</vt:i4>
      </vt:variant>
      <vt:variant>
        <vt:lpwstr>https://environment.ec.europa.eu/strategy/bioeconomy-strategy_en</vt:lpwstr>
      </vt:variant>
      <vt:variant>
        <vt:lpwstr/>
      </vt:variant>
      <vt:variant>
        <vt:i4>196628</vt:i4>
      </vt:variant>
      <vt:variant>
        <vt:i4>33</vt:i4>
      </vt:variant>
      <vt:variant>
        <vt:i4>0</vt:i4>
      </vt:variant>
      <vt:variant>
        <vt:i4>5</vt:i4>
      </vt:variant>
      <vt:variant>
        <vt:lpwstr>https://eur-lex.europa.eu/legal-content/EN/TXT/?uri=celex:52025DC0530</vt:lpwstr>
      </vt:variant>
      <vt:variant>
        <vt:lpwstr/>
      </vt:variant>
      <vt:variant>
        <vt:i4>1114202</vt:i4>
      </vt:variant>
      <vt:variant>
        <vt:i4>27</vt:i4>
      </vt:variant>
      <vt:variant>
        <vt:i4>0</vt:i4>
      </vt:variant>
      <vt:variant>
        <vt:i4>5</vt:i4>
      </vt:variant>
      <vt:variant>
        <vt:lpwstr>https://eur-lex.europa.eu/legal-content/EN/TXT/PDF/?uri=CELEX:52025DC0075</vt:lpwstr>
      </vt:variant>
      <vt:variant>
        <vt:lpwstr/>
      </vt:variant>
      <vt:variant>
        <vt:i4>589841</vt:i4>
      </vt:variant>
      <vt:variant>
        <vt:i4>24</vt:i4>
      </vt:variant>
      <vt:variant>
        <vt:i4>0</vt:i4>
      </vt:variant>
      <vt:variant>
        <vt:i4>5</vt:i4>
      </vt:variant>
      <vt:variant>
        <vt:lpwstr>https://eur-lex.europa.eu/legal-content/EN/TXT/?uri=celex:52025DC0095</vt:lpwstr>
      </vt:variant>
      <vt:variant>
        <vt:lpwstr/>
      </vt:variant>
      <vt:variant>
        <vt:i4>6619212</vt:i4>
      </vt:variant>
      <vt:variant>
        <vt:i4>21</vt:i4>
      </vt:variant>
      <vt:variant>
        <vt:i4>0</vt:i4>
      </vt:variant>
      <vt:variant>
        <vt:i4>5</vt:i4>
      </vt:variant>
      <vt:variant>
        <vt:lpwstr>https://commission.europa.eu/business-economy-euro/european-semester_en</vt:lpwstr>
      </vt:variant>
      <vt:variant>
        <vt:lpwstr/>
      </vt:variant>
      <vt:variant>
        <vt:i4>5439593</vt:i4>
      </vt:variant>
      <vt:variant>
        <vt:i4>18</vt:i4>
      </vt:variant>
      <vt:variant>
        <vt:i4>0</vt:i4>
      </vt:variant>
      <vt:variant>
        <vt:i4>5</vt:i4>
      </vt:variant>
      <vt:variant>
        <vt:lpwstr>https://research-and-innovation.ec.europa.eu/strategy/strategy-research-and-innovation/our-digital-future/european-strategy-research-and-technology-infrastructures_en</vt:lpwstr>
      </vt:variant>
      <vt:variant>
        <vt:lpwstr/>
      </vt:variant>
      <vt:variant>
        <vt:i4>4194359</vt:i4>
      </vt:variant>
      <vt:variant>
        <vt:i4>15</vt:i4>
      </vt:variant>
      <vt:variant>
        <vt:i4>0</vt:i4>
      </vt:variant>
      <vt:variant>
        <vt:i4>5</vt:i4>
      </vt:variant>
      <vt:variant>
        <vt:lpwstr>https://research-and-innovation.ec.europa.eu/strategy/strategy-research-and-innovation/jobs-and-economy/eu-startup-and-scaleup-strategy_en</vt:lpwstr>
      </vt:variant>
      <vt:variant>
        <vt:lpwstr/>
      </vt:variant>
      <vt:variant>
        <vt:i4>8192019</vt:i4>
      </vt:variant>
      <vt:variant>
        <vt:i4>12</vt:i4>
      </vt:variant>
      <vt:variant>
        <vt:i4>0</vt:i4>
      </vt:variant>
      <vt:variant>
        <vt:i4>5</vt:i4>
      </vt:variant>
      <vt:variant>
        <vt:lpwstr>https://commission.europa.eu/topics/research-and-innovation/choose-europe_en</vt:lpwstr>
      </vt:variant>
      <vt:variant>
        <vt:lpwstr/>
      </vt:variant>
      <vt:variant>
        <vt:i4>5636176</vt:i4>
      </vt:variant>
      <vt:variant>
        <vt:i4>9</vt:i4>
      </vt:variant>
      <vt:variant>
        <vt:i4>0</vt:i4>
      </vt:variant>
      <vt:variant>
        <vt:i4>5</vt:i4>
      </vt:variant>
      <vt:variant>
        <vt:lpwstr>https://eur-lex.europa.eu/eli/reg/2021/765/oj</vt:lpwstr>
      </vt:variant>
      <vt:variant>
        <vt:lpwstr/>
      </vt:variant>
      <vt:variant>
        <vt:i4>1572957</vt:i4>
      </vt:variant>
      <vt:variant>
        <vt:i4>6</vt:i4>
      </vt:variant>
      <vt:variant>
        <vt:i4>0</vt:i4>
      </vt:variant>
      <vt:variant>
        <vt:i4>5</vt:i4>
      </vt:variant>
      <vt:variant>
        <vt:lpwstr>https://eur-lex.europa.eu/legal-content/EN/ALL/?uri=CELEX:32021R0695</vt:lpwstr>
      </vt:variant>
      <vt:variant>
        <vt:lpwstr/>
      </vt:variant>
      <vt:variant>
        <vt:i4>5374064</vt:i4>
      </vt:variant>
      <vt:variant>
        <vt:i4>3</vt:i4>
      </vt:variant>
      <vt:variant>
        <vt:i4>0</vt:i4>
      </vt:variant>
      <vt:variant>
        <vt:i4>5</vt:i4>
      </vt:variant>
      <vt:variant>
        <vt:lpwstr>https://eur-lex.europa.eu/eli/treaty/euratom_2012/oj</vt:lpwstr>
      </vt:variant>
      <vt:variant>
        <vt:lpwstr/>
      </vt:variant>
      <vt:variant>
        <vt:i4>5177429</vt:i4>
      </vt:variant>
      <vt:variant>
        <vt:i4>0</vt:i4>
      </vt:variant>
      <vt:variant>
        <vt:i4>0</vt:i4>
      </vt:variant>
      <vt:variant>
        <vt:i4>5</vt:i4>
      </vt:variant>
      <vt:variant>
        <vt:lpwstr>https://eur-lex.europa.eu/legal-content/EN/TXT/?uri=celex%3A12016ME%2FTXT</vt:lpwstr>
      </vt:variant>
      <vt:variant>
        <vt:lpwstr/>
      </vt:variant>
      <vt:variant>
        <vt:i4>6160433</vt:i4>
      </vt:variant>
      <vt:variant>
        <vt:i4>0</vt:i4>
      </vt:variant>
      <vt:variant>
        <vt:i4>0</vt:i4>
      </vt:variant>
      <vt:variant>
        <vt:i4>5</vt:i4>
      </vt:variant>
      <vt:variant>
        <vt:lpwstr>https://eic.ec.europa.eu/document/download/7b947b36-66cb-4471-a2d0-158d5ae6770f_en?filename=EIC-Impact-Report-2025.pdf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2026-04-21T10:14:00Z</dcterms:created>
  <dcterms:modified xsi:type="dcterms:W3CDTF">2026-05-28T08:00:00Z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2026-04-21T10:14:21Z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e69d4d1d-b6d1-4f93-b67c-2384300c4cd9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0x0101008CF1E423E1053143A72AC4DF303AC6F5</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