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F5" w:rsidRPr="00A76C07" w:rsidRDefault="00746C9A" w:rsidP="00746C9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A082155-8FF8-477C-9825-B57698F1E15E" style="width:455.25pt;height:355.5pt">
            <v:imagedata r:id="rId8" o:title=""/>
          </v:shape>
        </w:pict>
      </w:r>
    </w:p>
    <w:p w:rsidR="002F79F5" w:rsidRPr="00A76C07" w:rsidRDefault="002F79F5" w:rsidP="002F79F5">
      <w:pPr>
        <w:rPr>
          <w:noProof/>
        </w:rPr>
        <w:sectPr w:rsidR="002F79F5" w:rsidRPr="00A76C07" w:rsidSect="00746C9A">
          <w:footerReference w:type="even" r:id="rId9"/>
          <w:footerReference w:type="default" r:id="rId10"/>
          <w:pgSz w:w="11907" w:h="16839"/>
          <w:pgMar w:top="1134" w:right="1417" w:bottom="1134" w:left="1417" w:header="709" w:footer="709" w:gutter="0"/>
          <w:pgNumType w:start="0"/>
          <w:cols w:space="720"/>
          <w:docGrid w:linePitch="360"/>
        </w:sectPr>
      </w:pPr>
    </w:p>
    <w:p w:rsidR="002F79F5" w:rsidRPr="00A76C07" w:rsidRDefault="004C4125" w:rsidP="00E662C9">
      <w:pPr>
        <w:pStyle w:val="Exposdesmotifstitre"/>
        <w:rPr>
          <w:noProof/>
        </w:rPr>
      </w:pPr>
      <w:bookmarkStart w:id="0" w:name="_TocE2F093D86587432F9F1A5B24E7F119B9"/>
      <w:bookmarkStart w:id="1" w:name="_GoBack"/>
      <w:bookmarkEnd w:id="1"/>
      <w:r>
        <w:rPr>
          <w:noProof/>
        </w:rPr>
        <w:lastRenderedPageBreak/>
        <w:t>O</w:t>
      </w:r>
      <w:r w:rsidR="002F79F5" w:rsidRPr="00A76C07">
        <w:rPr>
          <w:noProof/>
        </w:rPr>
        <w:t>BRAZLOŽITVENI MEMORANDUM</w:t>
      </w:r>
      <w:bookmarkEnd w:id="0"/>
    </w:p>
    <w:p w:rsidR="002F79F5" w:rsidRPr="00A76C07" w:rsidRDefault="002F79F5" w:rsidP="00E662C9">
      <w:pPr>
        <w:pStyle w:val="ManualHeading1"/>
        <w:rPr>
          <w:noProof/>
        </w:rPr>
      </w:pPr>
      <w:bookmarkStart w:id="2" w:name="_Toc194499853"/>
      <w:bookmarkStart w:id="3" w:name="_Toc194927657"/>
      <w:bookmarkStart w:id="4" w:name="_Toc195284750"/>
      <w:bookmarkStart w:id="5" w:name="_Toc195285009"/>
      <w:bookmarkStart w:id="6" w:name="_Toc199239233"/>
      <w:r w:rsidRPr="00A76C07">
        <w:rPr>
          <w:noProof/>
        </w:rPr>
        <w:t>1.</w:t>
      </w:r>
      <w:r w:rsidRPr="00A76C07">
        <w:rPr>
          <w:noProof/>
        </w:rPr>
        <w:tab/>
        <w:t>OZADJE PREDLOGA</w:t>
      </w:r>
      <w:bookmarkEnd w:id="2"/>
      <w:bookmarkEnd w:id="3"/>
      <w:bookmarkEnd w:id="4"/>
      <w:bookmarkEnd w:id="5"/>
      <w:bookmarkEnd w:id="6"/>
    </w:p>
    <w:p w:rsidR="002F79F5" w:rsidRPr="00A76C07" w:rsidRDefault="002F79F5" w:rsidP="00E662C9">
      <w:pPr>
        <w:pStyle w:val="ManualHeading2"/>
        <w:rPr>
          <w:rFonts w:eastAsia="Arial Unicode MS"/>
          <w:noProof/>
        </w:rPr>
      </w:pPr>
      <w:bookmarkStart w:id="7" w:name="_Toc194499854"/>
      <w:bookmarkStart w:id="8" w:name="_Toc194927658"/>
      <w:bookmarkStart w:id="9" w:name="_Toc195284751"/>
      <w:bookmarkStart w:id="10" w:name="_Toc195285010"/>
      <w:bookmarkStart w:id="11" w:name="_Toc199239234"/>
      <w:r w:rsidRPr="00A76C07">
        <w:rPr>
          <w:noProof/>
          <w:u w:color="000000"/>
          <w:bdr w:val="nil"/>
        </w:rPr>
        <w:t>•</w:t>
      </w:r>
      <w:r w:rsidRPr="00A76C07">
        <w:rPr>
          <w:noProof/>
        </w:rPr>
        <w:tab/>
        <w:t>Razlogi za predlog in njegovi cilji</w:t>
      </w:r>
      <w:bookmarkEnd w:id="7"/>
      <w:bookmarkEnd w:id="8"/>
      <w:bookmarkEnd w:id="9"/>
      <w:bookmarkEnd w:id="10"/>
      <w:bookmarkEnd w:id="11"/>
    </w:p>
    <w:p w:rsidR="00086444" w:rsidRPr="00A76C07" w:rsidRDefault="00DF7C9D" w:rsidP="6E0028DC">
      <w:pPr>
        <w:pBdr>
          <w:top w:val="nil"/>
          <w:left w:val="nil"/>
          <w:bottom w:val="nil"/>
          <w:right w:val="nil"/>
          <w:between w:val="nil"/>
          <w:bar w:val="nil"/>
        </w:pBdr>
        <w:spacing w:before="0" w:after="240"/>
        <w:rPr>
          <w:noProof/>
        </w:rPr>
      </w:pPr>
      <w:r w:rsidRPr="00A76C07">
        <w:rPr>
          <w:noProof/>
        </w:rPr>
        <w:t xml:space="preserve">Boj proti izgubi biotske raznovrstnosti in degradaciji morskih ekosistemov je bil mednarodno priznan kot glavna prednostna naloga. Ohranjanje in trajnostna raba morske biotske raznovrstnosti na območjih zunaj nacionalne jurisdikcije je tudi ključna prednostna naloga Evropske unije (EU). EU je v skladu s cilji evropskega zelenega dogovora in skupnim sporočilom o agendi EU za mednarodno upravljanje oceanov dejavno sodelovala pri pogajanjih o Sporazumu na podlagi Konvencije Združenih narodov o pomorskem mednarodnem pravu glede ohranjanja in trajnostne rabe morske biotske raznovrstnosti na območjih zunaj nacionalne jurisdikcije (v nadaljnjem besedilu: Sporazum o BBJN ali Sporazum). Pogajanja so se zaključila junija 2023. </w:t>
      </w:r>
    </w:p>
    <w:p w:rsidR="008D782F" w:rsidRPr="00A76C07" w:rsidRDefault="005F7878" w:rsidP="6E0028DC">
      <w:pPr>
        <w:pBdr>
          <w:top w:val="nil"/>
          <w:left w:val="nil"/>
          <w:bottom w:val="nil"/>
          <w:right w:val="nil"/>
          <w:between w:val="nil"/>
          <w:bar w:val="nil"/>
        </w:pBdr>
        <w:spacing w:before="0" w:after="240"/>
        <w:rPr>
          <w:noProof/>
        </w:rPr>
      </w:pPr>
      <w:r w:rsidRPr="00A76C07">
        <w:rPr>
          <w:noProof/>
        </w:rPr>
        <w:t>Sporazum o BBNJ je državam in organizacijam za regionalno gospodarsko povezovanje na voljo za podpis od 20. septembra 2023 do 20. septembra 2025. EU in vse njene države članice so ga podpisale. EU je junija 2024 sprejela Sklep Sveta (EU) 2024/1830 o sklenitvi Sporazuma</w:t>
      </w:r>
      <w:r w:rsidRPr="00A76C07">
        <w:rPr>
          <w:rStyle w:val="FootnoteReference"/>
          <w:rFonts w:eastAsia="Arial Unicode MS"/>
          <w:noProof/>
        </w:rPr>
        <w:footnoteReference w:id="2"/>
      </w:r>
      <w:r w:rsidRPr="00A76C07">
        <w:rPr>
          <w:noProof/>
        </w:rPr>
        <w:t xml:space="preserve">, vendar EU ob sprejetju tega predloga še ni deponirala svoje listine o odobritvi. V skladu s členom 68(1) Sporazuma bo ta začel veljati 120 dni po datumu deponiranja šestdesete listine o ratifikaciji, odobritvi, sprejetju ali pristopu. S tem predlogom direktive Evropskega parlamenta in Sveta bo izpolnjena pravna obveznost EU glede učinkovitega izvajanja Sporazuma o BBNJ. </w:t>
      </w:r>
    </w:p>
    <w:p w:rsidR="00DF7C9D" w:rsidRPr="00A76C07" w:rsidRDefault="00DF7C9D" w:rsidP="6E0028DC">
      <w:pPr>
        <w:pBdr>
          <w:top w:val="nil"/>
          <w:left w:val="nil"/>
          <w:bottom w:val="nil"/>
          <w:right w:val="nil"/>
          <w:between w:val="nil"/>
          <w:bar w:val="nil"/>
        </w:pBdr>
        <w:spacing w:before="0" w:after="240"/>
        <w:rPr>
          <w:noProof/>
        </w:rPr>
      </w:pPr>
      <w:r w:rsidRPr="00A76C07">
        <w:rPr>
          <w:noProof/>
        </w:rPr>
        <w:t>Sporazum o BBNJ je izvedbeni sporazum h Konvenciji Združenih narodov o pomorskem mednarodnem pravu</w:t>
      </w:r>
      <w:r w:rsidRPr="00A76C07">
        <w:rPr>
          <w:rStyle w:val="FootnoteReference"/>
          <w:rFonts w:eastAsia="Arial Unicode MS"/>
          <w:noProof/>
        </w:rPr>
        <w:footnoteReference w:id="3"/>
      </w:r>
      <w:r w:rsidRPr="00A76C07">
        <w:rPr>
          <w:noProof/>
        </w:rPr>
        <w:t xml:space="preserve"> (v nadaljnjem besedilu: konvencija UNCLOS), ki je pravni okvir, ki ureja vse dejavnosti v oceanih in morjih ter pogodbenice katerega so EU in vse njene države članice. Sporazum o BBNJ bo konvencijo UNCLOS približal razvoju in izzivom, povezanim z morsko biotsko raznovrstnostjo od sprejetja Konvencije leta 1982. Podpiral bo tudi prizadevanja za doseganje ciljev agende ZN za trajnostni razvoj do leta 2030, zlasti cilja 14 (življenje v vodi). </w:t>
      </w:r>
    </w:p>
    <w:p w:rsidR="00DF7C9D" w:rsidRPr="00A76C07" w:rsidRDefault="0010026E" w:rsidP="6E0028DC">
      <w:pPr>
        <w:pBdr>
          <w:top w:val="nil"/>
          <w:left w:val="nil"/>
          <w:bottom w:val="nil"/>
          <w:right w:val="nil"/>
          <w:between w:val="nil"/>
          <w:bar w:val="nil"/>
        </w:pBdr>
        <w:spacing w:before="0" w:after="240"/>
        <w:rPr>
          <w:noProof/>
        </w:rPr>
      </w:pPr>
      <w:r w:rsidRPr="00A76C07">
        <w:rPr>
          <w:noProof/>
        </w:rPr>
        <w:t>Unija in države članice so pogodbenice Konvencije o biološki raznovrstnosti</w:t>
      </w:r>
      <w:r w:rsidRPr="00A76C07">
        <w:rPr>
          <w:rStyle w:val="FootnoteReference"/>
          <w:noProof/>
        </w:rPr>
        <w:footnoteReference w:id="4"/>
      </w:r>
      <w:r w:rsidRPr="00A76C07">
        <w:rPr>
          <w:noProof/>
        </w:rPr>
        <w:t>. Ta določa, da je treba biotsko raznovrstnost ceniti, ohranjati, obnavljati in smotrno uporabljati, hkrati pa ohranjati tudi ekosistemske storitve, zdrav planet ter zagotavljati koristi, ki so bistvenega pomena za vse ljudi. Sporazum o BBNJ bo pomagal doseči splošne in posamične cilje, določene v Kunminško-montrealskem svetovnem okviru za biotsko raznovrstnost, sprejetem na petnajstem zasedanju Konference pogodbenic Konvencije o biološki raznovrstnosti od 7. do 19. decembra 2022. Zlasti bo podpiral ukrepe za doseganje cilja učinkovitega ohranjanja in upravljanja vsaj 30 % svetovnih zemljišč, celinskih voda, obalnih območij in oceanov do leta 2030 ter cilja povečanja delitve koristi genskih virov in digitalnih sekvenčnih zapisov. EU je sprejela lastno strategijo za biotsko raznovrstnost do leta 2030, ki ima več ciljev, vključno s ciljem obnove dobrega okoljskega stanja morskih ekosistemov.</w:t>
      </w:r>
    </w:p>
    <w:p w:rsidR="00DF7C9D" w:rsidRPr="00A76C07" w:rsidRDefault="00DF7C9D" w:rsidP="6E0028DC">
      <w:pPr>
        <w:pBdr>
          <w:top w:val="nil"/>
          <w:left w:val="nil"/>
          <w:bottom w:val="nil"/>
          <w:right w:val="nil"/>
          <w:between w:val="nil"/>
          <w:bar w:val="nil"/>
        </w:pBdr>
        <w:spacing w:before="0" w:after="240"/>
        <w:rPr>
          <w:noProof/>
        </w:rPr>
      </w:pPr>
      <w:r w:rsidRPr="00A76C07">
        <w:rPr>
          <w:noProof/>
        </w:rPr>
        <w:t>Poleg tega bo Sporazum o BBNJ podpiral izvajanje Okvirne konvencije Združenih narodov o spremembi podnebja (UNFCCC)</w:t>
      </w:r>
      <w:r w:rsidRPr="00A76C07">
        <w:rPr>
          <w:rStyle w:val="FootnoteReference"/>
          <w:rFonts w:eastAsia="Arial Unicode MS"/>
          <w:noProof/>
        </w:rPr>
        <w:footnoteReference w:id="5"/>
      </w:r>
      <w:r w:rsidRPr="00A76C07">
        <w:rPr>
          <w:noProof/>
        </w:rPr>
        <w:t xml:space="preserve"> in Pariškega sporazuma</w:t>
      </w:r>
      <w:r w:rsidRPr="00A76C07">
        <w:rPr>
          <w:rStyle w:val="FootnoteReference"/>
          <w:rFonts w:eastAsia="Arial Unicode MS"/>
          <w:noProof/>
        </w:rPr>
        <w:footnoteReference w:id="6"/>
      </w:r>
      <w:r w:rsidRPr="00A76C07">
        <w:rPr>
          <w:noProof/>
        </w:rPr>
        <w:t>.</w:t>
      </w:r>
    </w:p>
    <w:p w:rsidR="00DF7C9D" w:rsidRPr="00A76C07" w:rsidRDefault="00DF7C9D" w:rsidP="135D2302">
      <w:pPr>
        <w:pBdr>
          <w:top w:val="nil"/>
          <w:left w:val="nil"/>
          <w:bottom w:val="nil"/>
          <w:right w:val="nil"/>
          <w:between w:val="nil"/>
          <w:bar w:val="nil"/>
        </w:pBdr>
        <w:spacing w:before="0" w:after="240"/>
        <w:rPr>
          <w:noProof/>
        </w:rPr>
      </w:pPr>
      <w:r w:rsidRPr="00A76C07">
        <w:rPr>
          <w:noProof/>
        </w:rPr>
        <w:t>Sporazum o BBNJ se uporablja za območja zunaj nacionalne jurisdikcije, kot so opredeljena v členu 1(1) navedenega sporazuma. Splošni cilj je zagotoviti ohranjanje in trajnostno rabo morske biotske raznovrstnosti na območjih zunaj nacionalne jurisdikcije za sedanjost in tudi dolgoročno z učinkovitim izvajanjem ustreznih določb konvencije UNCLOS ter vključevanjem v mednarodno sodelovanje in usklajevanje.</w:t>
      </w:r>
    </w:p>
    <w:p w:rsidR="00351C4E" w:rsidRPr="00A76C07" w:rsidRDefault="00DF7C9D" w:rsidP="00DF7C9D">
      <w:pPr>
        <w:pBdr>
          <w:top w:val="nil"/>
          <w:left w:val="nil"/>
          <w:bottom w:val="nil"/>
          <w:right w:val="nil"/>
          <w:between w:val="nil"/>
          <w:bar w:val="nil"/>
        </w:pBdr>
        <w:spacing w:before="0" w:after="240"/>
        <w:rPr>
          <w:noProof/>
        </w:rPr>
      </w:pPr>
      <w:r w:rsidRPr="00A76C07">
        <w:rPr>
          <w:noProof/>
        </w:rPr>
        <w:t xml:space="preserve">V ta namen Sporazum o BBNJ: </w:t>
      </w:r>
    </w:p>
    <w:p w:rsidR="00351C4E" w:rsidRPr="00A76C07" w:rsidRDefault="00DF7C9D" w:rsidP="00DF7C9D">
      <w:pPr>
        <w:pBdr>
          <w:top w:val="nil"/>
          <w:left w:val="nil"/>
          <w:bottom w:val="nil"/>
          <w:right w:val="nil"/>
          <w:between w:val="nil"/>
          <w:bar w:val="nil"/>
        </w:pBdr>
        <w:spacing w:before="0" w:after="240"/>
        <w:rPr>
          <w:noProof/>
        </w:rPr>
      </w:pPr>
      <w:r w:rsidRPr="00A76C07">
        <w:rPr>
          <w:noProof/>
        </w:rPr>
        <w:t xml:space="preserve">(1) pogodbenicam omogoča, da se dogovorijo o orodjih za upravljanje na posameznih območjih, vključno z morskimi zavarovanimi območji, na območjih zunaj nacionalne jurisdikcije; </w:t>
      </w:r>
    </w:p>
    <w:p w:rsidR="00351C4E" w:rsidRPr="00A76C07" w:rsidRDefault="00DF7C9D" w:rsidP="00DF7C9D">
      <w:pPr>
        <w:pBdr>
          <w:top w:val="nil"/>
          <w:left w:val="nil"/>
          <w:bottom w:val="nil"/>
          <w:right w:val="nil"/>
          <w:between w:val="nil"/>
          <w:bar w:val="nil"/>
        </w:pBdr>
        <w:spacing w:before="0" w:after="240"/>
        <w:rPr>
          <w:noProof/>
        </w:rPr>
      </w:pPr>
      <w:r w:rsidRPr="00A76C07">
        <w:rPr>
          <w:noProof/>
        </w:rPr>
        <w:t xml:space="preserve">(2) prvič določa postopek celovite presoje vplivov na okolje za nove in neregulirane dejavnosti na odprtem morju, ki jih izvajajo vsi subjekti, da se zagotovijo preglednost, odgovornost in široka udeležba javnosti; </w:t>
      </w:r>
    </w:p>
    <w:p w:rsidR="00351C4E" w:rsidRPr="00A76C07" w:rsidRDefault="00DF7C9D" w:rsidP="00DF7C9D">
      <w:pPr>
        <w:pBdr>
          <w:top w:val="nil"/>
          <w:left w:val="nil"/>
          <w:bottom w:val="nil"/>
          <w:right w:val="nil"/>
          <w:between w:val="nil"/>
          <w:bar w:val="nil"/>
        </w:pBdr>
        <w:spacing w:before="0" w:after="240"/>
        <w:rPr>
          <w:noProof/>
        </w:rPr>
      </w:pPr>
      <w:r w:rsidRPr="00A76C07">
        <w:rPr>
          <w:noProof/>
        </w:rPr>
        <w:t xml:space="preserve">(3) vsebuje določbe za pošteno in pravično delitev koristi, ki izhajajo iz dejavnosti v zvezi z morskimi genskimi viri (in digitalnimi sekvenčnimi zapisi) na območjih zunaj nacionalne jurisdikcije, vključno z mehanizmom za delitev denarnih in nedenarnih koristi ter </w:t>
      </w:r>
    </w:p>
    <w:p w:rsidR="00351C4E" w:rsidRPr="00A76C07" w:rsidRDefault="00DF7C9D" w:rsidP="00DF7C9D">
      <w:pPr>
        <w:pBdr>
          <w:top w:val="nil"/>
          <w:left w:val="nil"/>
          <w:bottom w:val="nil"/>
          <w:right w:val="nil"/>
          <w:between w:val="nil"/>
          <w:bar w:val="nil"/>
        </w:pBdr>
        <w:spacing w:before="0" w:after="240"/>
        <w:rPr>
          <w:noProof/>
        </w:rPr>
      </w:pPr>
      <w:r w:rsidRPr="00A76C07">
        <w:rPr>
          <w:noProof/>
        </w:rPr>
        <w:t xml:space="preserve">(4) določa pogoje za podporo državam v razvoju pri njihovem sodelovanju in izvajanju Sporazuma z močnim elementom krepitve zmogljivosti in prenosa pomorske tehnologije, ki se financira iz različnih javnih in zasebnih virov, ter s pravičnim mehanizmom za delitev morebitnih koristi morskih genskih virov, zbranih na odprtem morju. </w:t>
      </w:r>
    </w:p>
    <w:p w:rsidR="00DF7C9D" w:rsidRPr="00A76C07" w:rsidRDefault="00DF7C9D" w:rsidP="00DF7C9D">
      <w:pPr>
        <w:pBdr>
          <w:top w:val="nil"/>
          <w:left w:val="nil"/>
          <w:bottom w:val="nil"/>
          <w:right w:val="nil"/>
          <w:between w:val="nil"/>
          <w:bar w:val="nil"/>
        </w:pBdr>
        <w:spacing w:before="0" w:after="240"/>
        <w:rPr>
          <w:noProof/>
        </w:rPr>
      </w:pPr>
      <w:r w:rsidRPr="00A76C07">
        <w:rPr>
          <w:noProof/>
        </w:rPr>
        <w:t xml:space="preserve">Cilj tega zakonodajnega predloga je izvajanje določb Sporazuma o BBNJ v zvezi z varstvom okolja in morskimi genskimi viri. </w:t>
      </w:r>
    </w:p>
    <w:p w:rsidR="00DF7C9D" w:rsidRPr="00A76C07" w:rsidRDefault="00287DEC" w:rsidP="135D2302">
      <w:pPr>
        <w:pBdr>
          <w:top w:val="nil"/>
          <w:left w:val="nil"/>
          <w:bottom w:val="nil"/>
          <w:right w:val="nil"/>
          <w:between w:val="nil"/>
          <w:bar w:val="nil"/>
        </w:pBdr>
        <w:spacing w:before="0" w:after="240"/>
        <w:rPr>
          <w:rFonts w:eastAsia="Arial Unicode MS"/>
          <w:noProof/>
        </w:rPr>
      </w:pPr>
      <w:r w:rsidRPr="00A76C07">
        <w:rPr>
          <w:noProof/>
        </w:rPr>
        <w:t>Svet je sprejel Sklep Sveta (EU) 2024/1830 o sklenitvi Sporazuma o BBNJ v imenu Unije, vendar Unija ob sprejetju tega predloga še ni deponirala svoje listine o odobritvi Sporazuma o BBNJ. V skladu s členom 68(1) bo Sporazum začel veljati 120 dni po datumu deponiranja šestdesete listine o ratifikaciji. Zato morajo določbe Sporazuma o BBNJ, ki jih je treba nadalje prenesti v zakonodajo Unije, veljati ob začetku veljavnosti Sporazuma. Cilj tega predloga je torej enotno izvajanje Sporazuma o BBNJ v EU za prenos obveznosti, ki izhajajo iz Sporazuma na področjih, povezanih z varstvom okolja in morskimi genskimi viri, v zakonodajo Unije.</w:t>
      </w:r>
    </w:p>
    <w:p w:rsidR="002F79F5" w:rsidRPr="00A76C07" w:rsidRDefault="002F79F5" w:rsidP="00E662C9">
      <w:pPr>
        <w:pStyle w:val="ManualHeading2"/>
        <w:rPr>
          <w:rFonts w:eastAsia="Arial Unicode MS"/>
          <w:noProof/>
          <w:u w:color="000000"/>
          <w:bdr w:val="nil"/>
        </w:rPr>
      </w:pPr>
      <w:bookmarkStart w:id="12" w:name="_Toc194499855"/>
      <w:bookmarkStart w:id="13" w:name="_Toc194927659"/>
      <w:bookmarkStart w:id="14" w:name="_Toc195284752"/>
      <w:bookmarkStart w:id="15" w:name="_Toc195285011"/>
      <w:bookmarkStart w:id="16" w:name="_Toc199239235"/>
      <w:r w:rsidRPr="00A76C07">
        <w:rPr>
          <w:noProof/>
          <w:u w:color="000000"/>
          <w:bdr w:val="nil"/>
        </w:rPr>
        <w:t>•</w:t>
      </w:r>
      <w:r w:rsidRPr="00A76C07">
        <w:rPr>
          <w:noProof/>
        </w:rPr>
        <w:tab/>
        <w:t>Skladnost z veljavnimi predpisi s področja zadevne politike</w:t>
      </w:r>
      <w:bookmarkEnd w:id="12"/>
      <w:bookmarkEnd w:id="13"/>
      <w:bookmarkEnd w:id="14"/>
      <w:bookmarkEnd w:id="15"/>
      <w:bookmarkEnd w:id="16"/>
    </w:p>
    <w:p w:rsidR="00DF7C9D" w:rsidRPr="00A76C07" w:rsidRDefault="00DF7C9D" w:rsidP="00DF7C9D">
      <w:pPr>
        <w:pBdr>
          <w:top w:val="nil"/>
          <w:left w:val="nil"/>
          <w:bottom w:val="nil"/>
          <w:right w:val="nil"/>
          <w:between w:val="nil"/>
          <w:bar w:val="nil"/>
        </w:pBdr>
        <w:spacing w:before="0" w:after="240"/>
        <w:rPr>
          <w:noProof/>
        </w:rPr>
      </w:pPr>
      <w:r w:rsidRPr="00A76C07">
        <w:rPr>
          <w:noProof/>
        </w:rPr>
        <w:t>Cilji tega predloga so skladni z naslednjo politiko in zakonodajnimi določbami:</w:t>
      </w:r>
    </w:p>
    <w:p w:rsidR="00DF7C9D" w:rsidRPr="00A76C07" w:rsidRDefault="00DF7C9D" w:rsidP="135D2302">
      <w:pPr>
        <w:pBdr>
          <w:top w:val="nil"/>
          <w:left w:val="nil"/>
          <w:bottom w:val="nil"/>
          <w:right w:val="nil"/>
          <w:between w:val="nil"/>
          <w:bar w:val="nil"/>
        </w:pBdr>
        <w:spacing w:before="0" w:after="240"/>
        <w:rPr>
          <w:noProof/>
        </w:rPr>
      </w:pPr>
      <w:r w:rsidRPr="00A76C07">
        <w:rPr>
          <w:noProof/>
        </w:rPr>
        <w:t>Komisija je zagotovila, da je izid pogajanj o besedilu Sporazuma o BBNJ v celoti skladen s pravili in politikami EU na področju okoljske politike EU. Zlasti zagotavlja, da Sporazum o BBNJ ne ogroža okvira za presoje vplivov na okolje na ravni EU in večstranskih okoljskih sporazumov, pogodbenice katerih so EU in njene države članice, ter da je skladen z njimi. Med njimi sta Konvencija o presoji čezmejnih vplivov na okolje (Konvencija iz Espooja)</w:t>
      </w:r>
      <w:r w:rsidRPr="00A76C07">
        <w:rPr>
          <w:rStyle w:val="FootnoteReference"/>
          <w:rFonts w:eastAsia="Arial Unicode MS"/>
          <w:noProof/>
        </w:rPr>
        <w:footnoteReference w:id="7"/>
      </w:r>
      <w:r w:rsidRPr="00A76C07">
        <w:rPr>
          <w:noProof/>
        </w:rPr>
        <w:t xml:space="preserve"> in Konvencija o dostopu do informacij, udeležbi javnosti pri odločanju in dostopu do pravnega varstva v okoljskih zadevah (Aarhuška konvencija)</w:t>
      </w:r>
      <w:r w:rsidRPr="00A76C07">
        <w:rPr>
          <w:rStyle w:val="FootnoteReference"/>
          <w:rFonts w:eastAsia="Arial Unicode MS"/>
          <w:noProof/>
        </w:rPr>
        <w:footnoteReference w:id="8"/>
      </w:r>
      <w:r w:rsidRPr="00A76C07">
        <w:rPr>
          <w:noProof/>
        </w:rPr>
        <w:t>. Namen določb o presoji vplivov na okolje v Sporazumu o BBNJ je doseči skladen okvir presoje vplivov na okolje za dejavnosti na območjih zunaj nacionalne jurisdikcije. Te določbe vzpostavljajo sistem globalnega sodelovanja pri presojah vplivov na okolje z ustreznimi pravnimi instrumenti, okviri in organi, njihov cilj pa je zagotoviti njihovo enakovrednost v skladu s členom 29(4) Sporazuma o BBNJ. Usklajene so z zakonodajo Unije na tem področju ter drugimi mednarodnimi zavezami, ki jih je sprejela EU, kot so zaveze v zvezi z okoljem, ribištvom in pomorskim prometom, ter jih dopolnjujejo. Zato predlagana direktiva o izvajanju Sporazuma o BBNJ v zakonodaji Unije ne bo pomenila dodatnega bremena.</w:t>
      </w:r>
    </w:p>
    <w:p w:rsidR="00AA7B8D" w:rsidRPr="00A76C07" w:rsidRDefault="00DF7C9D" w:rsidP="135D2302">
      <w:pPr>
        <w:pBdr>
          <w:top w:val="nil"/>
          <w:left w:val="nil"/>
          <w:bottom w:val="nil"/>
          <w:right w:val="nil"/>
          <w:between w:val="nil"/>
          <w:bar w:val="nil"/>
        </w:pBdr>
        <w:spacing w:before="0" w:after="240"/>
        <w:rPr>
          <w:noProof/>
        </w:rPr>
      </w:pPr>
      <w:r w:rsidRPr="00A76C07">
        <w:rPr>
          <w:noProof/>
        </w:rPr>
        <w:t xml:space="preserve">Pravila in obveznosti glede delitve koristi morskih genskih virov in digitalnih sekvenčnih zapisov, pridobljenih iz morskih genskih virov, ki jih določa Sporazum o BBNJ, se uporabljajo za genske vire, zbrane na območjih zunaj nacionalne jurisdikcije. Ne prekrivajo se z obveznostmi in pravili o delitvi koristi, ki izhajajo iz Nagojskega protokola o pošteni in pravični delitvi koristi, ki izhajajo iz uporabe genskih virov, in Konvencije o biološki raznovrstnosti, saj se ta dva instrumenta uporabljata za genske vire v nacionalni pristojnosti. To pomeni, da ne bo podvajanja obveznosti med ukrepi EU, potrebnimi za izvajanje določb o delitvi koristi iz Sporazuma o BBNJ, in Uredbo (EU) št. 511/2014 o ukrepih za izpolnjevanje obveznosti uporabnikov genskih virov v EU (s katero se izvaja Nagojski protokol). </w:t>
      </w:r>
    </w:p>
    <w:p w:rsidR="00DF7C9D" w:rsidRPr="00A76C07" w:rsidRDefault="00DF7C9D" w:rsidP="135D2302">
      <w:pPr>
        <w:pBdr>
          <w:top w:val="nil"/>
          <w:left w:val="nil"/>
          <w:bottom w:val="nil"/>
          <w:right w:val="nil"/>
          <w:between w:val="nil"/>
          <w:bar w:val="nil"/>
        </w:pBdr>
        <w:spacing w:before="0" w:after="240"/>
        <w:rPr>
          <w:noProof/>
        </w:rPr>
      </w:pPr>
      <w:r w:rsidRPr="00A76C07">
        <w:rPr>
          <w:noProof/>
        </w:rPr>
        <w:t>Določbe o delitvi koristi iz Sporazuma o BBNJ so skladne z zakonodajo Unije na tem področju. Usklajene so z drugimi mednarodnimi zavezami, ki jih je EU sprejela na tem področju (kot so zaveze iz Konvencije o biološki raznovrstnosti), in jih dopolnjujejo. Vendar Sporazum o BBNJ določa retroaktivno uporabo obveznosti delitve koristi. EU je vložila izjemo na podlagi člena 70 v povezavi s členom 10(1) Sporazuma na podlagi Konvencije Združenih narodov o pomorskem mednarodnem pravu glede ohranjanja in trajnostne rabe morske biotske raznovrstnosti na območjih zunaj nacionalne jurisdikcije [2024/1833]</w:t>
      </w:r>
      <w:r w:rsidRPr="00A76C07">
        <w:rPr>
          <w:rStyle w:val="FootnoteReference"/>
          <w:rFonts w:eastAsia="Arial Unicode MS"/>
          <w:noProof/>
        </w:rPr>
        <w:footnoteReference w:id="9"/>
      </w:r>
      <w:r w:rsidRPr="00A76C07">
        <w:rPr>
          <w:noProof/>
        </w:rPr>
        <w:t xml:space="preserve"> glede retroaktivnih učinkov, kot je določeno v drugem stavku člena 10(1). To pomeni, da se bodo določbe Sporazuma za EU uporabljale samo za dejavnosti v zvezi z morskimi genskimi viri in digitalnimi sekvenčnimi zapisi o morskih genskih virih na območjih zunaj nacionalne jurisdikcije, zbranimi in ustvarjenimi po začetku veljavnosti tega sporazuma v EU. To bo zagotovilo skladnost s pristopom iz Nagojskega protokola in uredbe EU o dostopu in delitvi koristi, ki se uporabljata, ko začneta veljati. </w:t>
      </w:r>
    </w:p>
    <w:p w:rsidR="00DF7C9D" w:rsidRPr="00A76C07" w:rsidRDefault="00FF09DB" w:rsidP="6E0028DC">
      <w:pPr>
        <w:pBdr>
          <w:top w:val="nil"/>
          <w:left w:val="nil"/>
          <w:bottom w:val="nil"/>
          <w:right w:val="nil"/>
          <w:between w:val="nil"/>
          <w:bar w:val="nil"/>
        </w:pBdr>
        <w:spacing w:before="0" w:after="240"/>
        <w:rPr>
          <w:noProof/>
        </w:rPr>
      </w:pPr>
      <w:r w:rsidRPr="00A76C07">
        <w:rPr>
          <w:noProof/>
        </w:rPr>
        <w:t xml:space="preserve">Sporazum o BBNJ je v skladu s pravili in politikami EU na področju skupne ribiške politike (SRP). Ne spodkopava dela, opravljenega v regionalnih organizacijah za upravljanje ribištva ter drugih ustreznih mednarodnih okvirih in organih. Prav tako je ta predlog skladen s SRP in zavezami EU v okviru regionalnih organizacij za upravljanje ribištva. </w:t>
      </w:r>
    </w:p>
    <w:p w:rsidR="002F79F5" w:rsidRPr="00A76C07" w:rsidRDefault="002F79F5" w:rsidP="00E662C9">
      <w:pPr>
        <w:pStyle w:val="ManualHeading2"/>
        <w:rPr>
          <w:rFonts w:eastAsia="Arial Unicode MS"/>
          <w:noProof/>
        </w:rPr>
      </w:pPr>
      <w:bookmarkStart w:id="17" w:name="_Toc194499856"/>
      <w:bookmarkStart w:id="18" w:name="_Toc194927660"/>
      <w:bookmarkStart w:id="19" w:name="_Toc195284753"/>
      <w:bookmarkStart w:id="20" w:name="_Toc195285012"/>
      <w:bookmarkStart w:id="21" w:name="_Toc199239236"/>
      <w:r w:rsidRPr="00A76C07">
        <w:rPr>
          <w:noProof/>
          <w:u w:color="000000"/>
          <w:bdr w:val="nil"/>
        </w:rPr>
        <w:t>•</w:t>
      </w:r>
      <w:r w:rsidRPr="00A76C07">
        <w:rPr>
          <w:noProof/>
        </w:rPr>
        <w:tab/>
        <w:t>Skladnost z drugimi politikami Unije</w:t>
      </w:r>
      <w:bookmarkEnd w:id="17"/>
      <w:bookmarkEnd w:id="18"/>
      <w:bookmarkEnd w:id="19"/>
      <w:bookmarkEnd w:id="20"/>
      <w:bookmarkEnd w:id="21"/>
    </w:p>
    <w:p w:rsidR="00DF7C9D" w:rsidRPr="00A76C07" w:rsidRDefault="00DF7C9D" w:rsidP="00DF7C9D">
      <w:pPr>
        <w:pBdr>
          <w:top w:val="nil"/>
          <w:left w:val="nil"/>
          <w:bottom w:val="nil"/>
          <w:right w:val="nil"/>
          <w:between w:val="nil"/>
          <w:bar w:val="nil"/>
        </w:pBdr>
        <w:spacing w:before="0" w:after="240"/>
        <w:rPr>
          <w:noProof/>
        </w:rPr>
      </w:pPr>
      <w:r w:rsidRPr="00A76C07">
        <w:rPr>
          <w:noProof/>
        </w:rPr>
        <w:t xml:space="preserve">Komisija je zagotovila, da je izid pogajanj o besedilu Sporazuma o BBNJ v celoti skladen s pravili in politikami EU na povezanih področjih, kot so pomorska prometna politika, pomorska varnost, energetska politika, politika notranjega trga, skupna trgovinska politika, politika raziskav in tehnološkega razvoja, podnebna politika in druga. Poleg tega so določbe Sporazuma o BBNJ skladne s povezanimi dvostranskimi in večstranskimi sporazumi, pogodbenica katerih je EU. </w:t>
      </w:r>
    </w:p>
    <w:p w:rsidR="00DF7C9D" w:rsidRPr="00A76C07" w:rsidRDefault="00DF7C9D" w:rsidP="00DF7C9D">
      <w:pPr>
        <w:pBdr>
          <w:top w:val="nil"/>
          <w:left w:val="nil"/>
          <w:bottom w:val="nil"/>
          <w:right w:val="nil"/>
          <w:between w:val="nil"/>
          <w:bar w:val="nil"/>
        </w:pBdr>
        <w:spacing w:before="0" w:after="240"/>
        <w:rPr>
          <w:rFonts w:eastAsia="Arial Unicode MS"/>
          <w:noProof/>
        </w:rPr>
      </w:pPr>
      <w:r w:rsidRPr="00A76C07">
        <w:rPr>
          <w:noProof/>
        </w:rPr>
        <w:t xml:space="preserve">Ker je Sporazum o BBNJ izvedbeni sporazum na podlagi konvencije UNCLOS in ker je ta konvencija že del zakonodaje Unije, je Sporazum o BBNJ skladen tudi s pravicami in obveznostmi iz konvencije UNCLOS, ki jih odraža zakonodaja Unije. Ta predlog je zato skladen tudi s konvencijo UNCLOS. </w:t>
      </w:r>
    </w:p>
    <w:p w:rsidR="002F79F5" w:rsidRPr="00A76C07" w:rsidRDefault="002F79F5" w:rsidP="00E662C9">
      <w:pPr>
        <w:pStyle w:val="ManualHeading1"/>
        <w:rPr>
          <w:noProof/>
        </w:rPr>
      </w:pPr>
      <w:bookmarkStart w:id="22" w:name="_Toc194499857"/>
      <w:bookmarkStart w:id="23" w:name="_Toc194927661"/>
      <w:bookmarkStart w:id="24" w:name="_Toc195284754"/>
      <w:bookmarkStart w:id="25" w:name="_Toc195285013"/>
      <w:bookmarkStart w:id="26" w:name="_Toc199239237"/>
      <w:r w:rsidRPr="00A76C07">
        <w:rPr>
          <w:noProof/>
        </w:rPr>
        <w:t>2.</w:t>
      </w:r>
      <w:r w:rsidRPr="00A76C07">
        <w:rPr>
          <w:noProof/>
        </w:rPr>
        <w:tab/>
        <w:t>PRAVNA PODLAGA, SUBSIDIARNOST IN SORAZMERNOST</w:t>
      </w:r>
      <w:bookmarkEnd w:id="22"/>
      <w:bookmarkEnd w:id="23"/>
      <w:bookmarkEnd w:id="24"/>
      <w:bookmarkEnd w:id="25"/>
      <w:bookmarkEnd w:id="26"/>
    </w:p>
    <w:p w:rsidR="002F79F5" w:rsidRPr="00A76C07" w:rsidRDefault="002F79F5" w:rsidP="00E662C9">
      <w:pPr>
        <w:pStyle w:val="ManualHeading2"/>
        <w:rPr>
          <w:rFonts w:eastAsia="Arial Unicode MS"/>
          <w:noProof/>
          <w:u w:color="000000"/>
          <w:bdr w:val="nil"/>
        </w:rPr>
      </w:pPr>
      <w:bookmarkStart w:id="27" w:name="_Toc194499858"/>
      <w:bookmarkStart w:id="28" w:name="_Toc194927662"/>
      <w:bookmarkStart w:id="29" w:name="_Toc195284755"/>
      <w:bookmarkStart w:id="30" w:name="_Toc195285014"/>
      <w:bookmarkStart w:id="31" w:name="_Toc199239238"/>
      <w:r w:rsidRPr="00A76C07">
        <w:rPr>
          <w:noProof/>
          <w:u w:color="000000"/>
          <w:bdr w:val="nil"/>
        </w:rPr>
        <w:t>•</w:t>
      </w:r>
      <w:r w:rsidRPr="00A76C07">
        <w:rPr>
          <w:noProof/>
        </w:rPr>
        <w:tab/>
      </w:r>
      <w:r w:rsidRPr="00A76C07">
        <w:rPr>
          <w:noProof/>
          <w:u w:color="000000"/>
          <w:bdr w:val="nil"/>
        </w:rPr>
        <w:t>Pravna podlaga</w:t>
      </w:r>
      <w:bookmarkEnd w:id="27"/>
      <w:bookmarkEnd w:id="28"/>
      <w:bookmarkEnd w:id="29"/>
      <w:bookmarkEnd w:id="30"/>
      <w:bookmarkEnd w:id="31"/>
    </w:p>
    <w:p w:rsidR="005D6F3E" w:rsidRPr="00A76C07" w:rsidRDefault="005D6F3E" w:rsidP="005D6F3E">
      <w:pPr>
        <w:pBdr>
          <w:top w:val="nil"/>
          <w:left w:val="nil"/>
          <w:bottom w:val="nil"/>
          <w:right w:val="nil"/>
          <w:between w:val="nil"/>
          <w:bar w:val="nil"/>
        </w:pBdr>
        <w:spacing w:before="0" w:after="240"/>
        <w:rPr>
          <w:noProof/>
        </w:rPr>
      </w:pPr>
      <w:r w:rsidRPr="00A76C07">
        <w:rPr>
          <w:noProof/>
        </w:rPr>
        <w:t>Pravna podlaga za to pobudo je člen 192(1) PDEU. To je bila tudi pravna podlaga za sprejetje Sklepa Sveta (EU) 2024/1830 o sklenitvi Sporazuma o BBNJ v imenu EU.</w:t>
      </w:r>
    </w:p>
    <w:p w:rsidR="005D6F3E" w:rsidRPr="00A76C07" w:rsidRDefault="005D6F3E" w:rsidP="005D6F3E">
      <w:pPr>
        <w:pBdr>
          <w:top w:val="nil"/>
          <w:left w:val="nil"/>
          <w:bottom w:val="nil"/>
          <w:right w:val="nil"/>
          <w:between w:val="nil"/>
          <w:bar w:val="nil"/>
        </w:pBdr>
        <w:spacing w:before="0" w:after="240"/>
        <w:rPr>
          <w:rFonts w:eastAsia="Arial Unicode MS"/>
          <w:noProof/>
        </w:rPr>
      </w:pPr>
      <w:r w:rsidRPr="00A76C07">
        <w:rPr>
          <w:noProof/>
        </w:rPr>
        <w:t>Od EU se v skladu s členom 191 v povezavi s členom 192(1) PDEU zahteva, da prispeva k uresničevanju naslednjih ciljev: ohranjanju, varstvu in izboljšanju kakovosti okolja, varovanju človekovega zdravja, skrbni in preudarni rabi naravnih virov ter spodbujanju ukrepov na mednarodni ravni za reševanje regionalnih ali globalnih okoljskih problemov, zlasti v boju proti podnebnim spremembam.</w:t>
      </w:r>
    </w:p>
    <w:p w:rsidR="002F79F5" w:rsidRPr="00A76C07" w:rsidRDefault="005D6F3E" w:rsidP="6E0028DC">
      <w:pPr>
        <w:pBdr>
          <w:top w:val="nil"/>
          <w:left w:val="nil"/>
          <w:bottom w:val="nil"/>
          <w:right w:val="nil"/>
          <w:between w:val="nil"/>
          <w:bar w:val="nil"/>
        </w:pBdr>
        <w:spacing w:before="0" w:after="240"/>
        <w:rPr>
          <w:rFonts w:eastAsia="Arial Unicode MS"/>
          <w:noProof/>
        </w:rPr>
      </w:pPr>
      <w:r w:rsidRPr="00A76C07">
        <w:rPr>
          <w:noProof/>
        </w:rPr>
        <w:t>Ob upoštevanju vsebinskih določb Sporazuma o BBNJ, vključno z njegovimi cilji, je okoljska pravna podlaga prava podlaga za izvajanje ustreznih določb Sporazuma o BBNJ.</w:t>
      </w:r>
    </w:p>
    <w:p w:rsidR="002F79F5" w:rsidRPr="00A76C07" w:rsidRDefault="002F79F5" w:rsidP="00E662C9">
      <w:pPr>
        <w:pStyle w:val="ManualHeading2"/>
        <w:rPr>
          <w:rFonts w:eastAsia="Arial Unicode MS"/>
          <w:noProof/>
          <w:u w:color="000000"/>
          <w:bdr w:val="nil"/>
        </w:rPr>
      </w:pPr>
      <w:bookmarkStart w:id="32" w:name="_Toc194499859"/>
      <w:bookmarkStart w:id="33" w:name="_Toc194927663"/>
      <w:bookmarkStart w:id="34" w:name="_Toc195284756"/>
      <w:bookmarkStart w:id="35" w:name="_Toc195285015"/>
      <w:bookmarkStart w:id="36" w:name="_Toc199239239"/>
      <w:r w:rsidRPr="00A76C07">
        <w:rPr>
          <w:noProof/>
          <w:u w:color="000000"/>
          <w:bdr w:val="nil"/>
        </w:rPr>
        <w:t>•</w:t>
      </w:r>
      <w:r w:rsidRPr="00A76C07">
        <w:rPr>
          <w:noProof/>
        </w:rPr>
        <w:tab/>
      </w:r>
      <w:r w:rsidRPr="00A76C07">
        <w:rPr>
          <w:noProof/>
          <w:u w:color="000000"/>
          <w:bdr w:val="nil"/>
        </w:rPr>
        <w:t>Subsidiarnost (za neizključno pristojnost)</w:t>
      </w:r>
      <w:bookmarkEnd w:id="32"/>
      <w:bookmarkEnd w:id="33"/>
      <w:bookmarkEnd w:id="34"/>
      <w:bookmarkEnd w:id="35"/>
      <w:bookmarkEnd w:id="36"/>
      <w:r w:rsidRPr="00A76C07">
        <w:rPr>
          <w:noProof/>
          <w:u w:color="000000"/>
          <w:bdr w:val="nil"/>
        </w:rPr>
        <w:t xml:space="preserve"> </w:t>
      </w:r>
    </w:p>
    <w:p w:rsidR="005D6F3E" w:rsidRPr="00A76C07" w:rsidRDefault="005D6F3E" w:rsidP="005D6F3E">
      <w:pPr>
        <w:pBdr>
          <w:top w:val="nil"/>
          <w:left w:val="nil"/>
          <w:bottom w:val="nil"/>
          <w:right w:val="nil"/>
          <w:between w:val="nil"/>
          <w:bar w:val="nil"/>
        </w:pBdr>
        <w:spacing w:before="0" w:after="240"/>
        <w:rPr>
          <w:noProof/>
        </w:rPr>
      </w:pPr>
      <w:r w:rsidRPr="00A76C07">
        <w:rPr>
          <w:noProof/>
        </w:rPr>
        <w:t xml:space="preserve">Sporazum o BBNJ določa obveznost pregleda in presoje vplivov načrtovanih dejavnosti na območjih zunaj nacionalne jurisdikcije. Poleg tega določa okvir za urejanje dejavnosti v zvezi z morskimi genskimi viri ter ureditve za izmenjavo informacij in delitev koristi uporabe morskih genskih virov. </w:t>
      </w:r>
    </w:p>
    <w:p w:rsidR="005D6F3E" w:rsidRPr="00A76C07" w:rsidRDefault="005D6F3E" w:rsidP="005D6F3E">
      <w:pPr>
        <w:pBdr>
          <w:top w:val="nil"/>
          <w:left w:val="nil"/>
          <w:bottom w:val="nil"/>
          <w:right w:val="nil"/>
          <w:between w:val="nil"/>
          <w:bar w:val="nil"/>
        </w:pBdr>
        <w:spacing w:before="0" w:after="240"/>
        <w:rPr>
          <w:noProof/>
        </w:rPr>
      </w:pPr>
      <w:r w:rsidRPr="00A76C07">
        <w:rPr>
          <w:noProof/>
        </w:rPr>
        <w:t xml:space="preserve">Na obeh področjih je usklajen pristop EU osrednjega pomena za ustvarjanje enakih konkurenčnih pogojev med deležniki, ki delujejo v EU. Namen predlagane direktive je določiti okvir za enotno izvajanje Sporazuma o BBNJ v EU in preprečiti izbiro najugodnejšega sodišča v EU, kar bo vodilo v hitrejše izdajanje dovoljenj in upravno poenostavitev. Bistveno je zagotoviti, da so določbe o presojah vplivov na okolje v zvezi z načrtovanimi dejavnostmi na območjih zunaj nacionalne jurisdikcije usklajene po vsej EU. Ključnega pomena je tudi zagotoviti, da se raziskovalci EU, zlasti tisti, ki delajo v skupinah po vsej EU na področju morskih genskih virov na območjih zunaj nacionalne jurisdikcije, ne soočajo z nepotrebnim pravnim bremenom, ki bi lahko nastalo zaradi neenakega izvajanja mednarodnih obveznosti iz Sporazuma o BBNJ v EU. Pomembno je zagotoviti skladnost med izvajanjem Nagojskega protokola h Konvenciji o biološki raznovrstnosti in določbami Sporazuma o BBNJ v zvezi z morskimi genskimi viri ter enake konkurenčne pogoje na enotnem trgu. </w:t>
      </w:r>
    </w:p>
    <w:p w:rsidR="002F79F5" w:rsidRPr="00A76C07" w:rsidRDefault="005D6F3E" w:rsidP="6E0028DC">
      <w:pPr>
        <w:pBdr>
          <w:bar w:val="nil"/>
        </w:pBdr>
        <w:spacing w:before="0" w:after="240"/>
        <w:rPr>
          <w:rFonts w:eastAsia="Times New Roman"/>
          <w:noProof/>
        </w:rPr>
      </w:pPr>
      <w:r w:rsidRPr="00A76C07">
        <w:rPr>
          <w:noProof/>
        </w:rPr>
        <w:t>Pristop EU k izvajanju bo pomemben tudi za zagotovitev skladnosti med obveznostmi, ki urejajo presojo vplivov na okolje za dejavnosti, ki se izvajajo v vodah EU v skladu z Direktivo 2011/92/EU</w:t>
      </w:r>
      <w:r w:rsidRPr="00A76C07">
        <w:rPr>
          <w:rStyle w:val="FootnoteReference"/>
          <w:rFonts w:eastAsia="Arial Unicode MS"/>
          <w:noProof/>
        </w:rPr>
        <w:footnoteReference w:id="10"/>
      </w:r>
      <w:r w:rsidRPr="00A76C07">
        <w:rPr>
          <w:noProof/>
        </w:rPr>
        <w:t xml:space="preserve"> (v nadaljnjem besedilu: direktiva o presoji vplivov na okolje) in drugo ustrezno zakonodajo EU, ki vsebuje določbe v zvezi z okoljskimi presojami za načrtovane dejavnosti, ter v skladu s Sporazumom o BBNJ. Poleg tega bo pobuda zagotovila, da bo Sporazum o BBNJ skladen z okoljskim pravom Unije. Dejavnosti na območjih zunaj nacionalne jurisdikcije lahko vplivajo tudi na upravljanje morskih bioloških virov in na skupno ribiško politiko. V takih primerih se bodo spoštovale pristojnosti EU iz člena 3(d) in člena 4(d) PDEU. Dejavnosti na območjih zunaj nacionalne jurisdikcije bi lahko imele čezmejne učinke v vodah EU (na primer zaradi onesnaževanja ali motenj pomorskega prometa).</w:t>
      </w:r>
    </w:p>
    <w:p w:rsidR="002F79F5" w:rsidRPr="00A76C07" w:rsidRDefault="20795DE0" w:rsidP="008D52B0">
      <w:pPr>
        <w:pBdr>
          <w:bar w:val="nil"/>
        </w:pBdr>
        <w:spacing w:before="0" w:after="240"/>
        <w:rPr>
          <w:noProof/>
        </w:rPr>
      </w:pPr>
      <w:r w:rsidRPr="00A76C07">
        <w:rPr>
          <w:noProof/>
        </w:rPr>
        <w:t>Ker ciljev predloga, in sicer zagotovitve skupnih določb o morskih genskih virih na območjih zunaj nacionalne jurisdikcije, izvajanja presoj vplivov na okolje za dejavnosti na območjih zunaj nacionalne jurisdikcije in nekaterih ukrepov v zvezi z orodji za upravljanje na posameznih območjih, vključno z morskimi zavarovanimi območji, države članice ne morejo zadovoljivo doseči, temveč se zaradi čezmejne narave dejavnosti in koristi, ki izhajajo iz skupnih pravil EU, lažje dosežejo na ravni EU, lahko EU sprejme ukrepe v skladu z načelom subsidiarnosti iz člena 5 PEU. V skladu z načelom sorazmernosti iz navedene določbe ta direktiva ne presega tistega, kar je potrebno za uresničitev navedenih ciljev.</w:t>
      </w:r>
    </w:p>
    <w:p w:rsidR="002F79F5" w:rsidRPr="00A76C07" w:rsidRDefault="002F79F5" w:rsidP="00E662C9">
      <w:pPr>
        <w:pStyle w:val="ManualHeading2"/>
        <w:rPr>
          <w:rFonts w:eastAsia="Arial Unicode MS"/>
          <w:noProof/>
          <w:u w:color="000000"/>
          <w:bdr w:val="nil"/>
        </w:rPr>
      </w:pPr>
      <w:bookmarkStart w:id="37" w:name="_Toc194499860"/>
      <w:bookmarkStart w:id="38" w:name="_Toc194927664"/>
      <w:bookmarkStart w:id="39" w:name="_Toc195284757"/>
      <w:bookmarkStart w:id="40" w:name="_Toc195285016"/>
      <w:bookmarkStart w:id="41" w:name="_Toc199239240"/>
      <w:r w:rsidRPr="00A76C07">
        <w:rPr>
          <w:noProof/>
          <w:u w:color="000000"/>
          <w:bdr w:val="nil"/>
        </w:rPr>
        <w:t>•</w:t>
      </w:r>
      <w:r w:rsidRPr="00A76C07">
        <w:rPr>
          <w:noProof/>
        </w:rPr>
        <w:tab/>
      </w:r>
      <w:r w:rsidRPr="00A76C07">
        <w:rPr>
          <w:noProof/>
          <w:u w:color="000000"/>
          <w:bdr w:val="nil"/>
        </w:rPr>
        <w:t>Sorazmernost</w:t>
      </w:r>
      <w:bookmarkEnd w:id="37"/>
      <w:bookmarkEnd w:id="38"/>
      <w:bookmarkEnd w:id="39"/>
      <w:bookmarkEnd w:id="40"/>
      <w:bookmarkEnd w:id="41"/>
    </w:p>
    <w:p w:rsidR="005D6F3E" w:rsidRPr="00A76C07" w:rsidRDefault="005D6F3E" w:rsidP="005D6F3E">
      <w:pPr>
        <w:pBdr>
          <w:top w:val="nil"/>
          <w:left w:val="nil"/>
          <w:bottom w:val="nil"/>
          <w:right w:val="nil"/>
          <w:between w:val="nil"/>
          <w:bar w:val="nil"/>
        </w:pBdr>
        <w:spacing w:before="0" w:after="240"/>
        <w:rPr>
          <w:noProof/>
        </w:rPr>
      </w:pPr>
      <w:r w:rsidRPr="00A76C07">
        <w:rPr>
          <w:noProof/>
        </w:rPr>
        <w:t xml:space="preserve">S predlogom se prenašajo obveznosti EU iz Sporazuma o BBNJ v zakonodajo EU. Večina obveznosti je enostavnih in od zakonodajalca ne zahteva, da sprejme kakršno koli politično odločitev o tem, kako obveznosti izvajati. To pomeni, da so ukrepi sorazmerni. </w:t>
      </w:r>
    </w:p>
    <w:p w:rsidR="002F79F5" w:rsidRPr="00A76C07" w:rsidRDefault="002F79F5" w:rsidP="00E662C9">
      <w:pPr>
        <w:pStyle w:val="ManualHeading2"/>
        <w:rPr>
          <w:rFonts w:eastAsia="Arial Unicode MS"/>
          <w:noProof/>
          <w:u w:color="000000"/>
          <w:bdr w:val="nil"/>
        </w:rPr>
      </w:pPr>
      <w:bookmarkStart w:id="42" w:name="_Toc194499861"/>
      <w:bookmarkStart w:id="43" w:name="_Toc194927665"/>
      <w:bookmarkStart w:id="44" w:name="_Toc195284758"/>
      <w:bookmarkStart w:id="45" w:name="_Toc195285017"/>
      <w:bookmarkStart w:id="46" w:name="_Toc199239241"/>
      <w:r w:rsidRPr="00A76C07">
        <w:rPr>
          <w:noProof/>
          <w:u w:color="000000"/>
          <w:bdr w:val="nil"/>
        </w:rPr>
        <w:t>•</w:t>
      </w:r>
      <w:r w:rsidRPr="00A76C07">
        <w:rPr>
          <w:noProof/>
        </w:rPr>
        <w:tab/>
      </w:r>
      <w:r w:rsidRPr="00A76C07">
        <w:rPr>
          <w:noProof/>
          <w:u w:color="000000"/>
          <w:bdr w:val="nil"/>
        </w:rPr>
        <w:t>Izbira instrumenta</w:t>
      </w:r>
      <w:bookmarkEnd w:id="42"/>
      <w:bookmarkEnd w:id="43"/>
      <w:bookmarkEnd w:id="44"/>
      <w:bookmarkEnd w:id="45"/>
      <w:bookmarkEnd w:id="46"/>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Namen direktive bo določiti okvir za enotno izvajanje Sporazuma o BBNJ v EU in tako preprečiti izbiro najugodnejšega sodišča v EU. To bo vodilo v hitrejše izdajanje dovoljenj in upravno poenostavitev, hkrati pa zagotovilo enake konkurenčne pogoje.</w:t>
      </w:r>
    </w:p>
    <w:p w:rsidR="002F79F5" w:rsidRPr="00A76C07" w:rsidRDefault="002F79F5" w:rsidP="00E662C9">
      <w:pPr>
        <w:pStyle w:val="ManualHeading1"/>
        <w:rPr>
          <w:noProof/>
        </w:rPr>
      </w:pPr>
      <w:bookmarkStart w:id="47" w:name="_Toc194499862"/>
      <w:bookmarkStart w:id="48" w:name="_Toc194927666"/>
      <w:bookmarkStart w:id="49" w:name="_Toc195284759"/>
      <w:bookmarkStart w:id="50" w:name="_Toc195285018"/>
      <w:bookmarkStart w:id="51" w:name="_Toc199239242"/>
      <w:r w:rsidRPr="00A76C07">
        <w:rPr>
          <w:noProof/>
        </w:rPr>
        <w:t>3.</w:t>
      </w:r>
      <w:r w:rsidRPr="00A76C07">
        <w:rPr>
          <w:noProof/>
        </w:rPr>
        <w:tab/>
        <w:t>REZULTATI NAKNADNIH OCEN, POSVETOVANJ Z DELEŽNIKI IN OCEN UČINKA</w:t>
      </w:r>
      <w:bookmarkEnd w:id="47"/>
      <w:bookmarkEnd w:id="48"/>
      <w:bookmarkEnd w:id="49"/>
      <w:bookmarkEnd w:id="50"/>
      <w:bookmarkEnd w:id="51"/>
    </w:p>
    <w:p w:rsidR="002F79F5" w:rsidRPr="00A76C07" w:rsidRDefault="002F79F5" w:rsidP="00E662C9">
      <w:pPr>
        <w:pStyle w:val="ManualHeading2"/>
        <w:rPr>
          <w:rFonts w:eastAsia="Arial Unicode MS"/>
          <w:noProof/>
          <w:u w:color="000000"/>
          <w:bdr w:val="nil"/>
        </w:rPr>
      </w:pPr>
      <w:bookmarkStart w:id="52" w:name="_Toc194499863"/>
      <w:bookmarkStart w:id="53" w:name="_Toc194927667"/>
      <w:bookmarkStart w:id="54" w:name="_Toc195284760"/>
      <w:bookmarkStart w:id="55" w:name="_Toc195285019"/>
      <w:bookmarkStart w:id="56" w:name="_Toc199239243"/>
      <w:r w:rsidRPr="00A76C07">
        <w:rPr>
          <w:noProof/>
          <w:u w:color="000000"/>
          <w:bdr w:val="nil"/>
        </w:rPr>
        <w:t>•</w:t>
      </w:r>
      <w:r w:rsidRPr="00A76C07">
        <w:rPr>
          <w:noProof/>
        </w:rPr>
        <w:tab/>
      </w:r>
      <w:r w:rsidRPr="00A76C07">
        <w:rPr>
          <w:noProof/>
          <w:u w:color="000000"/>
          <w:bdr w:val="nil"/>
        </w:rPr>
        <w:t>Naknadne ocene/preverjanja primernosti obstoječe zakonodaje</w:t>
      </w:r>
      <w:bookmarkEnd w:id="52"/>
      <w:bookmarkEnd w:id="53"/>
      <w:bookmarkEnd w:id="54"/>
      <w:bookmarkEnd w:id="55"/>
      <w:bookmarkEnd w:id="56"/>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Ni relevantno.</w:t>
      </w:r>
    </w:p>
    <w:p w:rsidR="002F79F5" w:rsidRPr="00A76C07" w:rsidRDefault="002F79F5" w:rsidP="00E662C9">
      <w:pPr>
        <w:pStyle w:val="ManualHeading2"/>
        <w:rPr>
          <w:rFonts w:eastAsia="Arial Unicode MS"/>
          <w:noProof/>
          <w:u w:color="000000"/>
          <w:bdr w:val="nil"/>
        </w:rPr>
      </w:pPr>
      <w:bookmarkStart w:id="57" w:name="_Toc194499864"/>
      <w:bookmarkStart w:id="58" w:name="_Toc194927668"/>
      <w:bookmarkStart w:id="59" w:name="_Toc195284761"/>
      <w:bookmarkStart w:id="60" w:name="_Toc195285020"/>
      <w:bookmarkStart w:id="61" w:name="_Toc199239244"/>
      <w:r w:rsidRPr="00A76C07">
        <w:rPr>
          <w:noProof/>
          <w:u w:color="000000"/>
          <w:bdr w:val="nil"/>
        </w:rPr>
        <w:t>•</w:t>
      </w:r>
      <w:r w:rsidRPr="00A76C07">
        <w:rPr>
          <w:noProof/>
        </w:rPr>
        <w:tab/>
      </w:r>
      <w:r w:rsidRPr="00A76C07">
        <w:rPr>
          <w:noProof/>
          <w:u w:color="000000"/>
          <w:bdr w:val="nil"/>
        </w:rPr>
        <w:t>Posvetovanja z deležniki</w:t>
      </w:r>
      <w:bookmarkEnd w:id="57"/>
      <w:bookmarkEnd w:id="58"/>
      <w:bookmarkEnd w:id="59"/>
      <w:bookmarkEnd w:id="60"/>
      <w:bookmarkEnd w:id="61"/>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Komisija je med pogajanji o Sporazumu o BBNJ tesno sodelovala z državami članicami. Z deležniki, zlasti organizacijami civilne družbe in drugimi organizacijami, zastopanimi v ZN, so potekala tudi redna posvetovanja o pogajanjih o BBNJ.</w:t>
      </w:r>
    </w:p>
    <w:p w:rsidR="002F79F5" w:rsidRPr="00A76C07" w:rsidRDefault="002F79F5" w:rsidP="00E662C9">
      <w:pPr>
        <w:pStyle w:val="ManualHeading2"/>
        <w:rPr>
          <w:rFonts w:eastAsia="Arial Unicode MS"/>
          <w:noProof/>
          <w:u w:color="000000"/>
          <w:bdr w:val="nil"/>
        </w:rPr>
      </w:pPr>
      <w:bookmarkStart w:id="62" w:name="_Toc194499865"/>
      <w:bookmarkStart w:id="63" w:name="_Toc194927669"/>
      <w:bookmarkStart w:id="64" w:name="_Toc195284762"/>
      <w:bookmarkStart w:id="65" w:name="_Toc195285021"/>
      <w:bookmarkStart w:id="66" w:name="_Toc199239245"/>
      <w:r w:rsidRPr="00A76C07">
        <w:rPr>
          <w:noProof/>
          <w:u w:color="000000"/>
          <w:bdr w:val="nil"/>
        </w:rPr>
        <w:t>•</w:t>
      </w:r>
      <w:r w:rsidRPr="00A76C07">
        <w:rPr>
          <w:noProof/>
        </w:rPr>
        <w:tab/>
      </w:r>
      <w:r w:rsidRPr="00A76C07">
        <w:rPr>
          <w:noProof/>
          <w:u w:color="000000"/>
          <w:bdr w:val="nil"/>
        </w:rPr>
        <w:t>Zbiranje in uporaba strokovnih mnenj</w:t>
      </w:r>
      <w:bookmarkEnd w:id="62"/>
      <w:bookmarkEnd w:id="63"/>
      <w:bookmarkEnd w:id="64"/>
      <w:bookmarkEnd w:id="65"/>
      <w:bookmarkEnd w:id="66"/>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Ni relevantno.</w:t>
      </w:r>
    </w:p>
    <w:p w:rsidR="002F79F5" w:rsidRPr="00A76C07" w:rsidRDefault="002F79F5" w:rsidP="00E662C9">
      <w:pPr>
        <w:pStyle w:val="ManualHeading2"/>
        <w:rPr>
          <w:rFonts w:eastAsia="Arial Unicode MS"/>
          <w:noProof/>
          <w:u w:color="000000"/>
          <w:bdr w:val="nil"/>
        </w:rPr>
      </w:pPr>
      <w:bookmarkStart w:id="67" w:name="_Toc194499866"/>
      <w:bookmarkStart w:id="68" w:name="_Toc194927670"/>
      <w:bookmarkStart w:id="69" w:name="_Toc195284763"/>
      <w:bookmarkStart w:id="70" w:name="_Toc195285022"/>
      <w:bookmarkStart w:id="71" w:name="_Toc199239246"/>
      <w:r w:rsidRPr="00A76C07">
        <w:rPr>
          <w:noProof/>
          <w:u w:color="000000"/>
          <w:bdr w:val="nil"/>
        </w:rPr>
        <w:t>•</w:t>
      </w:r>
      <w:r w:rsidRPr="00A76C07">
        <w:rPr>
          <w:noProof/>
        </w:rPr>
        <w:tab/>
      </w:r>
      <w:r w:rsidRPr="00A76C07">
        <w:rPr>
          <w:noProof/>
          <w:u w:color="000000"/>
          <w:bdr w:val="nil"/>
        </w:rPr>
        <w:t>Ocena učinka</w:t>
      </w:r>
      <w:bookmarkEnd w:id="67"/>
      <w:bookmarkEnd w:id="68"/>
      <w:bookmarkEnd w:id="69"/>
      <w:bookmarkEnd w:id="70"/>
      <w:bookmarkEnd w:id="71"/>
    </w:p>
    <w:p w:rsidR="005D6F3E" w:rsidRPr="00A76C07" w:rsidRDefault="005D6F3E" w:rsidP="005D6F3E">
      <w:pPr>
        <w:pBdr>
          <w:top w:val="nil"/>
          <w:left w:val="nil"/>
          <w:bottom w:val="nil"/>
          <w:right w:val="nil"/>
          <w:between w:val="nil"/>
          <w:bar w:val="nil"/>
        </w:pBdr>
        <w:spacing w:before="0" w:after="240"/>
        <w:rPr>
          <w:noProof/>
        </w:rPr>
      </w:pPr>
      <w:r w:rsidRPr="00A76C07">
        <w:rPr>
          <w:noProof/>
        </w:rPr>
        <w:t xml:space="preserve">Predlagana zakonodaja bo omejena na dosleden prenos mednarodnih obveznosti EU iz Sporazuma o BBNJ v zvezi s presojami vplivov na okolje, morskimi genskimi viri in nekaterimi vidiki obveznosti glede morskih zavarovanih območij. Izbira med alternativnimi možnostmi politike (t. i. manevrski prostor), ki so v orodju št. 7 zbirke orodij za boljše pravno urejanje navedene kot utemeljitev za oceno učinka, ni mogoča. Sami učinki se ne štejejo za pomembne, saj bodo v veliki meri povezani z večjo doslednostjo uporabe. Zato Komisija ne predlaga izvedbe ocene učinka ali spletnega javnega posvetovanja. </w:t>
      </w:r>
    </w:p>
    <w:p w:rsidR="002F79F5" w:rsidRPr="00A76C07" w:rsidRDefault="005D6F3E" w:rsidP="005D6F3E">
      <w:pPr>
        <w:pBdr>
          <w:top w:val="nil"/>
          <w:left w:val="nil"/>
          <w:bottom w:val="nil"/>
          <w:right w:val="nil"/>
          <w:between w:val="nil"/>
          <w:bar w:val="nil"/>
        </w:pBdr>
        <w:spacing w:before="0" w:after="240"/>
        <w:rPr>
          <w:rFonts w:eastAsia="Arial Unicode MS"/>
          <w:noProof/>
        </w:rPr>
      </w:pPr>
      <w:r w:rsidRPr="00A76C07">
        <w:rPr>
          <w:noProof/>
        </w:rPr>
        <w:t>Podobno Komisija ne bo objavila poziva k predložitvi dokazov, saj ne namerava odstopati od Sporazuma o BBNJ, zato posvetovanje z deležniki in zbiranje njihovih stališč ne bi prinesla nobene dodatne koristi. Deležniki so bili v postopek vključeni že prej, saj je pripravljalni odbor začel delovati leta 2016.</w:t>
      </w:r>
    </w:p>
    <w:p w:rsidR="002F79F5" w:rsidRPr="00A76C07" w:rsidRDefault="002F79F5" w:rsidP="00E662C9">
      <w:pPr>
        <w:pStyle w:val="ManualHeading2"/>
        <w:rPr>
          <w:rFonts w:eastAsia="Arial Unicode MS"/>
          <w:noProof/>
          <w:u w:color="000000"/>
          <w:bdr w:val="nil"/>
        </w:rPr>
      </w:pPr>
      <w:bookmarkStart w:id="72" w:name="_Toc194499867"/>
      <w:bookmarkStart w:id="73" w:name="_Toc194927671"/>
      <w:bookmarkStart w:id="74" w:name="_Toc195284764"/>
      <w:bookmarkStart w:id="75" w:name="_Toc195285023"/>
      <w:bookmarkStart w:id="76" w:name="_Toc199239247"/>
      <w:r w:rsidRPr="00A76C07">
        <w:rPr>
          <w:noProof/>
          <w:u w:color="000000"/>
          <w:bdr w:val="nil"/>
        </w:rPr>
        <w:t>•</w:t>
      </w:r>
      <w:r w:rsidRPr="00A76C07">
        <w:rPr>
          <w:noProof/>
        </w:rPr>
        <w:tab/>
      </w:r>
      <w:r w:rsidRPr="00A76C07">
        <w:rPr>
          <w:noProof/>
          <w:u w:color="000000"/>
          <w:bdr w:val="nil"/>
        </w:rPr>
        <w:t>Primernost in poenostavitev ureditve</w:t>
      </w:r>
      <w:bookmarkEnd w:id="72"/>
      <w:bookmarkEnd w:id="73"/>
      <w:bookmarkEnd w:id="74"/>
      <w:bookmarkEnd w:id="75"/>
      <w:bookmarkEnd w:id="76"/>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Ni relevantno.</w:t>
      </w:r>
    </w:p>
    <w:p w:rsidR="002F79F5" w:rsidRPr="00A76C07" w:rsidRDefault="002F79F5" w:rsidP="00E662C9">
      <w:pPr>
        <w:pStyle w:val="ManualHeading2"/>
        <w:rPr>
          <w:rFonts w:eastAsia="Arial Unicode MS"/>
          <w:noProof/>
          <w:u w:color="000000"/>
          <w:bdr w:val="nil"/>
        </w:rPr>
      </w:pPr>
      <w:bookmarkStart w:id="77" w:name="_Toc194499868"/>
      <w:bookmarkStart w:id="78" w:name="_Toc194927672"/>
      <w:bookmarkStart w:id="79" w:name="_Toc195284765"/>
      <w:bookmarkStart w:id="80" w:name="_Toc195285024"/>
      <w:bookmarkStart w:id="81" w:name="_Toc199239248"/>
      <w:r w:rsidRPr="00A76C07">
        <w:rPr>
          <w:noProof/>
          <w:u w:color="000000"/>
          <w:bdr w:val="nil"/>
        </w:rPr>
        <w:t>•</w:t>
      </w:r>
      <w:r w:rsidRPr="00A76C07">
        <w:rPr>
          <w:noProof/>
        </w:rPr>
        <w:tab/>
      </w:r>
      <w:r w:rsidRPr="00A76C07">
        <w:rPr>
          <w:noProof/>
          <w:u w:color="000000"/>
          <w:bdr w:val="nil"/>
        </w:rPr>
        <w:t>Temeljne pravice</w:t>
      </w:r>
      <w:bookmarkEnd w:id="77"/>
      <w:bookmarkEnd w:id="78"/>
      <w:bookmarkEnd w:id="79"/>
      <w:bookmarkEnd w:id="80"/>
      <w:bookmarkEnd w:id="81"/>
    </w:p>
    <w:p w:rsidR="002F79F5" w:rsidRPr="00A76C07" w:rsidRDefault="005D6F3E" w:rsidP="00E662C9">
      <w:pPr>
        <w:pBdr>
          <w:top w:val="nil"/>
          <w:left w:val="nil"/>
          <w:bottom w:val="nil"/>
          <w:right w:val="nil"/>
          <w:between w:val="nil"/>
          <w:bar w:val="nil"/>
        </w:pBdr>
        <w:spacing w:before="0" w:after="240"/>
        <w:rPr>
          <w:rFonts w:eastAsia="Arial Unicode MS"/>
          <w:noProof/>
        </w:rPr>
      </w:pPr>
      <w:r w:rsidRPr="00A76C07">
        <w:rPr>
          <w:noProof/>
        </w:rPr>
        <w:t>Ta direktiva je v skladu s členom 47 Listine o temeljnih pravicah in izvaja Aarhuško konvencijo v zvezi z dostopom do pravnega varstva. Članom zadevne javnosti, vključno z nevladnimi organizacijami, ki spodbujajo varstvo okolja in izpolnjujejo vse zahteve nacionalne zakonodaje, bi moral biti omogočen dostop do revizije odločitev, ki so jih države članice sprejele v skladu s to direktivo.</w:t>
      </w:r>
    </w:p>
    <w:p w:rsidR="002F79F5" w:rsidRPr="00A76C07" w:rsidRDefault="002F79F5" w:rsidP="00E662C9">
      <w:pPr>
        <w:pStyle w:val="ManualHeading1"/>
        <w:rPr>
          <w:noProof/>
        </w:rPr>
      </w:pPr>
      <w:bookmarkStart w:id="82" w:name="_Toc194499869"/>
      <w:bookmarkStart w:id="83" w:name="_Toc194927673"/>
      <w:bookmarkStart w:id="84" w:name="_Toc195284766"/>
      <w:bookmarkStart w:id="85" w:name="_Toc195285025"/>
      <w:bookmarkStart w:id="86" w:name="_Toc199239249"/>
      <w:r w:rsidRPr="00A76C07">
        <w:rPr>
          <w:noProof/>
        </w:rPr>
        <w:t>4.</w:t>
      </w:r>
      <w:r w:rsidRPr="00A76C07">
        <w:rPr>
          <w:noProof/>
        </w:rPr>
        <w:tab/>
        <w:t>PRORAČUNSKE POSLEDICE</w:t>
      </w:r>
      <w:bookmarkEnd w:id="82"/>
      <w:bookmarkEnd w:id="83"/>
      <w:bookmarkEnd w:id="84"/>
      <w:bookmarkEnd w:id="85"/>
      <w:bookmarkEnd w:id="86"/>
    </w:p>
    <w:p w:rsidR="008E7029" w:rsidRPr="00A76C07" w:rsidRDefault="172F56D9" w:rsidP="008D782F">
      <w:pPr>
        <w:pBdr>
          <w:top w:val="nil"/>
          <w:left w:val="nil"/>
          <w:bottom w:val="nil"/>
          <w:right w:val="nil"/>
          <w:between w:val="nil"/>
          <w:bar w:val="nil"/>
        </w:pBdr>
        <w:spacing w:before="0" w:after="240"/>
        <w:rPr>
          <w:noProof/>
        </w:rPr>
      </w:pPr>
      <w:r w:rsidRPr="00A76C07">
        <w:rPr>
          <w:noProof/>
        </w:rPr>
        <w:t xml:space="preserve">Ta predlog je omejen na dosleden prenos obveznosti iz Sporazuma o BBNJ v zvezi s presojami vplivov na okolje, morskimi genskimi viri in nekaterimi elementi orodij za upravljanje na posameznih območjih ter obveznosti morskih zavarovanih območij, ki odražajo obstoječe obveznosti držav članic na podlagi zakonodaje EU ali druge mednarodne zakonodaje. Države članice že imajo vzpostavljen okvir, ki ureja presojo vplivov na okolje in izhaja iz njihovih obveznosti v skladu z direktivo o presoji vplivov na okolje, Konvencijo iz Espooja in Aarhuško konvencijo. </w:t>
      </w:r>
    </w:p>
    <w:p w:rsidR="002C4704" w:rsidRPr="00A76C07" w:rsidRDefault="172F56D9" w:rsidP="008D782F">
      <w:pPr>
        <w:pBdr>
          <w:top w:val="nil"/>
          <w:left w:val="nil"/>
          <w:bottom w:val="nil"/>
          <w:right w:val="nil"/>
          <w:between w:val="nil"/>
          <w:bar w:val="nil"/>
        </w:pBdr>
        <w:spacing w:before="0" w:after="240"/>
        <w:rPr>
          <w:rFonts w:eastAsia="Arial Unicode MS"/>
          <w:noProof/>
        </w:rPr>
      </w:pPr>
      <w:r w:rsidRPr="00A76C07">
        <w:rPr>
          <w:noProof/>
        </w:rPr>
        <w:t xml:space="preserve">Zato se ocenjuje, da so upravni učinek in stroški zanemarljivi do zmerni, saj je večina potrebnih struktur in pravil vzpostavljena. Države članice bodo imele stroške, omejene na stroške sprejetja pravnih, političnih ali upravnih ukrepov za zagotovitev izpolnjevanja obveznosti sporočanja informacij o morskih genskih virih Posredovalnemu mehanizmu za BBNJ ter zahteve, da uporabniki deponirajo vzorce in informacije o digitalnih sekvenčnih zapisih v javno dostopnih podatkovnih zbirkah in odložiščih. Države članice imajo lahko druge upravne stroške, če se odločijo za vzpostavitev orodij IT, posebej zasnovanih za prenos informacij Posredovalnemu mehanizmu. Druga možnost je, da bi lahko vsi deležniki neposredno uporabljali centralni sistem ZN za klirinške družbe ali da bi se po potrebi dodatno raziskala ponovna uporaba obstoječe informacijske platforme v EU za to področje uporabe. Če bi bilo to mogoče, bi se stroški lahko zmanjšali. Kar zadeva človeške vire, so države članice ustanovile nacionalne pristojne organe za dostop in delitev koristi, ki lahko zajemajo tudi naloge, potrebne za izvrševanje ukrepov, povezanih z morskimi genskimi viri. Ti stroški naj ne bi nastali dodatno poleg stroškov, ki jih že imajo pogodbenice Sporazuma o BBNJ. </w:t>
      </w:r>
    </w:p>
    <w:p w:rsidR="002F79F5" w:rsidRPr="00A76C07" w:rsidRDefault="002C4704" w:rsidP="6E0028DC">
      <w:pPr>
        <w:pBdr>
          <w:top w:val="nil"/>
          <w:left w:val="nil"/>
          <w:bottom w:val="nil"/>
          <w:right w:val="nil"/>
          <w:between w:val="nil"/>
          <w:bar w:val="nil"/>
        </w:pBdr>
        <w:spacing w:before="0" w:after="240"/>
        <w:rPr>
          <w:rFonts w:eastAsia="Arial Unicode MS"/>
          <w:noProof/>
        </w:rPr>
      </w:pPr>
      <w:r w:rsidRPr="00A76C07">
        <w:rPr>
          <w:noProof/>
        </w:rPr>
        <w:t>Prenos Direktive in njeno izvajanje v državah članicah bosta spremljala dva oddelka Komisije: GD za okolje in GD za pomorske zadeve in ribištvo.</w:t>
      </w:r>
    </w:p>
    <w:p w:rsidR="002F79F5" w:rsidRPr="00A76C07" w:rsidRDefault="002F79F5" w:rsidP="00E662C9">
      <w:pPr>
        <w:pStyle w:val="ManualHeading1"/>
        <w:rPr>
          <w:noProof/>
        </w:rPr>
      </w:pPr>
      <w:bookmarkStart w:id="87" w:name="_Toc194499870"/>
      <w:bookmarkStart w:id="88" w:name="_Toc194927674"/>
      <w:bookmarkStart w:id="89" w:name="_Toc195284767"/>
      <w:bookmarkStart w:id="90" w:name="_Toc195285026"/>
      <w:bookmarkStart w:id="91" w:name="_Toc199239250"/>
      <w:r w:rsidRPr="00A76C07">
        <w:rPr>
          <w:noProof/>
        </w:rPr>
        <w:t>5.</w:t>
      </w:r>
      <w:r w:rsidRPr="00A76C07">
        <w:rPr>
          <w:noProof/>
        </w:rPr>
        <w:tab/>
        <w:t>DRUGI ELEMENTI</w:t>
      </w:r>
      <w:bookmarkEnd w:id="87"/>
      <w:bookmarkEnd w:id="88"/>
      <w:bookmarkEnd w:id="89"/>
      <w:bookmarkEnd w:id="90"/>
      <w:bookmarkEnd w:id="91"/>
    </w:p>
    <w:p w:rsidR="002F79F5" w:rsidRPr="00A76C07" w:rsidRDefault="002F79F5" w:rsidP="00E662C9">
      <w:pPr>
        <w:pStyle w:val="ManualHeading2"/>
        <w:rPr>
          <w:rFonts w:eastAsia="Arial Unicode MS"/>
          <w:noProof/>
          <w:u w:color="000000"/>
          <w:bdr w:val="nil"/>
        </w:rPr>
      </w:pPr>
      <w:bookmarkStart w:id="92" w:name="_Toc194499871"/>
      <w:bookmarkStart w:id="93" w:name="_Toc194927675"/>
      <w:bookmarkStart w:id="94" w:name="_Toc195284768"/>
      <w:bookmarkStart w:id="95" w:name="_Toc195285027"/>
      <w:bookmarkStart w:id="96" w:name="_Toc199239251"/>
      <w:r w:rsidRPr="00A76C07">
        <w:rPr>
          <w:noProof/>
          <w:u w:color="000000"/>
          <w:bdr w:val="nil"/>
        </w:rPr>
        <w:t>•</w:t>
      </w:r>
      <w:r w:rsidRPr="00A76C07">
        <w:rPr>
          <w:noProof/>
        </w:rPr>
        <w:tab/>
      </w:r>
      <w:r w:rsidRPr="00A76C07">
        <w:rPr>
          <w:noProof/>
          <w:u w:color="000000"/>
          <w:bdr w:val="nil"/>
        </w:rPr>
        <w:t>Načrti za izvedbo ter ureditev spremljanja, ocenjevanja in poročanja</w:t>
      </w:r>
      <w:bookmarkEnd w:id="92"/>
      <w:bookmarkEnd w:id="93"/>
      <w:bookmarkEnd w:id="94"/>
      <w:bookmarkEnd w:id="95"/>
      <w:bookmarkEnd w:id="96"/>
    </w:p>
    <w:p w:rsidR="005C7CC1" w:rsidRPr="00A76C07" w:rsidRDefault="005C7CC1" w:rsidP="005C7CC1">
      <w:pPr>
        <w:pBdr>
          <w:top w:val="nil"/>
          <w:left w:val="nil"/>
          <w:bottom w:val="nil"/>
          <w:right w:val="nil"/>
          <w:between w:val="nil"/>
          <w:bar w:val="nil"/>
        </w:pBdr>
        <w:spacing w:before="0" w:after="240"/>
        <w:rPr>
          <w:rFonts w:eastAsia="Arial Unicode MS"/>
          <w:noProof/>
        </w:rPr>
      </w:pPr>
      <w:r w:rsidRPr="00A76C07">
        <w:rPr>
          <w:noProof/>
        </w:rPr>
        <w:t>Ko bosta sozakonodajalca sprejela to direktivo, bo Komisija v obdobju prenosa sprejela naslednje ukrepe za olajšanje postopka prenosa:</w:t>
      </w:r>
    </w:p>
    <w:p w:rsidR="005C7CC1" w:rsidRPr="00A76C07" w:rsidRDefault="005C7CC1" w:rsidP="00033C3A">
      <w:pPr>
        <w:pBdr>
          <w:top w:val="nil"/>
          <w:left w:val="nil"/>
          <w:bottom w:val="nil"/>
          <w:right w:val="nil"/>
          <w:between w:val="nil"/>
          <w:bar w:val="nil"/>
        </w:pBdr>
        <w:spacing w:before="0" w:after="240"/>
        <w:rPr>
          <w:rFonts w:eastAsia="Arial Unicode MS"/>
          <w:noProof/>
        </w:rPr>
      </w:pPr>
      <w:r w:rsidRPr="00A76C07">
        <w:rPr>
          <w:noProof/>
        </w:rPr>
        <w:t xml:space="preserve">organizirala bo srečanja s strokovnjaki držav članic, pristojnimi za prenos različnih poglavij Direktive, da bi razpravljali o tem, kako jih prenesti, in razrešili morebitne dvome, bodisi v okviru nacionalnih strokovnih skupin Komisije bodisi v drugi ustrezni in usmerjeni obliki; </w:t>
      </w:r>
    </w:p>
    <w:p w:rsidR="005C7CC1" w:rsidRPr="00A76C07" w:rsidRDefault="005C7CC1" w:rsidP="00033C3A">
      <w:pPr>
        <w:pBdr>
          <w:top w:val="nil"/>
          <w:left w:val="nil"/>
          <w:bottom w:val="nil"/>
          <w:right w:val="nil"/>
          <w:between w:val="nil"/>
          <w:bar w:val="nil"/>
        </w:pBdr>
        <w:spacing w:before="0" w:after="240"/>
        <w:rPr>
          <w:rFonts w:eastAsia="Arial Unicode MS"/>
          <w:noProof/>
        </w:rPr>
      </w:pPr>
      <w:r w:rsidRPr="00A76C07">
        <w:rPr>
          <w:noProof/>
        </w:rPr>
        <w:t>na voljo bo za dvostranska srečanja in pogovore z državami članicami, na katerih se bo razpravljalo o morebitnih posebnih vprašanjih glede prenosa Direktive.</w:t>
      </w:r>
    </w:p>
    <w:p w:rsidR="005C7CC1" w:rsidRPr="00A76C07" w:rsidRDefault="005C7CC1" w:rsidP="005C7CC1">
      <w:pPr>
        <w:pBdr>
          <w:top w:val="nil"/>
          <w:left w:val="nil"/>
          <w:bottom w:val="nil"/>
          <w:right w:val="nil"/>
          <w:between w:val="nil"/>
          <w:bar w:val="nil"/>
        </w:pBdr>
        <w:spacing w:before="0" w:after="240"/>
        <w:rPr>
          <w:rFonts w:eastAsia="Arial Unicode MS"/>
          <w:noProof/>
        </w:rPr>
      </w:pPr>
      <w:r w:rsidRPr="00A76C07">
        <w:rPr>
          <w:noProof/>
        </w:rPr>
        <w:t>Po roku za prenos bo Komisija izvedla celovito oceno, ali so države članice Direktivo v celoti in pravilno prenesle v nacionalno zakonodajo.</w:t>
      </w:r>
    </w:p>
    <w:p w:rsidR="002F79F5" w:rsidRPr="00A76C07" w:rsidRDefault="002F79F5" w:rsidP="00E662C9">
      <w:pPr>
        <w:pStyle w:val="ManualHeading2"/>
        <w:rPr>
          <w:rFonts w:eastAsia="Arial Unicode MS"/>
          <w:noProof/>
          <w:u w:color="000000"/>
          <w:bdr w:val="nil"/>
        </w:rPr>
      </w:pPr>
      <w:bookmarkStart w:id="97" w:name="_Toc194499872"/>
      <w:bookmarkStart w:id="98" w:name="_Toc194927676"/>
      <w:bookmarkStart w:id="99" w:name="_Toc195284769"/>
      <w:bookmarkStart w:id="100" w:name="_Toc195285028"/>
      <w:bookmarkStart w:id="101" w:name="_Toc199239252"/>
      <w:r w:rsidRPr="00A76C07">
        <w:rPr>
          <w:noProof/>
          <w:u w:color="000000"/>
          <w:bdr w:val="nil"/>
        </w:rPr>
        <w:t>•</w:t>
      </w:r>
      <w:r w:rsidRPr="00A76C07">
        <w:rPr>
          <w:noProof/>
        </w:rPr>
        <w:tab/>
      </w:r>
      <w:r w:rsidRPr="00A76C07">
        <w:rPr>
          <w:noProof/>
          <w:u w:color="000000"/>
          <w:bdr w:val="nil"/>
        </w:rPr>
        <w:t>Obrazložitveni dokumenti (za direktive)</w:t>
      </w:r>
      <w:bookmarkEnd w:id="97"/>
      <w:bookmarkEnd w:id="98"/>
      <w:bookmarkEnd w:id="99"/>
      <w:bookmarkEnd w:id="100"/>
      <w:bookmarkEnd w:id="101"/>
    </w:p>
    <w:p w:rsidR="005C7CC1" w:rsidRPr="00A76C07" w:rsidRDefault="005C7CC1" w:rsidP="005C7CC1">
      <w:pPr>
        <w:pBdr>
          <w:top w:val="nil"/>
          <w:left w:val="nil"/>
          <w:bottom w:val="nil"/>
          <w:right w:val="nil"/>
          <w:between w:val="nil"/>
          <w:bar w:val="nil"/>
        </w:pBdr>
        <w:spacing w:before="0" w:after="240"/>
        <w:rPr>
          <w:rFonts w:eastAsia="Arial Unicode MS"/>
          <w:noProof/>
        </w:rPr>
      </w:pPr>
      <w:r w:rsidRPr="00A76C07">
        <w:rPr>
          <w:noProof/>
        </w:rPr>
        <w:t xml:space="preserve">Po sodbi Sodišča Evropske unije v zadevi Komisija proti Belgiji (zadeva C-543/17) morajo države članice uradna obvestila o nacionalnih ukrepih za prenos predložiti skupaj z dovolj jasnimi in natančnimi informacijami o tem, kateri nacionalni predpisi prenašajo katere določbe direktive. Te informacije je treba zagotoviti za vsako obveznost in ne le za vsak člen. </w:t>
      </w:r>
    </w:p>
    <w:p w:rsidR="005C7CC1" w:rsidRPr="00A76C07" w:rsidRDefault="005C7CC1" w:rsidP="005C7CC1">
      <w:pPr>
        <w:pBdr>
          <w:top w:val="nil"/>
          <w:left w:val="nil"/>
          <w:bottom w:val="nil"/>
          <w:right w:val="nil"/>
          <w:between w:val="nil"/>
          <w:bar w:val="nil"/>
        </w:pBdr>
        <w:spacing w:before="0" w:after="240"/>
        <w:rPr>
          <w:rFonts w:eastAsia="Arial Unicode MS"/>
          <w:noProof/>
        </w:rPr>
      </w:pPr>
      <w:r w:rsidRPr="00A76C07">
        <w:rPr>
          <w:noProof/>
        </w:rPr>
        <w:t>Če države članice izpolnijo to obveznost, jim načeloma ne bi bilo treba pošiljati Komisiji dodatnih obrazložitvenih dokumentov o prenosu.</w:t>
      </w:r>
    </w:p>
    <w:p w:rsidR="002F79F5" w:rsidRPr="00A76C07" w:rsidRDefault="002F79F5" w:rsidP="00663848">
      <w:pPr>
        <w:pStyle w:val="ManualHeading2"/>
        <w:rPr>
          <w:rFonts w:eastAsia="Arial Unicode MS"/>
          <w:noProof/>
          <w:u w:color="000000"/>
          <w:bdr w:val="nil"/>
        </w:rPr>
      </w:pPr>
      <w:bookmarkStart w:id="102" w:name="_Toc194499873"/>
      <w:bookmarkStart w:id="103" w:name="_Toc194927677"/>
      <w:bookmarkStart w:id="104" w:name="_Toc195284770"/>
      <w:bookmarkStart w:id="105" w:name="_Toc195285029"/>
      <w:bookmarkStart w:id="106" w:name="_Toc199239253"/>
      <w:r w:rsidRPr="00A76C07">
        <w:rPr>
          <w:noProof/>
          <w:u w:color="000000"/>
          <w:bdr w:val="nil"/>
        </w:rPr>
        <w:t>•</w:t>
      </w:r>
      <w:r w:rsidRPr="00A76C07">
        <w:rPr>
          <w:noProof/>
        </w:rPr>
        <w:tab/>
      </w:r>
      <w:r w:rsidRPr="00A76C07">
        <w:rPr>
          <w:noProof/>
          <w:u w:color="000000"/>
          <w:bdr w:val="nil"/>
        </w:rPr>
        <w:t>Natančnejša pojasnitev posameznih določb predloga</w:t>
      </w:r>
      <w:bookmarkEnd w:id="102"/>
      <w:bookmarkEnd w:id="103"/>
      <w:bookmarkEnd w:id="104"/>
      <w:bookmarkEnd w:id="105"/>
      <w:bookmarkEnd w:id="106"/>
    </w:p>
    <w:p w:rsidR="005C7CC1" w:rsidRPr="00A76C07" w:rsidRDefault="005C7CC1" w:rsidP="005C7CC1">
      <w:pPr>
        <w:pBdr>
          <w:top w:val="nil"/>
          <w:left w:val="nil"/>
          <w:bottom w:val="nil"/>
          <w:right w:val="nil"/>
          <w:between w:val="nil"/>
          <w:bar w:val="nil"/>
        </w:pBdr>
        <w:spacing w:before="0" w:after="240"/>
        <w:rPr>
          <w:noProof/>
        </w:rPr>
      </w:pPr>
      <w:r w:rsidRPr="00A76C07">
        <w:rPr>
          <w:noProof/>
        </w:rPr>
        <w:t>Predlog vsebuje skupna pravila za države članice o izvajanju dela II Sporazuma o BBNJ o morskih genskih virih, dela III o orodjih za upravljanje na posameznih območjih, vključno z morskimi zavarovanimi območji, in dela IV o presojah vplivov na okolje.</w:t>
      </w:r>
    </w:p>
    <w:p w:rsidR="005C7CC1" w:rsidRPr="00A76C07" w:rsidRDefault="005C7CC1" w:rsidP="005C7CC1">
      <w:pPr>
        <w:pBdr>
          <w:top w:val="nil"/>
          <w:left w:val="nil"/>
          <w:bottom w:val="nil"/>
          <w:right w:val="nil"/>
          <w:between w:val="nil"/>
          <w:bar w:val="nil"/>
        </w:pBdr>
        <w:spacing w:before="0" w:after="240"/>
        <w:rPr>
          <w:noProof/>
        </w:rPr>
      </w:pPr>
      <w:r w:rsidRPr="00A76C07">
        <w:rPr>
          <w:noProof/>
        </w:rPr>
        <w:t>V poglavju o morskih genskih virih se obveznosti držav članic EU nanašajo na uradna obvestila, ki jih je treba poslati Posredovalnemu mehanizmu, obveznost deponiranja vzorcev in podatkov v javno dostopnih odložiščih in podatkovnih zbirkah ter delitev denarnih in nedenarnih koristi. Direktiva od držav članic zahteva, da imenujejo nacionalni pristojni organ za pregled izpolnjevanja obveznostmi sporočanja in deponiranja. V Direktivi je tudi pojasnjeno področje uporabe za EU in njene države članice, ki izključuje retroaktivno uporabo za morske genske vire in digitalne sekvenčne zapise, zbrane in/ali ustvarjene pred začetkom veljavnosti Sporazuma.</w:t>
      </w:r>
    </w:p>
    <w:p w:rsidR="005C7CC1" w:rsidRPr="00A76C07" w:rsidRDefault="005C7CC1" w:rsidP="005C7CC1">
      <w:pPr>
        <w:pBdr>
          <w:top w:val="nil"/>
          <w:left w:val="nil"/>
          <w:bottom w:val="nil"/>
          <w:right w:val="nil"/>
          <w:between w:val="nil"/>
          <w:bar w:val="nil"/>
        </w:pBdr>
        <w:spacing w:before="0" w:after="240"/>
        <w:rPr>
          <w:noProof/>
        </w:rPr>
      </w:pPr>
      <w:r w:rsidRPr="00A76C07">
        <w:rPr>
          <w:noProof/>
        </w:rPr>
        <w:t>V okviru poglavja o orodjih za upravljanje na posameznih območjih se obveznosti držav članic nanašajo na izmenjavo informacij ter sodelovanje s Komisijo in drugimi državami članicami pri predlogih za orodja za upravljanje na posameznih območjih. Obveznosti so podrobno opisane v kodeksu ravnanja z dne 14. marca 2024, ki določa ureditve glede izvrševanja pravic in obveznosti Evropske unije in držav članic na podlagi Sporazuma o BBNJ.</w:t>
      </w:r>
    </w:p>
    <w:p w:rsidR="002C4704" w:rsidRPr="00A76C07" w:rsidRDefault="005C7CC1" w:rsidP="002C4704">
      <w:pPr>
        <w:pBdr>
          <w:top w:val="nil"/>
          <w:left w:val="nil"/>
          <w:bottom w:val="nil"/>
          <w:right w:val="nil"/>
          <w:between w:val="nil"/>
        </w:pBdr>
        <w:spacing w:before="0" w:after="240"/>
        <w:rPr>
          <w:rFonts w:eastAsia="Arial Unicode MS"/>
          <w:noProof/>
        </w:rPr>
      </w:pPr>
      <w:r w:rsidRPr="00A76C07">
        <w:rPr>
          <w:noProof/>
        </w:rPr>
        <w:t>V skladu s poglavjem o presoji vplivov na okolje se obveznosti držav članic nanašajo na načrtovane dejavnosti pod njihovo jurisdikcijo ali njihovim nadzorom, ki se izvajajo na območjih zunaj nacionalne jurisdikcije. Za načrtovane dejavnosti pod jurisdikcijo ali nadzorom držav članic, ki se izvajajo na območjih pod nacionalno jurisdikcijo in bodo verjetno imele pomembne učinke na morsko okolje na območjih zunaj nacionalne jurisdikcije, je edina obveznost, da se ustrezne informacije dajo na voljo prek Posredovalnega mehanizma za BBNJ med postopkom, ki se izvaja na podlagi direktive o presoji vplivov na okolje in druge ustrezne zakonodaje Unije, ki vsebuje določbe v zvezi z okoljskimi presojami za načrtovane dejavnosti.</w:t>
      </w:r>
    </w:p>
    <w:p w:rsidR="002C4704" w:rsidRPr="00A76C07" w:rsidRDefault="002C4704" w:rsidP="002C4704">
      <w:pPr>
        <w:pBdr>
          <w:top w:val="nil"/>
          <w:left w:val="nil"/>
          <w:bottom w:val="nil"/>
          <w:right w:val="nil"/>
          <w:between w:val="nil"/>
        </w:pBdr>
        <w:spacing w:before="0" w:after="240"/>
        <w:rPr>
          <w:rFonts w:eastAsia="Arial Unicode MS"/>
          <w:b/>
          <w:bCs/>
          <w:noProof/>
        </w:rPr>
      </w:pPr>
      <w:r w:rsidRPr="00A76C07">
        <w:rPr>
          <w:b/>
          <w:noProof/>
        </w:rPr>
        <w:t>Natančnejša pojasnitev posameznih določb predloga</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Poglavje 1: Splošne določbe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 Predmet urejanja</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določa namen Direktive, ki je izvajanje obveznosti iz Sporazuma o BBNJ, zlasti njegovega splošnega cilja, da se zagotovita ohranjanje in trajnostna raba morske biotske raznovrstnosti na območjih zunaj nacionalne jurisdikcije, in sicer za sedanjost in dolgoročno.</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2: Opredelitev pojmov</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vsebuje opredelitve pojmov, ki se uporabljajo v Direktivi.</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3: Področje uporabe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opisuje primere, za katere se uporablja ta direktiva, in dejavnosti, ki so izključene.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Poglavje 2: Morski genski viri v območjih zunaj nacionalne jurisdikcije in njihovi digitalni sekvenčni zapisi</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4: Splošne določbe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V tem členu so opisane dejavnosti, za katere se uporabljajo določbe poglavja 2, in katere dejavnosti so izključene.</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5: Dejavnosti v zvezi z morskimi genskimi viri na območjih zunaj nacionalne jurisdikcije</w:t>
      </w:r>
    </w:p>
    <w:p w:rsidR="002C4704" w:rsidRPr="00A76C07" w:rsidRDefault="002C4704" w:rsidP="17EDAAC9">
      <w:pPr>
        <w:pBdr>
          <w:top w:val="nil"/>
          <w:left w:val="nil"/>
          <w:bottom w:val="nil"/>
          <w:right w:val="nil"/>
          <w:between w:val="nil"/>
        </w:pBdr>
        <w:spacing w:before="0" w:after="240"/>
        <w:rPr>
          <w:rFonts w:eastAsia="Arial Unicode MS"/>
          <w:noProof/>
        </w:rPr>
      </w:pPr>
      <w:r w:rsidRPr="00A76C07">
        <w:rPr>
          <w:noProof/>
        </w:rPr>
        <w:t>Ta določba določa pristop za zbiranje morskih genskih virov na kraju samem na območjih zunaj nacionalne jurisdikcije, varstvo pravic in interesov drugih držav ter zagotavljanje sodelovanja in usklajevanja.</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6: Sporočanje informacij o dejavnostih v zvezi z morskimi genskimi viri in digitalnimi sekvenčnimi zapisi o morskih genskih virih na območjih zunaj nacionalne jurisdikcije</w:t>
      </w:r>
    </w:p>
    <w:p w:rsidR="002C4704" w:rsidRPr="00A76C07" w:rsidRDefault="002C4704" w:rsidP="654CD96E">
      <w:pPr>
        <w:pBdr>
          <w:top w:val="nil"/>
          <w:left w:val="nil"/>
          <w:bottom w:val="nil"/>
          <w:right w:val="nil"/>
          <w:between w:val="nil"/>
        </w:pBdr>
        <w:spacing w:before="0" w:after="240"/>
        <w:rPr>
          <w:rFonts w:eastAsia="Arial Unicode MS"/>
          <w:noProof/>
        </w:rPr>
      </w:pPr>
      <w:r w:rsidRPr="00A76C07">
        <w:rPr>
          <w:noProof/>
        </w:rPr>
        <w:t>Ta določba se nanaša na potrebo po sistematičnem sporočanju informacij Posredovalnemu mehanizmu za BBNJ o zbiranju morskih genskih virov na kraju samem na območjih zunaj nacionalne jurisdikcije in informacij o tem, kje je mogoče najti rezultate uporabe. Od držav članic zahteva, da sprejmejo zakonodajne, upravne ali politične ukrepe, potrebne za zagotovitev, da se te informacije sporočijo Posredovalnemu mehanizmu za BBNJ.</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7: Deponiranje morskih genskih virov in digitalnih sekvenčnih zapisov o morskih genskih virih na območjih zunaj nacionalne jurisdikcije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 xml:space="preserve">Namen te določbe je zadostiti potrebi, da države članice izrecno zahtevajo, da fizične ali pravne osebe pod njihovo jurisdikcijo, ki uporabljajo morske genske vire, deponirajo vzorce in digitalne sekvenčne zapise o morskih genskih virih na območjih zunaj nacionalne jurisdikcije, skupaj s standardiziranimi identifikacijskimi oznakami serij „BBNJ“, v javno dostopnih odložiščih in podatkovnih zbirkah, ki se vzdržujejo na nacionalni ali mednarodni ravni. Te vzorce in informacije morajo deponirati najpozneje tri leta od začetka take uporabe ali takoj, ko so na voljo, ob upoštevanju trenutne mednarodne prakse. </w:t>
      </w:r>
    </w:p>
    <w:p w:rsidR="000C3F27" w:rsidRPr="00A76C07" w:rsidRDefault="005C7CC1" w:rsidP="002C4704">
      <w:pPr>
        <w:pBdr>
          <w:top w:val="nil"/>
          <w:left w:val="nil"/>
          <w:bottom w:val="nil"/>
          <w:right w:val="nil"/>
          <w:between w:val="nil"/>
        </w:pBdr>
        <w:spacing w:before="0" w:after="240"/>
        <w:rPr>
          <w:rFonts w:eastAsia="Arial Unicode MS"/>
          <w:noProof/>
        </w:rPr>
      </w:pPr>
      <w:r w:rsidRPr="00A76C07">
        <w:rPr>
          <w:noProof/>
        </w:rPr>
        <w:t>Določa, da morajo države članice pristojnemu organu potrditi, da so bila ta deponiranja opravljena. Takšna izmenjava informacij je nujna za zagotovitev enakih konkurenčnih pogojev za preverjanje skladnosti in zagotavljanje skladnosti z mednarodnimi obveznostmi EU iz Sporazuma o BBNJ. Ta člen tudi upošteva, da pomorske raziskave na območjih zunaj nacionalne jurisdikcije trenutno izvajajo mednarodni raziskovalni konzorciji. Če ima oseba, določena za izmenjavo teh informacij, sedež v državi zunaj EU, morajo konzorciji v teh primerih določiti osebo v raziskovalnem projektu, ki ima sedež ali prebivališče v državi članici, da pristojnemu organu zagotovi potrditve o deponiranjih.</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Poglavje 3: Presoje vplivov na okolje</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8: Splošne določbe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od držav članic zahteva, da zagotovijo, da se morebitni vplivi načrtovanih dejavnosti, ki so pod njihovo jurisdikcijo ali pod njihovim nadzorom in potekajo na območjih zunaj nacionalne jurisdikcije, na morsko okolje ocenijo, preden se odobrijo. Namen te določbe je tudi določiti, kaj morajo države članice zajeti v teh ocenah in kako jih usklajevati. Ta določba določa obveznosti za dejavnosti, ki se izvajajo na območjih pod nacionalno jurisdikcijo in ki bodo verjetno imele pomembne učinke na morsko okolje na območjih zunaj nacionalne jurisdikcije.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9: Pregled</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V tem členu so opisane določbe v zvezi s postopkom pregleda, zlasti kadar mora država članica opraviti pregled za načrtovano dejavnost. Določa zahtevano raven podrobnosti, dejavnike, ki jih je treba upoštevati pri končni odločitvi, ter informacije, ki jih je treba dati na voljo javnosti in Posredovalnemu mehanizmu, ustanovljenemu na podlagi Sporazuma o BBNJ.</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10: Določanje obsega in poročilo</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podrobno določa, kako je treba pripraviti poročilo o presoji vplivov na okolje in katere informacije je treba vključiti. Od držav članic zahteva, da zagotovijo, da so poročila o presoji vplivov na okolje dovolj kakovostna, da izpolnjujejo zahteve te direktive.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11: Posvetovanja</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zagotavlja, da države članice javnosti in vsem drugim pogodbenicam Sporazuma o BBNJ omogočijo sodelovanje v postopkih odobritve načrtovanih dejavnosti. Od držav članic zahteva, da dajo določene informacije na voljo javnosti prek Posredovalnega mehanizma za BBNJ in Sekretariata za BBNJ ter da sprejmejo podrobne ureditve za obveščanje deležnikov in posvetovanje z njimi, pri čemer zagotovijo, da se njihov prispevek ustrezno upošteva in obravnava v postopku odločanja.</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12: Odločanje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zagotavlja, da države članice odobrijo le dejavnosti, ki se lahko izvajajo na način, ki je skladen s potrebo po preprečevanju znatnih škodljivih vplivov na morsko okolje, na podlagi izidov posvetovanj iz člena 10. Zagotavlja, da je odločitev na voljo javnosti ter prek Posredovalnega mehanizma za BBNJ in Sekretariata za BBNJ.</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13: Spremljanje</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člen opisuje določbe, ki urejajo redno spremljanje vplivov odobrenih dejavnosti na območjih zunaj nacionalne jurisdikcije, da se ugotovi, ali je verjetno, da bodo te dejavnosti povzročile znatno onesnaženje ali znatne in škodljive spremembe morskega okolja. Opredeljuje potrebo po objavi, tudi prek Posredovalnega mehanizma za BBNJ. Od držav članic zahteva, da pregledajo svoje odločitve v primeru znatnih škodljivih vplivov ali kot odziv na pomisleke ali priporočila pogodbenice Sporazuma o BBNJ ali Znanstvenega in tehničnega organa za BBNJ.</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Člen 14: Dostop do pravnega varstva</w:t>
      </w:r>
    </w:p>
    <w:p w:rsidR="005C7CC1" w:rsidRPr="00A76C07" w:rsidRDefault="005C7CC1" w:rsidP="005C7CC1">
      <w:pPr>
        <w:pBdr>
          <w:top w:val="nil"/>
          <w:left w:val="nil"/>
          <w:bottom w:val="nil"/>
          <w:right w:val="nil"/>
          <w:between w:val="nil"/>
        </w:pBdr>
        <w:spacing w:before="0" w:after="240"/>
        <w:rPr>
          <w:rFonts w:eastAsia="Arial Unicode MS"/>
          <w:noProof/>
        </w:rPr>
      </w:pPr>
      <w:r w:rsidRPr="00A76C07">
        <w:rPr>
          <w:noProof/>
        </w:rPr>
        <w:t>Ta določba zagotavlja, da imajo deležniki pravico do dostopa do revizijskega postopka za izpodbijanje vsebinske ali postopkovne zakonitosti odločitev, dejanj ali opustitev iz poglavja 3 v skladu z Aarhuško konvencijo.</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15: Strateška presoja vplivov načrtov in programov na okolje</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Ta določba spodbuja države članice k izvedbi strateških presoj vplivov na okolje za načrte in programe v zvezi z načrtovanimi dejavnostmi pod njihovo jurisdikcijo ali pod njihovim nadzorom, ki se bodo izvajali na območjih zunaj nacionalne jurisdikcije, da se ocenijo možni učinki takih načrtov ali programov na morsko okolje.</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Poglavje 4: Ukrepi, kot so orodja za upravljanje na posameznih območjih, vključno z morskimi zavarovanimi območji</w:t>
      </w:r>
    </w:p>
    <w:p w:rsidR="002C4704" w:rsidRPr="00A76C07" w:rsidRDefault="002C4704" w:rsidP="002C4704">
      <w:pPr>
        <w:pBdr>
          <w:top w:val="nil"/>
          <w:left w:val="nil"/>
          <w:bottom w:val="nil"/>
          <w:right w:val="nil"/>
          <w:between w:val="nil"/>
        </w:pBdr>
        <w:spacing w:before="0" w:after="240"/>
        <w:rPr>
          <w:rFonts w:eastAsia="Arial Unicode MS"/>
          <w:noProof/>
        </w:rPr>
      </w:pPr>
      <w:r w:rsidRPr="00A76C07">
        <w:rPr>
          <w:noProof/>
        </w:rPr>
        <w:t>Člen 16: Predlog za vzpostavitev orodij za upravljanje na posameznih območjih</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V tem členu so opisane zahteve za države članice pri pripravi predlogov za vzpostavitev orodij za upravljanje na posameznih območjih.</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Člen 17: Vsebina predlogov</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V tem členu je opisana vsebina predlogov držav članic za vzpostavitev orodij za upravljanje na posameznih območjih, vključno z morskimi zavarovanimi območji. Določa, s katerimi deležniki se je treba posvetovati in katere ključne elemente morajo vsebovati predlogi.</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Člen 18: Izvajanje</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Ta določba od držav članic zahteva, da zagotovijo, da se dejavnosti pod njihovo jurisdikcijo ali njihovim nadzorom, ki se izvajajo na območjih zunaj nacionalne jurisdikcije, izvajajo v skladu s sklepi, sprejetimi na podlagi dela III Sporazuma o BBNJ. Od držav članic tudi zahteva, da podpirajo izvajanje sklepov in priporočil Konference pogodbenic iz dela III Sporazuma o BBNJ.</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Člen 19: Udeležba javnosti</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V tej določbi je navedeno, da morajo države članice javnosti omogočiti udeležbo pri pripravi predlogov za vzpostavitev orodij za upravljanje na posameznih območjih, vključno z morskimi zavarovanimi območji.</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Poglavje 5: Končne določbe</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Člen 20: Pristojni organi</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Ta določba od držav članic zahteva, da določijo pristojne organe za izvajanje dolžnosti v skladu s to direktivo.</w:t>
      </w:r>
    </w:p>
    <w:p w:rsidR="008D0408" w:rsidRPr="00A76C07" w:rsidRDefault="008D0408" w:rsidP="008D0408">
      <w:pPr>
        <w:pBdr>
          <w:top w:val="nil"/>
          <w:left w:val="nil"/>
          <w:bottom w:val="nil"/>
          <w:right w:val="nil"/>
          <w:between w:val="nil"/>
        </w:pBdr>
        <w:spacing w:before="0" w:after="240"/>
        <w:rPr>
          <w:rFonts w:eastAsia="Arial Unicode MS"/>
          <w:noProof/>
        </w:rPr>
      </w:pPr>
      <w:r w:rsidRPr="00A76C07">
        <w:rPr>
          <w:noProof/>
        </w:rPr>
        <w:t>Členi 21 do 24:</w:t>
      </w:r>
    </w:p>
    <w:p w:rsidR="008D0408" w:rsidRPr="00A76C07" w:rsidRDefault="008D0408" w:rsidP="008D0408">
      <w:pPr>
        <w:pBdr>
          <w:top w:val="nil"/>
          <w:left w:val="nil"/>
          <w:bottom w:val="nil"/>
          <w:right w:val="nil"/>
          <w:between w:val="nil"/>
        </w:pBdr>
        <w:spacing w:before="0" w:after="240"/>
        <w:rPr>
          <w:noProof/>
        </w:rPr>
      </w:pPr>
      <w:r w:rsidRPr="00A76C07">
        <w:rPr>
          <w:noProof/>
        </w:rPr>
        <w:t>Ti členi vsebujejo nadaljnje določbe o prenosu s strani držav članic, poročanju držav članic, ocenjevanju in poročanju Komisije ter začetku veljavnosti te direktive.</w:t>
      </w:r>
    </w:p>
    <w:p w:rsidR="002F79F5" w:rsidRPr="00A76C07" w:rsidRDefault="002F79F5" w:rsidP="00E662C9">
      <w:pPr>
        <w:spacing w:before="0" w:after="0"/>
        <w:jc w:val="left"/>
        <w:rPr>
          <w:noProof/>
        </w:rPr>
        <w:sectPr w:rsidR="002F79F5" w:rsidRPr="00A76C07" w:rsidSect="00746C9A">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F148AD" w:rsidRDefault="004D6B8F">
      <w:pPr>
        <w:pStyle w:val="Rfrenceinterinstitutionnelle"/>
        <w:rPr>
          <w:noProof/>
        </w:rPr>
      </w:pPr>
      <w:r>
        <w:rPr>
          <w:noProof/>
        </w:rPr>
        <w:t>2025/0090 (COD)</w:t>
      </w:r>
    </w:p>
    <w:p w:rsidR="002F79F5" w:rsidRPr="00A76C07" w:rsidRDefault="00A76C07" w:rsidP="00A76C07">
      <w:pPr>
        <w:pStyle w:val="Statut"/>
        <w:rPr>
          <w:noProof/>
        </w:rPr>
      </w:pPr>
      <w:r w:rsidRPr="00A76C07">
        <w:rPr>
          <w:noProof/>
        </w:rPr>
        <w:t>Predlog</w:t>
      </w:r>
    </w:p>
    <w:p w:rsidR="002F79F5" w:rsidRPr="00A76C07" w:rsidRDefault="00A76C07" w:rsidP="00A76C07">
      <w:pPr>
        <w:pStyle w:val="Typedudocument"/>
        <w:rPr>
          <w:noProof/>
        </w:rPr>
      </w:pPr>
      <w:r w:rsidRPr="00A76C07">
        <w:rPr>
          <w:noProof/>
        </w:rPr>
        <w:t>DIREKTIVA EVROPSKEGA PARLAMENTA IN SVETA</w:t>
      </w:r>
    </w:p>
    <w:p w:rsidR="002F79F5" w:rsidRPr="00A76C07" w:rsidRDefault="00A76C07" w:rsidP="00A76C07">
      <w:pPr>
        <w:pStyle w:val="Titreobjet"/>
        <w:rPr>
          <w:noProof/>
        </w:rPr>
      </w:pPr>
      <w:r w:rsidRPr="00A76C07">
        <w:rPr>
          <w:noProof/>
        </w:rPr>
        <w:t>o ohranjanju in trajnostni rabi morske biotske raznovrstnosti na območjih zunaj nacionalne jurisdikcije</w:t>
      </w:r>
    </w:p>
    <w:p w:rsidR="002F79F5" w:rsidRPr="00A76C07" w:rsidRDefault="002F79F5" w:rsidP="00E662C9">
      <w:pPr>
        <w:pStyle w:val="Institutionquiagit"/>
        <w:rPr>
          <w:noProof/>
        </w:rPr>
      </w:pPr>
      <w:r w:rsidRPr="00A76C07">
        <w:rPr>
          <w:noProof/>
        </w:rPr>
        <w:t>EVROPSKI PARLAMENT IN SVET EVROPSKE UNIJE STA –</w:t>
      </w:r>
    </w:p>
    <w:p w:rsidR="002F79F5" w:rsidRPr="00A76C07" w:rsidRDefault="002F79F5" w:rsidP="00E662C9">
      <w:pPr>
        <w:rPr>
          <w:noProof/>
        </w:rPr>
      </w:pPr>
      <w:r w:rsidRPr="00A76C07">
        <w:rPr>
          <w:noProof/>
        </w:rPr>
        <w:t>ob upoštevanju Pogodbe o delovanju Evropske unije in zlasti člena 192(1) Pogodbe,</w:t>
      </w:r>
    </w:p>
    <w:p w:rsidR="002F79F5" w:rsidRPr="00A76C07" w:rsidRDefault="002F79F5" w:rsidP="00E662C9">
      <w:pPr>
        <w:rPr>
          <w:noProof/>
        </w:rPr>
      </w:pPr>
      <w:r w:rsidRPr="00A76C07">
        <w:rPr>
          <w:noProof/>
        </w:rPr>
        <w:t>ob upoštevanju predloga Evropske komisije,</w:t>
      </w:r>
    </w:p>
    <w:p w:rsidR="002F79F5" w:rsidRPr="00A76C07" w:rsidRDefault="002F79F5" w:rsidP="00E662C9">
      <w:pPr>
        <w:rPr>
          <w:noProof/>
        </w:rPr>
      </w:pPr>
      <w:r w:rsidRPr="00A76C07">
        <w:rPr>
          <w:noProof/>
        </w:rPr>
        <w:t>po posredovanju osnutka zakonodajnega akta nacionalnim parlamentom,</w:t>
      </w:r>
    </w:p>
    <w:p w:rsidR="002F79F5" w:rsidRPr="00A76C07" w:rsidRDefault="002F79F5" w:rsidP="00E662C9">
      <w:pPr>
        <w:rPr>
          <w:noProof/>
        </w:rPr>
      </w:pPr>
      <w:r w:rsidRPr="00A76C07">
        <w:rPr>
          <w:noProof/>
        </w:rPr>
        <w:t>ob upoštevanju mnenja Evropskega ekonomsko-socialnega odbora</w:t>
      </w:r>
      <w:r w:rsidRPr="00A76C07">
        <w:rPr>
          <w:rStyle w:val="FootnoteReference"/>
          <w:noProof/>
        </w:rPr>
        <w:footnoteReference w:id="11"/>
      </w:r>
      <w:r w:rsidRPr="00A76C07">
        <w:rPr>
          <w:noProof/>
        </w:rPr>
        <w:t xml:space="preserve">, </w:t>
      </w:r>
    </w:p>
    <w:p w:rsidR="002F79F5" w:rsidRPr="00A76C07" w:rsidRDefault="002F79F5" w:rsidP="00E662C9">
      <w:pPr>
        <w:rPr>
          <w:noProof/>
        </w:rPr>
      </w:pPr>
      <w:r w:rsidRPr="00A76C07">
        <w:rPr>
          <w:noProof/>
        </w:rPr>
        <w:t>ob upoštevanju mnenja Odbora regij</w:t>
      </w:r>
      <w:r w:rsidRPr="00A76C07">
        <w:rPr>
          <w:rStyle w:val="FootnoteReference"/>
          <w:noProof/>
        </w:rPr>
        <w:footnoteReference w:id="12"/>
      </w:r>
      <w:r w:rsidRPr="00A76C07">
        <w:rPr>
          <w:noProof/>
        </w:rPr>
        <w:t xml:space="preserve">, </w:t>
      </w:r>
    </w:p>
    <w:p w:rsidR="002F79F5" w:rsidRPr="00A76C07" w:rsidRDefault="002F79F5" w:rsidP="00E662C9">
      <w:pPr>
        <w:rPr>
          <w:noProof/>
        </w:rPr>
      </w:pPr>
      <w:r w:rsidRPr="00A76C07">
        <w:rPr>
          <w:noProof/>
        </w:rPr>
        <w:t>v skladu z rednim zakonodajnim postopkom,</w:t>
      </w:r>
    </w:p>
    <w:p w:rsidR="002F79F5" w:rsidRPr="00A76C07" w:rsidRDefault="002F79F5" w:rsidP="00E662C9">
      <w:pPr>
        <w:rPr>
          <w:noProof/>
        </w:rPr>
      </w:pPr>
      <w:r w:rsidRPr="00A76C07">
        <w:rPr>
          <w:noProof/>
        </w:rPr>
        <w:t>ob upoštevanju naslednjega:</w:t>
      </w:r>
    </w:p>
    <w:p w:rsidR="02481E70" w:rsidRPr="00A76C07" w:rsidRDefault="00782DD3" w:rsidP="00782DD3">
      <w:pPr>
        <w:pStyle w:val="ManualConsidrant"/>
        <w:rPr>
          <w:noProof/>
        </w:rPr>
      </w:pPr>
      <w:r w:rsidRPr="00782DD3">
        <w:rPr>
          <w:noProof/>
        </w:rPr>
        <w:t>(1)</w:t>
      </w:r>
      <w:r w:rsidRPr="00782DD3">
        <w:rPr>
          <w:noProof/>
        </w:rPr>
        <w:tab/>
      </w:r>
      <w:r w:rsidR="006F0A2E" w:rsidRPr="00A76C07">
        <w:rPr>
          <w:noProof/>
        </w:rPr>
        <w:t xml:space="preserve">Obravnavati je treba izgubo biotske raznovrstnosti in degradacijo oceanskih ekosistemov, zlasti zaradi vplivov podnebnih sprememb na morske ekosisteme, kot so segrevanje in zmanjševanje količine kisika v oceanih, zakisljevanje oceanov, onesnaževanje (vključno z onesnaževanjem s plastiko) in netrajnostna raba oceanov. V ta namen je treba določiti pravila na ravni EU za izvajanje mednarodnih obveznosti Unije in njenih držav članic. </w:t>
      </w:r>
    </w:p>
    <w:p w:rsidR="00920C50" w:rsidRPr="00A76C07" w:rsidRDefault="00782DD3" w:rsidP="00782DD3">
      <w:pPr>
        <w:pStyle w:val="ManualConsidrant"/>
        <w:rPr>
          <w:noProof/>
        </w:rPr>
      </w:pPr>
      <w:r w:rsidRPr="00782DD3">
        <w:rPr>
          <w:noProof/>
        </w:rPr>
        <w:t>(2)</w:t>
      </w:r>
      <w:r w:rsidRPr="00782DD3">
        <w:rPr>
          <w:noProof/>
        </w:rPr>
        <w:tab/>
      </w:r>
      <w:r w:rsidR="00920C50" w:rsidRPr="00A76C07">
        <w:rPr>
          <w:noProof/>
        </w:rPr>
        <w:t>Namen Sporazuma na podlagi Konvencije Združenih narodov o pomorskem mednarodnem pravu glede ohranjanja in trajnostne rabe morske biotske raznovrstnosti na območjih zunaj nacionalne jurisdikcije</w:t>
      </w:r>
      <w:r w:rsidR="00920C50" w:rsidRPr="00A76C07">
        <w:rPr>
          <w:rStyle w:val="FootnoteReference"/>
          <w:noProof/>
        </w:rPr>
        <w:footnoteReference w:id="13"/>
      </w:r>
      <w:r w:rsidR="00920C50" w:rsidRPr="00A76C07">
        <w:rPr>
          <w:noProof/>
        </w:rPr>
        <w:t xml:space="preserve"> (v nadaljnjem besedilu: Sporazum o BBNJ ali Sporazum) je zagotoviti ohranjanje in trajnostno rabo morske biotske raznovrstnosti na območjih zunaj nacionalne jurisdikcije za sedanjost in dolgoročno, in sicer z učinkovitim izvajanjem ustreznih določb Konvencije Združenih narodov o pomorskem mednarodnem pravu, pogodbenice katere so Unija in njene države članice, ter nadaljnjim mednarodnim sodelovanjem in usklajevanjem. </w:t>
      </w:r>
    </w:p>
    <w:p w:rsidR="35F6981B" w:rsidRPr="00A76C07" w:rsidRDefault="00782DD3" w:rsidP="00782DD3">
      <w:pPr>
        <w:pStyle w:val="ManualConsidrant"/>
        <w:rPr>
          <w:noProof/>
        </w:rPr>
      </w:pPr>
      <w:r w:rsidRPr="00782DD3">
        <w:rPr>
          <w:noProof/>
        </w:rPr>
        <w:t>(3)</w:t>
      </w:r>
      <w:r w:rsidRPr="00782DD3">
        <w:rPr>
          <w:noProof/>
        </w:rPr>
        <w:tab/>
      </w:r>
      <w:r w:rsidR="7BDDF18A" w:rsidRPr="00A76C07">
        <w:rPr>
          <w:noProof/>
        </w:rPr>
        <w:t>Ta direktiva bi morala v zakonodajo Unije prenesti obveznosti, ki izhajajo iz Sporazuma o BBNJ na področju varstva okolja, ob priznavanju, da bi bilo njeno nadaljnje izvajanje odvisno tudi od mednarodnega sodelovanja in usklajevanja, zlasti kot je določeno v navedenem sporazumu.</w:t>
      </w:r>
    </w:p>
    <w:p w:rsidR="253FE596" w:rsidRPr="00A76C07" w:rsidRDefault="00782DD3" w:rsidP="00782DD3">
      <w:pPr>
        <w:pStyle w:val="ManualConsidrant"/>
        <w:rPr>
          <w:noProof/>
        </w:rPr>
      </w:pPr>
      <w:r w:rsidRPr="00782DD3">
        <w:rPr>
          <w:noProof/>
        </w:rPr>
        <w:t>(4)</w:t>
      </w:r>
      <w:r w:rsidRPr="00782DD3">
        <w:rPr>
          <w:noProof/>
        </w:rPr>
        <w:tab/>
      </w:r>
      <w:r w:rsidR="253FE596" w:rsidRPr="00A76C07">
        <w:rPr>
          <w:noProof/>
        </w:rPr>
        <w:t>EU je Sporazum o BBNJ podpisala 20. septembra 2023. Svet je 17. junija 2024 sprejel Sklep Sveta (EU) 2024/1830</w:t>
      </w:r>
      <w:r w:rsidR="253FE596" w:rsidRPr="00A76C07">
        <w:rPr>
          <w:rStyle w:val="FootnoteReference"/>
          <w:noProof/>
        </w:rPr>
        <w:footnoteReference w:id="14"/>
      </w:r>
      <w:r w:rsidR="253FE596" w:rsidRPr="00A76C07">
        <w:rPr>
          <w:noProof/>
        </w:rPr>
        <w:t xml:space="preserve"> o sklenitvi Sporazuma o BBNJ v imenu Unije. Unija še ni deponirala listine o odobritvi Sporazuma o BBNJ. V skladu s členom 68(1) Sporazuma o BBNJ bo ta začel veljati 120 dni po datumu deponiranja šestdesete listine o ratifikaciji, odobritvi, sprejetju ali pristopu.</w:t>
      </w:r>
    </w:p>
    <w:p w:rsidR="00EB52CF" w:rsidRPr="00A76C07" w:rsidRDefault="00782DD3" w:rsidP="00782DD3">
      <w:pPr>
        <w:pStyle w:val="ManualConsidrant"/>
        <w:rPr>
          <w:noProof/>
        </w:rPr>
      </w:pPr>
      <w:r w:rsidRPr="00782DD3">
        <w:rPr>
          <w:noProof/>
        </w:rPr>
        <w:t>(5)</w:t>
      </w:r>
      <w:r w:rsidRPr="00782DD3">
        <w:rPr>
          <w:noProof/>
        </w:rPr>
        <w:tab/>
      </w:r>
      <w:r w:rsidR="4B98077E" w:rsidRPr="00A76C07">
        <w:rPr>
          <w:noProof/>
        </w:rPr>
        <w:t xml:space="preserve">Unija je zavezana, da si bo bolj prizadevala za boj proti podnebnim spremembam in izvajanju Pariškega sporazuma, sprejetega na podlagi Okvirne konvencije Združenih narodov o spremembi podnebja (v nadaljnjem besedilu: Pariški sporazum) na osnovi njenih načel in najboljših razpoložljivih znanstvenih dognanj v okviru dolgoročnega cilja glede temperature iz Pariškega sporazuma. </w:t>
      </w:r>
    </w:p>
    <w:p w:rsidR="00EB52CF" w:rsidRPr="00A76C07" w:rsidRDefault="00782DD3" w:rsidP="00782DD3">
      <w:pPr>
        <w:pStyle w:val="ManualConsidrant"/>
        <w:rPr>
          <w:noProof/>
        </w:rPr>
      </w:pPr>
      <w:r w:rsidRPr="00782DD3">
        <w:rPr>
          <w:noProof/>
        </w:rPr>
        <w:t>(6)</w:t>
      </w:r>
      <w:r w:rsidRPr="00782DD3">
        <w:rPr>
          <w:noProof/>
        </w:rPr>
        <w:tab/>
      </w:r>
      <w:r w:rsidR="29943B85" w:rsidRPr="00A76C07">
        <w:rPr>
          <w:noProof/>
        </w:rPr>
        <w:t>Konvencija o biološki raznovrstnosti je bila odobrena v imenu Unije v skladu s Sklepom Sveta 93/626/EGS</w:t>
      </w:r>
      <w:r w:rsidR="29943B85" w:rsidRPr="00A76C07">
        <w:rPr>
          <w:rStyle w:val="FootnoteReference"/>
          <w:noProof/>
        </w:rPr>
        <w:footnoteReference w:id="15"/>
      </w:r>
      <w:r w:rsidR="29943B85" w:rsidRPr="00A76C07">
        <w:rPr>
          <w:noProof/>
        </w:rPr>
        <w:t>. Nagojski protokol o dostopu do genskih virov ter pošteni in pravični delitvi koristi, ki izhajajo iz njihove uporabe, h Konvenciji o biološki raznovrstnosti je bil v imenu EU odobren v skladu s Sklepom Sveta 2014/283/EU</w:t>
      </w:r>
      <w:r w:rsidR="29943B85" w:rsidRPr="00A76C07">
        <w:rPr>
          <w:rStyle w:val="FootnoteReference"/>
          <w:noProof/>
        </w:rPr>
        <w:footnoteReference w:id="16"/>
      </w:r>
      <w:r w:rsidR="29943B85" w:rsidRPr="00A76C07">
        <w:rPr>
          <w:noProof/>
        </w:rPr>
        <w:t xml:space="preserve"> in Uredbo (EU) št. 511/2014 Evropskega parlamenta in Sveta. Konvencija določa okvir za ukrepe za izpolnjevanje Nagojskega protokola o dostopu do genskih virov ter pošteni in pravični delitvi koristi, ki izhajajo iz njihove uporabe, v Uniji.</w:t>
      </w:r>
    </w:p>
    <w:p w:rsidR="00EB52CF" w:rsidRPr="00A76C07" w:rsidRDefault="00782DD3" w:rsidP="00782DD3">
      <w:pPr>
        <w:pStyle w:val="ManualConsidrant"/>
        <w:rPr>
          <w:noProof/>
        </w:rPr>
      </w:pPr>
      <w:r w:rsidRPr="00782DD3">
        <w:rPr>
          <w:noProof/>
        </w:rPr>
        <w:t>(7)</w:t>
      </w:r>
      <w:r w:rsidRPr="00782DD3">
        <w:rPr>
          <w:noProof/>
        </w:rPr>
        <w:tab/>
      </w:r>
      <w:r w:rsidR="14BE504D" w:rsidRPr="00A76C07">
        <w:rPr>
          <w:noProof/>
        </w:rPr>
        <w:t>Unija in njene države članice so kot pogodbenice Konvencije o biološki raznovrstnosti zavezane doseganju splošnih in posamičnih ciljev Kunminško-montrealskega svetovnega okvira za biotsko raznovrstnost, sprejetega na petnajstem zasedanju Konference pogodbenic Konvencije o biološki raznovrstnosti od 7. do 19. decembra 2022, in dolgoročne strateške vizije, da je treba do leta 2050 biotsko raznovrstnost ceniti, ohranjati, obnavljati in smotrno uporabljati, hkrati pa ohranjati tudi ekosistemske storitve, zdrav planet ter zagotavljati koristi, ki so bistvenega pomena za vse ljudi. Strategija EU za biotsko raznovrstnost do leta 2030 v sporočilu Komisije z dne 20. maja 2020 z naslovom „Strategija EU za biotsko raznovrstnost do leta 2023 – Vračanje narave v naša življenja“ določa več ciljev, vključno s ciljem obnovitve dobrega okoljskega stanja morskih ekosistemov.</w:t>
      </w:r>
    </w:p>
    <w:p w:rsidR="00EB52CF" w:rsidRPr="00A76C07" w:rsidRDefault="00782DD3" w:rsidP="00782DD3">
      <w:pPr>
        <w:pStyle w:val="ManualConsidrant"/>
        <w:rPr>
          <w:noProof/>
        </w:rPr>
      </w:pPr>
      <w:r w:rsidRPr="00782DD3">
        <w:rPr>
          <w:noProof/>
        </w:rPr>
        <w:t>(8)</w:t>
      </w:r>
      <w:r w:rsidRPr="00782DD3">
        <w:rPr>
          <w:noProof/>
        </w:rPr>
        <w:tab/>
      </w:r>
      <w:r w:rsidR="29943B85" w:rsidRPr="00A76C07">
        <w:rPr>
          <w:noProof/>
        </w:rPr>
        <w:t>Direktiva (EU) 2019/1024</w:t>
      </w:r>
      <w:r w:rsidR="29943B85" w:rsidRPr="00A76C07">
        <w:rPr>
          <w:rStyle w:val="FootnoteReference"/>
          <w:noProof/>
        </w:rPr>
        <w:footnoteReference w:id="17"/>
      </w:r>
      <w:r w:rsidR="29943B85" w:rsidRPr="00A76C07">
        <w:rPr>
          <w:noProof/>
        </w:rPr>
        <w:t xml:space="preserve"> Evropskega parlamenta in Sveta spodbuja organe javnega sektorja in javna podjetja, naj pripravijo in dajo na voljo raziskovalne podatke v skladu z načelom „vgrajena in privzeta odprtost“ ter načeli FAIR. Ta direktiva nalaga tudi izmenjavo nekaterih raziskovalnih podatkov za njihovo ponovno uporabo. </w:t>
      </w:r>
    </w:p>
    <w:p w:rsidR="00380A6A" w:rsidRPr="00A76C07" w:rsidRDefault="00782DD3" w:rsidP="00782DD3">
      <w:pPr>
        <w:pStyle w:val="ManualConsidrant"/>
        <w:rPr>
          <w:noProof/>
        </w:rPr>
      </w:pPr>
      <w:r w:rsidRPr="00782DD3">
        <w:rPr>
          <w:noProof/>
        </w:rPr>
        <w:t>(9)</w:t>
      </w:r>
      <w:r w:rsidRPr="00782DD3">
        <w:rPr>
          <w:noProof/>
        </w:rPr>
        <w:tab/>
      </w:r>
      <w:r w:rsidR="030B0AF8" w:rsidRPr="00A76C07">
        <w:rPr>
          <w:noProof/>
        </w:rPr>
        <w:t xml:space="preserve">V skladu s Sporazumom o BBNJ so dejavnosti v zvezi z morskimi genskimi viri in digitalnimi sekvenčnimi zapisi o morskih genskih virih na območjih zunaj nacionalne jurisdikcije v interesu vseh držav in v korist vsega človeštva, zlasti v korist razvoja znanstvenega znanja človeštva ter spodbujanja ohranjanja in trajnostne rabe morske biotske raznovrstnosti, ob upoštevanju interesov in potreb držav v razvoju. </w:t>
      </w:r>
    </w:p>
    <w:p w:rsidR="00EB52CF" w:rsidRPr="00A76C07" w:rsidRDefault="00782DD3" w:rsidP="00782DD3">
      <w:pPr>
        <w:pStyle w:val="ManualConsidrant"/>
        <w:rPr>
          <w:noProof/>
        </w:rPr>
      </w:pPr>
      <w:r w:rsidRPr="00782DD3">
        <w:rPr>
          <w:noProof/>
        </w:rPr>
        <w:t>(10)</w:t>
      </w:r>
      <w:r w:rsidRPr="00782DD3">
        <w:rPr>
          <w:noProof/>
        </w:rPr>
        <w:tab/>
      </w:r>
      <w:r w:rsidR="00380A6A" w:rsidRPr="00A76C07">
        <w:rPr>
          <w:noProof/>
        </w:rPr>
        <w:t xml:space="preserve">V skladu s členom 9 Sporazuma o BBNJ je treba spodbujati pošteno in pravično delitev koristi, ki izhajajo iz dejavnosti v zvezi z morskimi genskimi viri in digitalnimi sekvenčnimi zapisi o morskih genskih virih na območjih zunaj nacionalne jurisdikcije, za ohranjanje in trajnostno rabo morske biotske raznovrstnosti na območjih zunaj nacionalne jurisdikcije; </w:t>
      </w:r>
    </w:p>
    <w:p w:rsidR="00EB52CF" w:rsidRPr="00A76C07" w:rsidRDefault="00782DD3" w:rsidP="00782DD3">
      <w:pPr>
        <w:pStyle w:val="ManualConsidrant"/>
        <w:rPr>
          <w:noProof/>
        </w:rPr>
      </w:pPr>
      <w:r w:rsidRPr="00782DD3">
        <w:rPr>
          <w:noProof/>
        </w:rPr>
        <w:t>(11)</w:t>
      </w:r>
      <w:r w:rsidRPr="00782DD3">
        <w:rPr>
          <w:noProof/>
        </w:rPr>
        <w:tab/>
      </w:r>
      <w:r w:rsidR="005D33C3" w:rsidRPr="00A76C07">
        <w:rPr>
          <w:noProof/>
        </w:rPr>
        <w:t>EU je deponirala izjemo 2024/1833 v skladu s členom 70 v povezavi s členom 10(1) Sporazuma o BBNJ glede retroaktivnih učinkov iz drugega stavka navedenega člena. To pomeni, da se bodo določbe Sporazuma za Unijo uporabljale le za dejavnosti v zvezi z morskimi genskimi viri in digitalnimi sekvenčnimi zapisi o morskih genskih virih na območjih zunaj nacionalne jurisdikcije, zbranimi in ustvarjenimi po začetku veljavnosti Sporazuma o BBNJ za Unijo.</w:t>
      </w:r>
    </w:p>
    <w:p w:rsidR="005D33C3" w:rsidRPr="00A76C07" w:rsidRDefault="00782DD3" w:rsidP="00782DD3">
      <w:pPr>
        <w:pStyle w:val="ManualConsidrant"/>
        <w:rPr>
          <w:noProof/>
        </w:rPr>
      </w:pPr>
      <w:r w:rsidRPr="00782DD3">
        <w:rPr>
          <w:noProof/>
        </w:rPr>
        <w:t>(12)</w:t>
      </w:r>
      <w:r w:rsidRPr="00782DD3">
        <w:rPr>
          <w:noProof/>
        </w:rPr>
        <w:tab/>
      </w:r>
      <w:r w:rsidR="005D33C3" w:rsidRPr="00A76C07">
        <w:rPr>
          <w:noProof/>
        </w:rPr>
        <w:t>Pri dostopu do tradicionalnega znanja v zvezi z morskimi genskimi viri, zbranimi na območjih zunaj nacionalne jurisdikcije, ki ga imajo domorodna ljudstva in lokalne skupnosti, bi bilo treba tak dostop omogočiti s prostovoljnim, predhodnim in informiranim soglasjem ali odobritvijo in sodelovanjem teh domorodnih ljudstev in lokalnih skupnosti, kot je določeno v členu 13 Sporazuma o BBNJ. V takih primerih bi se morala uporabljati vsa veljavna nacionalna zakonodaja, ki domorodnim ljudstvom in lokalnim skupnostim s tradicionalnim znanjem omogoča, da izdajo prostovoljno, predhodno in informirano soglasje.</w:t>
      </w:r>
    </w:p>
    <w:p w:rsidR="00894FDC" w:rsidRPr="00A76C07" w:rsidRDefault="00782DD3" w:rsidP="00782DD3">
      <w:pPr>
        <w:pStyle w:val="ManualConsidrant"/>
        <w:rPr>
          <w:noProof/>
        </w:rPr>
      </w:pPr>
      <w:r w:rsidRPr="00782DD3">
        <w:rPr>
          <w:noProof/>
        </w:rPr>
        <w:t>(13)</w:t>
      </w:r>
      <w:r w:rsidRPr="00782DD3">
        <w:rPr>
          <w:noProof/>
        </w:rPr>
        <w:tab/>
      </w:r>
      <w:r w:rsidR="749A613B" w:rsidRPr="00A76C07">
        <w:rPr>
          <w:noProof/>
        </w:rPr>
        <w:t>Za zmanjšanje upravnega bremena in stroškov izvajanja lahko države članice za izpolnitev namena te direktive uporabijo digitalno platformo, ki jo zagotovi Komisija, če je na voljo.</w:t>
      </w:r>
    </w:p>
    <w:p w:rsidR="00B15250" w:rsidRPr="00A76C07" w:rsidRDefault="00782DD3" w:rsidP="00782DD3">
      <w:pPr>
        <w:pStyle w:val="ManualConsidrant"/>
        <w:rPr>
          <w:noProof/>
        </w:rPr>
      </w:pPr>
      <w:r w:rsidRPr="00782DD3">
        <w:rPr>
          <w:noProof/>
        </w:rPr>
        <w:t>(14)</w:t>
      </w:r>
      <w:r w:rsidRPr="00782DD3">
        <w:rPr>
          <w:noProof/>
        </w:rPr>
        <w:tab/>
      </w:r>
      <w:r w:rsidR="1158FAD8" w:rsidRPr="00A76C07">
        <w:rPr>
          <w:noProof/>
        </w:rPr>
        <w:t>Sporazum o BBNJ omogoča vzpostavitev orodij za upravljanje na posameznih območjih, vključno z morskimi zavarovanimi območji, na območjih zunaj nacionalne jurisdikcije. Ukrepe, ki jih sprejme Konferenca pogodbenic v okviru Sporazuma o BBNJ, bi bilo treba izvajati in po potrebi prenesti v zakonodajo EU. Do prenosa države članice ne bi smele ogrožati učinkovitosti sprejetih ukrepov. Pred predložitvijo kakršnega koli predloga za vzpostavitev orodij za upravljanje na posameznih območjih ali predloga za sprejetje nujnega ukrepa, predloženega Sekretariatu za BBNJ, je treba določiti postopke, potrebne za zagotovitev usklajevanja med državami članicami in Komisijo.</w:t>
      </w:r>
    </w:p>
    <w:p w:rsidR="0040591E" w:rsidRPr="00A76C07" w:rsidRDefault="00782DD3" w:rsidP="00782DD3">
      <w:pPr>
        <w:pStyle w:val="ManualConsidrant"/>
        <w:rPr>
          <w:noProof/>
        </w:rPr>
      </w:pPr>
      <w:r w:rsidRPr="00782DD3">
        <w:rPr>
          <w:noProof/>
        </w:rPr>
        <w:t>(15)</w:t>
      </w:r>
      <w:r w:rsidRPr="00782DD3">
        <w:rPr>
          <w:noProof/>
        </w:rPr>
        <w:tab/>
      </w:r>
      <w:r w:rsidR="00DE2DDC" w:rsidRPr="00A76C07">
        <w:rPr>
          <w:noProof/>
        </w:rPr>
        <w:t>V skladu s to direktivo bi morala Komisija za vsak predlog za vzpostavitev orodij za upravljanje na posameznih območjih ali vsak predlog za sprejetje nujnega ukrepa v skladu s členom 19 in členom 24(3) Sporazuma o BBNJ opraviti predhodno pravno oceno. Ta ocena bi morala vključevati oceno potrebe, da Unija tak predlog predloži Sekretariatu za BBNJ.</w:t>
      </w:r>
    </w:p>
    <w:p w:rsidR="00EB52CF" w:rsidRPr="00A76C07" w:rsidRDefault="00782DD3" w:rsidP="00782DD3">
      <w:pPr>
        <w:pStyle w:val="ManualConsidrant"/>
        <w:rPr>
          <w:noProof/>
        </w:rPr>
      </w:pPr>
      <w:r w:rsidRPr="00782DD3">
        <w:rPr>
          <w:noProof/>
        </w:rPr>
        <w:t>(16)</w:t>
      </w:r>
      <w:r w:rsidRPr="00782DD3">
        <w:rPr>
          <w:noProof/>
        </w:rPr>
        <w:tab/>
      </w:r>
      <w:r w:rsidR="375F6325" w:rsidRPr="00A76C07">
        <w:rPr>
          <w:noProof/>
        </w:rPr>
        <w:t xml:space="preserve">Sporazum o BBNJ vsebuje določbe o presoji vplivov na okolje na območjih zunaj nacionalne jurisdikcije, da se upošteva razvoj na mednarodni ravni. Glede na obveznosti, ki izhajajo iz Sporazuma o BBNJ, je treba določiti minimalne določbe o tem, kako se te obveznosti izvajajo v Uniji, da se zagotovijo enaki konkurenčni pogoji med državami članicami in preprečijo nasprotujoče si zahteve. Oceniti bi bilo treba učinke načrtovanih dejavnosti, ki se izvajajo na območjih zunaj nacionalne jurisdikcije, na morsko okolje, da bi se upoštevali pomisleki glede varovanja zdravja ljudi, izboljšala kakovost življenja z ustvarjanjem boljšega okolja ter ohranila raznolikost vrst in reproduktivna zmogljivost ekosistema kot osnovnega življenjskega vira. </w:t>
      </w:r>
    </w:p>
    <w:p w:rsidR="00EB52CF" w:rsidRPr="00A76C07" w:rsidRDefault="00782DD3" w:rsidP="00782DD3">
      <w:pPr>
        <w:pStyle w:val="ManualConsidrant"/>
        <w:rPr>
          <w:noProof/>
        </w:rPr>
      </w:pPr>
      <w:r w:rsidRPr="00782DD3">
        <w:rPr>
          <w:noProof/>
        </w:rPr>
        <w:t>(17)</w:t>
      </w:r>
      <w:r w:rsidRPr="00782DD3">
        <w:rPr>
          <w:noProof/>
        </w:rPr>
        <w:tab/>
      </w:r>
      <w:r w:rsidR="375F6325" w:rsidRPr="00A76C07">
        <w:rPr>
          <w:noProof/>
        </w:rPr>
        <w:t xml:space="preserve">Unija je pogodbenica Konvencije Ekonomske komisije Združenih narodov za Evropo o dostopu do informacij, udeležbi javnosti pri odločanju in dostopu do pravnega varstva v okoljskih zadevah, podpisane 25. junija 1998 v Aarhusu in ratificirane 17. februarja 2005. Unija je pogodbenica Konvencije Ekonomske komisije Združenih narodov za Evropo o presoji čezmejnih vplivov na okolje, podpisane 25. februarja 1991 v Espooju in ratificirane 24. junija 1997. Obveznosti iz teh konvencij bi se morale še naprej uporabljati na področjih, ki spadajo na področje uporabe te direktive. Cilj Konvencije iz Espooja je okrepiti mednarodno sodelovanje pri presoji vplivov na okolje, zlasti v čezmejnem okviru. Cilji Aarhuške konvencije vključujejo zagotovitev pravice udeležbe javnosti pri odločanju o okoljskih zadevah, da bi prispevali k varovanju pravice živeti v okolju, ki je primerno za osebno zdravje in dobro počutje. V okviru področja uporabe te direktive bi bilo treba pravice do udeležbe javnosti pri odločanju v okoljskih zadevah uresničevati v skladu z istimi načeli, kot so določena v Aarhuški konvenciji. </w:t>
      </w:r>
    </w:p>
    <w:p w:rsidR="00EB52CF" w:rsidRPr="00A76C07" w:rsidRDefault="00782DD3" w:rsidP="00782DD3">
      <w:pPr>
        <w:pStyle w:val="ManualConsidrant"/>
        <w:rPr>
          <w:noProof/>
        </w:rPr>
      </w:pPr>
      <w:r w:rsidRPr="00782DD3">
        <w:rPr>
          <w:noProof/>
        </w:rPr>
        <w:t>(18)</w:t>
      </w:r>
      <w:r w:rsidRPr="00782DD3">
        <w:rPr>
          <w:noProof/>
        </w:rPr>
        <w:tab/>
      </w:r>
      <w:r w:rsidR="29943B85" w:rsidRPr="00A76C07">
        <w:rPr>
          <w:noProof/>
        </w:rPr>
        <w:t>Čeprav je namen te direktive zagotoviti pravni okvir, ki ureja dejavnosti, ki se izvajajo na območjih zunaj nacionalne jurisdikcije, bi bilo treba vse dejavnosti, ki se bodo izvajale na območjih znotraj nacionalne jurisdikcije in bodo verjetno imele pomembne učinke na morsko okolje na območjih zunaj nacionalne jurisdikcije, oceniti v skladu z Direktivo 2011/92/EU Evropskega parlamenta in Sveta</w:t>
      </w:r>
      <w:r w:rsidR="29943B85" w:rsidRPr="00A76C07">
        <w:rPr>
          <w:rStyle w:val="FootnoteReference"/>
          <w:noProof/>
        </w:rPr>
        <w:footnoteReference w:id="18"/>
      </w:r>
      <w:r w:rsidR="29943B85" w:rsidRPr="00A76C07">
        <w:rPr>
          <w:noProof/>
        </w:rPr>
        <w:t>, drugo ustrezno zakonodajo EU, ki vsebuje določbe v zvezi z okoljskimi presojami za načrtovane dejavnosti</w:t>
      </w:r>
      <w:r w:rsidR="29943B85" w:rsidRPr="00A76C07">
        <w:rPr>
          <w:rStyle w:val="FootnoteReference"/>
          <w:noProof/>
        </w:rPr>
        <w:footnoteReference w:id="19"/>
      </w:r>
      <w:r w:rsidR="29943B85" w:rsidRPr="00A76C07">
        <w:rPr>
          <w:noProof/>
        </w:rPr>
        <w:t>, ter nacionalnimi zakoni, s katerimi se prenaša zakonodaja EU. V skladu s členom 28(2) Sporazuma o BBNJ bi bilo treba v EU take dejavnosti, ki se izvajajo na območjih v nacionalni pristojnosti, ocenjevati v skladu z uveljavljenimi pravili EU. V navedenih primerih bi morale države članice zagotoviti, da izpolnjujejo obveznosti iz Sporazuma o BBNJ.</w:t>
      </w:r>
    </w:p>
    <w:p w:rsidR="00EB52CF" w:rsidRPr="00A76C07" w:rsidRDefault="00782DD3" w:rsidP="00782DD3">
      <w:pPr>
        <w:pStyle w:val="ManualConsidrant"/>
        <w:rPr>
          <w:noProof/>
        </w:rPr>
      </w:pPr>
      <w:r w:rsidRPr="00782DD3">
        <w:rPr>
          <w:noProof/>
        </w:rPr>
        <w:t>(19)</w:t>
      </w:r>
      <w:r w:rsidRPr="00782DD3">
        <w:rPr>
          <w:noProof/>
        </w:rPr>
        <w:tab/>
      </w:r>
      <w:r w:rsidR="00F17BAE" w:rsidRPr="00A76C07">
        <w:rPr>
          <w:noProof/>
        </w:rPr>
        <w:t>Ker drugi veljavni pravni instrumenti ali okviri ali svetovni, regionalni, podregionalni ali sektorski organi zagotavljajo okvir za presojo vplivov načrtovanih dejavnosti pod nacionalno jurisdikcijo ali nadzorom, ki se izvajajo na območjih zunaj nacionalne jurisdikcije, se od držav članic ne bi smelo zahtevati, da izvedejo pregled ali presojo vplivov na okolje v skladu s to direktivo pod pogoji iz člena 29(4) Sporazuma o BBNJ. V takih primerih bi morala zadevna država članica zagotoviti, da se poročilo o presoji vplivov na okolje objavi prek Posredovalnega mehanizma za BBNJ.</w:t>
      </w:r>
    </w:p>
    <w:p w:rsidR="00EB52CF" w:rsidRPr="00A76C07" w:rsidRDefault="00782DD3" w:rsidP="00782DD3">
      <w:pPr>
        <w:pStyle w:val="ManualConsidrant"/>
        <w:rPr>
          <w:noProof/>
        </w:rPr>
      </w:pPr>
      <w:r w:rsidRPr="00782DD3">
        <w:rPr>
          <w:noProof/>
        </w:rPr>
        <w:t>(20)</w:t>
      </w:r>
      <w:r w:rsidRPr="00782DD3">
        <w:rPr>
          <w:noProof/>
        </w:rPr>
        <w:tab/>
      </w:r>
      <w:r w:rsidR="29943B85" w:rsidRPr="00A76C07">
        <w:rPr>
          <w:noProof/>
        </w:rPr>
        <w:t>Vsi načrti ali programi, ki jih pripravijo ali sprejmejo nacionalni, regionalni ali lokalni organi držav članic in ki bodo verjetno imeli pomembne učinke na morsko okolje na območjih zunaj nacionalne jurisdikcije, bi morali biti predmet presoje v skladu z Direktivo 2001/42/ES Evropskega parlamenta in Sveta</w:t>
      </w:r>
      <w:r w:rsidR="29943B85" w:rsidRPr="00A76C07">
        <w:rPr>
          <w:rStyle w:val="FootnoteReference"/>
          <w:noProof/>
        </w:rPr>
        <w:footnoteReference w:id="20"/>
      </w:r>
      <w:r w:rsidR="29943B85" w:rsidRPr="00A76C07">
        <w:rPr>
          <w:rStyle w:val="FootnoteReference"/>
          <w:noProof/>
        </w:rPr>
        <w:t xml:space="preserve">  </w:t>
      </w:r>
      <w:r w:rsidR="29943B85" w:rsidRPr="00A76C07">
        <w:rPr>
          <w:noProof/>
        </w:rPr>
        <w:t>ter nacionalnimi zakoni, s katerimi se navedena direktiva prenaša v nacionalno zakonodajo.</w:t>
      </w:r>
    </w:p>
    <w:p w:rsidR="00EA4DC0" w:rsidRPr="00A76C07" w:rsidRDefault="00782DD3" w:rsidP="00782DD3">
      <w:pPr>
        <w:pStyle w:val="ManualConsidrant"/>
        <w:rPr>
          <w:noProof/>
        </w:rPr>
      </w:pPr>
      <w:r w:rsidRPr="00782DD3">
        <w:rPr>
          <w:noProof/>
        </w:rPr>
        <w:t>(21)</w:t>
      </w:r>
      <w:r w:rsidRPr="00782DD3">
        <w:rPr>
          <w:noProof/>
        </w:rPr>
        <w:tab/>
      </w:r>
      <w:r w:rsidR="375F6325" w:rsidRPr="00A76C07">
        <w:rPr>
          <w:noProof/>
        </w:rPr>
        <w:t>Države članice bi morale pri določanju verjetnosti pomembnih učinkov načrtovanih dejavnosti upoštevati, kako izraziti ali pomembni so lahko učinki. Pri tej odločitvi bi morale upoštevati tudi merila iz Direktive 2011/92/EU.</w:t>
      </w:r>
    </w:p>
    <w:p w:rsidR="008B0407" w:rsidRPr="00A76C07" w:rsidRDefault="00782DD3" w:rsidP="00782DD3">
      <w:pPr>
        <w:pStyle w:val="ManualConsidrant"/>
        <w:rPr>
          <w:noProof/>
        </w:rPr>
      </w:pPr>
      <w:r w:rsidRPr="00782DD3">
        <w:rPr>
          <w:noProof/>
        </w:rPr>
        <w:t>(22)</w:t>
      </w:r>
      <w:r w:rsidRPr="00782DD3">
        <w:rPr>
          <w:noProof/>
        </w:rPr>
        <w:tab/>
      </w:r>
      <w:r w:rsidR="445ED9B4" w:rsidRPr="00A76C07">
        <w:rPr>
          <w:noProof/>
        </w:rPr>
        <w:t xml:space="preserve">Da bi ugotovile, ali načrtovana dejavnost lahko povzroči znatno onesnaženje ali znatne in škodljive spremembe morskega okolja, bi bilo treba pregled ali presojo vplivov take dejavnosti na okolje načeloma izvesti v čim zgodnejši fazi postopka odločanja, da se ugotovijo in presodijo vsi verjetni učinki, ki bi jih načrtovana dejavnost lahko imela na morsko okolje. To je zlasti pomembno za opredelitev in oceno neznanih ali slabo razumljenih učinkov načrtovanih dejavnosti. </w:t>
      </w:r>
    </w:p>
    <w:p w:rsidR="00A6056A" w:rsidRPr="00A76C07" w:rsidRDefault="00782DD3" w:rsidP="00782DD3">
      <w:pPr>
        <w:pStyle w:val="ManualConsidrant"/>
        <w:rPr>
          <w:noProof/>
        </w:rPr>
      </w:pPr>
      <w:r w:rsidRPr="00782DD3">
        <w:rPr>
          <w:noProof/>
        </w:rPr>
        <w:t>(23)</w:t>
      </w:r>
      <w:r w:rsidRPr="00782DD3">
        <w:rPr>
          <w:noProof/>
        </w:rPr>
        <w:tab/>
      </w:r>
      <w:r w:rsidR="00F17BAE" w:rsidRPr="00A76C07">
        <w:rPr>
          <w:noProof/>
        </w:rPr>
        <w:t xml:space="preserve">Odločitve o odobritvi načrtovanih dejavnosti, ki se izvajajo na območjih zunaj nacionalne jurisdikcije, ki jih izda pristojni organ ali organi, so lahko v obliki najrazličnejših pravnih aktov (kot so soglasja za izvedbo, sklepi, dovoljenja in druge oblike dovoljenj), odvisno od nacionalnih postopkov, ki se uporabljajo v državah članicah. Države članice bi morale ne glede na obliko, naslov ali postopek za sprejetje takih odločitev v skladu z nacionalnim pravom zagotoviti, da se za načrtovane dejavnosti, ki se izvajajo na območjih zunaj nacionalne jurisdikcije in lahko povzročijo znatno onesnaženje ali pomembne in škodljive spremembe morskega okolja, pred odobritvijo izvede presoja. </w:t>
      </w:r>
    </w:p>
    <w:p w:rsidR="006E75F1" w:rsidRPr="00A76C07" w:rsidRDefault="00782DD3" w:rsidP="00782DD3">
      <w:pPr>
        <w:pStyle w:val="ManualConsidrant"/>
        <w:rPr>
          <w:noProof/>
        </w:rPr>
      </w:pPr>
      <w:r w:rsidRPr="00782DD3">
        <w:rPr>
          <w:noProof/>
        </w:rPr>
        <w:t>(24)</w:t>
      </w:r>
      <w:r w:rsidRPr="00782DD3">
        <w:rPr>
          <w:noProof/>
        </w:rPr>
        <w:tab/>
      </w:r>
      <w:r w:rsidR="375F6325" w:rsidRPr="00A76C07">
        <w:rPr>
          <w:noProof/>
        </w:rPr>
        <w:t>Ta direktiva je v skladu s členom 47 Listine o temeljnih pravicah in izvaja obveznost iz Aarhuške konvencije, da se zagotovi dostop do pravnega varstva v okoljskih zadevah. Zadevni javnosti, vključno z nevladnimi organizacijami, ki spodbujajo varstvo okolja in izpolnjujejo vse zahteve nacionalne zakonodaje, bi moral biti omogočen dostop do revizije odločitev, ki jih države članice sprejmejo v skladu s to direktivo.</w:t>
      </w:r>
    </w:p>
    <w:p w:rsidR="00EB52CF" w:rsidRPr="00A76C07" w:rsidRDefault="00782DD3" w:rsidP="00782DD3">
      <w:pPr>
        <w:pStyle w:val="ManualConsidrant"/>
        <w:rPr>
          <w:noProof/>
        </w:rPr>
      </w:pPr>
      <w:r w:rsidRPr="00782DD3">
        <w:rPr>
          <w:noProof/>
        </w:rPr>
        <w:t>(25)</w:t>
      </w:r>
      <w:r w:rsidRPr="00782DD3">
        <w:rPr>
          <w:noProof/>
        </w:rPr>
        <w:tab/>
      </w:r>
      <w:r w:rsidR="00F17BAE" w:rsidRPr="00A76C07">
        <w:rPr>
          <w:noProof/>
        </w:rPr>
        <w:t>Zaradi doseganja učinkovitosti te direktive je potrebno, da bi se lahko fizične ali pravne osebe ali njihove zakonito ustanovljene organizacije nanjo sklicevale v sodnih postopkih in da bi lahko nacionalna sodišča to direktivo upoštevala kot element prava Unije, na primer pri presoji odločitev nacionalnih organov. Poleg tega v skladu z ustaljeno sodno prakso Sodišča Evropske unije na podlagi načela lojalnega sodelovanja, določenega v členu 4(3) Pogodbe o Evropski uniji (PEU), sodno varstvo pravic, ki jih imajo posamezniki na podlagi prava Unije, zagotovijo sodišča držav članic. V členu 19(1) PEU se od držav članic zahteva, da določijo pravna sredstva, zadostna za zagotovitev učinkovitega pravnega varstva na področjih, ki jih ureja pravo Unije. Poleg tega bi morali imeti člani javnosti v skladu z Aarhuško konvencijo dostop do pravnega varstva, da se zaščiti njihova pravica živeti v okolju, ki je primerno za njihovo osebno zdravje in dobro počutje.</w:t>
      </w:r>
      <w:r w:rsidR="00F17BAE" w:rsidRPr="00A76C07">
        <w:rPr>
          <w:noProof/>
          <w:highlight w:val="yellow"/>
        </w:rPr>
        <w:t xml:space="preserve"> </w:t>
      </w:r>
    </w:p>
    <w:p w:rsidR="00EB52CF" w:rsidRPr="00A76C07" w:rsidRDefault="00782DD3" w:rsidP="00782DD3">
      <w:pPr>
        <w:pStyle w:val="ManualConsidrant"/>
        <w:rPr>
          <w:noProof/>
        </w:rPr>
      </w:pPr>
      <w:r w:rsidRPr="00782DD3">
        <w:rPr>
          <w:noProof/>
        </w:rPr>
        <w:t>(26)</w:t>
      </w:r>
      <w:r w:rsidRPr="00782DD3">
        <w:rPr>
          <w:noProof/>
        </w:rPr>
        <w:tab/>
      </w:r>
      <w:r w:rsidR="375F6325" w:rsidRPr="00A76C07">
        <w:rPr>
          <w:noProof/>
        </w:rPr>
        <w:t>Ta direktiva upošteva temeljne pravice in načela, ki jih priznava zlasti Listina, vključno s svobodo izražanja in obveščanja, svobodo gospodarske pobude, pravico do učinkovitega pravnega sredstva in pravičnega sojenja ter načeloma zakonitosti in sorazmernosti. Namen te direktive je zagotoviti popolno spoštovanje navedenih pravic in načel, tako da bi jo bilo treba temu ustrezno izvajati.</w:t>
      </w:r>
    </w:p>
    <w:p w:rsidR="002F79F5" w:rsidRPr="00A76C07" w:rsidRDefault="00782DD3" w:rsidP="00782DD3">
      <w:pPr>
        <w:pStyle w:val="ManualConsidrant"/>
        <w:rPr>
          <w:noProof/>
        </w:rPr>
      </w:pPr>
      <w:r w:rsidRPr="00782DD3">
        <w:rPr>
          <w:noProof/>
        </w:rPr>
        <w:t>(27)</w:t>
      </w:r>
      <w:r w:rsidRPr="00782DD3">
        <w:rPr>
          <w:noProof/>
        </w:rPr>
        <w:tab/>
      </w:r>
      <w:r w:rsidR="375F6325" w:rsidRPr="00A76C07">
        <w:rPr>
          <w:noProof/>
        </w:rPr>
        <w:t>V skladu s Skupno politično izjavo z dne 28. septembra 2011 držav članic in Komisije o obrazložitvenih dokumentih</w:t>
      </w:r>
      <w:r w:rsidR="375F6325" w:rsidRPr="00A76C07">
        <w:rPr>
          <w:rStyle w:val="FootnoteReference"/>
          <w:noProof/>
        </w:rPr>
        <w:footnoteReference w:id="21"/>
      </w:r>
      <w:r w:rsidR="375F6325" w:rsidRPr="00A76C07">
        <w:rPr>
          <w:noProof/>
        </w:rPr>
        <w:t xml:space="preserve"> se države članice zavezujejo, da bodo v upravičenih primerih predložile obvestilo o ukrepih za prenos skupaj z enim ali več dokumenti, v katerih se pojasni razmerje med elementi direktive in ustreznimi deli nacionalnih instrumentov za prenos. V zvezi s to direktivo zakonodajalca menita, da je predložitev takih dokumentov upravičena, zlasti po sodbi Sodišča Evropskih skupnosti v zadevi Komisija proti Belgiji</w:t>
      </w:r>
      <w:r w:rsidR="375F6325" w:rsidRPr="00A76C07">
        <w:rPr>
          <w:rStyle w:val="FootnoteReference"/>
          <w:noProof/>
        </w:rPr>
        <w:footnoteReference w:id="22"/>
      </w:r>
      <w:r w:rsidR="375F6325" w:rsidRPr="00A76C07">
        <w:rPr>
          <w:noProof/>
        </w:rPr>
        <w:t xml:space="preserve"> (zadeva C-543/17) –</w:t>
      </w:r>
    </w:p>
    <w:p w:rsidR="002F79F5" w:rsidRPr="00A76C07" w:rsidRDefault="002F79F5" w:rsidP="00E662C9">
      <w:pPr>
        <w:pStyle w:val="Formuledadoption"/>
        <w:rPr>
          <w:noProof/>
        </w:rPr>
      </w:pPr>
      <w:r w:rsidRPr="00A76C07">
        <w:rPr>
          <w:noProof/>
        </w:rPr>
        <w:t>SPREJELA NASLEDNJO DIREKTIVO:</w:t>
      </w:r>
    </w:p>
    <w:p w:rsidR="000F340B" w:rsidRPr="00A76C07" w:rsidRDefault="000F340B" w:rsidP="000F340B">
      <w:pPr>
        <w:jc w:val="center"/>
        <w:rPr>
          <w:rFonts w:eastAsia="Times New Roman"/>
          <w:b/>
          <w:bCs/>
          <w:noProof/>
          <w:szCs w:val="24"/>
        </w:rPr>
      </w:pPr>
      <w:r w:rsidRPr="00A76C07">
        <w:rPr>
          <w:b/>
          <w:noProof/>
        </w:rPr>
        <w:t>POGLAVJE 1</w:t>
      </w:r>
    </w:p>
    <w:p w:rsidR="000F340B" w:rsidRPr="00A76C07" w:rsidRDefault="000F340B" w:rsidP="00985B7B">
      <w:pPr>
        <w:jc w:val="center"/>
        <w:rPr>
          <w:rFonts w:eastAsia="Times New Roman"/>
          <w:b/>
          <w:bCs/>
          <w:noProof/>
          <w:szCs w:val="24"/>
        </w:rPr>
      </w:pPr>
      <w:r w:rsidRPr="00A76C07">
        <w:rPr>
          <w:b/>
          <w:noProof/>
        </w:rPr>
        <w:t>Splošne določbe</w:t>
      </w:r>
    </w:p>
    <w:p w:rsidR="002F79F5" w:rsidRPr="00A76C07" w:rsidRDefault="002F79F5" w:rsidP="00E662C9">
      <w:pPr>
        <w:pStyle w:val="Titrearticle"/>
        <w:rPr>
          <w:noProof/>
        </w:rPr>
      </w:pPr>
      <w:r w:rsidRPr="00A76C07">
        <w:rPr>
          <w:noProof/>
        </w:rPr>
        <w:t>Člen 1</w:t>
      </w:r>
    </w:p>
    <w:p w:rsidR="000F340B" w:rsidRPr="00A76C07" w:rsidRDefault="000F340B" w:rsidP="000F340B">
      <w:pPr>
        <w:jc w:val="center"/>
        <w:rPr>
          <w:i/>
          <w:iCs/>
          <w:noProof/>
          <w:szCs w:val="24"/>
        </w:rPr>
      </w:pPr>
      <w:r w:rsidRPr="00A76C07">
        <w:rPr>
          <w:b/>
          <w:noProof/>
        </w:rPr>
        <w:t>Predmet</w:t>
      </w:r>
      <w:r w:rsidRPr="00A76C07">
        <w:rPr>
          <w:i/>
          <w:noProof/>
        </w:rPr>
        <w:t xml:space="preserve"> </w:t>
      </w:r>
      <w:r w:rsidRPr="00A76C07">
        <w:rPr>
          <w:b/>
          <w:noProof/>
        </w:rPr>
        <w:t>urejanja</w:t>
      </w:r>
    </w:p>
    <w:p w:rsidR="000F340B" w:rsidRPr="00A76C07" w:rsidRDefault="6E1B801D" w:rsidP="000F340B">
      <w:pPr>
        <w:rPr>
          <w:i/>
          <w:iCs/>
          <w:noProof/>
          <w:szCs w:val="24"/>
        </w:rPr>
      </w:pPr>
      <w:r w:rsidRPr="00A76C07">
        <w:rPr>
          <w:noProof/>
        </w:rPr>
        <w:t>Ta direktiva določa minimalna pravila za izvajanje Sporazuma (v nadaljnjem besedilu: Sporazum o BBNJ ali Sporazum) na podlagi Konvencije Združenih narodov o pomorskem mednarodnem pravu glede ohranjanja in trajnostne rabe morske biotske raznovrstnosti na območjih zunaj nacionalne jurisdikcije v Evropski uniji.</w:t>
      </w:r>
    </w:p>
    <w:p w:rsidR="000F340B" w:rsidRPr="00A76C07" w:rsidRDefault="000F340B" w:rsidP="000F340B">
      <w:pPr>
        <w:jc w:val="center"/>
        <w:rPr>
          <w:i/>
          <w:iCs/>
          <w:noProof/>
          <w:szCs w:val="24"/>
        </w:rPr>
      </w:pPr>
      <w:r w:rsidRPr="00A76C07">
        <w:rPr>
          <w:i/>
          <w:noProof/>
        </w:rPr>
        <w:t xml:space="preserve">Člen 2 </w:t>
      </w:r>
    </w:p>
    <w:p w:rsidR="000F340B" w:rsidRPr="00A76C07" w:rsidRDefault="6E1B801D" w:rsidP="6E0028DC">
      <w:pPr>
        <w:jc w:val="center"/>
        <w:rPr>
          <w:b/>
          <w:bCs/>
          <w:noProof/>
        </w:rPr>
      </w:pPr>
      <w:r w:rsidRPr="00A76C07">
        <w:rPr>
          <w:b/>
          <w:noProof/>
        </w:rPr>
        <w:t>Opredelitev pojmov</w:t>
      </w:r>
    </w:p>
    <w:p w:rsidR="000F340B" w:rsidRPr="00A76C07" w:rsidRDefault="000F340B" w:rsidP="000F340B">
      <w:pPr>
        <w:rPr>
          <w:noProof/>
          <w:szCs w:val="24"/>
        </w:rPr>
      </w:pPr>
      <w:r w:rsidRPr="00A76C07">
        <w:rPr>
          <w:noProof/>
        </w:rPr>
        <w:t>V tej direktivi se uporabljajo naslednje opredelitve pojmov:</w:t>
      </w:r>
    </w:p>
    <w:p w:rsidR="000F340B" w:rsidRPr="00A76C07" w:rsidRDefault="000F340B" w:rsidP="000F340B">
      <w:pPr>
        <w:spacing w:line="257" w:lineRule="auto"/>
        <w:rPr>
          <w:rFonts w:eastAsia="Times New Roman"/>
          <w:noProof/>
          <w:szCs w:val="24"/>
        </w:rPr>
      </w:pPr>
      <w:r w:rsidRPr="00A76C07">
        <w:rPr>
          <w:noProof/>
        </w:rPr>
        <w:t>(a) „območja zunaj nacionalne jurisdikcije“ pomenijo odprto morje in Cono, kot je opredeljena v členu 1(1) Konvencije Združenih narodov o pomorskem mednarodnem pravu;</w:t>
      </w:r>
    </w:p>
    <w:p w:rsidR="000F340B" w:rsidRPr="00A76C07" w:rsidRDefault="000F340B" w:rsidP="000F340B">
      <w:pPr>
        <w:rPr>
          <w:noProof/>
          <w:szCs w:val="24"/>
        </w:rPr>
      </w:pPr>
      <w:r w:rsidRPr="00A76C07">
        <w:rPr>
          <w:noProof/>
        </w:rPr>
        <w:t>(b) „zbiranje na kraju samem“ v zvezi z morskimi genskimi viri pomeni zbiranje ali vzorčenje morskih genskih virov na območjih zunaj nacionalne jurisdikcije;</w:t>
      </w:r>
    </w:p>
    <w:p w:rsidR="000F340B" w:rsidRPr="00A76C07" w:rsidRDefault="000F340B" w:rsidP="000F340B">
      <w:pPr>
        <w:spacing w:line="257" w:lineRule="auto"/>
        <w:rPr>
          <w:rFonts w:eastAsia="Times New Roman"/>
          <w:noProof/>
          <w:szCs w:val="24"/>
        </w:rPr>
      </w:pPr>
      <w:r w:rsidRPr="00A76C07">
        <w:rPr>
          <w:noProof/>
        </w:rPr>
        <w:t>(c) „Konferenca pogodbenic“ pomeni Konferenco pogodbenic, ustanovljeno na podlagi člena 47 Sporazuma o BBNJ;</w:t>
      </w:r>
    </w:p>
    <w:p w:rsidR="005D4EFB" w:rsidRPr="00A76C07" w:rsidRDefault="000F340B" w:rsidP="00B15250">
      <w:pPr>
        <w:rPr>
          <w:noProof/>
          <w:szCs w:val="24"/>
        </w:rPr>
      </w:pPr>
      <w:r w:rsidRPr="00A76C07">
        <w:rPr>
          <w:noProof/>
        </w:rPr>
        <w:t>(d) „morski genski viri“ pomenijo vse materiale morskega rastlinskega, živalskega, mikrobnega ali drugega izvora, ki vsebujejo funkcionalne enote dednosti z dejansko ali potencialno vrednostjo;</w:t>
      </w:r>
    </w:p>
    <w:p w:rsidR="000F340B" w:rsidRPr="00A76C07" w:rsidRDefault="000F340B" w:rsidP="00430805">
      <w:pPr>
        <w:rPr>
          <w:noProof/>
        </w:rPr>
      </w:pPr>
      <w:r w:rsidRPr="00A76C07">
        <w:rPr>
          <w:noProof/>
        </w:rPr>
        <w:t>(e) „uporaba morskih genskih virov“ pomeni raziskovanje in razvijanje genske in/ali biokemijske sestave morskih genskih virov, vključno z uporabo biotehnologije;</w:t>
      </w:r>
    </w:p>
    <w:p w:rsidR="000F340B" w:rsidRPr="00A76C07" w:rsidRDefault="000F340B" w:rsidP="000F340B">
      <w:pPr>
        <w:rPr>
          <w:noProof/>
          <w:szCs w:val="24"/>
        </w:rPr>
      </w:pPr>
      <w:r w:rsidRPr="00A76C07">
        <w:rPr>
          <w:noProof/>
        </w:rPr>
        <w:t>(f) „Posredovalni mehanizem za BBNJ“ pomeni platformo, vzpostavljeno v skladu s členom 51 Sporazuma o BBNJ;</w:t>
      </w:r>
    </w:p>
    <w:p w:rsidR="000F340B" w:rsidRPr="00A76C07" w:rsidRDefault="000F340B" w:rsidP="000F340B">
      <w:pPr>
        <w:rPr>
          <w:noProof/>
          <w:szCs w:val="24"/>
        </w:rPr>
      </w:pPr>
      <w:r w:rsidRPr="00A76C07">
        <w:rPr>
          <w:noProof/>
        </w:rPr>
        <w:t>(g) „Znanstveni in tehnični organ za BBNJ“ pomeni organ, ustanovljen na podlagi člena 49 Sporazuma o BBNJ;</w:t>
      </w:r>
    </w:p>
    <w:p w:rsidR="000F340B" w:rsidRPr="00A76C07" w:rsidRDefault="000F340B" w:rsidP="000F340B">
      <w:pPr>
        <w:rPr>
          <w:noProof/>
          <w:szCs w:val="24"/>
        </w:rPr>
      </w:pPr>
      <w:r w:rsidRPr="00A76C07">
        <w:rPr>
          <w:noProof/>
        </w:rPr>
        <w:t xml:space="preserve">(h) „Sekretariat za BBNJ“ pomeni sekretariat, ustanovljen na podlagi člena 50 Sporazuma o BBNJ; </w:t>
      </w:r>
    </w:p>
    <w:p w:rsidR="000F340B" w:rsidRPr="00A76C07" w:rsidRDefault="000F340B" w:rsidP="006A7789">
      <w:pPr>
        <w:rPr>
          <w:noProof/>
          <w:szCs w:val="24"/>
        </w:rPr>
      </w:pPr>
      <w:r w:rsidRPr="00A76C07">
        <w:rPr>
          <w:noProof/>
        </w:rPr>
        <w:t>(i) „načrtovana dejavnost“ pomeni dejavnost, ki vključuje izvedbo gradbenih del, instalacij, shem ali drugih posegov v morsko okolje, vključno z rednimi dejavnostmi, namen katerih je uporaba naravnih virov;</w:t>
      </w:r>
    </w:p>
    <w:p w:rsidR="000F340B" w:rsidRPr="00A76C07" w:rsidRDefault="000F340B" w:rsidP="000F340B">
      <w:pPr>
        <w:rPr>
          <w:noProof/>
          <w:szCs w:val="24"/>
        </w:rPr>
      </w:pPr>
      <w:r w:rsidRPr="00A76C07">
        <w:rPr>
          <w:noProof/>
        </w:rPr>
        <w:t>(j) „dejavnosti pod jurisdikcijo ali nadzorom“ pomenijo dejavnosti, ki jih izvajajo javni in zasebni subjekti in za katere lahko država članica v skladu z mednarodnim pravom izvaja svojo pristojnost ali pooblastilo;</w:t>
      </w:r>
    </w:p>
    <w:p w:rsidR="000F340B" w:rsidRPr="00A76C07" w:rsidRDefault="000F340B" w:rsidP="000F340B">
      <w:pPr>
        <w:rPr>
          <w:noProof/>
        </w:rPr>
      </w:pPr>
      <w:r w:rsidRPr="00A76C07">
        <w:rPr>
          <w:noProof/>
        </w:rPr>
        <w:t>(k) „načrti in programi“ pomenijo načrte in programe, opredeljene v členu 2, točka (a), Direktive 2001/42/ES, in vse njihove spremembe, ki jih pripravi in/ali sprejme organ na svetovni, nacionalni, regionalni, podregionalni ali lokalni ravni ali ki jih pripravi organ, da jih sprejme parlament ali vlada v zakonodajnem postopku, in ki so zahtevani z zakonskimi in drugimi predpisi;</w:t>
      </w:r>
    </w:p>
    <w:p w:rsidR="000F340B" w:rsidRPr="00A76C07" w:rsidRDefault="000F340B" w:rsidP="000F340B">
      <w:pPr>
        <w:rPr>
          <w:noProof/>
          <w:szCs w:val="24"/>
        </w:rPr>
      </w:pPr>
      <w:r w:rsidRPr="00A76C07">
        <w:rPr>
          <w:noProof/>
        </w:rPr>
        <w:t>(l) „sklep o odobritvi“ pomeni sklep, ki ga sprejme pristojni organ ali organi in dovoljuje izvedbo načrtovane dejavnosti;</w:t>
      </w:r>
    </w:p>
    <w:p w:rsidR="000F340B" w:rsidRPr="00A76C07" w:rsidRDefault="000F340B" w:rsidP="000F340B">
      <w:pPr>
        <w:rPr>
          <w:noProof/>
          <w:szCs w:val="24"/>
        </w:rPr>
      </w:pPr>
      <w:r w:rsidRPr="00A76C07">
        <w:rPr>
          <w:noProof/>
        </w:rPr>
        <w:t xml:space="preserve">(m) „zadevna javnost“ pomeni fizične in pravne osebe, na katere vplivajo ali bi verjetno vplivali postopki odločanja o okoljskih zadevah iz poglavja 3 te direktive ali ki imajo interes pri takih postopkih, vključno z nevladnimi organizacijami, ki spodbujajo varstvo okolja in izpolnjujejo vse zahteve nacionalne zakonodaje; </w:t>
      </w:r>
    </w:p>
    <w:p w:rsidR="000F340B" w:rsidRPr="00A76C07" w:rsidRDefault="000F340B" w:rsidP="000F340B">
      <w:pPr>
        <w:rPr>
          <w:noProof/>
          <w:szCs w:val="24"/>
        </w:rPr>
      </w:pPr>
      <w:r w:rsidRPr="00A76C07">
        <w:rPr>
          <w:noProof/>
        </w:rPr>
        <w:t>(n) „javnost“ pomeni zadevno javnost ter domorodna ljudstva in lokalne skupnosti z ustreznim tradicionalnim znanjem ter ustrezne svetovne, regionalne, podregionalne in sektorske organe ter znanstveno skupnost;</w:t>
      </w:r>
    </w:p>
    <w:p w:rsidR="000F340B" w:rsidRPr="00A76C07" w:rsidRDefault="000F340B" w:rsidP="000F340B">
      <w:pPr>
        <w:rPr>
          <w:noProof/>
          <w:szCs w:val="24"/>
        </w:rPr>
      </w:pPr>
      <w:r w:rsidRPr="00A76C07">
        <w:rPr>
          <w:noProof/>
        </w:rPr>
        <w:t>(o) „pristojni organ ali organi“ pomeni tisti organ ali tiste organe, ki jih države članice določijo kot odgovorne za opravljanje dolžnosti iz te direktive;</w:t>
      </w:r>
    </w:p>
    <w:p w:rsidR="000F340B" w:rsidRPr="00A76C07" w:rsidRDefault="000F340B" w:rsidP="000F340B">
      <w:pPr>
        <w:rPr>
          <w:noProof/>
          <w:szCs w:val="24"/>
        </w:rPr>
      </w:pPr>
      <w:r w:rsidRPr="00A76C07">
        <w:rPr>
          <w:noProof/>
        </w:rPr>
        <w:t xml:space="preserve">(p) „presoja vplivov na okolje“ pomeni postopek priprave poročila o presoji vplivov na okolje, izvajanja posvetovanj, upoštevanja poročila o presoji vplivov na okolje in izidov posvetovanj pri odločanju ter zagotovitev informacij o odločitvi v skladu s poglavjem 3 te direktive; </w:t>
      </w:r>
    </w:p>
    <w:p w:rsidR="000F340B" w:rsidRPr="00A76C07" w:rsidRDefault="000F340B" w:rsidP="000F340B">
      <w:pPr>
        <w:rPr>
          <w:noProof/>
          <w:szCs w:val="24"/>
        </w:rPr>
      </w:pPr>
      <w:r w:rsidRPr="00A76C07">
        <w:rPr>
          <w:noProof/>
        </w:rPr>
        <w:t xml:space="preserve">(q) „poročilo o presoji vplivov na okolje“ pomeni </w:t>
      </w:r>
      <w:r w:rsidRPr="00A76C07">
        <w:rPr>
          <w:noProof/>
          <w:shd w:val="clear" w:color="auto" w:fill="FFFFFF"/>
        </w:rPr>
        <w:t>dokumentacijo, ki vsebuje informacije, zahtevane v členu 10(4) te direktive;</w:t>
      </w:r>
    </w:p>
    <w:p w:rsidR="000F340B" w:rsidRPr="00A76C07" w:rsidRDefault="000F340B" w:rsidP="000F340B">
      <w:pPr>
        <w:rPr>
          <w:noProof/>
          <w:szCs w:val="24"/>
        </w:rPr>
      </w:pPr>
      <w:r w:rsidRPr="00A76C07">
        <w:rPr>
          <w:noProof/>
        </w:rPr>
        <w:t>(r) „kumulativni vplivi“ pomenijo skupne in dodatne vplive, ki izhajajo iz različnih dejavnosti, vključno z znanimi preteklimi in sedanjimi ter razumno predvidljivimi dejavnostmi, ali ponavljanja podobnih dejavnosti skozi čas, ter posledice podnebnih sprememb, zakisljevanja oceanov in s tem povezanih vplivov;</w:t>
      </w:r>
    </w:p>
    <w:p w:rsidR="000F340B" w:rsidRPr="00A76C07" w:rsidRDefault="000F340B" w:rsidP="000F340B">
      <w:pPr>
        <w:rPr>
          <w:noProof/>
          <w:szCs w:val="24"/>
        </w:rPr>
      </w:pPr>
      <w:r w:rsidRPr="00A76C07">
        <w:rPr>
          <w:noProof/>
        </w:rPr>
        <w:t>(s) „manjši ali prehodni učinki“ pomenijo učinke, ki nimajo znatnega škodljivega vpliva na morsko okolje.</w:t>
      </w:r>
    </w:p>
    <w:p w:rsidR="00F16A26" w:rsidRPr="00A76C07" w:rsidRDefault="00F16A26" w:rsidP="00F16A26">
      <w:pPr>
        <w:jc w:val="center"/>
        <w:rPr>
          <w:i/>
          <w:iCs/>
          <w:noProof/>
          <w:szCs w:val="24"/>
        </w:rPr>
      </w:pPr>
      <w:r w:rsidRPr="00A76C07">
        <w:rPr>
          <w:i/>
          <w:noProof/>
        </w:rPr>
        <w:t xml:space="preserve">Člen 3 </w:t>
      </w:r>
    </w:p>
    <w:p w:rsidR="00F16A26" w:rsidRPr="00A76C07" w:rsidRDefault="00F16A26" w:rsidP="00F16A26">
      <w:pPr>
        <w:jc w:val="center"/>
        <w:rPr>
          <w:b/>
          <w:bCs/>
          <w:noProof/>
          <w:szCs w:val="24"/>
        </w:rPr>
      </w:pPr>
      <w:r w:rsidRPr="00A76C07">
        <w:rPr>
          <w:b/>
          <w:noProof/>
        </w:rPr>
        <w:t>Področje uporabe</w:t>
      </w:r>
    </w:p>
    <w:p w:rsidR="00F16A26" w:rsidRPr="00A76C07" w:rsidRDefault="00F16A26" w:rsidP="00F16A26">
      <w:pPr>
        <w:rPr>
          <w:noProof/>
        </w:rPr>
      </w:pPr>
      <w:r w:rsidRPr="00A76C07">
        <w:rPr>
          <w:noProof/>
        </w:rPr>
        <w:t xml:space="preserve">1. Ta direktiva se uporablja za načrtovane dejavnosti pod jurisdikcijo ali nadzorom držav članic, ki se izvajajo na območjih zunaj nacionalne jurisdikcije. </w:t>
      </w:r>
    </w:p>
    <w:p w:rsidR="00F16A26" w:rsidRPr="00A76C07" w:rsidRDefault="7129C44A" w:rsidP="4A18C08E">
      <w:pPr>
        <w:rPr>
          <w:rFonts w:eastAsia="Times New Roman"/>
          <w:noProof/>
        </w:rPr>
      </w:pPr>
      <w:r w:rsidRPr="00A76C07">
        <w:rPr>
          <w:noProof/>
        </w:rPr>
        <w:t>2. Ta direktiva se ne uporablja za nobeno vojno ladjo, vojaško letalo ali pomožno vojaško ladjo. Razen poglavja 2 se ta direktiva ne uporablja za druga plovila ali zrakoplove, ki so v lasti držav članic ali jih te upravljajo in se za zdaj uporabljajo samo za vladne nekomercialne storitve.</w:t>
      </w:r>
    </w:p>
    <w:p w:rsidR="00F16A26" w:rsidRPr="00A76C07" w:rsidRDefault="1C2BCD05" w:rsidP="4713C44F">
      <w:pPr>
        <w:rPr>
          <w:rStyle w:val="CommentReference"/>
          <w:noProof/>
        </w:rPr>
      </w:pPr>
      <w:r w:rsidRPr="00A76C07">
        <w:rPr>
          <w:noProof/>
        </w:rPr>
        <w:t xml:space="preserve">3. Ta direktiva se ne uporablja za načrtovane dejavnosti pod jurisdikcijo ali nadzorom držav članic, ki se izvajajo na območjih pod nacionalno jurisdikcijo, razen določb iz člena 8(6) te direktive. </w:t>
      </w:r>
    </w:p>
    <w:p w:rsidR="00F16A26" w:rsidRPr="00A76C07" w:rsidRDefault="00F16A26" w:rsidP="00F16A26">
      <w:pPr>
        <w:rPr>
          <w:noProof/>
          <w:szCs w:val="24"/>
        </w:rPr>
      </w:pPr>
      <w:r w:rsidRPr="00A76C07">
        <w:rPr>
          <w:noProof/>
        </w:rPr>
        <w:t>4. Ta direktiva ne vpliva na obveznost pristojnih organov, da spoštujejo omejitve, ki jih določajo nacionalni zakoni in drugi predpisi ter sprejete pravne prakse glede poslovne in industrijske zaupnosti, vključno z intelektualno lastnino in varovanjem javnega interesa.</w:t>
      </w:r>
    </w:p>
    <w:p w:rsidR="00F16A26" w:rsidRPr="00A76C07" w:rsidRDefault="00CA0067" w:rsidP="00F16A26">
      <w:pPr>
        <w:jc w:val="center"/>
        <w:rPr>
          <w:b/>
          <w:bCs/>
          <w:noProof/>
          <w:szCs w:val="24"/>
        </w:rPr>
      </w:pPr>
      <w:r w:rsidRPr="00A76C07">
        <w:rPr>
          <w:b/>
          <w:noProof/>
        </w:rPr>
        <w:t>POGLAVJE 2</w:t>
      </w:r>
    </w:p>
    <w:p w:rsidR="00F16A26" w:rsidRPr="00A76C07" w:rsidRDefault="00F16A26" w:rsidP="00F16A26">
      <w:pPr>
        <w:jc w:val="center"/>
        <w:rPr>
          <w:b/>
          <w:bCs/>
          <w:noProof/>
          <w:szCs w:val="24"/>
        </w:rPr>
      </w:pPr>
      <w:r w:rsidRPr="00A76C07">
        <w:rPr>
          <w:b/>
          <w:noProof/>
        </w:rPr>
        <w:t>Morski genski viri v območjih zunaj nacionalne jurisdikcije in njihovi digitalni sekvenčni zapisi</w:t>
      </w:r>
    </w:p>
    <w:p w:rsidR="00F16A26" w:rsidRPr="00A76C07" w:rsidRDefault="00F16A26" w:rsidP="00F16A26">
      <w:pPr>
        <w:jc w:val="center"/>
        <w:rPr>
          <w:i/>
          <w:iCs/>
          <w:noProof/>
          <w:szCs w:val="24"/>
        </w:rPr>
      </w:pPr>
      <w:r w:rsidRPr="00A76C07">
        <w:rPr>
          <w:i/>
          <w:noProof/>
        </w:rPr>
        <w:t>Člen 4</w:t>
      </w:r>
    </w:p>
    <w:p w:rsidR="00F16A26" w:rsidRPr="00A76C07" w:rsidRDefault="00C34017" w:rsidP="00F16A26">
      <w:pPr>
        <w:jc w:val="center"/>
        <w:rPr>
          <w:b/>
          <w:bCs/>
          <w:noProof/>
          <w:szCs w:val="24"/>
        </w:rPr>
      </w:pPr>
      <w:r w:rsidRPr="00A76C07">
        <w:rPr>
          <w:b/>
          <w:noProof/>
        </w:rPr>
        <w:t>Splošne določbe</w:t>
      </w:r>
    </w:p>
    <w:p w:rsidR="00F16A26" w:rsidRPr="00A76C07" w:rsidRDefault="00F16A26" w:rsidP="00F16A26">
      <w:pPr>
        <w:rPr>
          <w:noProof/>
          <w:szCs w:val="24"/>
        </w:rPr>
      </w:pPr>
      <w:r w:rsidRPr="00A76C07">
        <w:rPr>
          <w:noProof/>
        </w:rPr>
        <w:t xml:space="preserve">1. To poglavje se uporablja le za dejavnosti v zvezi z morskimi genskimi viri in digitalnimi sekvenčnimi zapisi o morskih genskih virih na območjih zunaj nacionalne jurisdikcije, zbranimi in ustvarjenimi od </w:t>
      </w:r>
      <w:r w:rsidRPr="00A76C07">
        <w:rPr>
          <w:noProof/>
          <w:highlight w:val="yellow"/>
        </w:rPr>
        <w:t>XX [po začetku veljavnosti Sporazuma o BBNJ za EU in njene države članice – Urad za publikacije vstavi datum</w:t>
      </w:r>
      <w:r w:rsidRPr="00A76C07">
        <w:rPr>
          <w:noProof/>
        </w:rPr>
        <w:t xml:space="preserve">]. </w:t>
      </w:r>
    </w:p>
    <w:p w:rsidR="00F16A26" w:rsidRPr="00A76C07" w:rsidRDefault="00F16A26" w:rsidP="00F16A26">
      <w:pPr>
        <w:rPr>
          <w:noProof/>
          <w:szCs w:val="24"/>
        </w:rPr>
      </w:pPr>
      <w:r w:rsidRPr="00A76C07">
        <w:rPr>
          <w:noProof/>
        </w:rPr>
        <w:t xml:space="preserve">2. To poglavje se ne uporablja za: </w:t>
      </w:r>
    </w:p>
    <w:p w:rsidR="00F16A26" w:rsidRPr="00A76C07" w:rsidRDefault="22DC8639" w:rsidP="6E6A0FEB">
      <w:pPr>
        <w:rPr>
          <w:noProof/>
        </w:rPr>
      </w:pPr>
      <w:r w:rsidRPr="00A76C07">
        <w:rPr>
          <w:noProof/>
        </w:rPr>
        <w:t>(a) ribolov, ki ga ureja ustrezno mednarodno pravo, in dejavnosti, povezane z ribolovom ter</w:t>
      </w:r>
    </w:p>
    <w:p w:rsidR="00F16A26" w:rsidRPr="00A76C07" w:rsidRDefault="22DC8639" w:rsidP="6E6A0FEB">
      <w:pPr>
        <w:rPr>
          <w:rFonts w:eastAsia="Times New Roman"/>
          <w:noProof/>
        </w:rPr>
      </w:pPr>
      <w:r w:rsidRPr="00A76C07">
        <w:rPr>
          <w:noProof/>
        </w:rPr>
        <w:t>(b) ribe ali druge žive morske vire, za katere je znano, da so bili ulovljeni pri ribolovu in z njim povezanih dejavnostih na območjih zunaj nacionalne jurisdikcije, razen če so te ribe ali drugi živi morski viri urejeni kot uporaba v skladu z delom II Sporazuma o BBNJ.</w:t>
      </w:r>
    </w:p>
    <w:p w:rsidR="00F16A26" w:rsidRPr="00A76C07" w:rsidRDefault="00F16A26" w:rsidP="00F16A26">
      <w:pPr>
        <w:jc w:val="center"/>
        <w:rPr>
          <w:i/>
          <w:iCs/>
          <w:noProof/>
          <w:szCs w:val="24"/>
        </w:rPr>
      </w:pPr>
      <w:r w:rsidRPr="00A76C07">
        <w:rPr>
          <w:i/>
          <w:noProof/>
        </w:rPr>
        <w:t xml:space="preserve">Člen 5 </w:t>
      </w:r>
    </w:p>
    <w:p w:rsidR="00F16A26" w:rsidRPr="00A76C07" w:rsidRDefault="00F16A26" w:rsidP="00F16A26">
      <w:pPr>
        <w:jc w:val="center"/>
        <w:rPr>
          <w:i/>
          <w:iCs/>
          <w:noProof/>
          <w:szCs w:val="24"/>
        </w:rPr>
      </w:pPr>
      <w:r w:rsidRPr="00A76C07">
        <w:rPr>
          <w:b/>
          <w:noProof/>
        </w:rPr>
        <w:t xml:space="preserve">Dejavnosti v zvezi z morskimi genskimi viri na območjih zunaj nacionalne jurisdikcije </w:t>
      </w:r>
    </w:p>
    <w:p w:rsidR="00F16A26" w:rsidRPr="00A76C07" w:rsidRDefault="39DB4B0E" w:rsidP="00F16A26">
      <w:pPr>
        <w:rPr>
          <w:noProof/>
        </w:rPr>
      </w:pPr>
      <w:r w:rsidRPr="00A76C07">
        <w:rPr>
          <w:noProof/>
        </w:rPr>
        <w:t>Države članice zagotovijo, da se zbiranje morskih genskih virov na kraju samem na območjih zunaj nacionalne jurisdikcije izvaja ob ustreznem upoštevanju pravic in zakonitih interesov obalnih držav na območjih pod njihovo nacionalno jurisdikcijo in ob upoštevanju interesov drugih držav na območjih zunaj nacionalne jurisdikcije v skladu s Konvencijo Združenih narodov o pomorskem mednarodnem pravu. V ta namen države članice po potrebi sodelujejo, tudi z uporabo Posredovalnega mehanizma za BBNJ, da bi izvajale določbe tega poglavja.</w:t>
      </w:r>
    </w:p>
    <w:p w:rsidR="00F16A26" w:rsidRPr="00A76C07" w:rsidRDefault="00F16A26" w:rsidP="00F16A26">
      <w:pPr>
        <w:jc w:val="center"/>
        <w:rPr>
          <w:noProof/>
          <w:szCs w:val="24"/>
        </w:rPr>
      </w:pPr>
      <w:r w:rsidRPr="00A76C07">
        <w:rPr>
          <w:i/>
          <w:noProof/>
        </w:rPr>
        <w:t xml:space="preserve">Člen 6 </w:t>
      </w:r>
    </w:p>
    <w:p w:rsidR="00F16A26" w:rsidRPr="00A76C07" w:rsidRDefault="00F16A26" w:rsidP="00F16A26">
      <w:pPr>
        <w:jc w:val="center"/>
        <w:rPr>
          <w:noProof/>
          <w:szCs w:val="24"/>
        </w:rPr>
      </w:pPr>
      <w:r w:rsidRPr="00A76C07">
        <w:rPr>
          <w:b/>
          <w:noProof/>
        </w:rPr>
        <w:t xml:space="preserve">Sporočanje informacij o dejavnostih v zvezi z morskimi genskimi viri in digitalnimi sekvenčnimi zapisi o morskih genskih virih na območjih zunaj nacionalne jurisdikcije </w:t>
      </w:r>
    </w:p>
    <w:p w:rsidR="00F16A26" w:rsidRPr="00A76C07" w:rsidRDefault="6ADF7671" w:rsidP="6E6A0FEB">
      <w:pPr>
        <w:rPr>
          <w:noProof/>
        </w:rPr>
      </w:pPr>
      <w:r w:rsidRPr="00A76C07">
        <w:rPr>
          <w:noProof/>
        </w:rPr>
        <w:t xml:space="preserve">1. Države članice zagotovijo, da se informacije iz odstavka 2 in vse posodobitve odstavka 3 sporočijo Posredovalnemu mehanizmu za BBNJ. Države članice zagotovijo usklajevanje med sistemom, ki se uporablja za sporočanja iz odstavka 2, in drugimi sistemi obveščanja, ki jih določa druga zakonodaja Unije. </w:t>
      </w:r>
    </w:p>
    <w:p w:rsidR="00F16A26" w:rsidRPr="00A76C07" w:rsidRDefault="6ADF7671" w:rsidP="6E6A0FEB">
      <w:pPr>
        <w:rPr>
          <w:noProof/>
        </w:rPr>
      </w:pPr>
      <w:r w:rsidRPr="00A76C07">
        <w:rPr>
          <w:noProof/>
        </w:rPr>
        <w:t xml:space="preserve">2. Šest mesecev ali čim prej pred zbiranjem morskih genskih virov na kraju samem na območjih zunaj nacionalne jurisdikcije se Posredovalnemu mehanizmu za BBNJ sporočijo naslednje informacije: </w:t>
      </w:r>
    </w:p>
    <w:p w:rsidR="00F16A26" w:rsidRPr="00A76C07" w:rsidRDefault="00F16A26" w:rsidP="00F16A26">
      <w:pPr>
        <w:rPr>
          <w:noProof/>
          <w:szCs w:val="24"/>
        </w:rPr>
      </w:pPr>
      <w:r w:rsidRPr="00A76C07">
        <w:rPr>
          <w:noProof/>
        </w:rPr>
        <w:t xml:space="preserve">(a) vrsta zbiranja in cilji, v skladu s katerimi se izvaja, po potrebi vključno z vsemi programi, katerih del je; </w:t>
      </w:r>
    </w:p>
    <w:p w:rsidR="00F16A26" w:rsidRPr="00A76C07" w:rsidRDefault="00F16A26" w:rsidP="00F16A26">
      <w:pPr>
        <w:rPr>
          <w:noProof/>
          <w:szCs w:val="24"/>
        </w:rPr>
      </w:pPr>
      <w:r w:rsidRPr="00A76C07">
        <w:rPr>
          <w:noProof/>
        </w:rPr>
        <w:t xml:space="preserve">(b) predmet raziskave ali, če so znani, morski genski viri, na katere bo raziskava usmerjena ali ki bodo zbrani, in nameni, za katere bodo ti viri zbrani; </w:t>
      </w:r>
    </w:p>
    <w:p w:rsidR="00F16A26" w:rsidRPr="00A76C07" w:rsidRDefault="00F16A26" w:rsidP="00F16A26">
      <w:pPr>
        <w:rPr>
          <w:noProof/>
          <w:szCs w:val="24"/>
        </w:rPr>
      </w:pPr>
      <w:r w:rsidRPr="00A76C07">
        <w:rPr>
          <w:noProof/>
        </w:rPr>
        <w:t xml:space="preserve">(c) geografska območja, na katerih se bo zbiranje izvajalo; </w:t>
      </w:r>
    </w:p>
    <w:p w:rsidR="00F16A26" w:rsidRPr="00A76C07" w:rsidRDefault="00F16A26" w:rsidP="00F16A26">
      <w:pPr>
        <w:rPr>
          <w:noProof/>
          <w:szCs w:val="24"/>
        </w:rPr>
      </w:pPr>
      <w:r w:rsidRPr="00A76C07">
        <w:rPr>
          <w:noProof/>
        </w:rPr>
        <w:t xml:space="preserve">(d) povzetek metode in sredstev za zbiranje, vključno z imenom, tonažo, vrsto in razredom plovil, znanstveno opremo in/ali uporabljenimi študijskimi metodami; </w:t>
      </w:r>
    </w:p>
    <w:p w:rsidR="00F16A26" w:rsidRPr="00A76C07" w:rsidRDefault="00F16A26" w:rsidP="00F16A26">
      <w:pPr>
        <w:rPr>
          <w:noProof/>
          <w:szCs w:val="24"/>
        </w:rPr>
      </w:pPr>
      <w:r w:rsidRPr="00A76C07">
        <w:rPr>
          <w:noProof/>
        </w:rPr>
        <w:t xml:space="preserve">(e) informacije o vseh drugih prispevkih k predlaganim glavnim programom; </w:t>
      </w:r>
    </w:p>
    <w:p w:rsidR="00F16A26" w:rsidRPr="00A76C07" w:rsidRDefault="00F16A26" w:rsidP="00F16A26">
      <w:pPr>
        <w:rPr>
          <w:noProof/>
          <w:szCs w:val="24"/>
        </w:rPr>
      </w:pPr>
      <w:r w:rsidRPr="00A76C07">
        <w:rPr>
          <w:noProof/>
        </w:rPr>
        <w:t xml:space="preserve">(f) pričakovani datum prvega prihoda raziskovalnih plovil ali njihovega dokončnega odhoda ali namestitve opreme in njene odstranitve, kot je primerno; </w:t>
      </w:r>
    </w:p>
    <w:p w:rsidR="00F16A26" w:rsidRPr="00A76C07" w:rsidRDefault="00F16A26" w:rsidP="00F16A26">
      <w:pPr>
        <w:rPr>
          <w:noProof/>
          <w:szCs w:val="24"/>
        </w:rPr>
      </w:pPr>
      <w:r w:rsidRPr="00A76C07">
        <w:rPr>
          <w:noProof/>
        </w:rPr>
        <w:t xml:space="preserve">(g) naziv ustanove, pod okriljem katere bo opravljeno raziskovanje, in ime osebe, ki je odgovorna za raziskovalni projekt; </w:t>
      </w:r>
    </w:p>
    <w:p w:rsidR="00F16A26" w:rsidRPr="00A76C07" w:rsidRDefault="00F16A26" w:rsidP="00F16A26">
      <w:pPr>
        <w:rPr>
          <w:noProof/>
          <w:szCs w:val="24"/>
        </w:rPr>
      </w:pPr>
      <w:r w:rsidRPr="00A76C07">
        <w:rPr>
          <w:noProof/>
        </w:rPr>
        <w:t xml:space="preserve">(h) priložnosti za znanstvenike iz vseh držav, zlasti iz držav v razvoju, da se vključijo v raziskovalni projekt ali so z njim povezani; </w:t>
      </w:r>
    </w:p>
    <w:p w:rsidR="00F16A26" w:rsidRPr="00A76C07" w:rsidRDefault="22DC8639" w:rsidP="6E6A0FEB">
      <w:pPr>
        <w:rPr>
          <w:noProof/>
        </w:rPr>
      </w:pPr>
      <w:r w:rsidRPr="00A76C07">
        <w:rPr>
          <w:noProof/>
        </w:rPr>
        <w:t xml:space="preserve">(i) v kolikšni meri se šteje, da bi morale imeti države pogodbenice Sporazuma o BBNJ, ki morda potrebujejo in zahtevajo tehnično pomoč, zlasti države v razvoju, možnost sodelovati ali biti zastopane v raziskovalnem projektu; </w:t>
      </w:r>
    </w:p>
    <w:p w:rsidR="00F16A26" w:rsidRPr="00A76C07" w:rsidRDefault="00F16A26" w:rsidP="00F16A26">
      <w:pPr>
        <w:rPr>
          <w:noProof/>
          <w:szCs w:val="24"/>
        </w:rPr>
      </w:pPr>
      <w:r w:rsidRPr="00A76C07">
        <w:rPr>
          <w:noProof/>
        </w:rPr>
        <w:t>(j) načrt upravljanja podatkov, pripravljen v skladu z odprtim in odgovornim upravljanjem podatkov, ob upoštevanju trenutne mednarodne prakse.</w:t>
      </w:r>
    </w:p>
    <w:p w:rsidR="00F16A26" w:rsidRPr="00A76C07" w:rsidRDefault="6ADF7671" w:rsidP="6E6A0FEB">
      <w:pPr>
        <w:rPr>
          <w:noProof/>
        </w:rPr>
      </w:pPr>
      <w:r w:rsidRPr="00A76C07">
        <w:rPr>
          <w:noProof/>
        </w:rPr>
        <w:t>3. Če se informacije, predložene Posredovalnemu mehanizmu za BBNJ pred načrtovanim zbiranjem, bistveno spremenijo, se posodobljene informacije sporočijo Posredovalnemu mehanizmu za BBNJ v razumnem roku in najpozneje do začetka zbiranja na kraju samem, če je to izvedljivo.</w:t>
      </w:r>
    </w:p>
    <w:p w:rsidR="00F16A26" w:rsidRPr="00A76C07" w:rsidRDefault="00F16A26" w:rsidP="00F16A26">
      <w:pPr>
        <w:rPr>
          <w:noProof/>
          <w:szCs w:val="24"/>
        </w:rPr>
      </w:pPr>
      <w:r w:rsidRPr="00A76C07">
        <w:rPr>
          <w:noProof/>
        </w:rPr>
        <w:t xml:space="preserve">4. Države članice zagotovijo, da se naslednje informacije skupaj s standardizirano identifikacijsko oznako serije „BBNJ“ sporočijo Posredovalnemu mehanizmu za BBNJ takoj, ko so na voljo, vendar najpozneje eno leto po zbiranju morskih genskih virov na kraju samem na območjih zunaj nacionalne jurisdikcije: </w:t>
      </w:r>
    </w:p>
    <w:p w:rsidR="00F16A26" w:rsidRPr="00A76C07" w:rsidRDefault="00F16A26" w:rsidP="00F16A26">
      <w:pPr>
        <w:rPr>
          <w:noProof/>
          <w:szCs w:val="24"/>
        </w:rPr>
      </w:pPr>
      <w:r w:rsidRPr="00A76C07">
        <w:rPr>
          <w:noProof/>
        </w:rPr>
        <w:t xml:space="preserve">(a) odložišče ali podatkovna zbirka, v kateri so ali bodo shranjeni digitalni sekvenčni zapisi o morskih genskih virih; </w:t>
      </w:r>
    </w:p>
    <w:p w:rsidR="00F16A26" w:rsidRPr="00A76C07" w:rsidRDefault="00F16A26" w:rsidP="00F16A26">
      <w:pPr>
        <w:rPr>
          <w:noProof/>
          <w:szCs w:val="24"/>
        </w:rPr>
      </w:pPr>
      <w:r w:rsidRPr="00A76C07">
        <w:rPr>
          <w:noProof/>
        </w:rPr>
        <w:t xml:space="preserve">(b) lokacija, kjer so ali bodo shranjeni vsi morski genski viri, zbrani na kraju samem; </w:t>
      </w:r>
    </w:p>
    <w:p w:rsidR="00F16A26" w:rsidRPr="00A76C07" w:rsidRDefault="00F16A26" w:rsidP="00F16A26">
      <w:pPr>
        <w:rPr>
          <w:noProof/>
          <w:szCs w:val="24"/>
        </w:rPr>
      </w:pPr>
      <w:r w:rsidRPr="00A76C07">
        <w:rPr>
          <w:noProof/>
        </w:rPr>
        <w:t xml:space="preserve">(c) poročilo s podrobnimi podatki o geografskem območju, na katerem so bili zbrani morski genski viri, vključno z informacijami o zemljepisni širini, dolžini in globini zbiranja, ter ugotovitvami o dejavnosti, če so na voljo; </w:t>
      </w:r>
    </w:p>
    <w:p w:rsidR="00F16A26" w:rsidRPr="00A76C07" w:rsidRDefault="00F16A26" w:rsidP="00F16A26">
      <w:pPr>
        <w:rPr>
          <w:noProof/>
          <w:szCs w:val="24"/>
        </w:rPr>
      </w:pPr>
      <w:r w:rsidRPr="00A76C07">
        <w:rPr>
          <w:noProof/>
        </w:rPr>
        <w:t>(d) vse potrebne posodobitve načrta upravljanja podatkov iz odstavka 2, točka (j).</w:t>
      </w:r>
    </w:p>
    <w:p w:rsidR="00F16A26" w:rsidRPr="00A76C07" w:rsidRDefault="6ADF7671" w:rsidP="418C0B4E">
      <w:pPr>
        <w:rPr>
          <w:noProof/>
        </w:rPr>
      </w:pPr>
      <w:r w:rsidRPr="00A76C07">
        <w:rPr>
          <w:noProof/>
        </w:rPr>
        <w:t>5. Države članice zagotovijo, da je vzorce morskih genskih virov in digitalne sekvenčne zapise o morskih genskih virih na območjih zunaj nacionalne jurisdikcije, ki so v odložiščih ali podatkovnih zbirkah pod njihovo jurisdikcijo, mogoče identificirati kot vzorce z območij zunaj nacionalne jurisdikcije v skladu z veljavno znanstveno mednarodno prakso in kolikor je to izvedljivo.</w:t>
      </w:r>
    </w:p>
    <w:p w:rsidR="00F16A26" w:rsidRPr="00A76C07" w:rsidRDefault="00F16A26" w:rsidP="00F16A26">
      <w:pPr>
        <w:rPr>
          <w:noProof/>
          <w:szCs w:val="24"/>
        </w:rPr>
      </w:pPr>
      <w:r w:rsidRPr="00A76C07">
        <w:rPr>
          <w:noProof/>
        </w:rPr>
        <w:t>6. Države članice zagotovijo, da odložišča, kolikor je to izvedljivo, in podatkovne zbirke pod njihovo jurisdikcijo vsaki dve leti pripravijo zbirno poročilo o dostopu do morskih genskih virov in digitalnih sekvenčnih zapisov, povezanih z njihovo standardizirano identifikacijsko oznako serije „BBNJ“, ter dajo poročilo na voljo odboru za dostop in delitev koristi, ustanovljenemu v skladu s členom 15 Sporazuma o BBNJ.</w:t>
      </w:r>
    </w:p>
    <w:p w:rsidR="00F16A26" w:rsidRPr="00A76C07" w:rsidRDefault="22DC8639" w:rsidP="6E6A0FEB">
      <w:pPr>
        <w:rPr>
          <w:noProof/>
        </w:rPr>
      </w:pPr>
      <w:r w:rsidRPr="00A76C07">
        <w:rPr>
          <w:noProof/>
        </w:rPr>
        <w:t>7. Kadar so morski genski viri z območij zunaj nacionalne jurisdikcije in, kjer je to izvedljivo, digitalne sekvenčne zapise o teh virih predmet uporabe, vključno s komercializacijo, s strani fizičnih ali pravnih oseb pod njihovo jurisdikcijo, države članice zagotovijo, da se naslednje informacije, vključno s standardizirano identifikacijsko oznako serije „BBNJ“, če je na voljo, sporočijo Posredovalnemu mehanizmu za BBNJ, takoj ko so na voljo:</w:t>
      </w:r>
    </w:p>
    <w:p w:rsidR="00F16A26" w:rsidRPr="00A76C07" w:rsidRDefault="00F16A26" w:rsidP="00F16A26">
      <w:pPr>
        <w:rPr>
          <w:noProof/>
          <w:szCs w:val="24"/>
        </w:rPr>
      </w:pPr>
      <w:r w:rsidRPr="00A76C07">
        <w:rPr>
          <w:noProof/>
        </w:rPr>
        <w:t xml:space="preserve">(a) lokacija rezultatov te uporabe, kot so publikacije, podeljeni patenti, če so na voljo in v možnem obsegu, ter razviti izdelki; </w:t>
      </w:r>
    </w:p>
    <w:p w:rsidR="00F16A26" w:rsidRPr="00A76C07" w:rsidRDefault="00F16A26" w:rsidP="00F16A26">
      <w:pPr>
        <w:rPr>
          <w:noProof/>
          <w:szCs w:val="24"/>
        </w:rPr>
      </w:pPr>
      <w:r w:rsidRPr="00A76C07">
        <w:rPr>
          <w:noProof/>
        </w:rPr>
        <w:t xml:space="preserve">(b) če so na voljo, podrobnosti o informacijah, sporočenih Posredovalnemu mehanizmu za BBNJ po zbiranju v zvezi z morskimi genskimi viri, ki so bili predmet uporabe; </w:t>
      </w:r>
    </w:p>
    <w:p w:rsidR="00F16A26" w:rsidRPr="00A76C07" w:rsidRDefault="00F16A26" w:rsidP="00F16A26">
      <w:pPr>
        <w:rPr>
          <w:noProof/>
          <w:szCs w:val="24"/>
        </w:rPr>
      </w:pPr>
      <w:r w:rsidRPr="00A76C07">
        <w:rPr>
          <w:noProof/>
        </w:rPr>
        <w:t xml:space="preserve">(c) lokacija, kjer se hrani izvirni vzorec, ki je predmet uporabe; </w:t>
      </w:r>
    </w:p>
    <w:p w:rsidR="00F16A26" w:rsidRPr="00A76C07" w:rsidRDefault="00F16A26" w:rsidP="00F16A26">
      <w:pPr>
        <w:rPr>
          <w:noProof/>
          <w:szCs w:val="24"/>
        </w:rPr>
      </w:pPr>
      <w:r w:rsidRPr="00A76C07">
        <w:rPr>
          <w:noProof/>
        </w:rPr>
        <w:t xml:space="preserve">(d) ureditve, predvidene za dostop do morskih genskih virov in digitalnih sekvenčnih zapisov o morskih genskih virih, ki se uporabljajo, ter načrt upravljanja podatkov zanje; </w:t>
      </w:r>
    </w:p>
    <w:p w:rsidR="00F16A26" w:rsidRPr="00A76C07" w:rsidRDefault="00F16A26" w:rsidP="00F16A26">
      <w:pPr>
        <w:rPr>
          <w:noProof/>
          <w:szCs w:val="24"/>
        </w:rPr>
      </w:pPr>
      <w:r w:rsidRPr="00A76C07">
        <w:rPr>
          <w:noProof/>
        </w:rPr>
        <w:t>(e) informacije o prodaji zadevnih proizvodov, ko se ti začnejo tržiti, in nadaljnjem razvoju, če so na voljo.</w:t>
      </w:r>
    </w:p>
    <w:p w:rsidR="00F16A26" w:rsidRPr="00A76C07" w:rsidRDefault="6DC2F849" w:rsidP="000E10E9">
      <w:pPr>
        <w:rPr>
          <w:i/>
          <w:iCs/>
          <w:noProof/>
          <w:szCs w:val="24"/>
        </w:rPr>
      </w:pPr>
      <w:r w:rsidRPr="00A76C07">
        <w:rPr>
          <w:noProof/>
        </w:rPr>
        <w:t>8. Kadar je na voljo in ustrezno, lahko države članice za pripravo in predložitev informacij iz odstavkov 2 in 4 uporabijo digitalno platformo, ki jo zagotovi Komisija.</w:t>
      </w:r>
    </w:p>
    <w:p w:rsidR="00F16A26" w:rsidRPr="00A76C07" w:rsidRDefault="00F16A26" w:rsidP="00F16A26">
      <w:pPr>
        <w:jc w:val="center"/>
        <w:rPr>
          <w:i/>
          <w:iCs/>
          <w:noProof/>
          <w:szCs w:val="24"/>
        </w:rPr>
      </w:pPr>
      <w:r w:rsidRPr="00A76C07">
        <w:rPr>
          <w:i/>
          <w:noProof/>
        </w:rPr>
        <w:t>Člen 7</w:t>
      </w:r>
    </w:p>
    <w:p w:rsidR="00F16A26" w:rsidRPr="00A76C07" w:rsidRDefault="00F16A26" w:rsidP="00F16A26">
      <w:pPr>
        <w:spacing w:after="200" w:line="276" w:lineRule="auto"/>
        <w:jc w:val="center"/>
        <w:rPr>
          <w:rFonts w:eastAsia="Times New Roman"/>
          <w:noProof/>
          <w:szCs w:val="24"/>
        </w:rPr>
      </w:pPr>
      <w:r w:rsidRPr="00A76C07">
        <w:rPr>
          <w:b/>
          <w:noProof/>
        </w:rPr>
        <w:t>Deponiranje morskih genskih virov in digitalnih sekvenčnih zapisov o morskih genskih virih</w:t>
      </w:r>
    </w:p>
    <w:p w:rsidR="00894FDC" w:rsidRPr="00A76C07" w:rsidRDefault="00894FDC" w:rsidP="00894FDC">
      <w:pPr>
        <w:rPr>
          <w:noProof/>
        </w:rPr>
      </w:pPr>
      <w:bookmarkStart w:id="107" w:name="_Hlk182843387"/>
      <w:r w:rsidRPr="00A76C07">
        <w:rPr>
          <w:noProof/>
        </w:rPr>
        <w:t>1. Države članice zagotovijo, da fizične ali pravne osebe pod njihovo jurisdikcijo, ki uporabljajo morske genske vire in digitalne sekvenčne zapise o morskih genskih virih na območjih zunaj nacionalne jurisdikcije, te morske genske vire in digitalne sekvenčne zapise o morskih genskih virih na območjih zunaj nacionalne jurisdikcije skupaj s standardiziranimi identifikacijskimi oznakami serije „BBNJ“ deponirajo v javno dostopnih odložiščih in podatkovnih zbirkah, ki se vzdržujejo na nacionalni ali mednarodni ravni, najpozneje tri leta po začetku take uporabe ali takoj, ko so na voljo.</w:t>
      </w:r>
    </w:p>
    <w:p w:rsidR="00894FDC" w:rsidRPr="00A76C07" w:rsidRDefault="00894FDC" w:rsidP="00894FDC">
      <w:pPr>
        <w:rPr>
          <w:noProof/>
        </w:rPr>
      </w:pPr>
      <w:r w:rsidRPr="00A76C07">
        <w:rPr>
          <w:noProof/>
        </w:rPr>
        <w:t xml:space="preserve">2. Države članice zagotovijo tudi, da fizične ali pravne osebe iz odstavka 1 pristojnemu organu zagotovijo potrditve o deponiranjih. </w:t>
      </w:r>
    </w:p>
    <w:p w:rsidR="00894FDC" w:rsidRPr="00A76C07" w:rsidRDefault="1C3310F5" w:rsidP="00894FDC">
      <w:pPr>
        <w:rPr>
          <w:noProof/>
        </w:rPr>
      </w:pPr>
      <w:r w:rsidRPr="00A76C07">
        <w:rPr>
          <w:noProof/>
        </w:rPr>
        <w:t xml:space="preserve">Če je v uporabo vključenih več fizičnih ali pravnih oseb, mora oseba, odgovorna za nadzor raziskovalnega projekta, pristojnemu organu v državi članici, v kateri ima oseba, odgovorna za nadzor raziskovalnega projekta, sedež ali prebivališče, zagotoviti potrditve o deponiranjih. </w:t>
      </w:r>
    </w:p>
    <w:p w:rsidR="00894FDC" w:rsidRPr="00A76C07" w:rsidRDefault="00894FDC" w:rsidP="00894FDC">
      <w:pPr>
        <w:rPr>
          <w:noProof/>
        </w:rPr>
      </w:pPr>
      <w:r w:rsidRPr="00A76C07">
        <w:rPr>
          <w:noProof/>
        </w:rPr>
        <w:t>Če oseba, odgovorna za nadzor raziskovalnega projekta, nima sedeža ali prebivališča v Uniji, države članice zagotovijo, da fizične ali pravne osebe pod njihovo jurisdikcijo, ki sodelujejo v raziskovalnem projektu, določijo osebo v raziskovalnem projektu, ki ima sedež ali prebivališče v državi članici, da pristojnemu organu zagotovi potrditve o deponiranjih.</w:t>
      </w:r>
    </w:p>
    <w:p w:rsidR="00F16A26" w:rsidRPr="00A76C07" w:rsidRDefault="00894FDC" w:rsidP="00F16A26">
      <w:pPr>
        <w:rPr>
          <w:noProof/>
        </w:rPr>
      </w:pPr>
      <w:r w:rsidRPr="00A76C07">
        <w:rPr>
          <w:noProof/>
        </w:rPr>
        <w:t>3. Države članice zagotovijo, tudi z usklajevanjem, sodelovanjem in izmenjavo ustreznih informacij, da se informacije iz odstavkov 1 in 2 izmenjujejo na poenostavljen način, ne da bi se neupravičeno povečalo upravno breme za pristojni organ ali organe ali fizične ali pravne osebe, ki zagotovijo potrditve o deponiranjih.</w:t>
      </w:r>
    </w:p>
    <w:bookmarkEnd w:id="107"/>
    <w:p w:rsidR="00F16A26" w:rsidRPr="00A76C07" w:rsidRDefault="00D244C7" w:rsidP="00F16A26">
      <w:pPr>
        <w:jc w:val="center"/>
        <w:rPr>
          <w:b/>
          <w:noProof/>
        </w:rPr>
      </w:pPr>
      <w:r w:rsidRPr="00A76C07">
        <w:rPr>
          <w:b/>
          <w:noProof/>
        </w:rPr>
        <w:t>POGLAVJE 3</w:t>
      </w:r>
    </w:p>
    <w:p w:rsidR="00F16A26" w:rsidRPr="00A76C07" w:rsidRDefault="00F16A26" w:rsidP="6E0028DC">
      <w:pPr>
        <w:jc w:val="center"/>
        <w:rPr>
          <w:b/>
          <w:bCs/>
          <w:noProof/>
        </w:rPr>
      </w:pPr>
      <w:r w:rsidRPr="00A76C07">
        <w:rPr>
          <w:b/>
          <w:noProof/>
        </w:rPr>
        <w:t xml:space="preserve">Presoje vplivov na okolje </w:t>
      </w:r>
    </w:p>
    <w:p w:rsidR="00F16A26" w:rsidRPr="00A76C07" w:rsidRDefault="00F16A26" w:rsidP="00F16A26">
      <w:pPr>
        <w:jc w:val="center"/>
        <w:rPr>
          <w:i/>
          <w:noProof/>
        </w:rPr>
      </w:pPr>
      <w:r w:rsidRPr="00A76C07">
        <w:rPr>
          <w:i/>
          <w:noProof/>
        </w:rPr>
        <w:t>Člen 8</w:t>
      </w:r>
    </w:p>
    <w:p w:rsidR="00F16A26" w:rsidRPr="00A76C07" w:rsidRDefault="00F16A26" w:rsidP="00F16A26">
      <w:pPr>
        <w:jc w:val="center"/>
        <w:rPr>
          <w:b/>
          <w:bCs/>
          <w:noProof/>
          <w:szCs w:val="24"/>
        </w:rPr>
      </w:pPr>
      <w:r w:rsidRPr="00A76C07">
        <w:rPr>
          <w:b/>
          <w:noProof/>
        </w:rPr>
        <w:t>Splošne določbe</w:t>
      </w:r>
    </w:p>
    <w:p w:rsidR="00F16A26" w:rsidRPr="00A76C07" w:rsidRDefault="00F16A26" w:rsidP="00F16A26">
      <w:pPr>
        <w:rPr>
          <w:noProof/>
          <w:szCs w:val="24"/>
        </w:rPr>
      </w:pPr>
      <w:r w:rsidRPr="00A76C07">
        <w:rPr>
          <w:noProof/>
        </w:rPr>
        <w:t xml:space="preserve">1. </w:t>
      </w:r>
      <w:bookmarkStart w:id="108" w:name="_Hlk187671860"/>
      <w:r w:rsidRPr="00A76C07">
        <w:rPr>
          <w:noProof/>
        </w:rPr>
        <w:t>Države članice zagotovijo, da se morebitni vplivi načrtovanih dejavnosti, ki so pod njihovo jurisdikcijo ali pod njihovim nadzorom in potekajo na območjih zunaj nacionalne jurisdikcije, na morsko okolje ocenijo, preden pristojni organ ali organi v skladu s to direktivo izdajo odločitev o njihovi odobritvi (soglasje za izvedbo).</w:t>
      </w:r>
      <w:bookmarkEnd w:id="108"/>
    </w:p>
    <w:p w:rsidR="00F16A26" w:rsidRPr="00A76C07" w:rsidRDefault="00F16A26" w:rsidP="00F16A26">
      <w:pPr>
        <w:rPr>
          <w:noProof/>
          <w:szCs w:val="24"/>
        </w:rPr>
      </w:pPr>
      <w:r w:rsidRPr="00A76C07">
        <w:rPr>
          <w:noProof/>
        </w:rPr>
        <w:t>2. Ocena iz odstavka 1 se lahko vključi v obstoječe postopke držav članic za izdajo dovoljenj za načrtovane dejavnosti.</w:t>
      </w:r>
    </w:p>
    <w:p w:rsidR="00F16A26" w:rsidRPr="00A76C07" w:rsidRDefault="00F16A26" w:rsidP="00F16A26">
      <w:pPr>
        <w:rPr>
          <w:i/>
          <w:iCs/>
          <w:noProof/>
          <w:szCs w:val="24"/>
        </w:rPr>
      </w:pPr>
      <w:r w:rsidRPr="00A76C07">
        <w:rPr>
          <w:noProof/>
        </w:rPr>
        <w:t xml:space="preserve">3. Za usklajevanje in olajšanje ocenjevalnih postopkov za načrtovane dejavnosti pod jurisdikcijo ali nadzorom držav članic, ki potekajo na območjih zunaj nacionalne jurisdikcije, in zlasti za izvajanje posvetovanj v skladu s členom 11 lahko zadevne države članice na podlagi enake zastopanosti ustanovijo skupni organ. </w:t>
      </w:r>
    </w:p>
    <w:p w:rsidR="00F16A26" w:rsidRPr="00A76C07" w:rsidRDefault="00F16A26" w:rsidP="261D61A2">
      <w:pPr>
        <w:rPr>
          <w:noProof/>
        </w:rPr>
      </w:pPr>
      <w:r w:rsidRPr="00A76C07">
        <w:rPr>
          <w:noProof/>
        </w:rPr>
        <w:t xml:space="preserve">4. Kadar se za načrtovano dejavnost izvede presoja vplivov na okolje, države članice upoštevajo rezultate ustreznih strateških presoj vplivov na okolje, če so na voljo, in sicer zlasti tistih, ki so bile izvedene v skladu s členom 15. </w:t>
      </w:r>
    </w:p>
    <w:p w:rsidR="0923F67A" w:rsidRPr="00A76C07" w:rsidRDefault="0923F67A" w:rsidP="261D61A2">
      <w:pPr>
        <w:rPr>
          <w:noProof/>
        </w:rPr>
      </w:pPr>
      <w:r w:rsidRPr="00A76C07">
        <w:rPr>
          <w:noProof/>
        </w:rPr>
        <w:t>5. To poglavje se ne uporablja za načrtovane dejavnosti pod jurisdikcijo ali nadzorom držav članic, ki se izvajajo na območjih zunaj nacionalne jurisdikcije in imajo manjši ali prehodni učinek na morsko okolje.</w:t>
      </w:r>
    </w:p>
    <w:p w:rsidR="00F16A26" w:rsidRPr="00A76C07" w:rsidRDefault="3EA9DB83" w:rsidP="6E0028DC">
      <w:pPr>
        <w:rPr>
          <w:noProof/>
        </w:rPr>
      </w:pPr>
      <w:r w:rsidRPr="00A76C07">
        <w:rPr>
          <w:noProof/>
        </w:rPr>
        <w:t>6. To poglavje se ne uporablja za načrtovane dejavnosti pod jurisdikcijo ali nadzorom držav članic, ki se izvajajo na območjih zunaj nacionalne jurisdikcije, za katera je bil opravljen pregled ali presoja vplivov na okolje v skladu z zahtevami drugih ustreznih mednarodnih pravnih instrumentov ali okvirov ali s strani ustreznih svetovnih, regionalnih, podregionalnih ali sektorskih organov. Za dejavnosti, za katere je bila izvedena presoja vplivov na okolje v skladu z zahtevami drugih ustreznih pravnih instrumentov ali okvirov ali s strani ustreznih svetovnih, regionalnih, podregionalnih ali sektorskih organov, države članice zagotovijo, da so izpolnjeni pogoji iz člena 29(4) Sporazuma o BBNJ. V takih primerih zadevna država članica zagotovi, da se poročilo o presoji vplivov na okolje objavi prek Posredovalnega mehanizma za BBNJ in da se dejavnost spremlja.</w:t>
      </w:r>
    </w:p>
    <w:p w:rsidR="00F16A26" w:rsidRPr="00A76C07" w:rsidRDefault="618388A3" w:rsidP="5BB26DE9">
      <w:pPr>
        <w:rPr>
          <w:noProof/>
        </w:rPr>
      </w:pPr>
      <w:r w:rsidRPr="00A76C07">
        <w:rPr>
          <w:noProof/>
        </w:rPr>
        <w:t>7. Za načrtovane dejavnosti pod jurisdikcijo ali nadzorom držav članic, ki se izvajajo na območjih pod nacionalno jurisdikcijo in bodo verjetno imele pomembne učinke na morsko okolje na območjih zunaj nacionalne jurisdikcije, države članice uporabljajo Direktivo 2011/92/EU in drugo ustrezno zakonodajo EU, ki vsebuje določbe v zvezi s presojami vplivov na okolje za načrtovane dejavnosti. Za te dejavnosti države članice pravočasno dajo na voljo ustrezne informacije prek Posredovalnega mehanizma za BBNJ med postopkom na podlagi Direktive 2011/92/EU in druge ustrezne zakonodaje EU, ki vsebuje določbe v zvezi s presojami vplivov na okolje za načrtovane dejavnosti, in zagotovijo, da se dejavnost spremlja na način, ki je skladen z zahtevami navedene direktive in nacionalne zakonodaje.</w:t>
      </w:r>
    </w:p>
    <w:p w:rsidR="00F16A26" w:rsidRPr="00A76C07" w:rsidRDefault="00F16A26" w:rsidP="00F16A26">
      <w:pPr>
        <w:jc w:val="center"/>
        <w:rPr>
          <w:i/>
          <w:iCs/>
          <w:noProof/>
          <w:szCs w:val="24"/>
        </w:rPr>
      </w:pPr>
      <w:r w:rsidRPr="00A76C07">
        <w:rPr>
          <w:i/>
          <w:noProof/>
        </w:rPr>
        <w:t>Člen 9</w:t>
      </w:r>
    </w:p>
    <w:p w:rsidR="00F16A26" w:rsidRPr="00A76C07" w:rsidRDefault="00F16A26" w:rsidP="00F16A26">
      <w:pPr>
        <w:jc w:val="center"/>
        <w:rPr>
          <w:b/>
          <w:bCs/>
          <w:noProof/>
          <w:szCs w:val="24"/>
        </w:rPr>
      </w:pPr>
      <w:r w:rsidRPr="00A76C07">
        <w:rPr>
          <w:b/>
          <w:noProof/>
        </w:rPr>
        <w:t>Pregled</w:t>
      </w:r>
    </w:p>
    <w:p w:rsidR="00F16A26" w:rsidRPr="00A76C07" w:rsidRDefault="72D483A9" w:rsidP="6E0028DC">
      <w:pPr>
        <w:rPr>
          <w:noProof/>
        </w:rPr>
      </w:pPr>
      <w:r w:rsidRPr="00A76C07">
        <w:rPr>
          <w:noProof/>
        </w:rPr>
        <w:t xml:space="preserve">1. Če ima lahko načrtovana dejavnost več kot le manjši ali prehodni učinek na morsko okolje na območjih zunaj nacionalne jurisdikcije ali če so učinki dejavnosti neznani ali slabo razumljeni, država članica, pod katere jurisdikcijo ali nadzorom je dejavnost, opravi pregled, da ugotovi, ali lahko dejavnost </w:t>
      </w:r>
      <w:bookmarkStart w:id="109" w:name="_Hlk187672306"/>
      <w:r w:rsidRPr="00A76C07">
        <w:rPr>
          <w:noProof/>
        </w:rPr>
        <w:t xml:space="preserve">povzroči znatno onesnaženje ali znatne in škodljive spremembe morskega okolja </w:t>
      </w:r>
      <w:bookmarkEnd w:id="109"/>
      <w:r w:rsidRPr="00A76C07">
        <w:rPr>
          <w:noProof/>
        </w:rPr>
        <w:t xml:space="preserve">in se bo zanjo zato izvedla presoja. </w:t>
      </w:r>
    </w:p>
    <w:p w:rsidR="00F16A26" w:rsidRPr="00A76C07" w:rsidRDefault="00F16A26" w:rsidP="00F16A26">
      <w:pPr>
        <w:rPr>
          <w:rFonts w:eastAsia="Times New Roman"/>
          <w:noProof/>
          <w:szCs w:val="24"/>
        </w:rPr>
      </w:pPr>
      <w:r w:rsidRPr="00A76C07">
        <w:rPr>
          <w:noProof/>
        </w:rPr>
        <w:t>2. Pregled se izvede v razumnem roku in je dovolj podroben, da lahko država članica oceni, ali ima utemeljene razloge za ugotovitev, da bi načrtovana dejavnost lahko povzročila znatno onesnaženje ali znatne in škodljive spremembe morskega okolja.</w:t>
      </w:r>
    </w:p>
    <w:p w:rsidR="00F16A26" w:rsidRPr="00A76C07" w:rsidRDefault="00F16A26" w:rsidP="00F16A26">
      <w:pPr>
        <w:rPr>
          <w:rFonts w:eastAsia="Times New Roman"/>
          <w:noProof/>
          <w:szCs w:val="24"/>
        </w:rPr>
      </w:pPr>
      <w:r w:rsidRPr="00A76C07">
        <w:rPr>
          <w:noProof/>
        </w:rPr>
        <w:t>3. Države članice pri izvajanju pregleda upoštevajo vsaj opis načrtovane dejavnosti, vključno z njenim namenom, lokacijo, trajanjem in intenzivnostjo, začetno analizo morebitnih vplivov, vključno z upoštevanjem kumulativnih vplivov in po potrebi alternativ načrtovani dejavnosti.</w:t>
      </w:r>
    </w:p>
    <w:p w:rsidR="00F16A26" w:rsidRPr="00A76C07" w:rsidRDefault="00F16A26" w:rsidP="00F16A26">
      <w:pPr>
        <w:rPr>
          <w:noProof/>
          <w:szCs w:val="24"/>
        </w:rPr>
      </w:pPr>
      <w:r w:rsidRPr="00A76C07">
        <w:rPr>
          <w:noProof/>
        </w:rPr>
        <w:t>4. Države članice za namene pregleda upoštevajo najmanj naslednje dejavnike:</w:t>
      </w:r>
    </w:p>
    <w:p w:rsidR="00F16A26" w:rsidRPr="00A76C07" w:rsidRDefault="00F16A26" w:rsidP="00430805">
      <w:pPr>
        <w:rPr>
          <w:noProof/>
        </w:rPr>
      </w:pPr>
      <w:r w:rsidRPr="00A76C07">
        <w:rPr>
          <w:noProof/>
        </w:rPr>
        <w:t>(a) vrsto načrtovane dejavnosti, tehnologijo, ki se uporablja za dejavnost, in način izvajanja dejavnosti;</w:t>
      </w:r>
    </w:p>
    <w:p w:rsidR="00F16A26" w:rsidRPr="00A76C07" w:rsidRDefault="00F16A26" w:rsidP="00430805">
      <w:pPr>
        <w:rPr>
          <w:noProof/>
        </w:rPr>
      </w:pPr>
      <w:r w:rsidRPr="00A76C07">
        <w:rPr>
          <w:noProof/>
        </w:rPr>
        <w:t>(b) trajanje načrtovane dejavnosti;</w:t>
      </w:r>
    </w:p>
    <w:p w:rsidR="00F16A26" w:rsidRPr="00A76C07" w:rsidRDefault="00F16A26" w:rsidP="00430805">
      <w:pPr>
        <w:rPr>
          <w:noProof/>
        </w:rPr>
      </w:pPr>
      <w:r w:rsidRPr="00A76C07">
        <w:rPr>
          <w:noProof/>
        </w:rPr>
        <w:t>(c) lokacijo načrtovane dejavnosti;</w:t>
      </w:r>
    </w:p>
    <w:p w:rsidR="00F16A26" w:rsidRPr="00A76C07" w:rsidRDefault="00F16A26" w:rsidP="00430805">
      <w:pPr>
        <w:rPr>
          <w:noProof/>
        </w:rPr>
      </w:pPr>
      <w:r w:rsidRPr="00A76C07">
        <w:rPr>
          <w:noProof/>
        </w:rPr>
        <w:t>(d) značilnosti in ekosistem lokacije (vključno z območji posebnega ekološkega ali biološkega pomena ali ranljivosti) načrtovane dejavnosti;</w:t>
      </w:r>
    </w:p>
    <w:p w:rsidR="00F16A26" w:rsidRPr="00A76C07" w:rsidRDefault="00F16A26" w:rsidP="00430805">
      <w:pPr>
        <w:rPr>
          <w:noProof/>
        </w:rPr>
      </w:pPr>
      <w:r w:rsidRPr="00A76C07">
        <w:rPr>
          <w:noProof/>
        </w:rPr>
        <w:t>(e) možne vplive načrtovane dejavnosti, vključno z možnimi kumulativnimi vplivi in možnimi vplivi na območjih pod nacionalno jurisdikcijo;</w:t>
      </w:r>
    </w:p>
    <w:p w:rsidR="00F16A26" w:rsidRPr="00A76C07" w:rsidRDefault="00F16A26" w:rsidP="00430805">
      <w:pPr>
        <w:rPr>
          <w:noProof/>
        </w:rPr>
      </w:pPr>
      <w:r w:rsidRPr="00A76C07">
        <w:rPr>
          <w:noProof/>
        </w:rPr>
        <w:t>(f) v kolikšni meri so učinki načrtovane dejavnosti neznani ali slabo razumljeni;</w:t>
      </w:r>
    </w:p>
    <w:p w:rsidR="00F16A26" w:rsidRPr="00A76C07" w:rsidRDefault="00F16A26" w:rsidP="00430805">
      <w:pPr>
        <w:rPr>
          <w:noProof/>
        </w:rPr>
      </w:pPr>
      <w:r w:rsidRPr="00A76C07">
        <w:rPr>
          <w:noProof/>
        </w:rPr>
        <w:t>(g) druge ustrezne ekološke ali biološke dejavnike.</w:t>
      </w:r>
    </w:p>
    <w:p w:rsidR="00F16A26" w:rsidRPr="00A76C07" w:rsidRDefault="00F16A26" w:rsidP="00F16A26">
      <w:pPr>
        <w:rPr>
          <w:noProof/>
          <w:szCs w:val="24"/>
        </w:rPr>
      </w:pPr>
      <w:r w:rsidRPr="00A76C07">
        <w:rPr>
          <w:noProof/>
        </w:rPr>
        <w:t xml:space="preserve">5. Kadar se na podlagi pregleda ugotovi, da bi načrtovana dejavnost lahko povzročila znatno onesnaženje ali znatne in škodljive spremembe morskega okolja, se v skladu s tem poglavjem izvede presoja vplivov na okolje. </w:t>
      </w:r>
    </w:p>
    <w:p w:rsidR="00F16A26" w:rsidRPr="00A76C07" w:rsidRDefault="00F16A26" w:rsidP="00F16A26">
      <w:pPr>
        <w:rPr>
          <w:noProof/>
          <w:szCs w:val="24"/>
        </w:rPr>
      </w:pPr>
      <w:r w:rsidRPr="00A76C07">
        <w:rPr>
          <w:noProof/>
        </w:rPr>
        <w:t xml:space="preserve">6. Pristojni organ sprejme odločitev o pregledu na podlagi dejavnikov iz odstavka 4. Odločitev o pregledu, vključno z glavnimi razlogi, zakaj se zahteva ali ne zahteva presoja glede na ustrezne dejavnike iz odstavka 4, se da na voljo javnosti, tudi prek Posredovalnega mehanizma za BBNJ. </w:t>
      </w:r>
    </w:p>
    <w:p w:rsidR="00F16A26" w:rsidRPr="00A76C07" w:rsidRDefault="00F16A26" w:rsidP="6E0028DC">
      <w:pPr>
        <w:rPr>
          <w:noProof/>
        </w:rPr>
      </w:pPr>
      <w:r w:rsidRPr="00A76C07">
        <w:rPr>
          <w:noProof/>
        </w:rPr>
        <w:t xml:space="preserve">7. Če po objavi odločitve o pregledu iz odstavka 6 pogodbenica Sporazuma o BBNJ ali </w:t>
      </w:r>
      <w:bookmarkStart w:id="110" w:name="_Hlk178750190"/>
      <w:r w:rsidRPr="00A76C07">
        <w:rPr>
          <w:noProof/>
        </w:rPr>
        <w:t>Znanstveni in tehnični organ za BBNJ</w:t>
      </w:r>
      <w:bookmarkEnd w:id="110"/>
      <w:r w:rsidRPr="00A76C07">
        <w:rPr>
          <w:noProof/>
        </w:rPr>
        <w:t xml:space="preserve"> v 40 dneh po objavi odločitve o pregledu izrazi pomisleke ali poda priporočila v zvezi z ugotovitvijo, da načrtovana dejavnost ne sme povzročiti znatnega onesnaženja ali znatnih in škodljivih sprememb morskega okolja, država članica, ki je sprejela to ugotovitev, te pomisleke upošteva. Na podlagi tega lahko država članica ponovno preuči svojo ugotovitev. </w:t>
      </w:r>
    </w:p>
    <w:p w:rsidR="00F16A26" w:rsidRPr="00A76C07" w:rsidRDefault="00F16A26" w:rsidP="00F16A26">
      <w:pPr>
        <w:spacing w:after="0"/>
        <w:jc w:val="center"/>
        <w:rPr>
          <w:i/>
          <w:iCs/>
          <w:noProof/>
          <w:szCs w:val="24"/>
        </w:rPr>
      </w:pPr>
      <w:r w:rsidRPr="00A76C07">
        <w:rPr>
          <w:i/>
          <w:noProof/>
        </w:rPr>
        <w:t>Člen 10</w:t>
      </w:r>
    </w:p>
    <w:p w:rsidR="00F16A26" w:rsidRPr="00A76C07" w:rsidRDefault="00132EF6" w:rsidP="00F16A26">
      <w:pPr>
        <w:spacing w:after="0"/>
        <w:jc w:val="center"/>
        <w:rPr>
          <w:b/>
          <w:bCs/>
          <w:noProof/>
          <w:szCs w:val="24"/>
        </w:rPr>
      </w:pPr>
      <w:r w:rsidRPr="00A76C07">
        <w:rPr>
          <w:b/>
          <w:noProof/>
        </w:rPr>
        <w:t>Določanje obsega in poročilo</w:t>
      </w:r>
    </w:p>
    <w:p w:rsidR="00F16A26" w:rsidRPr="00A76C07" w:rsidRDefault="00F16A26" w:rsidP="00F16A26">
      <w:pPr>
        <w:rPr>
          <w:noProof/>
          <w:szCs w:val="24"/>
        </w:rPr>
      </w:pPr>
      <w:r w:rsidRPr="00A76C07">
        <w:rPr>
          <w:noProof/>
        </w:rPr>
        <w:t xml:space="preserve">1. Kadar je treba za načrtovano dejavnost izvesti presojo vplivov na okolje, države članice zagotovijo, da se pripravi poročilo o presoji vplivov na okolje. </w:t>
      </w:r>
    </w:p>
    <w:p w:rsidR="00F16A26" w:rsidRPr="00A76C07" w:rsidRDefault="00F16A26" w:rsidP="00F16A26">
      <w:pPr>
        <w:rPr>
          <w:noProof/>
          <w:szCs w:val="24"/>
        </w:rPr>
      </w:pPr>
      <w:r w:rsidRPr="00A76C07">
        <w:rPr>
          <w:noProof/>
        </w:rPr>
        <w:t>2. Poročilo o presoji vplivov na okolje mora temeljiti na mnenju o njegovem področju uporabe, ki ga izda pristojni organ.</w:t>
      </w:r>
    </w:p>
    <w:p w:rsidR="00F16A26" w:rsidRPr="00A76C07" w:rsidRDefault="00F16A26" w:rsidP="00F16A26">
      <w:pPr>
        <w:rPr>
          <w:noProof/>
          <w:szCs w:val="24"/>
        </w:rPr>
      </w:pPr>
      <w:r w:rsidRPr="00A76C07">
        <w:rPr>
          <w:noProof/>
        </w:rPr>
        <w:t>3. Pristojni organ izda mnenje iz odstavka 2, pri čemer upošteva najboljša razpoložljiva znanstvena dognanja in informacije ter, kadar je na voljo, ustrezno tradicionalno znanje domorodnih ljudstev in lokalnih skupnosti, pa tudi informacije o ključnih okoljskih vplivih in vseh povezanih vplivih načrtovane dejavnosti, kot so gospodarski, socialni, kulturni vplivi ter vplivi na zdravje ljudi, vključno z morebitnimi kumulativnimi vplivi in vplivi na območjih pod nacionalno jurisdikcijo, ter razumne alternative načrtovani dejavnosti.</w:t>
      </w:r>
    </w:p>
    <w:p w:rsidR="00F16A26" w:rsidRPr="00A76C07" w:rsidRDefault="00F16A26" w:rsidP="00F16A26">
      <w:pPr>
        <w:rPr>
          <w:noProof/>
          <w:szCs w:val="24"/>
        </w:rPr>
      </w:pPr>
      <w:r w:rsidRPr="00A76C07">
        <w:rPr>
          <w:noProof/>
        </w:rPr>
        <w:t xml:space="preserve">4. Poročilo o presoji vplivov na okolje iz odstavka 1 vsebuje vsaj naslednje informacije: </w:t>
      </w:r>
    </w:p>
    <w:p w:rsidR="00F16A26" w:rsidRPr="00A76C07" w:rsidRDefault="007620FB" w:rsidP="00430805">
      <w:pPr>
        <w:rPr>
          <w:noProof/>
        </w:rPr>
      </w:pPr>
      <w:bookmarkStart w:id="111" w:name="_Hlk175229685"/>
      <w:r w:rsidRPr="00A76C07">
        <w:rPr>
          <w:noProof/>
        </w:rPr>
        <w:t>(a) opis načrtovane dejavnosti, vključno z njeno lokacijo;</w:t>
      </w:r>
    </w:p>
    <w:p w:rsidR="00F16A26" w:rsidRPr="00A76C07" w:rsidRDefault="007620FB" w:rsidP="00430805">
      <w:pPr>
        <w:rPr>
          <w:noProof/>
        </w:rPr>
      </w:pPr>
      <w:r w:rsidRPr="00A76C07">
        <w:rPr>
          <w:noProof/>
        </w:rPr>
        <w:t>(b) mnenje, izdano v skladu z odstavkom 3;</w:t>
      </w:r>
    </w:p>
    <w:p w:rsidR="00F16A26" w:rsidRPr="00A76C07" w:rsidRDefault="007620FB" w:rsidP="00430805">
      <w:pPr>
        <w:rPr>
          <w:noProof/>
        </w:rPr>
      </w:pPr>
      <w:r w:rsidRPr="00A76C07">
        <w:rPr>
          <w:noProof/>
        </w:rPr>
        <w:t xml:space="preserve">(c) osnovno presojo stanja morskega okolja, ki bo verjetno prizadeto zaradi načrtovane dejavnosti; </w:t>
      </w:r>
    </w:p>
    <w:p w:rsidR="00F16A26" w:rsidRPr="00A76C07" w:rsidRDefault="007620FB" w:rsidP="00430805">
      <w:pPr>
        <w:rPr>
          <w:noProof/>
        </w:rPr>
      </w:pPr>
      <w:r w:rsidRPr="00A76C07">
        <w:rPr>
          <w:noProof/>
        </w:rPr>
        <w:t xml:space="preserve">(d) opis možnih vplivov načrtovane dejavnosti, vključno z možnimi kumulativnimi vplivi in kakršnimi koli vplivi dejavnosti na območjih pod nacionalno </w:t>
      </w:r>
      <w:bookmarkEnd w:id="111"/>
      <w:r w:rsidRPr="00A76C07">
        <w:rPr>
          <w:noProof/>
        </w:rPr>
        <w:t xml:space="preserve">jurisdikcijo; </w:t>
      </w:r>
    </w:p>
    <w:p w:rsidR="00F16A26" w:rsidRPr="00A76C07" w:rsidRDefault="007620FB" w:rsidP="00430805">
      <w:pPr>
        <w:rPr>
          <w:noProof/>
        </w:rPr>
      </w:pPr>
      <w:r w:rsidRPr="00A76C07">
        <w:rPr>
          <w:noProof/>
        </w:rPr>
        <w:t xml:space="preserve">(e) opis ukrepov za preprečevanje, ublažitev in obvladovanje; </w:t>
      </w:r>
    </w:p>
    <w:p w:rsidR="00F16A26" w:rsidRPr="00A76C07" w:rsidRDefault="007620FB" w:rsidP="00430805">
      <w:pPr>
        <w:rPr>
          <w:noProof/>
        </w:rPr>
      </w:pPr>
      <w:r w:rsidRPr="00A76C07">
        <w:rPr>
          <w:noProof/>
        </w:rPr>
        <w:t xml:space="preserve">(f) opis negotovosti in vrzeli v znanju; </w:t>
      </w:r>
    </w:p>
    <w:p w:rsidR="00F16A26" w:rsidRPr="00A76C07" w:rsidRDefault="007620FB" w:rsidP="00430805">
      <w:pPr>
        <w:rPr>
          <w:noProof/>
        </w:rPr>
      </w:pPr>
      <w:r w:rsidRPr="00A76C07">
        <w:rPr>
          <w:noProof/>
        </w:rPr>
        <w:t xml:space="preserve">(g) informacije o postopku javnega posvetovanja; </w:t>
      </w:r>
    </w:p>
    <w:p w:rsidR="00F16A26" w:rsidRPr="00A76C07" w:rsidRDefault="007620FB" w:rsidP="00430805">
      <w:pPr>
        <w:rPr>
          <w:noProof/>
        </w:rPr>
      </w:pPr>
      <w:r w:rsidRPr="00A76C07">
        <w:rPr>
          <w:noProof/>
        </w:rPr>
        <w:t xml:space="preserve">(h) opis preučitve razumnih alternativ načrtovani dejavnosti; </w:t>
      </w:r>
    </w:p>
    <w:p w:rsidR="00F16A26" w:rsidRPr="00A76C07" w:rsidRDefault="007620FB" w:rsidP="00430805">
      <w:pPr>
        <w:rPr>
          <w:noProof/>
        </w:rPr>
      </w:pPr>
      <w:r w:rsidRPr="00A76C07">
        <w:rPr>
          <w:noProof/>
        </w:rPr>
        <w:t xml:space="preserve">(i) opis nadaljnjih ukrepov, vključno z načrtom okoljskega upravljanja, ki ga je treba izvesti med izvajanjem dejavnosti; </w:t>
      </w:r>
    </w:p>
    <w:p w:rsidR="00F16A26" w:rsidRPr="00A76C07" w:rsidRDefault="007620FB" w:rsidP="00430805">
      <w:pPr>
        <w:rPr>
          <w:noProof/>
        </w:rPr>
      </w:pPr>
      <w:r w:rsidRPr="00A76C07">
        <w:rPr>
          <w:noProof/>
        </w:rPr>
        <w:t>(j) netehnični povzetek informacij iz točk (a) do (i).</w:t>
      </w:r>
    </w:p>
    <w:p w:rsidR="72D483A9" w:rsidRPr="00A76C07" w:rsidRDefault="72D483A9" w:rsidP="687F50E3">
      <w:pPr>
        <w:rPr>
          <w:rFonts w:eastAsia="Times New Roman"/>
          <w:noProof/>
        </w:rPr>
      </w:pPr>
      <w:r w:rsidRPr="00A76C07">
        <w:rPr>
          <w:noProof/>
        </w:rPr>
        <w:t xml:space="preserve">5. Za zagotovitev popolnosti in kakovosti poročil o presoji vplivov na okolje države članice zagotovijo, da poročila pripravijo pristojni strokovnjaki in da imajo pristojni organi zadostno strokovno znanje za preučitev teh poročil ali po potrebi dostop do takega znanja. </w:t>
      </w:r>
    </w:p>
    <w:p w:rsidR="00F16A26" w:rsidRPr="00A76C07" w:rsidRDefault="00F16A26" w:rsidP="00F16A26">
      <w:pPr>
        <w:jc w:val="center"/>
        <w:rPr>
          <w:i/>
          <w:iCs/>
          <w:noProof/>
        </w:rPr>
      </w:pPr>
      <w:r w:rsidRPr="00A76C07">
        <w:rPr>
          <w:i/>
          <w:noProof/>
        </w:rPr>
        <w:t>Člen 11</w:t>
      </w:r>
    </w:p>
    <w:p w:rsidR="00F16A26" w:rsidRPr="00A76C07" w:rsidRDefault="00F16A26" w:rsidP="00F16A26">
      <w:pPr>
        <w:jc w:val="center"/>
        <w:rPr>
          <w:b/>
          <w:bCs/>
          <w:noProof/>
        </w:rPr>
      </w:pPr>
      <w:r w:rsidRPr="00A76C07">
        <w:rPr>
          <w:b/>
          <w:noProof/>
        </w:rPr>
        <w:t>Posvetovanja</w:t>
      </w:r>
    </w:p>
    <w:p w:rsidR="00F16A26" w:rsidRPr="00A76C07" w:rsidRDefault="72D483A9" w:rsidP="687F50E3">
      <w:pPr>
        <w:rPr>
          <w:i/>
          <w:iCs/>
          <w:noProof/>
        </w:rPr>
      </w:pPr>
      <w:r w:rsidRPr="00A76C07">
        <w:rPr>
          <w:noProof/>
        </w:rPr>
        <w:t>1.</w:t>
      </w:r>
      <w:r w:rsidRPr="00A76C07">
        <w:rPr>
          <w:i/>
          <w:noProof/>
        </w:rPr>
        <w:t xml:space="preserve"> </w:t>
      </w:r>
      <w:r w:rsidRPr="00A76C07">
        <w:rPr>
          <w:noProof/>
        </w:rPr>
        <w:t>Države članice zagotovijo, da se v okviru razumnih rokov tudi prek Posredovalnega mehanizma za BBNJ in Sekretariata za BBNJ omogoči zadevni javnosti dostop do naslednjih informacij:</w:t>
      </w:r>
    </w:p>
    <w:p w:rsidR="00F16A26" w:rsidRPr="00A76C07" w:rsidRDefault="007620FB" w:rsidP="00430805">
      <w:pPr>
        <w:rPr>
          <w:noProof/>
        </w:rPr>
      </w:pPr>
      <w:r w:rsidRPr="00A76C07">
        <w:rPr>
          <w:noProof/>
        </w:rPr>
        <w:t>(a) poročila o presoji vplivov na okolje iz člena 10(1);</w:t>
      </w:r>
    </w:p>
    <w:p w:rsidR="00F16A26" w:rsidRPr="00A76C07" w:rsidRDefault="007620FB" w:rsidP="00430805">
      <w:pPr>
        <w:rPr>
          <w:noProof/>
        </w:rPr>
      </w:pPr>
      <w:r w:rsidRPr="00A76C07">
        <w:rPr>
          <w:noProof/>
          <w:shd w:val="clear" w:color="auto" w:fill="FFFFFF"/>
        </w:rPr>
        <w:t xml:space="preserve">(b) zahteve za izdajo dovoljenja za načrtovano dejavnost; </w:t>
      </w:r>
    </w:p>
    <w:p w:rsidR="00F16A26" w:rsidRPr="00A76C07" w:rsidRDefault="007620FB" w:rsidP="00430805">
      <w:pPr>
        <w:rPr>
          <w:noProof/>
        </w:rPr>
      </w:pPr>
      <w:r w:rsidRPr="00A76C07">
        <w:rPr>
          <w:noProof/>
        </w:rPr>
        <w:t>(c) dejstva, da je načrtovana dejavnost predmet presoje vplivov na okolje;</w:t>
      </w:r>
    </w:p>
    <w:p w:rsidR="00F16A26" w:rsidRPr="00A76C07" w:rsidRDefault="007620FB" w:rsidP="00430805">
      <w:pPr>
        <w:rPr>
          <w:noProof/>
        </w:rPr>
      </w:pPr>
      <w:r w:rsidRPr="00A76C07">
        <w:rPr>
          <w:noProof/>
        </w:rPr>
        <w:t>(d) podrobnosti o pristojnih organih, odgovornih za sprejetje sklepa o odobritvi dejavnosti, tistih, od katerih je mogoče pridobiti ustrezne informacije, in tistih, ki jim je mogoče predložiti pripombe ali vprašanja, ter podrobnosti o časovnem okviru za predložitev pripomb ali vprašanj;</w:t>
      </w:r>
    </w:p>
    <w:p w:rsidR="00F16A26" w:rsidRPr="00A76C07" w:rsidRDefault="007620FB" w:rsidP="00430805">
      <w:pPr>
        <w:rPr>
          <w:noProof/>
        </w:rPr>
      </w:pPr>
      <w:r w:rsidRPr="00A76C07">
        <w:rPr>
          <w:noProof/>
        </w:rPr>
        <w:t>(e) navedbe časa in krajev, kjer so ustrezni podatki dostopni, in na kakšen način;</w:t>
      </w:r>
    </w:p>
    <w:p w:rsidR="00F16A26" w:rsidRPr="00A76C07" w:rsidRDefault="007620FB" w:rsidP="00430805">
      <w:pPr>
        <w:rPr>
          <w:noProof/>
        </w:rPr>
      </w:pPr>
      <w:r w:rsidRPr="00A76C07">
        <w:rPr>
          <w:noProof/>
        </w:rPr>
        <w:t>(f) podrobnosti o ureditvah za udeležbo javnosti v skladu z odstavkom 4.</w:t>
      </w:r>
    </w:p>
    <w:p w:rsidR="00F16A26" w:rsidRPr="00A76C07" w:rsidRDefault="00F16A26" w:rsidP="00F16A26">
      <w:pPr>
        <w:rPr>
          <w:noProof/>
          <w:szCs w:val="24"/>
        </w:rPr>
      </w:pPr>
      <w:r w:rsidRPr="00A76C07">
        <w:rPr>
          <w:noProof/>
        </w:rPr>
        <w:t>2. Pogodbenice Sporazuma o BBNJ</w:t>
      </w:r>
      <w:r w:rsidRPr="00A76C07">
        <w:rPr>
          <w:b/>
          <w:noProof/>
        </w:rPr>
        <w:t>,</w:t>
      </w:r>
      <w:r w:rsidRPr="00A76C07">
        <w:rPr>
          <w:noProof/>
        </w:rPr>
        <w:t xml:space="preserve"> zlasti obalni subjekti, ki mejijo na načrtovano dejavnost, in vsi drugi subjekti, ki mejijo na načrtovano dejavnost, ter zadevna javnost dobijo zgodnje in učinkovite možnosti sodelovanja v postopkih za odobritev načrtovanih dejavnosti iz člena 12(2) in so v ta namen upravičene do </w:t>
      </w:r>
      <w:bookmarkStart w:id="112" w:name="_Hlk175301855"/>
      <w:r w:rsidRPr="00A76C07">
        <w:rPr>
          <w:noProof/>
        </w:rPr>
        <w:t xml:space="preserve">izražanja pripomb in mnenj </w:t>
      </w:r>
      <w:bookmarkEnd w:id="112"/>
      <w:r w:rsidRPr="00A76C07">
        <w:rPr>
          <w:noProof/>
        </w:rPr>
        <w:t xml:space="preserve">pred sprejetjem sklepa o odobritvi načrtovane dejavnosti, ko imajo pristojni organ ali organi na voljo vse možnosti. </w:t>
      </w:r>
    </w:p>
    <w:p w:rsidR="00F16A26" w:rsidRPr="00A76C07" w:rsidRDefault="00F16A26" w:rsidP="00F16A26">
      <w:pPr>
        <w:rPr>
          <w:noProof/>
          <w:szCs w:val="24"/>
        </w:rPr>
      </w:pPr>
      <w:r w:rsidRPr="00A76C07">
        <w:rPr>
          <w:noProof/>
        </w:rPr>
        <w:t>3. Za namene odstavka 2 države članice določijo potencialno najbolj prizadete subjekte ob upoštevanju vrste in možnih učinkov načrtovane dejavnosti na morsko okolje. Taki subjekti vključujejo:</w:t>
      </w:r>
    </w:p>
    <w:p w:rsidR="00F16A26" w:rsidRPr="00A76C07" w:rsidRDefault="00F16A26" w:rsidP="00430805">
      <w:pPr>
        <w:rPr>
          <w:noProof/>
        </w:rPr>
      </w:pPr>
      <w:r w:rsidRPr="00A76C07">
        <w:rPr>
          <w:noProof/>
        </w:rPr>
        <w:t>(a) obalne države, za katere se lahko upravičeno domneva, da bo načrtovana dejavnost vplivala na njihovo uveljavljanje suverenih pravic za namene raziskovanja, izkoriščanja, ohranjanja ali upravljanja naravnih virov;</w:t>
      </w:r>
    </w:p>
    <w:p w:rsidR="00F16A26" w:rsidRPr="00A76C07" w:rsidRDefault="00F16A26" w:rsidP="00F16A26">
      <w:pPr>
        <w:spacing w:line="257" w:lineRule="auto"/>
        <w:rPr>
          <w:noProof/>
          <w:szCs w:val="24"/>
        </w:rPr>
      </w:pPr>
      <w:r w:rsidRPr="00A76C07">
        <w:rPr>
          <w:noProof/>
        </w:rPr>
        <w:t>(b) države, ki na območju načrtovane dejavnosti izvajajo človeške dejavnosti, vključno z gospodarskimi dejavnostmi, za katere se lahko upravičeno domneva, da bodo prizadete.</w:t>
      </w:r>
    </w:p>
    <w:p w:rsidR="00F16A26" w:rsidRPr="00A76C07" w:rsidRDefault="72D483A9" w:rsidP="307F66F3">
      <w:pPr>
        <w:rPr>
          <w:noProof/>
        </w:rPr>
      </w:pPr>
      <w:r w:rsidRPr="00A76C07">
        <w:rPr>
          <w:noProof/>
        </w:rPr>
        <w:t>4. Države članice določijo podrobno ureditev za obveščanje deležnikov iz odstavka 2 in razumne roke za posvetovanje z deležniki iz odstavka 2, ki niso krajši od 30 dni, vendar niso daljši od 85 dni. V ta namen lahko države članice uporabijo obstoječe ureditve, ki izhajajo iz Direktive 2011/92/EU in druge ustrezne zakonodaje EU, ki vsebuje določbe v zvezi s presojami vplivov na okolje za načrtovane dejavnosti.</w:t>
      </w:r>
    </w:p>
    <w:p w:rsidR="00F16A26" w:rsidRPr="00A76C07" w:rsidRDefault="00F16A26" w:rsidP="6E0028DC">
      <w:pPr>
        <w:rPr>
          <w:noProof/>
        </w:rPr>
      </w:pPr>
      <w:r w:rsidRPr="00A76C07">
        <w:rPr>
          <w:noProof/>
        </w:rPr>
        <w:t>5. Države članice zagotovijo, da se rezultati posvetovanja, vključno z ustreznimi pripombami in mnenji, ki so jih izrazile strani in zadevna javnost, ter pripombami Znanstvenega in tehničnega organa za BBNJ, ustrezno upoštevajo in obravnavajo v postopku odločanja.</w:t>
      </w:r>
    </w:p>
    <w:p w:rsidR="00F16A26" w:rsidRPr="00A76C07" w:rsidRDefault="00F16A26" w:rsidP="00F16A26">
      <w:pPr>
        <w:jc w:val="center"/>
        <w:rPr>
          <w:i/>
          <w:iCs/>
          <w:noProof/>
          <w:szCs w:val="24"/>
        </w:rPr>
      </w:pPr>
      <w:r w:rsidRPr="00A76C07">
        <w:rPr>
          <w:i/>
          <w:noProof/>
        </w:rPr>
        <w:t>Člen 12</w:t>
      </w:r>
    </w:p>
    <w:p w:rsidR="00F16A26" w:rsidRPr="00A76C07" w:rsidRDefault="00F16A26" w:rsidP="00F16A26">
      <w:pPr>
        <w:jc w:val="center"/>
        <w:rPr>
          <w:b/>
          <w:bCs/>
          <w:noProof/>
          <w:szCs w:val="24"/>
        </w:rPr>
      </w:pPr>
      <w:r w:rsidRPr="00A76C07">
        <w:rPr>
          <w:b/>
          <w:noProof/>
        </w:rPr>
        <w:t>Odločanje</w:t>
      </w:r>
    </w:p>
    <w:p w:rsidR="00F16A26" w:rsidRPr="00A76C07" w:rsidRDefault="72D483A9" w:rsidP="687F50E3">
      <w:pPr>
        <w:rPr>
          <w:i/>
          <w:iCs/>
          <w:noProof/>
        </w:rPr>
      </w:pPr>
      <w:r w:rsidRPr="00A76C07">
        <w:rPr>
          <w:noProof/>
        </w:rPr>
        <w:t>1. Države članice zagotovijo, da pristojni organ ali organi sprejmejo sklep o odobritvi načrtovane dejavnosti, ko ob upoštevanju ukrepov za ublažitev ali obvladovanje ugotovijo, da so bila izvedena vsa razumna prizadevanja za zagotovitev, da se načrtovana dejavnost lahko izvaja na način, ki je skladen s preprečevanjem znatnih škodljivih vplivov na morsko okolje.</w:t>
      </w:r>
    </w:p>
    <w:p w:rsidR="00F16A26" w:rsidRPr="00A76C07" w:rsidRDefault="00F16A26" w:rsidP="00F16A26">
      <w:pPr>
        <w:rPr>
          <w:noProof/>
          <w:szCs w:val="24"/>
        </w:rPr>
      </w:pPr>
      <w:r w:rsidRPr="00A76C07">
        <w:rPr>
          <w:noProof/>
        </w:rPr>
        <w:t>2. Sklep o odobritvi načrtovane dejavnosti temelji na rezultatih posvetovanj iz člena 11 in vključuje vsaj naslednje:</w:t>
      </w:r>
    </w:p>
    <w:p w:rsidR="00F16A26" w:rsidRPr="00A76C07" w:rsidRDefault="00F16A26" w:rsidP="00430805">
      <w:pPr>
        <w:rPr>
          <w:noProof/>
        </w:rPr>
      </w:pPr>
      <w:r w:rsidRPr="00A76C07">
        <w:rPr>
          <w:noProof/>
        </w:rPr>
        <w:t>(a) sklep pristojnega organa o verjetnih pomembnih vplivih načrtovane dejavnosti na morsko okolje in glavne razloge za odobritev;</w:t>
      </w:r>
    </w:p>
    <w:p w:rsidR="00F16A26" w:rsidRPr="00A76C07" w:rsidRDefault="00F16A26" w:rsidP="00430805">
      <w:pPr>
        <w:rPr>
          <w:noProof/>
        </w:rPr>
      </w:pPr>
      <w:r w:rsidRPr="00A76C07">
        <w:rPr>
          <w:noProof/>
        </w:rPr>
        <w:t>(b) vse pogoje, priložene sklepu, opis vseh značilnosti načrtovane dejavnosti in/ali ukrepov, predvidenih za preprečevanje ali zmanjševanje znatnega onesnaževanja morskega okolja ali pomembnih in škodljivih sprememb morskega okolja, ter ukrepe za spremljanje. Ti ukrepi se po potrebi vključijo v načrt okoljskega upravljanja.</w:t>
      </w:r>
    </w:p>
    <w:p w:rsidR="00F16A26" w:rsidRPr="00A76C07" w:rsidRDefault="00F16A26" w:rsidP="00F16A26">
      <w:pPr>
        <w:rPr>
          <w:noProof/>
          <w:szCs w:val="24"/>
        </w:rPr>
      </w:pPr>
      <w:r w:rsidRPr="00A76C07">
        <w:rPr>
          <w:noProof/>
        </w:rPr>
        <w:t>3. V sklepu o neodobritvi načrtovane dejavnosti se navedejo glavni razlogi za neodobritev.</w:t>
      </w:r>
    </w:p>
    <w:p w:rsidR="00F16A26" w:rsidRPr="00A76C07" w:rsidRDefault="72D483A9" w:rsidP="6E0028DC">
      <w:pPr>
        <w:rPr>
          <w:noProof/>
        </w:rPr>
      </w:pPr>
      <w:r w:rsidRPr="00A76C07">
        <w:rPr>
          <w:noProof/>
        </w:rPr>
        <w:t>4. Ko se sprejme sklep o odobritvi ali neodobritvi načrtovane dejavnosti, države članice nemudoma zagotovijo, da je sklep na voljo javnosti, tudi prek Posredovalnega mehanizma za BBNJ in Sekretariata za BBNJ. V ta namen dajo države članice na voljo pripombe in mnenja, prejete med posvetovanji iz člena 11, ter opis, kako so bile te pripombe in mnenja upoštevani ali drugače obravnavani.</w:t>
      </w:r>
    </w:p>
    <w:p w:rsidR="00F16A26" w:rsidRPr="00A76C07" w:rsidRDefault="00F16A26" w:rsidP="00F16A26">
      <w:pPr>
        <w:jc w:val="center"/>
        <w:rPr>
          <w:i/>
          <w:iCs/>
          <w:noProof/>
          <w:szCs w:val="24"/>
        </w:rPr>
      </w:pPr>
      <w:r w:rsidRPr="00A76C07">
        <w:rPr>
          <w:i/>
          <w:noProof/>
        </w:rPr>
        <w:t xml:space="preserve">Člen 13 </w:t>
      </w:r>
    </w:p>
    <w:p w:rsidR="00F16A26" w:rsidRPr="00A76C07" w:rsidRDefault="00F16A26" w:rsidP="00F16A26">
      <w:pPr>
        <w:jc w:val="center"/>
        <w:rPr>
          <w:i/>
          <w:iCs/>
          <w:noProof/>
          <w:szCs w:val="24"/>
        </w:rPr>
      </w:pPr>
      <w:r w:rsidRPr="00A76C07">
        <w:rPr>
          <w:b/>
          <w:noProof/>
        </w:rPr>
        <w:t>Spremljanje</w:t>
      </w:r>
    </w:p>
    <w:p w:rsidR="00F16A26" w:rsidRPr="00A76C07" w:rsidRDefault="00F16A26" w:rsidP="00F16A26">
      <w:pPr>
        <w:rPr>
          <w:noProof/>
          <w:szCs w:val="24"/>
        </w:rPr>
      </w:pPr>
      <w:r w:rsidRPr="00A76C07">
        <w:rPr>
          <w:noProof/>
        </w:rPr>
        <w:t>1. Države članice z uporabo najboljših razpoložljivih znanstvenih dognanj in informacij ter ustreznega tradicionalnega znanja domorodnih ljudstev in lokalnih skupnosti, če je na voljo, spremljajo vplive odobrenih dejavnosti na območjih zunaj nacionalne jurisdikcije, da bi ugotovile, ali obstaja verjetnost, da te dejavnosti onesnažujejo morsko okolje ali povzročajo znatne in škodljive spremembe v njem. Vsaka država članica zlasti spremlja okoljske vplive in vse z njimi povezane vplive, kot so ekonomski, socialni in kulturni vplivi ter vplivi na zdravje ljudi, odobrene dejavnosti pod njeno jurisdikcijo ali nadzorom v skladu s pogoji, priloženimi sklepu o odobritvi načrtovane dejavnosti.</w:t>
      </w:r>
    </w:p>
    <w:p w:rsidR="00F16A26" w:rsidRPr="00A76C07" w:rsidRDefault="00F16A26" w:rsidP="00F16A26">
      <w:pPr>
        <w:rPr>
          <w:noProof/>
          <w:szCs w:val="24"/>
        </w:rPr>
      </w:pPr>
      <w:r w:rsidRPr="00A76C07">
        <w:rPr>
          <w:noProof/>
        </w:rPr>
        <w:t xml:space="preserve">2. Kadar država članica, pod katere jurisdikcijo ali nadzorom je odobrena dejavnost, ugotovi znatne in škodljive spremembe morskega okolja, ki po vrsti ali resnosti niso bile predvidene v presoji vplivov na okolje ali ki izhajajo iz kršitve katerega koli pogoja iz člena 12(2), točka (b), ali kadar pogodbenica Sporazuma o BBNJ ali Znanstveni in tehnični organ za BBNJ izrazi pomisleke ali poda priporočila, zadevna država članica ponovno preuči svoj sklep. V ta namen: </w:t>
      </w:r>
    </w:p>
    <w:p w:rsidR="00F16A26" w:rsidRPr="00A76C07" w:rsidRDefault="00F16A26" w:rsidP="00430805">
      <w:pPr>
        <w:rPr>
          <w:noProof/>
        </w:rPr>
      </w:pPr>
      <w:r w:rsidRPr="00A76C07">
        <w:rPr>
          <w:noProof/>
        </w:rPr>
        <w:t>(a) zahteva, da se predlagajo in izvajajo ukrepi za preprečevanje, ublažitev in/ali obvladovanje teh vplivov ali sprejmejo drugi potrebni ukrepi in/ali ustavi dejavnost, če je to ustrezno, ter</w:t>
      </w:r>
    </w:p>
    <w:p w:rsidR="00F16A26" w:rsidRPr="00A76C07" w:rsidRDefault="00F16A26" w:rsidP="00430805">
      <w:pPr>
        <w:rPr>
          <w:noProof/>
        </w:rPr>
      </w:pPr>
      <w:r w:rsidRPr="00A76C07">
        <w:rPr>
          <w:noProof/>
        </w:rPr>
        <w:t>(b) pravočasno ovrednoti vse izvedene ukrepe ali ukrepe, sprejete v skladu s točko (a).</w:t>
      </w:r>
    </w:p>
    <w:p w:rsidR="00F16A26" w:rsidRPr="00A76C07" w:rsidRDefault="00F16A26" w:rsidP="00F16A26">
      <w:pPr>
        <w:rPr>
          <w:noProof/>
          <w:szCs w:val="24"/>
        </w:rPr>
      </w:pPr>
      <w:r w:rsidRPr="00A76C07">
        <w:rPr>
          <w:noProof/>
        </w:rPr>
        <w:t>V tem primeru države članice nemudoma uradno obvestijo Konferenco pogodbenic o BBNJ, druge pogodbenice Sporazuma o BBNJ in zadevno javnost, tudi prek Posredovalnega mehanizma za BBNJ.</w:t>
      </w:r>
    </w:p>
    <w:p w:rsidR="00F16A26" w:rsidRPr="00A76C07" w:rsidRDefault="00F16A26" w:rsidP="00F16A26">
      <w:pPr>
        <w:rPr>
          <w:noProof/>
          <w:szCs w:val="24"/>
        </w:rPr>
      </w:pPr>
      <w:r w:rsidRPr="00A76C07">
        <w:rPr>
          <w:noProof/>
        </w:rPr>
        <w:t xml:space="preserve">3. Države članice redno, vendar ne manj pogosto kot vsaka tri leta, objavijo poročilo o vplivih odobrenih dejavnosti in rezultatih spremljanja, ki se zahteva v skladu z odstavkom 1. </w:t>
      </w:r>
    </w:p>
    <w:p w:rsidR="00F16A26" w:rsidRPr="00A76C07" w:rsidRDefault="00F16A26" w:rsidP="00F16A26">
      <w:pPr>
        <w:rPr>
          <w:noProof/>
          <w:szCs w:val="24"/>
        </w:rPr>
      </w:pPr>
      <w:r w:rsidRPr="00A76C07">
        <w:rPr>
          <w:noProof/>
        </w:rPr>
        <w:t>4. Države članice zagotovijo, da ima javnost, tudi prek Posredovalnega mehanizma za BBNJ, na voljo naslednje:</w:t>
      </w:r>
    </w:p>
    <w:p w:rsidR="00F16A26" w:rsidRPr="00A76C07" w:rsidRDefault="00F16A26" w:rsidP="00430805">
      <w:pPr>
        <w:rPr>
          <w:noProof/>
        </w:rPr>
      </w:pPr>
      <w:r w:rsidRPr="00A76C07">
        <w:rPr>
          <w:noProof/>
        </w:rPr>
        <w:t xml:space="preserve">(a) poročila o spremljanju; </w:t>
      </w:r>
    </w:p>
    <w:p w:rsidR="00F16A26" w:rsidRPr="00A76C07" w:rsidRDefault="00F16A26" w:rsidP="00430805">
      <w:pPr>
        <w:rPr>
          <w:noProof/>
        </w:rPr>
      </w:pPr>
      <w:r w:rsidRPr="00A76C07">
        <w:rPr>
          <w:noProof/>
        </w:rPr>
        <w:t>(b) poročila o pregledu vplivov odobrene dejavnosti;</w:t>
      </w:r>
    </w:p>
    <w:p w:rsidR="00F16A26" w:rsidRPr="00A76C07" w:rsidRDefault="00F16A26" w:rsidP="00430805">
      <w:pPr>
        <w:rPr>
          <w:noProof/>
        </w:rPr>
      </w:pPr>
      <w:r w:rsidRPr="00A76C07">
        <w:rPr>
          <w:noProof/>
        </w:rPr>
        <w:t>(c) če je bil sklep o odobritvi dejavnosti spremenjen, na novo sprejete sklepe, vključno z informacijami iz člena 12(2).</w:t>
      </w:r>
    </w:p>
    <w:p w:rsidR="00F16A26" w:rsidRPr="00A76C07" w:rsidRDefault="00F16A26" w:rsidP="00F16A26">
      <w:pPr>
        <w:jc w:val="center"/>
        <w:rPr>
          <w:i/>
          <w:iCs/>
          <w:noProof/>
          <w:szCs w:val="24"/>
        </w:rPr>
      </w:pPr>
      <w:r w:rsidRPr="00A76C07">
        <w:rPr>
          <w:i/>
          <w:noProof/>
        </w:rPr>
        <w:t xml:space="preserve">Člen 14 </w:t>
      </w:r>
    </w:p>
    <w:p w:rsidR="00F16A26" w:rsidRPr="00A76C07" w:rsidRDefault="00F16A26" w:rsidP="00F16A26">
      <w:pPr>
        <w:jc w:val="center"/>
        <w:rPr>
          <w:b/>
          <w:bCs/>
          <w:noProof/>
          <w:szCs w:val="24"/>
        </w:rPr>
      </w:pPr>
      <w:r w:rsidRPr="00A76C07">
        <w:rPr>
          <w:b/>
          <w:noProof/>
        </w:rPr>
        <w:t>Dostop do pravnega varstva</w:t>
      </w:r>
    </w:p>
    <w:p w:rsidR="00F16A26" w:rsidRPr="00A76C07" w:rsidRDefault="00F16A26" w:rsidP="6E0028DC">
      <w:pPr>
        <w:rPr>
          <w:noProof/>
        </w:rPr>
      </w:pPr>
      <w:r w:rsidRPr="00A76C07">
        <w:rPr>
          <w:noProof/>
        </w:rPr>
        <w:t>Države članice v skladu z ustrezno nacionalno zakonodajo članom zadevne javnosti zagotovijo dostop do revizije postopka pred sodiščem ali drugim neodvisnim in nepristranskim organom, vzpostavljenim z zakonom, da izpodbijajo materialno ali postopkovno zakonitost sklepov, dejanj ali opustitev iz členov 8 do 13.</w:t>
      </w:r>
    </w:p>
    <w:p w:rsidR="00F16A26" w:rsidRPr="00A76C07" w:rsidRDefault="00F16A26" w:rsidP="00F16A26">
      <w:pPr>
        <w:jc w:val="center"/>
        <w:rPr>
          <w:i/>
          <w:iCs/>
          <w:noProof/>
          <w:szCs w:val="24"/>
        </w:rPr>
      </w:pPr>
      <w:bookmarkStart w:id="113" w:name="_Hlk175135494"/>
      <w:r w:rsidRPr="00A76C07">
        <w:rPr>
          <w:i/>
          <w:noProof/>
        </w:rPr>
        <w:t xml:space="preserve">Člen 15 </w:t>
      </w:r>
    </w:p>
    <w:p w:rsidR="00F16A26" w:rsidRPr="00A76C07" w:rsidRDefault="00F16A26" w:rsidP="00F16A26">
      <w:pPr>
        <w:jc w:val="center"/>
        <w:rPr>
          <w:b/>
          <w:bCs/>
          <w:noProof/>
          <w:szCs w:val="24"/>
        </w:rPr>
      </w:pPr>
      <w:r w:rsidRPr="00A76C07">
        <w:rPr>
          <w:b/>
          <w:noProof/>
        </w:rPr>
        <w:t>Strateška presoja vplivov načrtov in programov na okolje</w:t>
      </w:r>
    </w:p>
    <w:bookmarkEnd w:id="113"/>
    <w:p w:rsidR="00F16A26" w:rsidRPr="00A76C07" w:rsidRDefault="00F16A26" w:rsidP="00F16A26">
      <w:pPr>
        <w:rPr>
          <w:noProof/>
          <w:szCs w:val="24"/>
        </w:rPr>
      </w:pPr>
      <w:r w:rsidRPr="00A76C07">
        <w:rPr>
          <w:noProof/>
        </w:rPr>
        <w:t xml:space="preserve">Države članice lahko same ali v sodelovanju z drugimi državami članicami ali drugimi pogodbenicami Sporazuma o BBNJ izvedejo strateške presoje vplivov na okolje za načrte in programe v zvezi z načrtovanimi dejavnostmi pod njihovo jurisdikcijo ali pod njihovim nadzorom, ki se bodo izvajali na območjih zunaj nacionalne jurisdikcije, da se ocenijo možni učinki takih načrtov ali programov na morsko okolje. Kadar Direktiva 2001/42/ES določa obveznost izvedbe strateške okoljske presoje, države članice pri izvajanju take presoje upoštevajo določbe navedene direktive. </w:t>
      </w:r>
    </w:p>
    <w:p w:rsidR="00F16A26" w:rsidRPr="00A76C07" w:rsidRDefault="001A272F" w:rsidP="00F16A26">
      <w:pPr>
        <w:jc w:val="center"/>
        <w:rPr>
          <w:b/>
          <w:bCs/>
          <w:noProof/>
          <w:szCs w:val="24"/>
        </w:rPr>
      </w:pPr>
      <w:r w:rsidRPr="00A76C07">
        <w:rPr>
          <w:b/>
          <w:noProof/>
        </w:rPr>
        <w:t>POGLAVJE 4</w:t>
      </w:r>
    </w:p>
    <w:p w:rsidR="00F16A26" w:rsidRPr="00A76C07" w:rsidRDefault="00F16A26" w:rsidP="00F16A26">
      <w:pPr>
        <w:spacing w:line="257" w:lineRule="auto"/>
        <w:jc w:val="center"/>
        <w:rPr>
          <w:rFonts w:eastAsia="Times New Roman"/>
          <w:b/>
          <w:bCs/>
          <w:noProof/>
          <w:szCs w:val="24"/>
        </w:rPr>
      </w:pPr>
      <w:r w:rsidRPr="00A76C07">
        <w:rPr>
          <w:b/>
          <w:noProof/>
        </w:rPr>
        <w:t>Ukrepi, kot so orodja za upravljanje na posameznih območjih, vključno z morskimi zavarovanimi območji</w:t>
      </w:r>
    </w:p>
    <w:p w:rsidR="00F16A26" w:rsidRPr="00A76C07" w:rsidRDefault="00F16A26" w:rsidP="00F16A26">
      <w:pPr>
        <w:spacing w:line="257" w:lineRule="auto"/>
        <w:jc w:val="center"/>
        <w:rPr>
          <w:rStyle w:val="FootnoteReference"/>
          <w:i/>
          <w:iCs/>
          <w:noProof/>
        </w:rPr>
      </w:pPr>
      <w:r w:rsidRPr="00A76C07">
        <w:rPr>
          <w:i/>
          <w:noProof/>
        </w:rPr>
        <w:t>Člen 16</w:t>
      </w:r>
    </w:p>
    <w:p w:rsidR="00F16A26" w:rsidRPr="00A76C07" w:rsidRDefault="00F16A26" w:rsidP="4D937B2E">
      <w:pPr>
        <w:spacing w:line="257" w:lineRule="auto"/>
        <w:jc w:val="center"/>
        <w:rPr>
          <w:rFonts w:eastAsia="Times New Roman"/>
          <w:b/>
          <w:bCs/>
          <w:noProof/>
        </w:rPr>
      </w:pPr>
      <w:r w:rsidRPr="00A76C07">
        <w:rPr>
          <w:b/>
          <w:noProof/>
        </w:rPr>
        <w:t>Predlog za vzpostavitev orodij za upravljanje na posameznih območjih</w:t>
      </w:r>
    </w:p>
    <w:p w:rsidR="00153221" w:rsidRPr="00A76C07" w:rsidRDefault="00153221" w:rsidP="00153221">
      <w:pPr>
        <w:spacing w:line="259" w:lineRule="auto"/>
        <w:rPr>
          <w:noProof/>
          <w:szCs w:val="24"/>
        </w:rPr>
      </w:pPr>
      <w:r w:rsidRPr="00A76C07">
        <w:rPr>
          <w:noProof/>
        </w:rPr>
        <w:t>1. Države članice Komisiji pošljejo osnutek predloga v skladu s členom 19 Sporazuma o BBNJ ali osnutek nujnega ukrepa v skladu s členom 24(3) navedenega sporazuma, preden ga predložijo Sekretariatu za BBNJ, ne glede na to, ali ukrepajo posamično ali skupaj. Komisija po prejemu obvesti vse države članice in jim posreduje osnutek predloga. Če imajo druge države članice pripombe, jih predložijo Komisiji v 30 dneh od prejema osnutka predloga ali prej, če to upravičuje nujni ukrep. Komisija pošlje prejete pripombe drugim državam članicam.</w:t>
      </w:r>
    </w:p>
    <w:p w:rsidR="00153221" w:rsidRPr="00A76C07" w:rsidRDefault="00153221" w:rsidP="00153221">
      <w:pPr>
        <w:spacing w:line="259" w:lineRule="auto"/>
        <w:rPr>
          <w:noProof/>
          <w:szCs w:val="24"/>
        </w:rPr>
      </w:pPr>
      <w:r w:rsidRPr="00A76C07">
        <w:rPr>
          <w:noProof/>
        </w:rPr>
        <w:t>2. Komisija predloži predhodno oceno osnutka predloga ali osnutka nujnih ukrepov, prejetih v skladu z odstavkom 1, preden države članice kakršen koli predlog ali osnutek predložijo Sekretariatu za BBNJ. Namen predhodne ocene je pomagati določiti, ali bi bilo treba predlog ali nujni ukrep predložiti v imenu Unije ali Unije in njenih držav članic ali ne.</w:t>
      </w:r>
    </w:p>
    <w:p w:rsidR="00153221" w:rsidRPr="00A76C07" w:rsidRDefault="00153221" w:rsidP="00153221">
      <w:pPr>
        <w:spacing w:line="259" w:lineRule="auto"/>
        <w:rPr>
          <w:noProof/>
          <w:szCs w:val="24"/>
        </w:rPr>
      </w:pPr>
      <w:r w:rsidRPr="00A76C07">
        <w:rPr>
          <w:noProof/>
        </w:rPr>
        <w:t>3. Komisija predloži predhodno oceno o tem, ali bi bilo treba osnutek predloga ali osnutek nujnega ukrepa, prejet v skladu z odstavkom 1, predložiti Sekretariatu za BBNJ v imenu Unije. Dokler taka predhodna ocena ni na voljo in če je v predhodni oceni ugotovljeno, da bi bilo treba predlog ali nujni ukrep iz odstavka 1 predložiti v imenu Unije, države članice predloga ali nujnega ukrepa iz odstavka 1 ne predložijo Sekretariatu za BBNJ.</w:t>
      </w:r>
    </w:p>
    <w:p w:rsidR="00F16A26" w:rsidRPr="00A76C07" w:rsidRDefault="00F16A26" w:rsidP="00F16A26">
      <w:pPr>
        <w:spacing w:line="257" w:lineRule="auto"/>
        <w:jc w:val="center"/>
        <w:rPr>
          <w:rFonts w:eastAsia="Times New Roman"/>
          <w:i/>
          <w:iCs/>
          <w:noProof/>
          <w:szCs w:val="24"/>
        </w:rPr>
      </w:pPr>
      <w:r w:rsidRPr="00A76C07">
        <w:rPr>
          <w:i/>
          <w:noProof/>
        </w:rPr>
        <w:t>Člen 17</w:t>
      </w:r>
    </w:p>
    <w:p w:rsidR="00F16A26" w:rsidRPr="00A76C07" w:rsidRDefault="00F16A26" w:rsidP="00F16A26">
      <w:pPr>
        <w:spacing w:line="257" w:lineRule="auto"/>
        <w:jc w:val="center"/>
        <w:rPr>
          <w:rFonts w:eastAsia="Times New Roman"/>
          <w:b/>
          <w:bCs/>
          <w:noProof/>
          <w:szCs w:val="24"/>
        </w:rPr>
      </w:pPr>
      <w:r w:rsidRPr="00A76C07">
        <w:rPr>
          <w:b/>
          <w:noProof/>
        </w:rPr>
        <w:t>Vsebina predlogov</w:t>
      </w:r>
    </w:p>
    <w:p w:rsidR="00F16A26" w:rsidRPr="00A76C07" w:rsidRDefault="7129C44A" w:rsidP="4A18C08E">
      <w:pPr>
        <w:spacing w:line="257" w:lineRule="auto"/>
        <w:rPr>
          <w:rFonts w:eastAsia="Times New Roman"/>
          <w:noProof/>
        </w:rPr>
      </w:pPr>
      <w:r w:rsidRPr="00A76C07">
        <w:rPr>
          <w:noProof/>
        </w:rPr>
        <w:t>1. Predlogi iz člena 19 Sporazuma o BBNJ v zvezi z vzpostavitvijo orodij za upravljanje na posameznih območjih, vključno z morskimi zavarovanimi območji, ali nujnim ukrepom iz člena 24(3) navedenega sporazuma se oblikujejo na podlagi najboljših razpoložljivih znanstvenih dognanj in informacij ter ustreznega tradicionalnega znanja domorodnih ljudstev in lokalnih skupnosti, če je na voljo, v skladu s previdnostnim in ekosistemskim pristopom.</w:t>
      </w:r>
    </w:p>
    <w:p w:rsidR="00F16A26" w:rsidRPr="00A76C07" w:rsidRDefault="00F16A26" w:rsidP="135D2302">
      <w:pPr>
        <w:spacing w:line="257" w:lineRule="auto"/>
        <w:rPr>
          <w:rFonts w:eastAsia="Times New Roman"/>
          <w:noProof/>
        </w:rPr>
      </w:pPr>
      <w:r w:rsidRPr="00A76C07">
        <w:rPr>
          <w:noProof/>
        </w:rPr>
        <w:t>2. Po potrebi se o oblikovanju predlogov iz tega poglavja posvetuje z deležniki, vključno z državami, svetovnimi, regionalnimi, podregionalnimi in sektorskimi organi ter civilno družbo, znanstveno skupnostjo, zasebnim sektorjem, domorodnimi ljudstvi in lokalnimi skupnostmi.</w:t>
      </w:r>
    </w:p>
    <w:p w:rsidR="00F16A26" w:rsidRPr="00A76C07" w:rsidRDefault="00F16A26" w:rsidP="00F16A26">
      <w:pPr>
        <w:spacing w:line="257" w:lineRule="auto"/>
        <w:rPr>
          <w:rFonts w:eastAsia="Times New Roman"/>
          <w:noProof/>
          <w:szCs w:val="24"/>
        </w:rPr>
      </w:pPr>
      <w:r w:rsidRPr="00A76C07">
        <w:rPr>
          <w:noProof/>
        </w:rPr>
        <w:t>3. Predlogi vključujejo naslednje ključne elemente v zvezi z opredeljenim področjem, ki je predmet predloga:</w:t>
      </w:r>
    </w:p>
    <w:p w:rsidR="00F16A26" w:rsidRPr="00A76C07" w:rsidRDefault="00F16A26" w:rsidP="00F16A26">
      <w:pPr>
        <w:spacing w:line="257" w:lineRule="auto"/>
        <w:rPr>
          <w:rFonts w:eastAsia="Times New Roman"/>
          <w:noProof/>
          <w:szCs w:val="24"/>
        </w:rPr>
      </w:pPr>
      <w:r w:rsidRPr="00A76C07">
        <w:rPr>
          <w:noProof/>
        </w:rPr>
        <w:t>(a) geografski ali prostorski opis opredeljenega območja s sklicevanjem na okvirna merila iz Priloge I k Sporazumu o BBNJ;</w:t>
      </w:r>
    </w:p>
    <w:p w:rsidR="00F16A26" w:rsidRPr="00A76C07" w:rsidRDefault="00F16A26" w:rsidP="00F16A26">
      <w:pPr>
        <w:spacing w:line="257" w:lineRule="auto"/>
        <w:rPr>
          <w:rFonts w:eastAsia="Times New Roman"/>
          <w:noProof/>
          <w:szCs w:val="24"/>
        </w:rPr>
      </w:pPr>
      <w:r w:rsidRPr="00A76C07">
        <w:rPr>
          <w:noProof/>
        </w:rPr>
        <w:t>(b) informacije o katerem koli merilu iz Priloge I k Sporazumu BBNJ;</w:t>
      </w:r>
    </w:p>
    <w:p w:rsidR="00F16A26" w:rsidRPr="00A76C07" w:rsidRDefault="00F16A26" w:rsidP="00F16A26">
      <w:pPr>
        <w:spacing w:line="257" w:lineRule="auto"/>
        <w:rPr>
          <w:rFonts w:eastAsia="Times New Roman"/>
          <w:noProof/>
          <w:szCs w:val="24"/>
        </w:rPr>
      </w:pPr>
      <w:r w:rsidRPr="00A76C07">
        <w:rPr>
          <w:noProof/>
        </w:rPr>
        <w:t>(c) človeške dejavnosti, ki potekajo na opredeljenem območju, vključno z različnimi načini uporabe s strani domorodnih ljudstev in lokalnih skupnosti, ter njihov morebitni vpliv;</w:t>
      </w:r>
    </w:p>
    <w:p w:rsidR="00F16A26" w:rsidRPr="00A76C07" w:rsidRDefault="00F16A26" w:rsidP="00F16A26">
      <w:pPr>
        <w:spacing w:line="257" w:lineRule="auto"/>
        <w:rPr>
          <w:rFonts w:eastAsia="Times New Roman"/>
          <w:noProof/>
          <w:szCs w:val="24"/>
        </w:rPr>
      </w:pPr>
      <w:r w:rsidRPr="00A76C07">
        <w:rPr>
          <w:noProof/>
        </w:rPr>
        <w:t>(d) opis stanja morskega okolja in biotske raznovrstnosti;</w:t>
      </w:r>
    </w:p>
    <w:p w:rsidR="00F16A26" w:rsidRPr="00A76C07" w:rsidRDefault="00F16A26" w:rsidP="00F16A26">
      <w:pPr>
        <w:spacing w:line="257" w:lineRule="auto"/>
        <w:rPr>
          <w:rFonts w:eastAsia="Times New Roman"/>
          <w:noProof/>
          <w:szCs w:val="24"/>
        </w:rPr>
      </w:pPr>
      <w:r w:rsidRPr="00A76C07">
        <w:rPr>
          <w:noProof/>
        </w:rPr>
        <w:t>(e) opis ciljev ohranjanja in, kadar je ustrezno, trajnostne rabe, ki se bodo uporabljali na območju;</w:t>
      </w:r>
    </w:p>
    <w:p w:rsidR="00F16A26" w:rsidRPr="00A76C07" w:rsidRDefault="00F16A26" w:rsidP="00F16A26">
      <w:pPr>
        <w:spacing w:line="257" w:lineRule="auto"/>
        <w:rPr>
          <w:rFonts w:eastAsia="Times New Roman"/>
          <w:noProof/>
          <w:szCs w:val="24"/>
        </w:rPr>
      </w:pPr>
      <w:r w:rsidRPr="00A76C07">
        <w:rPr>
          <w:noProof/>
        </w:rPr>
        <w:t>(f) osnutek načrta upravljanja, ki zajema predlagane ukrepe in opisuje predlagane dejavnosti spremljanja, raziskovanja in pregledovanja za doseganje določenih ciljev;</w:t>
      </w:r>
    </w:p>
    <w:p w:rsidR="00F16A26" w:rsidRPr="00A76C07" w:rsidRDefault="00F16A26" w:rsidP="00F16A26">
      <w:pPr>
        <w:spacing w:line="257" w:lineRule="auto"/>
        <w:rPr>
          <w:rFonts w:eastAsia="Times New Roman"/>
          <w:noProof/>
          <w:szCs w:val="24"/>
        </w:rPr>
      </w:pPr>
      <w:r w:rsidRPr="00A76C07">
        <w:rPr>
          <w:noProof/>
        </w:rPr>
        <w:t>(g) trajanje predlaganega območja in morebitnih ukrepov;</w:t>
      </w:r>
    </w:p>
    <w:p w:rsidR="00F16A26" w:rsidRPr="00A76C07" w:rsidRDefault="00F16A26" w:rsidP="00F16A26">
      <w:pPr>
        <w:spacing w:line="257" w:lineRule="auto"/>
        <w:rPr>
          <w:rFonts w:eastAsia="Times New Roman"/>
          <w:noProof/>
          <w:szCs w:val="24"/>
        </w:rPr>
      </w:pPr>
      <w:r w:rsidRPr="00A76C07">
        <w:rPr>
          <w:noProof/>
        </w:rPr>
        <w:t>(h) informacije o morebitnih posvetovanjih z državami, vključno s sosednjimi obalnimi državami in/ali ustreznimi svetovnimi, regionalnimi, podregionalnimi in sektorskimi organi;</w:t>
      </w:r>
    </w:p>
    <w:p w:rsidR="00F16A26" w:rsidRPr="00A76C07" w:rsidRDefault="00F16A26" w:rsidP="00F16A26">
      <w:pPr>
        <w:spacing w:line="257" w:lineRule="auto"/>
        <w:rPr>
          <w:rFonts w:eastAsia="Times New Roman"/>
          <w:noProof/>
          <w:szCs w:val="24"/>
        </w:rPr>
      </w:pPr>
      <w:r w:rsidRPr="00A76C07">
        <w:rPr>
          <w:noProof/>
        </w:rPr>
        <w:t>(i) informacije o orodjih za upravljanje na posameznih območjih, vključno z morskimi zavarovanimi območji, ki se izvajajo z ustreznimi pravnimi instrumenti in okviri ter s strani ustreznih svetovnih, regionalnih, podregionalnih in sektorskih organov;</w:t>
      </w:r>
    </w:p>
    <w:p w:rsidR="00F16A26" w:rsidRPr="00A76C07" w:rsidRDefault="00F16A26" w:rsidP="00F16A26">
      <w:pPr>
        <w:spacing w:line="257" w:lineRule="auto"/>
        <w:rPr>
          <w:rFonts w:eastAsia="Times New Roman"/>
          <w:noProof/>
          <w:szCs w:val="24"/>
        </w:rPr>
      </w:pPr>
      <w:r w:rsidRPr="00A76C07">
        <w:rPr>
          <w:noProof/>
        </w:rPr>
        <w:t>(j) ustrezne znanstvene podatke ter, če je na voljo, tradicionalno znanje domorodnih ljudstev in lokalnih skupnosti.</w:t>
      </w:r>
    </w:p>
    <w:p w:rsidR="00F16A26" w:rsidRPr="00A76C07" w:rsidRDefault="7129C44A" w:rsidP="135D2302">
      <w:pPr>
        <w:spacing w:line="257" w:lineRule="auto"/>
        <w:rPr>
          <w:rFonts w:eastAsia="Times New Roman"/>
          <w:noProof/>
        </w:rPr>
      </w:pPr>
      <w:r w:rsidRPr="00A76C07">
        <w:rPr>
          <w:noProof/>
        </w:rPr>
        <w:t xml:space="preserve">4. Države članice si prizadevajo za sodelovanje in izmenjavo informacij o predlogih, vključno z elementi iz odstavka 3. </w:t>
      </w:r>
    </w:p>
    <w:p w:rsidR="00F16A26" w:rsidRPr="00A76C07" w:rsidRDefault="00F16A26" w:rsidP="00F16A26">
      <w:pPr>
        <w:spacing w:line="257" w:lineRule="auto"/>
        <w:jc w:val="center"/>
        <w:rPr>
          <w:rFonts w:eastAsia="Times New Roman"/>
          <w:i/>
          <w:iCs/>
          <w:noProof/>
          <w:szCs w:val="24"/>
        </w:rPr>
      </w:pPr>
      <w:r w:rsidRPr="00A76C07">
        <w:rPr>
          <w:i/>
          <w:noProof/>
        </w:rPr>
        <w:t>Člen 18</w:t>
      </w:r>
    </w:p>
    <w:p w:rsidR="00F16A26" w:rsidRPr="00A76C07" w:rsidRDefault="00F16A26" w:rsidP="00F16A26">
      <w:pPr>
        <w:spacing w:line="257" w:lineRule="auto"/>
        <w:jc w:val="center"/>
        <w:rPr>
          <w:rFonts w:eastAsia="Times New Roman"/>
          <w:b/>
          <w:bCs/>
          <w:noProof/>
          <w:szCs w:val="24"/>
        </w:rPr>
      </w:pPr>
      <w:r w:rsidRPr="00A76C07">
        <w:rPr>
          <w:b/>
          <w:noProof/>
        </w:rPr>
        <w:t>Izvajanje</w:t>
      </w:r>
    </w:p>
    <w:p w:rsidR="00F16A26" w:rsidRPr="00A76C07" w:rsidRDefault="746FE4EF" w:rsidP="05C3D315">
      <w:pPr>
        <w:spacing w:line="257" w:lineRule="auto"/>
        <w:rPr>
          <w:rFonts w:eastAsia="Times New Roman"/>
          <w:noProof/>
        </w:rPr>
      </w:pPr>
      <w:r w:rsidRPr="00A76C07">
        <w:rPr>
          <w:noProof/>
        </w:rPr>
        <w:t>1. Države članice zagotovijo, da se dejavnosti, ki so pod njihovo jurisdikcijo ali nadzorom in potekajo na območjih zunaj nacionalne jurisdikcije, izvajajo v skladu s sklepi Konference pogodbenic, sprejetimi na podlagi dela III Sporazuma o BBNJ.</w:t>
      </w:r>
    </w:p>
    <w:p w:rsidR="00F16A26" w:rsidRPr="00A76C07" w:rsidRDefault="00F16A26" w:rsidP="00F16A26">
      <w:pPr>
        <w:spacing w:line="257" w:lineRule="auto"/>
        <w:rPr>
          <w:rFonts w:eastAsia="Times New Roman"/>
          <w:noProof/>
          <w:szCs w:val="24"/>
        </w:rPr>
      </w:pPr>
      <w:r w:rsidRPr="00A76C07">
        <w:rPr>
          <w:noProof/>
        </w:rPr>
        <w:t>2. Države članice po potrebi spodbujajo sprejetje ukrepov na podlagi ustreznih pravnih instrumentov in okvirov ter ustreznih svetovnih, regionalnih, podregionalnih in sektorskih organov, katerih članice so, v podporo izvajanju sklepov in priporočil Konference pogodbenic na podlagi dela III Sporazuma o BBNJ.</w:t>
      </w:r>
    </w:p>
    <w:p w:rsidR="00F16A26" w:rsidRPr="00A76C07" w:rsidRDefault="00F16A26" w:rsidP="00F16A26">
      <w:pPr>
        <w:spacing w:after="0"/>
        <w:jc w:val="center"/>
        <w:rPr>
          <w:rFonts w:eastAsia="Times New Roman"/>
          <w:i/>
          <w:iCs/>
          <w:noProof/>
          <w:szCs w:val="24"/>
        </w:rPr>
      </w:pPr>
      <w:r w:rsidRPr="00A76C07">
        <w:rPr>
          <w:i/>
          <w:noProof/>
        </w:rPr>
        <w:t>Člen 19</w:t>
      </w:r>
    </w:p>
    <w:p w:rsidR="00F16A26" w:rsidRPr="00A76C07" w:rsidRDefault="00F16A26" w:rsidP="007914EA">
      <w:pPr>
        <w:spacing w:after="0"/>
        <w:jc w:val="center"/>
        <w:rPr>
          <w:rFonts w:eastAsia="Times New Roman"/>
          <w:b/>
          <w:bCs/>
          <w:noProof/>
          <w:szCs w:val="24"/>
        </w:rPr>
      </w:pPr>
      <w:r w:rsidRPr="00A76C07">
        <w:rPr>
          <w:b/>
          <w:noProof/>
        </w:rPr>
        <w:t>Udeležba javnosti</w:t>
      </w:r>
    </w:p>
    <w:p w:rsidR="00F16A26" w:rsidRPr="00A76C07" w:rsidRDefault="4A12362F" w:rsidP="6E0028DC">
      <w:pPr>
        <w:spacing w:after="0"/>
        <w:rPr>
          <w:noProof/>
        </w:rPr>
      </w:pPr>
      <w:r w:rsidRPr="00A76C07">
        <w:rPr>
          <w:noProof/>
        </w:rPr>
        <w:t>Države članice zagotovijo, da ima javnost možnost sodelovati pri pripravi predlogov za vzpostavitev orodij za upravljanje na posameznih območjih, vključno z morskimi zavarovanimi območji, iz člena 15 v skladu z zahtevami iz členov 6 in 7 Direktive 2001/42/ES.</w:t>
      </w:r>
    </w:p>
    <w:p w:rsidR="00F16A26" w:rsidRPr="00A76C07" w:rsidRDefault="00F16A26" w:rsidP="00F16A26">
      <w:pPr>
        <w:jc w:val="center"/>
        <w:rPr>
          <w:b/>
          <w:bCs/>
          <w:noProof/>
          <w:szCs w:val="24"/>
        </w:rPr>
      </w:pPr>
      <w:r w:rsidRPr="00A76C07">
        <w:rPr>
          <w:b/>
          <w:noProof/>
        </w:rPr>
        <w:t>Poglavje 5</w:t>
      </w:r>
    </w:p>
    <w:p w:rsidR="00F16A26" w:rsidRPr="00A76C07" w:rsidRDefault="00F16A26" w:rsidP="00F16A26">
      <w:pPr>
        <w:jc w:val="center"/>
        <w:rPr>
          <w:b/>
          <w:bCs/>
          <w:noProof/>
          <w:szCs w:val="24"/>
        </w:rPr>
      </w:pPr>
      <w:r w:rsidRPr="00A76C07">
        <w:rPr>
          <w:b/>
          <w:noProof/>
        </w:rPr>
        <w:t xml:space="preserve">Končne določbe </w:t>
      </w:r>
    </w:p>
    <w:p w:rsidR="00F16A26" w:rsidRPr="00A76C07" w:rsidRDefault="00F16A26" w:rsidP="00F16A26">
      <w:pPr>
        <w:jc w:val="center"/>
        <w:rPr>
          <w:rFonts w:eastAsia="Times New Roman"/>
          <w:i/>
          <w:iCs/>
          <w:noProof/>
          <w:szCs w:val="24"/>
        </w:rPr>
      </w:pPr>
      <w:r w:rsidRPr="00A76C07">
        <w:rPr>
          <w:i/>
          <w:noProof/>
        </w:rPr>
        <w:t>Člen 20</w:t>
      </w:r>
    </w:p>
    <w:p w:rsidR="00F16A26" w:rsidRPr="00A76C07" w:rsidRDefault="00F16A26" w:rsidP="00F16A26">
      <w:pPr>
        <w:jc w:val="center"/>
        <w:rPr>
          <w:rFonts w:eastAsia="Times New Roman"/>
          <w:b/>
          <w:bCs/>
          <w:noProof/>
          <w:szCs w:val="24"/>
        </w:rPr>
      </w:pPr>
      <w:r w:rsidRPr="00A76C07">
        <w:rPr>
          <w:b/>
          <w:noProof/>
        </w:rPr>
        <w:t>Pristojni organi</w:t>
      </w:r>
    </w:p>
    <w:p w:rsidR="00F16A26" w:rsidRPr="00A76C07" w:rsidRDefault="00F16A26" w:rsidP="00F16A26">
      <w:pPr>
        <w:rPr>
          <w:noProof/>
          <w:szCs w:val="24"/>
        </w:rPr>
      </w:pPr>
      <w:r w:rsidRPr="00A76C07">
        <w:rPr>
          <w:noProof/>
        </w:rPr>
        <w:t xml:space="preserve">1. Države članice do </w:t>
      </w:r>
      <w:r w:rsidRPr="00A76C07">
        <w:rPr>
          <w:noProof/>
          <w:highlight w:val="yellow"/>
        </w:rPr>
        <w:t>xx</w:t>
      </w:r>
      <w:r w:rsidRPr="00A76C07">
        <w:rPr>
          <w:noProof/>
        </w:rPr>
        <w:t xml:space="preserve"> </w:t>
      </w:r>
      <w:r w:rsidRPr="00A76C07">
        <w:rPr>
          <w:noProof/>
          <w:highlight w:val="yellow"/>
        </w:rPr>
        <w:t>[štiri mesece pred rokom za prenos – Urad za publikacije vstavi datum]</w:t>
      </w:r>
      <w:r w:rsidRPr="00A76C07">
        <w:rPr>
          <w:noProof/>
        </w:rPr>
        <w:t xml:space="preserve"> določijo pristojne organe, ki bodo opravljali dolžnosti iz poglavij 2 do 5 te direktive, in o njih uradno obvestijo Komisijo. </w:t>
      </w:r>
    </w:p>
    <w:p w:rsidR="00F16A26" w:rsidRPr="00A76C07" w:rsidRDefault="00F16A26" w:rsidP="00F16A26">
      <w:pPr>
        <w:rPr>
          <w:rFonts w:eastAsia="Times New Roman"/>
          <w:noProof/>
          <w:szCs w:val="24"/>
        </w:rPr>
      </w:pPr>
      <w:r w:rsidRPr="00A76C07">
        <w:rPr>
          <w:noProof/>
        </w:rPr>
        <w:t>2. Države članice zagotovijo, da imajo pristojni organi, ki opravljajo dolžnosti v skladu s to direktivo, zadostno število usposobljenega osebja ter dovolj finančnih, tehničnih in tehnoloških virov za učinkovito opravljanje svojih nalog.</w:t>
      </w:r>
    </w:p>
    <w:p w:rsidR="00F16A26" w:rsidRPr="00A76C07" w:rsidRDefault="00F16A26" w:rsidP="00F16A26">
      <w:pPr>
        <w:shd w:val="clear" w:color="auto" w:fill="FFFFFF" w:themeFill="background1"/>
        <w:spacing w:before="60"/>
        <w:jc w:val="center"/>
        <w:rPr>
          <w:rFonts w:eastAsia="Times New Roman"/>
          <w:i/>
          <w:iCs/>
          <w:noProof/>
          <w:szCs w:val="24"/>
        </w:rPr>
      </w:pPr>
      <w:r w:rsidRPr="00A76C07">
        <w:rPr>
          <w:i/>
          <w:noProof/>
        </w:rPr>
        <w:t xml:space="preserve">Člen 21 </w:t>
      </w:r>
    </w:p>
    <w:p w:rsidR="00F16A26" w:rsidRPr="00A76C07" w:rsidRDefault="00F16A26" w:rsidP="00F16A26">
      <w:pPr>
        <w:shd w:val="clear" w:color="auto" w:fill="FFFFFF" w:themeFill="background1"/>
        <w:spacing w:before="60"/>
        <w:jc w:val="center"/>
        <w:rPr>
          <w:rFonts w:eastAsia="Times New Roman"/>
          <w:b/>
          <w:bCs/>
          <w:noProof/>
          <w:szCs w:val="24"/>
        </w:rPr>
      </w:pPr>
      <w:r w:rsidRPr="00A76C07">
        <w:rPr>
          <w:b/>
          <w:noProof/>
        </w:rPr>
        <w:t xml:space="preserve">Ocenjevanje, poročanje in pregled </w:t>
      </w:r>
    </w:p>
    <w:p w:rsidR="00F16A26" w:rsidRPr="00A76C07" w:rsidRDefault="00F16A26" w:rsidP="00F16A26">
      <w:pPr>
        <w:shd w:val="clear" w:color="auto" w:fill="FFFFFF" w:themeFill="background1"/>
        <w:spacing w:after="0"/>
        <w:rPr>
          <w:rFonts w:eastAsia="Times New Roman"/>
          <w:noProof/>
          <w:szCs w:val="24"/>
        </w:rPr>
      </w:pPr>
      <w:r w:rsidRPr="00A76C07">
        <w:rPr>
          <w:noProof/>
        </w:rPr>
        <w:t>1. Komisija do [</w:t>
      </w:r>
      <w:r w:rsidRPr="00A76C07">
        <w:rPr>
          <w:noProof/>
          <w:highlight w:val="yellow"/>
        </w:rPr>
        <w:t>5 let od datuma začetka veljavnosti – Urad za publikacije vstavi datum</w:t>
      </w:r>
      <w:r w:rsidRPr="00A76C07">
        <w:rPr>
          <w:noProof/>
        </w:rPr>
        <w:t>] Evropskemu parlamentu in Svetu predloži poročilo, v katerem oceni, v kolikšni meri so države članice sprejele potrebne ukrepe za uskladitev s to direktivo. Države članice zagotovijo Komisiji vse potrebne informacije za pripravo tega poročila.</w:t>
      </w:r>
    </w:p>
    <w:p w:rsidR="00F16A26" w:rsidRPr="00A76C07" w:rsidRDefault="00F16A26" w:rsidP="00F16A26">
      <w:pPr>
        <w:shd w:val="clear" w:color="auto" w:fill="FFFFFF" w:themeFill="background1"/>
        <w:spacing w:after="0"/>
        <w:rPr>
          <w:rFonts w:eastAsia="Times New Roman"/>
          <w:noProof/>
          <w:szCs w:val="24"/>
          <w:highlight w:val="yellow"/>
        </w:rPr>
      </w:pPr>
      <w:r w:rsidRPr="00A76C07">
        <w:rPr>
          <w:noProof/>
        </w:rPr>
        <w:t>2. Komisija do [</w:t>
      </w:r>
      <w:r w:rsidRPr="00A76C07">
        <w:rPr>
          <w:noProof/>
          <w:highlight w:val="yellow"/>
        </w:rPr>
        <w:t>3 leta po roku iz odstavka 1 – Urad za publikacije vstavi datum</w:t>
      </w:r>
      <w:r w:rsidRPr="00A76C07">
        <w:rPr>
          <w:noProof/>
        </w:rPr>
        <w:t>] izvede oceno učinka te direktive [tudi ob upoštevanju razvoja dogodkov v okviru Sporazuma o BBNJ] ter Evropskemu parlamentu in Svetu predloži poročilo. Države članice zagotovijo Komisiji vse potrebne informacije za pripravo tega poročila, vključno s povzetkom izvajanja te direktive in sprejetih ukrepov, ter statistične podatke, pri čemer posebno pozornost namenijo presojam vplivov na okolje, izvedenim v skladu s poglavjem 3. Poročilu se po potrebi priloži zakonodajni predlog.</w:t>
      </w:r>
    </w:p>
    <w:p w:rsidR="00F16A26" w:rsidRPr="00A76C07" w:rsidRDefault="00F16A26" w:rsidP="00F16A26">
      <w:pPr>
        <w:pStyle w:val="Titrearticle"/>
        <w:keepLines/>
        <w:rPr>
          <w:noProof/>
        </w:rPr>
      </w:pPr>
      <w:r w:rsidRPr="00A76C07">
        <w:rPr>
          <w:noProof/>
        </w:rPr>
        <w:t>Člen 22</w:t>
      </w:r>
    </w:p>
    <w:p w:rsidR="00F16A26" w:rsidRPr="00A76C07" w:rsidRDefault="00F16A26" w:rsidP="00F16A26">
      <w:pPr>
        <w:pStyle w:val="Titrearticle"/>
        <w:keepLines/>
        <w:rPr>
          <w:b/>
          <w:bCs/>
          <w:i w:val="0"/>
          <w:iCs/>
          <w:noProof/>
        </w:rPr>
      </w:pPr>
      <w:r w:rsidRPr="00A76C07">
        <w:rPr>
          <w:b/>
          <w:i w:val="0"/>
          <w:noProof/>
        </w:rPr>
        <w:t>Prenos</w:t>
      </w:r>
    </w:p>
    <w:p w:rsidR="00F16A26" w:rsidRPr="00A76C07" w:rsidRDefault="00F16A26" w:rsidP="00F16A26">
      <w:pPr>
        <w:shd w:val="clear" w:color="auto" w:fill="FFFFFF" w:themeFill="background1"/>
        <w:spacing w:after="0"/>
        <w:rPr>
          <w:rFonts w:eastAsia="Times New Roman"/>
          <w:noProof/>
          <w:szCs w:val="24"/>
        </w:rPr>
      </w:pPr>
      <w:r w:rsidRPr="00A76C07">
        <w:rPr>
          <w:noProof/>
        </w:rPr>
        <w:t xml:space="preserve">1. Države članice najpozneje do </w:t>
      </w:r>
      <w:r w:rsidRPr="00A76C07">
        <w:rPr>
          <w:noProof/>
          <w:highlight w:val="yellow"/>
        </w:rPr>
        <w:t>[6 mesecev po začetku veljavnosti – Urad za publikacije vstavi datum]</w:t>
      </w:r>
      <w:r w:rsidRPr="00A76C07">
        <w:rPr>
          <w:noProof/>
        </w:rPr>
        <w:t xml:space="preserve"> sprejmejo in objavijo zakone in druge predpise, potrebne za uskladitev s to direktivo. Komisiji takoj sporočijo besedilo teh predpisov.</w:t>
      </w:r>
    </w:p>
    <w:p w:rsidR="00F16A26" w:rsidRPr="00A76C07" w:rsidRDefault="00F16A26" w:rsidP="007620FB">
      <w:pPr>
        <w:pStyle w:val="Text1"/>
        <w:ind w:left="0"/>
        <w:rPr>
          <w:noProof/>
        </w:rPr>
      </w:pPr>
      <w:r w:rsidRPr="00A76C07">
        <w:rPr>
          <w:noProof/>
        </w:rPr>
        <w:t xml:space="preserve">Navedene predpise uporabljajo od </w:t>
      </w:r>
      <w:r w:rsidRPr="00A76C07">
        <w:rPr>
          <w:noProof/>
          <w:highlight w:val="yellow"/>
        </w:rPr>
        <w:t>[…]</w:t>
      </w:r>
      <w:r w:rsidRPr="00A76C07">
        <w:rPr>
          <w:noProof/>
        </w:rPr>
        <w:t>.</w:t>
      </w:r>
    </w:p>
    <w:p w:rsidR="00F16A26" w:rsidRPr="00A76C07" w:rsidRDefault="00F16A26" w:rsidP="007620FB">
      <w:pPr>
        <w:pStyle w:val="Text1"/>
        <w:ind w:left="0"/>
        <w:rPr>
          <w:noProof/>
        </w:rPr>
      </w:pPr>
      <w:r w:rsidRPr="00A76C07">
        <w:rPr>
          <w:noProof/>
        </w:rPr>
        <w:t>Države članice se v sprejetih predpisih sklicujejo na to direktivo ali pa sklic nanjo navedejo na datum njihove uradne objave. Način sklicevanja določijo države članice.</w:t>
      </w:r>
    </w:p>
    <w:p w:rsidR="00F16A26" w:rsidRPr="00A76C07" w:rsidRDefault="00F16A26" w:rsidP="007620FB">
      <w:pPr>
        <w:pStyle w:val="Text1"/>
        <w:ind w:left="0"/>
        <w:rPr>
          <w:noProof/>
        </w:rPr>
      </w:pPr>
      <w:r w:rsidRPr="00A76C07">
        <w:rPr>
          <w:noProof/>
        </w:rPr>
        <w:t>2. Države članice Komisiji sporočijo besedila bistvenih določb nacionalne zakonodaje, sprejetih na področju, ki ga ureja ta direktiva.</w:t>
      </w:r>
    </w:p>
    <w:p w:rsidR="00F16A26" w:rsidRPr="00A76C07" w:rsidRDefault="00F16A26" w:rsidP="00F16A26">
      <w:pPr>
        <w:pStyle w:val="Titrearticle"/>
        <w:rPr>
          <w:noProof/>
        </w:rPr>
      </w:pPr>
      <w:r w:rsidRPr="00A76C07">
        <w:rPr>
          <w:noProof/>
        </w:rPr>
        <w:t>Člen 23</w:t>
      </w:r>
    </w:p>
    <w:p w:rsidR="00F16A26" w:rsidRPr="00A76C07" w:rsidRDefault="00F16A26" w:rsidP="00F16A26">
      <w:pPr>
        <w:pStyle w:val="Titrearticle"/>
        <w:rPr>
          <w:b/>
          <w:bCs/>
          <w:i w:val="0"/>
          <w:iCs/>
          <w:noProof/>
        </w:rPr>
      </w:pPr>
      <w:r w:rsidRPr="00A76C07">
        <w:rPr>
          <w:b/>
          <w:i w:val="0"/>
          <w:noProof/>
        </w:rPr>
        <w:t>Začetek veljavnosti</w:t>
      </w:r>
    </w:p>
    <w:p w:rsidR="00F16A26" w:rsidRPr="00A76C07" w:rsidRDefault="00F16A26" w:rsidP="00F16A26">
      <w:pPr>
        <w:rPr>
          <w:rFonts w:eastAsia="Times New Roman"/>
          <w:noProof/>
          <w:szCs w:val="24"/>
        </w:rPr>
      </w:pPr>
      <w:r w:rsidRPr="00A76C07">
        <w:rPr>
          <w:noProof/>
        </w:rPr>
        <w:t xml:space="preserve">Ta direktiva začne veljati dvajseti dan po objavi v </w:t>
      </w:r>
      <w:r w:rsidRPr="00A76C07">
        <w:rPr>
          <w:i/>
          <w:iCs/>
          <w:noProof/>
        </w:rPr>
        <w:t>Uradnem listu Evropske unije</w:t>
      </w:r>
      <w:r w:rsidRPr="00A76C07">
        <w:rPr>
          <w:noProof/>
        </w:rPr>
        <w:t>.</w:t>
      </w:r>
    </w:p>
    <w:p w:rsidR="00F16A26" w:rsidRPr="00A76C07" w:rsidRDefault="00F16A26" w:rsidP="00F16A26">
      <w:pPr>
        <w:pStyle w:val="Titrearticle"/>
        <w:rPr>
          <w:noProof/>
        </w:rPr>
      </w:pPr>
      <w:r w:rsidRPr="00A76C07">
        <w:rPr>
          <w:noProof/>
        </w:rPr>
        <w:t>Člen 24</w:t>
      </w:r>
    </w:p>
    <w:p w:rsidR="00FF3232" w:rsidRPr="00A76C07" w:rsidRDefault="00F16A26" w:rsidP="00253DE3">
      <w:pPr>
        <w:pStyle w:val="Titrearticle"/>
        <w:rPr>
          <w:b/>
          <w:bCs/>
          <w:i w:val="0"/>
          <w:iCs/>
          <w:noProof/>
        </w:rPr>
      </w:pPr>
      <w:r w:rsidRPr="00A76C07">
        <w:rPr>
          <w:b/>
          <w:i w:val="0"/>
          <w:noProof/>
        </w:rPr>
        <w:t>Naslovniki</w:t>
      </w:r>
    </w:p>
    <w:p w:rsidR="00793E5C" w:rsidRPr="00A76C07" w:rsidRDefault="000E5963" w:rsidP="00793E5C">
      <w:pPr>
        <w:rPr>
          <w:noProof/>
        </w:rPr>
      </w:pPr>
      <w:r w:rsidRPr="00A76C07">
        <w:rPr>
          <w:noProof/>
        </w:rPr>
        <w:t xml:space="preserve">Ta direktiva je naslovljena na države članice v skladu s Pogodbama. </w:t>
      </w:r>
    </w:p>
    <w:p w:rsidR="00AF7CEF" w:rsidRPr="00A76C07" w:rsidRDefault="00A76C07" w:rsidP="00253DE3">
      <w:pPr>
        <w:pStyle w:val="Fait"/>
        <w:rPr>
          <w:noProof/>
        </w:rPr>
      </w:pPr>
      <w:r>
        <w:rPr>
          <w:noProof/>
        </w:rPr>
        <w:t>V Bruslju,</w:t>
      </w:r>
    </w:p>
    <w:p w:rsidR="00E03223" w:rsidRPr="00A76C07" w:rsidRDefault="00E03223" w:rsidP="00253DE3">
      <w:pPr>
        <w:pStyle w:val="Institutionquisigne"/>
        <w:rPr>
          <w:noProof/>
        </w:rPr>
      </w:pPr>
      <w:r w:rsidRPr="00A76C07">
        <w:rPr>
          <w:noProof/>
        </w:rPr>
        <w:t>Za Evropski parlament</w:t>
      </w:r>
      <w:r w:rsidRPr="00A76C07">
        <w:rPr>
          <w:noProof/>
        </w:rPr>
        <w:tab/>
        <w:t>Za Svet</w:t>
      </w:r>
    </w:p>
    <w:p w:rsidR="00327564" w:rsidRPr="00A76C07" w:rsidRDefault="00E03223" w:rsidP="00E03223">
      <w:pPr>
        <w:pStyle w:val="Personnequisigne"/>
        <w:rPr>
          <w:rFonts w:eastAsia="Times New Roman"/>
          <w:noProof/>
          <w:szCs w:val="24"/>
        </w:rPr>
        <w:sectPr w:rsidR="00327564" w:rsidRPr="00A76C07" w:rsidSect="00746C9A">
          <w:pgSz w:w="11907" w:h="16840" w:code="9"/>
          <w:pgMar w:top="1134" w:right="1418" w:bottom="1134" w:left="1418" w:header="709" w:footer="709" w:gutter="0"/>
          <w:cols w:space="720"/>
          <w:docGrid w:linePitch="360"/>
        </w:sectPr>
      </w:pPr>
      <w:r w:rsidRPr="00A76C07">
        <w:rPr>
          <w:noProof/>
        </w:rPr>
        <w:t>Predsednica</w:t>
      </w:r>
      <w:r w:rsidRPr="00A76C07">
        <w:rPr>
          <w:noProof/>
        </w:rPr>
        <w:tab/>
        <w:t>Predsednik</w:t>
      </w:r>
    </w:p>
    <w:p w:rsidR="005E08AC" w:rsidRPr="00A76C07" w:rsidRDefault="00926811" w:rsidP="00EA4797">
      <w:pPr>
        <w:pStyle w:val="Fichefinanciretitre"/>
        <w:rPr>
          <w:noProof/>
        </w:rPr>
      </w:pPr>
      <w:bookmarkStart w:id="114" w:name="_TocADC6AA2B6BEB4C37BDBFEEE3F379EFBD"/>
      <w:r w:rsidRPr="00A76C07">
        <w:rPr>
          <w:noProof/>
        </w:rPr>
        <w:t>OCENA FINANČNIH POSLEDIC IN DIGITALNIH RAZSEŽNOSTI ZAKONODAJNEGA PREDLOGA</w:t>
      </w:r>
      <w:bookmarkEnd w:id="114"/>
    </w:p>
    <w:p w:rsidR="003077D0" w:rsidRPr="00A76C07" w:rsidRDefault="003077D0" w:rsidP="00430805">
      <w:pPr>
        <w:pStyle w:val="TOCHeading"/>
        <w:rPr>
          <w:noProof/>
        </w:rPr>
      </w:pPr>
    </w:p>
    <w:sdt>
      <w:sdtPr>
        <w:rPr>
          <w:b w:val="0"/>
          <w:noProof/>
          <w:sz w:val="24"/>
        </w:rPr>
        <w:id w:val="1873039695"/>
        <w:docPartObj>
          <w:docPartGallery w:val="Table of Contents"/>
          <w:docPartUnique/>
        </w:docPartObj>
      </w:sdtPr>
      <w:sdtEndPr>
        <w:rPr>
          <w:bCs/>
        </w:rPr>
      </w:sdtEndPr>
      <w:sdtContent>
        <w:p w:rsidR="00FD30A3" w:rsidRDefault="003951AE" w:rsidP="00F5357A">
          <w:pPr>
            <w:pStyle w:val="TOCHeading"/>
            <w:rPr>
              <w:noProof/>
            </w:rPr>
          </w:pPr>
          <w:r w:rsidRPr="00A76C07">
            <w:rPr>
              <w:noProof/>
            </w:rPr>
            <w:t>KAZALO</w:t>
          </w:r>
          <w:r w:rsidRPr="00A76C07">
            <w:rPr>
              <w:b w:val="0"/>
              <w:noProof/>
            </w:rPr>
            <w:fldChar w:fldCharType="begin"/>
          </w:r>
          <w:r w:rsidRPr="00A76C07">
            <w:rPr>
              <w:noProof/>
            </w:rPr>
            <w:instrText xml:space="preserve"> TOC \o "1-3" \h \z \u </w:instrText>
          </w:r>
          <w:r w:rsidRPr="00A76C07">
            <w:rPr>
              <w:b w:val="0"/>
              <w:noProof/>
            </w:rPr>
            <w:fldChar w:fldCharType="separate"/>
          </w:r>
        </w:p>
        <w:p w:rsidR="00FD30A3" w:rsidRDefault="004D6B8F">
          <w:pPr>
            <w:pStyle w:val="TOC1"/>
            <w:rPr>
              <w:rFonts w:asciiTheme="minorHAnsi" w:eastAsiaTheme="minorEastAsia" w:hAnsiTheme="minorHAnsi" w:cstheme="minorBidi"/>
              <w:noProof/>
              <w:kern w:val="2"/>
              <w:szCs w:val="24"/>
              <w:lang w:val="en-IE" w:eastAsia="en-IE"/>
              <w14:ligatures w14:val="standardContextual"/>
            </w:rPr>
          </w:pPr>
          <w:hyperlink w:anchor="_Toc199239254" w:history="1">
            <w:r w:rsidR="00FD30A3" w:rsidRPr="00B16329">
              <w:rPr>
                <w:rStyle w:val="Hyperlink"/>
                <w:noProof/>
              </w:rPr>
              <w:t>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OKVIR PREDLOGA/POBUDE</w:t>
            </w:r>
            <w:r w:rsidR="00FD30A3">
              <w:rPr>
                <w:noProof/>
                <w:webHidden/>
              </w:rPr>
              <w:tab/>
            </w:r>
            <w:r w:rsidR="00FD30A3">
              <w:rPr>
                <w:noProof/>
                <w:webHidden/>
              </w:rPr>
              <w:fldChar w:fldCharType="begin"/>
            </w:r>
            <w:r w:rsidR="00FD30A3">
              <w:rPr>
                <w:noProof/>
                <w:webHidden/>
              </w:rPr>
              <w:instrText xml:space="preserve"> PAGEREF _Toc199239254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55" w:history="1">
            <w:r w:rsidR="00FD30A3" w:rsidRPr="00B16329">
              <w:rPr>
                <w:rStyle w:val="Hyperlink"/>
                <w:noProof/>
              </w:rPr>
              <w:t>1.1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Naslov predloga/pobude</w:t>
            </w:r>
            <w:r w:rsidR="00FD30A3">
              <w:rPr>
                <w:noProof/>
                <w:webHidden/>
              </w:rPr>
              <w:tab/>
            </w:r>
            <w:r w:rsidR="00FD30A3">
              <w:rPr>
                <w:noProof/>
                <w:webHidden/>
              </w:rPr>
              <w:fldChar w:fldCharType="begin"/>
            </w:r>
            <w:r w:rsidR="00FD30A3">
              <w:rPr>
                <w:noProof/>
                <w:webHidden/>
              </w:rPr>
              <w:instrText xml:space="preserve"> PAGEREF _Toc199239255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56" w:history="1">
            <w:r w:rsidR="00FD30A3" w:rsidRPr="00B16329">
              <w:rPr>
                <w:rStyle w:val="Hyperlink"/>
                <w:noProof/>
              </w:rPr>
              <w:t>1.2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Zadevna področja</w:t>
            </w:r>
            <w:r w:rsidR="00FD30A3">
              <w:rPr>
                <w:noProof/>
                <w:webHidden/>
              </w:rPr>
              <w:tab/>
            </w:r>
            <w:r w:rsidR="00FD30A3">
              <w:rPr>
                <w:noProof/>
                <w:webHidden/>
              </w:rPr>
              <w:fldChar w:fldCharType="begin"/>
            </w:r>
            <w:r w:rsidR="00FD30A3">
              <w:rPr>
                <w:noProof/>
                <w:webHidden/>
              </w:rPr>
              <w:instrText xml:space="preserve"> PAGEREF _Toc199239256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57" w:history="1">
            <w:r w:rsidR="00FD30A3" w:rsidRPr="00B16329">
              <w:rPr>
                <w:rStyle w:val="Hyperlink"/>
                <w:noProof/>
              </w:rPr>
              <w:t>1.3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Cilji</w:t>
            </w:r>
            <w:r w:rsidR="00FD30A3">
              <w:rPr>
                <w:noProof/>
                <w:webHidden/>
              </w:rPr>
              <w:tab/>
            </w:r>
            <w:r w:rsidR="00FD30A3">
              <w:rPr>
                <w:noProof/>
                <w:webHidden/>
              </w:rPr>
              <w:fldChar w:fldCharType="begin"/>
            </w:r>
            <w:r w:rsidR="00FD30A3">
              <w:rPr>
                <w:noProof/>
                <w:webHidden/>
              </w:rPr>
              <w:instrText xml:space="preserve"> PAGEREF _Toc199239257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58" w:history="1">
            <w:r w:rsidR="00FD30A3" w:rsidRPr="00B16329">
              <w:rPr>
                <w:rStyle w:val="Hyperlink"/>
                <w:noProof/>
              </w:rPr>
              <w:t>1.3.1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Splošni cilji</w:t>
            </w:r>
            <w:r w:rsidR="00FD30A3">
              <w:rPr>
                <w:noProof/>
                <w:webHidden/>
              </w:rPr>
              <w:tab/>
            </w:r>
            <w:r w:rsidR="00FD30A3">
              <w:rPr>
                <w:noProof/>
                <w:webHidden/>
              </w:rPr>
              <w:fldChar w:fldCharType="begin"/>
            </w:r>
            <w:r w:rsidR="00FD30A3">
              <w:rPr>
                <w:noProof/>
                <w:webHidden/>
              </w:rPr>
              <w:instrText xml:space="preserve"> PAGEREF _Toc199239258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59" w:history="1">
            <w:r w:rsidR="00FD30A3" w:rsidRPr="00B16329">
              <w:rPr>
                <w:rStyle w:val="Hyperlink"/>
                <w:noProof/>
              </w:rPr>
              <w:t>1.3.2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Specifični cilji</w:t>
            </w:r>
            <w:r w:rsidR="00FD30A3">
              <w:rPr>
                <w:noProof/>
                <w:webHidden/>
              </w:rPr>
              <w:tab/>
            </w:r>
            <w:r w:rsidR="00FD30A3">
              <w:rPr>
                <w:noProof/>
                <w:webHidden/>
              </w:rPr>
              <w:fldChar w:fldCharType="begin"/>
            </w:r>
            <w:r w:rsidR="00FD30A3">
              <w:rPr>
                <w:noProof/>
                <w:webHidden/>
              </w:rPr>
              <w:instrText xml:space="preserve"> PAGEREF _Toc199239259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0" w:history="1">
            <w:r w:rsidR="00FD30A3" w:rsidRPr="00B16329">
              <w:rPr>
                <w:rStyle w:val="Hyperlink"/>
                <w:noProof/>
              </w:rPr>
              <w:t>1.3.3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Pričakovani rezultati in posledice</w:t>
            </w:r>
            <w:r w:rsidR="00FD30A3">
              <w:rPr>
                <w:noProof/>
                <w:webHidden/>
              </w:rPr>
              <w:tab/>
            </w:r>
            <w:r w:rsidR="00FD30A3">
              <w:rPr>
                <w:noProof/>
                <w:webHidden/>
              </w:rPr>
              <w:fldChar w:fldCharType="begin"/>
            </w:r>
            <w:r w:rsidR="00FD30A3">
              <w:rPr>
                <w:noProof/>
                <w:webHidden/>
              </w:rPr>
              <w:instrText xml:space="preserve"> PAGEREF _Toc199239260 \h </w:instrText>
            </w:r>
            <w:r w:rsidR="00FD30A3">
              <w:rPr>
                <w:noProof/>
                <w:webHidden/>
              </w:rPr>
            </w:r>
            <w:r w:rsidR="00FD30A3">
              <w:rPr>
                <w:noProof/>
                <w:webHidden/>
              </w:rPr>
              <w:fldChar w:fldCharType="separate"/>
            </w:r>
            <w:r w:rsidR="004C4125">
              <w:rPr>
                <w:noProof/>
                <w:webHidden/>
              </w:rPr>
              <w:t>3</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1" w:history="1">
            <w:r w:rsidR="00FD30A3" w:rsidRPr="00B16329">
              <w:rPr>
                <w:rStyle w:val="Hyperlink"/>
                <w:noProof/>
              </w:rPr>
              <w:t>1.3.4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Kazalniki smotrnosti</w:t>
            </w:r>
            <w:r w:rsidR="00FD30A3">
              <w:rPr>
                <w:noProof/>
                <w:webHidden/>
              </w:rPr>
              <w:tab/>
            </w:r>
            <w:r w:rsidR="00FD30A3">
              <w:rPr>
                <w:noProof/>
                <w:webHidden/>
              </w:rPr>
              <w:fldChar w:fldCharType="begin"/>
            </w:r>
            <w:r w:rsidR="00FD30A3">
              <w:rPr>
                <w:noProof/>
                <w:webHidden/>
              </w:rPr>
              <w:instrText xml:space="preserve"> PAGEREF _Toc199239261 \h </w:instrText>
            </w:r>
            <w:r w:rsidR="00FD30A3">
              <w:rPr>
                <w:noProof/>
                <w:webHidden/>
              </w:rPr>
            </w:r>
            <w:r w:rsidR="00FD30A3">
              <w:rPr>
                <w:noProof/>
                <w:webHidden/>
              </w:rPr>
              <w:fldChar w:fldCharType="separate"/>
            </w:r>
            <w:r w:rsidR="004C4125">
              <w:rPr>
                <w:noProof/>
                <w:webHidden/>
              </w:rPr>
              <w:t>4</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62" w:history="1">
            <w:r w:rsidR="00FD30A3" w:rsidRPr="00B16329">
              <w:rPr>
                <w:rStyle w:val="Hyperlink"/>
                <w:noProof/>
              </w:rPr>
              <w:t>1.4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Ukrep, na katerega se predlog/pobuda nanaša</w:t>
            </w:r>
            <w:r w:rsidR="00FD30A3">
              <w:rPr>
                <w:noProof/>
                <w:webHidden/>
              </w:rPr>
              <w:tab/>
            </w:r>
            <w:r w:rsidR="00FD30A3">
              <w:rPr>
                <w:noProof/>
                <w:webHidden/>
              </w:rPr>
              <w:fldChar w:fldCharType="begin"/>
            </w:r>
            <w:r w:rsidR="00FD30A3">
              <w:rPr>
                <w:noProof/>
                <w:webHidden/>
              </w:rPr>
              <w:instrText xml:space="preserve"> PAGEREF _Toc199239262 \h </w:instrText>
            </w:r>
            <w:r w:rsidR="00FD30A3">
              <w:rPr>
                <w:noProof/>
                <w:webHidden/>
              </w:rPr>
            </w:r>
            <w:r w:rsidR="00FD30A3">
              <w:rPr>
                <w:noProof/>
                <w:webHidden/>
              </w:rPr>
              <w:fldChar w:fldCharType="separate"/>
            </w:r>
            <w:r w:rsidR="004C4125">
              <w:rPr>
                <w:noProof/>
                <w:webHidden/>
              </w:rPr>
              <w:t>4</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63" w:history="1">
            <w:r w:rsidR="00FD30A3" w:rsidRPr="00B16329">
              <w:rPr>
                <w:rStyle w:val="Hyperlink"/>
                <w:noProof/>
              </w:rPr>
              <w:t>1.5</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Utemeljitev predloga/pobude</w:t>
            </w:r>
            <w:r w:rsidR="00FD30A3">
              <w:rPr>
                <w:noProof/>
                <w:webHidden/>
              </w:rPr>
              <w:tab/>
            </w:r>
            <w:r w:rsidR="00FD30A3">
              <w:rPr>
                <w:noProof/>
                <w:webHidden/>
              </w:rPr>
              <w:fldChar w:fldCharType="begin"/>
            </w:r>
            <w:r w:rsidR="00FD30A3">
              <w:rPr>
                <w:noProof/>
                <w:webHidden/>
              </w:rPr>
              <w:instrText xml:space="preserve"> PAGEREF _Toc199239263 \h </w:instrText>
            </w:r>
            <w:r w:rsidR="00FD30A3">
              <w:rPr>
                <w:noProof/>
                <w:webHidden/>
              </w:rPr>
            </w:r>
            <w:r w:rsidR="00FD30A3">
              <w:rPr>
                <w:noProof/>
                <w:webHidden/>
              </w:rPr>
              <w:fldChar w:fldCharType="separate"/>
            </w:r>
            <w:r w:rsidR="004C4125">
              <w:rPr>
                <w:noProof/>
                <w:webHidden/>
              </w:rPr>
              <w:t>4</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4" w:history="1">
            <w:r w:rsidR="00FD30A3" w:rsidRPr="00B16329">
              <w:rPr>
                <w:rStyle w:val="Hyperlink"/>
                <w:noProof/>
              </w:rPr>
              <w:t>1.5.1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Potrebe, ki jih je treba zadovoljiti kratkoročno ali dolgoročno, vključno s podrobno časovnico za uvajanje ustreznih ukrepov za izvajanje pobude</w:t>
            </w:r>
            <w:r w:rsidR="00FD30A3">
              <w:rPr>
                <w:noProof/>
                <w:webHidden/>
              </w:rPr>
              <w:tab/>
            </w:r>
            <w:r w:rsidR="00FD30A3">
              <w:rPr>
                <w:noProof/>
                <w:webHidden/>
              </w:rPr>
              <w:fldChar w:fldCharType="begin"/>
            </w:r>
            <w:r w:rsidR="00FD30A3">
              <w:rPr>
                <w:noProof/>
                <w:webHidden/>
              </w:rPr>
              <w:instrText xml:space="preserve"> PAGEREF _Toc199239264 \h </w:instrText>
            </w:r>
            <w:r w:rsidR="00FD30A3">
              <w:rPr>
                <w:noProof/>
                <w:webHidden/>
              </w:rPr>
            </w:r>
            <w:r w:rsidR="00FD30A3">
              <w:rPr>
                <w:noProof/>
                <w:webHidden/>
              </w:rPr>
              <w:fldChar w:fldCharType="separate"/>
            </w:r>
            <w:r w:rsidR="004C4125">
              <w:rPr>
                <w:noProof/>
                <w:webHidden/>
              </w:rPr>
              <w:t>4</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5" w:history="1">
            <w:r w:rsidR="00FD30A3" w:rsidRPr="00B16329">
              <w:rPr>
                <w:rStyle w:val="Hyperlink"/>
                <w:noProof/>
              </w:rPr>
              <w:t>1.5.2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r w:rsidR="00FD30A3">
              <w:rPr>
                <w:noProof/>
                <w:webHidden/>
              </w:rPr>
              <w:tab/>
            </w:r>
            <w:r w:rsidR="00FD30A3">
              <w:rPr>
                <w:noProof/>
                <w:webHidden/>
              </w:rPr>
              <w:fldChar w:fldCharType="begin"/>
            </w:r>
            <w:r w:rsidR="00FD30A3">
              <w:rPr>
                <w:noProof/>
                <w:webHidden/>
              </w:rPr>
              <w:instrText xml:space="preserve"> PAGEREF _Toc199239265 \h </w:instrText>
            </w:r>
            <w:r w:rsidR="00FD30A3">
              <w:rPr>
                <w:noProof/>
                <w:webHidden/>
              </w:rPr>
            </w:r>
            <w:r w:rsidR="00FD30A3">
              <w:rPr>
                <w:noProof/>
                <w:webHidden/>
              </w:rPr>
              <w:fldChar w:fldCharType="separate"/>
            </w:r>
            <w:r w:rsidR="004C4125">
              <w:rPr>
                <w:noProof/>
                <w:webHidden/>
              </w:rPr>
              <w:t>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6" w:history="1">
            <w:r w:rsidR="00FD30A3" w:rsidRPr="00B16329">
              <w:rPr>
                <w:rStyle w:val="Hyperlink"/>
                <w:noProof/>
              </w:rPr>
              <w:t>1.5.3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Spoznanja iz podobnih izkušenj v preteklosti</w:t>
            </w:r>
            <w:r w:rsidR="00FD30A3">
              <w:rPr>
                <w:noProof/>
                <w:webHidden/>
              </w:rPr>
              <w:tab/>
            </w:r>
            <w:r w:rsidR="00FD30A3">
              <w:rPr>
                <w:noProof/>
                <w:webHidden/>
              </w:rPr>
              <w:fldChar w:fldCharType="begin"/>
            </w:r>
            <w:r w:rsidR="00FD30A3">
              <w:rPr>
                <w:noProof/>
                <w:webHidden/>
              </w:rPr>
              <w:instrText xml:space="preserve"> PAGEREF _Toc199239266 \h </w:instrText>
            </w:r>
            <w:r w:rsidR="00FD30A3">
              <w:rPr>
                <w:noProof/>
                <w:webHidden/>
              </w:rPr>
            </w:r>
            <w:r w:rsidR="00FD30A3">
              <w:rPr>
                <w:noProof/>
                <w:webHidden/>
              </w:rPr>
              <w:fldChar w:fldCharType="separate"/>
            </w:r>
            <w:r w:rsidR="004C4125">
              <w:rPr>
                <w:noProof/>
                <w:webHidden/>
              </w:rPr>
              <w:t>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7" w:history="1">
            <w:r w:rsidR="00FD30A3" w:rsidRPr="00B16329">
              <w:rPr>
                <w:rStyle w:val="Hyperlink"/>
                <w:noProof/>
              </w:rPr>
              <w:t>1.5.4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Skladnost z večletnim finančnim okvirom in možne sinergije z drugimi ustreznimi instrumenti</w:t>
            </w:r>
            <w:r w:rsidR="00FD30A3">
              <w:rPr>
                <w:noProof/>
                <w:webHidden/>
              </w:rPr>
              <w:tab/>
            </w:r>
            <w:r w:rsidR="00FD30A3">
              <w:rPr>
                <w:noProof/>
                <w:webHidden/>
              </w:rPr>
              <w:fldChar w:fldCharType="begin"/>
            </w:r>
            <w:r w:rsidR="00FD30A3">
              <w:rPr>
                <w:noProof/>
                <w:webHidden/>
              </w:rPr>
              <w:instrText xml:space="preserve"> PAGEREF _Toc199239267 \h </w:instrText>
            </w:r>
            <w:r w:rsidR="00FD30A3">
              <w:rPr>
                <w:noProof/>
                <w:webHidden/>
              </w:rPr>
            </w:r>
            <w:r w:rsidR="00FD30A3">
              <w:rPr>
                <w:noProof/>
                <w:webHidden/>
              </w:rPr>
              <w:fldChar w:fldCharType="separate"/>
            </w:r>
            <w:r w:rsidR="004C4125">
              <w:rPr>
                <w:noProof/>
                <w:webHidden/>
              </w:rPr>
              <w:t>6</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68" w:history="1">
            <w:r w:rsidR="00FD30A3" w:rsidRPr="00B16329">
              <w:rPr>
                <w:rStyle w:val="Hyperlink"/>
                <w:noProof/>
              </w:rPr>
              <w:t>1.5.5</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Ocena različnih razpoložljivih možnosti financiranja, vključno z možnostmi za prerazporeditev</w:t>
            </w:r>
            <w:r w:rsidR="00FD30A3">
              <w:rPr>
                <w:noProof/>
                <w:webHidden/>
              </w:rPr>
              <w:tab/>
            </w:r>
            <w:r w:rsidR="00FD30A3">
              <w:rPr>
                <w:noProof/>
                <w:webHidden/>
              </w:rPr>
              <w:fldChar w:fldCharType="begin"/>
            </w:r>
            <w:r w:rsidR="00FD30A3">
              <w:rPr>
                <w:noProof/>
                <w:webHidden/>
              </w:rPr>
              <w:instrText xml:space="preserve"> PAGEREF _Toc199239268 \h </w:instrText>
            </w:r>
            <w:r w:rsidR="00FD30A3">
              <w:rPr>
                <w:noProof/>
                <w:webHidden/>
              </w:rPr>
            </w:r>
            <w:r w:rsidR="00FD30A3">
              <w:rPr>
                <w:noProof/>
                <w:webHidden/>
              </w:rPr>
              <w:fldChar w:fldCharType="separate"/>
            </w:r>
            <w:r w:rsidR="004C4125">
              <w:rPr>
                <w:noProof/>
                <w:webHidden/>
              </w:rPr>
              <w:t>6</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69" w:history="1">
            <w:r w:rsidR="00FD30A3" w:rsidRPr="00B16329">
              <w:rPr>
                <w:rStyle w:val="Hyperlink"/>
                <w:noProof/>
              </w:rPr>
              <w:t>1.6</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Trajanje predloga/pobude in finančnih posledic</w:t>
            </w:r>
            <w:r w:rsidR="00FD30A3">
              <w:rPr>
                <w:noProof/>
                <w:webHidden/>
              </w:rPr>
              <w:tab/>
            </w:r>
            <w:r w:rsidR="00FD30A3">
              <w:rPr>
                <w:noProof/>
                <w:webHidden/>
              </w:rPr>
              <w:fldChar w:fldCharType="begin"/>
            </w:r>
            <w:r w:rsidR="00FD30A3">
              <w:rPr>
                <w:noProof/>
                <w:webHidden/>
              </w:rPr>
              <w:instrText xml:space="preserve"> PAGEREF _Toc199239269 \h </w:instrText>
            </w:r>
            <w:r w:rsidR="00FD30A3">
              <w:rPr>
                <w:noProof/>
                <w:webHidden/>
              </w:rPr>
            </w:r>
            <w:r w:rsidR="00FD30A3">
              <w:rPr>
                <w:noProof/>
                <w:webHidden/>
              </w:rPr>
              <w:fldChar w:fldCharType="separate"/>
            </w:r>
            <w:r w:rsidR="004C4125">
              <w:rPr>
                <w:noProof/>
                <w:webHidden/>
              </w:rPr>
              <w:t>8</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70" w:history="1">
            <w:r w:rsidR="00FD30A3" w:rsidRPr="00B16329">
              <w:rPr>
                <w:rStyle w:val="Hyperlink"/>
                <w:noProof/>
              </w:rPr>
              <w:t>1.7</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Načrtovani načini izvrševanja proračuna</w:t>
            </w:r>
            <w:r w:rsidR="00FD30A3">
              <w:rPr>
                <w:noProof/>
                <w:webHidden/>
              </w:rPr>
              <w:tab/>
            </w:r>
            <w:r w:rsidR="00FD30A3">
              <w:rPr>
                <w:noProof/>
                <w:webHidden/>
              </w:rPr>
              <w:fldChar w:fldCharType="begin"/>
            </w:r>
            <w:r w:rsidR="00FD30A3">
              <w:rPr>
                <w:noProof/>
                <w:webHidden/>
              </w:rPr>
              <w:instrText xml:space="preserve"> PAGEREF _Toc199239270 \h </w:instrText>
            </w:r>
            <w:r w:rsidR="00FD30A3">
              <w:rPr>
                <w:noProof/>
                <w:webHidden/>
              </w:rPr>
            </w:r>
            <w:r w:rsidR="00FD30A3">
              <w:rPr>
                <w:noProof/>
                <w:webHidden/>
              </w:rPr>
              <w:fldChar w:fldCharType="separate"/>
            </w:r>
            <w:r w:rsidR="004C4125">
              <w:rPr>
                <w:noProof/>
                <w:webHidden/>
              </w:rPr>
              <w:t>8</w:t>
            </w:r>
            <w:r w:rsidR="00FD30A3">
              <w:rPr>
                <w:noProof/>
                <w:webHidden/>
              </w:rPr>
              <w:fldChar w:fldCharType="end"/>
            </w:r>
          </w:hyperlink>
        </w:p>
        <w:p w:rsidR="00FD30A3" w:rsidRDefault="004D6B8F">
          <w:pPr>
            <w:pStyle w:val="TOC1"/>
            <w:rPr>
              <w:rFonts w:asciiTheme="minorHAnsi" w:eastAsiaTheme="minorEastAsia" w:hAnsiTheme="minorHAnsi" w:cstheme="minorBidi"/>
              <w:noProof/>
              <w:kern w:val="2"/>
              <w:szCs w:val="24"/>
              <w:lang w:val="en-IE" w:eastAsia="en-IE"/>
              <w14:ligatures w14:val="standardContextual"/>
            </w:rPr>
          </w:pPr>
          <w:hyperlink w:anchor="_Toc199239271" w:history="1">
            <w:r w:rsidR="00FD30A3" w:rsidRPr="00B16329">
              <w:rPr>
                <w:rStyle w:val="Hyperlink"/>
                <w:noProof/>
              </w:rPr>
              <w:t>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UKREPI UPRAVLJANJA</w:t>
            </w:r>
            <w:r w:rsidR="00FD30A3">
              <w:rPr>
                <w:noProof/>
                <w:webHidden/>
              </w:rPr>
              <w:tab/>
            </w:r>
            <w:r w:rsidR="00FD30A3">
              <w:rPr>
                <w:noProof/>
                <w:webHidden/>
              </w:rPr>
              <w:fldChar w:fldCharType="begin"/>
            </w:r>
            <w:r w:rsidR="00FD30A3">
              <w:rPr>
                <w:noProof/>
                <w:webHidden/>
              </w:rPr>
              <w:instrText xml:space="preserve"> PAGEREF _Toc199239271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72" w:history="1">
            <w:r w:rsidR="00FD30A3" w:rsidRPr="00B16329">
              <w:rPr>
                <w:rStyle w:val="Hyperlink"/>
                <w:noProof/>
              </w:rPr>
              <w:t>2.1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Pravila o spremljanju in poročanju</w:t>
            </w:r>
            <w:r w:rsidR="00FD30A3">
              <w:rPr>
                <w:noProof/>
                <w:webHidden/>
              </w:rPr>
              <w:tab/>
            </w:r>
            <w:r w:rsidR="00FD30A3">
              <w:rPr>
                <w:noProof/>
                <w:webHidden/>
              </w:rPr>
              <w:fldChar w:fldCharType="begin"/>
            </w:r>
            <w:r w:rsidR="00FD30A3">
              <w:rPr>
                <w:noProof/>
                <w:webHidden/>
              </w:rPr>
              <w:instrText xml:space="preserve"> PAGEREF _Toc199239272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73" w:history="1">
            <w:r w:rsidR="00FD30A3" w:rsidRPr="00B16329">
              <w:rPr>
                <w:rStyle w:val="Hyperlink"/>
                <w:noProof/>
              </w:rPr>
              <w:t>2.2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Upravljavski in kontrolni sistemi</w:t>
            </w:r>
            <w:r w:rsidR="00FD30A3">
              <w:rPr>
                <w:noProof/>
                <w:webHidden/>
              </w:rPr>
              <w:tab/>
            </w:r>
            <w:r w:rsidR="00FD30A3">
              <w:rPr>
                <w:noProof/>
                <w:webHidden/>
              </w:rPr>
              <w:fldChar w:fldCharType="begin"/>
            </w:r>
            <w:r w:rsidR="00FD30A3">
              <w:rPr>
                <w:noProof/>
                <w:webHidden/>
              </w:rPr>
              <w:instrText xml:space="preserve"> PAGEREF _Toc199239273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74" w:history="1">
            <w:r w:rsidR="00FD30A3" w:rsidRPr="00B16329">
              <w:rPr>
                <w:rStyle w:val="Hyperlink"/>
                <w:noProof/>
              </w:rPr>
              <w:t>2.2.1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Utemeljitev načinov izvrševanja proračuna, mehanizmov financiranja, načinov plačevanja in predlagane strategije kontrol</w:t>
            </w:r>
            <w:r w:rsidR="00FD30A3">
              <w:rPr>
                <w:noProof/>
                <w:webHidden/>
              </w:rPr>
              <w:tab/>
            </w:r>
            <w:r w:rsidR="00FD30A3">
              <w:rPr>
                <w:noProof/>
                <w:webHidden/>
              </w:rPr>
              <w:fldChar w:fldCharType="begin"/>
            </w:r>
            <w:r w:rsidR="00FD30A3">
              <w:rPr>
                <w:noProof/>
                <w:webHidden/>
              </w:rPr>
              <w:instrText xml:space="preserve"> PAGEREF _Toc199239274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75" w:history="1">
            <w:r w:rsidR="00FD30A3" w:rsidRPr="00B16329">
              <w:rPr>
                <w:rStyle w:val="Hyperlink"/>
                <w:noProof/>
              </w:rPr>
              <w:t>2.2.2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Podatki o ugotovljenih tveganjih in vzpostavljenih sistemih notranjih kontrol za njihovo zmanjševanje</w:t>
            </w:r>
            <w:r w:rsidR="00FD30A3">
              <w:rPr>
                <w:noProof/>
                <w:webHidden/>
              </w:rPr>
              <w:tab/>
            </w:r>
            <w:r w:rsidR="00FD30A3">
              <w:rPr>
                <w:noProof/>
                <w:webHidden/>
              </w:rPr>
              <w:fldChar w:fldCharType="begin"/>
            </w:r>
            <w:r w:rsidR="00FD30A3">
              <w:rPr>
                <w:noProof/>
                <w:webHidden/>
              </w:rPr>
              <w:instrText xml:space="preserve"> PAGEREF _Toc199239275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76" w:history="1">
            <w:r w:rsidR="00FD30A3" w:rsidRPr="00B16329">
              <w:rPr>
                <w:rStyle w:val="Hyperlink"/>
                <w:noProof/>
              </w:rPr>
              <w:t>2.2.3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Ocena in utemeljitev stroškovne učinkovitosti kontrol (razmerje med stroški kontrol in vrednostjo z njimi povezanih upravljanih sredstev) ter ocena pričakovane stopnje tveganja napake (ob plačilu in ob zaključku)</w:t>
            </w:r>
            <w:r w:rsidR="00FD30A3">
              <w:rPr>
                <w:noProof/>
                <w:webHidden/>
              </w:rPr>
              <w:tab/>
            </w:r>
            <w:r w:rsidR="00FD30A3">
              <w:rPr>
                <w:noProof/>
                <w:webHidden/>
              </w:rPr>
              <w:fldChar w:fldCharType="begin"/>
            </w:r>
            <w:r w:rsidR="00FD30A3">
              <w:rPr>
                <w:noProof/>
                <w:webHidden/>
              </w:rPr>
              <w:instrText xml:space="preserve"> PAGEREF _Toc199239276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77" w:history="1">
            <w:r w:rsidR="00FD30A3" w:rsidRPr="00B16329">
              <w:rPr>
                <w:rStyle w:val="Hyperlink"/>
                <w:noProof/>
              </w:rPr>
              <w:t>2.3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Ukrepi za preprečevanje goljufij in nepravilnosti</w:t>
            </w:r>
            <w:r w:rsidR="00FD30A3">
              <w:rPr>
                <w:noProof/>
                <w:webHidden/>
              </w:rPr>
              <w:tab/>
            </w:r>
            <w:r w:rsidR="00FD30A3">
              <w:rPr>
                <w:noProof/>
                <w:webHidden/>
              </w:rPr>
              <w:fldChar w:fldCharType="begin"/>
            </w:r>
            <w:r w:rsidR="00FD30A3">
              <w:rPr>
                <w:noProof/>
                <w:webHidden/>
              </w:rPr>
              <w:instrText xml:space="preserve"> PAGEREF _Toc199239277 \h </w:instrText>
            </w:r>
            <w:r w:rsidR="00FD30A3">
              <w:rPr>
                <w:noProof/>
                <w:webHidden/>
              </w:rPr>
            </w:r>
            <w:r w:rsidR="00FD30A3">
              <w:rPr>
                <w:noProof/>
                <w:webHidden/>
              </w:rPr>
              <w:fldChar w:fldCharType="separate"/>
            </w:r>
            <w:r w:rsidR="004C4125">
              <w:rPr>
                <w:noProof/>
                <w:webHidden/>
              </w:rPr>
              <w:t>9</w:t>
            </w:r>
            <w:r w:rsidR="00FD30A3">
              <w:rPr>
                <w:noProof/>
                <w:webHidden/>
              </w:rPr>
              <w:fldChar w:fldCharType="end"/>
            </w:r>
          </w:hyperlink>
        </w:p>
        <w:p w:rsidR="00FD30A3" w:rsidRDefault="004D6B8F">
          <w:pPr>
            <w:pStyle w:val="TOC1"/>
            <w:rPr>
              <w:rFonts w:asciiTheme="minorHAnsi" w:eastAsiaTheme="minorEastAsia" w:hAnsiTheme="minorHAnsi" w:cstheme="minorBidi"/>
              <w:noProof/>
              <w:kern w:val="2"/>
              <w:szCs w:val="24"/>
              <w:lang w:val="en-IE" w:eastAsia="en-IE"/>
              <w14:ligatures w14:val="standardContextual"/>
            </w:rPr>
          </w:pPr>
          <w:hyperlink w:anchor="_Toc199239278" w:history="1">
            <w:r w:rsidR="00FD30A3" w:rsidRPr="00B16329">
              <w:rPr>
                <w:rStyle w:val="Hyperlink"/>
                <w:noProof/>
              </w:rPr>
              <w:t>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OCENA FINANČNIH POSLEDIC PREDLOGA/POBUDE</w:t>
            </w:r>
            <w:r w:rsidR="00FD30A3">
              <w:rPr>
                <w:noProof/>
                <w:webHidden/>
              </w:rPr>
              <w:tab/>
            </w:r>
            <w:r w:rsidR="00FD30A3">
              <w:rPr>
                <w:noProof/>
                <w:webHidden/>
              </w:rPr>
              <w:fldChar w:fldCharType="begin"/>
            </w:r>
            <w:r w:rsidR="00FD30A3">
              <w:rPr>
                <w:noProof/>
                <w:webHidden/>
              </w:rPr>
              <w:instrText xml:space="preserve"> PAGEREF _Toc199239278 \h </w:instrText>
            </w:r>
            <w:r w:rsidR="00FD30A3">
              <w:rPr>
                <w:noProof/>
                <w:webHidden/>
              </w:rPr>
            </w:r>
            <w:r w:rsidR="00FD30A3">
              <w:rPr>
                <w:noProof/>
                <w:webHidden/>
              </w:rPr>
              <w:fldChar w:fldCharType="separate"/>
            </w:r>
            <w:r w:rsidR="004C4125">
              <w:rPr>
                <w:noProof/>
                <w:webHidden/>
              </w:rPr>
              <w:t>10</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79" w:history="1">
            <w:r w:rsidR="00FD30A3" w:rsidRPr="00B16329">
              <w:rPr>
                <w:rStyle w:val="Hyperlink"/>
                <w:noProof/>
              </w:rPr>
              <w:t>3.1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Zadevni razdelki večletnega finančnega okvira in odhodkovne proračunske vrstice</w:t>
            </w:r>
            <w:r w:rsidR="00FD30A3">
              <w:rPr>
                <w:noProof/>
                <w:webHidden/>
              </w:rPr>
              <w:tab/>
            </w:r>
            <w:r w:rsidR="00FD30A3">
              <w:rPr>
                <w:noProof/>
                <w:webHidden/>
              </w:rPr>
              <w:fldChar w:fldCharType="begin"/>
            </w:r>
            <w:r w:rsidR="00FD30A3">
              <w:rPr>
                <w:noProof/>
                <w:webHidden/>
              </w:rPr>
              <w:instrText xml:space="preserve"> PAGEREF _Toc199239279 \h </w:instrText>
            </w:r>
            <w:r w:rsidR="00FD30A3">
              <w:rPr>
                <w:noProof/>
                <w:webHidden/>
              </w:rPr>
            </w:r>
            <w:r w:rsidR="00FD30A3">
              <w:rPr>
                <w:noProof/>
                <w:webHidden/>
              </w:rPr>
              <w:fldChar w:fldCharType="separate"/>
            </w:r>
            <w:r w:rsidR="004C4125">
              <w:rPr>
                <w:noProof/>
                <w:webHidden/>
              </w:rPr>
              <w:t>10</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80" w:history="1">
            <w:r w:rsidR="00FD30A3" w:rsidRPr="00B16329">
              <w:rPr>
                <w:rStyle w:val="Hyperlink"/>
                <w:noProof/>
              </w:rPr>
              <w:t>3.2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Ocenjene finančne posledice predloga za odobritve</w:t>
            </w:r>
            <w:r w:rsidR="00FD30A3">
              <w:rPr>
                <w:noProof/>
                <w:webHidden/>
              </w:rPr>
              <w:tab/>
            </w:r>
            <w:r w:rsidR="00FD30A3">
              <w:rPr>
                <w:noProof/>
                <w:webHidden/>
              </w:rPr>
              <w:fldChar w:fldCharType="begin"/>
            </w:r>
            <w:r w:rsidR="00FD30A3">
              <w:rPr>
                <w:noProof/>
                <w:webHidden/>
              </w:rPr>
              <w:instrText xml:space="preserve"> PAGEREF _Toc199239280 \h </w:instrText>
            </w:r>
            <w:r w:rsidR="00FD30A3">
              <w:rPr>
                <w:noProof/>
                <w:webHidden/>
              </w:rPr>
            </w:r>
            <w:r w:rsidR="00FD30A3">
              <w:rPr>
                <w:noProof/>
                <w:webHidden/>
              </w:rPr>
              <w:fldChar w:fldCharType="separate"/>
            </w:r>
            <w:r w:rsidR="004C4125">
              <w:rPr>
                <w:noProof/>
                <w:webHidden/>
              </w:rPr>
              <w:t>11</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1" w:history="1">
            <w:r w:rsidR="00FD30A3" w:rsidRPr="00B16329">
              <w:rPr>
                <w:rStyle w:val="Hyperlink"/>
                <w:noProof/>
              </w:rPr>
              <w:t>3.2.1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Povzetek ocenjenih posledic za odobritve za poslovanje</w:t>
            </w:r>
            <w:r w:rsidR="00FD30A3">
              <w:rPr>
                <w:noProof/>
                <w:webHidden/>
              </w:rPr>
              <w:tab/>
            </w:r>
            <w:r w:rsidR="00FD30A3">
              <w:rPr>
                <w:noProof/>
                <w:webHidden/>
              </w:rPr>
              <w:fldChar w:fldCharType="begin"/>
            </w:r>
            <w:r w:rsidR="00FD30A3">
              <w:rPr>
                <w:noProof/>
                <w:webHidden/>
              </w:rPr>
              <w:instrText xml:space="preserve"> PAGEREF _Toc199239281 \h </w:instrText>
            </w:r>
            <w:r w:rsidR="00FD30A3">
              <w:rPr>
                <w:noProof/>
                <w:webHidden/>
              </w:rPr>
            </w:r>
            <w:r w:rsidR="00FD30A3">
              <w:rPr>
                <w:noProof/>
                <w:webHidden/>
              </w:rPr>
              <w:fldChar w:fldCharType="separate"/>
            </w:r>
            <w:r w:rsidR="004C4125">
              <w:rPr>
                <w:noProof/>
                <w:webHidden/>
              </w:rPr>
              <w:t>11</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2" w:history="1">
            <w:r w:rsidR="00FD30A3" w:rsidRPr="00B16329">
              <w:rPr>
                <w:rStyle w:val="Hyperlink"/>
                <w:noProof/>
              </w:rPr>
              <w:t>3.2.1.1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Odobritve iz izglasovanega proračuna</w:t>
            </w:r>
            <w:r w:rsidR="00FD30A3">
              <w:rPr>
                <w:noProof/>
                <w:webHidden/>
              </w:rPr>
              <w:tab/>
            </w:r>
            <w:r w:rsidR="00FD30A3">
              <w:rPr>
                <w:noProof/>
                <w:webHidden/>
              </w:rPr>
              <w:fldChar w:fldCharType="begin"/>
            </w:r>
            <w:r w:rsidR="00FD30A3">
              <w:rPr>
                <w:noProof/>
                <w:webHidden/>
              </w:rPr>
              <w:instrText xml:space="preserve"> PAGEREF _Toc199239282 \h </w:instrText>
            </w:r>
            <w:r w:rsidR="00FD30A3">
              <w:rPr>
                <w:noProof/>
                <w:webHidden/>
              </w:rPr>
            </w:r>
            <w:r w:rsidR="00FD30A3">
              <w:rPr>
                <w:noProof/>
                <w:webHidden/>
              </w:rPr>
              <w:fldChar w:fldCharType="separate"/>
            </w:r>
            <w:r w:rsidR="004C4125">
              <w:rPr>
                <w:noProof/>
                <w:webHidden/>
              </w:rPr>
              <w:t>11</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3" w:history="1">
            <w:r w:rsidR="00FD30A3" w:rsidRPr="00B16329">
              <w:rPr>
                <w:rStyle w:val="Hyperlink"/>
                <w:noProof/>
              </w:rPr>
              <w:t>3.2.2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Ocenjene realizacije, financirane iz odobritev za poslovanje (se ne izpolnjuje za decentralizirane agencije)</w:t>
            </w:r>
            <w:r w:rsidR="00FD30A3">
              <w:rPr>
                <w:noProof/>
                <w:webHidden/>
              </w:rPr>
              <w:tab/>
            </w:r>
            <w:r w:rsidR="00FD30A3">
              <w:rPr>
                <w:noProof/>
                <w:webHidden/>
              </w:rPr>
              <w:fldChar w:fldCharType="begin"/>
            </w:r>
            <w:r w:rsidR="00FD30A3">
              <w:rPr>
                <w:noProof/>
                <w:webHidden/>
              </w:rPr>
              <w:instrText xml:space="preserve"> PAGEREF _Toc199239283 \h </w:instrText>
            </w:r>
            <w:r w:rsidR="00FD30A3">
              <w:rPr>
                <w:noProof/>
                <w:webHidden/>
              </w:rPr>
            </w:r>
            <w:r w:rsidR="00FD30A3">
              <w:rPr>
                <w:noProof/>
                <w:webHidden/>
              </w:rPr>
              <w:fldChar w:fldCharType="separate"/>
            </w:r>
            <w:r w:rsidR="004C4125">
              <w:rPr>
                <w:noProof/>
                <w:webHidden/>
              </w:rPr>
              <w:t>14</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4" w:history="1">
            <w:r w:rsidR="00FD30A3" w:rsidRPr="00B16329">
              <w:rPr>
                <w:rStyle w:val="Hyperlink"/>
                <w:noProof/>
              </w:rPr>
              <w:t>3.2.3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Povzetek ocenjenih posledic za upravne odobritve</w:t>
            </w:r>
            <w:r w:rsidR="00FD30A3">
              <w:rPr>
                <w:noProof/>
                <w:webHidden/>
              </w:rPr>
              <w:tab/>
            </w:r>
            <w:r w:rsidR="00FD30A3">
              <w:rPr>
                <w:noProof/>
                <w:webHidden/>
              </w:rPr>
              <w:fldChar w:fldCharType="begin"/>
            </w:r>
            <w:r w:rsidR="00FD30A3">
              <w:rPr>
                <w:noProof/>
                <w:webHidden/>
              </w:rPr>
              <w:instrText xml:space="preserve"> PAGEREF _Toc199239284 \h </w:instrText>
            </w:r>
            <w:r w:rsidR="00FD30A3">
              <w:rPr>
                <w:noProof/>
                <w:webHidden/>
              </w:rPr>
            </w:r>
            <w:r w:rsidR="00FD30A3">
              <w:rPr>
                <w:noProof/>
                <w:webHidden/>
              </w:rPr>
              <w:fldChar w:fldCharType="separate"/>
            </w:r>
            <w:r w:rsidR="004C4125">
              <w:rPr>
                <w:noProof/>
                <w:webHidden/>
              </w:rPr>
              <w:t>15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5" w:history="1">
            <w:r w:rsidR="00FD30A3" w:rsidRPr="00B16329">
              <w:rPr>
                <w:rStyle w:val="Hyperlink"/>
                <w:noProof/>
              </w:rPr>
              <w:t>3.2.3.1 Odobritve iz izglasovanega proračuna</w:t>
            </w:r>
            <w:r w:rsidR="00FD30A3">
              <w:rPr>
                <w:noProof/>
                <w:webHidden/>
              </w:rPr>
              <w:tab/>
            </w:r>
            <w:r w:rsidR="00FD30A3">
              <w:rPr>
                <w:noProof/>
                <w:webHidden/>
              </w:rPr>
              <w:fldChar w:fldCharType="begin"/>
            </w:r>
            <w:r w:rsidR="00FD30A3">
              <w:rPr>
                <w:noProof/>
                <w:webHidden/>
              </w:rPr>
              <w:instrText xml:space="preserve"> PAGEREF _Toc199239285 \h </w:instrText>
            </w:r>
            <w:r w:rsidR="00FD30A3">
              <w:rPr>
                <w:noProof/>
                <w:webHidden/>
              </w:rPr>
            </w:r>
            <w:r w:rsidR="00FD30A3">
              <w:rPr>
                <w:noProof/>
                <w:webHidden/>
              </w:rPr>
              <w:fldChar w:fldCharType="separate"/>
            </w:r>
            <w:r w:rsidR="004C4125">
              <w:rPr>
                <w:noProof/>
                <w:webHidden/>
              </w:rPr>
              <w:t>15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6" w:history="1">
            <w:r w:rsidR="00FD30A3" w:rsidRPr="00B16329">
              <w:rPr>
                <w:rStyle w:val="Hyperlink"/>
                <w:noProof/>
              </w:rPr>
              <w:t>3.2.4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Ocenjene potrebe po človeških virih</w:t>
            </w:r>
            <w:r w:rsidR="00FD30A3">
              <w:rPr>
                <w:noProof/>
                <w:webHidden/>
              </w:rPr>
              <w:tab/>
            </w:r>
            <w:r w:rsidR="00FD30A3">
              <w:rPr>
                <w:noProof/>
                <w:webHidden/>
              </w:rPr>
              <w:fldChar w:fldCharType="begin"/>
            </w:r>
            <w:r w:rsidR="00FD30A3">
              <w:rPr>
                <w:noProof/>
                <w:webHidden/>
              </w:rPr>
              <w:instrText xml:space="preserve"> PAGEREF _Toc199239286 \h </w:instrText>
            </w:r>
            <w:r w:rsidR="00FD30A3">
              <w:rPr>
                <w:noProof/>
                <w:webHidden/>
              </w:rPr>
            </w:r>
            <w:r w:rsidR="00FD30A3">
              <w:rPr>
                <w:noProof/>
                <w:webHidden/>
              </w:rPr>
              <w:fldChar w:fldCharType="separate"/>
            </w:r>
            <w:r w:rsidR="004C4125">
              <w:rPr>
                <w:noProof/>
                <w:webHidden/>
              </w:rPr>
              <w:t>15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7" w:history="1">
            <w:r w:rsidR="00FD30A3" w:rsidRPr="00B16329">
              <w:rPr>
                <w:rStyle w:val="Hyperlink"/>
                <w:noProof/>
              </w:rPr>
              <w:t>3.2.4.1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Financirano iz izglasovanega proračuna</w:t>
            </w:r>
            <w:r w:rsidR="00FD30A3">
              <w:rPr>
                <w:noProof/>
                <w:webHidden/>
              </w:rPr>
              <w:tab/>
            </w:r>
            <w:r w:rsidR="00FD30A3">
              <w:rPr>
                <w:noProof/>
                <w:webHidden/>
              </w:rPr>
              <w:fldChar w:fldCharType="begin"/>
            </w:r>
            <w:r w:rsidR="00FD30A3">
              <w:rPr>
                <w:noProof/>
                <w:webHidden/>
              </w:rPr>
              <w:instrText xml:space="preserve"> PAGEREF _Toc199239287 \h </w:instrText>
            </w:r>
            <w:r w:rsidR="00FD30A3">
              <w:rPr>
                <w:noProof/>
                <w:webHidden/>
              </w:rPr>
            </w:r>
            <w:r w:rsidR="00FD30A3">
              <w:rPr>
                <w:noProof/>
                <w:webHidden/>
              </w:rPr>
              <w:fldChar w:fldCharType="separate"/>
            </w:r>
            <w:r w:rsidR="004C4125">
              <w:rPr>
                <w:noProof/>
                <w:webHidden/>
              </w:rPr>
              <w:t>15</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8" w:history="1">
            <w:r w:rsidR="00FD30A3" w:rsidRPr="00B16329">
              <w:rPr>
                <w:rStyle w:val="Hyperlink"/>
                <w:noProof/>
              </w:rPr>
              <w:t>3.2.5</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Pregled ocenjenih posledic za naložbe, povezane z digitalnimi tehnologijami</w:t>
            </w:r>
            <w:r w:rsidR="00FD30A3">
              <w:rPr>
                <w:noProof/>
                <w:webHidden/>
              </w:rPr>
              <w:tab/>
            </w:r>
            <w:r w:rsidR="00FD30A3">
              <w:rPr>
                <w:noProof/>
                <w:webHidden/>
              </w:rPr>
              <w:fldChar w:fldCharType="begin"/>
            </w:r>
            <w:r w:rsidR="00FD30A3">
              <w:rPr>
                <w:noProof/>
                <w:webHidden/>
              </w:rPr>
              <w:instrText xml:space="preserve"> PAGEREF _Toc199239288 \h </w:instrText>
            </w:r>
            <w:r w:rsidR="00FD30A3">
              <w:rPr>
                <w:noProof/>
                <w:webHidden/>
              </w:rPr>
            </w:r>
            <w:r w:rsidR="00FD30A3">
              <w:rPr>
                <w:noProof/>
                <w:webHidden/>
              </w:rPr>
              <w:fldChar w:fldCharType="separate"/>
            </w:r>
            <w:r w:rsidR="004C4125">
              <w:rPr>
                <w:noProof/>
                <w:webHidden/>
              </w:rPr>
              <w:t>16</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89" w:history="1">
            <w:r w:rsidR="00FD30A3" w:rsidRPr="00B16329">
              <w:rPr>
                <w:rStyle w:val="Hyperlink"/>
                <w:noProof/>
              </w:rPr>
              <w:t>3.2.6</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Skladnost z veljavnim večletnim finančnim okvirom</w:t>
            </w:r>
            <w:r w:rsidR="00FD30A3">
              <w:rPr>
                <w:noProof/>
                <w:webHidden/>
              </w:rPr>
              <w:tab/>
            </w:r>
            <w:r w:rsidR="00FD30A3">
              <w:rPr>
                <w:noProof/>
                <w:webHidden/>
              </w:rPr>
              <w:fldChar w:fldCharType="begin"/>
            </w:r>
            <w:r w:rsidR="00FD30A3">
              <w:rPr>
                <w:noProof/>
                <w:webHidden/>
              </w:rPr>
              <w:instrText xml:space="preserve"> PAGEREF _Toc199239289 \h </w:instrText>
            </w:r>
            <w:r w:rsidR="00FD30A3">
              <w:rPr>
                <w:noProof/>
                <w:webHidden/>
              </w:rPr>
            </w:r>
            <w:r w:rsidR="00FD30A3">
              <w:rPr>
                <w:noProof/>
                <w:webHidden/>
              </w:rPr>
              <w:fldChar w:fldCharType="separate"/>
            </w:r>
            <w:r w:rsidR="004C4125">
              <w:rPr>
                <w:noProof/>
                <w:webHidden/>
              </w:rPr>
              <w:t>17</w:t>
            </w:r>
            <w:r w:rsidR="00FD30A3">
              <w:rPr>
                <w:noProof/>
                <w:webHidden/>
              </w:rPr>
              <w:fldChar w:fldCharType="end"/>
            </w:r>
          </w:hyperlink>
        </w:p>
        <w:p w:rsidR="00FD30A3" w:rsidRDefault="004D6B8F">
          <w:pPr>
            <w:pStyle w:val="TOC3"/>
            <w:rPr>
              <w:rFonts w:asciiTheme="minorHAnsi" w:eastAsiaTheme="minorEastAsia" w:hAnsiTheme="minorHAnsi" w:cstheme="minorBidi"/>
              <w:noProof/>
              <w:kern w:val="2"/>
              <w:szCs w:val="24"/>
              <w:lang w:val="en-IE" w:eastAsia="en-IE"/>
              <w14:ligatures w14:val="standardContextual"/>
            </w:rPr>
          </w:pPr>
          <w:hyperlink w:anchor="_Toc199239290" w:history="1">
            <w:r w:rsidR="00FD30A3" w:rsidRPr="00B16329">
              <w:rPr>
                <w:rStyle w:val="Hyperlink"/>
                <w:noProof/>
              </w:rPr>
              <w:t>3.2.7</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Udeležba tretjih oseb pri financiranju</w:t>
            </w:r>
            <w:r w:rsidR="00FD30A3">
              <w:rPr>
                <w:noProof/>
                <w:webHidden/>
              </w:rPr>
              <w:tab/>
            </w:r>
            <w:r w:rsidR="00FD30A3">
              <w:rPr>
                <w:noProof/>
                <w:webHidden/>
              </w:rPr>
              <w:fldChar w:fldCharType="begin"/>
            </w:r>
            <w:r w:rsidR="00FD30A3">
              <w:rPr>
                <w:noProof/>
                <w:webHidden/>
              </w:rPr>
              <w:instrText xml:space="preserve"> PAGEREF _Toc199239290 \h </w:instrText>
            </w:r>
            <w:r w:rsidR="00FD30A3">
              <w:rPr>
                <w:noProof/>
                <w:webHidden/>
              </w:rPr>
            </w:r>
            <w:r w:rsidR="00FD30A3">
              <w:rPr>
                <w:noProof/>
                <w:webHidden/>
              </w:rPr>
              <w:fldChar w:fldCharType="separate"/>
            </w:r>
            <w:r w:rsidR="004C4125">
              <w:rPr>
                <w:noProof/>
                <w:webHidden/>
              </w:rPr>
              <w:t>17</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1" w:history="1">
            <w:r w:rsidR="00FD30A3" w:rsidRPr="00B16329">
              <w:rPr>
                <w:rStyle w:val="Hyperlink"/>
                <w:noProof/>
              </w:rPr>
              <w:t>3.3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Ocenjene posledice za prihodke</w:t>
            </w:r>
            <w:r w:rsidR="00FD30A3">
              <w:rPr>
                <w:noProof/>
                <w:webHidden/>
              </w:rPr>
              <w:tab/>
            </w:r>
            <w:r w:rsidR="00FD30A3">
              <w:rPr>
                <w:noProof/>
                <w:webHidden/>
              </w:rPr>
              <w:fldChar w:fldCharType="begin"/>
            </w:r>
            <w:r w:rsidR="00FD30A3">
              <w:rPr>
                <w:noProof/>
                <w:webHidden/>
              </w:rPr>
              <w:instrText xml:space="preserve"> PAGEREF _Toc199239291 \h </w:instrText>
            </w:r>
            <w:r w:rsidR="00FD30A3">
              <w:rPr>
                <w:noProof/>
                <w:webHidden/>
              </w:rPr>
            </w:r>
            <w:r w:rsidR="00FD30A3">
              <w:rPr>
                <w:noProof/>
                <w:webHidden/>
              </w:rPr>
              <w:fldChar w:fldCharType="separate"/>
            </w:r>
            <w:r w:rsidR="004C4125">
              <w:rPr>
                <w:noProof/>
                <w:webHidden/>
              </w:rPr>
              <w:t>17</w:t>
            </w:r>
            <w:r w:rsidR="00FD30A3">
              <w:rPr>
                <w:noProof/>
                <w:webHidden/>
              </w:rPr>
              <w:fldChar w:fldCharType="end"/>
            </w:r>
          </w:hyperlink>
        </w:p>
        <w:p w:rsidR="00FD30A3" w:rsidRDefault="004D6B8F">
          <w:pPr>
            <w:pStyle w:val="TOC1"/>
            <w:rPr>
              <w:rFonts w:asciiTheme="minorHAnsi" w:eastAsiaTheme="minorEastAsia" w:hAnsiTheme="minorHAnsi" w:cstheme="minorBidi"/>
              <w:noProof/>
              <w:kern w:val="2"/>
              <w:szCs w:val="24"/>
              <w:lang w:val="en-IE" w:eastAsia="en-IE"/>
              <w14:ligatures w14:val="standardContextual"/>
            </w:rPr>
          </w:pPr>
          <w:hyperlink w:anchor="_Toc199239292" w:history="1">
            <w:r w:rsidR="00FD30A3" w:rsidRPr="00B16329">
              <w:rPr>
                <w:rStyle w:val="Hyperlink"/>
                <w:noProof/>
              </w:rPr>
              <w:t>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caps/>
                <w:noProof/>
              </w:rPr>
              <w:t>Digitalne razsežnosti</w:t>
            </w:r>
            <w:r w:rsidR="00FD30A3">
              <w:rPr>
                <w:noProof/>
                <w:webHidden/>
              </w:rPr>
              <w:tab/>
            </w:r>
            <w:r w:rsidR="00FD30A3">
              <w:rPr>
                <w:noProof/>
                <w:webHidden/>
              </w:rPr>
              <w:fldChar w:fldCharType="begin"/>
            </w:r>
            <w:r w:rsidR="00FD30A3">
              <w:rPr>
                <w:noProof/>
                <w:webHidden/>
              </w:rPr>
              <w:instrText xml:space="preserve"> PAGEREF _Toc199239292 \h </w:instrText>
            </w:r>
            <w:r w:rsidR="00FD30A3">
              <w:rPr>
                <w:noProof/>
                <w:webHidden/>
              </w:rPr>
            </w:r>
            <w:r w:rsidR="00FD30A3">
              <w:rPr>
                <w:noProof/>
                <w:webHidden/>
              </w:rPr>
              <w:fldChar w:fldCharType="separate"/>
            </w:r>
            <w:r w:rsidR="004C4125">
              <w:rPr>
                <w:noProof/>
                <w:webHidden/>
              </w:rPr>
              <w:t>18</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3" w:history="1">
            <w:r w:rsidR="00FD30A3" w:rsidRPr="00B16329">
              <w:rPr>
                <w:rStyle w:val="Hyperlink"/>
                <w:noProof/>
              </w:rPr>
              <w:t>4.1</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Zahteve digitalnega pomena</w:t>
            </w:r>
            <w:r w:rsidR="00FD30A3">
              <w:rPr>
                <w:noProof/>
                <w:webHidden/>
              </w:rPr>
              <w:tab/>
            </w:r>
            <w:r w:rsidR="00FD30A3">
              <w:rPr>
                <w:noProof/>
                <w:webHidden/>
              </w:rPr>
              <w:fldChar w:fldCharType="begin"/>
            </w:r>
            <w:r w:rsidR="00FD30A3">
              <w:rPr>
                <w:noProof/>
                <w:webHidden/>
              </w:rPr>
              <w:instrText xml:space="preserve"> PAGEREF _Toc199239293 \h </w:instrText>
            </w:r>
            <w:r w:rsidR="00FD30A3">
              <w:rPr>
                <w:noProof/>
                <w:webHidden/>
              </w:rPr>
            </w:r>
            <w:r w:rsidR="00FD30A3">
              <w:rPr>
                <w:noProof/>
                <w:webHidden/>
              </w:rPr>
              <w:fldChar w:fldCharType="separate"/>
            </w:r>
            <w:r w:rsidR="004C4125">
              <w:rPr>
                <w:noProof/>
                <w:webHidden/>
              </w:rPr>
              <w:t>18</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4" w:history="1">
            <w:r w:rsidR="00FD30A3" w:rsidRPr="00B16329">
              <w:rPr>
                <w:rStyle w:val="Hyperlink"/>
                <w:noProof/>
              </w:rPr>
              <w:t>4.2</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Podatki</w:t>
            </w:r>
            <w:r w:rsidR="00FD30A3">
              <w:rPr>
                <w:noProof/>
                <w:webHidden/>
              </w:rPr>
              <w:tab/>
            </w:r>
            <w:r w:rsidR="00FD30A3">
              <w:rPr>
                <w:noProof/>
                <w:webHidden/>
              </w:rPr>
              <w:fldChar w:fldCharType="begin"/>
            </w:r>
            <w:r w:rsidR="00FD30A3">
              <w:rPr>
                <w:noProof/>
                <w:webHidden/>
              </w:rPr>
              <w:instrText xml:space="preserve"> PAGEREF _Toc199239294 \h </w:instrText>
            </w:r>
            <w:r w:rsidR="00FD30A3">
              <w:rPr>
                <w:noProof/>
                <w:webHidden/>
              </w:rPr>
            </w:r>
            <w:r w:rsidR="00FD30A3">
              <w:rPr>
                <w:noProof/>
                <w:webHidden/>
              </w:rPr>
              <w:fldChar w:fldCharType="separate"/>
            </w:r>
            <w:r w:rsidR="004C4125">
              <w:rPr>
                <w:noProof/>
                <w:webHidden/>
              </w:rPr>
              <w:t>20</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5" w:history="1">
            <w:r w:rsidR="00FD30A3" w:rsidRPr="00B16329">
              <w:rPr>
                <w:rStyle w:val="Hyperlink"/>
                <w:noProof/>
              </w:rPr>
              <w:t>4.3</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Digitalne rešitve</w:t>
            </w:r>
            <w:r w:rsidR="00FD30A3">
              <w:rPr>
                <w:noProof/>
                <w:webHidden/>
              </w:rPr>
              <w:tab/>
            </w:r>
            <w:r w:rsidR="00FD30A3">
              <w:rPr>
                <w:noProof/>
                <w:webHidden/>
              </w:rPr>
              <w:fldChar w:fldCharType="begin"/>
            </w:r>
            <w:r w:rsidR="00FD30A3">
              <w:rPr>
                <w:noProof/>
                <w:webHidden/>
              </w:rPr>
              <w:instrText xml:space="preserve"> PAGEREF _Toc199239295 \h </w:instrText>
            </w:r>
            <w:r w:rsidR="00FD30A3">
              <w:rPr>
                <w:noProof/>
                <w:webHidden/>
              </w:rPr>
            </w:r>
            <w:r w:rsidR="00FD30A3">
              <w:rPr>
                <w:noProof/>
                <w:webHidden/>
              </w:rPr>
              <w:fldChar w:fldCharType="separate"/>
            </w:r>
            <w:r w:rsidR="004C4125">
              <w:rPr>
                <w:noProof/>
                <w:webHidden/>
              </w:rPr>
              <w:t>23</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6" w:history="1">
            <w:r w:rsidR="00FD30A3" w:rsidRPr="00B16329">
              <w:rPr>
                <w:rStyle w:val="Hyperlink"/>
                <w:i/>
                <w:iCs/>
                <w:noProof/>
              </w:rPr>
              <w:t>4.4</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i/>
                <w:iCs/>
                <w:noProof/>
              </w:rPr>
              <w:t>Ocena interoperabilnosti</w:t>
            </w:r>
            <w:r w:rsidR="00FD30A3">
              <w:rPr>
                <w:noProof/>
                <w:webHidden/>
              </w:rPr>
              <w:tab/>
            </w:r>
            <w:r w:rsidR="00FD30A3">
              <w:rPr>
                <w:noProof/>
                <w:webHidden/>
              </w:rPr>
              <w:fldChar w:fldCharType="begin"/>
            </w:r>
            <w:r w:rsidR="00FD30A3">
              <w:rPr>
                <w:noProof/>
                <w:webHidden/>
              </w:rPr>
              <w:instrText xml:space="preserve"> PAGEREF _Toc199239296 \h </w:instrText>
            </w:r>
            <w:r w:rsidR="00FD30A3">
              <w:rPr>
                <w:noProof/>
                <w:webHidden/>
              </w:rPr>
            </w:r>
            <w:r w:rsidR="00FD30A3">
              <w:rPr>
                <w:noProof/>
                <w:webHidden/>
              </w:rPr>
              <w:fldChar w:fldCharType="separate"/>
            </w:r>
            <w:r w:rsidR="004C4125">
              <w:rPr>
                <w:noProof/>
                <w:webHidden/>
              </w:rPr>
              <w:t>24</w:t>
            </w:r>
            <w:r w:rsidR="00FD30A3">
              <w:rPr>
                <w:noProof/>
                <w:webHidden/>
              </w:rPr>
              <w:fldChar w:fldCharType="end"/>
            </w:r>
          </w:hyperlink>
        </w:p>
        <w:p w:rsidR="00FD30A3" w:rsidRDefault="004D6B8F">
          <w:pPr>
            <w:pStyle w:val="TOC2"/>
            <w:rPr>
              <w:rFonts w:asciiTheme="minorHAnsi" w:eastAsiaTheme="minorEastAsia" w:hAnsiTheme="minorHAnsi" w:cstheme="minorBidi"/>
              <w:noProof/>
              <w:kern w:val="2"/>
              <w:szCs w:val="24"/>
              <w:lang w:val="en-IE" w:eastAsia="en-IE"/>
              <w14:ligatures w14:val="standardContextual"/>
            </w:rPr>
          </w:pPr>
          <w:hyperlink w:anchor="_Toc199239297" w:history="1">
            <w:r w:rsidR="00FD30A3" w:rsidRPr="00B16329">
              <w:rPr>
                <w:rStyle w:val="Hyperlink"/>
                <w:noProof/>
              </w:rPr>
              <w:t>4.5</w:t>
            </w:r>
            <w:r w:rsidR="00FD30A3">
              <w:rPr>
                <w:rFonts w:asciiTheme="minorHAnsi" w:eastAsiaTheme="minorEastAsia" w:hAnsiTheme="minorHAnsi" w:cstheme="minorBidi"/>
                <w:noProof/>
                <w:kern w:val="2"/>
                <w:szCs w:val="24"/>
                <w:lang w:val="en-IE" w:eastAsia="en-IE"/>
                <w14:ligatures w14:val="standardContextual"/>
              </w:rPr>
              <w:tab/>
            </w:r>
            <w:r w:rsidR="00FD30A3" w:rsidRPr="00B16329">
              <w:rPr>
                <w:rStyle w:val="Hyperlink"/>
                <w:noProof/>
              </w:rPr>
              <w:t>Ukrepi v podporo digitalnemu izvajanju</w:t>
            </w:r>
            <w:r w:rsidR="00FD30A3">
              <w:rPr>
                <w:noProof/>
                <w:webHidden/>
              </w:rPr>
              <w:tab/>
            </w:r>
            <w:r w:rsidR="00FD30A3">
              <w:rPr>
                <w:noProof/>
                <w:webHidden/>
              </w:rPr>
              <w:fldChar w:fldCharType="begin"/>
            </w:r>
            <w:r w:rsidR="00FD30A3">
              <w:rPr>
                <w:noProof/>
                <w:webHidden/>
              </w:rPr>
              <w:instrText xml:space="preserve"> PAGEREF _Toc199239297 \h </w:instrText>
            </w:r>
            <w:r w:rsidR="00FD30A3">
              <w:rPr>
                <w:noProof/>
                <w:webHidden/>
              </w:rPr>
            </w:r>
            <w:r w:rsidR="00FD30A3">
              <w:rPr>
                <w:noProof/>
                <w:webHidden/>
              </w:rPr>
              <w:fldChar w:fldCharType="separate"/>
            </w:r>
            <w:r w:rsidR="004C4125">
              <w:rPr>
                <w:noProof/>
                <w:webHidden/>
              </w:rPr>
              <w:t>25</w:t>
            </w:r>
            <w:r w:rsidR="00FD30A3">
              <w:rPr>
                <w:noProof/>
                <w:webHidden/>
              </w:rPr>
              <w:fldChar w:fldCharType="end"/>
            </w:r>
          </w:hyperlink>
        </w:p>
        <w:p w:rsidR="003951AE" w:rsidRPr="00A76C07" w:rsidRDefault="003951AE">
          <w:pPr>
            <w:rPr>
              <w:noProof/>
            </w:rPr>
          </w:pPr>
          <w:r w:rsidRPr="00A76C07">
            <w:rPr>
              <w:b/>
              <w:noProof/>
            </w:rPr>
            <w:fldChar w:fldCharType="end"/>
          </w:r>
        </w:p>
      </w:sdtContent>
    </w:sdt>
    <w:p w:rsidR="003951AE" w:rsidRPr="00A76C07" w:rsidRDefault="003951AE" w:rsidP="003951AE">
      <w:pPr>
        <w:rPr>
          <w:noProof/>
        </w:rPr>
      </w:pPr>
    </w:p>
    <w:p w:rsidR="003951AE" w:rsidRPr="00A76C07" w:rsidRDefault="003951AE" w:rsidP="003951AE">
      <w:pPr>
        <w:rPr>
          <w:noProof/>
        </w:rPr>
      </w:pPr>
    </w:p>
    <w:p w:rsidR="003951AE" w:rsidRPr="00A76C07" w:rsidRDefault="003951AE" w:rsidP="003951AE">
      <w:pPr>
        <w:rPr>
          <w:noProof/>
        </w:rPr>
      </w:pPr>
    </w:p>
    <w:p w:rsidR="0025290A" w:rsidRPr="00A76C07" w:rsidRDefault="0025290A" w:rsidP="0025290A">
      <w:pPr>
        <w:rPr>
          <w:noProof/>
        </w:rPr>
        <w:sectPr w:rsidR="0025290A" w:rsidRPr="00A76C07" w:rsidSect="00746C9A">
          <w:pgSz w:w="11907" w:h="16840" w:code="9"/>
          <w:pgMar w:top="1134" w:right="1418" w:bottom="1134" w:left="1418" w:header="709" w:footer="709" w:gutter="0"/>
          <w:pgNumType w:start="1"/>
          <w:cols w:space="720"/>
          <w:docGrid w:linePitch="360"/>
        </w:sectPr>
      </w:pPr>
    </w:p>
    <w:p w:rsidR="005E08AC" w:rsidRPr="00A76C07" w:rsidRDefault="005E08AC" w:rsidP="005E08AC">
      <w:pPr>
        <w:pStyle w:val="ManualHeading1"/>
        <w:rPr>
          <w:noProof/>
        </w:rPr>
      </w:pPr>
      <w:bookmarkStart w:id="115" w:name="_Toc514938007"/>
      <w:bookmarkStart w:id="116" w:name="_Toc199239254"/>
      <w:r w:rsidRPr="00A76C07">
        <w:rPr>
          <w:noProof/>
        </w:rPr>
        <w:t>1.</w:t>
      </w:r>
      <w:r w:rsidRPr="00A76C07">
        <w:rPr>
          <w:noProof/>
        </w:rPr>
        <w:tab/>
        <w:t>OKVIR PREDLOGA/POBUDE</w:t>
      </w:r>
      <w:bookmarkEnd w:id="115"/>
      <w:bookmarkEnd w:id="116"/>
      <w:r w:rsidRPr="00A76C07">
        <w:rPr>
          <w:noProof/>
        </w:rPr>
        <w:t xml:space="preserve"> </w:t>
      </w:r>
    </w:p>
    <w:p w:rsidR="005E08AC" w:rsidRPr="00A76C07" w:rsidRDefault="005E08AC" w:rsidP="005E08AC">
      <w:pPr>
        <w:pStyle w:val="ManualHeading2"/>
        <w:rPr>
          <w:noProof/>
        </w:rPr>
      </w:pPr>
      <w:bookmarkStart w:id="117" w:name="_Toc514938008"/>
      <w:bookmarkStart w:id="118" w:name="_Toc199239255"/>
      <w:r w:rsidRPr="00A76C07">
        <w:rPr>
          <w:noProof/>
        </w:rPr>
        <w:t>1.1</w:t>
      </w:r>
      <w:r w:rsidRPr="00A76C07">
        <w:rPr>
          <w:noProof/>
        </w:rPr>
        <w:tab/>
        <w:t>Naslov predloga/pobude</w:t>
      </w:r>
      <w:bookmarkEnd w:id="117"/>
      <w:bookmarkEnd w:id="118"/>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Predlog direktive o izvajanju obveznosti iz Sporazuma o BBNJ za zagotovitev ohranjanja in trajnostne rabe morske biotske raznovrstnosti na območjih zunaj nacionalne jurisdikcije. </w:t>
      </w:r>
    </w:p>
    <w:p w:rsidR="005E08AC" w:rsidRPr="00A76C07" w:rsidRDefault="005E08AC" w:rsidP="005E08AC">
      <w:pPr>
        <w:pStyle w:val="ManualHeading2"/>
        <w:rPr>
          <w:i/>
          <w:noProof/>
        </w:rPr>
      </w:pPr>
      <w:bookmarkStart w:id="119" w:name="_Toc514938011"/>
      <w:bookmarkStart w:id="120" w:name="_Toc199239256"/>
      <w:r w:rsidRPr="00A76C07">
        <w:rPr>
          <w:noProof/>
        </w:rPr>
        <w:t>1.2</w:t>
      </w:r>
      <w:r w:rsidRPr="00A76C07">
        <w:rPr>
          <w:noProof/>
        </w:rPr>
        <w:tab/>
        <w:t>Zadevna področja</w:t>
      </w:r>
      <w:bookmarkEnd w:id="119"/>
      <w:bookmarkEnd w:id="120"/>
      <w:r w:rsidRPr="00A76C07">
        <w:rPr>
          <w:i/>
          <w:noProof/>
        </w:rPr>
        <w:t xml:space="preserve"> </w:t>
      </w:r>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Varstvo okolja</w:t>
      </w:r>
    </w:p>
    <w:p w:rsidR="005E08AC" w:rsidRPr="00A76C07" w:rsidRDefault="005E08AC" w:rsidP="005E08AC">
      <w:pPr>
        <w:pStyle w:val="ManualHeading2"/>
        <w:rPr>
          <w:noProof/>
        </w:rPr>
      </w:pPr>
      <w:bookmarkStart w:id="121" w:name="_Toc514938015"/>
      <w:bookmarkStart w:id="122" w:name="_Toc199239257"/>
      <w:r w:rsidRPr="00A76C07">
        <w:rPr>
          <w:noProof/>
        </w:rPr>
        <w:t>1.3</w:t>
      </w:r>
      <w:r w:rsidRPr="00A76C07">
        <w:rPr>
          <w:noProof/>
        </w:rPr>
        <w:tab/>
        <w:t>Cilji</w:t>
      </w:r>
      <w:bookmarkEnd w:id="121"/>
      <w:bookmarkEnd w:id="122"/>
    </w:p>
    <w:p w:rsidR="005E08AC" w:rsidRPr="00A76C07" w:rsidRDefault="005E08AC" w:rsidP="005E08AC">
      <w:pPr>
        <w:pStyle w:val="ManualHeading3"/>
        <w:rPr>
          <w:noProof/>
        </w:rPr>
      </w:pPr>
      <w:bookmarkStart w:id="123" w:name="_Toc514938016"/>
      <w:bookmarkStart w:id="124" w:name="_Toc199239258"/>
      <w:r w:rsidRPr="00A76C07">
        <w:rPr>
          <w:noProof/>
        </w:rPr>
        <w:t>1.3.1</w:t>
      </w:r>
      <w:r w:rsidRPr="00A76C07">
        <w:rPr>
          <w:noProof/>
        </w:rPr>
        <w:tab/>
        <w:t>Splošni cilji</w:t>
      </w:r>
      <w:bookmarkEnd w:id="123"/>
      <w:bookmarkEnd w:id="124"/>
    </w:p>
    <w:p w:rsidR="00424F03" w:rsidRPr="00A76C07" w:rsidRDefault="00424F03" w:rsidP="00B67BC0">
      <w:pPr>
        <w:pStyle w:val="Text1"/>
        <w:pBdr>
          <w:top w:val="single" w:sz="4" w:space="1" w:color="auto"/>
          <w:left w:val="single" w:sz="4" w:space="4" w:color="auto"/>
          <w:bottom w:val="single" w:sz="4" w:space="1" w:color="auto"/>
          <w:right w:val="single" w:sz="4" w:space="4" w:color="auto"/>
        </w:pBdr>
        <w:rPr>
          <w:noProof/>
        </w:rPr>
      </w:pPr>
      <w:r w:rsidRPr="00A76C07">
        <w:rPr>
          <w:noProof/>
        </w:rPr>
        <w:t>Cilj pobude je zagotoviti enotno izvajanje Sporazuma o BBNJ v EU, v pravni red EU pa prenesti obveznosti, ki izhajajo iz sporazuma na področjih, povezanih z varstvom okolja in morskimi genskimi viri, ter tako preprečiti izbiro najugodnejšega sodišča v EU, kar bo vodilo v hitrejše izdajanje dovoljenj in upravno poenostavitev.</w:t>
      </w:r>
    </w:p>
    <w:p w:rsidR="005E08AC" w:rsidRPr="00A76C07" w:rsidRDefault="005E08AC" w:rsidP="005E08AC">
      <w:pPr>
        <w:pStyle w:val="ManualHeading3"/>
        <w:rPr>
          <w:noProof/>
        </w:rPr>
      </w:pPr>
      <w:bookmarkStart w:id="125" w:name="_Toc194499879"/>
      <w:bookmarkStart w:id="126" w:name="_Toc199239259"/>
      <w:r w:rsidRPr="00A76C07">
        <w:rPr>
          <w:noProof/>
        </w:rPr>
        <w:t>1.3.2</w:t>
      </w:r>
      <w:r w:rsidRPr="00A76C07">
        <w:rPr>
          <w:noProof/>
        </w:rPr>
        <w:tab/>
        <w:t>Specifični cilji</w:t>
      </w:r>
      <w:bookmarkEnd w:id="125"/>
      <w:bookmarkEnd w:id="126"/>
    </w:p>
    <w:p w:rsidR="00424F03" w:rsidRPr="00A76C07" w:rsidRDefault="00424F03"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da se raziskovalci EU, zlasti tisti, ki delajo v skupinah po vsej EU na področju morskih genskih virov na območjih zunaj nacionalne jurisdikcije, ne soočajo z nepotrebnim pravnim bremenom, ki bi lahko nastalo zaradi neenakomernega izvajanja mednarodnih obveznosti iz Sporazuma o BBNJ v EU.</w:t>
      </w:r>
    </w:p>
    <w:p w:rsidR="00424F03" w:rsidRPr="00A76C07" w:rsidRDefault="00424F03"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da se morebitni vplivi načrtovanih dejavnosti, ki so pod jurisdikcijo ali nadzorom držav članic in potekajo na območjih zunaj nacionalne jurisdikcije, na morsko okolje ocenijo, preden pristojni organ odobri dejavnosti.</w:t>
      </w:r>
    </w:p>
    <w:p w:rsidR="00424F03" w:rsidRPr="00A76C07" w:rsidRDefault="00424F03"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da se predlogi v zvezi z vzpostavitvijo orodij za upravljanje na posameznih območjih, vključno z morskimi zavarovanimi območji, oblikujejo na podlagi najboljših razpoložljivih znanstvenih dognanj in informacij ter ustreznega tradicionalnega znanja domorodnih ljudstev in lokalnih skupnosti, če je na voljo, ob upoštevanju previdnostnega in ekosistemskega pristopa ter šele po posvetovanju z deležniki.</w:t>
      </w:r>
    </w:p>
    <w:p w:rsidR="005E08AC" w:rsidRPr="00A76C07" w:rsidRDefault="005E08AC" w:rsidP="005E08AC">
      <w:pPr>
        <w:pStyle w:val="ManualHeading3"/>
        <w:rPr>
          <w:noProof/>
        </w:rPr>
      </w:pPr>
      <w:bookmarkStart w:id="127" w:name="_Toc194499880"/>
      <w:bookmarkStart w:id="128" w:name="_Toc199239260"/>
      <w:r w:rsidRPr="00A76C07">
        <w:rPr>
          <w:noProof/>
        </w:rPr>
        <w:t>1.3.3</w:t>
      </w:r>
      <w:r w:rsidRPr="00A76C07">
        <w:rPr>
          <w:noProof/>
        </w:rPr>
        <w:tab/>
        <w:t>Pričakovani rezultati in posledice</w:t>
      </w:r>
      <w:bookmarkEnd w:id="127"/>
      <w:bookmarkEnd w:id="128"/>
    </w:p>
    <w:p w:rsidR="00424F03" w:rsidRPr="00A76C07" w:rsidRDefault="00424F03" w:rsidP="00424F03">
      <w:pPr>
        <w:pStyle w:val="Text1"/>
        <w:pBdr>
          <w:top w:val="single" w:sz="4" w:space="1" w:color="auto"/>
          <w:left w:val="single" w:sz="4" w:space="4" w:color="auto"/>
          <w:bottom w:val="single" w:sz="4" w:space="0" w:color="auto"/>
          <w:right w:val="single" w:sz="4" w:space="4" w:color="auto"/>
        </w:pBdr>
        <w:rPr>
          <w:noProof/>
        </w:rPr>
      </w:pPr>
      <w:r w:rsidRPr="00A76C07">
        <w:rPr>
          <w:noProof/>
        </w:rPr>
        <w:t>Cilj tega predloga o enotnem izvajanju Sporazuma o BBNJ v EU je zagotoviti ohranjanje in trajnostno rabo morske biotske raznovrstnosti na območjih zunaj nacionalne jurisdikcije. To je ključna prednostna naloga EU ter v skladu s cilji evropskega zelenega dogovora in skupnega sporočila o agendi EU za mednarodno upravljanje oceanov.</w:t>
      </w:r>
    </w:p>
    <w:p w:rsidR="00275B1A" w:rsidRPr="00A76C07" w:rsidRDefault="00275B1A" w:rsidP="00275B1A">
      <w:pPr>
        <w:pStyle w:val="Text1"/>
        <w:pBdr>
          <w:top w:val="single" w:sz="4" w:space="1" w:color="auto"/>
          <w:left w:val="single" w:sz="4" w:space="4" w:color="auto"/>
          <w:bottom w:val="single" w:sz="4" w:space="0" w:color="auto"/>
          <w:right w:val="single" w:sz="4" w:space="4" w:color="auto"/>
        </w:pBdr>
        <w:rPr>
          <w:noProof/>
        </w:rPr>
      </w:pPr>
      <w:r w:rsidRPr="00A76C07">
        <w:rPr>
          <w:noProof/>
        </w:rPr>
        <w:t>Izvajanje obveznosti iz Sporazuma o BBNJ bo prispevalo tudi k doseganju splošnih in posamičnih ciljev, določenih v Kunminško-montrealskem svetovnem okviru za biotsko raznovrstnost (sprejetem na podlagi Konvencije o biološki raznovrstnosti), zlasti cilja, da se do leta 2030 zagotovi učinkovito ohranjanje in upravljanje vsaj 30 % svetovnih zemljišč, celinskih voda, obalnih območij in oceanov. Prispevalo bo tudi k doseganju ciljev strategije EU za biotsko raznovrstnost do leta 2030, namen katere je med drugim obnoviti dobro okoljsko stanje morskih ekosistemov.</w:t>
      </w:r>
    </w:p>
    <w:p w:rsidR="00424F03" w:rsidRPr="00A76C07" w:rsidRDefault="00424F03" w:rsidP="00424F03">
      <w:pPr>
        <w:pStyle w:val="Text1"/>
        <w:pBdr>
          <w:top w:val="single" w:sz="4" w:space="1" w:color="auto"/>
          <w:left w:val="single" w:sz="4" w:space="4" w:color="auto"/>
          <w:bottom w:val="single" w:sz="4" w:space="0" w:color="auto"/>
          <w:right w:val="single" w:sz="4" w:space="4" w:color="auto"/>
        </w:pBdr>
        <w:rPr>
          <w:noProof/>
        </w:rPr>
      </w:pPr>
      <w:r w:rsidRPr="00A76C07">
        <w:rPr>
          <w:noProof/>
        </w:rPr>
        <w:t>Z izvajanjem sporazuma o BBNJ bo ta predlog ustvaril enake konkurenčne pogoje v EU za gospodarske subjekte, ki opravljajo dejavnosti na območjih zunaj nacionalne jurisdikcije, za katera je treba izvesti presojo vplivov na okolje, ter za raziskovalce in pravne subjekte, ki se ukvarjajo z morskimi genskimi viri in digitalnimi sekvenčnimi zapisi o morskih genskih virih na območjih zunaj nacionalne jurisdikcije.</w:t>
      </w:r>
    </w:p>
    <w:p w:rsidR="005E08AC" w:rsidRPr="00A76C07" w:rsidRDefault="005E08AC" w:rsidP="005E08AC">
      <w:pPr>
        <w:pStyle w:val="ManualHeading3"/>
        <w:rPr>
          <w:noProof/>
        </w:rPr>
      </w:pPr>
      <w:bookmarkStart w:id="129" w:name="_Toc194499881"/>
      <w:bookmarkStart w:id="130" w:name="_Toc199239261"/>
      <w:r w:rsidRPr="00A76C07">
        <w:rPr>
          <w:noProof/>
        </w:rPr>
        <w:t>1.3.4</w:t>
      </w:r>
      <w:r w:rsidRPr="00A76C07">
        <w:rPr>
          <w:noProof/>
        </w:rPr>
        <w:tab/>
        <w:t>Kazalniki smotrnosti</w:t>
      </w:r>
      <w:bookmarkEnd w:id="129"/>
      <w:bookmarkEnd w:id="130"/>
    </w:p>
    <w:p w:rsidR="005E08AC" w:rsidRPr="00A76C07" w:rsidRDefault="005E08AC" w:rsidP="005E08AC">
      <w:pPr>
        <w:pStyle w:val="Text1"/>
        <w:rPr>
          <w:noProof/>
        </w:rPr>
      </w:pPr>
      <w:r w:rsidRPr="00A76C07">
        <w:rPr>
          <w:i/>
          <w:noProof/>
          <w:sz w:val="20"/>
        </w:rPr>
        <w:t>Navedite, s katerimi kazalniki se bodo spremljali napredek in dosežki.</w:t>
      </w:r>
    </w:p>
    <w:p w:rsidR="00275B1A" w:rsidRPr="00A76C07" w:rsidRDefault="00275B1A" w:rsidP="003C62D0">
      <w:pPr>
        <w:pStyle w:val="Text1"/>
        <w:pBdr>
          <w:top w:val="single" w:sz="4" w:space="1" w:color="auto"/>
          <w:left w:val="single" w:sz="4" w:space="4" w:color="auto"/>
          <w:bottom w:val="single" w:sz="4" w:space="1" w:color="auto"/>
          <w:right w:val="single" w:sz="4" w:space="4" w:color="auto"/>
        </w:pBdr>
        <w:rPr>
          <w:noProof/>
        </w:rPr>
      </w:pPr>
      <w:r w:rsidRPr="00A76C07">
        <w:rPr>
          <w:noProof/>
        </w:rPr>
        <w:t>Prenos obveznosti iz tega predloga v nacionalno zakonodajo držav članic EU.</w:t>
      </w:r>
    </w:p>
    <w:p w:rsidR="005E08AC"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V tem predlogu so opredeljene obveznosti iz Sporazuma o BBNJ, ki bi lahko vplivale na enotni trg EU, natančneje na gospodarske subjekte, ki opravljajo dejavnosti na območjih zunaj nacionalne jurisdikcije, za katera je treba izvesti presojo vplivov na okolje, ter na znanstvenike, ki se ukvarjajo z morskimi genskimi viri in digitalnimi sekvenčnimi zapisi, da se zagotovijo enaki konkurenčni pogoji. Prvi način, da se oceni uspešnost, je torej spremljanje, ali države članice EU izvajajo to direktivo v časovnem okviru, določenem v tej direktivi (šest mesecev od začetka njene veljavnosti). </w:t>
      </w:r>
    </w:p>
    <w:p w:rsidR="005E08AC" w:rsidRPr="00A76C07" w:rsidRDefault="005E08AC" w:rsidP="005E08AC">
      <w:pPr>
        <w:pStyle w:val="ManualHeading2"/>
        <w:rPr>
          <w:noProof/>
        </w:rPr>
      </w:pPr>
      <w:bookmarkStart w:id="131" w:name="_Toc177549000"/>
      <w:bookmarkStart w:id="132" w:name="_Toc199239262"/>
      <w:r w:rsidRPr="00A76C07">
        <w:rPr>
          <w:noProof/>
        </w:rPr>
        <w:t>1.4</w:t>
      </w:r>
      <w:r w:rsidRPr="00A76C07">
        <w:rPr>
          <w:noProof/>
        </w:rPr>
        <w:tab/>
        <w:t>Ukrep, na katerega se predlog/pobuda nanaša</w:t>
      </w:r>
      <w:bookmarkEnd w:id="131"/>
      <w:bookmarkEnd w:id="132"/>
      <w:r w:rsidRPr="00A76C07">
        <w:rPr>
          <w:noProof/>
        </w:rPr>
        <w:t xml:space="preserve"> </w:t>
      </w:r>
    </w:p>
    <w:p w:rsidR="005E08AC" w:rsidRPr="00A76C07" w:rsidRDefault="005E08AC" w:rsidP="005E08AC">
      <w:pPr>
        <w:pStyle w:val="Text1"/>
        <w:rPr>
          <w:noProof/>
          <w:sz w:val="22"/>
        </w:rPr>
      </w:pPr>
      <w:r w:rsidRPr="00A76C07">
        <w:rPr>
          <w:rFonts w:ascii="Wingdings" w:hAnsi="Wingdings"/>
          <w:noProof/>
          <w:sz w:val="22"/>
        </w:rPr>
        <w:t></w:t>
      </w:r>
      <w:r w:rsidRPr="00A76C07">
        <w:rPr>
          <w:i/>
          <w:noProof/>
          <w:sz w:val="22"/>
        </w:rPr>
        <w:t xml:space="preserve"> </w:t>
      </w:r>
      <w:r w:rsidRPr="00A76C07">
        <w:rPr>
          <w:noProof/>
        </w:rPr>
        <w:t>Nov ukrep</w:t>
      </w:r>
      <w:r w:rsidRPr="00A76C07">
        <w:rPr>
          <w:noProof/>
          <w:sz w:val="22"/>
        </w:rPr>
        <w:t xml:space="preserve"> </w:t>
      </w:r>
    </w:p>
    <w:p w:rsidR="005E08AC" w:rsidRPr="00A76C07" w:rsidRDefault="2DB89802" w:rsidP="005E08AC">
      <w:pPr>
        <w:pStyle w:val="Text1"/>
        <w:rPr>
          <w:noProof/>
          <w:sz w:val="22"/>
        </w:rPr>
      </w:pPr>
      <w:r w:rsidRPr="00A76C07">
        <w:rPr>
          <w:rFonts w:ascii="Wingdings" w:hAnsi="Wingdings"/>
          <w:noProof/>
          <w:sz w:val="22"/>
        </w:rPr>
        <w:t></w:t>
      </w:r>
      <w:r w:rsidRPr="00A76C07">
        <w:rPr>
          <w:i/>
          <w:noProof/>
          <w:sz w:val="22"/>
        </w:rPr>
        <w:t xml:space="preserve"> </w:t>
      </w:r>
      <w:r w:rsidRPr="00A76C07">
        <w:rPr>
          <w:noProof/>
        </w:rPr>
        <w:t>Nov ukrep na podlagi pilotnega projekta / pripravljalnega ukrepa</w:t>
      </w:r>
      <w:r w:rsidRPr="00A76C07">
        <w:rPr>
          <w:rStyle w:val="FootnoteReference"/>
          <w:noProof/>
        </w:rPr>
        <w:footnoteReference w:id="23"/>
      </w:r>
      <w:r w:rsidRPr="00A76C07">
        <w:rPr>
          <w:noProof/>
          <w:sz w:val="22"/>
        </w:rPr>
        <w:t xml:space="preserve"> </w:t>
      </w:r>
    </w:p>
    <w:p w:rsidR="005E08AC" w:rsidRPr="00A76C07" w:rsidRDefault="005E08AC" w:rsidP="005E08AC">
      <w:pPr>
        <w:pStyle w:val="Text1"/>
        <w:rPr>
          <w:noProof/>
          <w:sz w:val="22"/>
        </w:rPr>
      </w:pPr>
      <w:r w:rsidRPr="00A76C07">
        <w:rPr>
          <w:rFonts w:ascii="Wingdings" w:hAnsi="Wingdings"/>
          <w:noProof/>
          <w:sz w:val="22"/>
        </w:rPr>
        <w:t></w:t>
      </w:r>
      <w:r w:rsidRPr="00A76C07">
        <w:rPr>
          <w:i/>
          <w:noProof/>
          <w:sz w:val="22"/>
        </w:rPr>
        <w:t xml:space="preserve"> </w:t>
      </w:r>
      <w:r w:rsidRPr="00A76C07">
        <w:rPr>
          <w:noProof/>
        </w:rPr>
        <w:t>Podaljšanje obstoječega ukrepa</w:t>
      </w:r>
      <w:r w:rsidRPr="00A76C07">
        <w:rPr>
          <w:noProof/>
          <w:sz w:val="22"/>
        </w:rPr>
        <w:t xml:space="preserve"> </w:t>
      </w:r>
    </w:p>
    <w:p w:rsidR="005E08AC" w:rsidRPr="00A76C07" w:rsidRDefault="005E08AC" w:rsidP="005E08AC">
      <w:pPr>
        <w:pStyle w:val="Text1"/>
        <w:rPr>
          <w:noProof/>
        </w:rPr>
      </w:pPr>
      <w:r w:rsidRPr="00A76C07">
        <w:rPr>
          <w:rFonts w:ascii="Wingdings" w:hAnsi="Wingdings"/>
          <w:noProof/>
          <w:sz w:val="22"/>
        </w:rPr>
        <w:t></w:t>
      </w:r>
      <w:r w:rsidRPr="00A76C07">
        <w:rPr>
          <w:i/>
          <w:noProof/>
          <w:sz w:val="22"/>
        </w:rPr>
        <w:t xml:space="preserve"> </w:t>
      </w:r>
      <w:r w:rsidRPr="00A76C07">
        <w:rPr>
          <w:noProof/>
        </w:rPr>
        <w:t>Združitev ali preusmeritev enega ali več ukrepov v drug/nov ukrep</w:t>
      </w:r>
    </w:p>
    <w:p w:rsidR="005E08AC" w:rsidRPr="00A76C07" w:rsidRDefault="005E08AC" w:rsidP="005E08AC">
      <w:pPr>
        <w:pStyle w:val="ManualHeading2"/>
        <w:rPr>
          <w:bCs/>
          <w:noProof/>
          <w:szCs w:val="24"/>
        </w:rPr>
      </w:pPr>
      <w:bookmarkStart w:id="133" w:name="_Toc514938025"/>
      <w:bookmarkStart w:id="134" w:name="_Toc199239263"/>
      <w:r w:rsidRPr="00A76C07">
        <w:rPr>
          <w:noProof/>
        </w:rPr>
        <w:t>1.5</w:t>
      </w:r>
      <w:r w:rsidRPr="00A76C07">
        <w:rPr>
          <w:noProof/>
        </w:rPr>
        <w:tab/>
        <w:t>Utemeljitev predloga/pobude</w:t>
      </w:r>
      <w:bookmarkEnd w:id="133"/>
      <w:bookmarkEnd w:id="134"/>
      <w:r w:rsidRPr="00A76C07">
        <w:rPr>
          <w:noProof/>
        </w:rPr>
        <w:t xml:space="preserve"> </w:t>
      </w:r>
    </w:p>
    <w:p w:rsidR="005E08AC" w:rsidRPr="00A76C07" w:rsidRDefault="005E08AC" w:rsidP="005E08AC">
      <w:pPr>
        <w:pStyle w:val="ManualHeading3"/>
        <w:rPr>
          <w:noProof/>
        </w:rPr>
      </w:pPr>
      <w:bookmarkStart w:id="135" w:name="_Toc514938026"/>
      <w:bookmarkStart w:id="136" w:name="_Toc199239264"/>
      <w:r w:rsidRPr="00A76C07">
        <w:rPr>
          <w:noProof/>
        </w:rPr>
        <w:t>1.5.1</w:t>
      </w:r>
      <w:r w:rsidRPr="00A76C07">
        <w:rPr>
          <w:noProof/>
        </w:rPr>
        <w:tab/>
        <w:t>Potrebe, ki jih je treba zadovoljiti kratkoročno ali dolgoročno, vključno s podrobno časovnico za uvajanje ustreznih ukrepov za izvajanje pobude</w:t>
      </w:r>
      <w:bookmarkEnd w:id="135"/>
      <w:bookmarkEnd w:id="136"/>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Obstajajo tri vrste zahtev, ki ustrezajo kratko-, srednje- in dolgoročnim ciljem.</w:t>
      </w:r>
    </w:p>
    <w:p w:rsidR="00272B59" w:rsidRPr="00A76C07" w:rsidRDefault="00275B1A" w:rsidP="00272B59">
      <w:pPr>
        <w:pStyle w:val="Text1"/>
        <w:pBdr>
          <w:top w:val="single" w:sz="4" w:space="1" w:color="auto"/>
          <w:left w:val="single" w:sz="4" w:space="4" w:color="auto"/>
          <w:bottom w:val="single" w:sz="4" w:space="1" w:color="auto"/>
          <w:right w:val="single" w:sz="4" w:space="4" w:color="auto"/>
        </w:pBdr>
        <w:rPr>
          <w:noProof/>
        </w:rPr>
      </w:pPr>
      <w:r w:rsidRPr="00A76C07">
        <w:rPr>
          <w:noProof/>
        </w:rPr>
        <w:t>Kratkoročne zahteve:</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morajo najpozneje štiri mesece pred rokom za prenos določiti pristojne organe, ki opravljajo dolžnosti iz poglavij 2 do 5 te direktive, in o njih uradno obvestiti Komisijo. Države članice morajo zagotoviti, da imajo pristojni organi, ki opravljajo dolžnosti v skladu s to direktivo, zadostno število usposobljenega osebja ter zadostne finančne, tehnične in tehnološke vire za učinkovito opravljanje svojih nalog.</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morajo najpozneje šest mesecev po začetku veljavnosti te direktive sprejeti in objaviti zakone in druge predpise, potrebne za uskladitev s to direktivo. Komisiji morajo takoj sporočiti besedilo teh predpisov. Države članice morajo Komisiji sporočiti besedilo temeljnih predpisov nacionalnega prava, sprejetih na področju, ki ga ureja ta direktiva.</w:t>
      </w:r>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Srednjeročne zahteve:</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morajo Komisiji zagotoviti vse potrebne informacije za pripravo poročila Evropskemu parlamentu in Svetu, v katerem oceni, v kakšnem obsegu so države članice sprejele ukrepe, potrebne za uskladitev s to direktivo.</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morajo Komisiji zagotoviti vse potrebne informacije za pripravo poročila Evropskemu parlamentu in Svetu o oceni učinka te direktive, vključno s povzetkom izvajanja te direktive in sprejetih ukrepov, ter statistične podatke, pri čemer posebno pozornost namenijo presojam vplivov na okolje, izvedenim v skladu s poglavjem 3.</w:t>
      </w:r>
    </w:p>
    <w:p w:rsidR="00C7146B" w:rsidRPr="00A76C07" w:rsidRDefault="00C7146B" w:rsidP="00C7146B">
      <w:pPr>
        <w:pStyle w:val="Text1"/>
        <w:pBdr>
          <w:top w:val="single" w:sz="4" w:space="1" w:color="auto"/>
          <w:left w:val="single" w:sz="4" w:space="4" w:color="auto"/>
          <w:bottom w:val="single" w:sz="4" w:space="1" w:color="auto"/>
          <w:right w:val="single" w:sz="4" w:space="4" w:color="auto"/>
        </w:pBdr>
        <w:rPr>
          <w:noProof/>
        </w:rPr>
      </w:pPr>
      <w:r w:rsidRPr="00A76C07">
        <w:rPr>
          <w:noProof/>
        </w:rPr>
        <w:t>Dolgoročne zahteve:</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Komisija mora najpozneje pet let po začetku veljavnosti te direktive Evropskemu parlamentu in Svetu predloži poročilo, v katerem oceni, v kakšnem obsegu so države članice sprejele ukrepe, potrebne za uskladitev s to direktivo.</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Komisija mora najpozneje osem let po začetku veljavnosti te direktive izvesti oceno učinka te direktive [tudi ob upoštevanju razvoja dogodkov v okviru Sporazuma o BBNJ] ter Evropskemu parlamentu in Svetu predložiti poročilo. Poročilu je treba po potrebi priložiti zakonodajni predlog.</w:t>
      </w:r>
    </w:p>
    <w:p w:rsidR="00C7146B" w:rsidRPr="00A76C07" w:rsidRDefault="00C7146B" w:rsidP="00275B1A">
      <w:pPr>
        <w:pStyle w:val="Text1"/>
        <w:pBdr>
          <w:top w:val="single" w:sz="4" w:space="1" w:color="auto"/>
          <w:left w:val="single" w:sz="4" w:space="4" w:color="auto"/>
          <w:bottom w:val="single" w:sz="4" w:space="1" w:color="auto"/>
          <w:right w:val="single" w:sz="4" w:space="4" w:color="auto"/>
        </w:pBdr>
        <w:rPr>
          <w:noProof/>
        </w:rPr>
      </w:pPr>
    </w:p>
    <w:p w:rsidR="005E08AC" w:rsidRPr="00A76C07" w:rsidRDefault="005E08AC" w:rsidP="005E08AC">
      <w:pPr>
        <w:pStyle w:val="ManualHeading3"/>
        <w:rPr>
          <w:bCs/>
          <w:noProof/>
          <w:szCs w:val="24"/>
        </w:rPr>
      </w:pPr>
      <w:bookmarkStart w:id="137" w:name="_Toc514938029"/>
      <w:bookmarkStart w:id="138" w:name="_Toc199239265"/>
      <w:r w:rsidRPr="00A76C07">
        <w:rPr>
          <w:noProof/>
        </w:rPr>
        <w:t>1.5.2</w:t>
      </w:r>
      <w:r w:rsidRPr="00A76C07">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bookmarkEnd w:id="137"/>
      <w:bookmarkEnd w:id="138"/>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Razlogi za ukrepanje na ravni EU (predhodno) </w:t>
      </w:r>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Sporazum o BBNJ določa obveznost pregleda in presoje vplivov načrtovanih dejavnosti na območjih zunaj nacionalne jurisdikcije. Poleg tega določa okvir za urejanje dejavnosti v zvezi z morskimi genskimi viri ter ureditve za izmenjavo informacij in delitev koristi uporabe morskih genskih virov. Usklajen pristop EU je osrednjega pomena za ustvarjanje enakih konkurenčnih pogojev med deležniki, ki delujejo v EU. Namen direktive je določiti okvir za enotno izvajanje Sporazuma o BBNJ v EU in preprečiti izbiro najugodnejšega sodišča v EU, kar bo vodilo v hitrejše izdajanje dovoljenj in upravno poenostavitev.</w:t>
      </w:r>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Pričakovana ustvarjena dodana vrednost EU (naknadno):</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da se raziskovalci EU, zlasti tisti, ki delajo v skupinah po vsej EU na področju morskih genskih virov na območjih zunaj nacionalne jurisdikcije, ne soočajo z nepotrebnim pravnim bremenom, ki bi lahko nastalo zaradi neenakomernega izvajanja mednarodnih obveznosti iz Sporazuma o BBNJ;</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skladnost med izvajanjem Nagojskega protokola h Konvenciji o biološki raznovrstnosti in določbami Sporazuma o BBNJ v zvezi z morskimi genskimi viri;</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zagotoviti skladnosti med obveznostmi, ki urejajo presojo vplivov na okolje za dejavnosti, ki se izvajajo v vodah EU, v skladu z direktivo o presoji vplivov na okolje in drugo ustrezno zakonodajo EU ter v skladu s Sporazumom o BBNJ in</w:t>
      </w:r>
    </w:p>
    <w:p w:rsidR="005E08AC" w:rsidRPr="00A76C07" w:rsidRDefault="00C7146B" w:rsidP="00C7146B">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zagotoviti skladnosti izvedbenega sporazuma o BBNJ z okoljskim pravom EU. </w:t>
      </w:r>
    </w:p>
    <w:p w:rsidR="005E08AC" w:rsidRPr="00A76C07" w:rsidRDefault="005E08AC" w:rsidP="005E08AC">
      <w:pPr>
        <w:pStyle w:val="ManualHeading3"/>
        <w:rPr>
          <w:noProof/>
        </w:rPr>
      </w:pPr>
      <w:bookmarkStart w:id="139" w:name="_Toc514938030"/>
      <w:bookmarkStart w:id="140" w:name="_Toc199239266"/>
      <w:r w:rsidRPr="00A76C07">
        <w:rPr>
          <w:noProof/>
        </w:rPr>
        <w:t>1.5.3</w:t>
      </w:r>
      <w:r w:rsidRPr="00A76C07">
        <w:rPr>
          <w:noProof/>
        </w:rPr>
        <w:tab/>
        <w:t>Spoznanja iz podobnih izkušenj v preteklosti</w:t>
      </w:r>
      <w:bookmarkEnd w:id="139"/>
      <w:bookmarkEnd w:id="140"/>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Ni relevantno</w:t>
      </w:r>
    </w:p>
    <w:p w:rsidR="005E08AC" w:rsidRPr="00A76C07" w:rsidRDefault="005E08AC" w:rsidP="005E08AC">
      <w:pPr>
        <w:pStyle w:val="ManualHeading3"/>
        <w:rPr>
          <w:noProof/>
        </w:rPr>
      </w:pPr>
      <w:bookmarkStart w:id="141" w:name="_Toc514938033"/>
      <w:bookmarkStart w:id="142" w:name="_Toc199239267"/>
      <w:r w:rsidRPr="00A76C07">
        <w:rPr>
          <w:noProof/>
        </w:rPr>
        <w:t>1.5.4</w:t>
      </w:r>
      <w:r w:rsidRPr="00A76C07">
        <w:rPr>
          <w:noProof/>
        </w:rPr>
        <w:tab/>
        <w:t>Skladnost z večletnim finančnim okvirom in možne sinergije z drugimi ustreznimi instrumenti</w:t>
      </w:r>
      <w:bookmarkEnd w:id="141"/>
      <w:bookmarkEnd w:id="142"/>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Predlagana direktiva o ohranjanju in trajnostni rabi morske biotske raznovrstnosti na območjih zunaj nacionalne jurisdikcije je skladna s sporočilom o evropskem zelenem dogovoru, ki v okviru cilja „ohranjanje in obnova ekosistemov in biotske raznovrstnosti“ jasno določa: „Trajnostno ‚modro gospodarstvo‘ bo moralo imeti osrednjo vlogo pri zmanjševanju številnih zahtev po kopenskih virih EU in boju proti podnebnim spremembam.“ Skladen je tudi s strategijo za biotsko raznovrstnost do leta 2030, namen katere je med drugim obnoviti dobro okoljsko stanje morskih ekosistemov.</w:t>
      </w:r>
    </w:p>
    <w:p w:rsidR="00275B1A"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Poleg tega je v skladu s političnimi usmeritvami naslednje Evropske komisije (2024–2029) trajnostnost oceanov temelj prednostne naloge „Ohranjanje kakovosti življenja: prehranska varnost, voda in narava“. Predlagana direktiva bo tudi del evropskega pakta za oceane, ki se bo med drugim osredotočal na zagotavljanje dobrega upravljanja in trajnostnosti oceanov.</w:t>
      </w:r>
    </w:p>
    <w:p w:rsidR="005E08AC" w:rsidRPr="00A76C07" w:rsidRDefault="00275B1A" w:rsidP="00275B1A">
      <w:pPr>
        <w:pStyle w:val="Text1"/>
        <w:pBdr>
          <w:top w:val="single" w:sz="4" w:space="1" w:color="auto"/>
          <w:left w:val="single" w:sz="4" w:space="4" w:color="auto"/>
          <w:bottom w:val="single" w:sz="4" w:space="1" w:color="auto"/>
          <w:right w:val="single" w:sz="4" w:space="4" w:color="auto"/>
        </w:pBdr>
        <w:rPr>
          <w:noProof/>
        </w:rPr>
      </w:pPr>
      <w:r w:rsidRPr="00A76C07">
        <w:rPr>
          <w:noProof/>
        </w:rPr>
        <w:t>Cilji tega predloga so podprti z večletnim finančnim okvirom, ki daje pomemben poudarek financiranju dejavnosti za varstvo okolja.</w:t>
      </w:r>
    </w:p>
    <w:p w:rsidR="005E08AC" w:rsidRPr="00A76C07" w:rsidRDefault="005E08AC" w:rsidP="005E08AC">
      <w:pPr>
        <w:pStyle w:val="ManualHeading3"/>
        <w:rPr>
          <w:noProof/>
        </w:rPr>
      </w:pPr>
      <w:bookmarkStart w:id="143" w:name="_Toc514938036"/>
      <w:bookmarkStart w:id="144" w:name="_Toc199239268"/>
      <w:r w:rsidRPr="00A76C07">
        <w:rPr>
          <w:noProof/>
        </w:rPr>
        <w:t>1.5.5</w:t>
      </w:r>
      <w:r w:rsidRPr="00A76C07">
        <w:rPr>
          <w:noProof/>
        </w:rPr>
        <w:tab/>
        <w:t>Ocena različnih razpoložljivih možnosti financiranja, vključno z možnostmi za prerazporeditev</w:t>
      </w:r>
      <w:bookmarkEnd w:id="143"/>
      <w:bookmarkEnd w:id="144"/>
    </w:p>
    <w:p w:rsidR="00CA430F" w:rsidRPr="00A76C07" w:rsidRDefault="00CA430F" w:rsidP="00CA430F">
      <w:pPr>
        <w:pStyle w:val="Text1"/>
        <w:pBdr>
          <w:top w:val="single" w:sz="4" w:space="1" w:color="auto"/>
          <w:left w:val="single" w:sz="4" w:space="4" w:color="auto"/>
          <w:bottom w:val="single" w:sz="4" w:space="1" w:color="auto"/>
          <w:right w:val="single" w:sz="4" w:space="4" w:color="auto"/>
        </w:pBdr>
        <w:rPr>
          <w:noProof/>
        </w:rPr>
      </w:pPr>
      <w:r w:rsidRPr="00A76C07">
        <w:rPr>
          <w:noProof/>
        </w:rPr>
        <w:t>Ta predlog je omejen na dosleden prenos obveznosti iz Sporazuma o BBNJ v zvezi s presojo vplivov na okolje, morskimi genskimi viri in nekaterimi elementi obveznosti morskih zavarovanih območij, ki odražajo obstoječe obveznosti držav članic na podlagi zakonodaje EU ali druge mednarodne zakonodaje.</w:t>
      </w:r>
    </w:p>
    <w:p w:rsidR="00CA430F" w:rsidRPr="00A76C07" w:rsidRDefault="00CA430F" w:rsidP="00CA430F">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že imajo vzpostavljen okvir, ki ureja presojo vplivov na okolje in izhaja iz njihovih obveznosti v skladu z direktivo o presoji vplivov na okolje, Konvencijo iz Espooja in Aarhuško konvencijo. Zato se ocenjuje, da so upravni učinek in stroški zanemarljivi do zmerni, saj je večina potrebnih struktur in pravil vzpostavljena.</w:t>
      </w:r>
    </w:p>
    <w:p w:rsidR="00B718F4" w:rsidRPr="00A76C07" w:rsidRDefault="00B718F4" w:rsidP="00B718F4">
      <w:pPr>
        <w:pStyle w:val="Text1"/>
        <w:pBdr>
          <w:top w:val="single" w:sz="4" w:space="1" w:color="auto"/>
          <w:left w:val="single" w:sz="4" w:space="4" w:color="auto"/>
          <w:bottom w:val="single" w:sz="4" w:space="1" w:color="auto"/>
          <w:right w:val="single" w:sz="4" w:space="4" w:color="auto"/>
        </w:pBdr>
        <w:rPr>
          <w:noProof/>
        </w:rPr>
      </w:pPr>
      <w:r w:rsidRPr="00A76C07">
        <w:rPr>
          <w:noProof/>
        </w:rPr>
        <w:t>Države članice bodo imele stroške, omejene na stroške sprejetja pravnih, političnih ali upravnih ukrepov za izvajanje novih obveznosti v zvezi z morskimi genskimi viri, da se zagotovi izpolnjevanje obveznosti sporočanja informacij o morskih genskih virih Posredovalnemu mehanizmu za BBNJ ter zahteve, da uporabniki deponirajo vzorce in informacije o digitalnih sekvenčnih zapisih v javno dostopnih podatkovnih zbirkah in odložiščih. Ti stroški bodo v veliki meri odvisni od vrste ukrepov, ki jih bodo sprejele države članice, in v tej fazi je to težko oceniti. Kar zadeva človeške vire, so države članice ustanovile nacionalne pristojne organe za dostop in delitev koristi, ki lahko opravljajo tudi naloge, potrebne za izvrševanje ukrepov, povezanih z morskimi genskimi viri. Če končni osnutek direktive predvideva dodatne naloge spremljanja, bodo v državah članicah morda potrebni dodatni viri (npr. za usposabljanje osebja pristojnih organov ali zaposlitev več osebja). Kar zadeva digitalno razsežnost, lahko državam članicam nastanejo drugi upravni stroški, če se odločijo vzpostaviti orodja IT, posebej zasnovana za prenos informacij Posredovalnemu mehanizmu. Alternativno bi se lahko preučila možnost uporabe obstoječe informacijske platforme EU.</w:t>
      </w:r>
    </w:p>
    <w:p w:rsidR="00B718F4" w:rsidRPr="00A76C07" w:rsidRDefault="00B718F4" w:rsidP="00B718F4">
      <w:pPr>
        <w:pStyle w:val="Text1"/>
        <w:pBdr>
          <w:top w:val="single" w:sz="4" w:space="1" w:color="auto"/>
          <w:left w:val="single" w:sz="4" w:space="4" w:color="auto"/>
          <w:bottom w:val="single" w:sz="4" w:space="1" w:color="auto"/>
          <w:right w:val="single" w:sz="4" w:space="4" w:color="auto"/>
        </w:pBdr>
        <w:rPr>
          <w:noProof/>
        </w:rPr>
      </w:pPr>
      <w:r w:rsidRPr="00A76C07">
        <w:rPr>
          <w:noProof/>
        </w:rPr>
        <w:t>Stroški Komisije za izvajanje obveznosti v zvezi z morskimi genskimi viri iz tega predloga so opisani v nadaljevanju.</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Če na podlagi te direktive ne bodo ustanovljene tehnične skupine ali odbori, bi lahko srečanja s pristojnimi organi in strokovnjaki držav članic, zbiranje informacij in vse drugo delo, potrebno za spremljanje napredka pri izvajanju te direktive, potekalo v okviru dela, opravljenega za strokovno skupino EU za dostop in delitev koristi, ustanovljeno v skladu z uredbo EU o dostopu in delitvi koristi. Kar zadeva človeške vire, bi lahko spremljanje izvajalo sedanje osebje, ki se že ukvarja z dostopom in delitvijo koristi ali BBNJ.</w:t>
      </w:r>
    </w:p>
    <w:p w:rsidR="00C7146B" w:rsidRPr="00A76C07" w:rsidRDefault="00C7146B" w:rsidP="008A544B">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V zvezi z digitalno razsežnostjo: če Posredovalni mehanizem za BBNJ ne podpira popolne izmenjave podatkov med deležniki, kot je določeno v nacionalni zakonodaji, bodo države članice morda potrebovale lokalni sistem ali pa bo morala Evropska komisija razviti ali razširiti obstoječo informacijsko platformo ali orodje za poročanje: Komisija bi lahko imela nekaj stroškov z izvajanjem potrebnih prilagoditev za tako platformo (ali orodje), da bi ustrezala namenu te direktive. V tej fazi stroškov ni mogoče oceniti. Nadaljnja ocena s strokovnjaki za IT bo izvedena, ko bo zagotovljenih več podrobnosti o Posredovalnem mehanizmu za BBNJ in obveznostih poročanja ter če bodo države članice izrazile zanimanje za skupno platformo ali orodje. </w:t>
      </w:r>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Izvajanje predloga bosta spremljala dva oddelka Komisije: Generalni direktorat za okolje in Generalni direktorat za pomorske zadeve in ribištvo. </w:t>
      </w:r>
    </w:p>
    <w:p w:rsidR="005E08AC" w:rsidRPr="00A76C07" w:rsidRDefault="005E08AC" w:rsidP="005E08AC">
      <w:pPr>
        <w:pStyle w:val="ManualHeading2"/>
        <w:rPr>
          <w:bCs/>
          <w:noProof/>
          <w:szCs w:val="24"/>
        </w:rPr>
      </w:pPr>
      <w:r w:rsidRPr="00A76C07">
        <w:rPr>
          <w:noProof/>
        </w:rPr>
        <w:br w:type="page"/>
      </w:r>
      <w:bookmarkStart w:id="145" w:name="_Toc514938039"/>
      <w:bookmarkStart w:id="146" w:name="_Toc199239269"/>
      <w:r w:rsidRPr="00A76C07">
        <w:rPr>
          <w:noProof/>
        </w:rPr>
        <w:t>1.6</w:t>
      </w:r>
      <w:r w:rsidRPr="00A76C07">
        <w:rPr>
          <w:noProof/>
        </w:rPr>
        <w:tab/>
        <w:t>Trajanje predloga/pobude</w:t>
      </w:r>
      <w:bookmarkEnd w:id="145"/>
      <w:r w:rsidRPr="00A76C07">
        <w:rPr>
          <w:noProof/>
        </w:rPr>
        <w:t xml:space="preserve"> in finančnih posledic</w:t>
      </w:r>
      <w:bookmarkEnd w:id="146"/>
    </w:p>
    <w:p w:rsidR="005E08AC" w:rsidRPr="00A76C07" w:rsidRDefault="005E08AC" w:rsidP="005E08AC">
      <w:pPr>
        <w:pStyle w:val="Text1"/>
        <w:rPr>
          <w:noProof/>
        </w:rPr>
      </w:pPr>
      <w:r w:rsidRPr="00A76C07">
        <w:rPr>
          <w:rFonts w:ascii="Wingdings" w:hAnsi="Wingdings"/>
          <w:noProof/>
        </w:rPr>
        <w:t></w:t>
      </w:r>
      <w:r w:rsidRPr="00A76C07">
        <w:rPr>
          <w:b/>
          <w:i/>
          <w:noProof/>
        </w:rPr>
        <w:t xml:space="preserve"> </w:t>
      </w:r>
      <w:r w:rsidRPr="00A76C07">
        <w:rPr>
          <w:b/>
          <w:noProof/>
        </w:rPr>
        <w:t xml:space="preserve">Časovno omejeno: </w:t>
      </w:r>
    </w:p>
    <w:p w:rsidR="005E08AC" w:rsidRPr="00A76C07" w:rsidRDefault="005E08AC" w:rsidP="005E08AC">
      <w:pPr>
        <w:pStyle w:val="ListDash2"/>
        <w:rPr>
          <w:noProof/>
        </w:rPr>
      </w:pPr>
      <w:r w:rsidRPr="00A76C07">
        <w:rPr>
          <w:rFonts w:ascii="Wingdings" w:hAnsi="Wingdings"/>
          <w:noProof/>
        </w:rPr>
        <w:t></w:t>
      </w:r>
      <w:r w:rsidRPr="00A76C07">
        <w:rPr>
          <w:noProof/>
        </w:rPr>
        <w:tab/>
        <w:t xml:space="preserve">od [D. MMMM] LLLL do [D. MMMM] LLLL, </w:t>
      </w:r>
    </w:p>
    <w:p w:rsidR="005E08AC" w:rsidRPr="00A76C07" w:rsidRDefault="005E08AC" w:rsidP="005E08AC">
      <w:pPr>
        <w:pStyle w:val="ListDash2"/>
        <w:rPr>
          <w:noProof/>
        </w:rPr>
      </w:pPr>
      <w:r w:rsidRPr="00A76C07">
        <w:rPr>
          <w:rFonts w:ascii="Wingdings" w:hAnsi="Wingdings"/>
          <w:noProof/>
        </w:rPr>
        <w:t></w:t>
      </w:r>
      <w:r w:rsidRPr="00A76C07">
        <w:rPr>
          <w:noProof/>
        </w:rPr>
        <w:tab/>
        <w:t xml:space="preserve">finančne posledice med letoma LLLL in LLLL za odobritve za prevzem obveznosti ter med letoma LLLL in LLLL za odobritve plačil. </w:t>
      </w:r>
    </w:p>
    <w:p w:rsidR="005E08AC" w:rsidRPr="00A76C07" w:rsidRDefault="005E08AC" w:rsidP="005E08AC">
      <w:pPr>
        <w:pStyle w:val="Text1"/>
        <w:rPr>
          <w:noProof/>
        </w:rPr>
      </w:pPr>
      <w:r w:rsidRPr="00A76C07">
        <w:rPr>
          <w:rFonts w:ascii="Wingdings" w:hAnsi="Wingdings"/>
          <w:noProof/>
        </w:rPr>
        <w:t></w:t>
      </w:r>
      <w:r w:rsidRPr="00A76C07">
        <w:rPr>
          <w:b/>
          <w:i/>
          <w:noProof/>
        </w:rPr>
        <w:t xml:space="preserve"> </w:t>
      </w:r>
      <w:r w:rsidRPr="00A76C07">
        <w:rPr>
          <w:b/>
          <w:noProof/>
        </w:rPr>
        <w:t>Časovno neomejeno:</w:t>
      </w:r>
    </w:p>
    <w:p w:rsidR="005E08AC" w:rsidRPr="00A76C07" w:rsidRDefault="005E08AC" w:rsidP="005E08AC">
      <w:pPr>
        <w:pStyle w:val="ListDash1"/>
        <w:rPr>
          <w:noProof/>
        </w:rPr>
      </w:pPr>
      <w:r w:rsidRPr="00A76C07">
        <w:rPr>
          <w:noProof/>
        </w:rPr>
        <w:t>izvajanje z obdobjem uvajanja od leta 2025,</w:t>
      </w:r>
    </w:p>
    <w:p w:rsidR="005E08AC" w:rsidRPr="00A76C07" w:rsidRDefault="005E08AC" w:rsidP="005E08AC">
      <w:pPr>
        <w:pStyle w:val="ListDash1"/>
        <w:rPr>
          <w:noProof/>
        </w:rPr>
      </w:pPr>
      <w:r w:rsidRPr="00A76C07">
        <w:rPr>
          <w:noProof/>
        </w:rPr>
        <w:t>ki mu sledi izvajanje v celoti.</w:t>
      </w:r>
    </w:p>
    <w:p w:rsidR="005E08AC" w:rsidRPr="00A76C07" w:rsidRDefault="2DB89802" w:rsidP="005E08AC">
      <w:pPr>
        <w:pStyle w:val="ManualHeading2"/>
        <w:rPr>
          <w:bCs/>
          <w:noProof/>
          <w:szCs w:val="24"/>
        </w:rPr>
      </w:pPr>
      <w:bookmarkStart w:id="147" w:name="_Toc199239270"/>
      <w:bookmarkStart w:id="148" w:name="_Toc514938040"/>
      <w:r w:rsidRPr="00A76C07">
        <w:rPr>
          <w:noProof/>
        </w:rPr>
        <w:t>1.7</w:t>
      </w:r>
      <w:r w:rsidRPr="00A76C07">
        <w:rPr>
          <w:noProof/>
        </w:rPr>
        <w:tab/>
        <w:t>Načrtovani načini izvrševanja proračuna</w:t>
      </w:r>
      <w:r w:rsidRPr="00A76C07">
        <w:rPr>
          <w:rStyle w:val="FootnoteReference"/>
          <w:noProof/>
        </w:rPr>
        <w:footnoteReference w:id="24"/>
      </w:r>
      <w:bookmarkEnd w:id="147"/>
      <w:r w:rsidRPr="00A76C07">
        <w:rPr>
          <w:rStyle w:val="FootnoteReference"/>
          <w:noProof/>
        </w:rPr>
        <w:t xml:space="preserve"> </w:t>
      </w:r>
      <w:bookmarkEnd w:id="148"/>
      <w:r w:rsidRPr="00A76C07">
        <w:rPr>
          <w:rStyle w:val="FootnoteReference"/>
          <w:noProof/>
        </w:rPr>
        <w:t xml:space="preserve"> </w:t>
      </w:r>
    </w:p>
    <w:p w:rsidR="005E08AC" w:rsidRPr="00A76C07" w:rsidRDefault="005E08AC" w:rsidP="005E08AC">
      <w:pPr>
        <w:pStyle w:val="Text1"/>
        <w:rPr>
          <w:noProof/>
        </w:rPr>
      </w:pPr>
      <w:r w:rsidRPr="00A76C07">
        <w:rPr>
          <w:rFonts w:ascii="Wingdings" w:hAnsi="Wingdings"/>
          <w:noProof/>
        </w:rPr>
        <w:t></w:t>
      </w:r>
      <w:r w:rsidRPr="00A76C07">
        <w:rPr>
          <w:b/>
          <w:i/>
          <w:noProof/>
        </w:rPr>
        <w:t xml:space="preserve"> </w:t>
      </w:r>
      <w:r w:rsidRPr="00A76C07">
        <w:rPr>
          <w:b/>
          <w:noProof/>
        </w:rPr>
        <w:t>Neposredno upravljanje</w:t>
      </w:r>
      <w:r w:rsidRPr="00A76C07">
        <w:rPr>
          <w:noProof/>
        </w:rPr>
        <w:t xml:space="preserve"> – Komisija:</w:t>
      </w:r>
    </w:p>
    <w:p w:rsidR="005E08AC" w:rsidRPr="00A76C07" w:rsidRDefault="005E08AC" w:rsidP="005E08AC">
      <w:pPr>
        <w:pStyle w:val="ListDash2"/>
        <w:rPr>
          <w:rFonts w:cs="EUAlbertina"/>
          <w:noProof/>
        </w:rPr>
      </w:pPr>
      <w:r w:rsidRPr="00A76C07">
        <w:rPr>
          <w:rFonts w:ascii="Wingdings" w:hAnsi="Wingdings"/>
          <w:noProof/>
        </w:rPr>
        <w:t></w:t>
      </w:r>
      <w:r w:rsidRPr="00A76C07">
        <w:rPr>
          <w:b/>
          <w:i/>
          <w:noProof/>
        </w:rPr>
        <w:t xml:space="preserve"> </w:t>
      </w:r>
      <w:r w:rsidRPr="00A76C07">
        <w:rPr>
          <w:noProof/>
        </w:rPr>
        <w:t xml:space="preserve">z lastnimi službami, vključno s svojim osebjem v delegacijah Unije </w:t>
      </w:r>
    </w:p>
    <w:p w:rsidR="005E08AC" w:rsidRPr="00A76C07" w:rsidRDefault="005E08AC" w:rsidP="005E08AC">
      <w:pPr>
        <w:pStyle w:val="ListDash2"/>
        <w:rPr>
          <w:noProof/>
        </w:rPr>
      </w:pPr>
      <w:r w:rsidRPr="00A76C07">
        <w:rPr>
          <w:rFonts w:ascii="Wingdings" w:hAnsi="Wingdings"/>
          <w:noProof/>
        </w:rPr>
        <w:t></w:t>
      </w:r>
      <w:r w:rsidRPr="00A76C07">
        <w:rPr>
          <w:noProof/>
        </w:rPr>
        <w:t xml:space="preserve"> prek izvajalskih agencij </w:t>
      </w:r>
    </w:p>
    <w:p w:rsidR="005E08AC" w:rsidRPr="00A76C07" w:rsidRDefault="005E08AC" w:rsidP="005E08AC">
      <w:pPr>
        <w:pStyle w:val="Text1"/>
        <w:rPr>
          <w:noProof/>
        </w:rPr>
      </w:pPr>
      <w:r w:rsidRPr="00A76C07">
        <w:rPr>
          <w:rFonts w:ascii="Wingdings" w:hAnsi="Wingdings"/>
          <w:noProof/>
        </w:rPr>
        <w:t></w:t>
      </w:r>
      <w:r w:rsidRPr="00A76C07">
        <w:rPr>
          <w:i/>
          <w:noProof/>
        </w:rPr>
        <w:t xml:space="preserve"> </w:t>
      </w:r>
      <w:r w:rsidRPr="00A76C07">
        <w:rPr>
          <w:b/>
          <w:noProof/>
        </w:rPr>
        <w:t>Deljeno upravljanje</w:t>
      </w:r>
      <w:r w:rsidRPr="00A76C07">
        <w:rPr>
          <w:noProof/>
        </w:rPr>
        <w:t xml:space="preserve"> z državami članicami </w:t>
      </w:r>
    </w:p>
    <w:p w:rsidR="005E08AC" w:rsidRPr="00A76C07" w:rsidRDefault="005E08AC" w:rsidP="005E08AC">
      <w:pPr>
        <w:pStyle w:val="Text1"/>
        <w:rPr>
          <w:noProof/>
        </w:rPr>
      </w:pPr>
      <w:r w:rsidRPr="00A76C07">
        <w:rPr>
          <w:rFonts w:ascii="Wingdings" w:hAnsi="Wingdings"/>
          <w:noProof/>
        </w:rPr>
        <w:t></w:t>
      </w:r>
      <w:r w:rsidRPr="00A76C07">
        <w:rPr>
          <w:i/>
          <w:noProof/>
        </w:rPr>
        <w:t xml:space="preserve"> </w:t>
      </w:r>
      <w:r w:rsidRPr="00A76C07">
        <w:rPr>
          <w:b/>
          <w:noProof/>
        </w:rPr>
        <w:t>Posredno upravljanje</w:t>
      </w:r>
      <w:r w:rsidRPr="00A76C07">
        <w:rPr>
          <w:noProof/>
        </w:rPr>
        <w:t>, tako da se naloge izvrševanja proračuna poverijo:</w:t>
      </w:r>
    </w:p>
    <w:p w:rsidR="005E08AC" w:rsidRPr="00A76C07" w:rsidRDefault="005E08AC" w:rsidP="005E08AC">
      <w:pPr>
        <w:pStyle w:val="ListDash2"/>
        <w:rPr>
          <w:noProof/>
        </w:rPr>
      </w:pPr>
      <w:r w:rsidRPr="00A76C07">
        <w:rPr>
          <w:rFonts w:ascii="Wingdings" w:hAnsi="Wingdings"/>
          <w:noProof/>
        </w:rPr>
        <w:t></w:t>
      </w:r>
      <w:r w:rsidRPr="00A76C07">
        <w:rPr>
          <w:noProof/>
        </w:rPr>
        <w:t xml:space="preserve"> tretjim državam ali organom, ki jih te imenujejo</w:t>
      </w:r>
    </w:p>
    <w:p w:rsidR="005E08AC" w:rsidRPr="00A76C07" w:rsidRDefault="005E08AC" w:rsidP="005E08AC">
      <w:pPr>
        <w:pStyle w:val="ListDash2"/>
        <w:rPr>
          <w:noProof/>
        </w:rPr>
      </w:pPr>
      <w:r w:rsidRPr="00A76C07">
        <w:rPr>
          <w:rFonts w:ascii="Wingdings" w:hAnsi="Wingdings"/>
          <w:noProof/>
        </w:rPr>
        <w:t></w:t>
      </w:r>
      <w:r w:rsidRPr="00A76C07">
        <w:rPr>
          <w:noProof/>
        </w:rPr>
        <w:t xml:space="preserve"> mednarodnim organizacijam in njihovim agencijam (navedite)</w:t>
      </w:r>
    </w:p>
    <w:p w:rsidR="005E08AC" w:rsidRPr="00A76C07" w:rsidRDefault="005E08AC" w:rsidP="005E08AC">
      <w:pPr>
        <w:pStyle w:val="ListDash2"/>
        <w:rPr>
          <w:noProof/>
        </w:rPr>
      </w:pPr>
      <w:r w:rsidRPr="00A76C07">
        <w:rPr>
          <w:rFonts w:ascii="Wingdings" w:hAnsi="Wingdings"/>
          <w:noProof/>
        </w:rPr>
        <w:t></w:t>
      </w:r>
      <w:r w:rsidRPr="00A76C07">
        <w:rPr>
          <w:noProof/>
        </w:rPr>
        <w:t xml:space="preserve"> Evropski investicijski banki in Evropskemu investicijskemu skladu</w:t>
      </w:r>
    </w:p>
    <w:p w:rsidR="005E08AC" w:rsidRPr="00A76C07" w:rsidRDefault="005E08AC" w:rsidP="005E08AC">
      <w:pPr>
        <w:pStyle w:val="ListDash2"/>
        <w:rPr>
          <w:noProof/>
        </w:rPr>
      </w:pPr>
      <w:r w:rsidRPr="00A76C07">
        <w:rPr>
          <w:rFonts w:ascii="Wingdings" w:hAnsi="Wingdings"/>
          <w:noProof/>
        </w:rPr>
        <w:t></w:t>
      </w:r>
      <w:r w:rsidRPr="00A76C07">
        <w:rPr>
          <w:noProof/>
        </w:rPr>
        <w:t xml:space="preserve"> organom iz členov 70 in 71 finančne uredbe</w:t>
      </w:r>
    </w:p>
    <w:p w:rsidR="005E08AC" w:rsidRPr="00A76C07" w:rsidRDefault="005E08AC" w:rsidP="005E08AC">
      <w:pPr>
        <w:pStyle w:val="ListDash2"/>
        <w:rPr>
          <w:noProof/>
        </w:rPr>
      </w:pPr>
      <w:r w:rsidRPr="00A76C07">
        <w:rPr>
          <w:rFonts w:ascii="Wingdings" w:hAnsi="Wingdings"/>
          <w:noProof/>
        </w:rPr>
        <w:t></w:t>
      </w:r>
      <w:r w:rsidRPr="00A76C07">
        <w:rPr>
          <w:noProof/>
        </w:rPr>
        <w:t xml:space="preserve"> subjektom javnega prava</w:t>
      </w:r>
    </w:p>
    <w:p w:rsidR="005E08AC" w:rsidRPr="00A76C07" w:rsidRDefault="005E08AC" w:rsidP="005E08AC">
      <w:pPr>
        <w:pStyle w:val="ListDash2"/>
        <w:rPr>
          <w:noProof/>
        </w:rPr>
      </w:pPr>
      <w:r w:rsidRPr="00A76C07">
        <w:rPr>
          <w:rFonts w:ascii="Wingdings" w:hAnsi="Wingdings"/>
          <w:noProof/>
        </w:rPr>
        <w:t></w:t>
      </w:r>
      <w:r w:rsidRPr="00A76C07">
        <w:rPr>
          <w:noProof/>
        </w:rPr>
        <w:t xml:space="preserve"> subjektom zasebnega prava, ki opravljajo javne storitve, kolikor imajo ti subjekti ustrezna finančna jamstva</w:t>
      </w:r>
    </w:p>
    <w:p w:rsidR="005E08AC" w:rsidRPr="00A76C07" w:rsidRDefault="005E08AC" w:rsidP="005E08AC">
      <w:pPr>
        <w:pStyle w:val="ListDash2"/>
        <w:rPr>
          <w:noProof/>
        </w:rPr>
      </w:pPr>
      <w:r w:rsidRPr="00A76C07">
        <w:rPr>
          <w:rFonts w:ascii="Wingdings" w:hAnsi="Wingdings"/>
          <w:noProof/>
        </w:rPr>
        <w:t></w:t>
      </w:r>
      <w:r w:rsidRPr="00A76C07">
        <w:rPr>
          <w:noProof/>
        </w:rPr>
        <w:t xml:space="preserve"> subjektom zasebnega prava države članice, ki so pooblaščeni za izvajanje javno-zasebnih partnerstev in ki imajo ustrezna finančna jamstva</w:t>
      </w:r>
    </w:p>
    <w:p w:rsidR="005E08AC" w:rsidRPr="00A76C07" w:rsidRDefault="005E08AC" w:rsidP="005E08AC">
      <w:pPr>
        <w:pStyle w:val="ListDash2"/>
        <w:rPr>
          <w:noProof/>
        </w:rPr>
      </w:pPr>
      <w:r w:rsidRPr="00A76C07">
        <w:rPr>
          <w:rFonts w:ascii="Wingdings" w:hAnsi="Wingdings"/>
          <w:noProof/>
        </w:rPr>
        <w:t></w:t>
      </w:r>
      <w:r w:rsidRPr="00A76C07">
        <w:rPr>
          <w:noProof/>
        </w:rPr>
        <w:t xml:space="preserve"> organom ali osebam, pooblaščenim za izvajanje določenih ukrepov skupne zunanje in varnostne politike na podlagi naslova V Pogodbe o Evropski uniji ter opredeljenim v zadevnem temeljnem aktu</w:t>
      </w:r>
    </w:p>
    <w:p w:rsidR="005E08AC" w:rsidRPr="00A76C07" w:rsidRDefault="005E08AC" w:rsidP="005E08AC">
      <w:pPr>
        <w:pStyle w:val="ListDash2"/>
        <w:rPr>
          <w:noProof/>
        </w:rPr>
      </w:pPr>
      <w:r w:rsidRPr="00A76C07">
        <w:rPr>
          <w:rFonts w:ascii="Wingdings" w:hAnsi="Wingdings"/>
          <w:noProof/>
        </w:rPr>
        <w:t></w:t>
      </w:r>
      <w:r w:rsidRPr="00A76C07">
        <w:rPr>
          <w:noProof/>
        </w:rPr>
        <w:t xml:space="preserve"> 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javnega prava ali subjektov zasebnega prava, ki opravljajo javne storitve, in imajo ustrezna finančna jamstva v obliki solidarne odgovornosti nadzornih teles ali enakovredna finančna jamstva, ki so lahko za vsak ukrep omejena na najvišji znesek podpore Unije</w:t>
      </w:r>
    </w:p>
    <w:p w:rsidR="005E08AC" w:rsidRPr="00A76C07" w:rsidRDefault="005E08AC" w:rsidP="005E08AC">
      <w:pPr>
        <w:pBdr>
          <w:top w:val="single" w:sz="4" w:space="1" w:color="auto"/>
          <w:left w:val="single" w:sz="4" w:space="4" w:color="auto"/>
          <w:bottom w:val="single" w:sz="4" w:space="1" w:color="auto"/>
          <w:right w:val="single" w:sz="4" w:space="4" w:color="auto"/>
        </w:pBdr>
        <w:rPr>
          <w:noProof/>
        </w:rPr>
        <w:sectPr w:rsidR="005E08AC" w:rsidRPr="00A76C07" w:rsidSect="00746C9A">
          <w:pgSz w:w="11907" w:h="16840" w:code="9"/>
          <w:pgMar w:top="1134" w:right="1418" w:bottom="1134" w:left="1418" w:header="709" w:footer="709" w:gutter="0"/>
          <w:cols w:space="708"/>
          <w:docGrid w:linePitch="360"/>
        </w:sectPr>
      </w:pPr>
    </w:p>
    <w:p w:rsidR="005E08AC" w:rsidRPr="00A76C07" w:rsidRDefault="005E08AC" w:rsidP="005E08AC">
      <w:pPr>
        <w:pStyle w:val="ManualHeading1"/>
        <w:rPr>
          <w:bCs/>
          <w:noProof/>
          <w:szCs w:val="24"/>
        </w:rPr>
      </w:pPr>
      <w:bookmarkStart w:id="149" w:name="_Toc514938041"/>
      <w:bookmarkStart w:id="150" w:name="_Toc199239271"/>
      <w:r w:rsidRPr="00A76C07">
        <w:rPr>
          <w:noProof/>
        </w:rPr>
        <w:t>2.</w:t>
      </w:r>
      <w:r w:rsidRPr="00A76C07">
        <w:rPr>
          <w:noProof/>
        </w:rPr>
        <w:tab/>
        <w:t>UKREPI UPRAVLJANJA</w:t>
      </w:r>
      <w:bookmarkEnd w:id="149"/>
      <w:bookmarkEnd w:id="150"/>
      <w:r w:rsidRPr="00A76C07">
        <w:rPr>
          <w:noProof/>
        </w:rPr>
        <w:t xml:space="preserve"> </w:t>
      </w:r>
    </w:p>
    <w:p w:rsidR="005E08AC" w:rsidRPr="00A76C07" w:rsidRDefault="005E08AC" w:rsidP="005E08AC">
      <w:pPr>
        <w:pStyle w:val="ManualHeading2"/>
        <w:rPr>
          <w:noProof/>
        </w:rPr>
      </w:pPr>
      <w:bookmarkStart w:id="151" w:name="_Toc514938042"/>
      <w:bookmarkStart w:id="152" w:name="_Toc199239272"/>
      <w:r w:rsidRPr="00A76C07">
        <w:rPr>
          <w:noProof/>
        </w:rPr>
        <w:t>2.1</w:t>
      </w:r>
      <w:r w:rsidRPr="00A76C07">
        <w:rPr>
          <w:noProof/>
        </w:rPr>
        <w:tab/>
        <w:t>Pravila o spremljanju in poročanju</w:t>
      </w:r>
      <w:bookmarkEnd w:id="151"/>
      <w:bookmarkEnd w:id="152"/>
      <w:r w:rsidRPr="00A76C07">
        <w:rPr>
          <w:noProof/>
        </w:rPr>
        <w:t xml:space="preserve"> </w:t>
      </w:r>
    </w:p>
    <w:p w:rsidR="005E08AC" w:rsidRPr="00A76C07" w:rsidRDefault="005E08AC" w:rsidP="005E08AC">
      <w:pPr>
        <w:pStyle w:val="Text1"/>
        <w:rPr>
          <w:noProof/>
        </w:rPr>
      </w:pPr>
      <w:r w:rsidRPr="00A76C07">
        <w:rPr>
          <w:noProof/>
        </w:rPr>
        <w:t>Specify frequency and conditions.</w:t>
      </w:r>
    </w:p>
    <w:p w:rsidR="00B718F4" w:rsidRPr="00A76C07" w:rsidRDefault="00B718F4" w:rsidP="00B718F4">
      <w:pPr>
        <w:pStyle w:val="Text1"/>
        <w:pBdr>
          <w:top w:val="single" w:sz="4" w:space="1" w:color="auto"/>
          <w:left w:val="single" w:sz="4" w:space="4" w:color="auto"/>
          <w:bottom w:val="single" w:sz="4" w:space="1" w:color="auto"/>
          <w:right w:val="single" w:sz="4" w:space="4" w:color="auto"/>
        </w:pBdr>
        <w:rPr>
          <w:noProof/>
        </w:rPr>
      </w:pPr>
      <w:r w:rsidRPr="00A76C07">
        <w:rPr>
          <w:noProof/>
        </w:rPr>
        <w:t>Komisija mora najpozneje pet let po začetku veljavnosti te direktive Evropskemu parlamentu in Svetu predloži poročilo, v katerem oceni, v kakšnem obsegu so države članice sprejele ukrepe, potrebne za uskladitev s to direktivo.</w:t>
      </w:r>
    </w:p>
    <w:p w:rsidR="00B718F4" w:rsidRPr="00A76C07" w:rsidRDefault="00B718F4" w:rsidP="00B718F4">
      <w:pPr>
        <w:pStyle w:val="Text1"/>
        <w:pBdr>
          <w:top w:val="single" w:sz="4" w:space="1" w:color="auto"/>
          <w:left w:val="single" w:sz="4" w:space="4" w:color="auto"/>
          <w:bottom w:val="single" w:sz="4" w:space="1" w:color="auto"/>
          <w:right w:val="single" w:sz="4" w:space="4" w:color="auto"/>
        </w:pBdr>
        <w:rPr>
          <w:noProof/>
        </w:rPr>
      </w:pPr>
      <w:r w:rsidRPr="00A76C07">
        <w:rPr>
          <w:noProof/>
        </w:rPr>
        <w:t>Komisija mora najpozneje osem let po začetku veljavnosti te direktive izvesti oceno učinka te direktive [tudi ob upoštevanju razvoja dogodkov v okviru Sporazuma o BBNJ] ter Evropskemu parlamentu in Svetu predložiti poročilo. Poročilu je treba po potrebi priložiti zakonodajni predlog.</w:t>
      </w:r>
    </w:p>
    <w:p w:rsidR="005E08AC" w:rsidRPr="00A76C07" w:rsidRDefault="005E08AC" w:rsidP="005E08AC">
      <w:pPr>
        <w:pStyle w:val="ManualHeading2"/>
        <w:rPr>
          <w:bCs/>
          <w:noProof/>
          <w:szCs w:val="24"/>
        </w:rPr>
      </w:pPr>
      <w:bookmarkStart w:id="153" w:name="_Toc194499893"/>
      <w:bookmarkStart w:id="154" w:name="_Toc199239273"/>
      <w:r w:rsidRPr="00A76C07">
        <w:rPr>
          <w:noProof/>
        </w:rPr>
        <w:t>2.2</w:t>
      </w:r>
      <w:r w:rsidRPr="00A76C07">
        <w:rPr>
          <w:noProof/>
        </w:rPr>
        <w:tab/>
        <w:t>Upravljavski in kontrolni sistemi</w:t>
      </w:r>
      <w:bookmarkEnd w:id="153"/>
      <w:bookmarkEnd w:id="154"/>
      <w:r w:rsidRPr="00A76C07">
        <w:rPr>
          <w:noProof/>
        </w:rPr>
        <w:t xml:space="preserve"> </w:t>
      </w:r>
    </w:p>
    <w:p w:rsidR="005E08AC" w:rsidRPr="00A76C07" w:rsidRDefault="005E08AC" w:rsidP="005E08AC">
      <w:pPr>
        <w:pStyle w:val="ManualHeading3"/>
        <w:rPr>
          <w:noProof/>
        </w:rPr>
      </w:pPr>
      <w:bookmarkStart w:id="155" w:name="_Toc514938046"/>
      <w:bookmarkStart w:id="156" w:name="_Toc199239274"/>
      <w:r w:rsidRPr="00A76C07">
        <w:rPr>
          <w:noProof/>
        </w:rPr>
        <w:t>2.2.1</w:t>
      </w:r>
      <w:r w:rsidRPr="00A76C07">
        <w:rPr>
          <w:noProof/>
        </w:rPr>
        <w:tab/>
        <w:t>Utemeljitev načinov izvrševanja proračuna, mehanizmov financiranja, načinov plačevanja in predlagane strategije kontrol</w:t>
      </w:r>
      <w:bookmarkEnd w:id="155"/>
      <w:bookmarkEnd w:id="156"/>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 xml:space="preserve">Ni relevantno </w:t>
      </w:r>
    </w:p>
    <w:p w:rsidR="005E08AC" w:rsidRPr="00A76C07" w:rsidRDefault="005E08AC" w:rsidP="005E08AC">
      <w:pPr>
        <w:pStyle w:val="ManualHeading3"/>
        <w:rPr>
          <w:bCs/>
          <w:noProof/>
          <w:szCs w:val="24"/>
        </w:rPr>
      </w:pPr>
      <w:bookmarkStart w:id="157" w:name="_Toc514938047"/>
      <w:bookmarkStart w:id="158" w:name="_Toc199239275"/>
      <w:r w:rsidRPr="00A76C07">
        <w:rPr>
          <w:noProof/>
        </w:rPr>
        <w:t>2.2.2</w:t>
      </w:r>
      <w:r w:rsidRPr="00A76C07">
        <w:rPr>
          <w:noProof/>
        </w:rPr>
        <w:tab/>
        <w:t>Podatki o ugotovljenih tveganjih in vzpostavljenih sistemih notranjih kontrol za njihovo zmanjševanje</w:t>
      </w:r>
      <w:bookmarkEnd w:id="157"/>
      <w:bookmarkEnd w:id="158"/>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Na tej ravni niso bila ugotovljena nobena specifična tveganja.</w:t>
      </w:r>
    </w:p>
    <w:p w:rsidR="005E08AC" w:rsidRPr="00A76C07" w:rsidRDefault="005E08AC" w:rsidP="005E08AC">
      <w:pPr>
        <w:pStyle w:val="ManualHeading3"/>
        <w:rPr>
          <w:noProof/>
        </w:rPr>
      </w:pPr>
      <w:bookmarkStart w:id="159" w:name="_Toc514938048"/>
      <w:bookmarkStart w:id="160" w:name="_Toc199239276"/>
      <w:r w:rsidRPr="00A76C07">
        <w:rPr>
          <w:noProof/>
        </w:rPr>
        <w:t>2.2.3</w:t>
      </w:r>
      <w:r w:rsidRPr="00A76C07">
        <w:rPr>
          <w:noProof/>
        </w:rPr>
        <w:tab/>
        <w:t>Ocena in utemeljitev stroškovne učinkovitosti kontrol (razmerje med stroški kontrol in vrednostjo z njimi povezanih upravljanih sredstev) ter ocena pričakovane stopnje tveganja napake (ob plačilu in ob zaključku)</w:t>
      </w:r>
      <w:bookmarkEnd w:id="159"/>
      <w:bookmarkEnd w:id="160"/>
      <w:r w:rsidRPr="00A76C07">
        <w:rPr>
          <w:noProof/>
        </w:rPr>
        <w:t xml:space="preserve"> </w:t>
      </w:r>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Ni relevantno</w:t>
      </w:r>
    </w:p>
    <w:p w:rsidR="005E08AC" w:rsidRPr="00A76C07" w:rsidRDefault="005E08AC" w:rsidP="005E08AC">
      <w:pPr>
        <w:pStyle w:val="ManualHeading2"/>
        <w:rPr>
          <w:bCs/>
          <w:noProof/>
          <w:szCs w:val="24"/>
        </w:rPr>
      </w:pPr>
      <w:bookmarkStart w:id="161" w:name="_Toc514938049"/>
      <w:bookmarkStart w:id="162" w:name="_Toc199239277"/>
      <w:r w:rsidRPr="00A76C07">
        <w:rPr>
          <w:noProof/>
        </w:rPr>
        <w:t>2.3</w:t>
      </w:r>
      <w:r w:rsidRPr="00A76C07">
        <w:rPr>
          <w:noProof/>
        </w:rPr>
        <w:tab/>
        <w:t>Ukrepi za preprečevanje goljufij in nepravilnosti</w:t>
      </w:r>
      <w:bookmarkEnd w:id="161"/>
      <w:bookmarkEnd w:id="162"/>
      <w:r w:rsidRPr="00A76C07">
        <w:rPr>
          <w:noProof/>
        </w:rPr>
        <w:t xml:space="preserve"> </w:t>
      </w:r>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pPr>
      <w:r w:rsidRPr="00A76C07">
        <w:rPr>
          <w:noProof/>
        </w:rPr>
        <w:t>Ni relevantno</w:t>
      </w:r>
    </w:p>
    <w:p w:rsidR="005E08AC" w:rsidRPr="00A76C07" w:rsidRDefault="005E08AC" w:rsidP="005E08AC">
      <w:pPr>
        <w:pStyle w:val="Text1"/>
        <w:pBdr>
          <w:top w:val="single" w:sz="4" w:space="1" w:color="auto"/>
          <w:left w:val="single" w:sz="4" w:space="4" w:color="auto"/>
          <w:bottom w:val="single" w:sz="4" w:space="1" w:color="auto"/>
          <w:right w:val="single" w:sz="4" w:space="4" w:color="auto"/>
        </w:pBdr>
        <w:rPr>
          <w:noProof/>
        </w:rPr>
        <w:sectPr w:rsidR="005E08AC" w:rsidRPr="00A76C07" w:rsidSect="00746C9A">
          <w:pgSz w:w="11907" w:h="16840" w:code="9"/>
          <w:pgMar w:top="1134" w:right="1418" w:bottom="1134" w:left="1418" w:header="709" w:footer="709" w:gutter="0"/>
          <w:cols w:space="708"/>
          <w:docGrid w:linePitch="360"/>
        </w:sectPr>
      </w:pPr>
    </w:p>
    <w:p w:rsidR="005E08AC" w:rsidRPr="00A76C07" w:rsidRDefault="005E08AC" w:rsidP="005E08AC">
      <w:pPr>
        <w:pStyle w:val="ManualHeading1"/>
        <w:rPr>
          <w:bCs/>
          <w:noProof/>
          <w:szCs w:val="24"/>
        </w:rPr>
      </w:pPr>
      <w:bookmarkStart w:id="163" w:name="_Toc514938050"/>
      <w:bookmarkStart w:id="164" w:name="_Toc199239278"/>
      <w:r w:rsidRPr="00A76C07">
        <w:rPr>
          <w:noProof/>
        </w:rPr>
        <w:t>3.</w:t>
      </w:r>
      <w:r w:rsidRPr="00A76C07">
        <w:rPr>
          <w:noProof/>
        </w:rPr>
        <w:tab/>
        <w:t>OCENA FINANČNIH POSLEDIC PREDLOGA/POBUDE</w:t>
      </w:r>
      <w:bookmarkEnd w:id="163"/>
      <w:bookmarkEnd w:id="164"/>
      <w:r w:rsidRPr="00A76C07">
        <w:rPr>
          <w:noProof/>
        </w:rPr>
        <w:t xml:space="preserve"> </w:t>
      </w:r>
    </w:p>
    <w:p w:rsidR="005E08AC" w:rsidRPr="00A76C07" w:rsidRDefault="005E08AC" w:rsidP="005E08AC">
      <w:pPr>
        <w:pStyle w:val="ManualHeading2"/>
        <w:rPr>
          <w:noProof/>
        </w:rPr>
      </w:pPr>
      <w:bookmarkStart w:id="165" w:name="_Toc514938051"/>
      <w:bookmarkStart w:id="166" w:name="_Toc199239279"/>
      <w:r w:rsidRPr="00A76C07">
        <w:rPr>
          <w:noProof/>
        </w:rPr>
        <w:t>3.1</w:t>
      </w:r>
      <w:r w:rsidRPr="00A76C07">
        <w:rPr>
          <w:noProof/>
        </w:rPr>
        <w:tab/>
        <w:t>Zadevni razdelki večletnega finančnega okvira in odhodkovne proračunske vrstice</w:t>
      </w:r>
      <w:bookmarkEnd w:id="165"/>
      <w:bookmarkEnd w:id="166"/>
      <w:r w:rsidRPr="00A76C07">
        <w:rPr>
          <w:noProof/>
        </w:rPr>
        <w:t xml:space="preserve"> </w:t>
      </w:r>
    </w:p>
    <w:p w:rsidR="005E08AC" w:rsidRPr="00A76C07" w:rsidRDefault="005E08AC" w:rsidP="005E08AC">
      <w:pPr>
        <w:pStyle w:val="ListBullet1"/>
        <w:rPr>
          <w:noProof/>
        </w:rPr>
      </w:pPr>
      <w:r w:rsidRPr="00A76C07">
        <w:rPr>
          <w:noProof/>
        </w:rPr>
        <w:t xml:space="preserve">Obstoječe proračunske vrstice </w:t>
      </w:r>
    </w:p>
    <w:p w:rsidR="005E08AC" w:rsidRPr="00A76C07" w:rsidRDefault="005E08AC" w:rsidP="005E08AC">
      <w:pPr>
        <w:pStyle w:val="Text1"/>
        <w:rPr>
          <w:i/>
          <w:noProof/>
        </w:rPr>
      </w:pPr>
      <w:r w:rsidRPr="00A76C07">
        <w:rPr>
          <w:i/>
          <w:noProof/>
          <w:u w:val="single"/>
        </w:rPr>
        <w:t>Po vrstnem redu</w:t>
      </w:r>
      <w:r w:rsidRPr="00A76C07">
        <w:rPr>
          <w:i/>
          <w:noProof/>
        </w:rPr>
        <w:t xml:space="preserve"> razdelkov večletnega finančnega okvira in proračunskih vrstic</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9F647E" w:rsidRPr="00A76C07" w:rsidTr="42AA313F">
        <w:trPr>
          <w:jc w:val="center"/>
        </w:trPr>
        <w:tc>
          <w:tcPr>
            <w:tcW w:w="1092" w:type="dxa"/>
            <w:vMerge w:val="restart"/>
            <w:vAlign w:val="center"/>
          </w:tcPr>
          <w:p w:rsidR="005E08AC" w:rsidRPr="00A76C07" w:rsidRDefault="005E08AC">
            <w:pPr>
              <w:spacing w:before="60" w:after="60"/>
              <w:jc w:val="center"/>
              <w:rPr>
                <w:noProof/>
              </w:rPr>
            </w:pPr>
            <w:r w:rsidRPr="00A76C07">
              <w:rPr>
                <w:noProof/>
                <w:sz w:val="18"/>
              </w:rPr>
              <w:t>Razdelek večletnega finančnega okvira</w:t>
            </w:r>
          </w:p>
        </w:tc>
        <w:tc>
          <w:tcPr>
            <w:tcW w:w="4002" w:type="dxa"/>
            <w:vAlign w:val="center"/>
          </w:tcPr>
          <w:p w:rsidR="005E08AC" w:rsidRPr="00A76C07" w:rsidRDefault="005E08AC">
            <w:pPr>
              <w:spacing w:before="60" w:after="60"/>
              <w:jc w:val="center"/>
              <w:rPr>
                <w:noProof/>
              </w:rPr>
            </w:pPr>
            <w:r w:rsidRPr="00A76C07">
              <w:rPr>
                <w:noProof/>
                <w:sz w:val="20"/>
              </w:rPr>
              <w:t>Proračunska vrstica</w:t>
            </w:r>
          </w:p>
        </w:tc>
        <w:tc>
          <w:tcPr>
            <w:tcW w:w="1092" w:type="dxa"/>
            <w:vAlign w:val="center"/>
          </w:tcPr>
          <w:p w:rsidR="005E08AC" w:rsidRPr="00A76C07" w:rsidRDefault="005E08AC">
            <w:pPr>
              <w:spacing w:before="60" w:after="60"/>
              <w:jc w:val="center"/>
              <w:rPr>
                <w:noProof/>
              </w:rPr>
            </w:pPr>
            <w:r w:rsidRPr="00A76C07">
              <w:rPr>
                <w:noProof/>
                <w:sz w:val="18"/>
              </w:rPr>
              <w:t>Vrsta odhodkov</w:t>
            </w:r>
          </w:p>
        </w:tc>
        <w:tc>
          <w:tcPr>
            <w:tcW w:w="4487" w:type="dxa"/>
            <w:gridSpan w:val="4"/>
            <w:vAlign w:val="center"/>
          </w:tcPr>
          <w:p w:rsidR="005E08AC" w:rsidRPr="00A76C07" w:rsidRDefault="005E08AC">
            <w:pPr>
              <w:spacing w:before="60" w:after="60"/>
              <w:jc w:val="center"/>
              <w:rPr>
                <w:noProof/>
              </w:rPr>
            </w:pPr>
            <w:r w:rsidRPr="00A76C07">
              <w:rPr>
                <w:noProof/>
                <w:sz w:val="20"/>
              </w:rPr>
              <w:t xml:space="preserve">Prispevek </w:t>
            </w:r>
          </w:p>
        </w:tc>
      </w:tr>
      <w:tr w:rsidR="009F647E" w:rsidRPr="00A76C07" w:rsidTr="42AA313F">
        <w:trPr>
          <w:cantSplit/>
          <w:trHeight w:val="2719"/>
          <w:jc w:val="center"/>
        </w:trPr>
        <w:tc>
          <w:tcPr>
            <w:tcW w:w="1092" w:type="dxa"/>
            <w:vMerge/>
            <w:vAlign w:val="center"/>
          </w:tcPr>
          <w:p w:rsidR="005E08AC" w:rsidRPr="00A76C07" w:rsidRDefault="005E08AC">
            <w:pPr>
              <w:jc w:val="center"/>
              <w:rPr>
                <w:noProof/>
              </w:rPr>
            </w:pPr>
          </w:p>
        </w:tc>
        <w:tc>
          <w:tcPr>
            <w:tcW w:w="4002" w:type="dxa"/>
            <w:vAlign w:val="center"/>
          </w:tcPr>
          <w:p w:rsidR="005E08AC" w:rsidRPr="00A76C07" w:rsidRDefault="005E08AC">
            <w:pPr>
              <w:rPr>
                <w:noProof/>
              </w:rPr>
            </w:pPr>
            <w:r w:rsidRPr="00A76C07">
              <w:rPr>
                <w:noProof/>
                <w:sz w:val="20"/>
              </w:rPr>
              <w:t xml:space="preserve">številka </w:t>
            </w:r>
            <w:r w:rsidRPr="00A76C07">
              <w:rPr>
                <w:noProof/>
              </w:rPr>
              <w:t xml:space="preserve"> </w:t>
            </w:r>
            <w:r w:rsidRPr="00A76C07">
              <w:rPr>
                <w:noProof/>
              </w:rPr>
              <w:br/>
            </w:r>
          </w:p>
        </w:tc>
        <w:tc>
          <w:tcPr>
            <w:tcW w:w="1092" w:type="dxa"/>
            <w:vAlign w:val="center"/>
          </w:tcPr>
          <w:p w:rsidR="005E08AC" w:rsidRPr="00A76C07" w:rsidRDefault="2DB89802">
            <w:pPr>
              <w:jc w:val="center"/>
              <w:rPr>
                <w:noProof/>
              </w:rPr>
            </w:pPr>
            <w:r w:rsidRPr="00A76C07">
              <w:rPr>
                <w:noProof/>
                <w:sz w:val="18"/>
              </w:rPr>
              <w:t>dif./nedif</w:t>
            </w:r>
            <w:r w:rsidRPr="00A76C07">
              <w:rPr>
                <w:rStyle w:val="FootnoteReference"/>
                <w:noProof/>
                <w:sz w:val="18"/>
                <w:szCs w:val="18"/>
              </w:rPr>
              <w:footnoteReference w:id="25"/>
            </w:r>
            <w:r w:rsidRPr="00A76C07">
              <w:rPr>
                <w:noProof/>
              </w:rPr>
              <w:t>.</w:t>
            </w:r>
          </w:p>
        </w:tc>
        <w:tc>
          <w:tcPr>
            <w:tcW w:w="966" w:type="dxa"/>
            <w:vAlign w:val="center"/>
          </w:tcPr>
          <w:p w:rsidR="005E08AC" w:rsidRPr="00A76C07" w:rsidRDefault="2DB89802">
            <w:pPr>
              <w:jc w:val="center"/>
              <w:rPr>
                <w:b/>
                <w:noProof/>
                <w:sz w:val="18"/>
              </w:rPr>
            </w:pPr>
            <w:r w:rsidRPr="00A76C07">
              <w:rPr>
                <w:noProof/>
                <w:sz w:val="18"/>
              </w:rPr>
              <w:t>držav Efte</w:t>
            </w:r>
            <w:r w:rsidRPr="00A76C07">
              <w:rPr>
                <w:rStyle w:val="FootnoteReference"/>
                <w:noProof/>
                <w:sz w:val="18"/>
                <w:szCs w:val="18"/>
              </w:rPr>
              <w:footnoteReference w:id="26"/>
            </w:r>
          </w:p>
        </w:tc>
        <w:tc>
          <w:tcPr>
            <w:tcW w:w="1092" w:type="dxa"/>
            <w:vAlign w:val="center"/>
          </w:tcPr>
          <w:p w:rsidR="005E08AC" w:rsidRPr="00A76C07" w:rsidRDefault="2DB89802">
            <w:pPr>
              <w:jc w:val="center"/>
              <w:rPr>
                <w:noProof/>
                <w:sz w:val="18"/>
              </w:rPr>
            </w:pPr>
            <w:r w:rsidRPr="00A76C07">
              <w:rPr>
                <w:noProof/>
                <w:sz w:val="18"/>
              </w:rPr>
              <w:t>držav kandidatk in potencialnih kandidatk</w:t>
            </w:r>
            <w:r w:rsidRPr="00A76C07">
              <w:rPr>
                <w:rStyle w:val="FootnoteReference"/>
                <w:noProof/>
                <w:sz w:val="18"/>
                <w:szCs w:val="18"/>
              </w:rPr>
              <w:footnoteReference w:id="27"/>
            </w:r>
          </w:p>
        </w:tc>
        <w:tc>
          <w:tcPr>
            <w:tcW w:w="966" w:type="dxa"/>
            <w:vAlign w:val="center"/>
          </w:tcPr>
          <w:p w:rsidR="005E08AC" w:rsidRPr="00A76C07" w:rsidRDefault="005E08AC">
            <w:pPr>
              <w:jc w:val="center"/>
              <w:rPr>
                <w:noProof/>
                <w:sz w:val="18"/>
              </w:rPr>
            </w:pPr>
            <w:r w:rsidRPr="00A76C07">
              <w:rPr>
                <w:noProof/>
                <w:sz w:val="18"/>
              </w:rPr>
              <w:t>drugih tretjih držav</w:t>
            </w:r>
          </w:p>
        </w:tc>
        <w:tc>
          <w:tcPr>
            <w:tcW w:w="1463" w:type="dxa"/>
            <w:vAlign w:val="center"/>
          </w:tcPr>
          <w:p w:rsidR="005E08AC" w:rsidRPr="00A76C07" w:rsidRDefault="005E08AC">
            <w:pPr>
              <w:jc w:val="center"/>
              <w:rPr>
                <w:noProof/>
              </w:rPr>
            </w:pPr>
            <w:r w:rsidRPr="00A76C07">
              <w:rPr>
                <w:noProof/>
                <w:sz w:val="18"/>
              </w:rPr>
              <w:t>drugi namenski prejemki</w:t>
            </w:r>
          </w:p>
        </w:tc>
      </w:tr>
      <w:tr w:rsidR="009F647E" w:rsidRPr="00A76C07" w:rsidTr="42AA313F">
        <w:trPr>
          <w:jc w:val="center"/>
        </w:trPr>
        <w:tc>
          <w:tcPr>
            <w:tcW w:w="1092" w:type="dxa"/>
            <w:vAlign w:val="center"/>
          </w:tcPr>
          <w:p w:rsidR="005E08AC" w:rsidRPr="00A76C07" w:rsidRDefault="005E08AC">
            <w:pPr>
              <w:jc w:val="center"/>
              <w:rPr>
                <w:noProof/>
              </w:rPr>
            </w:pPr>
          </w:p>
        </w:tc>
        <w:tc>
          <w:tcPr>
            <w:tcW w:w="4002" w:type="dxa"/>
            <w:vAlign w:val="center"/>
          </w:tcPr>
          <w:p w:rsidR="005E08AC" w:rsidRPr="00A76C07" w:rsidRDefault="005E08AC">
            <w:pPr>
              <w:spacing w:after="60"/>
              <w:jc w:val="left"/>
              <w:rPr>
                <w:noProof/>
              </w:rPr>
            </w:pPr>
          </w:p>
        </w:tc>
        <w:tc>
          <w:tcPr>
            <w:tcW w:w="1092" w:type="dxa"/>
            <w:vAlign w:val="center"/>
          </w:tcPr>
          <w:p w:rsidR="005E08AC" w:rsidRPr="00A76C07" w:rsidRDefault="005E08AC">
            <w:pPr>
              <w:jc w:val="center"/>
              <w:rPr>
                <w:noProof/>
              </w:rPr>
            </w:pPr>
            <w:r w:rsidRPr="00A76C07">
              <w:rPr>
                <w:noProof/>
                <w:sz w:val="22"/>
              </w:rPr>
              <w:t>dif.</w:t>
            </w:r>
          </w:p>
        </w:tc>
        <w:tc>
          <w:tcPr>
            <w:tcW w:w="966" w:type="dxa"/>
            <w:vAlign w:val="center"/>
          </w:tcPr>
          <w:p w:rsidR="005E08AC" w:rsidRPr="00A76C07" w:rsidRDefault="005E08AC">
            <w:pPr>
              <w:jc w:val="center"/>
              <w:rPr>
                <w:noProof/>
                <w:sz w:val="20"/>
                <w:szCs w:val="20"/>
              </w:rPr>
            </w:pPr>
            <w:r w:rsidRPr="00A76C07">
              <w:rPr>
                <w:noProof/>
                <w:sz w:val="20"/>
              </w:rPr>
              <w:t>NE</w:t>
            </w:r>
          </w:p>
        </w:tc>
        <w:tc>
          <w:tcPr>
            <w:tcW w:w="1092" w:type="dxa"/>
            <w:vAlign w:val="center"/>
          </w:tcPr>
          <w:p w:rsidR="005E08AC" w:rsidRPr="00A76C07" w:rsidRDefault="005E08AC">
            <w:pPr>
              <w:jc w:val="center"/>
              <w:rPr>
                <w:noProof/>
                <w:sz w:val="20"/>
                <w:szCs w:val="20"/>
              </w:rPr>
            </w:pPr>
            <w:r w:rsidRPr="00A76C07">
              <w:rPr>
                <w:noProof/>
                <w:sz w:val="20"/>
              </w:rPr>
              <w:t>NE</w:t>
            </w:r>
          </w:p>
        </w:tc>
        <w:tc>
          <w:tcPr>
            <w:tcW w:w="966" w:type="dxa"/>
            <w:vAlign w:val="center"/>
          </w:tcPr>
          <w:p w:rsidR="005E08AC" w:rsidRPr="00A76C07" w:rsidRDefault="005E08AC">
            <w:pPr>
              <w:jc w:val="center"/>
              <w:rPr>
                <w:noProof/>
                <w:sz w:val="20"/>
                <w:szCs w:val="20"/>
              </w:rPr>
            </w:pPr>
            <w:r w:rsidRPr="00A76C07">
              <w:rPr>
                <w:noProof/>
                <w:sz w:val="20"/>
              </w:rPr>
              <w:t>NE</w:t>
            </w:r>
          </w:p>
        </w:tc>
        <w:tc>
          <w:tcPr>
            <w:tcW w:w="1463" w:type="dxa"/>
            <w:vAlign w:val="center"/>
          </w:tcPr>
          <w:p w:rsidR="005E08AC" w:rsidRPr="00A76C07" w:rsidRDefault="005E08AC">
            <w:pPr>
              <w:jc w:val="center"/>
              <w:rPr>
                <w:noProof/>
                <w:sz w:val="20"/>
                <w:szCs w:val="20"/>
              </w:rPr>
            </w:pPr>
            <w:r w:rsidRPr="00A76C07">
              <w:rPr>
                <w:noProof/>
                <w:sz w:val="20"/>
              </w:rPr>
              <w:t>NE</w:t>
            </w:r>
          </w:p>
        </w:tc>
      </w:tr>
      <w:tr w:rsidR="009F647E" w:rsidRPr="00A76C07" w:rsidTr="42AA313F">
        <w:trPr>
          <w:jc w:val="center"/>
        </w:trPr>
        <w:tc>
          <w:tcPr>
            <w:tcW w:w="1092" w:type="dxa"/>
            <w:vAlign w:val="center"/>
          </w:tcPr>
          <w:p w:rsidR="005E08AC" w:rsidRPr="00A76C07" w:rsidRDefault="005E08AC">
            <w:pPr>
              <w:jc w:val="center"/>
              <w:rPr>
                <w:noProof/>
              </w:rPr>
            </w:pPr>
            <w:r w:rsidRPr="00A76C07">
              <w:rPr>
                <w:noProof/>
              </w:rPr>
              <w:t>7</w:t>
            </w:r>
          </w:p>
        </w:tc>
        <w:tc>
          <w:tcPr>
            <w:tcW w:w="4002" w:type="dxa"/>
            <w:vAlign w:val="center"/>
          </w:tcPr>
          <w:p w:rsidR="005E08AC" w:rsidRPr="00A76C07" w:rsidRDefault="005E08AC">
            <w:pPr>
              <w:spacing w:after="60"/>
              <w:rPr>
                <w:noProof/>
              </w:rPr>
            </w:pPr>
            <w:r w:rsidRPr="00A76C07">
              <w:rPr>
                <w:noProof/>
                <w:sz w:val="22"/>
              </w:rPr>
              <w:t xml:space="preserve">Evropska javna uprava </w:t>
            </w:r>
          </w:p>
        </w:tc>
        <w:tc>
          <w:tcPr>
            <w:tcW w:w="1092" w:type="dxa"/>
            <w:vAlign w:val="center"/>
          </w:tcPr>
          <w:p w:rsidR="005E08AC" w:rsidRPr="00A76C07" w:rsidRDefault="005E08AC">
            <w:pPr>
              <w:jc w:val="center"/>
              <w:rPr>
                <w:noProof/>
              </w:rPr>
            </w:pPr>
            <w:r w:rsidRPr="00A76C07">
              <w:rPr>
                <w:noProof/>
                <w:sz w:val="22"/>
              </w:rPr>
              <w:t>dif.</w:t>
            </w:r>
          </w:p>
        </w:tc>
        <w:tc>
          <w:tcPr>
            <w:tcW w:w="966" w:type="dxa"/>
            <w:vAlign w:val="center"/>
          </w:tcPr>
          <w:p w:rsidR="005E08AC" w:rsidRPr="00A76C07" w:rsidRDefault="005E08AC">
            <w:pPr>
              <w:jc w:val="center"/>
              <w:rPr>
                <w:noProof/>
                <w:sz w:val="20"/>
                <w:szCs w:val="20"/>
              </w:rPr>
            </w:pPr>
            <w:r w:rsidRPr="00A76C07">
              <w:rPr>
                <w:noProof/>
                <w:sz w:val="20"/>
              </w:rPr>
              <w:t>NE</w:t>
            </w:r>
          </w:p>
        </w:tc>
        <w:tc>
          <w:tcPr>
            <w:tcW w:w="1092" w:type="dxa"/>
            <w:vAlign w:val="center"/>
          </w:tcPr>
          <w:p w:rsidR="005E08AC" w:rsidRPr="00A76C07" w:rsidRDefault="005E08AC">
            <w:pPr>
              <w:jc w:val="center"/>
              <w:rPr>
                <w:noProof/>
                <w:sz w:val="20"/>
                <w:szCs w:val="20"/>
              </w:rPr>
            </w:pPr>
            <w:r w:rsidRPr="00A76C07">
              <w:rPr>
                <w:noProof/>
                <w:sz w:val="20"/>
              </w:rPr>
              <w:t>NE</w:t>
            </w:r>
          </w:p>
        </w:tc>
        <w:tc>
          <w:tcPr>
            <w:tcW w:w="966" w:type="dxa"/>
            <w:vAlign w:val="center"/>
          </w:tcPr>
          <w:p w:rsidR="005E08AC" w:rsidRPr="00A76C07" w:rsidRDefault="005E08AC">
            <w:pPr>
              <w:jc w:val="center"/>
              <w:rPr>
                <w:noProof/>
                <w:sz w:val="20"/>
                <w:szCs w:val="20"/>
              </w:rPr>
            </w:pPr>
            <w:r w:rsidRPr="00A76C07">
              <w:rPr>
                <w:noProof/>
                <w:sz w:val="20"/>
              </w:rPr>
              <w:t>NE</w:t>
            </w:r>
          </w:p>
        </w:tc>
        <w:tc>
          <w:tcPr>
            <w:tcW w:w="1463" w:type="dxa"/>
            <w:vAlign w:val="center"/>
          </w:tcPr>
          <w:p w:rsidR="005E08AC" w:rsidRPr="00A76C07" w:rsidRDefault="005E08AC">
            <w:pPr>
              <w:jc w:val="center"/>
              <w:rPr>
                <w:noProof/>
                <w:sz w:val="20"/>
                <w:szCs w:val="20"/>
              </w:rPr>
            </w:pPr>
            <w:r w:rsidRPr="00A76C07">
              <w:rPr>
                <w:noProof/>
                <w:sz w:val="20"/>
              </w:rPr>
              <w:t>NE</w:t>
            </w:r>
          </w:p>
        </w:tc>
      </w:tr>
    </w:tbl>
    <w:p w:rsidR="005E08AC" w:rsidRPr="00A76C07" w:rsidRDefault="005E08AC" w:rsidP="005E08AC">
      <w:pPr>
        <w:pStyle w:val="ListBullet1"/>
        <w:rPr>
          <w:noProof/>
        </w:rPr>
      </w:pPr>
      <w:r w:rsidRPr="00A76C07">
        <w:rPr>
          <w:noProof/>
        </w:rPr>
        <w:t xml:space="preserve">Zahtevane nove proračunske vrstice </w:t>
      </w:r>
    </w:p>
    <w:p w:rsidR="005E08AC" w:rsidRPr="00A76C07" w:rsidRDefault="005E08AC" w:rsidP="005E08AC">
      <w:pPr>
        <w:pStyle w:val="Text1"/>
        <w:rPr>
          <w:i/>
          <w:noProof/>
          <w:sz w:val="20"/>
        </w:rPr>
      </w:pPr>
      <w:r w:rsidRPr="00A76C07">
        <w:rPr>
          <w:i/>
          <w:noProof/>
          <w:u w:val="single"/>
        </w:rPr>
        <w:t>Po vrstnem redu</w:t>
      </w:r>
      <w:r w:rsidRPr="00A76C07">
        <w:rPr>
          <w:i/>
          <w:noProof/>
        </w:rPr>
        <w:t xml:space="preserve"> razdelkov večletnega finančnega okvira in proračunskih vrstic</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9F647E" w:rsidRPr="00A76C07">
        <w:trPr>
          <w:jc w:val="center"/>
        </w:trPr>
        <w:tc>
          <w:tcPr>
            <w:tcW w:w="1092" w:type="dxa"/>
            <w:vMerge w:val="restart"/>
            <w:vAlign w:val="center"/>
          </w:tcPr>
          <w:p w:rsidR="005E08AC" w:rsidRPr="00A76C07" w:rsidRDefault="005E08AC">
            <w:pPr>
              <w:spacing w:before="60" w:after="60"/>
              <w:jc w:val="center"/>
              <w:rPr>
                <w:noProof/>
                <w:sz w:val="18"/>
                <w:szCs w:val="18"/>
              </w:rPr>
            </w:pPr>
            <w:r w:rsidRPr="00A76C07">
              <w:rPr>
                <w:noProof/>
                <w:sz w:val="18"/>
              </w:rPr>
              <w:t>Razdelek večletnega finančnega okvira</w:t>
            </w:r>
          </w:p>
        </w:tc>
        <w:tc>
          <w:tcPr>
            <w:tcW w:w="4002" w:type="dxa"/>
            <w:vAlign w:val="center"/>
          </w:tcPr>
          <w:p w:rsidR="005E08AC" w:rsidRPr="00A76C07" w:rsidRDefault="005E08AC">
            <w:pPr>
              <w:spacing w:before="60" w:after="60"/>
              <w:jc w:val="center"/>
              <w:rPr>
                <w:noProof/>
              </w:rPr>
            </w:pPr>
            <w:r w:rsidRPr="00A76C07">
              <w:rPr>
                <w:noProof/>
                <w:sz w:val="20"/>
              </w:rPr>
              <w:t>Proračunska vrstica</w:t>
            </w:r>
          </w:p>
        </w:tc>
        <w:tc>
          <w:tcPr>
            <w:tcW w:w="1092" w:type="dxa"/>
            <w:vAlign w:val="center"/>
          </w:tcPr>
          <w:p w:rsidR="005E08AC" w:rsidRPr="00A76C07" w:rsidRDefault="005E08AC">
            <w:pPr>
              <w:spacing w:before="60" w:after="60"/>
              <w:jc w:val="center"/>
              <w:rPr>
                <w:noProof/>
              </w:rPr>
            </w:pPr>
            <w:r w:rsidRPr="00A76C07">
              <w:rPr>
                <w:noProof/>
                <w:sz w:val="18"/>
              </w:rPr>
              <w:t>Vrsta odhodkov</w:t>
            </w:r>
          </w:p>
        </w:tc>
        <w:tc>
          <w:tcPr>
            <w:tcW w:w="4487" w:type="dxa"/>
            <w:gridSpan w:val="4"/>
            <w:vAlign w:val="center"/>
          </w:tcPr>
          <w:p w:rsidR="005E08AC" w:rsidRPr="00A76C07" w:rsidRDefault="005E08AC">
            <w:pPr>
              <w:spacing w:before="60" w:after="60"/>
              <w:jc w:val="center"/>
              <w:rPr>
                <w:noProof/>
              </w:rPr>
            </w:pPr>
            <w:r w:rsidRPr="00A76C07">
              <w:rPr>
                <w:noProof/>
                <w:sz w:val="20"/>
              </w:rPr>
              <w:t xml:space="preserve">Prispevek </w:t>
            </w:r>
          </w:p>
        </w:tc>
      </w:tr>
      <w:tr w:rsidR="009F647E" w:rsidRPr="00A76C07">
        <w:trPr>
          <w:cantSplit/>
          <w:jc w:val="center"/>
        </w:trPr>
        <w:tc>
          <w:tcPr>
            <w:tcW w:w="1092" w:type="dxa"/>
            <w:vMerge/>
            <w:vAlign w:val="center"/>
          </w:tcPr>
          <w:p w:rsidR="005E08AC" w:rsidRPr="00A76C07" w:rsidRDefault="005E08AC">
            <w:pPr>
              <w:jc w:val="center"/>
              <w:rPr>
                <w:noProof/>
              </w:rPr>
            </w:pPr>
          </w:p>
        </w:tc>
        <w:tc>
          <w:tcPr>
            <w:tcW w:w="4002" w:type="dxa"/>
            <w:vAlign w:val="center"/>
          </w:tcPr>
          <w:p w:rsidR="005E08AC" w:rsidRPr="00A76C07" w:rsidRDefault="005E08AC">
            <w:pPr>
              <w:rPr>
                <w:noProof/>
              </w:rPr>
            </w:pPr>
            <w:r w:rsidRPr="00A76C07">
              <w:rPr>
                <w:noProof/>
                <w:sz w:val="20"/>
              </w:rPr>
              <w:t xml:space="preserve">številka </w:t>
            </w:r>
            <w:r w:rsidRPr="00A76C07">
              <w:rPr>
                <w:noProof/>
              </w:rPr>
              <w:t xml:space="preserve"> </w:t>
            </w:r>
            <w:r w:rsidRPr="00A76C07">
              <w:rPr>
                <w:noProof/>
              </w:rPr>
              <w:br/>
            </w:r>
          </w:p>
        </w:tc>
        <w:tc>
          <w:tcPr>
            <w:tcW w:w="1092" w:type="dxa"/>
            <w:vAlign w:val="center"/>
          </w:tcPr>
          <w:p w:rsidR="005E08AC" w:rsidRPr="00A76C07" w:rsidRDefault="005E08AC">
            <w:pPr>
              <w:jc w:val="center"/>
              <w:rPr>
                <w:noProof/>
              </w:rPr>
            </w:pPr>
            <w:r w:rsidRPr="00A76C07">
              <w:rPr>
                <w:noProof/>
                <w:sz w:val="18"/>
              </w:rPr>
              <w:t>dif./nedif.</w:t>
            </w:r>
          </w:p>
        </w:tc>
        <w:tc>
          <w:tcPr>
            <w:tcW w:w="966" w:type="dxa"/>
            <w:vAlign w:val="center"/>
          </w:tcPr>
          <w:p w:rsidR="005E08AC" w:rsidRPr="00A76C07" w:rsidRDefault="005E08AC">
            <w:pPr>
              <w:jc w:val="center"/>
              <w:rPr>
                <w:noProof/>
                <w:sz w:val="18"/>
              </w:rPr>
            </w:pPr>
            <w:r w:rsidRPr="00A76C07">
              <w:rPr>
                <w:noProof/>
                <w:sz w:val="18"/>
              </w:rPr>
              <w:t>držav Efte</w:t>
            </w:r>
          </w:p>
        </w:tc>
        <w:tc>
          <w:tcPr>
            <w:tcW w:w="1092" w:type="dxa"/>
            <w:vAlign w:val="center"/>
          </w:tcPr>
          <w:p w:rsidR="005E08AC" w:rsidRPr="00A76C07" w:rsidRDefault="005E08AC">
            <w:pPr>
              <w:jc w:val="center"/>
              <w:rPr>
                <w:noProof/>
                <w:sz w:val="18"/>
              </w:rPr>
            </w:pPr>
            <w:r w:rsidRPr="00A76C07">
              <w:rPr>
                <w:noProof/>
                <w:sz w:val="18"/>
              </w:rPr>
              <w:t>držav kandidatk in potencialnih kandidatk</w:t>
            </w:r>
          </w:p>
        </w:tc>
        <w:tc>
          <w:tcPr>
            <w:tcW w:w="966" w:type="dxa"/>
            <w:vAlign w:val="center"/>
          </w:tcPr>
          <w:p w:rsidR="005E08AC" w:rsidRPr="00A76C07" w:rsidRDefault="005E08AC">
            <w:pPr>
              <w:jc w:val="center"/>
              <w:rPr>
                <w:noProof/>
                <w:sz w:val="18"/>
              </w:rPr>
            </w:pPr>
            <w:r w:rsidRPr="00A76C07">
              <w:rPr>
                <w:noProof/>
                <w:sz w:val="18"/>
              </w:rPr>
              <w:t>drugih tretjih držav</w:t>
            </w:r>
          </w:p>
        </w:tc>
        <w:tc>
          <w:tcPr>
            <w:tcW w:w="1463" w:type="dxa"/>
            <w:vAlign w:val="center"/>
          </w:tcPr>
          <w:p w:rsidR="005E08AC" w:rsidRPr="00A76C07" w:rsidRDefault="005E08AC">
            <w:pPr>
              <w:jc w:val="center"/>
              <w:rPr>
                <w:noProof/>
              </w:rPr>
            </w:pPr>
            <w:r w:rsidRPr="00A76C07">
              <w:rPr>
                <w:noProof/>
                <w:sz w:val="18"/>
              </w:rPr>
              <w:t xml:space="preserve">drugi namenski prejemki </w:t>
            </w:r>
          </w:p>
        </w:tc>
      </w:tr>
      <w:tr w:rsidR="005507A1" w:rsidRPr="00A76C07">
        <w:trPr>
          <w:cantSplit/>
          <w:jc w:val="center"/>
        </w:trPr>
        <w:tc>
          <w:tcPr>
            <w:tcW w:w="1092" w:type="dxa"/>
            <w:vAlign w:val="center"/>
          </w:tcPr>
          <w:p w:rsidR="005E08AC" w:rsidRPr="00A76C07" w:rsidRDefault="005E08AC">
            <w:pPr>
              <w:jc w:val="center"/>
              <w:rPr>
                <w:noProof/>
              </w:rPr>
            </w:pPr>
          </w:p>
        </w:tc>
        <w:tc>
          <w:tcPr>
            <w:tcW w:w="4002" w:type="dxa"/>
            <w:vAlign w:val="center"/>
          </w:tcPr>
          <w:p w:rsidR="005E08AC" w:rsidRPr="00A76C07" w:rsidRDefault="005E08AC">
            <w:pPr>
              <w:spacing w:after="60"/>
              <w:rPr>
                <w:noProof/>
              </w:rPr>
            </w:pPr>
          </w:p>
        </w:tc>
        <w:tc>
          <w:tcPr>
            <w:tcW w:w="1092" w:type="dxa"/>
            <w:vAlign w:val="center"/>
          </w:tcPr>
          <w:p w:rsidR="005E08AC" w:rsidRPr="00A76C07" w:rsidRDefault="005E08AC">
            <w:pPr>
              <w:jc w:val="center"/>
              <w:rPr>
                <w:noProof/>
              </w:rPr>
            </w:pPr>
          </w:p>
        </w:tc>
        <w:tc>
          <w:tcPr>
            <w:tcW w:w="966" w:type="dxa"/>
            <w:vAlign w:val="center"/>
          </w:tcPr>
          <w:p w:rsidR="005E08AC" w:rsidRPr="00A76C07" w:rsidRDefault="005E08AC">
            <w:pPr>
              <w:jc w:val="center"/>
              <w:rPr>
                <w:noProof/>
                <w:sz w:val="20"/>
                <w:szCs w:val="20"/>
              </w:rPr>
            </w:pPr>
          </w:p>
        </w:tc>
        <w:tc>
          <w:tcPr>
            <w:tcW w:w="1092" w:type="dxa"/>
            <w:vAlign w:val="center"/>
          </w:tcPr>
          <w:p w:rsidR="005E08AC" w:rsidRPr="00A76C07" w:rsidRDefault="005E08AC">
            <w:pPr>
              <w:jc w:val="center"/>
              <w:rPr>
                <w:noProof/>
                <w:sz w:val="20"/>
                <w:szCs w:val="20"/>
              </w:rPr>
            </w:pPr>
          </w:p>
        </w:tc>
        <w:tc>
          <w:tcPr>
            <w:tcW w:w="966" w:type="dxa"/>
            <w:vAlign w:val="center"/>
          </w:tcPr>
          <w:p w:rsidR="005E08AC" w:rsidRPr="00A76C07" w:rsidRDefault="005E08AC">
            <w:pPr>
              <w:jc w:val="center"/>
              <w:rPr>
                <w:noProof/>
                <w:sz w:val="20"/>
                <w:szCs w:val="20"/>
              </w:rPr>
            </w:pPr>
          </w:p>
        </w:tc>
        <w:tc>
          <w:tcPr>
            <w:tcW w:w="1463" w:type="dxa"/>
            <w:vAlign w:val="center"/>
          </w:tcPr>
          <w:p w:rsidR="005E08AC" w:rsidRPr="00A76C07" w:rsidRDefault="005E08AC">
            <w:pPr>
              <w:jc w:val="center"/>
              <w:rPr>
                <w:noProof/>
                <w:sz w:val="20"/>
                <w:szCs w:val="20"/>
              </w:rPr>
            </w:pPr>
          </w:p>
        </w:tc>
      </w:tr>
    </w:tbl>
    <w:p w:rsidR="005E08AC" w:rsidRPr="00A76C07" w:rsidRDefault="005E08AC" w:rsidP="005E08AC">
      <w:pPr>
        <w:rPr>
          <w:noProof/>
        </w:rPr>
        <w:sectPr w:rsidR="005E08AC" w:rsidRPr="00A76C07" w:rsidSect="00746C9A">
          <w:pgSz w:w="11907" w:h="16840" w:code="1"/>
          <w:pgMar w:top="1134" w:right="1418" w:bottom="1134" w:left="1418" w:header="709" w:footer="709" w:gutter="0"/>
          <w:cols w:space="708"/>
          <w:docGrid w:linePitch="360"/>
        </w:sectPr>
      </w:pPr>
    </w:p>
    <w:p w:rsidR="005E08AC" w:rsidRPr="00A76C07" w:rsidRDefault="005E08AC" w:rsidP="005E08AC">
      <w:pPr>
        <w:pStyle w:val="ManualHeading2"/>
        <w:rPr>
          <w:bCs/>
          <w:noProof/>
          <w:szCs w:val="24"/>
        </w:rPr>
      </w:pPr>
      <w:bookmarkStart w:id="167" w:name="_Toc514938052"/>
      <w:bookmarkStart w:id="168" w:name="_Toc199239280"/>
      <w:r w:rsidRPr="00A76C07">
        <w:rPr>
          <w:noProof/>
        </w:rPr>
        <w:t>3.2</w:t>
      </w:r>
      <w:r w:rsidRPr="00A76C07">
        <w:rPr>
          <w:noProof/>
        </w:rPr>
        <w:tab/>
        <w:t>Ocenjene finančne posledice predloga za odobritve</w:t>
      </w:r>
      <w:bookmarkEnd w:id="167"/>
      <w:bookmarkEnd w:id="168"/>
      <w:r w:rsidRPr="00A76C07">
        <w:rPr>
          <w:noProof/>
        </w:rPr>
        <w:t xml:space="preserve"> </w:t>
      </w:r>
    </w:p>
    <w:p w:rsidR="005E08AC" w:rsidRPr="00A76C07" w:rsidRDefault="005E08AC" w:rsidP="005E08AC">
      <w:pPr>
        <w:pStyle w:val="ManualHeading3"/>
        <w:rPr>
          <w:noProof/>
        </w:rPr>
      </w:pPr>
      <w:bookmarkStart w:id="169" w:name="_Toc514938053"/>
      <w:bookmarkStart w:id="170" w:name="_Toc199239281"/>
      <w:r w:rsidRPr="00A76C07">
        <w:rPr>
          <w:noProof/>
        </w:rPr>
        <w:t>3.2.1</w:t>
      </w:r>
      <w:r w:rsidRPr="00A76C07">
        <w:rPr>
          <w:noProof/>
        </w:rPr>
        <w:tab/>
        <w:t>Povzetek ocenjenih posledic za odobritve za poslovanje</w:t>
      </w:r>
      <w:bookmarkEnd w:id="169"/>
      <w:bookmarkEnd w:id="170"/>
      <w:r w:rsidRPr="00A76C07">
        <w:rPr>
          <w:noProof/>
        </w:rPr>
        <w:t xml:space="preserve"> </w:t>
      </w:r>
    </w:p>
    <w:p w:rsidR="005E08AC" w:rsidRPr="00A76C07" w:rsidRDefault="005E08AC" w:rsidP="005E08AC">
      <w:pPr>
        <w:pStyle w:val="ListDash1"/>
        <w:rPr>
          <w:noProof/>
        </w:rPr>
      </w:pPr>
      <w:r w:rsidRPr="00A76C07">
        <w:rPr>
          <w:rFonts w:ascii="Wingdings" w:hAnsi="Wingdings"/>
          <w:noProof/>
        </w:rPr>
        <w:t></w:t>
      </w:r>
      <w:r w:rsidRPr="00A76C07">
        <w:rPr>
          <w:noProof/>
        </w:rPr>
        <w:t xml:space="preserve">Za predlog/pobudo niso potrebne odobritve za poslovanje. </w:t>
      </w:r>
    </w:p>
    <w:p w:rsidR="005E08AC" w:rsidRPr="00A76C07" w:rsidRDefault="005E08AC" w:rsidP="005E08AC">
      <w:pPr>
        <w:pStyle w:val="ListDash1"/>
        <w:rPr>
          <w:noProof/>
        </w:rPr>
      </w:pPr>
      <w:r w:rsidRPr="00A76C07">
        <w:rPr>
          <w:rFonts w:ascii="Wingdings" w:hAnsi="Wingdings"/>
          <w:noProof/>
        </w:rPr>
        <w:t></w:t>
      </w:r>
      <w:r w:rsidRPr="00A76C07">
        <w:rPr>
          <w:noProof/>
        </w:rPr>
        <w:tab/>
        <w:t>Za predlog/pobudo so potrebne odobritve za poslovanje, kot je pojasnjeno v nadaljevanju:</w:t>
      </w:r>
    </w:p>
    <w:p w:rsidR="005E08AC" w:rsidRPr="00A76C07" w:rsidRDefault="005E08AC" w:rsidP="005E08AC">
      <w:pPr>
        <w:pStyle w:val="ManualHeading3"/>
        <w:rPr>
          <w:noProof/>
        </w:rPr>
      </w:pPr>
      <w:bookmarkStart w:id="171" w:name="_Toc160804595"/>
      <w:bookmarkStart w:id="172" w:name="_Toc199239282"/>
      <w:r w:rsidRPr="00A76C07">
        <w:rPr>
          <w:noProof/>
        </w:rPr>
        <w:t>3.2.1.1</w:t>
      </w:r>
      <w:r w:rsidRPr="00A76C07">
        <w:rPr>
          <w:noProof/>
        </w:rPr>
        <w:tab/>
        <w:t>Odobritve iz izglasovanega proračuna</w:t>
      </w:r>
      <w:bookmarkEnd w:id="171"/>
      <w:bookmarkEnd w:id="172"/>
    </w:p>
    <w:p w:rsidR="005E08AC" w:rsidRPr="00A76C07" w:rsidRDefault="005E08AC" w:rsidP="005E08AC">
      <w:pPr>
        <w:jc w:val="right"/>
        <w:rPr>
          <w:noProof/>
          <w:sz w:val="18"/>
          <w:szCs w:val="18"/>
        </w:rPr>
      </w:pPr>
      <w:r w:rsidRPr="00A76C07">
        <w:rPr>
          <w:noProof/>
          <w:sz w:val="18"/>
        </w:rPr>
        <w:t>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9F647E" w:rsidRPr="00A76C07">
        <w:tc>
          <w:tcPr>
            <w:tcW w:w="1739" w:type="pct"/>
            <w:shd w:val="thinDiagStripe" w:color="C0C0C0" w:fill="auto"/>
            <w:vAlign w:val="center"/>
          </w:tcPr>
          <w:p w:rsidR="005E08AC" w:rsidRPr="00A76C07" w:rsidRDefault="005E08AC">
            <w:pPr>
              <w:spacing w:before="60" w:after="60"/>
              <w:jc w:val="center"/>
              <w:rPr>
                <w:b/>
                <w:noProof/>
              </w:rPr>
            </w:pPr>
            <w:r w:rsidRPr="00A76C07">
              <w:rPr>
                <w:b/>
                <w:noProof/>
                <w:sz w:val="22"/>
              </w:rPr>
              <w:t xml:space="preserve">Razdelek večletnega finančnega okvira </w:t>
            </w:r>
          </w:p>
        </w:tc>
        <w:tc>
          <w:tcPr>
            <w:tcW w:w="396" w:type="pct"/>
            <w:vAlign w:val="center"/>
          </w:tcPr>
          <w:p w:rsidR="005E08AC" w:rsidRPr="00A76C07" w:rsidRDefault="005E08AC">
            <w:pPr>
              <w:spacing w:before="60" w:after="60"/>
              <w:jc w:val="center"/>
              <w:rPr>
                <w:noProof/>
              </w:rPr>
            </w:pPr>
            <w:r w:rsidRPr="00A76C07">
              <w:rPr>
                <w:noProof/>
                <w:sz w:val="22"/>
              </w:rPr>
              <w:t>številka</w:t>
            </w:r>
          </w:p>
        </w:tc>
        <w:tc>
          <w:tcPr>
            <w:tcW w:w="2865" w:type="pct"/>
            <w:vAlign w:val="center"/>
          </w:tcPr>
          <w:p w:rsidR="005E08AC" w:rsidRPr="00A76C07" w:rsidRDefault="005E08AC">
            <w:pPr>
              <w:spacing w:before="60" w:after="60"/>
              <w:rPr>
                <w:noProof/>
              </w:rPr>
            </w:pPr>
          </w:p>
        </w:tc>
      </w:tr>
    </w:tbl>
    <w:p w:rsidR="005E08AC" w:rsidRPr="00A76C07" w:rsidRDefault="005E08AC" w:rsidP="005E08AC">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9F647E" w:rsidRPr="00A76C07" w:rsidTr="42AA313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2"/>
              </w:rPr>
            </w:pPr>
            <w:r w:rsidRPr="00A76C07">
              <w:rPr>
                <w:noProof/>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rsidTr="42AA313F">
        <w:trPr>
          <w:trHeight w:val="288"/>
        </w:trPr>
        <w:tc>
          <w:tcPr>
            <w:tcW w:w="2444" w:type="pct"/>
            <w:gridSpan w:val="3"/>
            <w:vMerge/>
            <w:vAlign w:val="center"/>
            <w:hideMark/>
          </w:tcPr>
          <w:p w:rsidR="005E08AC" w:rsidRPr="00A76C07" w:rsidRDefault="005E08AC">
            <w:pPr>
              <w:spacing w:before="0" w:after="0"/>
              <w:jc w:val="left"/>
              <w:rPr>
                <w:noProof/>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590" w:type="pct"/>
            <w:vMerge/>
            <w:vAlign w:val="center"/>
            <w:hideMark/>
          </w:tcPr>
          <w:p w:rsidR="005E08AC" w:rsidRPr="00A76C07" w:rsidRDefault="005E08AC">
            <w:pPr>
              <w:spacing w:before="0" w:after="0"/>
              <w:jc w:val="left"/>
              <w:rPr>
                <w:b/>
                <w:bCs/>
                <w:noProof/>
                <w:sz w:val="20"/>
                <w:szCs w:val="20"/>
                <w:lang w:eastAsia="en-IE"/>
              </w:rPr>
            </w:pPr>
          </w:p>
        </w:tc>
      </w:tr>
      <w:tr w:rsidR="009F647E" w:rsidRPr="00A76C07" w:rsidTr="42AA313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left"/>
              <w:rPr>
                <w:noProof/>
                <w:sz w:val="21"/>
                <w:szCs w:val="21"/>
              </w:rPr>
            </w:pPr>
            <w:r w:rsidRPr="00A76C07">
              <w:rPr>
                <w:noProof/>
                <w:sz w:val="21"/>
              </w:rPr>
              <w:t xml:space="preserve">Odobritve za poslovanje </w:t>
            </w:r>
          </w:p>
        </w:tc>
      </w:tr>
      <w:tr w:rsidR="009F647E" w:rsidRPr="00A76C07" w:rsidTr="42AA313F">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5E08AC" w:rsidRPr="00A76C07" w:rsidRDefault="005E08AC">
            <w:pPr>
              <w:spacing w:before="0" w:after="0"/>
              <w:jc w:val="left"/>
              <w:rPr>
                <w:noProof/>
                <w:sz w:val="22"/>
              </w:rPr>
            </w:pPr>
            <w:r w:rsidRPr="00A76C07">
              <w:rPr>
                <w:noProof/>
                <w:sz w:val="22"/>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315"/>
        </w:trPr>
        <w:tc>
          <w:tcPr>
            <w:tcW w:w="1419" w:type="pct"/>
            <w:vMerge/>
            <w:vAlign w:val="center"/>
            <w:hideMark/>
          </w:tcPr>
          <w:p w:rsidR="005E08AC" w:rsidRPr="00A76C07" w:rsidRDefault="005E08AC">
            <w:pPr>
              <w:spacing w:before="0" w:after="0"/>
              <w:jc w:val="left"/>
              <w:rPr>
                <w:noProof/>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20"/>
                <w:szCs w:val="20"/>
              </w:rPr>
            </w:pPr>
            <w:r w:rsidRPr="00A76C07">
              <w:rPr>
                <w:noProof/>
                <w:sz w:val="20"/>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315"/>
        </w:trPr>
        <w:tc>
          <w:tcPr>
            <w:tcW w:w="1419" w:type="pct"/>
            <w:vMerge/>
            <w:vAlign w:val="center"/>
            <w:hideMark/>
          </w:tcPr>
          <w:p w:rsidR="005E08AC" w:rsidRPr="00A76C07" w:rsidRDefault="005E08AC">
            <w:pPr>
              <w:spacing w:before="0" w:after="0"/>
              <w:jc w:val="left"/>
              <w:rPr>
                <w:noProof/>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20"/>
                <w:szCs w:val="20"/>
                <w:lang w:eastAsia="en-IE"/>
              </w:rPr>
            </w:pP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08AC" w:rsidRPr="00A76C07" w:rsidRDefault="2DB89802">
            <w:pPr>
              <w:spacing w:before="0" w:after="0"/>
              <w:jc w:val="left"/>
              <w:rPr>
                <w:noProof/>
                <w:sz w:val="22"/>
              </w:rPr>
            </w:pPr>
            <w:r w:rsidRPr="00A76C07">
              <w:rPr>
                <w:noProof/>
                <w:sz w:val="22"/>
              </w:rPr>
              <w:t>Odobritve upravne narave, ki se financirajo iz sredstev določenih programov</w:t>
            </w:r>
            <w:r w:rsidRPr="00A76C07">
              <w:rPr>
                <w:rStyle w:val="FootnoteReference"/>
                <w:noProof/>
                <w:sz w:val="22"/>
                <w:lang w:eastAsia="en-IE"/>
              </w:rPr>
              <w:footnoteReference w:id="28"/>
            </w:r>
          </w:p>
        </w:tc>
      </w:tr>
      <w:tr w:rsidR="009F647E" w:rsidRPr="00A76C07" w:rsidTr="42AA313F">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20"/>
                <w:szCs w:val="20"/>
              </w:rPr>
            </w:pPr>
            <w:r w:rsidRPr="00A76C07">
              <w:rPr>
                <w:noProof/>
                <w:sz w:val="20"/>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noProof/>
                <w:sz w:val="18"/>
                <w:szCs w:val="18"/>
                <w:lang w:eastAsia="en-IE"/>
              </w:rPr>
            </w:pP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(3)</w:t>
            </w: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b/>
                <w:bCs/>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b/>
                <w:bCs/>
                <w:noProof/>
                <w:sz w:val="20"/>
                <w:szCs w:val="20"/>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b/>
                <w:bCs/>
                <w:noProof/>
                <w:sz w:val="20"/>
                <w:szCs w:val="20"/>
                <w:lang w:eastAsia="en-IE"/>
              </w:rPr>
            </w:pPr>
          </w:p>
        </w:tc>
        <w:tc>
          <w:tcPr>
            <w:tcW w:w="47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right"/>
              <w:rPr>
                <w:b/>
                <w:bCs/>
                <w:noProof/>
                <w:sz w:val="20"/>
                <w:szCs w:val="20"/>
                <w:lang w:eastAsia="en-IE"/>
              </w:rPr>
            </w:pP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2"/>
              </w:rPr>
            </w:pPr>
            <w:r w:rsidRPr="00A76C07">
              <w:rPr>
                <w:b/>
                <w:noProof/>
                <w:sz w:val="22"/>
              </w:rPr>
              <w:t>Odobritve za GD &lt;…….&gt;</w:t>
            </w:r>
          </w:p>
          <w:p w:rsidR="005E08AC" w:rsidRPr="00A76C07" w:rsidRDefault="005E08AC">
            <w:pPr>
              <w:spacing w:before="0" w:after="0"/>
              <w:jc w:val="center"/>
              <w:rPr>
                <w:b/>
                <w:bCs/>
                <w:noProof/>
                <w:sz w:val="22"/>
              </w:rPr>
            </w:pPr>
            <w:r w:rsidRPr="00A76C07">
              <w:rPr>
                <w:b/>
                <w:noProof/>
                <w:sz w:val="22"/>
              </w:rPr>
              <w:t>SKUPAJ</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rsidTr="42AA313F">
        <w:trPr>
          <w:trHeight w:val="288"/>
        </w:trPr>
        <w:tc>
          <w:tcPr>
            <w:tcW w:w="1419" w:type="pct"/>
            <w:vMerge/>
            <w:vAlign w:val="center"/>
            <w:hideMark/>
          </w:tcPr>
          <w:p w:rsidR="005E08AC" w:rsidRPr="00A76C07" w:rsidRDefault="005E08AC">
            <w:pPr>
              <w:spacing w:before="0" w:after="0"/>
              <w:jc w:val="center"/>
              <w:rPr>
                <w:b/>
                <w:bCs/>
                <w:noProof/>
                <w:sz w:val="22"/>
                <w:lang w:eastAsia="en-IE"/>
              </w:rPr>
            </w:pPr>
          </w:p>
        </w:tc>
        <w:tc>
          <w:tcPr>
            <w:tcW w:w="529"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5E08AC" w:rsidRPr="00A76C07" w:rsidRDefault="005E08AC">
            <w:pPr>
              <w:spacing w:before="0" w:after="0"/>
              <w:jc w:val="right"/>
              <w:rPr>
                <w:b/>
                <w:bCs/>
                <w:noProof/>
                <w:sz w:val="20"/>
                <w:szCs w:val="20"/>
              </w:rPr>
            </w:pPr>
            <w:r w:rsidRPr="00A76C07">
              <w:rPr>
                <w:b/>
                <w:noProof/>
                <w:sz w:val="20"/>
              </w:rPr>
              <w:t>0,000</w:t>
            </w:r>
          </w:p>
        </w:tc>
      </w:tr>
    </w:tbl>
    <w:p w:rsidR="005E08AC" w:rsidRPr="00A76C07" w:rsidRDefault="005E08AC" w:rsidP="005E08AC">
      <w:pPr>
        <w:rPr>
          <w:noProof/>
        </w:rPr>
      </w:pPr>
      <w:r w:rsidRPr="00A76C07">
        <w:rPr>
          <w:noProof/>
        </w:rPr>
        <w:t>================================================================================================</w:t>
      </w:r>
    </w:p>
    <w:p w:rsidR="005E08AC" w:rsidRPr="00A76C07" w:rsidRDefault="005E08AC" w:rsidP="005E08AC">
      <w:pPr>
        <w:rPr>
          <w:noProof/>
        </w:rPr>
      </w:pPr>
      <w:r w:rsidRPr="00A76C07">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9F647E" w:rsidRPr="00A76C07">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E08AC" w:rsidRPr="00A76C07" w:rsidRDefault="005E08AC">
            <w:pPr>
              <w:spacing w:before="0" w:after="0"/>
              <w:jc w:val="center"/>
              <w:rPr>
                <w:b/>
                <w:bCs/>
                <w:noProof/>
                <w:sz w:val="22"/>
                <w:lang w:eastAsia="en-IE"/>
              </w:rPr>
            </w:pP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5E08AC" w:rsidRPr="00A76C07" w:rsidRDefault="005E08AC">
            <w:pPr>
              <w:spacing w:before="0" w:after="0"/>
              <w:jc w:val="left"/>
              <w:rPr>
                <w:b/>
                <w:bCs/>
                <w:noProof/>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b/>
                <w:bCs/>
                <w:noProof/>
                <w:sz w:val="20"/>
                <w:szCs w:val="20"/>
                <w:lang w:eastAsia="en-IE"/>
              </w:rPr>
            </w:pPr>
          </w:p>
        </w:tc>
      </w:tr>
      <w:tr w:rsidR="009F647E" w:rsidRPr="00A76C07">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21"/>
                <w:szCs w:val="21"/>
              </w:rPr>
            </w:pPr>
            <w:r w:rsidRPr="00A76C07">
              <w:rPr>
                <w:noProof/>
                <w:sz w:val="21"/>
              </w:rPr>
              <w:t xml:space="preserve">Odobritve za poslovanje SKUPAJ </w:t>
            </w:r>
            <w:r w:rsidRPr="00A76C07">
              <w:rPr>
                <w:noProof/>
              </w:rPr>
              <w:t xml:space="preserve"> </w:t>
            </w:r>
            <w:r w:rsidRPr="00A76C07">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456"/>
        </w:trPr>
        <w:tc>
          <w:tcPr>
            <w:tcW w:w="1411" w:type="pct"/>
            <w:vMerge/>
            <w:tcBorders>
              <w:top w:val="nil"/>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21"/>
                <w:szCs w:val="21"/>
              </w:rPr>
            </w:pPr>
            <w:r w:rsidRPr="00A76C07">
              <w:rPr>
                <w:noProof/>
                <w:sz w:val="21"/>
              </w:rPr>
              <w:t xml:space="preserve">Odobritve upravne narave, ki se financirajo iz sredstev določenih programov, SKUPAJ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5E08AC" w:rsidRPr="00A76C07" w:rsidRDefault="005E08AC">
            <w:pPr>
              <w:spacing w:before="0" w:after="0"/>
              <w:jc w:val="center"/>
              <w:rPr>
                <w:b/>
                <w:bCs/>
                <w:noProof/>
                <w:sz w:val="22"/>
              </w:rPr>
            </w:pPr>
            <w:r w:rsidRPr="00A76C07">
              <w:rPr>
                <w:b/>
                <w:noProof/>
                <w:sz w:val="22"/>
              </w:rPr>
              <w:t xml:space="preserve">Odobritve iz RAZDELKA &lt;…….&gt; </w:t>
            </w:r>
            <w:r w:rsidRPr="00A76C07">
              <w:rPr>
                <w:noProof/>
                <w:sz w:val="22"/>
              </w:rPr>
              <w:t>večletnega finančnega okvira</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5E08AC" w:rsidRPr="00A76C07" w:rsidRDefault="005E08AC">
            <w:pPr>
              <w:spacing w:before="0" w:after="0"/>
              <w:jc w:val="center"/>
              <w:rPr>
                <w:noProof/>
                <w:sz w:val="22"/>
              </w:rPr>
            </w:pPr>
            <w:r w:rsidRPr="00A76C07">
              <w:rPr>
                <w:b/>
                <w:noProof/>
                <w:sz w:val="22"/>
              </w:rPr>
              <w:t>SKUPAJ</w:t>
            </w:r>
          </w:p>
        </w:tc>
        <w:tc>
          <w:tcPr>
            <w:tcW w:w="529"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bl>
    <w:p w:rsidR="005E08AC" w:rsidRPr="00A76C07" w:rsidRDefault="005E08AC" w:rsidP="005E08AC">
      <w:pPr>
        <w:rPr>
          <w:noProof/>
        </w:rPr>
      </w:pPr>
      <w:r w:rsidRPr="00A76C07">
        <w:rPr>
          <w:noProof/>
        </w:rPr>
        <w:t>====================================================================================================</w:t>
      </w: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9F647E" w:rsidRPr="00A76C07">
        <w:trPr>
          <w:trHeight w:val="288"/>
        </w:trPr>
        <w:tc>
          <w:tcPr>
            <w:tcW w:w="1522"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trPr>
          <w:trHeight w:val="300"/>
        </w:trPr>
        <w:tc>
          <w:tcPr>
            <w:tcW w:w="1522" w:type="pct"/>
            <w:tcBorders>
              <w:top w:val="nil"/>
              <w:left w:val="nil"/>
              <w:bottom w:val="nil"/>
              <w:right w:val="nil"/>
            </w:tcBorders>
            <w:shd w:val="clear" w:color="auto" w:fill="auto"/>
            <w:noWrap/>
            <w:vAlign w:val="bottom"/>
            <w:hideMark/>
          </w:tcPr>
          <w:p w:rsidR="005E08AC" w:rsidRPr="00A76C07" w:rsidRDefault="005E08AC">
            <w:pPr>
              <w:spacing w:before="0" w:after="0"/>
              <w:jc w:val="center"/>
              <w:rPr>
                <w:b/>
                <w:bCs/>
                <w:noProof/>
                <w:sz w:val="20"/>
                <w:szCs w:val="20"/>
                <w:lang w:eastAsia="en-IE"/>
              </w:rPr>
            </w:pPr>
          </w:p>
        </w:tc>
        <w:tc>
          <w:tcPr>
            <w:tcW w:w="471"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5E08AC" w:rsidRPr="00A76C07" w:rsidRDefault="005E08AC">
            <w:pPr>
              <w:spacing w:before="0" w:after="0"/>
              <w:jc w:val="left"/>
              <w:rPr>
                <w:b/>
                <w:bCs/>
                <w:noProof/>
                <w:sz w:val="20"/>
                <w:szCs w:val="20"/>
                <w:lang w:eastAsia="en-IE"/>
              </w:rPr>
            </w:pPr>
          </w:p>
        </w:tc>
      </w:tr>
      <w:tr w:rsidR="009F647E" w:rsidRPr="00A76C07">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rPr>
                <w:noProof/>
                <w:sz w:val="21"/>
                <w:szCs w:val="21"/>
              </w:rPr>
            </w:pPr>
            <w:r w:rsidRPr="00A76C07">
              <w:rPr>
                <w:rFonts w:ascii="Calibri" w:hAnsi="Calibri"/>
                <w:noProof/>
                <w:sz w:val="21"/>
              </w:rPr>
              <w:t xml:space="preserve">• </w:t>
            </w:r>
            <w:r w:rsidRPr="00A76C07">
              <w:rPr>
                <w:noProof/>
                <w:sz w:val="21"/>
              </w:rPr>
              <w:t>Odobritve za poslovanje SKUPAJ (vsi razdelki za poslovanje)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E08AC" w:rsidRPr="00A76C07" w:rsidRDefault="005E08AC">
            <w:pPr>
              <w:spacing w:before="0" w:after="0"/>
              <w:rPr>
                <w:noProof/>
                <w:sz w:val="21"/>
                <w:szCs w:val="21"/>
              </w:rPr>
            </w:pPr>
            <w:r w:rsidRPr="00A76C07">
              <w:rPr>
                <w:rFonts w:ascii="Calibri" w:hAnsi="Calibri"/>
                <w:noProof/>
                <w:sz w:val="21"/>
              </w:rPr>
              <w:t xml:space="preserve">• </w:t>
            </w:r>
            <w:r w:rsidRPr="00A76C07">
              <w:rPr>
                <w:noProof/>
                <w:sz w:val="21"/>
              </w:rPr>
              <w:t>Odobritve upravne narave, ki se financirajo iz sredstev določenih programov, SKUPAJ (vsi razdelki za poslovanje)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5E08AC" w:rsidRPr="00A76C07" w:rsidRDefault="005E08AC">
            <w:pPr>
              <w:spacing w:before="0" w:after="0"/>
              <w:jc w:val="center"/>
              <w:rPr>
                <w:b/>
                <w:bCs/>
                <w:noProof/>
                <w:sz w:val="22"/>
              </w:rPr>
            </w:pPr>
            <w:r w:rsidRPr="00A76C07">
              <w:rPr>
                <w:b/>
                <w:noProof/>
                <w:sz w:val="22"/>
              </w:rPr>
              <w:t>Odobritve iz RAZDELKOV od 1 do 6 večletnega finančnega okvira</w:t>
            </w:r>
          </w:p>
        </w:tc>
        <w:tc>
          <w:tcPr>
            <w:tcW w:w="471" w:type="pct"/>
            <w:tcBorders>
              <w:top w:val="nil"/>
              <w:left w:val="nil"/>
              <w:bottom w:val="nil"/>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obveznosti</w:t>
            </w:r>
          </w:p>
        </w:tc>
        <w:tc>
          <w:tcPr>
            <w:tcW w:w="731" w:type="pct"/>
            <w:gridSpan w:val="2"/>
            <w:tcBorders>
              <w:top w:val="single" w:sz="8" w:space="0" w:color="auto"/>
              <w:left w:val="nil"/>
              <w:bottom w:val="nil"/>
              <w:right w:val="single" w:sz="8" w:space="0" w:color="000000"/>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5130D8" w:rsidRPr="00A76C07">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5E08AC" w:rsidRPr="00A76C07" w:rsidRDefault="005E08AC">
            <w:pPr>
              <w:spacing w:before="0" w:after="0"/>
              <w:jc w:val="center"/>
              <w:rPr>
                <w:noProof/>
                <w:sz w:val="20"/>
                <w:szCs w:val="20"/>
              </w:rPr>
            </w:pPr>
            <w:r w:rsidRPr="00A76C07">
              <w:rPr>
                <w:b/>
                <w:noProof/>
                <w:sz w:val="20"/>
              </w:rPr>
              <w:t>SKUPAJ</w:t>
            </w:r>
            <w:r w:rsidRPr="00A76C07">
              <w:rPr>
                <w:noProof/>
              </w:rPr>
              <w:br/>
            </w:r>
            <w:r w:rsidRPr="00A76C07">
              <w:rPr>
                <w:noProof/>
                <w:sz w:val="20"/>
              </w:rPr>
              <w:t>(referenčni znesek)</w:t>
            </w:r>
          </w:p>
        </w:tc>
        <w:tc>
          <w:tcPr>
            <w:tcW w:w="47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rPr>
                <w:noProof/>
                <w:sz w:val="18"/>
                <w:szCs w:val="18"/>
              </w:rPr>
            </w:pPr>
            <w:r w:rsidRPr="00A76C07">
              <w:rPr>
                <w:noProof/>
                <w:sz w:val="18"/>
              </w:rPr>
              <w:t>plačila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5E08AC" w:rsidRPr="00A76C07" w:rsidRDefault="005E08AC">
            <w:pPr>
              <w:spacing w:before="0" w:after="0"/>
              <w:jc w:val="center"/>
              <w:rPr>
                <w:noProof/>
                <w:sz w:val="14"/>
                <w:szCs w:val="14"/>
              </w:rPr>
            </w:pPr>
            <w:r w:rsidRPr="00A76C07">
              <w:rPr>
                <w:noProof/>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bl>
    <w:p w:rsidR="005E08AC" w:rsidRPr="00A76C07" w:rsidRDefault="005E08AC" w:rsidP="005E08A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9F647E" w:rsidRPr="00A76C07" w:rsidTr="42AA313F">
        <w:trPr>
          <w:jc w:val="center"/>
        </w:trPr>
        <w:tc>
          <w:tcPr>
            <w:tcW w:w="1739" w:type="pct"/>
            <w:shd w:val="clear" w:color="auto" w:fill="auto"/>
            <w:vAlign w:val="center"/>
          </w:tcPr>
          <w:p w:rsidR="005E08AC" w:rsidRPr="00A76C07" w:rsidRDefault="005E08AC">
            <w:pPr>
              <w:spacing w:before="60" w:after="60"/>
              <w:jc w:val="center"/>
              <w:rPr>
                <w:b/>
                <w:noProof/>
              </w:rPr>
            </w:pPr>
            <w:r w:rsidRPr="00A76C07">
              <w:rPr>
                <w:noProof/>
              </w:rPr>
              <w:br w:type="page"/>
            </w:r>
            <w:r w:rsidRPr="00A76C07">
              <w:rPr>
                <w:b/>
                <w:noProof/>
                <w:sz w:val="22"/>
              </w:rPr>
              <w:t xml:space="preserve">Razdelek večletnega finančnega okvira </w:t>
            </w:r>
          </w:p>
        </w:tc>
        <w:tc>
          <w:tcPr>
            <w:tcW w:w="396" w:type="pct"/>
            <w:shd w:val="clear" w:color="auto" w:fill="auto"/>
            <w:vAlign w:val="center"/>
          </w:tcPr>
          <w:p w:rsidR="005E08AC" w:rsidRPr="00A76C07" w:rsidRDefault="005E08AC">
            <w:pPr>
              <w:spacing w:before="60" w:after="60"/>
              <w:jc w:val="center"/>
              <w:rPr>
                <w:noProof/>
              </w:rPr>
            </w:pPr>
            <w:r w:rsidRPr="00A76C07">
              <w:rPr>
                <w:b/>
                <w:noProof/>
                <w:sz w:val="22"/>
              </w:rPr>
              <w:t>7</w:t>
            </w:r>
          </w:p>
        </w:tc>
        <w:tc>
          <w:tcPr>
            <w:tcW w:w="2865" w:type="pct"/>
            <w:vAlign w:val="center"/>
          </w:tcPr>
          <w:p w:rsidR="005E08AC" w:rsidRPr="00A76C07" w:rsidRDefault="2DB89802">
            <w:pPr>
              <w:spacing w:before="60" w:after="60"/>
              <w:rPr>
                <w:noProof/>
              </w:rPr>
            </w:pPr>
            <w:r w:rsidRPr="00A76C07">
              <w:rPr>
                <w:noProof/>
                <w:sz w:val="22"/>
              </w:rPr>
              <w:t>„Upravni odhodki“</w:t>
            </w:r>
            <w:r w:rsidRPr="00A76C07">
              <w:rPr>
                <w:rStyle w:val="FootnoteReference"/>
                <w:noProof/>
                <w:sz w:val="22"/>
              </w:rPr>
              <w:footnoteReference w:id="29"/>
            </w:r>
          </w:p>
        </w:tc>
      </w:tr>
    </w:tbl>
    <w:p w:rsidR="005E08AC" w:rsidRPr="00A76C07" w:rsidRDefault="005E08AC" w:rsidP="005E08AC">
      <w:pPr>
        <w:jc w:val="left"/>
        <w:rPr>
          <w:noProof/>
        </w:rPr>
      </w:pPr>
    </w:p>
    <w:tbl>
      <w:tblPr>
        <w:tblW w:w="5000" w:type="pct"/>
        <w:tblLook w:val="04A0" w:firstRow="1" w:lastRow="0" w:firstColumn="1" w:lastColumn="0" w:noHBand="0" w:noVBand="1"/>
      </w:tblPr>
      <w:tblGrid>
        <w:gridCol w:w="4702"/>
        <w:gridCol w:w="2645"/>
        <w:gridCol w:w="637"/>
        <w:gridCol w:w="640"/>
        <w:gridCol w:w="1069"/>
        <w:gridCol w:w="1069"/>
        <w:gridCol w:w="1069"/>
        <w:gridCol w:w="1069"/>
        <w:gridCol w:w="1320"/>
      </w:tblGrid>
      <w:tr w:rsidR="009F647E" w:rsidRPr="00A76C07">
        <w:trPr>
          <w:trHeight w:val="288"/>
        </w:trPr>
        <w:tc>
          <w:tcPr>
            <w:tcW w:w="3032" w:type="pct"/>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Cs w:val="24"/>
              </w:rPr>
            </w:pPr>
            <w:r w:rsidRPr="00A76C07">
              <w:rPr>
                <w:noProof/>
              </w:rPr>
              <w:t>GD za pomorske zadeve in ribištvo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trPr>
          <w:trHeight w:val="300"/>
        </w:trPr>
        <w:tc>
          <w:tcPr>
            <w:tcW w:w="3032" w:type="pct"/>
            <w:gridSpan w:val="4"/>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5E08AC" w:rsidRPr="00A76C07" w:rsidRDefault="005E08AC">
            <w:pPr>
              <w:spacing w:before="0" w:after="0"/>
              <w:jc w:val="left"/>
              <w:rPr>
                <w:b/>
                <w:bCs/>
                <w:noProof/>
                <w:sz w:val="20"/>
                <w:szCs w:val="20"/>
                <w:lang w:eastAsia="en-IE"/>
              </w:rPr>
            </w:pPr>
          </w:p>
        </w:tc>
      </w:tr>
      <w:tr w:rsidR="009F647E" w:rsidRPr="00A76C07">
        <w:trPr>
          <w:trHeight w:val="300"/>
        </w:trPr>
        <w:tc>
          <w:tcPr>
            <w:tcW w:w="3032"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738B1" w:rsidRPr="00A76C07" w:rsidRDefault="00E738B1" w:rsidP="00E738B1">
            <w:pPr>
              <w:spacing w:before="0" w:after="0"/>
              <w:jc w:val="left"/>
              <w:rPr>
                <w:rFonts w:ascii="Wingdings" w:hAnsi="Wingdings" w:cs="Calibri"/>
                <w:noProof/>
                <w:sz w:val="22"/>
              </w:rPr>
            </w:pPr>
            <w:r w:rsidRPr="00A76C07">
              <w:rPr>
                <w:rFonts w:ascii="Wingdings" w:hAnsi="Wingdings"/>
                <w:noProof/>
                <w:sz w:val="22"/>
              </w:rPr>
              <w:t></w:t>
            </w:r>
            <w:r w:rsidRPr="00A76C07">
              <w:rPr>
                <w:noProof/>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464"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20"/>
                <w:szCs w:val="20"/>
              </w:rPr>
            </w:pPr>
            <w:r w:rsidRPr="00A76C07">
              <w:rPr>
                <w:b/>
                <w:noProof/>
                <w:sz w:val="20"/>
              </w:rPr>
              <w:t>0,564</w:t>
            </w:r>
          </w:p>
        </w:tc>
      </w:tr>
      <w:tr w:rsidR="009F647E" w:rsidRPr="00A76C07">
        <w:trPr>
          <w:trHeight w:val="300"/>
        </w:trPr>
        <w:tc>
          <w:tcPr>
            <w:tcW w:w="3032"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left"/>
              <w:rPr>
                <w:rFonts w:ascii="Wingdings" w:hAnsi="Wingdings" w:cs="Calibri"/>
                <w:noProof/>
                <w:sz w:val="22"/>
              </w:rPr>
            </w:pPr>
            <w:r w:rsidRPr="00A76C07">
              <w:rPr>
                <w:rFonts w:ascii="Wingdings" w:hAnsi="Wingdings"/>
                <w:noProof/>
                <w:sz w:val="22"/>
              </w:rPr>
              <w:t></w:t>
            </w:r>
            <w:r w:rsidRPr="00A76C07">
              <w:rPr>
                <w:noProof/>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64"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2"/>
              </w:rPr>
            </w:pPr>
            <w:r w:rsidRPr="00A76C07">
              <w:rPr>
                <w:b/>
                <w:noProof/>
                <w:sz w:val="22"/>
              </w:rPr>
              <w:t>GD MARE SKUPAJ</w:t>
            </w:r>
          </w:p>
        </w:tc>
        <w:tc>
          <w:tcPr>
            <w:tcW w:w="1379" w:type="pct"/>
            <w:gridSpan w:val="3"/>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left"/>
              <w:rPr>
                <w:noProof/>
                <w:sz w:val="18"/>
                <w:szCs w:val="18"/>
              </w:rPr>
            </w:pPr>
            <w:r w:rsidRPr="00A76C07">
              <w:rPr>
                <w:noProof/>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464"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0,564</w:t>
            </w:r>
          </w:p>
        </w:tc>
      </w:tr>
      <w:tr w:rsidR="009F647E" w:rsidRPr="00A76C07">
        <w:trPr>
          <w:trHeight w:val="300"/>
        </w:trPr>
        <w:tc>
          <w:tcPr>
            <w:tcW w:w="1653" w:type="pct"/>
            <w:tcBorders>
              <w:top w:val="nil"/>
              <w:left w:val="nil"/>
              <w:bottom w:val="nil"/>
              <w:right w:val="nil"/>
            </w:tcBorders>
            <w:shd w:val="clear" w:color="auto" w:fill="auto"/>
            <w:noWrap/>
            <w:vAlign w:val="bottom"/>
            <w:hideMark/>
          </w:tcPr>
          <w:p w:rsidR="005E08AC" w:rsidRPr="00A76C07" w:rsidRDefault="005E08AC">
            <w:pPr>
              <w:spacing w:before="0" w:after="0"/>
              <w:jc w:val="right"/>
              <w:rPr>
                <w:b/>
                <w:bCs/>
                <w:noProof/>
                <w:sz w:val="20"/>
                <w:szCs w:val="20"/>
                <w:lang w:eastAsia="en-IE"/>
              </w:rPr>
            </w:pPr>
          </w:p>
        </w:tc>
        <w:tc>
          <w:tcPr>
            <w:tcW w:w="930"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464"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r>
      <w:tr w:rsidR="009F647E" w:rsidRPr="00A76C07">
        <w:trPr>
          <w:trHeight w:val="315"/>
        </w:trPr>
        <w:tc>
          <w:tcPr>
            <w:tcW w:w="3032" w:type="pct"/>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Cs w:val="24"/>
              </w:rPr>
            </w:pPr>
            <w:r w:rsidRPr="00A76C07">
              <w:rPr>
                <w:noProof/>
              </w:rPr>
              <w:t>GD za okolje</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trPr>
          <w:trHeight w:val="300"/>
        </w:trPr>
        <w:tc>
          <w:tcPr>
            <w:tcW w:w="3032" w:type="pct"/>
            <w:gridSpan w:val="4"/>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376"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5E08AC" w:rsidRPr="00A76C07" w:rsidRDefault="005E08AC">
            <w:pPr>
              <w:spacing w:before="0" w:after="0"/>
              <w:jc w:val="left"/>
              <w:rPr>
                <w:b/>
                <w:bCs/>
                <w:noProof/>
                <w:sz w:val="20"/>
                <w:szCs w:val="20"/>
                <w:lang w:eastAsia="en-IE"/>
              </w:rPr>
            </w:pPr>
          </w:p>
        </w:tc>
      </w:tr>
      <w:tr w:rsidR="009F647E" w:rsidRPr="00A76C07">
        <w:trPr>
          <w:trHeight w:val="300"/>
        </w:trPr>
        <w:tc>
          <w:tcPr>
            <w:tcW w:w="3032"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738B1" w:rsidRPr="00A76C07" w:rsidRDefault="00E738B1" w:rsidP="00E738B1">
            <w:pPr>
              <w:spacing w:before="0" w:after="0"/>
              <w:jc w:val="left"/>
              <w:rPr>
                <w:rFonts w:ascii="Wingdings" w:hAnsi="Wingdings" w:cs="Calibri"/>
                <w:noProof/>
                <w:sz w:val="22"/>
              </w:rPr>
            </w:pPr>
            <w:r w:rsidRPr="00A76C07">
              <w:rPr>
                <w:rFonts w:ascii="Wingdings" w:hAnsi="Wingdings"/>
                <w:noProof/>
                <w:sz w:val="22"/>
              </w:rPr>
              <w:t></w:t>
            </w:r>
            <w:r w:rsidRPr="00A76C07">
              <w:rPr>
                <w:noProof/>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20"/>
                <w:szCs w:val="20"/>
              </w:rPr>
            </w:pPr>
            <w:r w:rsidRPr="00A76C07">
              <w:rPr>
                <w:noProof/>
                <w:sz w:val="20"/>
              </w:rPr>
              <w:t>0,188</w:t>
            </w:r>
          </w:p>
        </w:tc>
        <w:tc>
          <w:tcPr>
            <w:tcW w:w="464"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20"/>
                <w:szCs w:val="20"/>
              </w:rPr>
            </w:pPr>
            <w:r w:rsidRPr="00A76C07">
              <w:rPr>
                <w:b/>
                <w:noProof/>
                <w:sz w:val="20"/>
              </w:rPr>
              <w:t>0,564</w:t>
            </w:r>
          </w:p>
        </w:tc>
      </w:tr>
      <w:tr w:rsidR="009F647E" w:rsidRPr="00A76C07">
        <w:trPr>
          <w:trHeight w:val="300"/>
        </w:trPr>
        <w:tc>
          <w:tcPr>
            <w:tcW w:w="3032"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left"/>
              <w:rPr>
                <w:rFonts w:ascii="Wingdings" w:hAnsi="Wingdings" w:cs="Calibri"/>
                <w:noProof/>
                <w:sz w:val="22"/>
              </w:rPr>
            </w:pPr>
            <w:r w:rsidRPr="00A76C07">
              <w:rPr>
                <w:rFonts w:ascii="Wingdings" w:hAnsi="Wingdings"/>
                <w:noProof/>
                <w:sz w:val="22"/>
              </w:rPr>
              <w:t></w:t>
            </w:r>
            <w:r w:rsidRPr="00A76C07">
              <w:rPr>
                <w:noProof/>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20"/>
                <w:szCs w:val="20"/>
              </w:rPr>
            </w:pPr>
            <w:r w:rsidRPr="00A76C07">
              <w:rPr>
                <w:noProof/>
                <w:sz w:val="20"/>
              </w:rPr>
              <w:t>0,000</w:t>
            </w:r>
          </w:p>
        </w:tc>
        <w:tc>
          <w:tcPr>
            <w:tcW w:w="464"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r>
      <w:tr w:rsidR="009F647E" w:rsidRPr="00A76C07">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2"/>
              </w:rPr>
            </w:pPr>
            <w:r w:rsidRPr="00A76C07">
              <w:rPr>
                <w:b/>
                <w:noProof/>
                <w:sz w:val="22"/>
              </w:rPr>
              <w:t>GD ENV SKUPAJ</w:t>
            </w:r>
          </w:p>
        </w:tc>
        <w:tc>
          <w:tcPr>
            <w:tcW w:w="1379" w:type="pct"/>
            <w:gridSpan w:val="3"/>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left"/>
              <w:rPr>
                <w:noProof/>
                <w:sz w:val="18"/>
                <w:szCs w:val="18"/>
              </w:rPr>
            </w:pPr>
            <w:r w:rsidRPr="00A76C07">
              <w:rPr>
                <w:noProof/>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376"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0,188</w:t>
            </w:r>
          </w:p>
        </w:tc>
        <w:tc>
          <w:tcPr>
            <w:tcW w:w="464"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20"/>
                <w:szCs w:val="20"/>
              </w:rPr>
            </w:pPr>
            <w:r w:rsidRPr="00A76C07">
              <w:rPr>
                <w:b/>
                <w:noProof/>
                <w:sz w:val="20"/>
              </w:rPr>
              <w:t>0,564</w:t>
            </w:r>
          </w:p>
        </w:tc>
      </w:tr>
      <w:tr w:rsidR="009F647E" w:rsidRPr="00A76C07">
        <w:trPr>
          <w:trHeight w:val="300"/>
        </w:trPr>
        <w:tc>
          <w:tcPr>
            <w:tcW w:w="1653" w:type="pct"/>
            <w:tcBorders>
              <w:top w:val="nil"/>
              <w:left w:val="nil"/>
              <w:bottom w:val="nil"/>
              <w:right w:val="nil"/>
            </w:tcBorders>
            <w:shd w:val="clear" w:color="auto" w:fill="auto"/>
            <w:noWrap/>
            <w:vAlign w:val="bottom"/>
            <w:hideMark/>
          </w:tcPr>
          <w:p w:rsidR="005E08AC" w:rsidRPr="00A76C07" w:rsidRDefault="005E08AC">
            <w:pPr>
              <w:spacing w:before="0" w:after="0"/>
              <w:jc w:val="right"/>
              <w:rPr>
                <w:b/>
                <w:bCs/>
                <w:noProof/>
                <w:sz w:val="20"/>
                <w:szCs w:val="20"/>
                <w:lang w:eastAsia="en-IE"/>
              </w:rPr>
            </w:pPr>
          </w:p>
        </w:tc>
        <w:tc>
          <w:tcPr>
            <w:tcW w:w="930"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c>
          <w:tcPr>
            <w:tcW w:w="464" w:type="pct"/>
            <w:tcBorders>
              <w:top w:val="nil"/>
              <w:left w:val="nil"/>
              <w:bottom w:val="nil"/>
              <w:right w:val="nil"/>
            </w:tcBorders>
            <w:shd w:val="clear" w:color="auto" w:fill="auto"/>
            <w:noWrap/>
            <w:vAlign w:val="bottom"/>
            <w:hideMark/>
          </w:tcPr>
          <w:p w:rsidR="005E08AC" w:rsidRPr="00A76C07" w:rsidRDefault="005E08AC">
            <w:pPr>
              <w:spacing w:before="0" w:after="0"/>
              <w:jc w:val="left"/>
              <w:rPr>
                <w:noProof/>
                <w:sz w:val="20"/>
                <w:szCs w:val="20"/>
                <w:lang w:eastAsia="en-IE"/>
              </w:rPr>
            </w:pPr>
          </w:p>
        </w:tc>
      </w:tr>
      <w:tr w:rsidR="009F647E" w:rsidRPr="00A76C07">
        <w:trPr>
          <w:trHeight w:val="900"/>
        </w:trPr>
        <w:tc>
          <w:tcPr>
            <w:tcW w:w="2583"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E738B1" w:rsidRPr="00A76C07" w:rsidRDefault="00E738B1" w:rsidP="00E738B1">
            <w:pPr>
              <w:spacing w:before="0" w:after="0"/>
              <w:jc w:val="center"/>
              <w:rPr>
                <w:b/>
                <w:bCs/>
                <w:noProof/>
                <w:sz w:val="22"/>
              </w:rPr>
            </w:pPr>
            <w:r w:rsidRPr="00A76C07">
              <w:rPr>
                <w:b/>
                <w:noProof/>
                <w:sz w:val="22"/>
              </w:rPr>
              <w:t xml:space="preserve">Odobritve iz RAZDELKA 7 večletnega finančnega okvira SKUPAJ </w:t>
            </w:r>
          </w:p>
        </w:tc>
        <w:tc>
          <w:tcPr>
            <w:tcW w:w="449" w:type="pct"/>
            <w:gridSpan w:val="2"/>
            <w:tcBorders>
              <w:top w:val="single" w:sz="8" w:space="0" w:color="auto"/>
              <w:left w:val="nil"/>
              <w:bottom w:val="single" w:sz="8" w:space="0" w:color="auto"/>
              <w:right w:val="single" w:sz="8" w:space="0" w:color="auto"/>
            </w:tcBorders>
            <w:shd w:val="clear" w:color="auto" w:fill="auto"/>
            <w:vAlign w:val="center"/>
            <w:hideMark/>
          </w:tcPr>
          <w:p w:rsidR="00E738B1" w:rsidRPr="00A76C07" w:rsidRDefault="00E738B1" w:rsidP="00E738B1">
            <w:pPr>
              <w:spacing w:before="0" w:after="0"/>
              <w:jc w:val="center"/>
              <w:rPr>
                <w:noProof/>
                <w:sz w:val="18"/>
                <w:szCs w:val="18"/>
              </w:rPr>
            </w:pPr>
            <w:r w:rsidRPr="00A76C07">
              <w:rPr>
                <w:noProof/>
                <w:sz w:val="18"/>
              </w:rPr>
              <w:t>(obveznosti skupaj = plačila skupaj)</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20"/>
                <w:szCs w:val="20"/>
              </w:rPr>
            </w:pPr>
            <w:r w:rsidRPr="00A76C07">
              <w:rPr>
                <w:b/>
                <w:noProof/>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20"/>
                <w:szCs w:val="20"/>
              </w:rPr>
            </w:pPr>
            <w:r w:rsidRPr="00A76C07">
              <w:rPr>
                <w:b/>
                <w:noProof/>
                <w:sz w:val="20"/>
              </w:rPr>
              <w:t>0,376</w:t>
            </w:r>
          </w:p>
        </w:tc>
        <w:tc>
          <w:tcPr>
            <w:tcW w:w="376" w:type="pct"/>
            <w:tcBorders>
              <w:top w:val="single" w:sz="8" w:space="0" w:color="auto"/>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20"/>
                <w:szCs w:val="20"/>
              </w:rPr>
            </w:pPr>
            <w:r w:rsidRPr="00A76C07">
              <w:rPr>
                <w:b/>
                <w:noProof/>
                <w:sz w:val="20"/>
              </w:rPr>
              <w:t>0,376</w:t>
            </w:r>
          </w:p>
        </w:tc>
        <w:tc>
          <w:tcPr>
            <w:tcW w:w="376" w:type="pct"/>
            <w:tcBorders>
              <w:top w:val="single" w:sz="8" w:space="0" w:color="auto"/>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20"/>
                <w:szCs w:val="20"/>
              </w:rPr>
            </w:pPr>
            <w:r w:rsidRPr="00A76C07">
              <w:rPr>
                <w:b/>
                <w:noProof/>
                <w:sz w:val="20"/>
              </w:rPr>
              <w:t>0,376</w:t>
            </w:r>
          </w:p>
        </w:tc>
        <w:tc>
          <w:tcPr>
            <w:tcW w:w="464" w:type="pct"/>
            <w:tcBorders>
              <w:top w:val="single" w:sz="8" w:space="0" w:color="auto"/>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20"/>
                <w:szCs w:val="20"/>
              </w:rPr>
            </w:pPr>
            <w:r w:rsidRPr="00A76C07">
              <w:rPr>
                <w:b/>
                <w:noProof/>
                <w:sz w:val="20"/>
              </w:rPr>
              <w:t>1,128</w:t>
            </w:r>
          </w:p>
        </w:tc>
      </w:tr>
    </w:tbl>
    <w:p w:rsidR="005E08AC" w:rsidRPr="00A76C07" w:rsidRDefault="005E08AC" w:rsidP="005E08AC">
      <w:pPr>
        <w:jc w:val="right"/>
        <w:rPr>
          <w:noProof/>
          <w:sz w:val="20"/>
        </w:rPr>
      </w:pPr>
      <w:r w:rsidRPr="00A76C07">
        <w:rPr>
          <w:noProof/>
          <w:sz w:val="20"/>
        </w:rPr>
        <w:t>v mio. EUR (na tri decimalna mesta natančno)</w:t>
      </w:r>
    </w:p>
    <w:tbl>
      <w:tblPr>
        <w:tblW w:w="5000" w:type="pct"/>
        <w:tblLook w:val="04A0" w:firstRow="1" w:lastRow="0" w:firstColumn="1" w:lastColumn="0" w:noHBand="0" w:noVBand="1"/>
      </w:tblPr>
      <w:tblGrid>
        <w:gridCol w:w="5609"/>
        <w:gridCol w:w="2079"/>
        <w:gridCol w:w="1254"/>
        <w:gridCol w:w="1254"/>
        <w:gridCol w:w="1254"/>
        <w:gridCol w:w="1254"/>
        <w:gridCol w:w="1516"/>
      </w:tblGrid>
      <w:tr w:rsidR="009F647E" w:rsidRPr="00A76C07" w:rsidTr="00E738B1">
        <w:trPr>
          <w:trHeight w:val="288"/>
        </w:trPr>
        <w:tc>
          <w:tcPr>
            <w:tcW w:w="2703"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Cs w:val="24"/>
                <w:lang w:eastAsia="en-IE"/>
              </w:rPr>
            </w:pPr>
          </w:p>
        </w:tc>
        <w:tc>
          <w:tcPr>
            <w:tcW w:w="441"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VFO 2021–2027 SKUPAJ</w:t>
            </w:r>
          </w:p>
        </w:tc>
      </w:tr>
      <w:tr w:rsidR="009F647E" w:rsidRPr="00A76C07" w:rsidTr="00E738B1">
        <w:trPr>
          <w:trHeight w:val="300"/>
        </w:trPr>
        <w:tc>
          <w:tcPr>
            <w:tcW w:w="2703" w:type="pct"/>
            <w:gridSpan w:val="2"/>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5E08AC" w:rsidRPr="00A76C07" w:rsidRDefault="005E08AC">
            <w:pPr>
              <w:spacing w:before="0" w:after="0"/>
              <w:jc w:val="left"/>
              <w:rPr>
                <w:b/>
                <w:bCs/>
                <w:noProof/>
                <w:sz w:val="20"/>
                <w:szCs w:val="20"/>
                <w:lang w:eastAsia="en-IE"/>
              </w:rPr>
            </w:pPr>
          </w:p>
        </w:tc>
      </w:tr>
      <w:tr w:rsidR="009F647E" w:rsidRPr="00A76C07" w:rsidTr="00E738B1">
        <w:trPr>
          <w:trHeight w:val="564"/>
        </w:trPr>
        <w:tc>
          <w:tcPr>
            <w:tcW w:w="1972"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E738B1" w:rsidRPr="00A76C07" w:rsidRDefault="00E738B1" w:rsidP="00E738B1">
            <w:pPr>
              <w:spacing w:before="0" w:after="0"/>
              <w:jc w:val="center"/>
              <w:rPr>
                <w:b/>
                <w:bCs/>
                <w:noProof/>
                <w:sz w:val="22"/>
              </w:rPr>
            </w:pPr>
            <w:r w:rsidRPr="00A76C07">
              <w:rPr>
                <w:b/>
                <w:noProof/>
                <w:sz w:val="22"/>
              </w:rPr>
              <w:t>Odobritve iz RAZDELKOV od 1 do 7</w:t>
            </w:r>
            <w:r w:rsidRPr="00A76C07">
              <w:rPr>
                <w:b/>
                <w:noProof/>
                <w:sz w:val="22"/>
              </w:rPr>
              <w:br/>
            </w:r>
            <w:r w:rsidRPr="00A76C07">
              <w:rPr>
                <w:noProof/>
                <w:sz w:val="22"/>
              </w:rPr>
              <w:t>večletnega finančnega okvira</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E738B1" w:rsidRPr="00A76C07" w:rsidRDefault="00E738B1" w:rsidP="00E738B1">
            <w:pPr>
              <w:spacing w:before="0" w:after="0"/>
              <w:rPr>
                <w:noProof/>
                <w:sz w:val="18"/>
                <w:szCs w:val="18"/>
              </w:rPr>
            </w:pPr>
            <w:r w:rsidRPr="00A76C07">
              <w:rPr>
                <w:noProof/>
                <w:sz w:val="18"/>
              </w:rPr>
              <w:t>obveznosti</w:t>
            </w:r>
          </w:p>
        </w:tc>
        <w:tc>
          <w:tcPr>
            <w:tcW w:w="44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0,000</w:t>
            </w:r>
          </w:p>
        </w:tc>
        <w:tc>
          <w:tcPr>
            <w:tcW w:w="44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0,376</w:t>
            </w:r>
          </w:p>
        </w:tc>
        <w:tc>
          <w:tcPr>
            <w:tcW w:w="44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0, 376</w:t>
            </w:r>
          </w:p>
        </w:tc>
        <w:tc>
          <w:tcPr>
            <w:tcW w:w="44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0,376</w:t>
            </w:r>
          </w:p>
        </w:tc>
        <w:tc>
          <w:tcPr>
            <w:tcW w:w="533"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1,128</w:t>
            </w:r>
          </w:p>
        </w:tc>
      </w:tr>
      <w:tr w:rsidR="009F647E" w:rsidRPr="00A76C07" w:rsidTr="00E738B1">
        <w:trPr>
          <w:trHeight w:val="540"/>
        </w:trPr>
        <w:tc>
          <w:tcPr>
            <w:tcW w:w="1972"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E738B1" w:rsidRPr="00A76C07" w:rsidRDefault="00E738B1" w:rsidP="00E738B1">
            <w:pPr>
              <w:spacing w:before="0" w:after="0"/>
              <w:jc w:val="center"/>
              <w:rPr>
                <w:noProof/>
                <w:sz w:val="22"/>
              </w:rPr>
            </w:pPr>
            <w:r w:rsidRPr="00A76C07">
              <w:rPr>
                <w:noProof/>
                <w:sz w:val="22"/>
              </w:rPr>
              <w:t>SKUPAJ</w:t>
            </w:r>
            <w:r w:rsidRPr="00A76C07">
              <w:rPr>
                <w:b/>
                <w:noProof/>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E738B1" w:rsidRPr="00A76C07" w:rsidRDefault="00E738B1" w:rsidP="00E738B1">
            <w:pPr>
              <w:spacing w:before="0" w:after="0"/>
              <w:rPr>
                <w:noProof/>
                <w:sz w:val="18"/>
                <w:szCs w:val="18"/>
              </w:rPr>
            </w:pPr>
            <w:r w:rsidRPr="00A76C07">
              <w:rPr>
                <w:noProof/>
                <w:sz w:val="18"/>
              </w:rPr>
              <w:t>plačila</w:t>
            </w:r>
          </w:p>
        </w:tc>
        <w:tc>
          <w:tcPr>
            <w:tcW w:w="44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0,000</w:t>
            </w:r>
          </w:p>
        </w:tc>
        <w:tc>
          <w:tcPr>
            <w:tcW w:w="44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Cs w:val="24"/>
              </w:rPr>
            </w:pPr>
            <w:r w:rsidRPr="00A76C07">
              <w:rPr>
                <w:b/>
                <w:noProof/>
              </w:rPr>
              <w:t>0,376</w:t>
            </w:r>
          </w:p>
        </w:tc>
        <w:tc>
          <w:tcPr>
            <w:tcW w:w="44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Cs w:val="24"/>
              </w:rPr>
            </w:pPr>
            <w:r w:rsidRPr="00A76C07">
              <w:rPr>
                <w:b/>
                <w:noProof/>
              </w:rPr>
              <w:t>0,376</w:t>
            </w:r>
          </w:p>
        </w:tc>
        <w:tc>
          <w:tcPr>
            <w:tcW w:w="44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Cs w:val="24"/>
              </w:rPr>
            </w:pPr>
            <w:r w:rsidRPr="00A76C07">
              <w:rPr>
                <w:b/>
                <w:noProof/>
              </w:rPr>
              <w:t>0,376</w:t>
            </w:r>
          </w:p>
        </w:tc>
        <w:tc>
          <w:tcPr>
            <w:tcW w:w="533"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Cs w:val="24"/>
              </w:rPr>
            </w:pPr>
            <w:r w:rsidRPr="00A76C07">
              <w:rPr>
                <w:b/>
                <w:noProof/>
              </w:rPr>
              <w:t>1,128</w:t>
            </w:r>
          </w:p>
        </w:tc>
      </w:tr>
    </w:tbl>
    <w:p w:rsidR="005E08AC" w:rsidRPr="00A76C07" w:rsidRDefault="005E08AC" w:rsidP="005E08AC">
      <w:pPr>
        <w:rPr>
          <w:noProof/>
        </w:rPr>
      </w:pPr>
      <w:r w:rsidRPr="00A76C07">
        <w:rPr>
          <w:noProof/>
        </w:rPr>
        <w:t>=================================================================================================</w:t>
      </w:r>
    </w:p>
    <w:p w:rsidR="005E08AC" w:rsidRPr="00A76C07" w:rsidRDefault="005E08AC" w:rsidP="005E08AC">
      <w:pPr>
        <w:rPr>
          <w:noProof/>
        </w:rPr>
      </w:pPr>
    </w:p>
    <w:p w:rsidR="00DF007B" w:rsidRPr="00A76C07" w:rsidRDefault="00DF007B" w:rsidP="00DF007B">
      <w:pPr>
        <w:jc w:val="left"/>
        <w:rPr>
          <w:i/>
          <w:iCs/>
          <w:noProof/>
        </w:rPr>
      </w:pPr>
      <w:bookmarkStart w:id="173" w:name="_Toc514938054"/>
      <w:bookmarkStart w:id="174" w:name="_Toc520485053"/>
      <w:bookmarkStart w:id="175" w:name="_Toc160804597"/>
      <w:bookmarkStart w:id="176" w:name="_Toc167220289"/>
      <w:bookmarkStart w:id="177" w:name="_Toc177549022"/>
    </w:p>
    <w:p w:rsidR="00DF007B" w:rsidRPr="00A76C07" w:rsidRDefault="00DF007B" w:rsidP="00DF007B">
      <w:pPr>
        <w:jc w:val="left"/>
        <w:rPr>
          <w:i/>
          <w:iCs/>
          <w:noProof/>
        </w:rPr>
      </w:pPr>
    </w:p>
    <w:p w:rsidR="00DF007B" w:rsidRPr="00A76C07" w:rsidRDefault="00DF007B" w:rsidP="00A7582E">
      <w:pPr>
        <w:pStyle w:val="ManualHeading3"/>
        <w:rPr>
          <w:noProof/>
        </w:rPr>
      </w:pPr>
      <w:bookmarkStart w:id="178" w:name="_Toc199239283"/>
      <w:r w:rsidRPr="00A76C07">
        <w:rPr>
          <w:noProof/>
        </w:rPr>
        <w:t>3.2.2</w:t>
      </w:r>
      <w:r w:rsidRPr="00A76C07">
        <w:rPr>
          <w:noProof/>
        </w:rPr>
        <w:tab/>
        <w:t>Ocenjene realizacije, financirane iz odobritev za poslovanje</w:t>
      </w:r>
      <w:bookmarkEnd w:id="173"/>
      <w:bookmarkEnd w:id="174"/>
      <w:r w:rsidRPr="00A76C07">
        <w:rPr>
          <w:noProof/>
        </w:rPr>
        <w:t xml:space="preserve"> (se ne izpolnjuje za decentralizirane agencije)</w:t>
      </w:r>
      <w:bookmarkEnd w:id="175"/>
      <w:bookmarkEnd w:id="176"/>
      <w:bookmarkEnd w:id="177"/>
      <w:bookmarkEnd w:id="178"/>
    </w:p>
    <w:p w:rsidR="00DF007B" w:rsidRPr="00A76C07" w:rsidRDefault="00DF007B" w:rsidP="00DF007B">
      <w:pPr>
        <w:jc w:val="right"/>
        <w:rPr>
          <w:noProof/>
          <w:sz w:val="20"/>
        </w:rPr>
      </w:pPr>
      <w:r w:rsidRPr="00A76C07">
        <w:rPr>
          <w:noProof/>
          <w:sz w:val="20"/>
        </w:rPr>
        <w:t>odobritve za prevzem obveznosti v mio. EUR (na tri decimalna mesta natančno)</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DF007B" w:rsidRPr="00A76C07" w:rsidTr="0069653F">
        <w:trPr>
          <w:jc w:val="center"/>
        </w:trPr>
        <w:tc>
          <w:tcPr>
            <w:tcW w:w="1423" w:type="dxa"/>
            <w:vMerge w:val="restart"/>
            <w:vAlign w:val="center"/>
          </w:tcPr>
          <w:p w:rsidR="00DF007B" w:rsidRPr="00A76C07" w:rsidRDefault="00DF007B" w:rsidP="0069653F">
            <w:pPr>
              <w:ind w:right="-29"/>
              <w:jc w:val="center"/>
              <w:rPr>
                <w:b/>
                <w:noProof/>
                <w:sz w:val="18"/>
                <w:szCs w:val="18"/>
              </w:rPr>
            </w:pPr>
            <w:r w:rsidRPr="00A76C07">
              <w:rPr>
                <w:b/>
                <w:noProof/>
                <w:sz w:val="18"/>
              </w:rPr>
              <w:t xml:space="preserve">Cilji in realizacije </w:t>
            </w:r>
          </w:p>
          <w:p w:rsidR="00DF007B" w:rsidRPr="00A76C07" w:rsidRDefault="00DF007B" w:rsidP="0069653F">
            <w:pPr>
              <w:ind w:right="-29"/>
              <w:jc w:val="center"/>
              <w:rPr>
                <w:b/>
                <w:noProof/>
                <w:sz w:val="18"/>
                <w:szCs w:val="18"/>
              </w:rPr>
            </w:pPr>
          </w:p>
          <w:p w:rsidR="00DF007B" w:rsidRPr="00A76C07" w:rsidRDefault="00DF007B" w:rsidP="0069653F">
            <w:pPr>
              <w:ind w:right="-29"/>
              <w:jc w:val="center"/>
              <w:rPr>
                <w:noProof/>
                <w:sz w:val="18"/>
                <w:szCs w:val="18"/>
              </w:rPr>
            </w:pPr>
            <w:r w:rsidRPr="00A76C07">
              <w:rPr>
                <w:rFonts w:ascii="Wingdings" w:hAnsi="Wingdings"/>
                <w:noProof/>
                <w:sz w:val="18"/>
              </w:rPr>
              <w:t></w:t>
            </w:r>
          </w:p>
        </w:tc>
        <w:tc>
          <w:tcPr>
            <w:tcW w:w="720" w:type="dxa"/>
            <w:vAlign w:val="center"/>
          </w:tcPr>
          <w:p w:rsidR="00DF007B" w:rsidRPr="00A76C07" w:rsidRDefault="00DF007B" w:rsidP="0069653F">
            <w:pPr>
              <w:ind w:right="-29"/>
              <w:jc w:val="center"/>
              <w:rPr>
                <w:noProof/>
                <w:sz w:val="18"/>
                <w:szCs w:val="18"/>
              </w:rPr>
            </w:pPr>
          </w:p>
        </w:tc>
        <w:tc>
          <w:tcPr>
            <w:tcW w:w="701" w:type="dxa"/>
            <w:vAlign w:val="center"/>
          </w:tcPr>
          <w:p w:rsidR="00DF007B" w:rsidRPr="00A76C07" w:rsidRDefault="00DF007B" w:rsidP="0069653F">
            <w:pPr>
              <w:ind w:right="-29"/>
              <w:jc w:val="center"/>
              <w:rPr>
                <w:noProof/>
                <w:sz w:val="18"/>
                <w:szCs w:val="18"/>
              </w:rPr>
            </w:pPr>
          </w:p>
        </w:tc>
        <w:tc>
          <w:tcPr>
            <w:tcW w:w="1224" w:type="dxa"/>
            <w:gridSpan w:val="2"/>
            <w:tcBorders>
              <w:left w:val="nil"/>
            </w:tcBorders>
            <w:vAlign w:val="center"/>
          </w:tcPr>
          <w:p w:rsidR="00DF007B" w:rsidRPr="00A76C07" w:rsidRDefault="00DF007B" w:rsidP="0069653F">
            <w:pPr>
              <w:ind w:right="-29"/>
              <w:jc w:val="center"/>
              <w:rPr>
                <w:noProof/>
                <w:sz w:val="18"/>
                <w:szCs w:val="18"/>
              </w:rPr>
            </w:pPr>
            <w:r w:rsidRPr="00A76C07">
              <w:rPr>
                <w:noProof/>
                <w:sz w:val="18"/>
              </w:rPr>
              <w:t>Leto </w:t>
            </w:r>
            <w:r w:rsidRPr="00A76C07">
              <w:rPr>
                <w:noProof/>
              </w:rPr>
              <w:br/>
            </w:r>
            <w:r w:rsidRPr="00A76C07">
              <w:rPr>
                <w:b/>
                <w:noProof/>
                <w:sz w:val="18"/>
              </w:rPr>
              <w:t>2024</w:t>
            </w:r>
          </w:p>
        </w:tc>
        <w:tc>
          <w:tcPr>
            <w:tcW w:w="1260" w:type="dxa"/>
            <w:gridSpan w:val="2"/>
            <w:vAlign w:val="center"/>
          </w:tcPr>
          <w:p w:rsidR="00DF007B" w:rsidRPr="00A76C07" w:rsidRDefault="00DF007B" w:rsidP="0069653F">
            <w:pPr>
              <w:ind w:right="-29"/>
              <w:jc w:val="center"/>
              <w:rPr>
                <w:noProof/>
                <w:sz w:val="18"/>
                <w:szCs w:val="18"/>
              </w:rPr>
            </w:pPr>
            <w:r w:rsidRPr="00A76C07">
              <w:rPr>
                <w:noProof/>
                <w:sz w:val="18"/>
              </w:rPr>
              <w:t>Leto </w:t>
            </w:r>
            <w:r w:rsidRPr="00A76C07">
              <w:rPr>
                <w:noProof/>
              </w:rPr>
              <w:br/>
            </w:r>
            <w:r w:rsidRPr="00A76C07">
              <w:rPr>
                <w:b/>
                <w:noProof/>
                <w:sz w:val="18"/>
              </w:rPr>
              <w:t>2025</w:t>
            </w:r>
          </w:p>
        </w:tc>
        <w:tc>
          <w:tcPr>
            <w:tcW w:w="1440" w:type="dxa"/>
            <w:gridSpan w:val="2"/>
            <w:vAlign w:val="center"/>
          </w:tcPr>
          <w:p w:rsidR="00DF007B" w:rsidRPr="00A76C07" w:rsidRDefault="00DF007B" w:rsidP="0069653F">
            <w:pPr>
              <w:ind w:right="-29"/>
              <w:jc w:val="center"/>
              <w:rPr>
                <w:noProof/>
                <w:sz w:val="18"/>
                <w:szCs w:val="18"/>
              </w:rPr>
            </w:pPr>
            <w:r w:rsidRPr="00A76C07">
              <w:rPr>
                <w:noProof/>
                <w:sz w:val="18"/>
              </w:rPr>
              <w:t>Leto </w:t>
            </w:r>
            <w:r w:rsidRPr="00A76C07">
              <w:rPr>
                <w:noProof/>
              </w:rPr>
              <w:br/>
            </w:r>
            <w:r w:rsidRPr="00A76C07">
              <w:rPr>
                <w:b/>
                <w:noProof/>
                <w:sz w:val="18"/>
              </w:rPr>
              <w:t>2026</w:t>
            </w:r>
          </w:p>
        </w:tc>
        <w:tc>
          <w:tcPr>
            <w:tcW w:w="1620" w:type="dxa"/>
            <w:gridSpan w:val="3"/>
            <w:vAlign w:val="center"/>
          </w:tcPr>
          <w:p w:rsidR="00DF007B" w:rsidRPr="00A76C07" w:rsidRDefault="00DF007B" w:rsidP="0069653F">
            <w:pPr>
              <w:ind w:right="-29"/>
              <w:jc w:val="center"/>
              <w:rPr>
                <w:noProof/>
                <w:sz w:val="18"/>
                <w:szCs w:val="18"/>
              </w:rPr>
            </w:pPr>
            <w:r w:rsidRPr="00A76C07">
              <w:rPr>
                <w:noProof/>
                <w:sz w:val="18"/>
              </w:rPr>
              <w:t>Leto </w:t>
            </w:r>
            <w:r w:rsidRPr="00A76C07">
              <w:rPr>
                <w:noProof/>
              </w:rPr>
              <w:br/>
            </w:r>
            <w:r w:rsidRPr="00A76C07">
              <w:rPr>
                <w:b/>
                <w:noProof/>
                <w:sz w:val="18"/>
              </w:rPr>
              <w:t>2027</w:t>
            </w:r>
          </w:p>
        </w:tc>
        <w:tc>
          <w:tcPr>
            <w:tcW w:w="3600" w:type="dxa"/>
            <w:gridSpan w:val="6"/>
            <w:vAlign w:val="center"/>
          </w:tcPr>
          <w:p w:rsidR="00DF007B" w:rsidRPr="00A76C07" w:rsidRDefault="00DF007B" w:rsidP="0069653F">
            <w:pPr>
              <w:jc w:val="center"/>
              <w:rPr>
                <w:noProof/>
                <w:sz w:val="18"/>
                <w:szCs w:val="18"/>
              </w:rPr>
            </w:pPr>
            <w:r w:rsidRPr="00A76C07">
              <w:rPr>
                <w:noProof/>
                <w:sz w:val="18"/>
              </w:rPr>
              <w:t>Vstavite ustrezno število let glede na trajanje posledic (gl. Oddelek 1.6)</w:t>
            </w:r>
          </w:p>
        </w:tc>
        <w:tc>
          <w:tcPr>
            <w:tcW w:w="1620" w:type="dxa"/>
            <w:gridSpan w:val="2"/>
            <w:tcBorders>
              <w:left w:val="nil"/>
              <w:bottom w:val="nil"/>
            </w:tcBorders>
            <w:vAlign w:val="center"/>
          </w:tcPr>
          <w:p w:rsidR="00DF007B" w:rsidRPr="00A76C07" w:rsidRDefault="00DF007B" w:rsidP="0069653F">
            <w:pPr>
              <w:ind w:right="-29"/>
              <w:jc w:val="center"/>
              <w:rPr>
                <w:noProof/>
                <w:sz w:val="18"/>
                <w:szCs w:val="18"/>
              </w:rPr>
            </w:pPr>
            <w:r w:rsidRPr="00A76C07">
              <w:rPr>
                <w:b/>
                <w:noProof/>
                <w:sz w:val="18"/>
              </w:rPr>
              <w:t>SKUPAJ</w:t>
            </w:r>
          </w:p>
        </w:tc>
      </w:tr>
      <w:tr w:rsidR="00DF007B" w:rsidRPr="00A76C07" w:rsidTr="0069653F">
        <w:trPr>
          <w:jc w:val="center"/>
        </w:trPr>
        <w:tc>
          <w:tcPr>
            <w:tcW w:w="1423" w:type="dxa"/>
            <w:vMerge/>
            <w:vAlign w:val="center"/>
          </w:tcPr>
          <w:p w:rsidR="00DF007B" w:rsidRPr="00A76C07" w:rsidRDefault="00DF007B" w:rsidP="0069653F">
            <w:pPr>
              <w:ind w:right="-29"/>
              <w:jc w:val="center"/>
              <w:rPr>
                <w:noProof/>
                <w:sz w:val="18"/>
                <w:szCs w:val="18"/>
              </w:rPr>
            </w:pPr>
          </w:p>
        </w:tc>
        <w:tc>
          <w:tcPr>
            <w:tcW w:w="12185" w:type="dxa"/>
            <w:gridSpan w:val="19"/>
            <w:vAlign w:val="center"/>
          </w:tcPr>
          <w:p w:rsidR="00DF007B" w:rsidRPr="00A76C07" w:rsidRDefault="00DF007B" w:rsidP="0069653F">
            <w:pPr>
              <w:spacing w:before="60" w:after="60"/>
              <w:ind w:right="-29"/>
              <w:jc w:val="center"/>
              <w:rPr>
                <w:noProof/>
                <w:sz w:val="18"/>
                <w:szCs w:val="18"/>
              </w:rPr>
            </w:pPr>
            <w:r w:rsidRPr="00A76C07">
              <w:rPr>
                <w:b/>
                <w:noProof/>
                <w:sz w:val="18"/>
              </w:rPr>
              <w:t>REALIZACIJE</w:t>
            </w:r>
          </w:p>
        </w:tc>
      </w:tr>
      <w:tr w:rsidR="00DF007B" w:rsidRPr="00A76C07" w:rsidTr="0069653F">
        <w:trPr>
          <w:cantSplit/>
          <w:trHeight w:val="1134"/>
          <w:jc w:val="center"/>
        </w:trPr>
        <w:tc>
          <w:tcPr>
            <w:tcW w:w="1423" w:type="dxa"/>
            <w:vMerge/>
            <w:vAlign w:val="center"/>
          </w:tcPr>
          <w:p w:rsidR="00DF007B" w:rsidRPr="00A76C07" w:rsidRDefault="00DF007B" w:rsidP="0069653F">
            <w:pPr>
              <w:rPr>
                <w:noProof/>
                <w:sz w:val="18"/>
                <w:szCs w:val="18"/>
              </w:rPr>
            </w:pPr>
          </w:p>
        </w:tc>
        <w:tc>
          <w:tcPr>
            <w:tcW w:w="720" w:type="dxa"/>
            <w:vAlign w:val="center"/>
          </w:tcPr>
          <w:p w:rsidR="00DF007B" w:rsidRPr="00A76C07" w:rsidRDefault="00DF007B" w:rsidP="0069653F">
            <w:pPr>
              <w:jc w:val="center"/>
              <w:rPr>
                <w:noProof/>
                <w:sz w:val="18"/>
                <w:szCs w:val="18"/>
              </w:rPr>
            </w:pPr>
            <w:r w:rsidRPr="00A76C07">
              <w:rPr>
                <w:noProof/>
                <w:sz w:val="18"/>
              </w:rPr>
              <w:t>vrsta</w:t>
            </w:r>
            <w:r w:rsidRPr="00A76C07">
              <w:rPr>
                <w:rStyle w:val="FootnoteReference"/>
                <w:noProof/>
                <w:sz w:val="18"/>
              </w:rPr>
              <w:footnoteReference w:id="30"/>
            </w:r>
          </w:p>
          <w:p w:rsidR="00DF007B" w:rsidRPr="00A76C07" w:rsidRDefault="00DF007B" w:rsidP="0069653F">
            <w:pPr>
              <w:spacing w:before="0" w:after="0"/>
              <w:jc w:val="center"/>
              <w:rPr>
                <w:noProof/>
                <w:sz w:val="18"/>
                <w:szCs w:val="18"/>
              </w:rPr>
            </w:pPr>
          </w:p>
        </w:tc>
        <w:tc>
          <w:tcPr>
            <w:tcW w:w="701" w:type="dxa"/>
            <w:vAlign w:val="center"/>
          </w:tcPr>
          <w:p w:rsidR="00DF007B" w:rsidRPr="00A76C07" w:rsidRDefault="00DF007B" w:rsidP="0069653F">
            <w:pPr>
              <w:jc w:val="center"/>
              <w:rPr>
                <w:noProof/>
                <w:sz w:val="18"/>
                <w:szCs w:val="18"/>
              </w:rPr>
            </w:pPr>
            <w:r w:rsidRPr="00A76C07">
              <w:rPr>
                <w:noProof/>
                <w:sz w:val="18"/>
              </w:rPr>
              <w:t>povprečni stroški</w:t>
            </w:r>
          </w:p>
        </w:tc>
        <w:tc>
          <w:tcPr>
            <w:tcW w:w="504" w:type="dxa"/>
            <w:tcBorders>
              <w:left w:val="nil"/>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540"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720"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900"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gridSpan w:val="2"/>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540"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648"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432"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540" w:type="dxa"/>
            <w:tcBorders>
              <w:right w:val="dashSmallGap" w:sz="4" w:space="0" w:color="auto"/>
            </w:tcBorders>
            <w:shd w:val="pct10" w:color="auto" w:fill="auto"/>
            <w:textDirection w:val="btLr"/>
            <w:vAlign w:val="center"/>
          </w:tcPr>
          <w:p w:rsidR="00DF007B" w:rsidRPr="00A76C07" w:rsidRDefault="00DF007B" w:rsidP="0069653F">
            <w:pPr>
              <w:ind w:left="113" w:right="113"/>
              <w:jc w:val="center"/>
              <w:rPr>
                <w:noProof/>
                <w:sz w:val="18"/>
                <w:szCs w:val="18"/>
              </w:rPr>
            </w:pPr>
            <w:r w:rsidRPr="00A76C07">
              <w:rPr>
                <w:noProof/>
                <w:sz w:val="18"/>
              </w:rPr>
              <w:t>Ne</w:t>
            </w:r>
          </w:p>
        </w:tc>
        <w:tc>
          <w:tcPr>
            <w:tcW w:w="72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w:t>
            </w:r>
          </w:p>
        </w:tc>
        <w:tc>
          <w:tcPr>
            <w:tcW w:w="720" w:type="dxa"/>
            <w:tcBorders>
              <w:righ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število realizacij skupaj</w:t>
            </w:r>
          </w:p>
        </w:tc>
        <w:tc>
          <w:tcPr>
            <w:tcW w:w="900" w:type="dxa"/>
            <w:tcBorders>
              <w:left w:val="dashSmallGap" w:sz="4" w:space="0" w:color="auto"/>
            </w:tcBorders>
            <w:shd w:val="pct10" w:color="auto" w:fill="auto"/>
            <w:vAlign w:val="center"/>
          </w:tcPr>
          <w:p w:rsidR="00DF007B" w:rsidRPr="00A76C07" w:rsidRDefault="00DF007B" w:rsidP="0069653F">
            <w:pPr>
              <w:jc w:val="center"/>
              <w:rPr>
                <w:noProof/>
                <w:sz w:val="18"/>
                <w:szCs w:val="18"/>
              </w:rPr>
            </w:pPr>
            <w:r w:rsidRPr="00A76C07">
              <w:rPr>
                <w:noProof/>
                <w:sz w:val="18"/>
              </w:rPr>
              <w:t>stroški realizacij skupaj</w:t>
            </w:r>
          </w:p>
        </w:tc>
      </w:tr>
      <w:tr w:rsidR="00DF007B" w:rsidRPr="00A76C07" w:rsidTr="0069653F">
        <w:trPr>
          <w:jc w:val="center"/>
        </w:trPr>
        <w:tc>
          <w:tcPr>
            <w:tcW w:w="2844" w:type="dxa"/>
            <w:gridSpan w:val="3"/>
            <w:vAlign w:val="center"/>
          </w:tcPr>
          <w:p w:rsidR="00DF007B" w:rsidRPr="00A76C07" w:rsidRDefault="00DF007B" w:rsidP="0069653F">
            <w:pPr>
              <w:spacing w:before="60" w:after="60"/>
              <w:ind w:right="-29"/>
              <w:jc w:val="center"/>
              <w:rPr>
                <w:noProof/>
                <w:sz w:val="18"/>
                <w:szCs w:val="18"/>
              </w:rPr>
            </w:pPr>
            <w:r w:rsidRPr="00A76C07">
              <w:rPr>
                <w:noProof/>
                <w:sz w:val="18"/>
              </w:rPr>
              <w:t>SPECIFIČNI CILJ št. 1</w:t>
            </w:r>
            <w:r w:rsidRPr="00A76C07">
              <w:rPr>
                <w:rStyle w:val="FootnoteReference"/>
                <w:noProof/>
                <w:sz w:val="18"/>
              </w:rPr>
              <w:footnoteReference w:id="31"/>
            </w:r>
            <w:r w:rsidRPr="00A76C07">
              <w:rPr>
                <w:noProof/>
                <w:sz w:val="18"/>
              </w:rPr>
              <w:t>…</w:t>
            </w:r>
          </w:p>
        </w:tc>
        <w:tc>
          <w:tcPr>
            <w:tcW w:w="504"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90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gridSpan w:val="2"/>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648"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432"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90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r>
      <w:tr w:rsidR="00DF007B" w:rsidRPr="00A76C07" w:rsidTr="0069653F">
        <w:trPr>
          <w:trHeight w:hRule="exact" w:val="369"/>
          <w:jc w:val="center"/>
        </w:trPr>
        <w:tc>
          <w:tcPr>
            <w:tcW w:w="1423" w:type="dxa"/>
          </w:tcPr>
          <w:p w:rsidR="00DF007B" w:rsidRPr="00A76C07" w:rsidRDefault="00DF007B" w:rsidP="0069653F">
            <w:pPr>
              <w:ind w:right="-29"/>
              <w:jc w:val="center"/>
              <w:rPr>
                <w:noProof/>
                <w:sz w:val="18"/>
                <w:szCs w:val="18"/>
              </w:rPr>
            </w:pPr>
            <w:r w:rsidRPr="00A76C07">
              <w:rPr>
                <w:noProof/>
                <w:sz w:val="18"/>
              </w:rPr>
              <w:t>– realizacija</w:t>
            </w:r>
          </w:p>
        </w:tc>
        <w:tc>
          <w:tcPr>
            <w:tcW w:w="720" w:type="dxa"/>
          </w:tcPr>
          <w:p w:rsidR="00DF007B" w:rsidRPr="00A76C07" w:rsidRDefault="00DF007B" w:rsidP="0069653F">
            <w:pPr>
              <w:ind w:right="-29"/>
              <w:jc w:val="center"/>
              <w:rPr>
                <w:noProof/>
                <w:sz w:val="18"/>
                <w:szCs w:val="18"/>
              </w:rPr>
            </w:pPr>
          </w:p>
        </w:tc>
        <w:tc>
          <w:tcPr>
            <w:tcW w:w="701" w:type="dxa"/>
          </w:tcPr>
          <w:p w:rsidR="00DF007B" w:rsidRPr="00A76C07" w:rsidRDefault="00DF007B" w:rsidP="0069653F">
            <w:pPr>
              <w:ind w:right="-29"/>
              <w:jc w:val="center"/>
              <w:rPr>
                <w:noProof/>
                <w:sz w:val="18"/>
                <w:szCs w:val="18"/>
              </w:rPr>
            </w:pPr>
          </w:p>
        </w:tc>
        <w:tc>
          <w:tcPr>
            <w:tcW w:w="504"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72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900" w:type="dxa"/>
            <w:tcBorders>
              <w:right w:val="dashSmallGap" w:sz="4" w:space="0" w:color="auto"/>
            </w:tcBorders>
          </w:tcPr>
          <w:p w:rsidR="00DF007B" w:rsidRPr="00A76C07" w:rsidRDefault="00DF007B" w:rsidP="0069653F">
            <w:pPr>
              <w:ind w:right="-29"/>
              <w:jc w:val="center"/>
              <w:rPr>
                <w:noProof/>
                <w:sz w:val="18"/>
                <w:szCs w:val="18"/>
              </w:rPr>
            </w:pPr>
          </w:p>
        </w:tc>
        <w:tc>
          <w:tcPr>
            <w:tcW w:w="720" w:type="dxa"/>
            <w:gridSpan w:val="2"/>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648" w:type="dxa"/>
            <w:tcBorders>
              <w:left w:val="dashSmallGap" w:sz="4" w:space="0" w:color="auto"/>
            </w:tcBorders>
          </w:tcPr>
          <w:p w:rsidR="00DF007B" w:rsidRPr="00A76C07" w:rsidRDefault="00DF007B" w:rsidP="0069653F">
            <w:pPr>
              <w:ind w:right="-29"/>
              <w:jc w:val="center"/>
              <w:rPr>
                <w:noProof/>
                <w:sz w:val="18"/>
                <w:szCs w:val="18"/>
              </w:rPr>
            </w:pPr>
          </w:p>
        </w:tc>
        <w:tc>
          <w:tcPr>
            <w:tcW w:w="432"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r>
      <w:tr w:rsidR="00DF007B" w:rsidRPr="00A76C07" w:rsidTr="0069653F">
        <w:trPr>
          <w:trHeight w:hRule="exact" w:val="369"/>
          <w:jc w:val="center"/>
        </w:trPr>
        <w:tc>
          <w:tcPr>
            <w:tcW w:w="1423" w:type="dxa"/>
          </w:tcPr>
          <w:p w:rsidR="00DF007B" w:rsidRPr="00A76C07" w:rsidRDefault="00DF007B" w:rsidP="0069653F">
            <w:pPr>
              <w:ind w:right="-29"/>
              <w:jc w:val="center"/>
              <w:rPr>
                <w:noProof/>
                <w:sz w:val="18"/>
                <w:szCs w:val="18"/>
              </w:rPr>
            </w:pPr>
            <w:r w:rsidRPr="00A76C07">
              <w:rPr>
                <w:noProof/>
                <w:sz w:val="18"/>
              </w:rPr>
              <w:t>– realizacija</w:t>
            </w:r>
          </w:p>
        </w:tc>
        <w:tc>
          <w:tcPr>
            <w:tcW w:w="720" w:type="dxa"/>
          </w:tcPr>
          <w:p w:rsidR="00DF007B" w:rsidRPr="00A76C07" w:rsidRDefault="00DF007B" w:rsidP="0069653F">
            <w:pPr>
              <w:ind w:right="-29"/>
              <w:jc w:val="center"/>
              <w:rPr>
                <w:noProof/>
                <w:sz w:val="18"/>
                <w:szCs w:val="18"/>
              </w:rPr>
            </w:pPr>
          </w:p>
        </w:tc>
        <w:tc>
          <w:tcPr>
            <w:tcW w:w="701" w:type="dxa"/>
          </w:tcPr>
          <w:p w:rsidR="00DF007B" w:rsidRPr="00A76C07" w:rsidRDefault="00DF007B" w:rsidP="0069653F">
            <w:pPr>
              <w:ind w:right="-29"/>
              <w:jc w:val="center"/>
              <w:rPr>
                <w:noProof/>
                <w:sz w:val="18"/>
                <w:szCs w:val="18"/>
              </w:rPr>
            </w:pPr>
          </w:p>
        </w:tc>
        <w:tc>
          <w:tcPr>
            <w:tcW w:w="504"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72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900" w:type="dxa"/>
            <w:tcBorders>
              <w:right w:val="dashSmallGap" w:sz="4" w:space="0" w:color="auto"/>
            </w:tcBorders>
          </w:tcPr>
          <w:p w:rsidR="00DF007B" w:rsidRPr="00A76C07" w:rsidRDefault="00DF007B" w:rsidP="0069653F">
            <w:pPr>
              <w:ind w:right="-29"/>
              <w:jc w:val="center"/>
              <w:rPr>
                <w:noProof/>
                <w:sz w:val="18"/>
                <w:szCs w:val="18"/>
              </w:rPr>
            </w:pPr>
          </w:p>
        </w:tc>
        <w:tc>
          <w:tcPr>
            <w:tcW w:w="720" w:type="dxa"/>
            <w:gridSpan w:val="2"/>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648" w:type="dxa"/>
            <w:tcBorders>
              <w:left w:val="dashSmallGap" w:sz="4" w:space="0" w:color="auto"/>
            </w:tcBorders>
          </w:tcPr>
          <w:p w:rsidR="00DF007B" w:rsidRPr="00A76C07" w:rsidRDefault="00DF007B" w:rsidP="0069653F">
            <w:pPr>
              <w:ind w:right="-29"/>
              <w:jc w:val="center"/>
              <w:rPr>
                <w:noProof/>
                <w:sz w:val="18"/>
                <w:szCs w:val="18"/>
              </w:rPr>
            </w:pPr>
          </w:p>
        </w:tc>
        <w:tc>
          <w:tcPr>
            <w:tcW w:w="432"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540" w:type="dxa"/>
            <w:tcBorders>
              <w:right w:val="dashSmallGap" w:sz="4" w:space="0" w:color="auto"/>
            </w:tcBorders>
          </w:tcPr>
          <w:p w:rsidR="00DF007B" w:rsidRPr="00A76C07" w:rsidRDefault="00DF007B" w:rsidP="0069653F">
            <w:pPr>
              <w:ind w:right="-29"/>
              <w:jc w:val="center"/>
              <w:rPr>
                <w:noProof/>
                <w:sz w:val="18"/>
                <w:szCs w:val="18"/>
              </w:rPr>
            </w:pPr>
          </w:p>
        </w:tc>
        <w:tc>
          <w:tcPr>
            <w:tcW w:w="720" w:type="dxa"/>
            <w:tcBorders>
              <w:left w:val="dashSmallGap" w:sz="4" w:space="0" w:color="auto"/>
            </w:tcBorders>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r>
      <w:tr w:rsidR="00DF007B" w:rsidRPr="00A76C07" w:rsidTr="0069653F">
        <w:trPr>
          <w:trHeight w:hRule="exact" w:val="369"/>
          <w:jc w:val="center"/>
        </w:trPr>
        <w:tc>
          <w:tcPr>
            <w:tcW w:w="1423" w:type="dxa"/>
          </w:tcPr>
          <w:p w:rsidR="00DF007B" w:rsidRPr="00A76C07" w:rsidRDefault="00DF007B" w:rsidP="0069653F">
            <w:pPr>
              <w:ind w:right="-29"/>
              <w:jc w:val="center"/>
              <w:rPr>
                <w:noProof/>
                <w:sz w:val="18"/>
                <w:szCs w:val="18"/>
              </w:rPr>
            </w:pPr>
            <w:r w:rsidRPr="00A76C07">
              <w:rPr>
                <w:noProof/>
                <w:sz w:val="18"/>
              </w:rPr>
              <w:t>– realizacija</w:t>
            </w:r>
          </w:p>
        </w:tc>
        <w:tc>
          <w:tcPr>
            <w:tcW w:w="720" w:type="dxa"/>
          </w:tcPr>
          <w:p w:rsidR="00DF007B" w:rsidRPr="00A76C07" w:rsidRDefault="00DF007B" w:rsidP="0069653F">
            <w:pPr>
              <w:ind w:right="-29"/>
              <w:jc w:val="center"/>
              <w:rPr>
                <w:noProof/>
                <w:sz w:val="18"/>
                <w:szCs w:val="18"/>
              </w:rPr>
            </w:pPr>
          </w:p>
        </w:tc>
        <w:tc>
          <w:tcPr>
            <w:tcW w:w="701" w:type="dxa"/>
          </w:tcPr>
          <w:p w:rsidR="00DF007B" w:rsidRPr="00A76C07" w:rsidRDefault="00DF007B" w:rsidP="0069653F">
            <w:pPr>
              <w:ind w:right="-29"/>
              <w:jc w:val="center"/>
              <w:rPr>
                <w:noProof/>
                <w:sz w:val="18"/>
                <w:szCs w:val="18"/>
              </w:rPr>
            </w:pPr>
          </w:p>
        </w:tc>
        <w:tc>
          <w:tcPr>
            <w:tcW w:w="504"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c>
          <w:tcPr>
            <w:tcW w:w="720" w:type="dxa"/>
            <w:gridSpan w:val="2"/>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648" w:type="dxa"/>
          </w:tcPr>
          <w:p w:rsidR="00DF007B" w:rsidRPr="00A76C07" w:rsidRDefault="00DF007B" w:rsidP="0069653F">
            <w:pPr>
              <w:ind w:right="-29"/>
              <w:jc w:val="center"/>
              <w:rPr>
                <w:noProof/>
                <w:sz w:val="18"/>
                <w:szCs w:val="18"/>
              </w:rPr>
            </w:pPr>
          </w:p>
        </w:tc>
        <w:tc>
          <w:tcPr>
            <w:tcW w:w="432"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r>
      <w:tr w:rsidR="00DF007B" w:rsidRPr="00A76C07" w:rsidTr="0069653F">
        <w:trPr>
          <w:trHeight w:val="77"/>
          <w:jc w:val="center"/>
        </w:trPr>
        <w:tc>
          <w:tcPr>
            <w:tcW w:w="2844" w:type="dxa"/>
            <w:gridSpan w:val="3"/>
            <w:tcBorders>
              <w:bottom w:val="single" w:sz="12" w:space="0" w:color="auto"/>
            </w:tcBorders>
            <w:vAlign w:val="center"/>
          </w:tcPr>
          <w:p w:rsidR="00DF007B" w:rsidRPr="00A76C07" w:rsidRDefault="00DF007B" w:rsidP="0069653F">
            <w:pPr>
              <w:ind w:right="-29"/>
              <w:jc w:val="center"/>
              <w:rPr>
                <w:noProof/>
                <w:sz w:val="18"/>
                <w:szCs w:val="18"/>
              </w:rPr>
            </w:pPr>
            <w:r w:rsidRPr="00A76C07">
              <w:rPr>
                <w:noProof/>
                <w:sz w:val="18"/>
              </w:rPr>
              <w:t>Seštevek za specifični cilj št. 1</w:t>
            </w:r>
          </w:p>
        </w:tc>
        <w:tc>
          <w:tcPr>
            <w:tcW w:w="504"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900" w:type="dxa"/>
            <w:tcBorders>
              <w:bottom w:val="single" w:sz="12" w:space="0" w:color="auto"/>
            </w:tcBorders>
          </w:tcPr>
          <w:p w:rsidR="00DF007B" w:rsidRPr="00A76C07" w:rsidRDefault="00DF007B" w:rsidP="0069653F">
            <w:pPr>
              <w:ind w:right="-29"/>
              <w:jc w:val="center"/>
              <w:rPr>
                <w:noProof/>
                <w:sz w:val="18"/>
                <w:szCs w:val="18"/>
              </w:rPr>
            </w:pPr>
          </w:p>
        </w:tc>
        <w:tc>
          <w:tcPr>
            <w:tcW w:w="720" w:type="dxa"/>
            <w:gridSpan w:val="2"/>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648" w:type="dxa"/>
            <w:tcBorders>
              <w:bottom w:val="single" w:sz="12" w:space="0" w:color="auto"/>
            </w:tcBorders>
          </w:tcPr>
          <w:p w:rsidR="00DF007B" w:rsidRPr="00A76C07" w:rsidRDefault="00DF007B" w:rsidP="0069653F">
            <w:pPr>
              <w:ind w:right="-29"/>
              <w:jc w:val="center"/>
              <w:rPr>
                <w:noProof/>
                <w:sz w:val="18"/>
                <w:szCs w:val="18"/>
              </w:rPr>
            </w:pPr>
          </w:p>
        </w:tc>
        <w:tc>
          <w:tcPr>
            <w:tcW w:w="432"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900" w:type="dxa"/>
            <w:tcBorders>
              <w:bottom w:val="single" w:sz="12" w:space="0" w:color="auto"/>
            </w:tcBorders>
          </w:tcPr>
          <w:p w:rsidR="00DF007B" w:rsidRPr="00A76C07" w:rsidRDefault="00DF007B" w:rsidP="0069653F">
            <w:pPr>
              <w:ind w:right="-29"/>
              <w:jc w:val="center"/>
              <w:rPr>
                <w:noProof/>
                <w:sz w:val="18"/>
                <w:szCs w:val="18"/>
              </w:rPr>
            </w:pPr>
          </w:p>
        </w:tc>
      </w:tr>
      <w:tr w:rsidR="00DF007B" w:rsidRPr="00A76C07" w:rsidTr="0069653F">
        <w:trPr>
          <w:jc w:val="center"/>
        </w:trPr>
        <w:tc>
          <w:tcPr>
            <w:tcW w:w="2844" w:type="dxa"/>
            <w:gridSpan w:val="3"/>
            <w:vAlign w:val="center"/>
          </w:tcPr>
          <w:p w:rsidR="00DF007B" w:rsidRPr="00A76C07" w:rsidRDefault="00DF007B" w:rsidP="0069653F">
            <w:pPr>
              <w:spacing w:before="60" w:after="60"/>
              <w:ind w:right="-29"/>
              <w:jc w:val="center"/>
              <w:rPr>
                <w:noProof/>
                <w:sz w:val="18"/>
                <w:szCs w:val="18"/>
              </w:rPr>
            </w:pPr>
            <w:r w:rsidRPr="00A76C07">
              <w:rPr>
                <w:noProof/>
                <w:sz w:val="18"/>
              </w:rPr>
              <w:t>SPECIFIČNI CILJ št. 2 …</w:t>
            </w:r>
          </w:p>
        </w:tc>
        <w:tc>
          <w:tcPr>
            <w:tcW w:w="504"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90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gridSpan w:val="2"/>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648"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432"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54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72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c>
          <w:tcPr>
            <w:tcW w:w="900" w:type="dxa"/>
            <w:tcBorders>
              <w:top w:val="nil"/>
              <w:left w:val="nil"/>
              <w:bottom w:val="nil"/>
              <w:right w:val="nil"/>
            </w:tcBorders>
          </w:tcPr>
          <w:p w:rsidR="00DF007B" w:rsidRPr="00A76C07" w:rsidRDefault="00DF007B" w:rsidP="0069653F">
            <w:pPr>
              <w:spacing w:before="60" w:after="60"/>
              <w:ind w:right="-29"/>
              <w:jc w:val="center"/>
              <w:rPr>
                <w:noProof/>
                <w:sz w:val="18"/>
                <w:szCs w:val="18"/>
              </w:rPr>
            </w:pPr>
          </w:p>
        </w:tc>
      </w:tr>
      <w:tr w:rsidR="00DF007B" w:rsidRPr="00A76C07" w:rsidTr="0069653F">
        <w:trPr>
          <w:trHeight w:hRule="exact" w:val="369"/>
          <w:jc w:val="center"/>
        </w:trPr>
        <w:tc>
          <w:tcPr>
            <w:tcW w:w="1423" w:type="dxa"/>
          </w:tcPr>
          <w:p w:rsidR="00DF007B" w:rsidRPr="00A76C07" w:rsidRDefault="00DF007B" w:rsidP="0069653F">
            <w:pPr>
              <w:ind w:right="-29"/>
              <w:jc w:val="center"/>
              <w:rPr>
                <w:noProof/>
                <w:sz w:val="18"/>
                <w:szCs w:val="18"/>
              </w:rPr>
            </w:pPr>
            <w:r w:rsidRPr="00A76C07">
              <w:rPr>
                <w:noProof/>
                <w:sz w:val="18"/>
              </w:rPr>
              <w:t>– realizacija</w:t>
            </w:r>
          </w:p>
        </w:tc>
        <w:tc>
          <w:tcPr>
            <w:tcW w:w="720" w:type="dxa"/>
          </w:tcPr>
          <w:p w:rsidR="00DF007B" w:rsidRPr="00A76C07" w:rsidRDefault="00DF007B" w:rsidP="0069653F">
            <w:pPr>
              <w:ind w:right="-29"/>
              <w:jc w:val="center"/>
              <w:rPr>
                <w:noProof/>
                <w:sz w:val="18"/>
                <w:szCs w:val="18"/>
              </w:rPr>
            </w:pPr>
          </w:p>
        </w:tc>
        <w:tc>
          <w:tcPr>
            <w:tcW w:w="701" w:type="dxa"/>
          </w:tcPr>
          <w:p w:rsidR="00DF007B" w:rsidRPr="00A76C07" w:rsidRDefault="00DF007B" w:rsidP="0069653F">
            <w:pPr>
              <w:ind w:right="-29"/>
              <w:jc w:val="center"/>
              <w:rPr>
                <w:noProof/>
                <w:sz w:val="18"/>
                <w:szCs w:val="18"/>
              </w:rPr>
            </w:pPr>
          </w:p>
        </w:tc>
        <w:tc>
          <w:tcPr>
            <w:tcW w:w="504"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c>
          <w:tcPr>
            <w:tcW w:w="720" w:type="dxa"/>
            <w:gridSpan w:val="2"/>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648" w:type="dxa"/>
          </w:tcPr>
          <w:p w:rsidR="00DF007B" w:rsidRPr="00A76C07" w:rsidRDefault="00DF007B" w:rsidP="0069653F">
            <w:pPr>
              <w:ind w:right="-29"/>
              <w:jc w:val="center"/>
              <w:rPr>
                <w:noProof/>
                <w:sz w:val="18"/>
                <w:szCs w:val="18"/>
              </w:rPr>
            </w:pPr>
          </w:p>
        </w:tc>
        <w:tc>
          <w:tcPr>
            <w:tcW w:w="432"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54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720" w:type="dxa"/>
          </w:tcPr>
          <w:p w:rsidR="00DF007B" w:rsidRPr="00A76C07" w:rsidRDefault="00DF007B" w:rsidP="0069653F">
            <w:pPr>
              <w:ind w:right="-29"/>
              <w:jc w:val="center"/>
              <w:rPr>
                <w:noProof/>
                <w:sz w:val="18"/>
                <w:szCs w:val="18"/>
              </w:rPr>
            </w:pPr>
          </w:p>
        </w:tc>
        <w:tc>
          <w:tcPr>
            <w:tcW w:w="900" w:type="dxa"/>
          </w:tcPr>
          <w:p w:rsidR="00DF007B" w:rsidRPr="00A76C07" w:rsidRDefault="00DF007B" w:rsidP="0069653F">
            <w:pPr>
              <w:ind w:right="-29"/>
              <w:jc w:val="center"/>
              <w:rPr>
                <w:noProof/>
                <w:sz w:val="18"/>
                <w:szCs w:val="18"/>
              </w:rPr>
            </w:pPr>
          </w:p>
        </w:tc>
      </w:tr>
      <w:tr w:rsidR="00DF007B" w:rsidRPr="00A76C07" w:rsidTr="0069653F">
        <w:trPr>
          <w:jc w:val="center"/>
        </w:trPr>
        <w:tc>
          <w:tcPr>
            <w:tcW w:w="2844" w:type="dxa"/>
            <w:gridSpan w:val="3"/>
            <w:tcBorders>
              <w:bottom w:val="single" w:sz="12" w:space="0" w:color="auto"/>
            </w:tcBorders>
            <w:vAlign w:val="center"/>
          </w:tcPr>
          <w:p w:rsidR="00DF007B" w:rsidRPr="00A76C07" w:rsidRDefault="00DF007B" w:rsidP="0069653F">
            <w:pPr>
              <w:jc w:val="center"/>
              <w:rPr>
                <w:noProof/>
                <w:sz w:val="18"/>
                <w:szCs w:val="18"/>
              </w:rPr>
            </w:pPr>
            <w:r w:rsidRPr="00A76C07">
              <w:rPr>
                <w:noProof/>
                <w:sz w:val="18"/>
              </w:rPr>
              <w:t>Seštevek za specifični cilj št. 2</w:t>
            </w:r>
          </w:p>
        </w:tc>
        <w:tc>
          <w:tcPr>
            <w:tcW w:w="504"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951" w:type="dxa"/>
            <w:gridSpan w:val="2"/>
            <w:tcBorders>
              <w:bottom w:val="single" w:sz="12" w:space="0" w:color="auto"/>
            </w:tcBorders>
          </w:tcPr>
          <w:p w:rsidR="00DF007B" w:rsidRPr="00A76C07" w:rsidRDefault="00DF007B" w:rsidP="0069653F">
            <w:pPr>
              <w:ind w:right="-29"/>
              <w:jc w:val="center"/>
              <w:rPr>
                <w:noProof/>
                <w:sz w:val="18"/>
                <w:szCs w:val="18"/>
              </w:rPr>
            </w:pPr>
          </w:p>
        </w:tc>
        <w:tc>
          <w:tcPr>
            <w:tcW w:w="669" w:type="dxa"/>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648" w:type="dxa"/>
            <w:tcBorders>
              <w:bottom w:val="single" w:sz="12" w:space="0" w:color="auto"/>
            </w:tcBorders>
          </w:tcPr>
          <w:p w:rsidR="00DF007B" w:rsidRPr="00A76C07" w:rsidRDefault="00DF007B" w:rsidP="0069653F">
            <w:pPr>
              <w:ind w:right="-29"/>
              <w:jc w:val="center"/>
              <w:rPr>
                <w:noProof/>
                <w:sz w:val="18"/>
                <w:szCs w:val="18"/>
              </w:rPr>
            </w:pPr>
          </w:p>
        </w:tc>
        <w:tc>
          <w:tcPr>
            <w:tcW w:w="432"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54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720" w:type="dxa"/>
            <w:tcBorders>
              <w:bottom w:val="single" w:sz="12" w:space="0" w:color="auto"/>
            </w:tcBorders>
          </w:tcPr>
          <w:p w:rsidR="00DF007B" w:rsidRPr="00A76C07" w:rsidRDefault="00DF007B" w:rsidP="0069653F">
            <w:pPr>
              <w:ind w:right="-29"/>
              <w:jc w:val="center"/>
              <w:rPr>
                <w:noProof/>
                <w:sz w:val="18"/>
                <w:szCs w:val="18"/>
              </w:rPr>
            </w:pPr>
          </w:p>
        </w:tc>
        <w:tc>
          <w:tcPr>
            <w:tcW w:w="900" w:type="dxa"/>
            <w:tcBorders>
              <w:bottom w:val="single" w:sz="12" w:space="0" w:color="auto"/>
            </w:tcBorders>
          </w:tcPr>
          <w:p w:rsidR="00DF007B" w:rsidRPr="00A76C07" w:rsidRDefault="00DF007B" w:rsidP="0069653F">
            <w:pPr>
              <w:ind w:right="-29"/>
              <w:jc w:val="center"/>
              <w:rPr>
                <w:noProof/>
                <w:sz w:val="18"/>
                <w:szCs w:val="18"/>
              </w:rPr>
            </w:pPr>
          </w:p>
        </w:tc>
      </w:tr>
      <w:tr w:rsidR="00DF007B" w:rsidRPr="00A76C07" w:rsidTr="0069653F">
        <w:trPr>
          <w:jc w:val="center"/>
        </w:trPr>
        <w:tc>
          <w:tcPr>
            <w:tcW w:w="2844" w:type="dxa"/>
            <w:gridSpan w:val="3"/>
            <w:tcBorders>
              <w:top w:val="single" w:sz="12" w:space="0" w:color="auto"/>
              <w:left w:val="single" w:sz="12" w:space="0" w:color="auto"/>
              <w:bottom w:val="single" w:sz="12" w:space="0" w:color="auto"/>
            </w:tcBorders>
            <w:vAlign w:val="center"/>
          </w:tcPr>
          <w:p w:rsidR="00DF007B" w:rsidRPr="00A76C07" w:rsidRDefault="00DF007B" w:rsidP="0069653F">
            <w:pPr>
              <w:ind w:right="-29"/>
              <w:jc w:val="center"/>
              <w:rPr>
                <w:noProof/>
                <w:sz w:val="18"/>
                <w:szCs w:val="18"/>
              </w:rPr>
            </w:pPr>
            <w:r w:rsidRPr="00A76C07">
              <w:rPr>
                <w:b/>
                <w:noProof/>
                <w:sz w:val="18"/>
              </w:rPr>
              <w:t>SKUPAJ</w:t>
            </w:r>
          </w:p>
        </w:tc>
        <w:tc>
          <w:tcPr>
            <w:tcW w:w="504"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54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90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54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648"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432"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54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720" w:type="dxa"/>
            <w:tcBorders>
              <w:top w:val="single" w:sz="12" w:space="0" w:color="auto"/>
              <w:bottom w:val="single" w:sz="12" w:space="0" w:color="auto"/>
            </w:tcBorders>
          </w:tcPr>
          <w:p w:rsidR="00DF007B" w:rsidRPr="00A76C07" w:rsidRDefault="00DF007B" w:rsidP="0069653F">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DF007B" w:rsidRPr="00A76C07" w:rsidRDefault="00DF007B" w:rsidP="0069653F">
            <w:pPr>
              <w:spacing w:before="180" w:after="180"/>
              <w:ind w:right="-29"/>
              <w:jc w:val="center"/>
              <w:rPr>
                <w:noProof/>
                <w:sz w:val="18"/>
                <w:szCs w:val="18"/>
              </w:rPr>
            </w:pPr>
          </w:p>
        </w:tc>
      </w:tr>
    </w:tbl>
    <w:p w:rsidR="00DF007B" w:rsidRPr="00A76C07" w:rsidRDefault="00DF007B" w:rsidP="00DF007B">
      <w:pPr>
        <w:jc w:val="left"/>
        <w:rPr>
          <w:i/>
          <w:iCs/>
          <w:noProof/>
        </w:rPr>
        <w:sectPr w:rsidR="00DF007B" w:rsidRPr="00A76C07" w:rsidSect="00746C9A">
          <w:headerReference w:type="default" r:id="rId16"/>
          <w:footerReference w:type="default" r:id="rId17"/>
          <w:pgSz w:w="16840" w:h="11907" w:orient="landscape" w:code="9"/>
          <w:pgMar w:top="1134" w:right="1418" w:bottom="567" w:left="1418" w:header="709" w:footer="709" w:gutter="0"/>
          <w:cols w:space="708"/>
          <w:docGrid w:linePitch="360"/>
        </w:sectPr>
      </w:pPr>
    </w:p>
    <w:p w:rsidR="005E08AC" w:rsidRPr="00A76C07" w:rsidRDefault="005E08AC" w:rsidP="005E08AC">
      <w:pPr>
        <w:pStyle w:val="ManualHeading3"/>
        <w:rPr>
          <w:bCs/>
          <w:noProof/>
          <w:szCs w:val="24"/>
        </w:rPr>
      </w:pPr>
      <w:bookmarkStart w:id="179" w:name="_Toc514938055"/>
      <w:bookmarkStart w:id="180" w:name="_Toc199239284"/>
      <w:r w:rsidRPr="00A76C07">
        <w:rPr>
          <w:noProof/>
        </w:rPr>
        <w:t>3.2.3</w:t>
      </w:r>
      <w:r w:rsidRPr="00A76C07">
        <w:rPr>
          <w:noProof/>
        </w:rPr>
        <w:tab/>
        <w:t>Povzetek ocenjenih posledic za upravne odobritve</w:t>
      </w:r>
      <w:bookmarkEnd w:id="179"/>
      <w:bookmarkEnd w:id="180"/>
      <w:r w:rsidRPr="00A76C07">
        <w:rPr>
          <w:noProof/>
        </w:rPr>
        <w:t xml:space="preserve"> </w:t>
      </w:r>
    </w:p>
    <w:p w:rsidR="005E08AC" w:rsidRPr="00A76C07" w:rsidRDefault="005E08AC" w:rsidP="005E08AC">
      <w:pPr>
        <w:pStyle w:val="ListDash1"/>
        <w:rPr>
          <w:noProof/>
        </w:rPr>
      </w:pPr>
      <w:r w:rsidRPr="00A76C07">
        <w:rPr>
          <w:rFonts w:ascii="Wingdings" w:hAnsi="Wingdings"/>
          <w:noProof/>
        </w:rPr>
        <w:t></w:t>
      </w:r>
      <w:r w:rsidRPr="00A76C07">
        <w:rPr>
          <w:noProof/>
        </w:rPr>
        <w:tab/>
        <w:t xml:space="preserve">Za predlog/pobudo niso potrebne odobritve upravne narave. </w:t>
      </w:r>
    </w:p>
    <w:p w:rsidR="005E08AC" w:rsidRPr="00A76C07" w:rsidRDefault="005E08AC" w:rsidP="005E08AC">
      <w:pPr>
        <w:pStyle w:val="ListDash1"/>
        <w:rPr>
          <w:noProof/>
        </w:rPr>
      </w:pPr>
      <w:r w:rsidRPr="00A76C07">
        <w:rPr>
          <w:rFonts w:ascii="Wingdings" w:hAnsi="Wingdings"/>
          <w:noProof/>
        </w:rPr>
        <w:t></w:t>
      </w:r>
      <w:r w:rsidRPr="00A76C07">
        <w:rPr>
          <w:noProof/>
        </w:rPr>
        <w:tab/>
        <w:t>Za predlog/pobudo so potrebne odobritve upravne narave, kot je pojasnjeno v nadaljevanju:</w:t>
      </w:r>
    </w:p>
    <w:p w:rsidR="005E08AC" w:rsidRPr="00A76C07" w:rsidRDefault="005E08AC" w:rsidP="005E08AC">
      <w:pPr>
        <w:pStyle w:val="ManualHeading3"/>
        <w:rPr>
          <w:noProof/>
        </w:rPr>
      </w:pPr>
      <w:bookmarkStart w:id="181" w:name="_Toc167220291"/>
      <w:bookmarkStart w:id="182" w:name="_Toc199239285"/>
      <w:r w:rsidRPr="00A76C07">
        <w:rPr>
          <w:noProof/>
        </w:rPr>
        <w:t>3.2.3.1 Odobritve iz izglasovanega proračuna</w:t>
      </w:r>
      <w:bookmarkEnd w:id="181"/>
      <w:bookmarkEnd w:id="182"/>
    </w:p>
    <w:tbl>
      <w:tblPr>
        <w:tblW w:w="5000" w:type="pct"/>
        <w:tblLook w:val="04A0" w:firstRow="1" w:lastRow="0" w:firstColumn="1" w:lastColumn="0" w:noHBand="0" w:noVBand="1"/>
      </w:tblPr>
      <w:tblGrid>
        <w:gridCol w:w="3968"/>
        <w:gridCol w:w="968"/>
        <w:gridCol w:w="968"/>
        <w:gridCol w:w="968"/>
        <w:gridCol w:w="968"/>
        <w:gridCol w:w="1449"/>
      </w:tblGrid>
      <w:tr w:rsidR="009F647E" w:rsidRPr="00A76C07" w:rsidTr="00A83EF4">
        <w:trPr>
          <w:trHeight w:val="300"/>
        </w:trPr>
        <w:tc>
          <w:tcPr>
            <w:tcW w:w="213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IZGLASOVANE ODOBRITVE</w:t>
            </w:r>
          </w:p>
        </w:tc>
        <w:tc>
          <w:tcPr>
            <w:tcW w:w="521"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8"/>
                <w:szCs w:val="18"/>
              </w:rPr>
            </w:pPr>
            <w:r w:rsidRPr="00A76C07">
              <w:rPr>
                <w:noProof/>
                <w:sz w:val="18"/>
              </w:rPr>
              <w:t>Leto</w:t>
            </w:r>
          </w:p>
        </w:tc>
        <w:tc>
          <w:tcPr>
            <w:tcW w:w="521"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8"/>
                <w:szCs w:val="18"/>
              </w:rPr>
            </w:pPr>
            <w:r w:rsidRPr="00A76C07">
              <w:rPr>
                <w:noProof/>
                <w:sz w:val="18"/>
              </w:rPr>
              <w:t>Leto</w:t>
            </w:r>
          </w:p>
        </w:tc>
        <w:tc>
          <w:tcPr>
            <w:tcW w:w="521"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8"/>
                <w:szCs w:val="18"/>
              </w:rPr>
            </w:pPr>
            <w:r w:rsidRPr="00A76C07">
              <w:rPr>
                <w:noProof/>
                <w:sz w:val="18"/>
              </w:rPr>
              <w:t>Leto</w:t>
            </w:r>
          </w:p>
        </w:tc>
        <w:tc>
          <w:tcPr>
            <w:tcW w:w="521" w:type="pct"/>
            <w:tcBorders>
              <w:top w:val="single" w:sz="8" w:space="0" w:color="auto"/>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8"/>
                <w:szCs w:val="18"/>
              </w:rPr>
            </w:pPr>
            <w:r w:rsidRPr="00A76C07">
              <w:rPr>
                <w:noProof/>
                <w:sz w:val="18"/>
              </w:rPr>
              <w:t>Leto</w:t>
            </w:r>
          </w:p>
        </w:tc>
        <w:tc>
          <w:tcPr>
            <w:tcW w:w="78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2021–2027 SKUPAJ</w:t>
            </w:r>
          </w:p>
        </w:tc>
      </w:tr>
      <w:tr w:rsidR="009F647E" w:rsidRPr="00A76C07" w:rsidTr="00A83EF4">
        <w:trPr>
          <w:trHeight w:val="300"/>
        </w:trPr>
        <w:tc>
          <w:tcPr>
            <w:tcW w:w="2136" w:type="pct"/>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b/>
                <w:bCs/>
                <w:noProof/>
                <w:sz w:val="18"/>
                <w:szCs w:val="18"/>
                <w:lang w:eastAsia="en-IE"/>
              </w:rPr>
            </w:pPr>
          </w:p>
        </w:tc>
        <w:tc>
          <w:tcPr>
            <w:tcW w:w="52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2024</w:t>
            </w:r>
          </w:p>
        </w:tc>
        <w:tc>
          <w:tcPr>
            <w:tcW w:w="52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2025</w:t>
            </w:r>
          </w:p>
        </w:tc>
        <w:tc>
          <w:tcPr>
            <w:tcW w:w="52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2026</w:t>
            </w:r>
          </w:p>
        </w:tc>
        <w:tc>
          <w:tcPr>
            <w:tcW w:w="52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18"/>
                <w:szCs w:val="18"/>
              </w:rPr>
            </w:pPr>
            <w:r w:rsidRPr="00A76C07">
              <w:rPr>
                <w:b/>
                <w:noProof/>
                <w:sz w:val="18"/>
              </w:rPr>
              <w:t>2027</w:t>
            </w:r>
          </w:p>
        </w:tc>
        <w:tc>
          <w:tcPr>
            <w:tcW w:w="782" w:type="pct"/>
            <w:vMerge/>
            <w:tcBorders>
              <w:top w:val="single" w:sz="8" w:space="0" w:color="auto"/>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b/>
                <w:bCs/>
                <w:noProof/>
                <w:sz w:val="18"/>
                <w:szCs w:val="18"/>
                <w:lang w:eastAsia="en-IE"/>
              </w:rPr>
            </w:pPr>
          </w:p>
        </w:tc>
      </w:tr>
      <w:tr w:rsidR="009F647E" w:rsidRPr="00A76C0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5E08AC" w:rsidRPr="00A76C07" w:rsidRDefault="005E08AC">
            <w:pPr>
              <w:spacing w:before="0" w:after="0"/>
              <w:jc w:val="left"/>
              <w:rPr>
                <w:b/>
                <w:bCs/>
                <w:noProof/>
                <w:sz w:val="16"/>
                <w:szCs w:val="16"/>
              </w:rPr>
            </w:pPr>
            <w:r w:rsidRPr="00A76C07">
              <w:rPr>
                <w:b/>
                <w:noProof/>
                <w:sz w:val="16"/>
              </w:rPr>
              <w:t>RAZDELEK 7</w:t>
            </w: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auto" w:fill="auto"/>
            <w:vAlign w:val="center"/>
            <w:hideMark/>
          </w:tcPr>
          <w:p w:rsidR="00E738B1" w:rsidRPr="00A76C07" w:rsidRDefault="00E738B1" w:rsidP="00E738B1">
            <w:pPr>
              <w:spacing w:before="0" w:after="0"/>
              <w:jc w:val="left"/>
              <w:rPr>
                <w:noProof/>
                <w:sz w:val="16"/>
                <w:szCs w:val="16"/>
              </w:rPr>
            </w:pPr>
            <w:r w:rsidRPr="00A76C07">
              <w:rPr>
                <w:noProof/>
                <w:sz w:val="16"/>
              </w:rPr>
              <w:t xml:space="preserve">Človeški viri </w:t>
            </w:r>
          </w:p>
        </w:tc>
        <w:tc>
          <w:tcPr>
            <w:tcW w:w="52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rPr>
            </w:pPr>
            <w:r w:rsidRPr="00A76C07">
              <w:rPr>
                <w:noProof/>
                <w:sz w:val="16"/>
              </w:rPr>
              <w:t>0,376</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rPr>
            </w:pPr>
            <w:r w:rsidRPr="00A76C07">
              <w:rPr>
                <w:noProof/>
                <w:sz w:val="16"/>
              </w:rPr>
              <w:t>0,376</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rPr>
            </w:pPr>
            <w:r w:rsidRPr="00A76C07">
              <w:rPr>
                <w:noProof/>
                <w:sz w:val="16"/>
              </w:rPr>
              <w:t>0,376</w:t>
            </w:r>
          </w:p>
        </w:tc>
        <w:tc>
          <w:tcPr>
            <w:tcW w:w="782"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16"/>
                <w:szCs w:val="16"/>
              </w:rPr>
            </w:pPr>
            <w:r w:rsidRPr="00A76C07">
              <w:rPr>
                <w:b/>
                <w:noProof/>
                <w:sz w:val="16"/>
              </w:rPr>
              <w:t>1,128</w:t>
            </w: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auto" w:fill="auto"/>
            <w:vAlign w:val="center"/>
            <w:hideMark/>
          </w:tcPr>
          <w:p w:rsidR="00E738B1" w:rsidRPr="00A76C07" w:rsidRDefault="00E738B1" w:rsidP="00E738B1">
            <w:pPr>
              <w:spacing w:before="0" w:after="0"/>
              <w:jc w:val="left"/>
              <w:rPr>
                <w:noProof/>
                <w:sz w:val="16"/>
                <w:szCs w:val="16"/>
              </w:rPr>
            </w:pPr>
            <w:r w:rsidRPr="00A76C07">
              <w:rPr>
                <w:noProof/>
                <w:sz w:val="16"/>
              </w:rPr>
              <w:t xml:space="preserve">Drugi upravni odhodki </w:t>
            </w:r>
          </w:p>
        </w:tc>
        <w:tc>
          <w:tcPr>
            <w:tcW w:w="52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lang w:eastAsia="en-IE"/>
              </w:rPr>
            </w:pP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lang w:eastAsia="en-IE"/>
              </w:rPr>
            </w:pP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noProof/>
                <w:sz w:val="16"/>
                <w:szCs w:val="16"/>
                <w:lang w:eastAsia="en-IE"/>
              </w:rPr>
            </w:pPr>
          </w:p>
        </w:tc>
        <w:tc>
          <w:tcPr>
            <w:tcW w:w="782"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16"/>
                <w:szCs w:val="16"/>
                <w:lang w:eastAsia="en-IE"/>
              </w:rPr>
            </w:pP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000000" w:fill="CCCCCC"/>
            <w:vAlign w:val="center"/>
            <w:hideMark/>
          </w:tcPr>
          <w:p w:rsidR="00E738B1" w:rsidRPr="00A76C07" w:rsidRDefault="00E738B1" w:rsidP="00E738B1">
            <w:pPr>
              <w:spacing w:before="0" w:after="0"/>
              <w:jc w:val="center"/>
              <w:rPr>
                <w:b/>
                <w:bCs/>
                <w:noProof/>
                <w:sz w:val="16"/>
                <w:szCs w:val="16"/>
              </w:rPr>
            </w:pPr>
            <w:r w:rsidRPr="00A76C07">
              <w:rPr>
                <w:b/>
                <w:noProof/>
                <w:sz w:val="16"/>
              </w:rPr>
              <w:t>Seštevek za RAZDELEK 7</w:t>
            </w:r>
          </w:p>
        </w:tc>
        <w:tc>
          <w:tcPr>
            <w:tcW w:w="521"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16"/>
                <w:szCs w:val="16"/>
              </w:rPr>
            </w:pPr>
            <w:r w:rsidRPr="00A76C07">
              <w:rPr>
                <w:b/>
                <w:noProof/>
                <w:sz w:val="16"/>
              </w:rPr>
              <w:t>0,000</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16"/>
                <w:szCs w:val="16"/>
              </w:rPr>
            </w:pPr>
            <w:r w:rsidRPr="00A76C07">
              <w:rPr>
                <w:b/>
                <w:noProof/>
                <w:sz w:val="16"/>
              </w:rPr>
              <w:t>0,376</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16"/>
                <w:szCs w:val="16"/>
              </w:rPr>
            </w:pPr>
            <w:r w:rsidRPr="00A76C07">
              <w:rPr>
                <w:b/>
                <w:noProof/>
                <w:sz w:val="16"/>
              </w:rPr>
              <w:t>0,376</w:t>
            </w:r>
          </w:p>
        </w:tc>
        <w:tc>
          <w:tcPr>
            <w:tcW w:w="521" w:type="pct"/>
            <w:tcBorders>
              <w:top w:val="nil"/>
              <w:left w:val="nil"/>
              <w:bottom w:val="single" w:sz="8" w:space="0" w:color="auto"/>
              <w:right w:val="single" w:sz="8" w:space="0" w:color="auto"/>
            </w:tcBorders>
            <w:shd w:val="clear" w:color="000000" w:fill="D9D9D9"/>
            <w:vAlign w:val="center"/>
          </w:tcPr>
          <w:p w:rsidR="00E738B1" w:rsidRPr="00A76C07" w:rsidRDefault="00E738B1" w:rsidP="00E738B1">
            <w:pPr>
              <w:spacing w:before="0" w:after="0"/>
              <w:jc w:val="right"/>
              <w:rPr>
                <w:b/>
                <w:bCs/>
                <w:noProof/>
                <w:sz w:val="16"/>
                <w:szCs w:val="16"/>
              </w:rPr>
            </w:pPr>
            <w:r w:rsidRPr="00A76C07">
              <w:rPr>
                <w:b/>
                <w:noProof/>
                <w:sz w:val="16"/>
              </w:rPr>
              <w:t>0,376</w:t>
            </w:r>
          </w:p>
        </w:tc>
        <w:tc>
          <w:tcPr>
            <w:tcW w:w="782" w:type="pct"/>
            <w:tcBorders>
              <w:top w:val="nil"/>
              <w:left w:val="nil"/>
              <w:bottom w:val="single" w:sz="8" w:space="0" w:color="auto"/>
              <w:right w:val="single" w:sz="8" w:space="0" w:color="auto"/>
            </w:tcBorders>
            <w:shd w:val="clear" w:color="000000" w:fill="D9D9D9"/>
            <w:vAlign w:val="center"/>
            <w:hideMark/>
          </w:tcPr>
          <w:p w:rsidR="00E738B1" w:rsidRPr="00A76C07" w:rsidRDefault="00E738B1" w:rsidP="00E738B1">
            <w:pPr>
              <w:spacing w:before="0" w:after="0"/>
              <w:jc w:val="right"/>
              <w:rPr>
                <w:b/>
                <w:bCs/>
                <w:noProof/>
                <w:sz w:val="16"/>
                <w:szCs w:val="16"/>
              </w:rPr>
            </w:pPr>
            <w:r w:rsidRPr="00A76C07">
              <w:rPr>
                <w:b/>
                <w:noProof/>
                <w:sz w:val="16"/>
              </w:rPr>
              <w:t>1,128</w:t>
            </w:r>
          </w:p>
        </w:tc>
      </w:tr>
      <w:tr w:rsidR="009F647E" w:rsidRPr="00A76C0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5E08AC" w:rsidRPr="00A76C07" w:rsidRDefault="005E08AC">
            <w:pPr>
              <w:spacing w:before="0" w:after="0"/>
              <w:jc w:val="left"/>
              <w:rPr>
                <w:b/>
                <w:bCs/>
                <w:noProof/>
                <w:sz w:val="16"/>
                <w:szCs w:val="16"/>
              </w:rPr>
            </w:pPr>
            <w:r w:rsidRPr="00A76C07">
              <w:rPr>
                <w:b/>
                <w:noProof/>
                <w:sz w:val="16"/>
              </w:rPr>
              <w:t>Odobritve zunaj RAZDELKA 7</w:t>
            </w: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left"/>
              <w:rPr>
                <w:noProof/>
                <w:sz w:val="16"/>
                <w:szCs w:val="16"/>
              </w:rPr>
            </w:pPr>
            <w:r w:rsidRPr="00A76C07">
              <w:rPr>
                <w:noProof/>
                <w:sz w:val="16"/>
              </w:rPr>
              <w:t xml:space="preserve">Človeški viri </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78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left"/>
              <w:rPr>
                <w:noProof/>
                <w:sz w:val="16"/>
                <w:szCs w:val="16"/>
              </w:rPr>
            </w:pPr>
            <w:r w:rsidRPr="00A76C07">
              <w:rPr>
                <w:noProof/>
                <w:sz w:val="16"/>
              </w:rPr>
              <w:t>Drugi odhodki upravne narave</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noProof/>
                <w:sz w:val="16"/>
                <w:szCs w:val="16"/>
              </w:rPr>
            </w:pPr>
            <w:r w:rsidRPr="00A76C07">
              <w:rPr>
                <w:noProof/>
                <w:sz w:val="16"/>
              </w:rPr>
              <w:t>0,000</w:t>
            </w:r>
          </w:p>
        </w:tc>
        <w:tc>
          <w:tcPr>
            <w:tcW w:w="78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r>
      <w:tr w:rsidR="009F647E" w:rsidRPr="00A76C07" w:rsidTr="00A83EF4">
        <w:trPr>
          <w:trHeight w:val="300"/>
        </w:trPr>
        <w:tc>
          <w:tcPr>
            <w:tcW w:w="2136" w:type="pct"/>
            <w:tcBorders>
              <w:top w:val="nil"/>
              <w:left w:val="single" w:sz="8" w:space="0" w:color="auto"/>
              <w:bottom w:val="single" w:sz="8" w:space="0" w:color="auto"/>
              <w:right w:val="single" w:sz="8" w:space="0" w:color="auto"/>
            </w:tcBorders>
            <w:shd w:val="clear" w:color="000000" w:fill="CCCCCC"/>
            <w:vAlign w:val="center"/>
            <w:hideMark/>
          </w:tcPr>
          <w:p w:rsidR="005E08AC" w:rsidRPr="00A76C07" w:rsidRDefault="005E08AC">
            <w:pPr>
              <w:spacing w:before="0" w:after="0"/>
              <w:jc w:val="center"/>
              <w:rPr>
                <w:b/>
                <w:bCs/>
                <w:noProof/>
                <w:sz w:val="16"/>
                <w:szCs w:val="16"/>
              </w:rPr>
            </w:pPr>
            <w:r w:rsidRPr="00A76C07">
              <w:rPr>
                <w:b/>
                <w:noProof/>
                <w:sz w:val="16"/>
              </w:rPr>
              <w:t>Seštevek za odobritve zunaj RAZDELKA 7</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c>
          <w:tcPr>
            <w:tcW w:w="78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right"/>
              <w:rPr>
                <w:b/>
                <w:bCs/>
                <w:noProof/>
                <w:sz w:val="16"/>
                <w:szCs w:val="16"/>
              </w:rPr>
            </w:pPr>
            <w:r w:rsidRPr="00A76C07">
              <w:rPr>
                <w:b/>
                <w:noProof/>
                <w:sz w:val="16"/>
              </w:rPr>
              <w:t>0,000</w:t>
            </w:r>
          </w:p>
        </w:tc>
      </w:tr>
      <w:tr w:rsidR="009F647E" w:rsidRPr="00A76C0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E08AC" w:rsidRPr="00A76C07" w:rsidRDefault="005E08AC">
            <w:pPr>
              <w:spacing w:before="0" w:after="0"/>
              <w:jc w:val="center"/>
              <w:rPr>
                <w:noProof/>
                <w:sz w:val="16"/>
                <w:szCs w:val="16"/>
                <w:lang w:eastAsia="en-IE"/>
              </w:rPr>
            </w:pPr>
          </w:p>
        </w:tc>
      </w:tr>
      <w:tr w:rsidR="00A83EF4" w:rsidRPr="00A76C07" w:rsidTr="00A83EF4">
        <w:trPr>
          <w:trHeight w:val="300"/>
        </w:trPr>
        <w:tc>
          <w:tcPr>
            <w:tcW w:w="2136" w:type="pct"/>
            <w:tcBorders>
              <w:top w:val="nil"/>
              <w:left w:val="single" w:sz="8" w:space="0" w:color="auto"/>
              <w:bottom w:val="single" w:sz="8" w:space="0" w:color="auto"/>
              <w:right w:val="single" w:sz="8" w:space="0" w:color="auto"/>
            </w:tcBorders>
            <w:shd w:val="clear" w:color="auto" w:fill="auto"/>
            <w:vAlign w:val="center"/>
            <w:hideMark/>
          </w:tcPr>
          <w:p w:rsidR="00A83EF4" w:rsidRPr="00A76C07" w:rsidRDefault="00A83EF4" w:rsidP="00A83EF4">
            <w:pPr>
              <w:spacing w:before="0" w:after="0"/>
              <w:jc w:val="center"/>
              <w:rPr>
                <w:b/>
                <w:bCs/>
                <w:noProof/>
                <w:sz w:val="16"/>
                <w:szCs w:val="16"/>
              </w:rPr>
            </w:pPr>
            <w:r w:rsidRPr="00A76C07">
              <w:rPr>
                <w:b/>
                <w:noProof/>
                <w:sz w:val="16"/>
              </w:rPr>
              <w:t>SKUPAJ</w:t>
            </w:r>
          </w:p>
        </w:tc>
        <w:tc>
          <w:tcPr>
            <w:tcW w:w="521"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right"/>
              <w:rPr>
                <w:b/>
                <w:bCs/>
                <w:noProof/>
                <w:sz w:val="16"/>
                <w:szCs w:val="16"/>
              </w:rPr>
            </w:pPr>
            <w:r w:rsidRPr="00A76C07">
              <w:rPr>
                <w:b/>
                <w:noProof/>
                <w:sz w:val="16"/>
              </w:rPr>
              <w:t>0,000</w:t>
            </w:r>
          </w:p>
        </w:tc>
        <w:tc>
          <w:tcPr>
            <w:tcW w:w="521"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right"/>
              <w:rPr>
                <w:b/>
                <w:bCs/>
                <w:noProof/>
                <w:sz w:val="16"/>
                <w:szCs w:val="16"/>
              </w:rPr>
            </w:pPr>
            <w:r w:rsidRPr="00A76C07">
              <w:rPr>
                <w:b/>
                <w:noProof/>
                <w:sz w:val="16"/>
              </w:rPr>
              <w:t>0,376</w:t>
            </w:r>
          </w:p>
        </w:tc>
        <w:tc>
          <w:tcPr>
            <w:tcW w:w="521"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right"/>
              <w:rPr>
                <w:b/>
                <w:bCs/>
                <w:noProof/>
                <w:sz w:val="16"/>
                <w:szCs w:val="16"/>
              </w:rPr>
            </w:pPr>
            <w:r w:rsidRPr="00A76C07">
              <w:rPr>
                <w:b/>
                <w:noProof/>
                <w:sz w:val="16"/>
              </w:rPr>
              <w:t>0,376</w:t>
            </w:r>
          </w:p>
        </w:tc>
        <w:tc>
          <w:tcPr>
            <w:tcW w:w="521"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right"/>
              <w:rPr>
                <w:b/>
                <w:bCs/>
                <w:noProof/>
                <w:sz w:val="16"/>
                <w:szCs w:val="16"/>
              </w:rPr>
            </w:pPr>
            <w:r w:rsidRPr="00A76C07">
              <w:rPr>
                <w:b/>
                <w:noProof/>
                <w:sz w:val="16"/>
              </w:rPr>
              <w:t>0,376</w:t>
            </w:r>
          </w:p>
        </w:tc>
        <w:tc>
          <w:tcPr>
            <w:tcW w:w="782"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right"/>
              <w:rPr>
                <w:b/>
                <w:bCs/>
                <w:noProof/>
                <w:sz w:val="16"/>
                <w:szCs w:val="16"/>
              </w:rPr>
            </w:pPr>
            <w:r w:rsidRPr="00A76C07">
              <w:rPr>
                <w:b/>
                <w:noProof/>
                <w:sz w:val="16"/>
              </w:rPr>
              <w:t>1,128</w:t>
            </w:r>
          </w:p>
        </w:tc>
      </w:tr>
    </w:tbl>
    <w:p w:rsidR="005E08AC" w:rsidRPr="00A76C07" w:rsidRDefault="005E08AC" w:rsidP="005E08AC">
      <w:pPr>
        <w:spacing w:after="40"/>
        <w:rPr>
          <w:noProof/>
        </w:rPr>
      </w:pPr>
      <w:r w:rsidRPr="00A76C07">
        <w:rPr>
          <w:noProof/>
        </w:rPr>
        <w:t>===================================================================</w:t>
      </w:r>
    </w:p>
    <w:p w:rsidR="005E08AC" w:rsidRPr="00A76C07" w:rsidRDefault="005E08AC" w:rsidP="005E08AC">
      <w:pPr>
        <w:pStyle w:val="ManualHeading3"/>
        <w:rPr>
          <w:bCs/>
          <w:noProof/>
          <w:szCs w:val="24"/>
        </w:rPr>
      </w:pPr>
      <w:bookmarkStart w:id="183" w:name="_Toc167220294"/>
      <w:bookmarkStart w:id="184" w:name="_Toc199239286"/>
      <w:r w:rsidRPr="00A76C07">
        <w:rPr>
          <w:noProof/>
        </w:rPr>
        <w:t>3.2.4</w:t>
      </w:r>
      <w:r w:rsidRPr="00A76C07">
        <w:rPr>
          <w:noProof/>
        </w:rPr>
        <w:tab/>
        <w:t>Ocenjene potrebe po človeških virih</w:t>
      </w:r>
      <w:bookmarkEnd w:id="183"/>
      <w:bookmarkEnd w:id="184"/>
      <w:r w:rsidRPr="00A76C07">
        <w:rPr>
          <w:noProof/>
        </w:rPr>
        <w:t xml:space="preserve"> </w:t>
      </w:r>
    </w:p>
    <w:p w:rsidR="005E08AC" w:rsidRPr="00A76C07" w:rsidRDefault="005E08AC" w:rsidP="005E08AC">
      <w:pPr>
        <w:pStyle w:val="ListDash1"/>
        <w:rPr>
          <w:noProof/>
        </w:rPr>
      </w:pPr>
      <w:r w:rsidRPr="00A76C07">
        <w:rPr>
          <w:rFonts w:ascii="Wingdings" w:hAnsi="Wingdings"/>
          <w:noProof/>
        </w:rPr>
        <w:t></w:t>
      </w:r>
      <w:r w:rsidRPr="00A76C07">
        <w:rPr>
          <w:noProof/>
        </w:rPr>
        <w:tab/>
        <w:t xml:space="preserve">Za predlog/pobudo niso potrebni človeški viri. </w:t>
      </w:r>
    </w:p>
    <w:p w:rsidR="005E08AC" w:rsidRPr="00A76C07" w:rsidRDefault="005E08AC" w:rsidP="005E08AC">
      <w:pPr>
        <w:pStyle w:val="ListDash1"/>
        <w:rPr>
          <w:noProof/>
        </w:rPr>
      </w:pPr>
      <w:r w:rsidRPr="00A76C07">
        <w:rPr>
          <w:rFonts w:ascii="Wingdings" w:hAnsi="Wingdings"/>
          <w:noProof/>
        </w:rPr>
        <w:t></w:t>
      </w:r>
      <w:r w:rsidRPr="00A76C07">
        <w:rPr>
          <w:noProof/>
        </w:rPr>
        <w:tab/>
        <w:t>Za predlog/pobudo so potrebni človeški viri, kot je pojasnjeno v nadaljevanju:</w:t>
      </w:r>
    </w:p>
    <w:p w:rsidR="005E08AC" w:rsidRPr="00A76C07" w:rsidRDefault="005E08AC" w:rsidP="005E08AC">
      <w:pPr>
        <w:pStyle w:val="ManualHeading3"/>
        <w:rPr>
          <w:noProof/>
        </w:rPr>
      </w:pPr>
      <w:bookmarkStart w:id="185" w:name="_Toc167220295"/>
      <w:bookmarkStart w:id="186" w:name="_Toc199239287"/>
      <w:r w:rsidRPr="00A76C07">
        <w:rPr>
          <w:noProof/>
        </w:rPr>
        <w:t>3.2.4.1</w:t>
      </w:r>
      <w:r w:rsidRPr="00A76C07">
        <w:rPr>
          <w:noProof/>
        </w:rPr>
        <w:tab/>
        <w:t>Financirano iz izglasovanega proračuna</w:t>
      </w:r>
      <w:bookmarkEnd w:id="185"/>
      <w:bookmarkEnd w:id="186"/>
    </w:p>
    <w:p w:rsidR="005E08AC" w:rsidRPr="00A76C07" w:rsidRDefault="2DB89802" w:rsidP="005E08AC">
      <w:pPr>
        <w:spacing w:after="60"/>
        <w:jc w:val="right"/>
        <w:rPr>
          <w:i/>
          <w:noProof/>
          <w:sz w:val="20"/>
        </w:rPr>
      </w:pPr>
      <w:r w:rsidRPr="00A76C07">
        <w:rPr>
          <w:i/>
          <w:noProof/>
          <w:sz w:val="20"/>
        </w:rPr>
        <w:t>ocena, izražena v ekvivalentu polnega delovnega časa</w:t>
      </w:r>
      <w:r w:rsidRPr="00A76C07">
        <w:rPr>
          <w:rStyle w:val="FootnoteReference"/>
          <w:i/>
          <w:iCs/>
          <w:noProof/>
          <w:sz w:val="20"/>
          <w:szCs w:val="20"/>
        </w:rPr>
        <w:footnoteReference w:id="32"/>
      </w:r>
    </w:p>
    <w:tbl>
      <w:tblPr>
        <w:tblW w:w="5000" w:type="pct"/>
        <w:tblLook w:val="04A0" w:firstRow="1" w:lastRow="0" w:firstColumn="1" w:lastColumn="0" w:noHBand="0" w:noVBand="1"/>
      </w:tblPr>
      <w:tblGrid>
        <w:gridCol w:w="1511"/>
        <w:gridCol w:w="3900"/>
        <w:gridCol w:w="970"/>
        <w:gridCol w:w="970"/>
        <w:gridCol w:w="970"/>
        <w:gridCol w:w="968"/>
      </w:tblGrid>
      <w:tr w:rsidR="009F647E" w:rsidRPr="00A76C07" w:rsidTr="00A83EF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E08AC" w:rsidRPr="00A76C07" w:rsidRDefault="005E08AC">
            <w:pPr>
              <w:spacing w:before="0" w:after="0"/>
              <w:jc w:val="center"/>
              <w:rPr>
                <w:b/>
                <w:bCs/>
                <w:noProof/>
                <w:sz w:val="18"/>
                <w:szCs w:val="18"/>
              </w:rPr>
            </w:pPr>
            <w:bookmarkStart w:id="187" w:name="_Hlk156979231"/>
            <w:r w:rsidRPr="00A76C07">
              <w:rPr>
                <w:b/>
                <w:noProof/>
                <w:sz w:val="18"/>
              </w:rPr>
              <w:t>IZGLASOVANE ODOBRITVE</w:t>
            </w:r>
          </w:p>
        </w:tc>
        <w:tc>
          <w:tcPr>
            <w:tcW w:w="522"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c>
          <w:tcPr>
            <w:tcW w:w="521" w:type="pct"/>
            <w:tcBorders>
              <w:top w:val="single" w:sz="8" w:space="0" w:color="auto"/>
              <w:left w:val="nil"/>
              <w:bottom w:val="nil"/>
              <w:right w:val="single" w:sz="8" w:space="0" w:color="auto"/>
            </w:tcBorders>
            <w:shd w:val="clear" w:color="auto" w:fill="auto"/>
            <w:vAlign w:val="center"/>
            <w:hideMark/>
          </w:tcPr>
          <w:p w:rsidR="005E08AC" w:rsidRPr="00A76C07" w:rsidRDefault="005E08AC">
            <w:pPr>
              <w:spacing w:before="0" w:after="0"/>
              <w:jc w:val="center"/>
              <w:rPr>
                <w:noProof/>
                <w:sz w:val="20"/>
                <w:szCs w:val="20"/>
              </w:rPr>
            </w:pPr>
            <w:r w:rsidRPr="00A76C07">
              <w:rPr>
                <w:noProof/>
                <w:sz w:val="20"/>
              </w:rPr>
              <w:t>Leto</w:t>
            </w:r>
          </w:p>
        </w:tc>
      </w:tr>
      <w:tr w:rsidR="009F647E" w:rsidRPr="00A76C07" w:rsidTr="00A83EF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5E08AC" w:rsidRPr="00A76C07" w:rsidRDefault="005E08AC">
            <w:pPr>
              <w:spacing w:before="0" w:after="0"/>
              <w:jc w:val="left"/>
              <w:rPr>
                <w:b/>
                <w:bCs/>
                <w:noProof/>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2026</w:t>
            </w:r>
          </w:p>
        </w:tc>
        <w:tc>
          <w:tcPr>
            <w:tcW w:w="521"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jc w:val="center"/>
              <w:rPr>
                <w:b/>
                <w:bCs/>
                <w:noProof/>
                <w:sz w:val="20"/>
                <w:szCs w:val="20"/>
              </w:rPr>
            </w:pPr>
            <w:r w:rsidRPr="00A76C07">
              <w:rPr>
                <w:b/>
                <w:noProof/>
                <w:sz w:val="20"/>
              </w:rPr>
              <w:t>2027</w:t>
            </w:r>
          </w:p>
        </w:tc>
      </w:tr>
      <w:tr w:rsidR="009F647E" w:rsidRPr="00A76C0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5E08AC" w:rsidRPr="00A76C07" w:rsidRDefault="005E08AC">
            <w:pPr>
              <w:spacing w:before="0" w:after="0"/>
              <w:jc w:val="left"/>
              <w:rPr>
                <w:rFonts w:ascii="Wingdings" w:hAnsi="Wingdings" w:cs="Calibri"/>
                <w:b/>
                <w:bCs/>
                <w:noProof/>
                <w:sz w:val="16"/>
                <w:szCs w:val="16"/>
              </w:rPr>
            </w:pPr>
            <w:r w:rsidRPr="00A76C07">
              <w:rPr>
                <w:rFonts w:ascii="Wingdings" w:hAnsi="Wingdings"/>
                <w:b/>
                <w:noProof/>
                <w:sz w:val="16"/>
              </w:rPr>
              <w:t></w:t>
            </w:r>
            <w:r w:rsidRPr="00A76C07">
              <w:rPr>
                <w:b/>
                <w:noProof/>
                <w:sz w:val="16"/>
              </w:rPr>
              <w:t xml:space="preserve"> Delovna mesta v skladu s kadrovskim načrtom (uradniki in začasni uslužbenci)</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20 01 02 01</w:t>
            </w:r>
            <w:r w:rsidRPr="00A76C07">
              <w:rPr>
                <w:rFonts w:ascii="Arial Narrow" w:hAnsi="Arial Narrow"/>
                <w:noProof/>
                <w:sz w:val="20"/>
              </w:rPr>
              <w:t xml:space="preserve"> </w:t>
            </w:r>
            <w:r w:rsidRPr="00A76C07">
              <w:rPr>
                <w:noProof/>
                <w:sz w:val="16"/>
              </w:rPr>
              <w:t>(sedež in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E738B1">
            <w:pPr>
              <w:spacing w:before="0" w:after="0"/>
              <w:jc w:val="center"/>
              <w:rPr>
                <w:noProof/>
                <w:sz w:val="16"/>
                <w:szCs w:val="16"/>
              </w:rPr>
            </w:pPr>
            <w:r w:rsidRPr="00A76C07">
              <w:rPr>
                <w:noProof/>
                <w:sz w:val="16"/>
              </w:rPr>
              <w:t>2</w:t>
            </w:r>
          </w:p>
        </w:tc>
        <w:tc>
          <w:tcPr>
            <w:tcW w:w="522" w:type="pct"/>
            <w:tcBorders>
              <w:top w:val="nil"/>
              <w:left w:val="nil"/>
              <w:bottom w:val="single" w:sz="8" w:space="0" w:color="auto"/>
              <w:right w:val="single" w:sz="8" w:space="0" w:color="auto"/>
            </w:tcBorders>
            <w:shd w:val="clear" w:color="000000" w:fill="D9D9D9"/>
            <w:vAlign w:val="center"/>
          </w:tcPr>
          <w:p w:rsidR="005E08AC" w:rsidRPr="00A76C07" w:rsidRDefault="00E738B1">
            <w:pPr>
              <w:spacing w:before="0" w:after="0"/>
              <w:jc w:val="center"/>
              <w:rPr>
                <w:noProof/>
                <w:sz w:val="16"/>
                <w:szCs w:val="16"/>
              </w:rPr>
            </w:pPr>
            <w:r w:rsidRPr="00A76C07">
              <w:rPr>
                <w:noProof/>
                <w:sz w:val="16"/>
              </w:rPr>
              <w:t>2</w:t>
            </w:r>
          </w:p>
        </w:tc>
        <w:tc>
          <w:tcPr>
            <w:tcW w:w="521" w:type="pct"/>
            <w:tcBorders>
              <w:top w:val="nil"/>
              <w:left w:val="nil"/>
              <w:bottom w:val="single" w:sz="8" w:space="0" w:color="auto"/>
              <w:right w:val="single" w:sz="8" w:space="0" w:color="auto"/>
            </w:tcBorders>
            <w:shd w:val="clear" w:color="000000" w:fill="D9D9D9"/>
            <w:vAlign w:val="center"/>
          </w:tcPr>
          <w:p w:rsidR="005E08AC" w:rsidRPr="00A76C07" w:rsidRDefault="00E738B1">
            <w:pPr>
              <w:spacing w:before="0" w:after="0"/>
              <w:jc w:val="center"/>
              <w:rPr>
                <w:noProof/>
                <w:sz w:val="16"/>
                <w:szCs w:val="16"/>
              </w:rPr>
            </w:pPr>
            <w:r w:rsidRPr="00A76C07">
              <w:rPr>
                <w:noProof/>
                <w:sz w:val="16"/>
              </w:rPr>
              <w:t>2</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20 01 02 03 (delegacije EU)</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01 01 01 01</w:t>
            </w:r>
            <w:r w:rsidRPr="00A76C07">
              <w:rPr>
                <w:rFonts w:ascii="Arial Narrow" w:hAnsi="Arial Narrow"/>
                <w:noProof/>
                <w:sz w:val="20"/>
              </w:rPr>
              <w:t xml:space="preserve"> </w:t>
            </w:r>
            <w:r w:rsidRPr="00A76C07">
              <w:rPr>
                <w:noProof/>
                <w:sz w:val="16"/>
              </w:rPr>
              <w:t>(posredne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01 01 01 11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Druge proračunske vrstice (navedite)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5E08AC" w:rsidRPr="00A76C07" w:rsidRDefault="005E08AC">
            <w:pPr>
              <w:spacing w:before="0" w:after="0"/>
              <w:jc w:val="left"/>
              <w:rPr>
                <w:rFonts w:ascii="Wingdings" w:hAnsi="Wingdings" w:cs="Calibri"/>
                <w:b/>
                <w:bCs/>
                <w:noProof/>
                <w:sz w:val="16"/>
                <w:szCs w:val="16"/>
              </w:rPr>
            </w:pPr>
            <w:r w:rsidRPr="00A76C07">
              <w:rPr>
                <w:rFonts w:ascii="Calibri" w:hAnsi="Calibri"/>
                <w:b/>
                <w:noProof/>
                <w:sz w:val="16"/>
              </w:rPr>
              <w:t>•</w:t>
            </w:r>
            <w:r w:rsidRPr="00A76C07">
              <w:rPr>
                <w:b/>
                <w:noProof/>
                <w:sz w:val="16"/>
              </w:rPr>
              <w:t xml:space="preserve"> Zunanji sodelavci (v ekvivalentu polnega delovnega časa)</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20 02 01</w:t>
            </w:r>
            <w:r w:rsidRPr="00A76C07">
              <w:rPr>
                <w:rFonts w:ascii="Arial Narrow" w:hAnsi="Arial Narrow"/>
                <w:noProof/>
                <w:sz w:val="20"/>
              </w:rPr>
              <w:t xml:space="preserve"> </w:t>
            </w:r>
            <w:r w:rsidRPr="00A76C07">
              <w:rPr>
                <w:noProof/>
                <w:sz w:val="16"/>
              </w:rPr>
              <w:t>(PU in NNS iz splošnih sredstev)</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20 02 03 (PU, LU, NNS in MSD na delegacijah EU)</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814" w:type="pct"/>
            <w:vMerge w:val="restart"/>
            <w:tcBorders>
              <w:top w:val="nil"/>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jc w:val="center"/>
              <w:rPr>
                <w:noProof/>
                <w:sz w:val="16"/>
                <w:szCs w:val="16"/>
              </w:rPr>
            </w:pPr>
            <w:r w:rsidRPr="00A76C07">
              <w:rPr>
                <w:noProof/>
                <w:sz w:val="16"/>
              </w:rPr>
              <w:t>Vrstica za upravno podporo</w:t>
            </w:r>
            <w:r w:rsidRPr="00A76C07">
              <w:rPr>
                <w:noProof/>
              </w:rPr>
              <w:t xml:space="preserve"> </w:t>
            </w:r>
            <w:r w:rsidRPr="00A76C07">
              <w:rPr>
                <w:noProof/>
              </w:rPr>
              <w:cr/>
            </w:r>
            <w:r w:rsidRPr="00A76C07">
              <w:rPr>
                <w:noProof/>
              </w:rPr>
              <w:br/>
            </w:r>
            <w:r w:rsidRPr="00A76C07">
              <w:rPr>
                <w:noProof/>
                <w:sz w:val="16"/>
              </w:rPr>
              <w:t>[XX 01 YY YY]</w:t>
            </w:r>
          </w:p>
        </w:tc>
        <w:tc>
          <w:tcPr>
            <w:tcW w:w="209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 na sedežu</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814" w:type="pct"/>
            <w:vMerge/>
            <w:tcBorders>
              <w:top w:val="nil"/>
              <w:left w:val="single" w:sz="8" w:space="0" w:color="auto"/>
              <w:bottom w:val="single" w:sz="8" w:space="0" w:color="auto"/>
              <w:right w:val="single" w:sz="8" w:space="0" w:color="auto"/>
            </w:tcBorders>
            <w:vAlign w:val="center"/>
            <w:hideMark/>
          </w:tcPr>
          <w:p w:rsidR="005E08AC" w:rsidRPr="00A76C07" w:rsidRDefault="005E08AC">
            <w:pPr>
              <w:spacing w:before="0" w:after="0"/>
              <w:jc w:val="left"/>
              <w:rPr>
                <w:noProof/>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 xml:space="preserve">– na delegacijah EU </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01 01 01 02</w:t>
            </w:r>
            <w:r w:rsidRPr="00A76C07">
              <w:rPr>
                <w:rFonts w:ascii="Arial Narrow" w:hAnsi="Arial Narrow"/>
                <w:noProof/>
                <w:sz w:val="20"/>
              </w:rPr>
              <w:t xml:space="preserve"> </w:t>
            </w:r>
            <w:r w:rsidRPr="00A76C07">
              <w:rPr>
                <w:noProof/>
                <w:sz w:val="16"/>
              </w:rPr>
              <w:t>(PU in NNS za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01 01 01 12 (PU in NNS za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Druge proračunske vrstice (navedite) – iz razdelka 7</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9F647E"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E08AC" w:rsidRPr="00A76C07" w:rsidRDefault="005E08AC">
            <w:pPr>
              <w:spacing w:before="0" w:after="0"/>
              <w:ind w:firstLineChars="100" w:firstLine="160"/>
              <w:jc w:val="left"/>
              <w:rPr>
                <w:noProof/>
                <w:sz w:val="16"/>
                <w:szCs w:val="16"/>
              </w:rPr>
            </w:pPr>
            <w:r w:rsidRPr="00A76C07">
              <w:rPr>
                <w:noProof/>
                <w:sz w:val="16"/>
              </w:rPr>
              <w:t>Druge proračunske vrstice (navedite) – zunaj razdelka 7</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c>
          <w:tcPr>
            <w:tcW w:w="521" w:type="pct"/>
            <w:tcBorders>
              <w:top w:val="nil"/>
              <w:left w:val="nil"/>
              <w:bottom w:val="single" w:sz="8" w:space="0" w:color="auto"/>
              <w:right w:val="single" w:sz="8" w:space="0" w:color="auto"/>
            </w:tcBorders>
            <w:shd w:val="clear" w:color="000000" w:fill="D9D9D9"/>
            <w:vAlign w:val="center"/>
            <w:hideMark/>
          </w:tcPr>
          <w:p w:rsidR="005E08AC" w:rsidRPr="00A76C07" w:rsidRDefault="005E08AC">
            <w:pPr>
              <w:spacing w:before="0" w:after="0"/>
              <w:jc w:val="center"/>
              <w:rPr>
                <w:noProof/>
                <w:sz w:val="16"/>
                <w:szCs w:val="16"/>
              </w:rPr>
            </w:pPr>
            <w:r w:rsidRPr="00A76C07">
              <w:rPr>
                <w:noProof/>
                <w:sz w:val="16"/>
              </w:rPr>
              <w:t>0</w:t>
            </w:r>
          </w:p>
        </w:tc>
      </w:tr>
      <w:tr w:rsidR="00A83EF4" w:rsidRPr="00A76C07" w:rsidTr="00A83EF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3EF4" w:rsidRPr="00A76C07" w:rsidRDefault="00A83EF4" w:rsidP="00A83EF4">
            <w:pPr>
              <w:spacing w:before="0" w:after="0"/>
              <w:ind w:firstLineChars="100" w:firstLine="160"/>
              <w:jc w:val="left"/>
              <w:rPr>
                <w:b/>
                <w:bCs/>
                <w:noProof/>
                <w:sz w:val="16"/>
                <w:szCs w:val="16"/>
              </w:rPr>
            </w:pPr>
            <w:r w:rsidRPr="00A76C07">
              <w:rPr>
                <w:b/>
                <w:noProof/>
                <w:sz w:val="16"/>
              </w:rPr>
              <w:t>SKUPAJ</w:t>
            </w:r>
          </w:p>
        </w:tc>
        <w:tc>
          <w:tcPr>
            <w:tcW w:w="522"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center"/>
              <w:rPr>
                <w:b/>
                <w:bCs/>
                <w:noProof/>
                <w:sz w:val="16"/>
                <w:szCs w:val="16"/>
              </w:rPr>
            </w:pPr>
            <w:r w:rsidRPr="00A76C07">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center"/>
              <w:rPr>
                <w:b/>
                <w:bCs/>
                <w:noProof/>
                <w:sz w:val="16"/>
                <w:szCs w:val="16"/>
              </w:rPr>
            </w:pPr>
            <w:r w:rsidRPr="00A76C07">
              <w:rPr>
                <w:noProof/>
                <w:sz w:val="16"/>
              </w:rPr>
              <w:t>2</w:t>
            </w:r>
          </w:p>
        </w:tc>
        <w:tc>
          <w:tcPr>
            <w:tcW w:w="522"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center"/>
              <w:rPr>
                <w:b/>
                <w:bCs/>
                <w:noProof/>
                <w:sz w:val="16"/>
                <w:szCs w:val="16"/>
              </w:rPr>
            </w:pPr>
            <w:r w:rsidRPr="00A76C07">
              <w:rPr>
                <w:noProof/>
                <w:sz w:val="16"/>
              </w:rPr>
              <w:t>2</w:t>
            </w:r>
          </w:p>
        </w:tc>
        <w:tc>
          <w:tcPr>
            <w:tcW w:w="521" w:type="pct"/>
            <w:tcBorders>
              <w:top w:val="nil"/>
              <w:left w:val="nil"/>
              <w:bottom w:val="single" w:sz="8" w:space="0" w:color="auto"/>
              <w:right w:val="single" w:sz="8" w:space="0" w:color="auto"/>
            </w:tcBorders>
            <w:shd w:val="clear" w:color="000000" w:fill="D9D9D9"/>
            <w:vAlign w:val="center"/>
            <w:hideMark/>
          </w:tcPr>
          <w:p w:rsidR="00A83EF4" w:rsidRPr="00A76C07" w:rsidRDefault="00A83EF4" w:rsidP="00A83EF4">
            <w:pPr>
              <w:spacing w:before="0" w:after="0"/>
              <w:jc w:val="center"/>
              <w:rPr>
                <w:b/>
                <w:bCs/>
                <w:noProof/>
                <w:sz w:val="16"/>
                <w:szCs w:val="16"/>
              </w:rPr>
            </w:pPr>
            <w:r w:rsidRPr="00A76C07">
              <w:rPr>
                <w:noProof/>
                <w:sz w:val="16"/>
              </w:rPr>
              <w:t>2</w:t>
            </w:r>
          </w:p>
        </w:tc>
      </w:tr>
    </w:tbl>
    <w:p w:rsidR="005E08AC" w:rsidRPr="00A76C07" w:rsidRDefault="005E08AC" w:rsidP="005E08AC">
      <w:pPr>
        <w:rPr>
          <w:noProof/>
        </w:rPr>
      </w:pPr>
      <w:r w:rsidRPr="00A76C07">
        <w:rPr>
          <w:noProof/>
        </w:rPr>
        <w:t>===================================================================</w:t>
      </w:r>
    </w:p>
    <w:p w:rsidR="00E738B1" w:rsidRPr="00A76C07" w:rsidRDefault="005E08AC" w:rsidP="00430805">
      <w:pPr>
        <w:pStyle w:val="Text1"/>
        <w:rPr>
          <w:noProof/>
        </w:rPr>
      </w:pPr>
      <w:bookmarkStart w:id="188" w:name="_Hlk167692843"/>
      <w:bookmarkEnd w:id="187"/>
      <w:r w:rsidRPr="00A76C07">
        <w:rPr>
          <w:noProof/>
        </w:rPr>
        <w:t>Glede na splošno obremenjenost v razdelku 7, tako v smislu obsega osebja kot v smislu obsega odobritev, se potrebe po človeških virih krijejo z osebjem generalnega direktorata, ki je že dodeljeno za upravljanje ukrepa in/ali je bilo prerazporejeno znotraj generalnega direktorata ali drugih služb Komisije.</w:t>
      </w:r>
    </w:p>
    <w:p w:rsidR="00E738B1" w:rsidRPr="00A76C07" w:rsidRDefault="00E738B1" w:rsidP="00430805">
      <w:pPr>
        <w:pStyle w:val="Text1"/>
        <w:rPr>
          <w:noProof/>
        </w:rPr>
      </w:pPr>
      <w:r w:rsidRPr="00A76C07">
        <w:rPr>
          <w:noProof/>
        </w:rPr>
        <w:t xml:space="preserve">Osebje, potrebno za izvajanje predloga (v ekvivalentu polnega delovnega časa):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9F647E" w:rsidRPr="00A76C07" w:rsidTr="0065504F">
        <w:trPr>
          <w:trHeight w:val="300"/>
        </w:trPr>
        <w:tc>
          <w:tcPr>
            <w:tcW w:w="1845" w:type="dxa"/>
          </w:tcPr>
          <w:p w:rsidR="00E738B1" w:rsidRPr="00A76C07" w:rsidRDefault="00E738B1">
            <w:pPr>
              <w:pStyle w:val="Text1"/>
              <w:ind w:left="0"/>
              <w:jc w:val="center"/>
              <w:rPr>
                <w:b/>
                <w:bCs/>
                <w:noProof/>
                <w:sz w:val="22"/>
                <w:szCs w:val="28"/>
              </w:rPr>
            </w:pPr>
          </w:p>
        </w:tc>
        <w:tc>
          <w:tcPr>
            <w:tcW w:w="2031" w:type="dxa"/>
          </w:tcPr>
          <w:p w:rsidR="00E738B1" w:rsidRPr="00A76C07" w:rsidRDefault="00E738B1">
            <w:pPr>
              <w:pStyle w:val="Text1"/>
              <w:ind w:left="0"/>
              <w:jc w:val="center"/>
              <w:rPr>
                <w:b/>
                <w:bCs/>
                <w:noProof/>
                <w:sz w:val="22"/>
              </w:rPr>
            </w:pPr>
            <w:r w:rsidRPr="00A76C07">
              <w:rPr>
                <w:b/>
                <w:noProof/>
                <w:sz w:val="22"/>
              </w:rPr>
              <w:t xml:space="preserve">Obstoječe osebje na voljo v službah Komisije </w:t>
            </w:r>
          </w:p>
        </w:tc>
        <w:tc>
          <w:tcPr>
            <w:tcW w:w="5611" w:type="dxa"/>
            <w:gridSpan w:val="3"/>
          </w:tcPr>
          <w:p w:rsidR="00E738B1" w:rsidRPr="00A76C07" w:rsidRDefault="00E738B1">
            <w:pPr>
              <w:pStyle w:val="Text1"/>
              <w:ind w:left="0"/>
              <w:jc w:val="center"/>
              <w:rPr>
                <w:b/>
                <w:bCs/>
                <w:noProof/>
                <w:sz w:val="22"/>
              </w:rPr>
            </w:pPr>
            <w:r w:rsidRPr="00A76C07">
              <w:rPr>
                <w:b/>
                <w:noProof/>
                <w:sz w:val="22"/>
              </w:rPr>
              <w:t>Izredno dodatno osebje</w:t>
            </w:r>
          </w:p>
        </w:tc>
      </w:tr>
      <w:tr w:rsidR="009F647E" w:rsidRPr="00A76C07" w:rsidTr="0065504F">
        <w:trPr>
          <w:trHeight w:val="300"/>
        </w:trPr>
        <w:tc>
          <w:tcPr>
            <w:tcW w:w="1845" w:type="dxa"/>
          </w:tcPr>
          <w:p w:rsidR="00E738B1" w:rsidRPr="00A76C07" w:rsidRDefault="00E738B1">
            <w:pPr>
              <w:pStyle w:val="Text1"/>
              <w:ind w:left="0"/>
              <w:jc w:val="center"/>
              <w:rPr>
                <w:b/>
                <w:bCs/>
                <w:noProof/>
                <w:sz w:val="22"/>
                <w:szCs w:val="28"/>
              </w:rPr>
            </w:pPr>
          </w:p>
        </w:tc>
        <w:tc>
          <w:tcPr>
            <w:tcW w:w="2031" w:type="dxa"/>
          </w:tcPr>
          <w:p w:rsidR="00E738B1" w:rsidRPr="00A76C07" w:rsidRDefault="00E738B1">
            <w:pPr>
              <w:pStyle w:val="Text1"/>
              <w:ind w:left="0"/>
              <w:jc w:val="center"/>
              <w:rPr>
                <w:b/>
                <w:bCs/>
                <w:noProof/>
                <w:sz w:val="22"/>
                <w:szCs w:val="28"/>
              </w:rPr>
            </w:pPr>
          </w:p>
        </w:tc>
        <w:tc>
          <w:tcPr>
            <w:tcW w:w="1925" w:type="dxa"/>
          </w:tcPr>
          <w:p w:rsidR="00E738B1" w:rsidRPr="00A76C07" w:rsidRDefault="00E738B1">
            <w:pPr>
              <w:pStyle w:val="Text1"/>
              <w:ind w:left="0"/>
              <w:jc w:val="center"/>
              <w:rPr>
                <w:b/>
                <w:bCs/>
                <w:noProof/>
                <w:sz w:val="22"/>
              </w:rPr>
            </w:pPr>
            <w:r w:rsidRPr="00A76C07">
              <w:rPr>
                <w:b/>
                <w:noProof/>
                <w:sz w:val="22"/>
              </w:rPr>
              <w:t>financirano iz razdelka 7 ali odobritev za raziskave</w:t>
            </w:r>
          </w:p>
        </w:tc>
        <w:tc>
          <w:tcPr>
            <w:tcW w:w="1938" w:type="dxa"/>
          </w:tcPr>
          <w:p w:rsidR="00E738B1" w:rsidRPr="00A76C07" w:rsidRDefault="00E738B1">
            <w:pPr>
              <w:pStyle w:val="Text1"/>
              <w:ind w:left="0"/>
              <w:jc w:val="center"/>
              <w:rPr>
                <w:b/>
                <w:bCs/>
                <w:noProof/>
                <w:sz w:val="22"/>
                <w:szCs w:val="28"/>
              </w:rPr>
            </w:pPr>
            <w:r w:rsidRPr="00A76C07">
              <w:rPr>
                <w:b/>
                <w:noProof/>
                <w:sz w:val="22"/>
              </w:rPr>
              <w:t>financirano iz vrstice BA</w:t>
            </w:r>
          </w:p>
        </w:tc>
        <w:tc>
          <w:tcPr>
            <w:tcW w:w="1748" w:type="dxa"/>
          </w:tcPr>
          <w:p w:rsidR="00E738B1" w:rsidRPr="00A76C07" w:rsidRDefault="00E738B1">
            <w:pPr>
              <w:pStyle w:val="Text1"/>
              <w:ind w:left="0"/>
              <w:jc w:val="center"/>
              <w:rPr>
                <w:b/>
                <w:bCs/>
                <w:noProof/>
                <w:sz w:val="22"/>
                <w:szCs w:val="28"/>
              </w:rPr>
            </w:pPr>
            <w:r w:rsidRPr="00A76C07">
              <w:rPr>
                <w:b/>
                <w:noProof/>
                <w:sz w:val="22"/>
              </w:rPr>
              <w:t>financirano s pristojbinami</w:t>
            </w:r>
          </w:p>
        </w:tc>
      </w:tr>
      <w:tr w:rsidR="009F647E" w:rsidRPr="00A76C07" w:rsidTr="0065504F">
        <w:trPr>
          <w:trHeight w:val="300"/>
        </w:trPr>
        <w:tc>
          <w:tcPr>
            <w:tcW w:w="1845" w:type="dxa"/>
          </w:tcPr>
          <w:p w:rsidR="00E738B1" w:rsidRPr="00A76C07" w:rsidRDefault="00E738B1">
            <w:pPr>
              <w:pStyle w:val="Text1"/>
              <w:ind w:left="0"/>
              <w:rPr>
                <w:noProof/>
                <w:sz w:val="22"/>
                <w:szCs w:val="28"/>
              </w:rPr>
            </w:pPr>
            <w:r w:rsidRPr="00A76C07">
              <w:rPr>
                <w:noProof/>
                <w:sz w:val="22"/>
              </w:rPr>
              <w:t>Delovna mesta v skladu s kadrovskim načrtom</w:t>
            </w:r>
          </w:p>
        </w:tc>
        <w:tc>
          <w:tcPr>
            <w:tcW w:w="2031" w:type="dxa"/>
          </w:tcPr>
          <w:p w:rsidR="00E738B1" w:rsidRPr="00A76C07" w:rsidRDefault="00E738B1">
            <w:pPr>
              <w:pStyle w:val="Text1"/>
              <w:ind w:left="0"/>
              <w:jc w:val="center"/>
              <w:rPr>
                <w:noProof/>
                <w:sz w:val="22"/>
                <w:szCs w:val="28"/>
              </w:rPr>
            </w:pPr>
            <w:r w:rsidRPr="00A76C07">
              <w:rPr>
                <w:noProof/>
                <w:sz w:val="22"/>
              </w:rPr>
              <w:t>2</w:t>
            </w:r>
          </w:p>
        </w:tc>
        <w:tc>
          <w:tcPr>
            <w:tcW w:w="1925" w:type="dxa"/>
          </w:tcPr>
          <w:p w:rsidR="00E738B1" w:rsidRPr="00A76C07" w:rsidRDefault="00E738B1">
            <w:pPr>
              <w:pStyle w:val="Text1"/>
              <w:ind w:left="0"/>
              <w:rPr>
                <w:noProof/>
                <w:sz w:val="22"/>
                <w:szCs w:val="28"/>
              </w:rPr>
            </w:pPr>
          </w:p>
        </w:tc>
        <w:tc>
          <w:tcPr>
            <w:tcW w:w="1938" w:type="dxa"/>
          </w:tcPr>
          <w:p w:rsidR="00E738B1" w:rsidRPr="00A76C07" w:rsidRDefault="00E738B1">
            <w:pPr>
              <w:pStyle w:val="Text1"/>
              <w:ind w:left="0"/>
              <w:rPr>
                <w:noProof/>
                <w:sz w:val="22"/>
                <w:szCs w:val="28"/>
              </w:rPr>
            </w:pPr>
            <w:r w:rsidRPr="00A76C07">
              <w:rPr>
                <w:noProof/>
                <w:sz w:val="22"/>
              </w:rPr>
              <w:t>n. r.</w:t>
            </w:r>
          </w:p>
        </w:tc>
        <w:tc>
          <w:tcPr>
            <w:tcW w:w="1748" w:type="dxa"/>
          </w:tcPr>
          <w:p w:rsidR="00E738B1" w:rsidRPr="00A76C07" w:rsidRDefault="00E738B1">
            <w:pPr>
              <w:pStyle w:val="Text1"/>
              <w:ind w:left="0"/>
              <w:rPr>
                <w:noProof/>
                <w:sz w:val="22"/>
                <w:szCs w:val="28"/>
              </w:rPr>
            </w:pPr>
          </w:p>
        </w:tc>
      </w:tr>
      <w:tr w:rsidR="009F647E" w:rsidRPr="00A76C07" w:rsidTr="0065504F">
        <w:trPr>
          <w:trHeight w:val="300"/>
        </w:trPr>
        <w:tc>
          <w:tcPr>
            <w:tcW w:w="1845" w:type="dxa"/>
          </w:tcPr>
          <w:p w:rsidR="00E738B1" w:rsidRPr="00A76C07" w:rsidRDefault="00E738B1">
            <w:pPr>
              <w:pStyle w:val="Text1"/>
              <w:ind w:left="0"/>
              <w:rPr>
                <w:noProof/>
                <w:sz w:val="22"/>
                <w:szCs w:val="28"/>
              </w:rPr>
            </w:pPr>
            <w:r w:rsidRPr="00A76C07">
              <w:rPr>
                <w:noProof/>
                <w:sz w:val="22"/>
              </w:rPr>
              <w:t>Zunanji sodelavci (PU, NNS, AU)</w:t>
            </w:r>
          </w:p>
        </w:tc>
        <w:tc>
          <w:tcPr>
            <w:tcW w:w="2031" w:type="dxa"/>
          </w:tcPr>
          <w:p w:rsidR="00E738B1" w:rsidRPr="00A76C07" w:rsidRDefault="00E738B1">
            <w:pPr>
              <w:pStyle w:val="Text1"/>
              <w:ind w:left="0"/>
              <w:rPr>
                <w:noProof/>
                <w:sz w:val="22"/>
                <w:szCs w:val="28"/>
              </w:rPr>
            </w:pPr>
          </w:p>
        </w:tc>
        <w:tc>
          <w:tcPr>
            <w:tcW w:w="1925" w:type="dxa"/>
          </w:tcPr>
          <w:p w:rsidR="00E738B1" w:rsidRPr="00A76C07" w:rsidRDefault="00E738B1">
            <w:pPr>
              <w:pStyle w:val="Text1"/>
              <w:ind w:left="0"/>
              <w:rPr>
                <w:noProof/>
                <w:sz w:val="22"/>
                <w:szCs w:val="28"/>
              </w:rPr>
            </w:pPr>
          </w:p>
        </w:tc>
        <w:tc>
          <w:tcPr>
            <w:tcW w:w="1938" w:type="dxa"/>
          </w:tcPr>
          <w:p w:rsidR="00E738B1" w:rsidRPr="00A76C07" w:rsidRDefault="00E738B1">
            <w:pPr>
              <w:pStyle w:val="Text1"/>
              <w:ind w:left="0"/>
              <w:rPr>
                <w:noProof/>
                <w:sz w:val="22"/>
                <w:szCs w:val="28"/>
              </w:rPr>
            </w:pPr>
          </w:p>
        </w:tc>
        <w:tc>
          <w:tcPr>
            <w:tcW w:w="1748" w:type="dxa"/>
          </w:tcPr>
          <w:p w:rsidR="00E738B1" w:rsidRPr="00A76C07" w:rsidRDefault="00E738B1">
            <w:pPr>
              <w:pStyle w:val="Text1"/>
              <w:ind w:left="0"/>
              <w:rPr>
                <w:noProof/>
                <w:sz w:val="22"/>
                <w:szCs w:val="28"/>
              </w:rPr>
            </w:pPr>
          </w:p>
        </w:tc>
      </w:tr>
    </w:tbl>
    <w:p w:rsidR="00E738B1" w:rsidRPr="00A76C07" w:rsidRDefault="00E738B1" w:rsidP="00430805">
      <w:pPr>
        <w:pStyle w:val="Text1"/>
        <w:rPr>
          <w:noProof/>
        </w:rPr>
      </w:pPr>
    </w:p>
    <w:p w:rsidR="005E08AC" w:rsidRPr="00A76C07" w:rsidRDefault="005E08AC" w:rsidP="00430805">
      <w:pPr>
        <w:pStyle w:val="Text1"/>
        <w:rPr>
          <w:noProof/>
        </w:rPr>
      </w:pPr>
      <w:r w:rsidRPr="00A76C07">
        <w:rPr>
          <w:noProof/>
        </w:rPr>
        <w:t>Opis nalog: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F647E" w:rsidRPr="00A76C07" w:rsidTr="00133726">
        <w:tc>
          <w:tcPr>
            <w:tcW w:w="3240" w:type="dxa"/>
          </w:tcPr>
          <w:p w:rsidR="005E08AC" w:rsidRPr="00A76C07" w:rsidRDefault="005E08AC">
            <w:pPr>
              <w:rPr>
                <w:noProof/>
                <w:sz w:val="20"/>
              </w:rPr>
            </w:pPr>
            <w:r w:rsidRPr="00A76C07">
              <w:rPr>
                <w:noProof/>
                <w:sz w:val="20"/>
              </w:rPr>
              <w:t>Uradniki in začasni uslužbenci</w:t>
            </w:r>
          </w:p>
        </w:tc>
        <w:tc>
          <w:tcPr>
            <w:tcW w:w="7200" w:type="dxa"/>
          </w:tcPr>
          <w:p w:rsidR="005E08AC" w:rsidRPr="00A76C07" w:rsidRDefault="005E08AC">
            <w:pPr>
              <w:rPr>
                <w:noProof/>
                <w:sz w:val="20"/>
              </w:rPr>
            </w:pPr>
            <w:r w:rsidRPr="00A76C07">
              <w:rPr>
                <w:noProof/>
                <w:sz w:val="20"/>
              </w:rPr>
              <w:t xml:space="preserve">Uradniki in začasni uslužbenci bodo spremljali izvajanje Direktive, tako da se bodo usklajevali s pristojnim organom držav članic EU. </w:t>
            </w:r>
          </w:p>
        </w:tc>
      </w:tr>
      <w:tr w:rsidR="009F647E" w:rsidRPr="00A76C07" w:rsidTr="00133726">
        <w:tc>
          <w:tcPr>
            <w:tcW w:w="3240" w:type="dxa"/>
          </w:tcPr>
          <w:p w:rsidR="005E08AC" w:rsidRPr="00A76C07" w:rsidRDefault="005E08AC">
            <w:pPr>
              <w:spacing w:before="60" w:after="60"/>
              <w:rPr>
                <w:noProof/>
                <w:sz w:val="20"/>
              </w:rPr>
            </w:pPr>
            <w:r w:rsidRPr="00A76C07">
              <w:rPr>
                <w:noProof/>
                <w:sz w:val="20"/>
              </w:rPr>
              <w:t>Zunanji sodelavci</w:t>
            </w:r>
          </w:p>
        </w:tc>
        <w:tc>
          <w:tcPr>
            <w:tcW w:w="7200" w:type="dxa"/>
          </w:tcPr>
          <w:p w:rsidR="005E08AC" w:rsidRPr="00A76C07" w:rsidRDefault="005E08AC">
            <w:pPr>
              <w:rPr>
                <w:noProof/>
                <w:sz w:val="20"/>
              </w:rPr>
            </w:pPr>
          </w:p>
        </w:tc>
      </w:tr>
    </w:tbl>
    <w:p w:rsidR="005E08AC" w:rsidRPr="00A76C07" w:rsidRDefault="005E08AC" w:rsidP="005E08AC">
      <w:pPr>
        <w:pStyle w:val="ManualHeading3"/>
        <w:rPr>
          <w:noProof/>
        </w:rPr>
      </w:pPr>
      <w:bookmarkStart w:id="189" w:name="_Toc177549031"/>
      <w:bookmarkStart w:id="190" w:name="_Toc199239288"/>
      <w:r w:rsidRPr="00A76C07">
        <w:rPr>
          <w:noProof/>
        </w:rPr>
        <w:t>3.2.5</w:t>
      </w:r>
      <w:r w:rsidRPr="00A76C07">
        <w:rPr>
          <w:noProof/>
        </w:rPr>
        <w:tab/>
        <w:t>Pregled ocenjenih posledic za naložbe, povezane z digitalnimi tehnologijami</w:t>
      </w:r>
      <w:bookmarkEnd w:id="189"/>
      <w:bookmarkEnd w:id="190"/>
    </w:p>
    <w:p w:rsidR="005E08AC" w:rsidRPr="00A76C07" w:rsidRDefault="005E08AC" w:rsidP="005E08AC">
      <w:pPr>
        <w:pStyle w:val="Text1"/>
        <w:spacing w:line="259" w:lineRule="auto"/>
        <w:rPr>
          <w:noProof/>
        </w:rPr>
      </w:pPr>
      <w:r w:rsidRPr="00A76C07">
        <w:rPr>
          <w:noProof/>
        </w:rPr>
        <w:t xml:space="preserve">Obvezno: v spodnjo tabelo je treba vstaviti najboljšo oceno z digitalnimi tehnologijami povezanih naložb, ki so vključene v predlog/pobudo. </w:t>
      </w:r>
    </w:p>
    <w:p w:rsidR="005E08AC" w:rsidRPr="00A76C07" w:rsidRDefault="005E08AC" w:rsidP="005E08AC">
      <w:pPr>
        <w:pStyle w:val="Text1"/>
        <w:spacing w:line="259" w:lineRule="auto"/>
        <w:rPr>
          <w:noProof/>
        </w:rPr>
      </w:pPr>
      <w:r w:rsidRPr="00A76C07">
        <w:rPr>
          <w:noProof/>
        </w:rPr>
        <w:t xml:space="preserve">Izjemoma, kadar je to potrebno za izvajanje predloga/pobude, je treba odobritve iz razdelka 7 vnesti v za to določeno vrstico. </w:t>
      </w:r>
    </w:p>
    <w:p w:rsidR="005E08AC" w:rsidRPr="00A76C07" w:rsidRDefault="005E08AC" w:rsidP="005E08AC">
      <w:pPr>
        <w:pStyle w:val="Text1"/>
        <w:spacing w:line="259" w:lineRule="auto"/>
        <w:rPr>
          <w:noProof/>
        </w:rPr>
      </w:pPr>
      <w:r w:rsidRPr="00A76C07">
        <w:rPr>
          <w:noProof/>
        </w:rPr>
        <w:t>Odobritve iz razdelkov 1–6 je treba prikazati kot „Odhodke za IT za operativne programe (v okviru politik)“. Ti odhodki se nanašajo na operativni proračun, ki se uporabi za ponovno uporabo / nakup / razvoj platform/orodij IT, ki so neposredno povezani z izvajanjem pobude in naložbami, povezanimi z njimi (npr. licence, študije, shranjevanje podatkov itd.). Informacije v tej tabeli morajo biti usklajene s podatki, predstavljenimi v oddelku 4 „Digitalne razsežnosti“.</w:t>
      </w:r>
    </w:p>
    <w:tbl>
      <w:tblPr>
        <w:tblW w:w="0" w:type="auto"/>
        <w:tblLayout w:type="fixed"/>
        <w:tblLook w:val="04A0" w:firstRow="1" w:lastRow="0" w:firstColumn="1" w:lastColumn="0" w:noHBand="0" w:noVBand="1"/>
      </w:tblPr>
      <w:tblGrid>
        <w:gridCol w:w="3214"/>
        <w:gridCol w:w="835"/>
        <w:gridCol w:w="835"/>
        <w:gridCol w:w="835"/>
        <w:gridCol w:w="835"/>
        <w:gridCol w:w="981"/>
      </w:tblGrid>
      <w:tr w:rsidR="009F647E" w:rsidRPr="00A76C0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Odobritve za digitalno in IT področje SKUPAJ</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5E08AC" w:rsidRPr="00A76C07" w:rsidRDefault="005E08AC">
            <w:pPr>
              <w:spacing w:before="0" w:after="0"/>
              <w:jc w:val="center"/>
              <w:rPr>
                <w:noProof/>
                <w:sz w:val="18"/>
                <w:szCs w:val="18"/>
              </w:rPr>
            </w:pPr>
            <w:r w:rsidRPr="00A76C07">
              <w:rPr>
                <w:noProof/>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E08AC" w:rsidRPr="00A76C07" w:rsidRDefault="005E08AC">
            <w:pPr>
              <w:spacing w:before="0" w:after="0"/>
              <w:jc w:val="center"/>
              <w:rPr>
                <w:noProof/>
                <w:sz w:val="18"/>
                <w:szCs w:val="18"/>
              </w:rPr>
            </w:pPr>
            <w:r w:rsidRPr="00A76C07">
              <w:rPr>
                <w:noProof/>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E08AC" w:rsidRPr="00A76C07" w:rsidRDefault="005E08AC">
            <w:pPr>
              <w:spacing w:before="0" w:after="0"/>
              <w:jc w:val="center"/>
              <w:rPr>
                <w:noProof/>
                <w:sz w:val="18"/>
                <w:szCs w:val="18"/>
              </w:rPr>
            </w:pPr>
            <w:r w:rsidRPr="00A76C07">
              <w:rPr>
                <w:noProof/>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5E08AC" w:rsidRPr="00A76C07" w:rsidRDefault="005E08AC">
            <w:pPr>
              <w:spacing w:before="0" w:after="0"/>
              <w:jc w:val="center"/>
              <w:rPr>
                <w:noProof/>
                <w:sz w:val="18"/>
                <w:szCs w:val="18"/>
              </w:rPr>
            </w:pPr>
            <w:r w:rsidRPr="00A76C07">
              <w:rPr>
                <w:noProof/>
                <w:sz w:val="18"/>
              </w:rPr>
              <w:t>Leto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VFO 2021–2027 SKUPAJ</w:t>
            </w:r>
          </w:p>
        </w:tc>
      </w:tr>
      <w:tr w:rsidR="009F647E" w:rsidRPr="00A76C07">
        <w:trPr>
          <w:trHeight w:val="525"/>
        </w:trPr>
        <w:tc>
          <w:tcPr>
            <w:tcW w:w="3214" w:type="dxa"/>
            <w:vMerge/>
            <w:tcBorders>
              <w:top w:val="single" w:sz="8" w:space="0" w:color="auto"/>
              <w:left w:val="single" w:sz="4" w:space="0" w:color="auto"/>
              <w:right w:val="single" w:sz="4" w:space="0" w:color="auto"/>
            </w:tcBorders>
            <w:vAlign w:val="center"/>
          </w:tcPr>
          <w:p w:rsidR="005E08AC" w:rsidRPr="00A76C07" w:rsidRDefault="005E08AC">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center"/>
              <w:rPr>
                <w:b/>
                <w:bCs/>
                <w:noProof/>
                <w:sz w:val="18"/>
                <w:szCs w:val="18"/>
              </w:rPr>
            </w:pPr>
            <w:r w:rsidRPr="00A76C07">
              <w:rPr>
                <w:b/>
                <w:noProof/>
                <w:sz w:val="18"/>
              </w:rPr>
              <w:t>2027</w:t>
            </w:r>
          </w:p>
        </w:tc>
        <w:tc>
          <w:tcPr>
            <w:tcW w:w="981" w:type="dxa"/>
            <w:vMerge/>
            <w:tcBorders>
              <w:bottom w:val="single" w:sz="4" w:space="0" w:color="auto"/>
              <w:right w:val="single" w:sz="4" w:space="0" w:color="auto"/>
            </w:tcBorders>
            <w:vAlign w:val="center"/>
          </w:tcPr>
          <w:p w:rsidR="005E08AC" w:rsidRPr="00A76C07" w:rsidRDefault="005E08AC">
            <w:pPr>
              <w:rPr>
                <w:noProof/>
              </w:rPr>
            </w:pPr>
          </w:p>
        </w:tc>
      </w:tr>
      <w:tr w:rsidR="009F647E" w:rsidRPr="00A76C0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left"/>
              <w:rPr>
                <w:b/>
                <w:bCs/>
                <w:noProof/>
                <w:sz w:val="16"/>
                <w:szCs w:val="16"/>
              </w:rPr>
            </w:pPr>
            <w:r w:rsidRPr="00A76C07">
              <w:rPr>
                <w:b/>
                <w:noProof/>
                <w:sz w:val="16"/>
              </w:rPr>
              <w:t>RAZDELEK 7</w:t>
            </w:r>
          </w:p>
        </w:tc>
      </w:tr>
      <w:tr w:rsidR="009F647E" w:rsidRPr="00A76C0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left"/>
              <w:rPr>
                <w:noProof/>
                <w:sz w:val="16"/>
                <w:szCs w:val="16"/>
              </w:rPr>
            </w:pPr>
            <w:r w:rsidRPr="00A76C07">
              <w:rPr>
                <w:rFonts w:ascii="Arial Narrow" w:hAnsi="Arial Narrow"/>
                <w:noProof/>
                <w:sz w:val="20"/>
              </w:rPr>
              <w:t>Odhodki za IT (na ravni organizacije)</w:t>
            </w:r>
            <w:r w:rsidRPr="00A76C07">
              <w:rPr>
                <w:noProof/>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r>
      <w:tr w:rsidR="009F647E" w:rsidRPr="00A76C0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5E08AC" w:rsidRPr="00A76C07" w:rsidRDefault="005E08AC">
            <w:pPr>
              <w:spacing w:before="0" w:after="0"/>
              <w:jc w:val="center"/>
              <w:rPr>
                <w:b/>
                <w:bCs/>
                <w:noProof/>
                <w:sz w:val="16"/>
                <w:szCs w:val="16"/>
              </w:rPr>
            </w:pPr>
            <w:r w:rsidRPr="00A76C07">
              <w:rPr>
                <w:b/>
                <w:noProof/>
                <w:sz w:val="16"/>
              </w:rPr>
              <w:t>Seštevek za RAZDELEK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r>
      <w:tr w:rsidR="009F647E" w:rsidRPr="00A76C0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left"/>
              <w:rPr>
                <w:b/>
                <w:bCs/>
                <w:noProof/>
                <w:sz w:val="16"/>
                <w:szCs w:val="16"/>
              </w:rPr>
            </w:pPr>
            <w:r w:rsidRPr="00A76C07">
              <w:rPr>
                <w:b/>
                <w:noProof/>
                <w:sz w:val="16"/>
              </w:rPr>
              <w:t>Odobritve zunaj RAZDELKA 7</w:t>
            </w:r>
          </w:p>
        </w:tc>
      </w:tr>
      <w:tr w:rsidR="009F647E" w:rsidRPr="00A76C0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left"/>
              <w:rPr>
                <w:rFonts w:ascii="Arial Narrow" w:eastAsia="Arial Narrow" w:hAnsi="Arial Narrow" w:cs="Arial Narrow"/>
                <w:noProof/>
                <w:sz w:val="20"/>
                <w:szCs w:val="20"/>
              </w:rPr>
            </w:pPr>
            <w:r w:rsidRPr="00A76C07">
              <w:rPr>
                <w:rFonts w:ascii="Arial Narrow" w:hAnsi="Arial Narrow"/>
                <w:noProof/>
                <w:sz w:val="20"/>
              </w:rPr>
              <w:t>Odhodki za IT za operativne programe (v okviru politik)</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noProof/>
                <w:sz w:val="16"/>
                <w:szCs w:val="16"/>
              </w:rPr>
            </w:pPr>
            <w:r w:rsidRPr="00A76C07">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r>
      <w:tr w:rsidR="009F647E" w:rsidRPr="00A76C0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5E08AC" w:rsidRPr="00A76C07" w:rsidRDefault="005E08AC">
            <w:pPr>
              <w:spacing w:before="0" w:after="0"/>
              <w:jc w:val="center"/>
              <w:rPr>
                <w:b/>
                <w:bCs/>
                <w:noProof/>
                <w:sz w:val="16"/>
                <w:szCs w:val="16"/>
              </w:rPr>
            </w:pPr>
            <w:r w:rsidRPr="00A76C07">
              <w:rPr>
                <w:b/>
                <w:noProof/>
                <w:sz w:val="16"/>
              </w:rPr>
              <w:t>Seštevek za odobritve zunaj RAZDELKA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r>
      <w:tr w:rsidR="009F647E" w:rsidRPr="00A76C0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E08AC" w:rsidRPr="00A76C07" w:rsidRDefault="005E08AC">
            <w:pPr>
              <w:spacing w:before="0" w:after="0"/>
              <w:jc w:val="center"/>
              <w:rPr>
                <w:noProof/>
                <w:sz w:val="16"/>
                <w:szCs w:val="16"/>
              </w:rPr>
            </w:pPr>
          </w:p>
        </w:tc>
      </w:tr>
      <w:tr w:rsidR="009F647E" w:rsidRPr="00A76C0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5E08AC" w:rsidRPr="00A76C07" w:rsidRDefault="005E08AC">
            <w:pPr>
              <w:spacing w:before="0" w:after="0"/>
              <w:jc w:val="center"/>
              <w:rPr>
                <w:b/>
                <w:bCs/>
                <w:noProof/>
                <w:sz w:val="16"/>
                <w:szCs w:val="16"/>
              </w:rPr>
            </w:pPr>
            <w:r w:rsidRPr="00A76C07">
              <w:rPr>
                <w:b/>
                <w:noProof/>
                <w:sz w:val="16"/>
              </w:rPr>
              <w:t>SKUPAJ</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5E08AC" w:rsidRPr="00A76C07" w:rsidRDefault="005E08AC">
            <w:pPr>
              <w:spacing w:before="0" w:after="0"/>
              <w:jc w:val="right"/>
              <w:rPr>
                <w:b/>
                <w:bCs/>
                <w:noProof/>
                <w:sz w:val="16"/>
                <w:szCs w:val="16"/>
              </w:rPr>
            </w:pPr>
            <w:r w:rsidRPr="00A76C07">
              <w:rPr>
                <w:b/>
                <w:noProof/>
                <w:sz w:val="16"/>
              </w:rPr>
              <w:t>0,000</w:t>
            </w:r>
          </w:p>
        </w:tc>
      </w:tr>
    </w:tbl>
    <w:p w:rsidR="005E08AC" w:rsidRPr="00A76C07" w:rsidRDefault="005E08AC" w:rsidP="005E08AC">
      <w:pPr>
        <w:pStyle w:val="ManualHeading3"/>
        <w:rPr>
          <w:noProof/>
        </w:rPr>
      </w:pPr>
      <w:bookmarkStart w:id="191" w:name="_Toc514938056"/>
      <w:bookmarkStart w:id="192" w:name="_Toc199239289"/>
      <w:bookmarkEnd w:id="188"/>
      <w:r w:rsidRPr="00A76C07">
        <w:rPr>
          <w:noProof/>
        </w:rPr>
        <w:t>3.2.6</w:t>
      </w:r>
      <w:r w:rsidRPr="00A76C07">
        <w:rPr>
          <w:noProof/>
        </w:rPr>
        <w:tab/>
        <w:t>Skladnost z veljavnim večletnim finančnim okvirom</w:t>
      </w:r>
      <w:bookmarkEnd w:id="191"/>
      <w:bookmarkEnd w:id="192"/>
      <w:r w:rsidRPr="00A76C07">
        <w:rPr>
          <w:noProof/>
        </w:rPr>
        <w:t xml:space="preserve"> </w:t>
      </w:r>
    </w:p>
    <w:p w:rsidR="005E08AC" w:rsidRPr="00A76C07" w:rsidRDefault="005E08AC" w:rsidP="005E08AC">
      <w:pPr>
        <w:pStyle w:val="Text1"/>
        <w:rPr>
          <w:noProof/>
        </w:rPr>
      </w:pPr>
      <w:r w:rsidRPr="00A76C07">
        <w:rPr>
          <w:noProof/>
        </w:rPr>
        <w:t>Predlog/pobuda:</w:t>
      </w:r>
    </w:p>
    <w:p w:rsidR="005E08AC" w:rsidRPr="00A76C07" w:rsidRDefault="005E08AC" w:rsidP="005E08AC">
      <w:pPr>
        <w:pStyle w:val="ListDash1"/>
        <w:rPr>
          <w:noProof/>
        </w:rPr>
      </w:pPr>
      <w:r w:rsidRPr="00A76C07">
        <w:rPr>
          <w:rFonts w:ascii="Wingdings" w:hAnsi="Wingdings"/>
          <w:noProof/>
        </w:rPr>
        <w:t></w:t>
      </w:r>
      <w:r w:rsidRPr="00A76C07">
        <w:rPr>
          <w:noProof/>
        </w:rPr>
        <w:tab/>
        <w:t>se lahko v celoti financira s prerazporeditvijo znotraj zadevnega razdelka večletnega finančnega okvira</w:t>
      </w:r>
    </w:p>
    <w:p w:rsidR="005E08AC" w:rsidRPr="00A76C07" w:rsidRDefault="005E08AC" w:rsidP="005E08AC">
      <w:pPr>
        <w:pStyle w:val="ListDash1"/>
        <w:rPr>
          <w:noProof/>
        </w:rPr>
      </w:pPr>
      <w:r w:rsidRPr="00A76C07">
        <w:rPr>
          <w:rFonts w:ascii="Wingdings" w:hAnsi="Wingdings"/>
          <w:noProof/>
        </w:rPr>
        <w:t></w:t>
      </w:r>
      <w:r w:rsidRPr="00A76C07">
        <w:rPr>
          <w:noProof/>
        </w:rPr>
        <w:tab/>
        <w:t>zahteva uporabo nedodeljene razlike do zgornje meje v zadevnem razdelku večletnega finančnega okvira in/ali uporabo posebnih instrumentov, kot so opredeljeni v uredbi o večletnem finančnem okviru</w:t>
      </w:r>
    </w:p>
    <w:p w:rsidR="005E08AC" w:rsidRPr="00A76C07" w:rsidRDefault="005E08AC" w:rsidP="005E08AC">
      <w:pPr>
        <w:pStyle w:val="ListDash1"/>
        <w:rPr>
          <w:noProof/>
        </w:rPr>
      </w:pPr>
      <w:r w:rsidRPr="00A76C07">
        <w:rPr>
          <w:rFonts w:ascii="Wingdings" w:hAnsi="Wingdings"/>
          <w:noProof/>
        </w:rPr>
        <w:t></w:t>
      </w:r>
      <w:r w:rsidRPr="00A76C07">
        <w:rPr>
          <w:noProof/>
        </w:rPr>
        <w:tab/>
        <w:t>zahteva spremembo večletnega finančnega okvira</w:t>
      </w:r>
    </w:p>
    <w:p w:rsidR="005E08AC" w:rsidRPr="00A76C07" w:rsidRDefault="005E08AC" w:rsidP="005E08AC">
      <w:pPr>
        <w:pStyle w:val="ManualHeading3"/>
        <w:rPr>
          <w:noProof/>
        </w:rPr>
      </w:pPr>
      <w:bookmarkStart w:id="193" w:name="_Toc514938058"/>
      <w:bookmarkStart w:id="194" w:name="_Toc199239290"/>
      <w:r w:rsidRPr="00A76C07">
        <w:rPr>
          <w:noProof/>
        </w:rPr>
        <w:t>3.2.7</w:t>
      </w:r>
      <w:r w:rsidRPr="00A76C07">
        <w:rPr>
          <w:noProof/>
        </w:rPr>
        <w:tab/>
        <w:t>Udeležba tretjih oseb pri financiranju</w:t>
      </w:r>
      <w:bookmarkEnd w:id="193"/>
      <w:bookmarkEnd w:id="194"/>
      <w:r w:rsidRPr="00A76C07">
        <w:rPr>
          <w:noProof/>
        </w:rPr>
        <w:t xml:space="preserve"> </w:t>
      </w:r>
    </w:p>
    <w:p w:rsidR="005E08AC" w:rsidRPr="00A76C07" w:rsidRDefault="005E08AC" w:rsidP="005E08AC">
      <w:pPr>
        <w:pStyle w:val="Text1"/>
        <w:rPr>
          <w:noProof/>
        </w:rPr>
      </w:pPr>
      <w:r w:rsidRPr="00A76C07">
        <w:rPr>
          <w:noProof/>
        </w:rPr>
        <w:t>V predlogu/pobudi:</w:t>
      </w:r>
    </w:p>
    <w:p w:rsidR="005E08AC" w:rsidRPr="00A76C07" w:rsidRDefault="005E08AC" w:rsidP="005E08AC">
      <w:pPr>
        <w:pStyle w:val="ListDash1"/>
        <w:rPr>
          <w:noProof/>
        </w:rPr>
      </w:pPr>
      <w:r w:rsidRPr="00A76C07">
        <w:rPr>
          <w:rFonts w:ascii="Wingdings" w:hAnsi="Wingdings"/>
          <w:noProof/>
        </w:rPr>
        <w:t></w:t>
      </w:r>
      <w:r w:rsidRPr="00A76C07">
        <w:rPr>
          <w:noProof/>
        </w:rPr>
        <w:tab/>
        <w:t>ni načrtovano sofinanciranje tretjih oseb</w:t>
      </w:r>
    </w:p>
    <w:p w:rsidR="005E08AC" w:rsidRPr="00A76C07" w:rsidRDefault="005E08AC" w:rsidP="005E08AC">
      <w:pPr>
        <w:pStyle w:val="ListDash1"/>
        <w:rPr>
          <w:noProof/>
        </w:rPr>
      </w:pPr>
      <w:r w:rsidRPr="00A76C07">
        <w:rPr>
          <w:rFonts w:ascii="Wingdings" w:hAnsi="Wingdings"/>
          <w:noProof/>
        </w:rPr>
        <w:t></w:t>
      </w:r>
      <w:r w:rsidRPr="00A76C07">
        <w:rPr>
          <w:noProof/>
        </w:rPr>
        <w:tab/>
        <w:t>je načrtovano sofinanciranje tretjih oseb, kot je ocenjeno v nadaljevanju:</w:t>
      </w:r>
    </w:p>
    <w:p w:rsidR="005E08AC" w:rsidRPr="00A76C07" w:rsidRDefault="005E08AC" w:rsidP="005E08AC">
      <w:pPr>
        <w:jc w:val="right"/>
        <w:rPr>
          <w:noProof/>
          <w:sz w:val="20"/>
        </w:rPr>
      </w:pPr>
      <w:r w:rsidRPr="00A76C07">
        <w:rPr>
          <w:noProof/>
          <w:sz w:val="20"/>
        </w:rPr>
        <w:t>odobritve v mio. EUR (na tri decimalna mesta natančno)</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9F647E" w:rsidRPr="00A76C07">
        <w:trPr>
          <w:cantSplit/>
        </w:trPr>
        <w:tc>
          <w:tcPr>
            <w:tcW w:w="1591" w:type="pct"/>
          </w:tcPr>
          <w:p w:rsidR="005E08AC" w:rsidRPr="00A76C07" w:rsidRDefault="005E08AC">
            <w:pPr>
              <w:spacing w:before="60" w:after="60"/>
              <w:rPr>
                <w:noProof/>
                <w:sz w:val="20"/>
              </w:rPr>
            </w:pPr>
          </w:p>
        </w:tc>
        <w:tc>
          <w:tcPr>
            <w:tcW w:w="655" w:type="pct"/>
            <w:vAlign w:val="center"/>
          </w:tcPr>
          <w:p w:rsidR="005E08AC" w:rsidRPr="00A76C07" w:rsidRDefault="005E08AC">
            <w:pPr>
              <w:jc w:val="center"/>
              <w:rPr>
                <w:noProof/>
                <w:sz w:val="20"/>
              </w:rPr>
            </w:pPr>
            <w:r w:rsidRPr="00A76C07">
              <w:rPr>
                <w:noProof/>
                <w:sz w:val="20"/>
              </w:rPr>
              <w:t>Leto </w:t>
            </w:r>
            <w:r w:rsidRPr="00A76C07">
              <w:rPr>
                <w:noProof/>
              </w:rPr>
              <w:br/>
            </w:r>
            <w:r w:rsidRPr="00A76C07">
              <w:rPr>
                <w:b/>
                <w:noProof/>
                <w:sz w:val="20"/>
              </w:rPr>
              <w:t>2024</w:t>
            </w:r>
          </w:p>
        </w:tc>
        <w:tc>
          <w:tcPr>
            <w:tcW w:w="655" w:type="pct"/>
            <w:vAlign w:val="center"/>
          </w:tcPr>
          <w:p w:rsidR="005E08AC" w:rsidRPr="00A76C07" w:rsidRDefault="005E08AC">
            <w:pPr>
              <w:jc w:val="center"/>
              <w:rPr>
                <w:noProof/>
                <w:sz w:val="20"/>
              </w:rPr>
            </w:pPr>
            <w:r w:rsidRPr="00A76C07">
              <w:rPr>
                <w:noProof/>
                <w:sz w:val="20"/>
              </w:rPr>
              <w:t>Leto </w:t>
            </w:r>
            <w:r w:rsidRPr="00A76C07">
              <w:rPr>
                <w:noProof/>
              </w:rPr>
              <w:br/>
            </w:r>
            <w:r w:rsidRPr="00A76C07">
              <w:rPr>
                <w:b/>
                <w:noProof/>
                <w:sz w:val="20"/>
              </w:rPr>
              <w:t>2025</w:t>
            </w:r>
          </w:p>
        </w:tc>
        <w:tc>
          <w:tcPr>
            <w:tcW w:w="655" w:type="pct"/>
            <w:vAlign w:val="center"/>
          </w:tcPr>
          <w:p w:rsidR="005E08AC" w:rsidRPr="00A76C07" w:rsidRDefault="005E08AC">
            <w:pPr>
              <w:jc w:val="center"/>
              <w:rPr>
                <w:noProof/>
                <w:sz w:val="20"/>
              </w:rPr>
            </w:pPr>
            <w:r w:rsidRPr="00A76C07">
              <w:rPr>
                <w:noProof/>
                <w:sz w:val="20"/>
              </w:rPr>
              <w:t>Leto </w:t>
            </w:r>
            <w:r w:rsidRPr="00A76C07">
              <w:rPr>
                <w:noProof/>
              </w:rPr>
              <w:br/>
            </w:r>
            <w:r w:rsidRPr="00A76C07">
              <w:rPr>
                <w:b/>
                <w:noProof/>
                <w:sz w:val="20"/>
              </w:rPr>
              <w:t>2026</w:t>
            </w:r>
          </w:p>
        </w:tc>
        <w:tc>
          <w:tcPr>
            <w:tcW w:w="655" w:type="pct"/>
            <w:vAlign w:val="center"/>
          </w:tcPr>
          <w:p w:rsidR="005E08AC" w:rsidRPr="00A76C07" w:rsidRDefault="005E08AC">
            <w:pPr>
              <w:jc w:val="center"/>
              <w:rPr>
                <w:noProof/>
                <w:sz w:val="20"/>
              </w:rPr>
            </w:pPr>
            <w:r w:rsidRPr="00A76C07">
              <w:rPr>
                <w:noProof/>
                <w:sz w:val="20"/>
              </w:rPr>
              <w:t>Leto </w:t>
            </w:r>
            <w:r w:rsidRPr="00A76C07">
              <w:rPr>
                <w:noProof/>
              </w:rPr>
              <w:br/>
            </w:r>
            <w:r w:rsidRPr="00A76C07">
              <w:rPr>
                <w:b/>
                <w:noProof/>
                <w:sz w:val="20"/>
              </w:rPr>
              <w:t>2027</w:t>
            </w:r>
          </w:p>
        </w:tc>
        <w:tc>
          <w:tcPr>
            <w:tcW w:w="787" w:type="pct"/>
            <w:vAlign w:val="center"/>
          </w:tcPr>
          <w:p w:rsidR="005E08AC" w:rsidRPr="00A76C07" w:rsidRDefault="005E08AC">
            <w:pPr>
              <w:spacing w:before="60" w:after="60"/>
              <w:jc w:val="center"/>
              <w:rPr>
                <w:noProof/>
                <w:sz w:val="20"/>
              </w:rPr>
            </w:pPr>
            <w:r w:rsidRPr="00A76C07">
              <w:rPr>
                <w:noProof/>
                <w:sz w:val="20"/>
              </w:rPr>
              <w:t>Skupaj</w:t>
            </w:r>
          </w:p>
        </w:tc>
      </w:tr>
      <w:tr w:rsidR="009F647E" w:rsidRPr="00A76C07">
        <w:trPr>
          <w:cantSplit/>
        </w:trPr>
        <w:tc>
          <w:tcPr>
            <w:tcW w:w="1591" w:type="pct"/>
          </w:tcPr>
          <w:p w:rsidR="005E08AC" w:rsidRPr="00A76C07" w:rsidRDefault="005E08AC">
            <w:pPr>
              <w:rPr>
                <w:noProof/>
              </w:rPr>
            </w:pPr>
            <w:r w:rsidRPr="00A76C07">
              <w:rPr>
                <w:noProof/>
                <w:sz w:val="20"/>
              </w:rPr>
              <w:t>Navedite organ, ki bo sofinanciral predlog/pobudo</w:t>
            </w:r>
            <w:r w:rsidRPr="00A76C07">
              <w:rPr>
                <w:i/>
                <w:noProof/>
                <w:sz w:val="20"/>
              </w:rPr>
              <w:t xml:space="preserve"> </w:t>
            </w: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787" w:type="pct"/>
            <w:vAlign w:val="center"/>
          </w:tcPr>
          <w:p w:rsidR="005E08AC" w:rsidRPr="00A76C07" w:rsidRDefault="005E08AC">
            <w:pPr>
              <w:spacing w:before="60" w:after="60"/>
              <w:jc w:val="center"/>
              <w:rPr>
                <w:noProof/>
                <w:sz w:val="20"/>
              </w:rPr>
            </w:pPr>
          </w:p>
        </w:tc>
      </w:tr>
      <w:tr w:rsidR="009F647E" w:rsidRPr="00A76C07">
        <w:trPr>
          <w:cantSplit/>
        </w:trPr>
        <w:tc>
          <w:tcPr>
            <w:tcW w:w="1591" w:type="pct"/>
          </w:tcPr>
          <w:p w:rsidR="005E08AC" w:rsidRPr="00A76C07" w:rsidRDefault="005E08AC">
            <w:pPr>
              <w:spacing w:before="60" w:after="60"/>
              <w:jc w:val="left"/>
              <w:rPr>
                <w:noProof/>
                <w:sz w:val="20"/>
              </w:rPr>
            </w:pPr>
            <w:r w:rsidRPr="00A76C07">
              <w:rPr>
                <w:noProof/>
                <w:sz w:val="20"/>
              </w:rPr>
              <w:t xml:space="preserve">Sofinancirane odobritve SKUPAJ </w:t>
            </w: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655" w:type="pct"/>
            <w:vAlign w:val="center"/>
          </w:tcPr>
          <w:p w:rsidR="005E08AC" w:rsidRPr="00A76C07" w:rsidRDefault="005E08AC">
            <w:pPr>
              <w:spacing w:before="60" w:after="60"/>
              <w:jc w:val="center"/>
              <w:rPr>
                <w:noProof/>
                <w:sz w:val="20"/>
              </w:rPr>
            </w:pPr>
          </w:p>
        </w:tc>
        <w:tc>
          <w:tcPr>
            <w:tcW w:w="787" w:type="pct"/>
            <w:vAlign w:val="center"/>
          </w:tcPr>
          <w:p w:rsidR="005E08AC" w:rsidRPr="00A76C07" w:rsidRDefault="005E08AC">
            <w:pPr>
              <w:spacing w:before="60" w:after="60"/>
              <w:jc w:val="center"/>
              <w:rPr>
                <w:noProof/>
                <w:sz w:val="20"/>
              </w:rPr>
            </w:pPr>
          </w:p>
        </w:tc>
      </w:tr>
    </w:tbl>
    <w:p w:rsidR="005E08AC" w:rsidRPr="00A76C07" w:rsidRDefault="005E08AC" w:rsidP="005E08AC">
      <w:pPr>
        <w:outlineLvl w:val="1"/>
        <w:rPr>
          <w:noProof/>
          <w:szCs w:val="24"/>
        </w:rPr>
      </w:pPr>
      <w:r w:rsidRPr="00A76C07">
        <w:rPr>
          <w:noProof/>
        </w:rPr>
        <w:t xml:space="preserve"> </w:t>
      </w:r>
      <w:r w:rsidRPr="00A76C07">
        <w:rPr>
          <w:noProof/>
        </w:rPr>
        <w:cr/>
      </w:r>
      <w:r w:rsidRPr="00A76C07">
        <w:rPr>
          <w:noProof/>
        </w:rPr>
        <w:br/>
      </w:r>
      <w:bookmarkStart w:id="195" w:name="_Toc199239291"/>
      <w:bookmarkStart w:id="196" w:name="_Hlk166860179"/>
      <w:r w:rsidRPr="00A76C07">
        <w:rPr>
          <w:noProof/>
        </w:rPr>
        <w:t>3.3</w:t>
      </w:r>
      <w:r w:rsidRPr="00A76C07">
        <w:rPr>
          <w:noProof/>
        </w:rPr>
        <w:tab/>
        <w:t>Ocenjene posledice za prihodke</w:t>
      </w:r>
      <w:bookmarkEnd w:id="195"/>
      <w:r w:rsidRPr="00A76C07">
        <w:rPr>
          <w:noProof/>
        </w:rPr>
        <w:t xml:space="preserve"> </w:t>
      </w:r>
    </w:p>
    <w:bookmarkEnd w:id="196"/>
    <w:p w:rsidR="005E08AC" w:rsidRPr="00A76C07" w:rsidRDefault="005E08AC" w:rsidP="005E08AC">
      <w:pPr>
        <w:pStyle w:val="ListDash1"/>
        <w:rPr>
          <w:noProof/>
        </w:rPr>
      </w:pPr>
      <w:r w:rsidRPr="00A76C07">
        <w:rPr>
          <w:rFonts w:ascii="Wingdings" w:hAnsi="Wingdings"/>
          <w:noProof/>
        </w:rPr>
        <w:t></w:t>
      </w:r>
      <w:r w:rsidRPr="00A76C07">
        <w:rPr>
          <w:noProof/>
        </w:rPr>
        <w:tab/>
        <w:t>Predlog/pobuda nima finančnih posledic za prihodke.</w:t>
      </w:r>
    </w:p>
    <w:p w:rsidR="005E08AC" w:rsidRPr="00A76C07" w:rsidRDefault="005E08AC" w:rsidP="005E08AC">
      <w:pPr>
        <w:pStyle w:val="ListDash1"/>
        <w:rPr>
          <w:noProof/>
        </w:rPr>
      </w:pPr>
      <w:r w:rsidRPr="00A76C07">
        <w:rPr>
          <w:rFonts w:ascii="Wingdings" w:hAnsi="Wingdings"/>
          <w:noProof/>
        </w:rPr>
        <w:t></w:t>
      </w:r>
      <w:r w:rsidRPr="00A76C07">
        <w:rPr>
          <w:noProof/>
        </w:rPr>
        <w:tab/>
        <w:t>Predlog/pobuda ima finančne posledice, kot je pojasnjeno v nadaljevanju:</w:t>
      </w:r>
    </w:p>
    <w:p w:rsidR="005E08AC" w:rsidRPr="00A76C07" w:rsidRDefault="005E08AC" w:rsidP="005E08AC">
      <w:pPr>
        <w:pStyle w:val="ListNumberLevel3"/>
        <w:tabs>
          <w:tab w:val="clear" w:pos="2126"/>
          <w:tab w:val="num" w:pos="1843"/>
        </w:tabs>
        <w:rPr>
          <w:noProof/>
        </w:rPr>
      </w:pPr>
      <w:r w:rsidRPr="00A76C07">
        <w:rPr>
          <w:rFonts w:ascii="Wingdings" w:hAnsi="Wingdings"/>
          <w:noProof/>
        </w:rPr>
        <w:t></w:t>
      </w:r>
      <w:r w:rsidRPr="00A76C07">
        <w:rPr>
          <w:noProof/>
        </w:rPr>
        <w:tab/>
        <w:t xml:space="preserve">za lastna sredstva </w:t>
      </w:r>
    </w:p>
    <w:p w:rsidR="005E08AC" w:rsidRPr="00A76C07" w:rsidRDefault="005E08AC" w:rsidP="005E08AC">
      <w:pPr>
        <w:pStyle w:val="ListNumberLevel3"/>
        <w:tabs>
          <w:tab w:val="clear" w:pos="2126"/>
          <w:tab w:val="num" w:pos="1843"/>
        </w:tabs>
        <w:rPr>
          <w:noProof/>
        </w:rPr>
      </w:pPr>
      <w:r w:rsidRPr="00A76C07">
        <w:rPr>
          <w:rFonts w:ascii="Wingdings" w:hAnsi="Wingdings"/>
          <w:noProof/>
        </w:rPr>
        <w:t></w:t>
      </w:r>
      <w:r w:rsidRPr="00A76C07">
        <w:rPr>
          <w:noProof/>
        </w:rPr>
        <w:tab/>
        <w:t>za druge prihodke</w:t>
      </w:r>
    </w:p>
    <w:p w:rsidR="005E08AC" w:rsidRPr="00A76C07" w:rsidRDefault="005E08AC" w:rsidP="005E08AC">
      <w:pPr>
        <w:pStyle w:val="ListNumberLevel3"/>
        <w:tabs>
          <w:tab w:val="clear" w:pos="2126"/>
          <w:tab w:val="num" w:pos="1843"/>
        </w:tabs>
        <w:rPr>
          <w:noProof/>
        </w:rPr>
      </w:pPr>
      <w:r w:rsidRPr="00A76C07">
        <w:rPr>
          <w:rFonts w:ascii="Wingdings" w:hAnsi="Wingdings"/>
          <w:noProof/>
        </w:rPr>
        <w:t></w:t>
      </w:r>
      <w:r w:rsidRPr="00A76C07">
        <w:rPr>
          <w:noProof/>
        </w:rPr>
        <w:tab/>
        <w:t>Navedite, ali so prihodki dodeljeni za odhodkovne vrstice</w:t>
      </w:r>
    </w:p>
    <w:p w:rsidR="005E08AC" w:rsidRPr="00A76C07" w:rsidRDefault="005E08AC" w:rsidP="005E08AC">
      <w:pPr>
        <w:jc w:val="right"/>
        <w:rPr>
          <w:noProof/>
          <w:sz w:val="20"/>
        </w:rPr>
      </w:pPr>
      <w:r w:rsidRPr="00A76C07">
        <w:rPr>
          <w:noProof/>
          <w:sz w:val="20"/>
        </w:rPr>
        <w:t>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9F647E" w:rsidRPr="00A76C07" w:rsidTr="42AA313F">
        <w:trPr>
          <w:trHeight w:val="388"/>
        </w:trPr>
        <w:tc>
          <w:tcPr>
            <w:tcW w:w="1423" w:type="pct"/>
            <w:vMerge w:val="restart"/>
            <w:vAlign w:val="center"/>
          </w:tcPr>
          <w:p w:rsidR="005E08AC" w:rsidRPr="00A76C07" w:rsidRDefault="005E08AC">
            <w:pPr>
              <w:spacing w:before="40" w:after="40"/>
              <w:rPr>
                <w:noProof/>
                <w:sz w:val="18"/>
              </w:rPr>
            </w:pPr>
            <w:r w:rsidRPr="00A76C07">
              <w:rPr>
                <w:noProof/>
                <w:sz w:val="18"/>
              </w:rPr>
              <w:t>Prihodkovna proračunska vrstica</w:t>
            </w:r>
          </w:p>
        </w:tc>
        <w:tc>
          <w:tcPr>
            <w:tcW w:w="869" w:type="pct"/>
            <w:vMerge w:val="restart"/>
            <w:vAlign w:val="center"/>
          </w:tcPr>
          <w:p w:rsidR="005E08AC" w:rsidRPr="00A76C07" w:rsidRDefault="005E08AC">
            <w:pPr>
              <w:jc w:val="center"/>
              <w:rPr>
                <w:noProof/>
                <w:sz w:val="18"/>
              </w:rPr>
            </w:pPr>
            <w:r w:rsidRPr="00A76C07">
              <w:rPr>
                <w:noProof/>
                <w:sz w:val="18"/>
              </w:rPr>
              <w:t>Odobritve na voljo za tekoče proračunsko leto</w:t>
            </w:r>
          </w:p>
        </w:tc>
        <w:tc>
          <w:tcPr>
            <w:tcW w:w="2709" w:type="pct"/>
            <w:gridSpan w:val="4"/>
            <w:vAlign w:val="center"/>
          </w:tcPr>
          <w:p w:rsidR="005E08AC" w:rsidRPr="00A76C07" w:rsidRDefault="2DB89802">
            <w:pPr>
              <w:jc w:val="center"/>
              <w:rPr>
                <w:noProof/>
                <w:sz w:val="18"/>
              </w:rPr>
            </w:pPr>
            <w:r w:rsidRPr="00A76C07">
              <w:rPr>
                <w:noProof/>
                <w:sz w:val="18"/>
              </w:rPr>
              <w:t>Posledice predloga/pobude</w:t>
            </w:r>
            <w:r w:rsidRPr="00A76C07">
              <w:rPr>
                <w:rStyle w:val="FootnoteReference"/>
                <w:noProof/>
                <w:sz w:val="18"/>
                <w:szCs w:val="18"/>
              </w:rPr>
              <w:footnoteReference w:id="33"/>
            </w:r>
          </w:p>
        </w:tc>
      </w:tr>
      <w:tr w:rsidR="009F647E" w:rsidRPr="00A76C07" w:rsidTr="42AA313F">
        <w:trPr>
          <w:trHeight w:val="388"/>
        </w:trPr>
        <w:tc>
          <w:tcPr>
            <w:tcW w:w="1423" w:type="pct"/>
            <w:vMerge/>
          </w:tcPr>
          <w:p w:rsidR="005E08AC" w:rsidRPr="00A76C07" w:rsidRDefault="005E08AC">
            <w:pPr>
              <w:spacing w:before="40" w:after="40"/>
              <w:rPr>
                <w:noProof/>
                <w:sz w:val="18"/>
              </w:rPr>
            </w:pPr>
          </w:p>
        </w:tc>
        <w:tc>
          <w:tcPr>
            <w:tcW w:w="869" w:type="pct"/>
            <w:vMerge/>
          </w:tcPr>
          <w:p w:rsidR="005E08AC" w:rsidRPr="00A76C07" w:rsidRDefault="005E08AC">
            <w:pPr>
              <w:spacing w:beforeLines="40" w:before="96" w:afterLines="40" w:after="96"/>
              <w:rPr>
                <w:i/>
                <w:noProof/>
                <w:sz w:val="18"/>
              </w:rPr>
            </w:pPr>
          </w:p>
        </w:tc>
        <w:tc>
          <w:tcPr>
            <w:tcW w:w="911" w:type="pct"/>
            <w:vAlign w:val="center"/>
          </w:tcPr>
          <w:p w:rsidR="005E08AC" w:rsidRPr="00A76C07" w:rsidRDefault="005E08AC">
            <w:pPr>
              <w:jc w:val="center"/>
              <w:rPr>
                <w:noProof/>
                <w:sz w:val="18"/>
              </w:rPr>
            </w:pPr>
            <w:r w:rsidRPr="00A76C07">
              <w:rPr>
                <w:noProof/>
                <w:sz w:val="18"/>
              </w:rPr>
              <w:t>leto </w:t>
            </w:r>
            <w:r w:rsidRPr="00A76C07">
              <w:rPr>
                <w:b/>
                <w:noProof/>
                <w:sz w:val="18"/>
              </w:rPr>
              <w:t>2024</w:t>
            </w:r>
          </w:p>
        </w:tc>
        <w:tc>
          <w:tcPr>
            <w:tcW w:w="562" w:type="pct"/>
            <w:vAlign w:val="center"/>
          </w:tcPr>
          <w:p w:rsidR="005E08AC" w:rsidRPr="00A76C07" w:rsidRDefault="005E08AC">
            <w:pPr>
              <w:jc w:val="center"/>
              <w:rPr>
                <w:noProof/>
                <w:sz w:val="18"/>
              </w:rPr>
            </w:pPr>
            <w:r w:rsidRPr="00A76C07">
              <w:rPr>
                <w:noProof/>
                <w:sz w:val="18"/>
              </w:rPr>
              <w:t xml:space="preserve">leto </w:t>
            </w:r>
            <w:r w:rsidRPr="00A76C07">
              <w:rPr>
                <w:b/>
                <w:noProof/>
                <w:sz w:val="18"/>
              </w:rPr>
              <w:t>2025</w:t>
            </w:r>
          </w:p>
        </w:tc>
        <w:tc>
          <w:tcPr>
            <w:tcW w:w="557" w:type="pct"/>
            <w:vAlign w:val="center"/>
          </w:tcPr>
          <w:p w:rsidR="005E08AC" w:rsidRPr="00A76C07" w:rsidRDefault="005E08AC">
            <w:pPr>
              <w:jc w:val="center"/>
              <w:rPr>
                <w:noProof/>
                <w:sz w:val="18"/>
              </w:rPr>
            </w:pPr>
            <w:r w:rsidRPr="00A76C07">
              <w:rPr>
                <w:noProof/>
                <w:sz w:val="18"/>
              </w:rPr>
              <w:t xml:space="preserve">leto </w:t>
            </w:r>
            <w:r w:rsidRPr="00A76C07">
              <w:rPr>
                <w:b/>
                <w:noProof/>
                <w:sz w:val="18"/>
              </w:rPr>
              <w:t>2026</w:t>
            </w:r>
          </w:p>
        </w:tc>
        <w:tc>
          <w:tcPr>
            <w:tcW w:w="679" w:type="pct"/>
            <w:vAlign w:val="center"/>
          </w:tcPr>
          <w:p w:rsidR="005E08AC" w:rsidRPr="00A76C07" w:rsidRDefault="005E08AC">
            <w:pPr>
              <w:jc w:val="center"/>
              <w:rPr>
                <w:noProof/>
                <w:sz w:val="18"/>
              </w:rPr>
            </w:pPr>
            <w:r w:rsidRPr="00A76C07">
              <w:rPr>
                <w:noProof/>
                <w:sz w:val="18"/>
              </w:rPr>
              <w:t xml:space="preserve">leto </w:t>
            </w:r>
            <w:r w:rsidRPr="00A76C07">
              <w:rPr>
                <w:b/>
                <w:noProof/>
                <w:sz w:val="18"/>
              </w:rPr>
              <w:t>2027</w:t>
            </w:r>
          </w:p>
        </w:tc>
      </w:tr>
      <w:tr w:rsidR="009F647E" w:rsidRPr="00A76C07" w:rsidTr="42AA313F">
        <w:trPr>
          <w:trHeight w:val="388"/>
        </w:trPr>
        <w:tc>
          <w:tcPr>
            <w:tcW w:w="1423" w:type="pct"/>
            <w:vAlign w:val="center"/>
          </w:tcPr>
          <w:p w:rsidR="005E08AC" w:rsidRPr="00A76C07" w:rsidRDefault="005E08AC">
            <w:pPr>
              <w:spacing w:before="40" w:after="40"/>
              <w:rPr>
                <w:noProof/>
                <w:sz w:val="18"/>
              </w:rPr>
            </w:pPr>
            <w:r w:rsidRPr="00A76C07">
              <w:rPr>
                <w:noProof/>
                <w:sz w:val="18"/>
              </w:rPr>
              <w:t>Člen ………….</w:t>
            </w:r>
          </w:p>
        </w:tc>
        <w:tc>
          <w:tcPr>
            <w:tcW w:w="869" w:type="pct"/>
          </w:tcPr>
          <w:p w:rsidR="005E08AC" w:rsidRPr="00A76C07" w:rsidRDefault="005E08AC">
            <w:pPr>
              <w:spacing w:beforeLines="40" w:before="96" w:afterLines="40" w:after="96"/>
              <w:jc w:val="center"/>
              <w:rPr>
                <w:i/>
                <w:noProof/>
                <w:sz w:val="18"/>
              </w:rPr>
            </w:pPr>
          </w:p>
        </w:tc>
        <w:tc>
          <w:tcPr>
            <w:tcW w:w="911" w:type="pct"/>
          </w:tcPr>
          <w:p w:rsidR="005E08AC" w:rsidRPr="00A76C07" w:rsidRDefault="005E08AC">
            <w:pPr>
              <w:spacing w:beforeLines="40" w:before="96" w:afterLines="40" w:after="96"/>
              <w:jc w:val="center"/>
              <w:rPr>
                <w:noProof/>
                <w:sz w:val="18"/>
              </w:rPr>
            </w:pPr>
          </w:p>
        </w:tc>
        <w:tc>
          <w:tcPr>
            <w:tcW w:w="562" w:type="pct"/>
          </w:tcPr>
          <w:p w:rsidR="005E08AC" w:rsidRPr="00A76C07" w:rsidRDefault="005E08AC">
            <w:pPr>
              <w:spacing w:beforeLines="40" w:before="96" w:afterLines="40" w:after="96"/>
              <w:jc w:val="center"/>
              <w:rPr>
                <w:noProof/>
                <w:sz w:val="18"/>
              </w:rPr>
            </w:pPr>
          </w:p>
        </w:tc>
        <w:tc>
          <w:tcPr>
            <w:tcW w:w="557" w:type="pct"/>
          </w:tcPr>
          <w:p w:rsidR="005E08AC" w:rsidRPr="00A76C07" w:rsidRDefault="005E08AC">
            <w:pPr>
              <w:spacing w:beforeLines="40" w:before="96" w:afterLines="40" w:after="96"/>
              <w:jc w:val="center"/>
              <w:rPr>
                <w:noProof/>
                <w:sz w:val="18"/>
              </w:rPr>
            </w:pPr>
          </w:p>
        </w:tc>
        <w:tc>
          <w:tcPr>
            <w:tcW w:w="679" w:type="pct"/>
          </w:tcPr>
          <w:p w:rsidR="005E08AC" w:rsidRPr="00A76C07" w:rsidRDefault="005E08AC">
            <w:pPr>
              <w:spacing w:beforeLines="40" w:before="96" w:afterLines="40" w:after="96"/>
              <w:jc w:val="center"/>
              <w:rPr>
                <w:noProof/>
                <w:sz w:val="18"/>
              </w:rPr>
            </w:pPr>
          </w:p>
        </w:tc>
      </w:tr>
    </w:tbl>
    <w:p w:rsidR="005E08AC" w:rsidRPr="00A76C07" w:rsidRDefault="005E08AC" w:rsidP="005E08AC">
      <w:pPr>
        <w:pStyle w:val="ManualHeading1"/>
        <w:rPr>
          <w:caps/>
          <w:noProof/>
        </w:rPr>
      </w:pPr>
      <w:bookmarkStart w:id="197" w:name="_Toc167220301"/>
      <w:bookmarkStart w:id="198" w:name="_Toc199239292"/>
      <w:r w:rsidRPr="00A76C07">
        <w:rPr>
          <w:noProof/>
        </w:rPr>
        <w:t>4.</w:t>
      </w:r>
      <w:r w:rsidRPr="00A76C07">
        <w:rPr>
          <w:noProof/>
        </w:rPr>
        <w:tab/>
      </w:r>
      <w:bookmarkStart w:id="199" w:name="_Hlk167692977"/>
      <w:r w:rsidRPr="00A76C07">
        <w:rPr>
          <w:caps/>
          <w:noProof/>
        </w:rPr>
        <w:t>Digitalne razsežnosti</w:t>
      </w:r>
      <w:bookmarkEnd w:id="197"/>
      <w:bookmarkEnd w:id="198"/>
    </w:p>
    <w:p w:rsidR="005E08AC" w:rsidRPr="00A76C07" w:rsidRDefault="005E08AC" w:rsidP="005E08AC">
      <w:pPr>
        <w:pStyle w:val="ManualHeading2"/>
        <w:rPr>
          <w:noProof/>
        </w:rPr>
      </w:pPr>
      <w:bookmarkStart w:id="200" w:name="_Toc167220302"/>
      <w:bookmarkStart w:id="201" w:name="_Toc199239293"/>
      <w:r w:rsidRPr="00A76C07">
        <w:rPr>
          <w:noProof/>
        </w:rPr>
        <w:t>4.1</w:t>
      </w:r>
      <w:r w:rsidRPr="00A76C07">
        <w:rPr>
          <w:noProof/>
        </w:rPr>
        <w:tab/>
        <w:t>Zahteve digitalnega pomena</w:t>
      </w:r>
      <w:bookmarkEnd w:id="200"/>
      <w:bookmarkEnd w:id="201"/>
    </w:p>
    <w:tbl>
      <w:tblPr>
        <w:tblStyle w:val="TableGrid"/>
        <w:tblW w:w="9072" w:type="dxa"/>
        <w:tblInd w:w="-5" w:type="dxa"/>
        <w:tblLayout w:type="fixed"/>
        <w:tblLook w:val="06A0" w:firstRow="1" w:lastRow="0" w:firstColumn="1" w:lastColumn="0" w:noHBand="1" w:noVBand="1"/>
      </w:tblPr>
      <w:tblGrid>
        <w:gridCol w:w="1887"/>
        <w:gridCol w:w="2849"/>
        <w:gridCol w:w="1723"/>
        <w:gridCol w:w="1185"/>
        <w:gridCol w:w="1415"/>
        <w:gridCol w:w="13"/>
      </w:tblGrid>
      <w:tr w:rsidR="009F647E" w:rsidRPr="00A76C07" w:rsidTr="0EA57D62">
        <w:trPr>
          <w:trHeight w:val="300"/>
        </w:trPr>
        <w:tc>
          <w:tcPr>
            <w:tcW w:w="9072" w:type="dxa"/>
            <w:gridSpan w:val="6"/>
          </w:tcPr>
          <w:p w:rsidR="005E08AC" w:rsidRPr="00A76C07" w:rsidRDefault="005E08AC">
            <w:pPr>
              <w:rPr>
                <w:noProof/>
              </w:rPr>
            </w:pP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jc w:val="left"/>
              <w:rPr>
                <w:b/>
                <w:bCs/>
                <w:noProof/>
                <w:szCs w:val="24"/>
              </w:rPr>
            </w:pPr>
            <w:r w:rsidRPr="00A76C07">
              <w:rPr>
                <w:b/>
                <w:noProof/>
              </w:rPr>
              <w:t>Sklic na zahtevo</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jc w:val="left"/>
              <w:rPr>
                <w:b/>
                <w:bCs/>
                <w:noProof/>
                <w:szCs w:val="24"/>
              </w:rPr>
            </w:pPr>
            <w:r w:rsidRPr="00A76C07">
              <w:rPr>
                <w:b/>
                <w:noProof/>
              </w:rPr>
              <w:t>Opis zahteve</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jc w:val="left"/>
              <w:rPr>
                <w:b/>
                <w:bCs/>
                <w:noProof/>
                <w:szCs w:val="24"/>
              </w:rPr>
            </w:pPr>
            <w:r w:rsidRPr="00A76C07">
              <w:rPr>
                <w:b/>
                <w:noProof/>
              </w:rPr>
              <w:t>Subjekt, ki ga zahteva zadeva ali se nanj nanaša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jc w:val="left"/>
              <w:rPr>
                <w:b/>
                <w:bCs/>
                <w:noProof/>
                <w:szCs w:val="24"/>
              </w:rPr>
            </w:pPr>
            <w:r w:rsidRPr="00A76C07">
              <w:rPr>
                <w:b/>
                <w:noProof/>
              </w:rPr>
              <w:t>Postopki na visoki ravni</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jc w:val="left"/>
              <w:rPr>
                <w:b/>
                <w:bCs/>
                <w:noProof/>
                <w:szCs w:val="24"/>
              </w:rPr>
            </w:pPr>
            <w:r w:rsidRPr="00A76C07">
              <w:rPr>
                <w:b/>
                <w:noProof/>
              </w:rPr>
              <w:t>Kategorija</w:t>
            </w:r>
          </w:p>
        </w:tc>
      </w:tr>
      <w:tr w:rsidR="00F803B6"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3B6" w:rsidRPr="00A76C07" w:rsidRDefault="00F803B6" w:rsidP="00F803B6">
            <w:pPr>
              <w:rPr>
                <w:noProof/>
                <w:szCs w:val="24"/>
              </w:rPr>
            </w:pPr>
            <w:r w:rsidRPr="00A76C07">
              <w:rPr>
                <w:noProof/>
              </w:rPr>
              <w:t>Člen 5</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3B6" w:rsidRPr="00A76C07" w:rsidRDefault="00F803B6" w:rsidP="00F803B6">
            <w:pPr>
              <w:rPr>
                <w:noProof/>
                <w:szCs w:val="24"/>
              </w:rPr>
            </w:pPr>
            <w:r w:rsidRPr="00A76C07">
              <w:rPr>
                <w:noProof/>
              </w:rPr>
              <w:t>Države članice zagotovijo, da se zbiranje morskih genskih virov na kraju samem izvaja ob ustreznem upoštevanju pravic in zakonitih interesov obalnih držav na območjih pod njihovo nacionalno jurisdikcijo in ob upoštevanju interesov drugih držav na območjih zunaj nacionalne jurisdikcije v skladu s Konvencijo Združenih narodov o pomorskem mednarodnem pravu. V ta namen države članice po potrebi sodelujejo, tudi z uporabo Posredovalnega mehanizma za BBNJ, da bi izvajale določbe tega poglavja. Države članice po potrebi sodelujejo, tudi z uporabo Posredovalnega mehanizma za BBNJ, da bi izvajale določbe tega poglavja.</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3B6" w:rsidRPr="00A76C07" w:rsidRDefault="00F803B6" w:rsidP="00F803B6">
            <w:pPr>
              <w:rPr>
                <w:noProof/>
                <w:szCs w:val="24"/>
              </w:rPr>
            </w:pPr>
            <w:r w:rsidRPr="00A76C07">
              <w:rPr>
                <w:noProof/>
              </w:rPr>
              <w:t>Države članice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3B6" w:rsidRPr="00A76C07" w:rsidRDefault="00F803B6" w:rsidP="00F803B6">
            <w:pPr>
              <w:rPr>
                <w:noProof/>
                <w:szCs w:val="24"/>
              </w:rPr>
            </w:pPr>
            <w:r w:rsidRPr="00A76C07">
              <w:rPr>
                <w:noProof/>
              </w:rPr>
              <w:t>Zbiranje podatkov</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803B6" w:rsidRPr="00A76C07" w:rsidRDefault="00F803B6" w:rsidP="00F803B6">
            <w:pPr>
              <w:rPr>
                <w:noProof/>
                <w:szCs w:val="24"/>
              </w:rPr>
            </w:pPr>
            <w:r w:rsidRPr="00A76C07">
              <w:rPr>
                <w:noProof/>
              </w:rPr>
              <w:t>Podatki Digitalna rešitev</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Člen 6</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68B1DEC" w:rsidRPr="00A76C07" w:rsidRDefault="168B1DEC">
            <w:pPr>
              <w:rPr>
                <w:noProof/>
                <w:szCs w:val="24"/>
              </w:rPr>
            </w:pPr>
            <w:r w:rsidRPr="00A76C07">
              <w:rPr>
                <w:noProof/>
              </w:rPr>
              <w:t>Obveznost sporočanja določenih informacij/podatkov Posredovalnemu mehanizmu za BBNJ. Države članice EU bodo morale določiti, kdo mora opraviti to sporočanje: najverjetneje glavni znanstveniki, odgovorni za raziskovalni projekt.</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Pristojni organi držav članic</w:t>
            </w:r>
          </w:p>
          <w:p w:rsidR="0EA57D62" w:rsidRPr="00A76C07" w:rsidRDefault="0EA57D62">
            <w:pPr>
              <w:rPr>
                <w:noProof/>
                <w:szCs w:val="24"/>
              </w:rPr>
            </w:pPr>
            <w:r w:rsidRPr="00A76C07">
              <w:rPr>
                <w:noProof/>
              </w:rPr>
              <w:t>Posredovalni mehanizem za BBNJ</w:t>
            </w:r>
          </w:p>
          <w:p w:rsidR="0EA57D62" w:rsidRPr="00A76C07" w:rsidRDefault="0EA57D62">
            <w:pPr>
              <w:rPr>
                <w:noProof/>
                <w:szCs w:val="24"/>
              </w:rPr>
            </w:pPr>
            <w:r w:rsidRPr="00A76C07">
              <w:rPr>
                <w:noProof/>
              </w:rPr>
              <w:t>Države članice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Sporočanje</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Podatki Digitalne rešitve Digitalne javne storitve</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Člen 7</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E01217F" w:rsidRPr="00A76C07" w:rsidRDefault="1E01217F">
            <w:pPr>
              <w:rPr>
                <w:noProof/>
                <w:szCs w:val="24"/>
              </w:rPr>
            </w:pPr>
            <w:r w:rsidRPr="00A76C07">
              <w:rPr>
                <w:noProof/>
              </w:rPr>
              <w:t xml:space="preserve">Obveznost pravnih in fizičnih oseb, ki uporabljajo morske genske vire BBNJ, da pristojnemu organu sporočijo potrditve o deponiranjih vzorcev in podatkov. </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C3DFCAD" w:rsidRPr="00A76C07" w:rsidRDefault="7C3DFCAD">
            <w:pPr>
              <w:rPr>
                <w:noProof/>
                <w:szCs w:val="24"/>
              </w:rPr>
            </w:pPr>
            <w:r w:rsidRPr="00A76C07">
              <w:rPr>
                <w:noProof/>
              </w:rPr>
              <w:t>Pravne in fizične osebe</w:t>
            </w:r>
          </w:p>
          <w:p w:rsidR="0EA57D62" w:rsidRPr="00A76C07" w:rsidRDefault="0EA57D62">
            <w:pPr>
              <w:rPr>
                <w:noProof/>
                <w:szCs w:val="24"/>
              </w:rPr>
            </w:pPr>
            <w:r w:rsidRPr="00A76C07">
              <w:rPr>
                <w:noProof/>
              </w:rPr>
              <w:t>Pristojni organi držav članic</w:t>
            </w:r>
          </w:p>
          <w:p w:rsidR="0EA57D62" w:rsidRPr="00A76C07" w:rsidRDefault="0EA57D62">
            <w:pPr>
              <w:rPr>
                <w:noProof/>
                <w:szCs w:val="24"/>
              </w:rPr>
            </w:pPr>
            <w:r w:rsidRPr="00A76C07">
              <w:rPr>
                <w:noProof/>
              </w:rPr>
              <w:t>Države članice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Sporočanje</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Podatki Digitalne rešitve</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Na področju uporabe Posredovalnega mehanizma za BBNJ</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Člen 8</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Obveznost držav članic, da za dejavnosti, za katere je bila izvedena presoja vplivov na okolje v skladu z zahtevami drugih ustreznih pravnih instrumentov ali okvirov ali s strani ustreznih svetovnih, regionalnih, podregionalnih ali sektorskih organov, objavijo poročilo o presoji vplivov na okolje prek Posredovalnega mehanizma za BBNJ in dajo na voljo ustrezne informacije</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Splošna javnost</w:t>
            </w:r>
          </w:p>
          <w:p w:rsidR="0EA57D62" w:rsidRPr="00A76C07" w:rsidRDefault="0EA57D62">
            <w:pPr>
              <w:rPr>
                <w:noProof/>
                <w:szCs w:val="24"/>
              </w:rPr>
            </w:pPr>
            <w:r w:rsidRPr="00A76C07">
              <w:rPr>
                <w:noProof/>
              </w:rPr>
              <w:t>Države članice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Objavljanje, upravljanje podatkov</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pPr>
              <w:rPr>
                <w:noProof/>
                <w:szCs w:val="24"/>
              </w:rPr>
            </w:pPr>
            <w:r w:rsidRPr="00A76C07">
              <w:rPr>
                <w:noProof/>
              </w:rPr>
              <w:t>Podatki Digitalna rešitev Digitalne javne storitve</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9</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Obveznost objave odločitve o pregledu</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 xml:space="preserve">Pristojni organ </w:t>
            </w:r>
            <w:r w:rsidRPr="00A76C07">
              <w:rPr>
                <w:noProof/>
              </w:rPr>
              <w:cr/>
            </w:r>
            <w:r w:rsidRPr="00A76C07">
              <w:rPr>
                <w:noProof/>
              </w:rPr>
              <w:br/>
              <w:t>Splošna javnost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Objava</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Podatki Digitalna rešitev Digitalne javne storitve</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10</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Presoja vplivov na okolje: določanje obsega in poročilo</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Pristojni organ</w:t>
            </w:r>
          </w:p>
          <w:p w:rsidR="0EA57D62" w:rsidRPr="00A76C07" w:rsidRDefault="0EA57D62">
            <w:pPr>
              <w:rPr>
                <w:noProof/>
                <w:szCs w:val="24"/>
              </w:rPr>
            </w:pPr>
            <w:r w:rsidRPr="00A76C07">
              <w:rPr>
                <w:noProof/>
              </w:rPr>
              <w:t>Države članice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Zbiranje podatkov</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Podatki</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11</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after="0"/>
              <w:rPr>
                <w:noProof/>
                <w:szCs w:val="24"/>
              </w:rPr>
            </w:pPr>
            <w:r w:rsidRPr="00A76C07">
              <w:rPr>
                <w:noProof/>
              </w:rPr>
              <w:t>Obveznost obveščanja širše javnosti in posvetovanja z njo o načrtovanih dejavnostih in presoji vplivov na okolje</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Države članice</w:t>
            </w:r>
          </w:p>
          <w:p w:rsidR="0EA57D62" w:rsidRPr="00A76C07" w:rsidRDefault="0EA57D62">
            <w:pPr>
              <w:rPr>
                <w:noProof/>
                <w:szCs w:val="24"/>
              </w:rPr>
            </w:pPr>
            <w:r w:rsidRPr="00A76C07">
              <w:rPr>
                <w:noProof/>
              </w:rPr>
              <w:t>Splošna javnost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Objava</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Podatki</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12</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after="0"/>
              <w:rPr>
                <w:noProof/>
                <w:szCs w:val="24"/>
              </w:rPr>
            </w:pPr>
            <w:r w:rsidRPr="00A76C07">
              <w:rPr>
                <w:noProof/>
              </w:rPr>
              <w:t>Obveznost obveščanja širše javnosti o sklepih o odobritvi ali neodobritvi načrtovanih dejavnosti</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Države članice</w:t>
            </w:r>
          </w:p>
          <w:p w:rsidR="0EA57D62" w:rsidRPr="00A76C07" w:rsidRDefault="0EA57D62">
            <w:pPr>
              <w:rPr>
                <w:noProof/>
                <w:szCs w:val="24"/>
              </w:rPr>
            </w:pPr>
            <w:r w:rsidRPr="00A76C07">
              <w:rPr>
                <w:noProof/>
              </w:rPr>
              <w:t>Splošna javnost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Objava</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Podatki</w:t>
            </w:r>
          </w:p>
        </w:tc>
      </w:tr>
      <w:tr w:rsidR="009F647E" w:rsidRPr="00A76C07" w:rsidTr="0EA57D62">
        <w:tblPrEx>
          <w:tblLook w:val="04A0" w:firstRow="1" w:lastRow="0" w:firstColumn="1" w:lastColumn="0" w:noHBand="0" w:noVBand="1"/>
        </w:tblPrEx>
        <w:trPr>
          <w:gridAfter w:val="1"/>
          <w:wAfter w:w="13" w:type="dxa"/>
          <w:trHeight w:val="3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13</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Obveznost obveščanja o pomembnih in škodljivih spremembah morskega okolja, ki so jih povzročile odobrene dejavnosti in ki niso bile predvidene med presojo vplivov na okolje</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Države članice</w:t>
            </w:r>
          </w:p>
          <w:p w:rsidR="0EA57D62" w:rsidRPr="00A76C07" w:rsidRDefault="0EA57D62">
            <w:pPr>
              <w:rPr>
                <w:noProof/>
                <w:szCs w:val="24"/>
              </w:rPr>
            </w:pPr>
            <w:r w:rsidRPr="00A76C07">
              <w:rPr>
                <w:noProof/>
              </w:rPr>
              <w:t>Splošna javnost</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 xml:space="preserve">Objava </w:t>
            </w:r>
          </w:p>
        </w:tc>
        <w:tc>
          <w:tcPr>
            <w:tcW w:w="141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Podatki</w:t>
            </w:r>
          </w:p>
        </w:tc>
      </w:tr>
    </w:tbl>
    <w:p w:rsidR="0EA57D62" w:rsidRPr="00A76C07" w:rsidRDefault="0EA57D62" w:rsidP="007359A9">
      <w:pPr>
        <w:spacing w:before="0" w:after="0"/>
        <w:rPr>
          <w:noProof/>
        </w:rPr>
      </w:pPr>
    </w:p>
    <w:p w:rsidR="005E08AC" w:rsidRPr="00A76C07" w:rsidRDefault="4CB50F24" w:rsidP="005E08AC">
      <w:pPr>
        <w:pStyle w:val="ManualHeading2"/>
        <w:rPr>
          <w:noProof/>
        </w:rPr>
      </w:pPr>
      <w:bookmarkStart w:id="202" w:name="_Toc167220303"/>
      <w:bookmarkStart w:id="203" w:name="_Toc199239294"/>
      <w:r w:rsidRPr="00A76C07">
        <w:rPr>
          <w:noProof/>
        </w:rPr>
        <w:t>4.2</w:t>
      </w:r>
      <w:r w:rsidRPr="00A76C07">
        <w:rPr>
          <w:noProof/>
        </w:rPr>
        <w:tab/>
        <w:t>Podatki</w:t>
      </w:r>
      <w:bookmarkEnd w:id="202"/>
      <w:bookmarkEnd w:id="203"/>
    </w:p>
    <w:tbl>
      <w:tblPr>
        <w:tblStyle w:val="TableGrid"/>
        <w:tblW w:w="0" w:type="auto"/>
        <w:tblLayout w:type="fixed"/>
        <w:tblLook w:val="04A0" w:firstRow="1" w:lastRow="0" w:firstColumn="1" w:lastColumn="0" w:noHBand="0" w:noVBand="1"/>
      </w:tblPr>
      <w:tblGrid>
        <w:gridCol w:w="3325"/>
        <w:gridCol w:w="2364"/>
        <w:gridCol w:w="3370"/>
      </w:tblGrid>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 xml:space="preserve">Vrsta podatkov </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Sklici na zahteve</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Standard in/ali specifikacija (če je primerno)</w:t>
            </w: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Informacije o raziskovalnih projektih</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6(1) Člen 6(2), člen 6(3), člen 6(4)</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Morski genski viri in informacije o digitalnih sekvenčnih zapisih</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6(6), člen 6(5)</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Informacije o uporabi morskih genskih virov</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6(7)</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Potrditev, da so bili vzorci in podatki deponirani</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7</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Poročilo o presoji vplivov na okolje, načrtovane dejavnosti in odločitve</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8, člen 9, člen 10, člen 11</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Izid posvetovanj</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12</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EA57D62" w:rsidRPr="00A76C07" w:rsidTr="0EA57D62">
        <w:trPr>
          <w:trHeight w:val="300"/>
        </w:trPr>
        <w:tc>
          <w:tcPr>
            <w:tcW w:w="332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Okoljska škoda, ki jo povzročijo odobrene dejavnosti</w:t>
            </w:r>
          </w:p>
        </w:tc>
        <w:tc>
          <w:tcPr>
            <w:tcW w:w="23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13</w:t>
            </w:r>
          </w:p>
        </w:tc>
        <w:tc>
          <w:tcPr>
            <w:tcW w:w="337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bl>
    <w:p w:rsidR="0EA57D62" w:rsidRPr="00A76C07" w:rsidRDefault="0EA57D62" w:rsidP="00430805">
      <w:pPr>
        <w:pStyle w:val="Text1"/>
        <w:rPr>
          <w:noProof/>
        </w:rPr>
      </w:pPr>
    </w:p>
    <w:p w:rsidR="4F443D0F" w:rsidRPr="00A76C07" w:rsidRDefault="4F443D0F">
      <w:pPr>
        <w:rPr>
          <w:rFonts w:eastAsia="Times New Roman"/>
          <w:b/>
          <w:bCs/>
          <w:i/>
          <w:iCs/>
          <w:noProof/>
          <w:szCs w:val="24"/>
        </w:rPr>
      </w:pPr>
      <w:r w:rsidRPr="00A76C07">
        <w:rPr>
          <w:b/>
          <w:i/>
          <w:noProof/>
        </w:rPr>
        <w:t>Uskladitev z evropsko strategijo za podatke</w:t>
      </w:r>
    </w:p>
    <w:p w:rsidR="4F443D0F" w:rsidRPr="00A76C07" w:rsidRDefault="4F443D0F">
      <w:pPr>
        <w:rPr>
          <w:rFonts w:eastAsia="Times New Roman"/>
          <w:i/>
          <w:iCs/>
          <w:noProof/>
          <w:szCs w:val="24"/>
        </w:rPr>
      </w:pPr>
      <w:r w:rsidRPr="00A76C07">
        <w:rPr>
          <w:i/>
          <w:noProof/>
        </w:rPr>
        <w:t>Pojasnite, kako so zahteve usklajene z evropsko strategijo za podatke.</w:t>
      </w:r>
    </w:p>
    <w:tbl>
      <w:tblPr>
        <w:tblStyle w:val="TableGrid"/>
        <w:tblW w:w="0" w:type="auto"/>
        <w:tblLayout w:type="fixed"/>
        <w:tblLook w:val="04A0" w:firstRow="1" w:lastRow="0" w:firstColumn="1" w:lastColumn="0" w:noHBand="0" w:noVBand="1"/>
      </w:tblPr>
      <w:tblGrid>
        <w:gridCol w:w="9060"/>
      </w:tblGrid>
      <w:tr w:rsidR="009F647E" w:rsidRPr="00A76C07" w:rsidTr="0EA57D62">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tabs>
                <w:tab w:val="left" w:pos="720"/>
              </w:tabs>
              <w:rPr>
                <w:noProof/>
                <w:szCs w:val="24"/>
              </w:rPr>
            </w:pPr>
            <w:r w:rsidRPr="00A76C07">
              <w:rPr>
                <w:noProof/>
              </w:rPr>
              <w:t xml:space="preserve">Predlog določa obveznost objave ustreznih informacij kot odprtih podatkov v okviru Direktive (EU) 2019/1024 Evropskega parlamenta in Sveta, ki spodbuja uporabo odprtih podatkov organov javnega sektorja in javnih podjetij. Zaupne informacije se zbirajo v skladu s klavzulami o zaupnosti, vključno s pravicami intelektualne lastnine. </w:t>
            </w:r>
          </w:p>
        </w:tc>
      </w:tr>
    </w:tbl>
    <w:p w:rsidR="4F443D0F" w:rsidRPr="00A76C07" w:rsidRDefault="4F443D0F">
      <w:pPr>
        <w:rPr>
          <w:rFonts w:eastAsia="Times New Roman"/>
          <w:b/>
          <w:bCs/>
          <w:noProof/>
          <w:szCs w:val="24"/>
        </w:rPr>
      </w:pPr>
      <w:r w:rsidRPr="00A76C07">
        <w:rPr>
          <w:b/>
          <w:noProof/>
        </w:rPr>
        <w:t>Uskladitev z načelom „samo enkrat“</w:t>
      </w:r>
    </w:p>
    <w:p w:rsidR="4F443D0F" w:rsidRPr="00A76C07" w:rsidRDefault="4F443D0F">
      <w:pPr>
        <w:rPr>
          <w:rFonts w:eastAsia="Times New Roman"/>
          <w:i/>
          <w:iCs/>
          <w:noProof/>
          <w:szCs w:val="24"/>
        </w:rPr>
      </w:pPr>
      <w:r w:rsidRPr="00A76C07">
        <w:rPr>
          <w:i/>
          <w:noProof/>
        </w:rPr>
        <w:t>Pojasnite, kako je bilo upoštevano načelo „samo enkrat“ in kako je bila proučena možnost ponovne uporabe obstoječih podatkov.</w:t>
      </w:r>
    </w:p>
    <w:tbl>
      <w:tblPr>
        <w:tblStyle w:val="TableGrid"/>
        <w:tblW w:w="0" w:type="auto"/>
        <w:tblLayout w:type="fixed"/>
        <w:tblLook w:val="04A0" w:firstRow="1" w:lastRow="0" w:firstColumn="1" w:lastColumn="0" w:noHBand="0" w:noVBand="1"/>
      </w:tblPr>
      <w:tblGrid>
        <w:gridCol w:w="9060"/>
      </w:tblGrid>
      <w:tr w:rsidR="009F647E" w:rsidRPr="00A76C07" w:rsidTr="0EA57D62">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Člen 6(1) zahteva, da se informacije, zbrane v skladu s tem členom, uskladijo z drugimi sistemi obveščanja, zagotovljenimi v skladu z drugo zakonodajo Unije.</w:t>
            </w:r>
          </w:p>
        </w:tc>
      </w:tr>
    </w:tbl>
    <w:p w:rsidR="4F443D0F" w:rsidRPr="00A76C07" w:rsidRDefault="4F443D0F">
      <w:pPr>
        <w:rPr>
          <w:rFonts w:eastAsia="Times New Roman"/>
          <w:i/>
          <w:iCs/>
          <w:noProof/>
          <w:szCs w:val="24"/>
        </w:rPr>
      </w:pPr>
      <w:r w:rsidRPr="00A76C07">
        <w:rPr>
          <w:i/>
          <w:noProof/>
        </w:rPr>
        <w:t>Pojasnite, kako so novo ustvarjeni podatki najdljivi, dostopni, interoperabilni in ponovno uporabljivi ter kako izpolnjujejo visoke standarde kakovosti.</w:t>
      </w:r>
    </w:p>
    <w:tbl>
      <w:tblPr>
        <w:tblStyle w:val="TableGrid"/>
        <w:tblW w:w="0" w:type="auto"/>
        <w:tblLayout w:type="fixed"/>
        <w:tblLook w:val="04A0" w:firstRow="1" w:lastRow="0" w:firstColumn="1" w:lastColumn="0" w:noHBand="0" w:noVBand="1"/>
      </w:tblPr>
      <w:tblGrid>
        <w:gridCol w:w="9060"/>
      </w:tblGrid>
      <w:tr w:rsidR="0EA57D62" w:rsidRPr="00A76C07" w:rsidTr="0EA57D62">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rPr>
                <w:noProof/>
                <w:szCs w:val="24"/>
              </w:rPr>
            </w:pPr>
            <w:r w:rsidRPr="00A76C07">
              <w:rPr>
                <w:noProof/>
              </w:rPr>
              <w:t>Ker predlog temelji na Mehanizmu za BBJN, predvidevamo, da bo navedeni mehanizem to zagotovil.</w:t>
            </w:r>
          </w:p>
        </w:tc>
      </w:tr>
    </w:tbl>
    <w:p w:rsidR="0EA57D62" w:rsidRPr="00A76C07" w:rsidRDefault="0EA57D62">
      <w:pPr>
        <w:rPr>
          <w:rFonts w:eastAsia="Times New Roman"/>
          <w:b/>
          <w:bCs/>
          <w:noProof/>
          <w:szCs w:val="24"/>
        </w:rPr>
      </w:pPr>
    </w:p>
    <w:p w:rsidR="4F443D0F" w:rsidRPr="00A76C07" w:rsidRDefault="4F443D0F">
      <w:pPr>
        <w:rPr>
          <w:rFonts w:eastAsia="Times New Roman"/>
          <w:b/>
          <w:bCs/>
          <w:noProof/>
          <w:szCs w:val="24"/>
        </w:rPr>
      </w:pPr>
      <w:r w:rsidRPr="00A76C07">
        <w:rPr>
          <w:b/>
          <w:noProof/>
        </w:rPr>
        <w:t>Tokovi podatkov</w:t>
      </w:r>
    </w:p>
    <w:tbl>
      <w:tblPr>
        <w:tblStyle w:val="TableGrid"/>
        <w:tblW w:w="0" w:type="auto"/>
        <w:tblLayout w:type="fixed"/>
        <w:tblLook w:val="04A0" w:firstRow="1" w:lastRow="0" w:firstColumn="1" w:lastColumn="0" w:noHBand="0" w:noVBand="1"/>
      </w:tblPr>
      <w:tblGrid>
        <w:gridCol w:w="2706"/>
        <w:gridCol w:w="1212"/>
        <w:gridCol w:w="1164"/>
        <w:gridCol w:w="1214"/>
        <w:gridCol w:w="1399"/>
        <w:gridCol w:w="1366"/>
      </w:tblGrid>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Vrsta podatkov</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Sklici na zahteve</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Akter, ki zagotovi podatke</w:t>
            </w: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Akter, ki prejme podatke</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Povod za izmenjavo podatkov</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Pogostost (če je primerno)</w:t>
            </w: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Informacije o raziskovalnih projektih, vključno:</w:t>
            </w:r>
          </w:p>
          <w:p w:rsidR="0EA57D62" w:rsidRPr="00A76C07" w:rsidRDefault="0EA57D62" w:rsidP="0091065C">
            <w:pPr>
              <w:pStyle w:val="ListParagraph"/>
              <w:numPr>
                <w:ilvl w:val="0"/>
                <w:numId w:val="3"/>
              </w:numPr>
              <w:spacing w:after="0"/>
              <w:rPr>
                <w:noProof/>
                <w:szCs w:val="24"/>
              </w:rPr>
            </w:pPr>
            <w:r w:rsidRPr="00A76C07">
              <w:rPr>
                <w:rFonts w:ascii="Times New Roman" w:hAnsi="Times New Roman"/>
                <w:noProof/>
                <w:sz w:val="24"/>
              </w:rPr>
              <w:t xml:space="preserve">s standardizirano identifikacijsko oznako serije „BBNJ“, </w:t>
            </w:r>
          </w:p>
          <w:p w:rsidR="0EA57D62" w:rsidRPr="00A76C07" w:rsidRDefault="0EA57D62" w:rsidP="0091065C">
            <w:pPr>
              <w:pStyle w:val="ListParagraph"/>
              <w:numPr>
                <w:ilvl w:val="0"/>
                <w:numId w:val="3"/>
              </w:numPr>
              <w:spacing w:after="0"/>
              <w:rPr>
                <w:noProof/>
                <w:szCs w:val="24"/>
              </w:rPr>
            </w:pPr>
            <w:r w:rsidRPr="00A76C07">
              <w:rPr>
                <w:rFonts w:ascii="Times New Roman" w:hAnsi="Times New Roman"/>
                <w:noProof/>
                <w:sz w:val="24"/>
              </w:rPr>
              <w:t xml:space="preserve">z morskimi genskimi viri in informacijami o digitalnih sekvenčnih zapisih </w:t>
            </w:r>
          </w:p>
          <w:p w:rsidR="0EA57D62" w:rsidRPr="00A76C07" w:rsidRDefault="0EA57D62" w:rsidP="0091065C">
            <w:pPr>
              <w:pStyle w:val="ListParagraph"/>
              <w:numPr>
                <w:ilvl w:val="0"/>
                <w:numId w:val="3"/>
              </w:numPr>
              <w:spacing w:after="0"/>
              <w:rPr>
                <w:noProof/>
                <w:szCs w:val="24"/>
              </w:rPr>
            </w:pPr>
            <w:r w:rsidRPr="00A76C07">
              <w:rPr>
                <w:rFonts w:ascii="Times New Roman" w:hAnsi="Times New Roman"/>
                <w:noProof/>
                <w:sz w:val="24"/>
              </w:rPr>
              <w:t>ter informacijami o njihovi nadaljnji uporabi</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6</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Posredovalni mehanizem za BBJN</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Šest mesecev ali čim prej pred zbiranjem morskih genskih virov na kraju samem na območjih zunaj nacionalne jurisdikcije.</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 xml:space="preserve">Deponiranje standardizirane identifikacijske oznake serije „BBNJ“ </w:t>
            </w:r>
          </w:p>
          <w:p w:rsidR="0EA57D62" w:rsidRPr="00A76C07" w:rsidRDefault="0EA57D62">
            <w:pPr>
              <w:jc w:val="left"/>
              <w:rPr>
                <w:noProof/>
                <w:szCs w:val="24"/>
              </w:rPr>
            </w:pPr>
            <w:r w:rsidRPr="00A76C07">
              <w:rPr>
                <w:noProof/>
              </w:rPr>
              <w:t>Morski genski viri in informacije o digitalnih sekvenčnih zapisih</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7(1)</w:t>
            </w:r>
          </w:p>
          <w:p w:rsidR="0EA57D62" w:rsidRPr="00A76C07" w:rsidRDefault="0EA57D62">
            <w:pPr>
              <w:jc w:val="left"/>
              <w:rPr>
                <w:noProof/>
                <w:szCs w:val="24"/>
              </w:rPr>
            </w:pP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Fizične ali pravne osebe</w:t>
            </w:r>
          </w:p>
          <w:p w:rsidR="0EA57D62" w:rsidRPr="00A76C07" w:rsidRDefault="0EA57D62">
            <w:pPr>
              <w:jc w:val="left"/>
              <w:rPr>
                <w:noProof/>
                <w:szCs w:val="24"/>
              </w:rPr>
            </w:pP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Splošna javnost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Najpozneje v treh letih od začetka take uporabe ali takoj, ko so na voljo.</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Potrditev, da so bili vzorci in podatki deponirani</w:t>
            </w:r>
          </w:p>
          <w:p w:rsidR="0EA57D62" w:rsidRPr="00A76C07" w:rsidRDefault="0EA57D62">
            <w:pPr>
              <w:jc w:val="left"/>
              <w:rPr>
                <w:noProof/>
                <w:szCs w:val="24"/>
              </w:rPr>
            </w:pP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7(2)</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 xml:space="preserve">Fizične ali pravne osebe </w:t>
            </w:r>
          </w:p>
          <w:p w:rsidR="0EA57D62" w:rsidRPr="00A76C07" w:rsidRDefault="0EA57D62">
            <w:pPr>
              <w:jc w:val="left"/>
              <w:rPr>
                <w:noProof/>
                <w:szCs w:val="24"/>
              </w:rPr>
            </w:pP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Pristojni organ</w:t>
            </w:r>
          </w:p>
          <w:p w:rsidR="0EA57D62" w:rsidRPr="00A76C07" w:rsidRDefault="0EA57D62">
            <w:pPr>
              <w:jc w:val="left"/>
              <w:rPr>
                <w:noProof/>
                <w:szCs w:val="24"/>
              </w:rPr>
            </w:pP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Najpozneje v treh letih od začetka take uporabe ali takoj, ko so na voljo.</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Izmenjava informacij o deponirani standardizirani identifikacijski oznaki serije „BBNJ“ in potrditev deponiranega vira</w:t>
            </w:r>
          </w:p>
          <w:p w:rsidR="0EA57D62" w:rsidRPr="00A76C07" w:rsidRDefault="0EA57D62" w:rsidP="007359A9">
            <w:pPr>
              <w:spacing w:line="257" w:lineRule="auto"/>
              <w:jc w:val="left"/>
              <w:rPr>
                <w:noProof/>
                <w:szCs w:val="24"/>
              </w:rPr>
            </w:pPr>
            <w:r w:rsidRPr="00A76C07">
              <w:rPr>
                <w:noProof/>
              </w:rPr>
              <w:t>Morski genski viri</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7(3)</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p w:rsidR="0EA57D62" w:rsidRPr="00A76C07" w:rsidRDefault="0EA57D62">
            <w:pPr>
              <w:jc w:val="left"/>
              <w:rPr>
                <w:noProof/>
                <w:szCs w:val="24"/>
              </w:rPr>
            </w:pP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 xml:space="preserve">Poročilo o presoji vplivov na okolje, </w:t>
            </w:r>
            <w:r w:rsidRPr="00A76C07">
              <w:rPr>
                <w:noProof/>
              </w:rPr>
              <w:cr/>
            </w:r>
            <w:r w:rsidRPr="00A76C07">
              <w:rPr>
                <w:noProof/>
              </w:rPr>
              <w:br/>
              <w:t xml:space="preserve"> vključno:</w:t>
            </w:r>
          </w:p>
          <w:p w:rsidR="0EA57D62" w:rsidRPr="00A76C07" w:rsidRDefault="0EA57D62" w:rsidP="0091065C">
            <w:pPr>
              <w:pStyle w:val="ListParagraph"/>
              <w:numPr>
                <w:ilvl w:val="0"/>
                <w:numId w:val="2"/>
              </w:numPr>
              <w:spacing w:after="0"/>
              <w:rPr>
                <w:noProof/>
                <w:szCs w:val="24"/>
              </w:rPr>
            </w:pPr>
            <w:r w:rsidRPr="00A76C07">
              <w:rPr>
                <w:rFonts w:ascii="Times New Roman" w:hAnsi="Times New Roman"/>
                <w:noProof/>
                <w:sz w:val="24"/>
              </w:rPr>
              <w:t>z odločitvijo o pregledu, če je to ustrezno,</w:t>
            </w:r>
          </w:p>
          <w:p w:rsidR="0EA57D62" w:rsidRPr="00A76C07" w:rsidRDefault="0EA57D62" w:rsidP="0091065C">
            <w:pPr>
              <w:pStyle w:val="ListParagraph"/>
              <w:numPr>
                <w:ilvl w:val="0"/>
                <w:numId w:val="2"/>
              </w:numPr>
              <w:spacing w:after="0"/>
              <w:rPr>
                <w:noProof/>
                <w:szCs w:val="24"/>
              </w:rPr>
            </w:pPr>
            <w:r w:rsidRPr="00A76C07">
              <w:rPr>
                <w:rFonts w:ascii="Times New Roman" w:hAnsi="Times New Roman"/>
                <w:noProof/>
                <w:sz w:val="24"/>
              </w:rPr>
              <w:t>presojo vplivov na okolje.</w:t>
            </w:r>
          </w:p>
          <w:p w:rsidR="0EA57D62" w:rsidRPr="00A76C07" w:rsidRDefault="0EA57D62" w:rsidP="007359A9">
            <w:pPr>
              <w:jc w:val="left"/>
              <w:rPr>
                <w:noProof/>
                <w:szCs w:val="24"/>
              </w:rPr>
            </w:pP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8, člen 9</w:t>
            </w:r>
          </w:p>
          <w:p w:rsidR="0EA57D62" w:rsidRPr="00A76C07" w:rsidRDefault="0EA57D62">
            <w:pPr>
              <w:jc w:val="left"/>
              <w:rPr>
                <w:noProof/>
                <w:szCs w:val="24"/>
              </w:rPr>
            </w:pPr>
            <w:r w:rsidRPr="00A76C07">
              <w:rPr>
                <w:noProof/>
              </w:rPr>
              <w:t>Člen 10</w:t>
            </w:r>
          </w:p>
          <w:p w:rsidR="0EA57D62" w:rsidRPr="00A76C07" w:rsidRDefault="0EA57D62">
            <w:pPr>
              <w:jc w:val="left"/>
              <w:rPr>
                <w:noProof/>
                <w:szCs w:val="24"/>
              </w:rPr>
            </w:pPr>
            <w:r w:rsidRPr="00A76C07">
              <w:rPr>
                <w:noProof/>
              </w:rPr>
              <w:t>Člen 11</w:t>
            </w:r>
          </w:p>
          <w:p w:rsidR="0EA57D62" w:rsidRPr="00A76C07" w:rsidRDefault="0EA57D62">
            <w:pPr>
              <w:jc w:val="left"/>
              <w:rPr>
                <w:noProof/>
                <w:szCs w:val="24"/>
              </w:rPr>
            </w:pP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Splošna javnost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Ni opredeljeno</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 xml:space="preserve">Izidi posvetovanj </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11</w:t>
            </w:r>
          </w:p>
          <w:p w:rsidR="0EA57D62" w:rsidRPr="00A76C07" w:rsidRDefault="0EA57D62">
            <w:pPr>
              <w:jc w:val="left"/>
              <w:rPr>
                <w:noProof/>
                <w:szCs w:val="24"/>
              </w:rPr>
            </w:pP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p w:rsidR="0EA57D62" w:rsidRPr="00A76C07" w:rsidRDefault="0EA57D62">
            <w:pPr>
              <w:jc w:val="left"/>
              <w:rPr>
                <w:noProof/>
                <w:szCs w:val="24"/>
              </w:rPr>
            </w:pP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Subjekti, ki jih to zadeva</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Posvetovanja ne smejo biti krajša od 30 dni, vendar ne daljša od 85 dni.</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09F647E"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Odločitve</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12</w:t>
            </w:r>
          </w:p>
          <w:p w:rsidR="0EA57D62" w:rsidRPr="00A76C07" w:rsidRDefault="0EA57D62">
            <w:pPr>
              <w:jc w:val="left"/>
              <w:rPr>
                <w:noProof/>
                <w:szCs w:val="24"/>
              </w:rPr>
            </w:pP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p w:rsidR="0EA57D62" w:rsidRPr="00A76C07" w:rsidRDefault="0EA57D62">
            <w:pPr>
              <w:jc w:val="left"/>
              <w:rPr>
                <w:noProof/>
                <w:szCs w:val="24"/>
              </w:rPr>
            </w:pP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Splošna javnost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Ni opredeljeno</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r w:rsidR="0EA57D62" w:rsidRPr="00A76C07" w:rsidTr="0EA57D62">
        <w:trPr>
          <w:trHeight w:val="300"/>
        </w:trPr>
        <w:tc>
          <w:tcPr>
            <w:tcW w:w="270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Okoljska škoda, ki jo povzročijo odobrene dejavnosti</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13</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Države članice</w:t>
            </w:r>
          </w:p>
        </w:tc>
        <w:tc>
          <w:tcPr>
            <w:tcW w:w="121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Splošna javnost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Ne manj pogosto kot vsaka tri leta</w:t>
            </w:r>
          </w:p>
        </w:tc>
      </w:tr>
    </w:tbl>
    <w:p w:rsidR="0EA57D62" w:rsidRPr="00A76C07" w:rsidRDefault="0EA57D62" w:rsidP="007359A9">
      <w:pPr>
        <w:pStyle w:val="Text1"/>
        <w:spacing w:before="0" w:after="0"/>
        <w:rPr>
          <w:noProof/>
        </w:rPr>
      </w:pPr>
    </w:p>
    <w:tbl>
      <w:tblPr>
        <w:tblStyle w:val="TableGrid"/>
        <w:tblW w:w="0" w:type="auto"/>
        <w:tblLook w:val="04A0" w:firstRow="1" w:lastRow="0" w:firstColumn="1" w:lastColumn="0" w:noHBand="0" w:noVBand="1"/>
      </w:tblPr>
      <w:tblGrid>
        <w:gridCol w:w="9063"/>
      </w:tblGrid>
      <w:tr w:rsidR="009F647E" w:rsidRPr="00A76C07" w:rsidTr="0EA57D62">
        <w:tc>
          <w:tcPr>
            <w:tcW w:w="9063" w:type="dxa"/>
          </w:tcPr>
          <w:p w:rsidR="005E08AC" w:rsidRPr="00A76C07" w:rsidRDefault="005E08AC">
            <w:pPr>
              <w:rPr>
                <w:noProof/>
              </w:rPr>
            </w:pPr>
          </w:p>
        </w:tc>
      </w:tr>
    </w:tbl>
    <w:p w:rsidR="005E08AC" w:rsidRPr="00A76C07" w:rsidRDefault="4CB50F24" w:rsidP="005E08AC">
      <w:pPr>
        <w:pStyle w:val="ManualHeading2"/>
        <w:rPr>
          <w:noProof/>
        </w:rPr>
      </w:pPr>
      <w:bookmarkStart w:id="204" w:name="_Toc167220305"/>
      <w:bookmarkStart w:id="205" w:name="_Toc199239295"/>
      <w:r w:rsidRPr="00A76C07">
        <w:rPr>
          <w:noProof/>
        </w:rPr>
        <w:t>4.3</w:t>
      </w:r>
      <w:r w:rsidRPr="00A76C07">
        <w:rPr>
          <w:noProof/>
        </w:rPr>
        <w:tab/>
        <w:t>Digitalne rešitve</w:t>
      </w:r>
      <w:bookmarkEnd w:id="204"/>
      <w:bookmarkEnd w:id="205"/>
    </w:p>
    <w:p w:rsidR="71B27BD7" w:rsidRPr="00A76C07" w:rsidRDefault="71B27BD7">
      <w:pPr>
        <w:rPr>
          <w:rFonts w:eastAsia="Times New Roman"/>
          <w:i/>
          <w:iCs/>
          <w:noProof/>
          <w:szCs w:val="24"/>
        </w:rPr>
      </w:pPr>
      <w:r w:rsidRPr="00A76C07">
        <w:rPr>
          <w:i/>
          <w:noProof/>
        </w:rPr>
        <w:t>Za vsako digitalno rešitev navedite sklic na zahteve digitalnega pomena v zvezi z njo, opis predpisane funkcionalnosti digitalne rešitve, organ, ki bo zanjo pristojen, ter druge pomembne vidike, kot sta ponovna uporaba in dostopnost. Nazadnje pojasnite, ali bodo pri digitalni rešitvi uporabljene tehnologije umetne inteligence.</w:t>
      </w:r>
    </w:p>
    <w:tbl>
      <w:tblPr>
        <w:tblStyle w:val="TableGrid"/>
        <w:tblW w:w="0" w:type="auto"/>
        <w:tblLayout w:type="fixed"/>
        <w:tblLook w:val="04A0" w:firstRow="1" w:lastRow="0" w:firstColumn="1" w:lastColumn="0" w:noHBand="0" w:noVBand="1"/>
      </w:tblPr>
      <w:tblGrid>
        <w:gridCol w:w="1087"/>
        <w:gridCol w:w="1027"/>
        <w:gridCol w:w="1759"/>
        <w:gridCol w:w="1732"/>
        <w:gridCol w:w="1152"/>
        <w:gridCol w:w="1408"/>
        <w:gridCol w:w="896"/>
      </w:tblGrid>
      <w:tr w:rsidR="009F647E" w:rsidRPr="00A76C07" w:rsidTr="0EA57D62">
        <w:trPr>
          <w:trHeight w:val="300"/>
        </w:trPr>
        <w:tc>
          <w:tcPr>
            <w:tcW w:w="1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spacing w:before="0" w:after="0"/>
              <w:jc w:val="center"/>
              <w:rPr>
                <w:b/>
                <w:bCs/>
                <w:noProof/>
                <w:sz w:val="22"/>
                <w:szCs w:val="22"/>
              </w:rPr>
            </w:pPr>
            <w:r w:rsidRPr="00A76C07">
              <w:rPr>
                <w:b/>
                <w:noProof/>
                <w:sz w:val="22"/>
              </w:rPr>
              <w:t>Digitalna rešitev</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jc w:val="center"/>
              <w:rPr>
                <w:b/>
                <w:bCs/>
                <w:noProof/>
                <w:sz w:val="22"/>
                <w:szCs w:val="22"/>
              </w:rPr>
            </w:pPr>
            <w:r w:rsidRPr="00A76C07">
              <w:rPr>
                <w:b/>
                <w:noProof/>
                <w:sz w:val="22"/>
              </w:rPr>
              <w:t>Sklici na zahteve</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spacing w:before="0" w:after="0"/>
              <w:jc w:val="center"/>
              <w:rPr>
                <w:b/>
                <w:bCs/>
                <w:noProof/>
                <w:sz w:val="22"/>
                <w:szCs w:val="22"/>
              </w:rPr>
            </w:pPr>
            <w:r w:rsidRPr="00A76C07">
              <w:rPr>
                <w:b/>
                <w:noProof/>
                <w:sz w:val="22"/>
              </w:rPr>
              <w:t>Glavne predpisane funkcionalnosti</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jc w:val="center"/>
              <w:rPr>
                <w:b/>
                <w:bCs/>
                <w:noProof/>
                <w:sz w:val="22"/>
                <w:szCs w:val="22"/>
              </w:rPr>
            </w:pPr>
            <w:r w:rsidRPr="00A76C07">
              <w:rPr>
                <w:b/>
                <w:noProof/>
                <w:sz w:val="22"/>
              </w:rPr>
              <w:t>Odgovorni organ</w:t>
            </w:r>
          </w:p>
        </w:tc>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spacing w:before="0" w:after="0"/>
              <w:jc w:val="center"/>
              <w:rPr>
                <w:b/>
                <w:bCs/>
                <w:noProof/>
                <w:sz w:val="22"/>
                <w:szCs w:val="22"/>
              </w:rPr>
            </w:pPr>
            <w:r w:rsidRPr="00A76C07">
              <w:rPr>
                <w:b/>
                <w:noProof/>
                <w:sz w:val="22"/>
              </w:rPr>
              <w:t>Kako je poskrbljeno za dostopnost?</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spacing w:before="0" w:after="0"/>
              <w:jc w:val="center"/>
              <w:rPr>
                <w:b/>
                <w:bCs/>
                <w:noProof/>
                <w:sz w:val="22"/>
                <w:szCs w:val="22"/>
              </w:rPr>
            </w:pPr>
            <w:r w:rsidRPr="00A76C07">
              <w:rPr>
                <w:b/>
                <w:noProof/>
                <w:sz w:val="22"/>
              </w:rPr>
              <w:t>Kako se upošteva možnost ponovne uporabe?</w:t>
            </w:r>
          </w:p>
        </w:tc>
        <w:tc>
          <w:tcPr>
            <w:tcW w:w="8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A57D62" w:rsidRPr="00A76C07" w:rsidRDefault="0EA57D62" w:rsidP="007359A9">
            <w:pPr>
              <w:spacing w:before="0" w:after="0"/>
              <w:jc w:val="center"/>
              <w:rPr>
                <w:b/>
                <w:bCs/>
                <w:noProof/>
                <w:sz w:val="22"/>
                <w:szCs w:val="22"/>
              </w:rPr>
            </w:pPr>
            <w:r w:rsidRPr="00A76C07">
              <w:rPr>
                <w:b/>
                <w:noProof/>
                <w:sz w:val="22"/>
              </w:rPr>
              <w:t>Uporaba tehnologij umetne inteligence (če je primerno)</w:t>
            </w:r>
          </w:p>
        </w:tc>
      </w:tr>
      <w:tr w:rsidR="009F647E" w:rsidRPr="00A76C07" w:rsidTr="0EA57D62">
        <w:trPr>
          <w:trHeight w:val="300"/>
        </w:trPr>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spacing w:line="257" w:lineRule="auto"/>
              <w:jc w:val="left"/>
              <w:rPr>
                <w:noProof/>
                <w:szCs w:val="24"/>
              </w:rPr>
            </w:pPr>
            <w:r w:rsidRPr="00A76C07">
              <w:rPr>
                <w:noProof/>
              </w:rPr>
              <w:t>Posredovalni mehanizem za BBNJ</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Člen 6, člen 7</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 xml:space="preserve">Priprava in predložitev informacij. </w:t>
            </w:r>
          </w:p>
          <w:p w:rsidR="5885EEBC" w:rsidRPr="00A76C07" w:rsidRDefault="5885EEBC" w:rsidP="0EA57D62">
            <w:pPr>
              <w:jc w:val="left"/>
              <w:rPr>
                <w:noProof/>
                <w:szCs w:val="24"/>
              </w:rPr>
            </w:pPr>
            <w:r w:rsidRPr="00A76C07">
              <w:rPr>
                <w:noProof/>
              </w:rPr>
              <w:t>Nadzor predložitev.</w:t>
            </w:r>
          </w:p>
          <w:p w:rsidR="5885EEBC" w:rsidRPr="00A76C07" w:rsidRDefault="5885EEBC" w:rsidP="0EA57D62">
            <w:pPr>
              <w:jc w:val="left"/>
              <w:rPr>
                <w:noProof/>
                <w:szCs w:val="24"/>
              </w:rPr>
            </w:pPr>
            <w:r w:rsidRPr="00A76C07">
              <w:rPr>
                <w:noProof/>
              </w:rPr>
              <w:t>Seznam predložitev.</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ZN</w:t>
            </w:r>
          </w:p>
        </w:tc>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n. r.</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n. r.</w:t>
            </w:r>
          </w:p>
        </w:tc>
        <w:tc>
          <w:tcPr>
            <w:tcW w:w="896" w:type="dxa"/>
            <w:tcBorders>
              <w:top w:val="single" w:sz="8" w:space="0" w:color="auto"/>
              <w:left w:val="single" w:sz="8" w:space="0" w:color="auto"/>
              <w:bottom w:val="single" w:sz="8" w:space="0" w:color="auto"/>
              <w:right w:val="single" w:sz="8" w:space="0" w:color="auto"/>
            </w:tcBorders>
            <w:tcMar>
              <w:left w:w="108" w:type="dxa"/>
              <w:right w:w="108" w:type="dxa"/>
            </w:tcMar>
          </w:tcPr>
          <w:p w:rsidR="5885EEBC" w:rsidRPr="00A76C07" w:rsidRDefault="5885EEBC" w:rsidP="0EA57D62">
            <w:pPr>
              <w:jc w:val="left"/>
              <w:rPr>
                <w:noProof/>
                <w:szCs w:val="24"/>
              </w:rPr>
            </w:pPr>
            <w:r w:rsidRPr="00A76C07">
              <w:rPr>
                <w:noProof/>
              </w:rPr>
              <w:t>n. r.</w:t>
            </w:r>
          </w:p>
        </w:tc>
      </w:tr>
      <w:tr w:rsidR="009F647E" w:rsidRPr="00A76C07" w:rsidTr="0EA57D62">
        <w:trPr>
          <w:trHeight w:val="300"/>
        </w:trPr>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line="257" w:lineRule="auto"/>
              <w:jc w:val="left"/>
              <w:rPr>
                <w:noProof/>
                <w:szCs w:val="24"/>
              </w:rPr>
            </w:pPr>
            <w:r w:rsidRPr="00A76C07">
              <w:rPr>
                <w:noProof/>
              </w:rPr>
              <w:t xml:space="preserve">Digitalna platforma, če so potrebni dodatni podatkovni elementi na ravni EU/nacionalni ravni </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Člen 6, člen 7</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Priprava in predložitev informacij.</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tcPr>
          <w:p w:rsidR="351AB4E9" w:rsidRPr="00A76C07" w:rsidRDefault="351AB4E9">
            <w:pPr>
              <w:jc w:val="left"/>
              <w:rPr>
                <w:noProof/>
                <w:szCs w:val="24"/>
              </w:rPr>
            </w:pPr>
            <w:r w:rsidRPr="00A76C07">
              <w:rPr>
                <w:noProof/>
              </w:rPr>
              <w:t>DČ in/ali Komisija</w:t>
            </w:r>
          </w:p>
        </w:tc>
        <w:tc>
          <w:tcPr>
            <w:tcW w:w="115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Obstoječa infrastruktura</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jc w:val="left"/>
              <w:rPr>
                <w:noProof/>
                <w:szCs w:val="24"/>
              </w:rPr>
            </w:pPr>
            <w:r w:rsidRPr="00A76C07">
              <w:rPr>
                <w:noProof/>
              </w:rPr>
              <w:t>Treba bo dodatno raziskati in oceniti</w:t>
            </w:r>
          </w:p>
        </w:tc>
        <w:tc>
          <w:tcPr>
            <w:tcW w:w="89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bl>
    <w:p w:rsidR="71B27BD7" w:rsidRPr="00A76C07" w:rsidRDefault="71B27BD7">
      <w:pPr>
        <w:rPr>
          <w:rFonts w:eastAsia="Times New Roman"/>
          <w:i/>
          <w:iCs/>
          <w:noProof/>
          <w:szCs w:val="24"/>
        </w:rPr>
      </w:pPr>
      <w:r w:rsidRPr="00A76C07">
        <w:rPr>
          <w:i/>
          <w:noProof/>
        </w:rPr>
        <w:t>Za vsako digitalno rešitev pojasnite, kako je skladna z zahtevami in obveznostmi okvira EU za kibernetsko varnost ter drugimi veljavnimi digitalnimi politikami in zakonodajnimi akti (kot so eIDAS, enotni digitalni portal itd.).</w:t>
      </w:r>
    </w:p>
    <w:p w:rsidR="71B27BD7" w:rsidRPr="00A76C07" w:rsidRDefault="71B27BD7">
      <w:pPr>
        <w:rPr>
          <w:rFonts w:eastAsia="Times New Roman"/>
          <w:i/>
          <w:iCs/>
          <w:noProof/>
          <w:szCs w:val="24"/>
        </w:rPr>
      </w:pPr>
      <w:r w:rsidRPr="00A76C07">
        <w:rPr>
          <w:i/>
          <w:noProof/>
        </w:rPr>
        <w:t>Digitalna rešitev #2</w:t>
      </w:r>
    </w:p>
    <w:tbl>
      <w:tblPr>
        <w:tblStyle w:val="TableGrid"/>
        <w:tblW w:w="0" w:type="auto"/>
        <w:tblLayout w:type="fixed"/>
        <w:tblLook w:val="04A0" w:firstRow="1" w:lastRow="0" w:firstColumn="1" w:lastColumn="0" w:noHBand="0" w:noVBand="1"/>
      </w:tblPr>
      <w:tblGrid>
        <w:gridCol w:w="3768"/>
        <w:gridCol w:w="5292"/>
      </w:tblGrid>
      <w:tr w:rsidR="009F647E"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Digitalna in/ali sektorska politika (kadar se uporablja)</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Cs w:val="24"/>
              </w:rPr>
            </w:pPr>
            <w:r w:rsidRPr="00A76C07">
              <w:rPr>
                <w:b/>
                <w:noProof/>
              </w:rPr>
              <w:t>Pojasnilo o tem, kako je usklajena</w:t>
            </w:r>
          </w:p>
        </w:tc>
      </w:tr>
      <w:tr w:rsidR="009F647E"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i/>
                <w:iCs/>
                <w:noProof/>
                <w:szCs w:val="24"/>
              </w:rPr>
            </w:pPr>
            <w:r w:rsidRPr="00A76C07">
              <w:rPr>
                <w:b/>
                <w:i/>
                <w:noProof/>
              </w:rPr>
              <w:t>Akt o umetni inteligenci</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Ni relevantno</w:t>
            </w:r>
          </w:p>
        </w:tc>
      </w:tr>
      <w:tr w:rsidR="009F647E"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i/>
                <w:iCs/>
                <w:noProof/>
                <w:szCs w:val="24"/>
              </w:rPr>
            </w:pPr>
            <w:r w:rsidRPr="00A76C07">
              <w:rPr>
                <w:b/>
                <w:i/>
                <w:noProof/>
              </w:rPr>
              <w:t>Okvir EU za kibernetsko varnost</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Ponovno uporablja obstoječo infrastrukturo</w:t>
            </w:r>
          </w:p>
        </w:tc>
      </w:tr>
      <w:tr w:rsidR="009F647E"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i/>
                <w:iCs/>
                <w:noProof/>
                <w:szCs w:val="24"/>
              </w:rPr>
            </w:pPr>
            <w:r w:rsidRPr="00A76C07">
              <w:rPr>
                <w:b/>
                <w:i/>
                <w:noProof/>
              </w:rPr>
              <w:t>Elektronska identifikacija in storitev zaupanja (eIDAS)</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Ponovno uporablja obstoječo infrastrukturo</w:t>
            </w:r>
          </w:p>
        </w:tc>
      </w:tr>
      <w:tr w:rsidR="009F647E"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i/>
                <w:iCs/>
                <w:noProof/>
                <w:szCs w:val="24"/>
              </w:rPr>
            </w:pPr>
            <w:r w:rsidRPr="00A76C07">
              <w:rPr>
                <w:b/>
                <w:i/>
                <w:noProof/>
              </w:rPr>
              <w:t>Enotno digitalno vstopno mesto in IMI</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r w:rsidRPr="00A76C07">
              <w:rPr>
                <w:noProof/>
              </w:rPr>
              <w:t>Ni relevantno</w:t>
            </w:r>
          </w:p>
        </w:tc>
      </w:tr>
      <w:tr w:rsidR="0EA57D62" w:rsidRPr="00A76C07" w:rsidTr="0EA57D62">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i/>
                <w:iCs/>
                <w:noProof/>
                <w:szCs w:val="24"/>
              </w:rPr>
            </w:pPr>
            <w:r w:rsidRPr="00A76C07">
              <w:rPr>
                <w:b/>
                <w:i/>
                <w:noProof/>
              </w:rPr>
              <w:t>Druga</w:t>
            </w:r>
          </w:p>
        </w:tc>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Cs w:val="24"/>
              </w:rPr>
            </w:pPr>
          </w:p>
        </w:tc>
      </w:tr>
    </w:tbl>
    <w:p w:rsidR="0EA57D62" w:rsidRPr="00A76C07" w:rsidRDefault="0EA57D62" w:rsidP="00430805">
      <w:pPr>
        <w:pStyle w:val="Text1"/>
        <w:rPr>
          <w:noProof/>
        </w:rPr>
      </w:pP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9F647E" w:rsidRPr="00A76C07" w:rsidTr="0EA57D62">
        <w:tc>
          <w:tcPr>
            <w:tcW w:w="9067" w:type="dxa"/>
          </w:tcPr>
          <w:p w:rsidR="005E08AC" w:rsidRPr="00A76C07" w:rsidRDefault="005E08AC">
            <w:pPr>
              <w:rPr>
                <w:noProof/>
              </w:rPr>
            </w:pPr>
          </w:p>
        </w:tc>
      </w:tr>
    </w:tbl>
    <w:p w:rsidR="005E08AC" w:rsidRPr="00A76C07" w:rsidRDefault="4CB50F24" w:rsidP="0EA57D62">
      <w:pPr>
        <w:pStyle w:val="ManualHeading2"/>
        <w:rPr>
          <w:rStyle w:val="Emphasis"/>
          <w:b w:val="0"/>
          <w:i w:val="0"/>
          <w:iCs w:val="0"/>
          <w:noProof/>
        </w:rPr>
      </w:pPr>
      <w:bookmarkStart w:id="206" w:name="_Toc167220304"/>
      <w:bookmarkStart w:id="207" w:name="_Toc199239296"/>
      <w:r w:rsidRPr="00A76C07">
        <w:rPr>
          <w:rStyle w:val="Emphasis"/>
          <w:noProof/>
        </w:rPr>
        <w:t>4.4</w:t>
      </w:r>
      <w:r w:rsidRPr="00A76C07">
        <w:rPr>
          <w:noProof/>
        </w:rPr>
        <w:tab/>
      </w:r>
      <w:r w:rsidRPr="00A76C07">
        <w:rPr>
          <w:rStyle w:val="Emphasis"/>
          <w:noProof/>
        </w:rPr>
        <w:t>Ocena interoperabilnosti</w:t>
      </w:r>
      <w:bookmarkEnd w:id="206"/>
      <w:bookmarkEnd w:id="207"/>
    </w:p>
    <w:p w:rsidR="4C6F3B4D" w:rsidRPr="00A76C07" w:rsidRDefault="4C6F3B4D">
      <w:pPr>
        <w:rPr>
          <w:rFonts w:eastAsia="Times New Roman"/>
          <w:i/>
          <w:iCs/>
          <w:noProof/>
          <w:szCs w:val="24"/>
        </w:rPr>
      </w:pPr>
      <w:r w:rsidRPr="00A76C07">
        <w:rPr>
          <w:i/>
          <w:noProof/>
        </w:rPr>
        <w:t>Opišite digitalne javne storitve, na katere vplivajo zahteve.</w:t>
      </w:r>
    </w:p>
    <w:tbl>
      <w:tblPr>
        <w:tblStyle w:val="TableGrid"/>
        <w:tblW w:w="0" w:type="auto"/>
        <w:tblLayout w:type="fixed"/>
        <w:tblLook w:val="04A0" w:firstRow="1" w:lastRow="0" w:firstColumn="1" w:lastColumn="0" w:noHBand="0" w:noVBand="1"/>
      </w:tblPr>
      <w:tblGrid>
        <w:gridCol w:w="1435"/>
        <w:gridCol w:w="2177"/>
        <w:gridCol w:w="1456"/>
        <w:gridCol w:w="1548"/>
        <w:gridCol w:w="2445"/>
      </w:tblGrid>
      <w:tr w:rsidR="009F647E" w:rsidRPr="00A76C07" w:rsidTr="687F50E3">
        <w:trPr>
          <w:trHeight w:val="300"/>
        </w:trPr>
        <w:tc>
          <w:tcPr>
            <w:tcW w:w="143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after="0"/>
              <w:jc w:val="left"/>
              <w:rPr>
                <w:b/>
                <w:bCs/>
                <w:noProof/>
                <w:sz w:val="22"/>
                <w:szCs w:val="22"/>
              </w:rPr>
            </w:pPr>
            <w:r w:rsidRPr="00A76C07">
              <w:rPr>
                <w:b/>
                <w:noProof/>
                <w:sz w:val="22"/>
              </w:rPr>
              <w:t>Digitalna javna storitev ali kategorija digitalnih javnih storitev</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Opis</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Sklici na zahteve</w:t>
            </w:r>
          </w:p>
        </w:tc>
        <w:tc>
          <w:tcPr>
            <w:tcW w:w="1548" w:type="dxa"/>
            <w:tcBorders>
              <w:top w:val="single" w:sz="8" w:space="0" w:color="auto"/>
              <w:left w:val="single" w:sz="8" w:space="0" w:color="auto"/>
              <w:bottom w:val="single" w:sz="8" w:space="0" w:color="auto"/>
              <w:right w:val="single" w:sz="8" w:space="0" w:color="auto"/>
            </w:tcBorders>
            <w:shd w:val="clear" w:color="auto" w:fill="7F7F7F" w:themeFill="text1" w:themeFillTint="80"/>
            <w:tcMar>
              <w:left w:w="108" w:type="dxa"/>
              <w:right w:w="108" w:type="dxa"/>
            </w:tcMar>
          </w:tcPr>
          <w:p w:rsidR="0EA57D62" w:rsidRPr="00A76C07" w:rsidRDefault="0EA57D62">
            <w:pPr>
              <w:jc w:val="left"/>
              <w:rPr>
                <w:b/>
                <w:bCs/>
                <w:noProof/>
                <w:sz w:val="22"/>
                <w:szCs w:val="22"/>
              </w:rPr>
            </w:pPr>
            <w:r w:rsidRPr="00A76C07">
              <w:rPr>
                <w:b/>
                <w:noProof/>
                <w:sz w:val="22"/>
              </w:rPr>
              <w:t xml:space="preserve">Rešitve interoperabilne Evrope </w:t>
            </w:r>
          </w:p>
          <w:p w:rsidR="0EA57D62" w:rsidRPr="00A76C07" w:rsidRDefault="0EA57D62">
            <w:pPr>
              <w:jc w:val="left"/>
              <w:rPr>
                <w:b/>
                <w:bCs/>
                <w:noProof/>
                <w:sz w:val="22"/>
                <w:szCs w:val="22"/>
              </w:rPr>
            </w:pPr>
            <w:r w:rsidRPr="00A76C07">
              <w:rPr>
                <w:b/>
                <w:noProof/>
                <w:sz w:val="22"/>
              </w:rPr>
              <w:t>(NI RELEVANTNO)</w:t>
            </w:r>
          </w:p>
        </w:tc>
        <w:tc>
          <w:tcPr>
            <w:tcW w:w="244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Druge interoperabilnostne rešitve</w:t>
            </w:r>
          </w:p>
        </w:tc>
      </w:tr>
      <w:tr w:rsidR="009F647E" w:rsidRPr="00A76C07" w:rsidTr="687F50E3">
        <w:trPr>
          <w:trHeight w:val="300"/>
        </w:trPr>
        <w:tc>
          <w:tcPr>
            <w:tcW w:w="143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line="257" w:lineRule="auto"/>
              <w:jc w:val="left"/>
              <w:rPr>
                <w:noProof/>
                <w:sz w:val="22"/>
                <w:szCs w:val="22"/>
              </w:rPr>
            </w:pPr>
            <w:r w:rsidRPr="00A76C07">
              <w:rPr>
                <w:noProof/>
                <w:sz w:val="22"/>
              </w:rPr>
              <w:t>Spremljanje raziskovalnih projektov na področju morske biologije ter načrtovanih dejavnosti in razširjanje s tem povezanih informacij</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 w:val="22"/>
                <w:szCs w:val="22"/>
              </w:rPr>
            </w:pPr>
            <w:r w:rsidRPr="00A76C07">
              <w:rPr>
                <w:noProof/>
                <w:sz w:val="22"/>
              </w:rPr>
              <w:t>Zagotovitev ustreznih dovoljenj v skladu z načelom neškodovanja okolju</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noProof/>
                <w:sz w:val="22"/>
                <w:szCs w:val="22"/>
              </w:rPr>
            </w:pPr>
            <w:r w:rsidRPr="00A76C07">
              <w:rPr>
                <w:noProof/>
                <w:sz w:val="22"/>
              </w:rPr>
              <w:t>Vse</w:t>
            </w:r>
          </w:p>
        </w:tc>
        <w:tc>
          <w:tcPr>
            <w:tcW w:w="1548" w:type="dxa"/>
            <w:tcBorders>
              <w:top w:val="single" w:sz="8" w:space="0" w:color="auto"/>
              <w:left w:val="single" w:sz="8" w:space="0" w:color="auto"/>
              <w:bottom w:val="single" w:sz="8" w:space="0" w:color="auto"/>
              <w:right w:val="single" w:sz="8" w:space="0" w:color="auto"/>
            </w:tcBorders>
            <w:shd w:val="clear" w:color="auto" w:fill="7F7F7F" w:themeFill="text1" w:themeFillTint="80"/>
            <w:tcMar>
              <w:left w:w="108" w:type="dxa"/>
              <w:right w:w="108" w:type="dxa"/>
            </w:tcMar>
          </w:tcPr>
          <w:p w:rsidR="0EA57D62" w:rsidRPr="00A76C07" w:rsidRDefault="0EA57D62">
            <w:pPr>
              <w:jc w:val="left"/>
              <w:rPr>
                <w:noProof/>
                <w:sz w:val="22"/>
                <w:szCs w:val="22"/>
              </w:rPr>
            </w:pPr>
            <w:r w:rsidRPr="00A76C07">
              <w:rPr>
                <w:noProof/>
                <w:sz w:val="22"/>
              </w:rPr>
              <w:t>//</w:t>
            </w:r>
          </w:p>
        </w:tc>
        <w:tc>
          <w:tcPr>
            <w:tcW w:w="244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7D501D73">
            <w:pPr>
              <w:jc w:val="left"/>
              <w:rPr>
                <w:noProof/>
                <w:sz w:val="22"/>
                <w:szCs w:val="22"/>
              </w:rPr>
            </w:pPr>
            <w:r w:rsidRPr="00A76C07">
              <w:rPr>
                <w:noProof/>
                <w:sz w:val="22"/>
              </w:rPr>
              <w:t>Treba bo dodatno raziskati</w:t>
            </w:r>
          </w:p>
        </w:tc>
      </w:tr>
    </w:tbl>
    <w:p w:rsidR="0EA57D62" w:rsidRPr="00A76C07" w:rsidRDefault="0EA57D62">
      <w:pPr>
        <w:rPr>
          <w:rFonts w:eastAsia="Times New Roman"/>
          <w:noProof/>
          <w:szCs w:val="24"/>
        </w:rPr>
      </w:pPr>
    </w:p>
    <w:p w:rsidR="4C6F3B4D" w:rsidRPr="00A76C07" w:rsidRDefault="4C6F3B4D">
      <w:pPr>
        <w:rPr>
          <w:rFonts w:eastAsia="Times New Roman"/>
          <w:i/>
          <w:iCs/>
          <w:noProof/>
          <w:sz w:val="22"/>
        </w:rPr>
      </w:pPr>
      <w:r w:rsidRPr="00A76C07">
        <w:rPr>
          <w:i/>
          <w:noProof/>
          <w:sz w:val="22"/>
        </w:rPr>
        <w:t>Ocenite vpliv zahtev na čezmejno interoperabilnost.</w:t>
      </w:r>
    </w:p>
    <w:p w:rsidR="4C6F3B4D" w:rsidRPr="00A76C07" w:rsidRDefault="4C6F3B4D" w:rsidP="007359A9">
      <w:pPr>
        <w:spacing w:line="257" w:lineRule="auto"/>
        <w:jc w:val="left"/>
        <w:rPr>
          <w:rFonts w:eastAsia="Times New Roman"/>
          <w:b/>
          <w:bCs/>
          <w:noProof/>
          <w:sz w:val="22"/>
        </w:rPr>
      </w:pPr>
      <w:r w:rsidRPr="00A76C07">
        <w:rPr>
          <w:b/>
          <w:noProof/>
          <w:sz w:val="22"/>
        </w:rPr>
        <w:t>Spremljanje raziskovalnih projektov na področju morske biologije in razširjanje s tem povezanih informacij</w:t>
      </w:r>
    </w:p>
    <w:tbl>
      <w:tblPr>
        <w:tblStyle w:val="TableGrid"/>
        <w:tblW w:w="0" w:type="auto"/>
        <w:tblLayout w:type="fixed"/>
        <w:tblLook w:val="04A0" w:firstRow="1" w:lastRow="0" w:firstColumn="1" w:lastColumn="0" w:noHBand="0" w:noVBand="1"/>
      </w:tblPr>
      <w:tblGrid>
        <w:gridCol w:w="2464"/>
        <w:gridCol w:w="2911"/>
        <w:gridCol w:w="3685"/>
      </w:tblGrid>
      <w:tr w:rsidR="009F647E" w:rsidRPr="00A76C07" w:rsidTr="0EA57D62">
        <w:trPr>
          <w:trHeight w:val="300"/>
        </w:trPr>
        <w:tc>
          <w:tcPr>
            <w:tcW w:w="24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Ocena</w:t>
            </w:r>
          </w:p>
        </w:tc>
        <w:tc>
          <w:tcPr>
            <w:tcW w:w="2911"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Ukrepi</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Morebitne preostale ovire</w:t>
            </w:r>
          </w:p>
        </w:tc>
      </w:tr>
      <w:tr w:rsidR="009F647E" w:rsidRPr="00A76C07" w:rsidTr="0EA57D62">
        <w:trPr>
          <w:trHeight w:val="300"/>
        </w:trPr>
        <w:tc>
          <w:tcPr>
            <w:tcW w:w="24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jc w:val="left"/>
              <w:rPr>
                <w:b/>
                <w:bCs/>
                <w:noProof/>
                <w:sz w:val="22"/>
                <w:szCs w:val="22"/>
              </w:rPr>
            </w:pPr>
            <w:r w:rsidRPr="00A76C07">
              <w:rPr>
                <w:b/>
                <w:noProof/>
                <w:sz w:val="22"/>
              </w:rPr>
              <w:t xml:space="preserve">Ocenite usklajenost z obstoječimi digitalnimi in sektorskimi politikami. </w:t>
            </w:r>
          </w:p>
          <w:p w:rsidR="0EA57D62" w:rsidRPr="00A76C07" w:rsidRDefault="0EA57D62" w:rsidP="007359A9">
            <w:pPr>
              <w:spacing w:before="0"/>
              <w:jc w:val="left"/>
              <w:rPr>
                <w:b/>
                <w:bCs/>
                <w:noProof/>
                <w:sz w:val="22"/>
                <w:szCs w:val="22"/>
              </w:rPr>
            </w:pPr>
            <w:r w:rsidRPr="00A76C07">
              <w:rPr>
                <w:b/>
                <w:noProof/>
                <w:sz w:val="22"/>
              </w:rPr>
              <w:t>Navedite opredeljene digitalne in sektorske politike, ki se uporabljajo.</w:t>
            </w:r>
          </w:p>
        </w:tc>
        <w:tc>
          <w:tcPr>
            <w:tcW w:w="2911"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91065C">
            <w:pPr>
              <w:pStyle w:val="ListParagraph"/>
              <w:numPr>
                <w:ilvl w:val="0"/>
                <w:numId w:val="1"/>
              </w:numPr>
              <w:spacing w:after="0" w:line="257" w:lineRule="auto"/>
              <w:ind w:left="360"/>
              <w:rPr>
                <w:noProof/>
                <w:szCs w:val="24"/>
              </w:rPr>
            </w:pPr>
            <w:r w:rsidRPr="00A76C07">
              <w:rPr>
                <w:rFonts w:ascii="Times New Roman" w:hAnsi="Times New Roman"/>
                <w:noProof/>
                <w:sz w:val="24"/>
              </w:rPr>
              <w:t>Predlog je usklajen z Direktivo (EU) 2019/1024 Evropskega parlamenta in Sveta, ki spodbuja uporabo odprtih podatkov organov javnega sektorja in javnih podjetij.</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pStyle w:val="ListParagraph"/>
              <w:spacing w:after="0" w:line="257" w:lineRule="auto"/>
              <w:ind w:left="0"/>
              <w:rPr>
                <w:i/>
                <w:iCs/>
                <w:noProof/>
                <w:szCs w:val="22"/>
              </w:rPr>
            </w:pPr>
          </w:p>
        </w:tc>
      </w:tr>
      <w:tr w:rsidR="009F647E" w:rsidRPr="00A76C07" w:rsidTr="0EA57D62">
        <w:trPr>
          <w:trHeight w:val="300"/>
        </w:trPr>
        <w:tc>
          <w:tcPr>
            <w:tcW w:w="24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Ocenite organizacijske ukrepe za nemoteno čezmejno zagotavljanje digitalnih javnih storitev.</w:t>
            </w:r>
          </w:p>
          <w:p w:rsidR="0EA57D62" w:rsidRPr="00A76C07" w:rsidRDefault="0EA57D62">
            <w:pPr>
              <w:jc w:val="left"/>
              <w:rPr>
                <w:b/>
                <w:bCs/>
                <w:noProof/>
                <w:sz w:val="22"/>
                <w:szCs w:val="22"/>
              </w:rPr>
            </w:pPr>
            <w:r w:rsidRPr="00A76C07">
              <w:rPr>
                <w:b/>
                <w:noProof/>
                <w:sz w:val="22"/>
              </w:rPr>
              <w:t>Navedite predvidene ukrepe upravljanja.</w:t>
            </w:r>
          </w:p>
        </w:tc>
        <w:tc>
          <w:tcPr>
            <w:tcW w:w="2911"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91065C">
            <w:pPr>
              <w:pStyle w:val="ListParagraph"/>
              <w:numPr>
                <w:ilvl w:val="0"/>
                <w:numId w:val="1"/>
              </w:numPr>
              <w:spacing w:after="0" w:line="257" w:lineRule="auto"/>
              <w:ind w:left="360"/>
              <w:rPr>
                <w:noProof/>
                <w:szCs w:val="22"/>
              </w:rPr>
            </w:pPr>
            <w:r w:rsidRPr="00A76C07">
              <w:rPr>
                <w:rFonts w:ascii="Times New Roman" w:hAnsi="Times New Roman"/>
                <w:noProof/>
              </w:rPr>
              <w:t>Člen 6 določa ukrepe glede upravljanja podatkov.</w:t>
            </w:r>
          </w:p>
          <w:p w:rsidR="0EA57D62" w:rsidRPr="00A76C07" w:rsidRDefault="0EA57D62" w:rsidP="0091065C">
            <w:pPr>
              <w:pStyle w:val="ListParagraph"/>
              <w:numPr>
                <w:ilvl w:val="0"/>
                <w:numId w:val="1"/>
              </w:numPr>
              <w:spacing w:after="0" w:line="257" w:lineRule="auto"/>
              <w:ind w:left="360"/>
              <w:rPr>
                <w:noProof/>
                <w:szCs w:val="22"/>
              </w:rPr>
            </w:pPr>
            <w:r w:rsidRPr="00A76C07">
              <w:rPr>
                <w:rFonts w:ascii="Times New Roman" w:hAnsi="Times New Roman"/>
                <w:noProof/>
              </w:rPr>
              <w:t>Člen 19 zahteva, da države članice zagotovijo, da so poročila o presoji vplivov na okolje dovolj kakovostna.</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91065C">
            <w:pPr>
              <w:pStyle w:val="ListParagraph"/>
              <w:numPr>
                <w:ilvl w:val="0"/>
                <w:numId w:val="1"/>
              </w:numPr>
              <w:spacing w:after="0" w:line="257" w:lineRule="auto"/>
              <w:ind w:left="360"/>
              <w:rPr>
                <w:noProof/>
                <w:szCs w:val="22"/>
              </w:rPr>
            </w:pPr>
            <w:r w:rsidRPr="00A76C07">
              <w:rPr>
                <w:rFonts w:ascii="Times New Roman" w:hAnsi="Times New Roman"/>
                <w:noProof/>
              </w:rPr>
              <w:t>Če Posredovalni mehanizem za BBNJ ne zagotovi ustreznih predlog, bi bilo treba uskladiti merila za zagotovitev zadostne kakovosti teh poročil in se o njih dogovoriti med državami članicami.</w:t>
            </w:r>
          </w:p>
        </w:tc>
      </w:tr>
      <w:tr w:rsidR="009F647E" w:rsidRPr="00A76C07" w:rsidTr="0EA57D62">
        <w:trPr>
          <w:trHeight w:val="300"/>
        </w:trPr>
        <w:tc>
          <w:tcPr>
            <w:tcW w:w="24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Ocenite ukrepe, sprejete za zagotovitev skupnega razumevanja podatkov.</w:t>
            </w:r>
          </w:p>
          <w:p w:rsidR="0EA57D62" w:rsidRPr="00A76C07" w:rsidRDefault="0EA57D62">
            <w:pPr>
              <w:jc w:val="left"/>
              <w:rPr>
                <w:b/>
                <w:bCs/>
                <w:noProof/>
                <w:sz w:val="22"/>
                <w:szCs w:val="22"/>
              </w:rPr>
            </w:pPr>
            <w:r w:rsidRPr="00A76C07">
              <w:rPr>
                <w:b/>
                <w:noProof/>
                <w:sz w:val="22"/>
              </w:rPr>
              <w:t>Naštejte takšne ukrepe.</w:t>
            </w:r>
          </w:p>
        </w:tc>
        <w:tc>
          <w:tcPr>
            <w:tcW w:w="2911"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jc w:val="left"/>
              <w:rPr>
                <w:i/>
                <w:iCs/>
                <w:noProof/>
                <w:sz w:val="22"/>
                <w:szCs w:val="22"/>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tabs>
                <w:tab w:val="left" w:pos="5678"/>
              </w:tabs>
              <w:spacing w:before="0"/>
              <w:jc w:val="left"/>
              <w:rPr>
                <w:noProof/>
                <w:sz w:val="22"/>
                <w:szCs w:val="22"/>
              </w:rPr>
            </w:pPr>
            <w:r w:rsidRPr="00A76C07">
              <w:rPr>
                <w:noProof/>
                <w:sz w:val="22"/>
              </w:rPr>
              <w:t>Pri izvedbenih ukrepih bo treba poleg obstoječih smernic mednarodnih sporazumov upoštevati usklajevanje podatkov, ki jih upravljajo nacionalni organi in organi, določeni v skladu z medinstitucionalnimi dogovori.</w:t>
            </w:r>
          </w:p>
        </w:tc>
      </w:tr>
      <w:tr w:rsidR="0EA57D62" w:rsidRPr="00A76C07" w:rsidTr="0EA57D62">
        <w:trPr>
          <w:trHeight w:val="300"/>
        </w:trPr>
        <w:tc>
          <w:tcPr>
            <w:tcW w:w="2464"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pPr>
              <w:jc w:val="left"/>
              <w:rPr>
                <w:b/>
                <w:bCs/>
                <w:noProof/>
                <w:sz w:val="22"/>
                <w:szCs w:val="22"/>
              </w:rPr>
            </w:pPr>
            <w:r w:rsidRPr="00A76C07">
              <w:rPr>
                <w:b/>
                <w:noProof/>
                <w:sz w:val="22"/>
              </w:rPr>
              <w:t>Ocenite uporabo skupno dogovorjenih odprtih tehničnih specifikacij in standardov.</w:t>
            </w:r>
          </w:p>
          <w:p w:rsidR="0EA57D62" w:rsidRPr="00A76C07" w:rsidRDefault="0EA57D62">
            <w:pPr>
              <w:jc w:val="left"/>
              <w:rPr>
                <w:b/>
                <w:bCs/>
                <w:noProof/>
                <w:sz w:val="22"/>
                <w:szCs w:val="22"/>
              </w:rPr>
            </w:pPr>
            <w:r w:rsidRPr="00A76C07">
              <w:rPr>
                <w:b/>
                <w:noProof/>
                <w:sz w:val="22"/>
              </w:rPr>
              <w:t>Naštejte takšne ukrepe.</w:t>
            </w:r>
          </w:p>
        </w:tc>
        <w:tc>
          <w:tcPr>
            <w:tcW w:w="2911"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spacing w:before="0"/>
              <w:jc w:val="left"/>
              <w:rPr>
                <w:i/>
                <w:iCs/>
                <w:noProof/>
                <w:sz w:val="22"/>
                <w:szCs w:val="22"/>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rsidR="0EA57D62" w:rsidRPr="00A76C07" w:rsidRDefault="0EA57D62" w:rsidP="007359A9">
            <w:pPr>
              <w:tabs>
                <w:tab w:val="left" w:pos="5678"/>
              </w:tabs>
              <w:spacing w:before="0"/>
              <w:jc w:val="left"/>
              <w:rPr>
                <w:noProof/>
                <w:sz w:val="22"/>
                <w:szCs w:val="22"/>
              </w:rPr>
            </w:pPr>
            <w:r w:rsidRPr="00A76C07">
              <w:rPr>
                <w:noProof/>
                <w:sz w:val="22"/>
              </w:rPr>
              <w:t>Pri izvedbenih ukrepih bo treba upoštevati tehnično interoperabilnost sistemov, ki jih upravljajo nacionalni organi in organi, določeni v skladu z medinstitucionalnimi dogovori.</w:t>
            </w:r>
          </w:p>
          <w:p w:rsidR="0EA57D62" w:rsidRPr="00A76C07" w:rsidRDefault="0EA57D62" w:rsidP="007359A9">
            <w:pPr>
              <w:tabs>
                <w:tab w:val="left" w:pos="5678"/>
              </w:tabs>
              <w:spacing w:before="0"/>
              <w:jc w:val="left"/>
              <w:rPr>
                <w:i/>
                <w:iCs/>
                <w:noProof/>
                <w:sz w:val="22"/>
                <w:szCs w:val="22"/>
              </w:rPr>
            </w:pPr>
          </w:p>
        </w:tc>
      </w:tr>
    </w:tbl>
    <w:p w:rsidR="0EA57D62" w:rsidRPr="00A76C07" w:rsidRDefault="0EA57D62" w:rsidP="00430805">
      <w:pPr>
        <w:pStyle w:val="Text1"/>
        <w:rPr>
          <w:noProof/>
        </w:rPr>
      </w:pPr>
    </w:p>
    <w:p w:rsidR="005E08AC" w:rsidRPr="00A76C07" w:rsidRDefault="005E08AC" w:rsidP="005E08AC">
      <w:pPr>
        <w:pStyle w:val="ManualHeading2"/>
        <w:rPr>
          <w:noProof/>
        </w:rPr>
      </w:pPr>
      <w:bookmarkStart w:id="208" w:name="_Toc167220306"/>
      <w:bookmarkStart w:id="209" w:name="_Toc199239297"/>
      <w:r w:rsidRPr="00A76C07">
        <w:rPr>
          <w:noProof/>
        </w:rPr>
        <w:t>4.5</w:t>
      </w:r>
      <w:r w:rsidRPr="00A76C07">
        <w:rPr>
          <w:noProof/>
        </w:rPr>
        <w:tab/>
        <w:t>Ukrepi v podporo digitalnemu izvajanju</w:t>
      </w:r>
      <w:bookmarkEnd w:id="208"/>
      <w:bookmarkEnd w:id="209"/>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9F647E" w:rsidRPr="00A76C07">
        <w:tc>
          <w:tcPr>
            <w:tcW w:w="9067" w:type="dxa"/>
          </w:tcPr>
          <w:p w:rsidR="005E08AC" w:rsidRPr="00A76C07" w:rsidRDefault="003D2552">
            <w:pPr>
              <w:rPr>
                <w:noProof/>
              </w:rPr>
            </w:pPr>
            <w:r w:rsidRPr="00A76C07">
              <w:rPr>
                <w:noProof/>
              </w:rPr>
              <w:t>Ker digitalni vidiki predlagane direktive temeljijo na obstoječi informacijski platformi ali informacijski platformi, ki je v pripravi, niso predvideni nobeni ukrepi, razen ozaveščanja o možnosti uporabe teh informacijskih platform.</w:t>
            </w:r>
          </w:p>
        </w:tc>
      </w:tr>
      <w:bookmarkEnd w:id="199"/>
    </w:tbl>
    <w:p w:rsidR="005E08AC" w:rsidRPr="00A76C07" w:rsidRDefault="005E08AC" w:rsidP="005E08AC">
      <w:pPr>
        <w:rPr>
          <w:noProof/>
        </w:rPr>
      </w:pPr>
    </w:p>
    <w:sectPr w:rsidR="005E08AC" w:rsidRPr="00A76C07" w:rsidSect="00746C9A">
      <w:headerReference w:type="default" r:id="rId18"/>
      <w:footerReference w:type="default" r:id="rId1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08" w:rsidRDefault="00BF5D08" w:rsidP="002F79F5">
      <w:pPr>
        <w:spacing w:before="0" w:after="0"/>
      </w:pPr>
      <w:r>
        <w:separator/>
      </w:r>
    </w:p>
  </w:endnote>
  <w:endnote w:type="continuationSeparator" w:id="0">
    <w:p w:rsidR="00BF5D08" w:rsidRDefault="00BF5D08" w:rsidP="002F79F5">
      <w:pPr>
        <w:spacing w:before="0" w:after="0"/>
      </w:pPr>
      <w:r>
        <w:continuationSeparator/>
      </w:r>
    </w:p>
  </w:endnote>
  <w:endnote w:type="continuationNotice" w:id="1">
    <w:p w:rsidR="00BF5D08" w:rsidRDefault="00BF5D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Footer"/>
      <w:rPr>
        <w:rFonts w:ascii="Arial" w:hAnsi="Arial" w:cs="Arial"/>
        <w:b/>
        <w:sz w:val="48"/>
      </w:rPr>
    </w:pPr>
    <w:r w:rsidRPr="00746C9A">
      <w:rPr>
        <w:rFonts w:ascii="Arial" w:hAnsi="Arial" w:cs="Arial"/>
        <w:b/>
        <w:sz w:val="48"/>
      </w:rPr>
      <w:t>SL</w:t>
    </w:r>
    <w:r w:rsidRPr="00746C9A">
      <w:rPr>
        <w:rFonts w:ascii="Arial" w:hAnsi="Arial" w:cs="Arial"/>
        <w:b/>
        <w:sz w:val="48"/>
      </w:rPr>
      <w:tab/>
    </w:r>
    <w:r w:rsidRPr="00746C9A">
      <w:rPr>
        <w:rFonts w:ascii="Arial" w:hAnsi="Arial" w:cs="Arial"/>
        <w:b/>
        <w:sz w:val="48"/>
      </w:rPr>
      <w:tab/>
    </w:r>
    <w:r w:rsidRPr="00746C9A">
      <w:tab/>
    </w:r>
    <w:r w:rsidRPr="00746C9A">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Footer"/>
      <w:rPr>
        <w:rFonts w:ascii="Arial" w:hAnsi="Arial" w:cs="Arial"/>
        <w:b/>
        <w:sz w:val="48"/>
      </w:rPr>
    </w:pPr>
    <w:r w:rsidRPr="00746C9A">
      <w:rPr>
        <w:rFonts w:ascii="Arial" w:hAnsi="Arial" w:cs="Arial"/>
        <w:b/>
        <w:sz w:val="48"/>
      </w:rPr>
      <w:t>SL</w:t>
    </w:r>
    <w:r w:rsidRPr="00746C9A">
      <w:rPr>
        <w:rFonts w:ascii="Arial" w:hAnsi="Arial" w:cs="Arial"/>
        <w:b/>
        <w:sz w:val="48"/>
      </w:rPr>
      <w:tab/>
    </w:r>
    <w:r w:rsidRPr="00746C9A">
      <w:rPr>
        <w:rFonts w:ascii="Arial" w:hAnsi="Arial" w:cs="Arial"/>
        <w:b/>
        <w:sz w:val="48"/>
      </w:rPr>
      <w:tab/>
    </w:r>
    <w:r w:rsidRPr="00746C9A">
      <w:tab/>
    </w:r>
    <w:r w:rsidRPr="00746C9A">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Default="00746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Footer"/>
      <w:rPr>
        <w:rFonts w:ascii="Arial" w:hAnsi="Arial" w:cs="Arial"/>
        <w:b/>
        <w:sz w:val="48"/>
      </w:rPr>
    </w:pPr>
    <w:r w:rsidRPr="00746C9A">
      <w:rPr>
        <w:rFonts w:ascii="Arial" w:hAnsi="Arial" w:cs="Arial"/>
        <w:b/>
        <w:sz w:val="48"/>
      </w:rPr>
      <w:t>SL</w:t>
    </w:r>
    <w:r w:rsidRPr="00746C9A">
      <w:rPr>
        <w:rFonts w:ascii="Arial" w:hAnsi="Arial" w:cs="Arial"/>
        <w:b/>
        <w:sz w:val="48"/>
      </w:rPr>
      <w:tab/>
    </w:r>
    <w:r>
      <w:fldChar w:fldCharType="begin"/>
    </w:r>
    <w:r>
      <w:instrText xml:space="preserve"> PAGE  \* MERGEFORMAT </w:instrText>
    </w:r>
    <w:r>
      <w:fldChar w:fldCharType="separate"/>
    </w:r>
    <w:r w:rsidR="00253DE3">
      <w:rPr>
        <w:noProof/>
      </w:rPr>
      <w:t>29</w:t>
    </w:r>
    <w:r>
      <w:fldChar w:fldCharType="end"/>
    </w:r>
    <w:r>
      <w:tab/>
    </w:r>
    <w:r w:rsidRPr="00746C9A">
      <w:tab/>
    </w:r>
    <w:r w:rsidRPr="00746C9A">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Default="00746C9A" w:rsidP="00746C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FooterLandscape"/>
      <w:rPr>
        <w:rFonts w:ascii="Arial" w:hAnsi="Arial" w:cs="Arial"/>
        <w:b/>
        <w:sz w:val="48"/>
      </w:rPr>
    </w:pPr>
    <w:r w:rsidRPr="00746C9A">
      <w:rPr>
        <w:rFonts w:ascii="Arial" w:hAnsi="Arial" w:cs="Arial"/>
        <w:b/>
        <w:sz w:val="48"/>
      </w:rPr>
      <w:t>SL</w:t>
    </w:r>
    <w:r w:rsidRPr="00746C9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46C9A">
      <w:tab/>
    </w:r>
    <w:r w:rsidRPr="00746C9A">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Footer"/>
      <w:rPr>
        <w:rFonts w:ascii="Arial" w:hAnsi="Arial" w:cs="Arial"/>
        <w:b/>
        <w:sz w:val="48"/>
      </w:rPr>
    </w:pPr>
    <w:r w:rsidRPr="00746C9A">
      <w:rPr>
        <w:rFonts w:ascii="Arial" w:hAnsi="Arial" w:cs="Arial"/>
        <w:b/>
        <w:sz w:val="48"/>
      </w:rPr>
      <w:t>SL</w:t>
    </w:r>
    <w:r w:rsidRPr="00746C9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46C9A">
      <w:tab/>
    </w:r>
    <w:r w:rsidRPr="00746C9A">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08" w:rsidRDefault="00BF5D08" w:rsidP="002F79F5">
      <w:pPr>
        <w:spacing w:before="0" w:after="0"/>
      </w:pPr>
      <w:r>
        <w:separator/>
      </w:r>
    </w:p>
  </w:footnote>
  <w:footnote w:type="continuationSeparator" w:id="0">
    <w:p w:rsidR="00BF5D08" w:rsidRDefault="00BF5D08" w:rsidP="002F79F5">
      <w:pPr>
        <w:spacing w:before="0" w:after="0"/>
      </w:pPr>
      <w:r>
        <w:continuationSeparator/>
      </w:r>
    </w:p>
  </w:footnote>
  <w:footnote w:type="continuationNotice" w:id="1">
    <w:p w:rsidR="00BF5D08" w:rsidRDefault="00BF5D08">
      <w:pPr>
        <w:spacing w:before="0" w:after="0"/>
      </w:pPr>
    </w:p>
  </w:footnote>
  <w:footnote w:id="2">
    <w:p w:rsidR="00DF7C9D" w:rsidRPr="006A07F3" w:rsidRDefault="00DF7C9D" w:rsidP="00284367">
      <w:pPr>
        <w:shd w:val="clear" w:color="auto" w:fill="FFFFFF" w:themeFill="background1"/>
        <w:spacing w:before="0" w:after="0"/>
        <w:rPr>
          <w:rFonts w:eastAsia="Times New Roman"/>
          <w:sz w:val="20"/>
          <w:szCs w:val="20"/>
        </w:rPr>
      </w:pPr>
      <w:r>
        <w:rPr>
          <w:rStyle w:val="FootnoteReference"/>
        </w:rPr>
        <w:footnoteRef/>
      </w:r>
      <w:r>
        <w:tab/>
      </w:r>
      <w:hyperlink r:id="rId1" w:history="1">
        <w:r>
          <w:rPr>
            <w:rStyle w:val="Hyperlink"/>
            <w:sz w:val="20"/>
          </w:rPr>
          <w:t>Sklep - EU - 2024/1830 - SL - EUR-Lex</w:t>
        </w:r>
      </w:hyperlink>
      <w:r>
        <w:rPr>
          <w:sz w:val="20"/>
        </w:rPr>
        <w:t xml:space="preserve"> </w:t>
      </w:r>
    </w:p>
  </w:footnote>
  <w:footnote w:id="3">
    <w:p w:rsidR="00722E6B" w:rsidRPr="006A07F3" w:rsidRDefault="00722E6B" w:rsidP="00284367">
      <w:pPr>
        <w:pStyle w:val="FootnoteText"/>
      </w:pPr>
      <w:r>
        <w:rPr>
          <w:rStyle w:val="FootnoteReference"/>
        </w:rPr>
        <w:footnoteRef/>
      </w:r>
      <w:r>
        <w:tab/>
        <w:t xml:space="preserve">Konvencija Združenih narodov o pomorskem mednarodnem pravu, sprejeta 10. decembra 1982, začela veljati 16. novembra 1994, 1833 UNTS 396: </w:t>
      </w:r>
      <w:hyperlink r:id="rId2" w:history="1">
        <w:r>
          <w:rPr>
            <w:rStyle w:val="Hyperlink"/>
          </w:rPr>
          <w:t>https://treaties.un.org/pages/ViewDetailsIII.aspx?src=TREATY&amp;mtdsg_no=XXI-6&amp;chapter=21&amp;Temp=mtdsg3&amp;clang=_en</w:t>
        </w:r>
      </w:hyperlink>
      <w:r>
        <w:t xml:space="preserve">. </w:t>
      </w:r>
    </w:p>
  </w:footnote>
  <w:footnote w:id="4">
    <w:p w:rsidR="00351C4E" w:rsidRDefault="00351C4E" w:rsidP="00351C4E">
      <w:pPr>
        <w:pStyle w:val="FootnoteText"/>
      </w:pPr>
      <w:r>
        <w:rPr>
          <w:rStyle w:val="FootnoteReference"/>
        </w:rPr>
        <w:footnoteRef/>
      </w:r>
      <w:r>
        <w:tab/>
      </w:r>
      <w:hyperlink r:id="rId3" w:history="1">
        <w:r>
          <w:rPr>
            <w:rStyle w:val="Hyperlink"/>
            <w:color w:val="23527C"/>
            <w:sz w:val="19"/>
          </w:rPr>
          <w:t>UL L 309, 13.12.1993, str. 3</w:t>
        </w:r>
      </w:hyperlink>
      <w:r>
        <w:rPr>
          <w:color w:val="333333"/>
          <w:sz w:val="19"/>
        </w:rPr>
        <w:t>.</w:t>
      </w:r>
    </w:p>
  </w:footnote>
  <w:footnote w:id="5">
    <w:p w:rsidR="6E0028DC" w:rsidRDefault="6E0028DC" w:rsidP="00284367">
      <w:pPr>
        <w:pStyle w:val="FootnoteText"/>
      </w:pPr>
      <w:r>
        <w:rPr>
          <w:rStyle w:val="FootnoteReference"/>
        </w:rPr>
        <w:footnoteRef/>
      </w:r>
      <w:r>
        <w:tab/>
        <w:t>Okvirna konvencija Združenih narodov o spremembi podnebja (UNFCCC) (v nadaljnjem besedilu: Pariški sporazum) je začela veljati 4. novembra 2016.</w:t>
      </w:r>
    </w:p>
  </w:footnote>
  <w:footnote w:id="6">
    <w:p w:rsidR="6E0028DC" w:rsidRDefault="6E0028DC" w:rsidP="00284367">
      <w:pPr>
        <w:pStyle w:val="FootnoteText"/>
      </w:pPr>
      <w:r>
        <w:rPr>
          <w:rStyle w:val="FootnoteReference"/>
        </w:rPr>
        <w:footnoteRef/>
      </w:r>
      <w:r>
        <w:tab/>
      </w:r>
      <w:r>
        <w:rPr>
          <w:color w:val="333333"/>
        </w:rPr>
        <w:t>Pariški sporazum, sprejet 12. decembra 2015 na podlagi Okvirne konvencije Združenih narodov o spremembi podnebja (UNFCCC) (v nadaljnjem besedilu: Pariški sporazum), je začel veljati 4. novembra 2016.</w:t>
      </w:r>
    </w:p>
  </w:footnote>
  <w:footnote w:id="7">
    <w:p w:rsidR="00DF7C9D" w:rsidRPr="00D928F8" w:rsidRDefault="00DF7C9D" w:rsidP="00DF7C9D">
      <w:pPr>
        <w:pStyle w:val="FootnoteText"/>
      </w:pPr>
      <w:r>
        <w:rPr>
          <w:rStyle w:val="FootnoteReference"/>
        </w:rPr>
        <w:footnoteRef/>
      </w:r>
      <w:r>
        <w:tab/>
      </w:r>
      <w:hyperlink r:id="rId4" w:history="1">
        <w:r>
          <w:rPr>
            <w:rStyle w:val="Hyperlink"/>
          </w:rPr>
          <w:t>Besedilo Konvencije |</w:t>
        </w:r>
      </w:hyperlink>
      <w:hyperlink r:id="rId5" w:history="1">
        <w:r>
          <w:rPr>
            <w:rStyle w:val="Hyperlink"/>
          </w:rPr>
          <w:t xml:space="preserve"> UN/ECE</w:t>
        </w:r>
      </w:hyperlink>
      <w:r>
        <w:t>.</w:t>
      </w:r>
    </w:p>
  </w:footnote>
  <w:footnote w:id="8">
    <w:p w:rsidR="00DF7C9D" w:rsidRPr="00D928F8" w:rsidRDefault="00DF7C9D" w:rsidP="00DF7C9D">
      <w:pPr>
        <w:pStyle w:val="FootnoteText"/>
      </w:pPr>
      <w:r>
        <w:rPr>
          <w:rStyle w:val="FootnoteReference"/>
        </w:rPr>
        <w:footnoteRef/>
      </w:r>
      <w:r>
        <w:tab/>
      </w:r>
      <w:hyperlink r:id="rId6" w:history="1">
        <w:r>
          <w:rPr>
            <w:rStyle w:val="Hyperlink"/>
          </w:rPr>
          <w:t>Besedilo Konvencije |</w:t>
        </w:r>
      </w:hyperlink>
      <w:hyperlink r:id="rId7" w:history="1">
        <w:r>
          <w:rPr>
            <w:rStyle w:val="Hyperlink"/>
          </w:rPr>
          <w:t xml:space="preserve"> UN/ECE</w:t>
        </w:r>
      </w:hyperlink>
      <w:r>
        <w:t>.</w:t>
      </w:r>
    </w:p>
  </w:footnote>
  <w:footnote w:id="9">
    <w:p w:rsidR="00DF7C9D" w:rsidRPr="009C678E" w:rsidRDefault="00DF7C9D" w:rsidP="00DF7C9D">
      <w:pPr>
        <w:pStyle w:val="FootnoteText"/>
      </w:pPr>
      <w:r>
        <w:rPr>
          <w:rStyle w:val="FootnoteReference"/>
        </w:rPr>
        <w:footnoteRef/>
      </w:r>
      <w:r>
        <w:tab/>
      </w:r>
      <w:hyperlink r:id="rId8" w:history="1">
        <w:r>
          <w:rPr>
            <w:rStyle w:val="Hyperlink"/>
          </w:rPr>
          <w:t>https://eur-lex.europa.eu/legal-content/SL/TXT/?uri=OJ%3AL_202401833</w:t>
        </w:r>
      </w:hyperlink>
      <w:r>
        <w:t xml:space="preserve">. </w:t>
      </w:r>
    </w:p>
  </w:footnote>
  <w:footnote w:id="10">
    <w:p w:rsidR="005D6F3E" w:rsidRPr="00A76C07" w:rsidRDefault="005D6F3E" w:rsidP="005D6F3E">
      <w:pPr>
        <w:pStyle w:val="FootnoteText"/>
        <w:rPr>
          <w:lang w:val="it-IT"/>
        </w:rPr>
      </w:pPr>
      <w:r>
        <w:rPr>
          <w:rStyle w:val="FootnoteReference"/>
        </w:rPr>
        <w:footnoteRef/>
      </w:r>
      <w:r w:rsidRPr="00A76C07">
        <w:rPr>
          <w:lang w:val="it-IT"/>
        </w:rPr>
        <w:tab/>
      </w:r>
      <w:hyperlink r:id="rId9" w:history="1">
        <w:r w:rsidRPr="00A76C07">
          <w:rPr>
            <w:rStyle w:val="Hyperlink"/>
            <w:lang w:val="it-IT"/>
          </w:rPr>
          <w:t>Direktiva - 2011/92 - SL - EIA - EUR-Lex</w:t>
        </w:r>
      </w:hyperlink>
      <w:r w:rsidRPr="00A76C07">
        <w:rPr>
          <w:lang w:val="it-IT"/>
        </w:rPr>
        <w:t>.</w:t>
      </w:r>
    </w:p>
  </w:footnote>
  <w:footnote w:id="11">
    <w:p w:rsidR="002F79F5" w:rsidRPr="00A76C07" w:rsidRDefault="002F79F5" w:rsidP="00E662C9">
      <w:pPr>
        <w:pStyle w:val="FootnoteText"/>
        <w:rPr>
          <w:lang w:val="it-IT"/>
        </w:rPr>
      </w:pPr>
      <w:r>
        <w:rPr>
          <w:rStyle w:val="FootnoteReference"/>
        </w:rPr>
        <w:footnoteRef/>
      </w:r>
      <w:r w:rsidRPr="00A76C07">
        <w:rPr>
          <w:lang w:val="it-IT"/>
        </w:rPr>
        <w:tab/>
        <w:t>UL C, , str. .</w:t>
      </w:r>
    </w:p>
  </w:footnote>
  <w:footnote w:id="12">
    <w:p w:rsidR="002F79F5" w:rsidRPr="00A76C07" w:rsidRDefault="002F79F5" w:rsidP="00E662C9">
      <w:pPr>
        <w:pStyle w:val="FootnoteText"/>
        <w:rPr>
          <w:lang w:val="it-IT"/>
        </w:rPr>
      </w:pPr>
      <w:r>
        <w:rPr>
          <w:rStyle w:val="FootnoteReference"/>
        </w:rPr>
        <w:footnoteRef/>
      </w:r>
      <w:r w:rsidRPr="00A76C07">
        <w:rPr>
          <w:lang w:val="it-IT"/>
        </w:rPr>
        <w:tab/>
        <w:t>UL C, , str. .</w:t>
      </w:r>
    </w:p>
  </w:footnote>
  <w:footnote w:id="13">
    <w:p w:rsidR="00920C50" w:rsidRPr="00A76C07" w:rsidRDefault="00920C50" w:rsidP="00920C50">
      <w:pPr>
        <w:pStyle w:val="FootnoteText"/>
        <w:rPr>
          <w:lang w:val="it-IT"/>
        </w:rPr>
      </w:pPr>
      <w:r>
        <w:rPr>
          <w:rStyle w:val="FootnoteReference"/>
        </w:rPr>
        <w:footnoteRef/>
      </w:r>
      <w:r w:rsidRPr="00A76C07">
        <w:rPr>
          <w:lang w:val="it-IT"/>
        </w:rPr>
        <w:tab/>
        <w:t xml:space="preserve">Sporazum na podlagi Konvencije Združenih narodov o pomorskem mednarodnem pravu glede ohranjanja in trajnostne rabe morske biotske raznovrstnosti na območjih zunaj nacionalne jurisdikcije, sprejet 19. junija 2023: </w:t>
      </w:r>
      <w:hyperlink r:id="rId10">
        <w:r w:rsidRPr="00A76C07">
          <w:rPr>
            <w:rStyle w:val="Hyperlink"/>
            <w:lang w:val="it-IT"/>
          </w:rPr>
          <w:t>https://treaties.un.org/Pages/ViewDetails.aspx?src=TREATY&amp;mtdsg_no=XXI-10&amp;chapter=21&amp;clang=_en</w:t>
        </w:r>
      </w:hyperlink>
      <w:r w:rsidRPr="00A76C07">
        <w:rPr>
          <w:lang w:val="it-IT"/>
        </w:rPr>
        <w:t xml:space="preserve">. </w:t>
      </w:r>
    </w:p>
  </w:footnote>
  <w:footnote w:id="14">
    <w:p w:rsidR="68A49E18" w:rsidRPr="00587EE8" w:rsidRDefault="68A49E18" w:rsidP="68A49E18">
      <w:pPr>
        <w:pStyle w:val="FootnoteText"/>
        <w:rPr>
          <w:rStyle w:val="FootnoteTextChar"/>
          <w:lang w:val="it-IT"/>
        </w:rPr>
      </w:pPr>
      <w:r>
        <w:rPr>
          <w:rStyle w:val="FootnoteReference"/>
        </w:rPr>
        <w:footnoteRef/>
      </w:r>
      <w:r w:rsidRPr="00A76C07">
        <w:rPr>
          <w:lang w:val="it-IT"/>
        </w:rPr>
        <w:tab/>
      </w:r>
      <w:r w:rsidRPr="00587EE8">
        <w:rPr>
          <w:rStyle w:val="FootnoteTextChar"/>
          <w:lang w:val="it-IT"/>
        </w:rPr>
        <w:t>Sklep Sveta (EU) 2024/1830 z dne 17. junija 2024 o sklenitvi, v imenu Evropske unije, Sporazuma na podlagi Konvencije Združenih narodov o pomorskem mednarodnem pravu glede ohranjanja in trajnostne rabe morske biotske raznovrstnosti na območjih zunaj nacionalne jurisdikcije, UL L 2024/1830, 19.7.2024.</w:t>
      </w:r>
    </w:p>
  </w:footnote>
  <w:footnote w:id="15">
    <w:p w:rsidR="00EB52CF" w:rsidRPr="00A76C07" w:rsidRDefault="00EB52CF" w:rsidP="0066359B">
      <w:pPr>
        <w:pStyle w:val="FootnoteText"/>
      </w:pPr>
      <w:r>
        <w:rPr>
          <w:rStyle w:val="FootnoteReference"/>
        </w:rPr>
        <w:footnoteRef/>
      </w:r>
      <w:r w:rsidRPr="00A76C07">
        <w:tab/>
        <w:t xml:space="preserve">Sklep Sveta 93/626/EGS z dne 25. oktobra 1993 o sklenitvi Konvencije o biološki raznovrstnosti, </w:t>
      </w:r>
      <w:hyperlink r:id="rId11" w:history="1">
        <w:r w:rsidRPr="00A76C07">
          <w:rPr>
            <w:rStyle w:val="Hyperlink"/>
          </w:rPr>
          <w:t>UL L 309, 13.12.1993, str. 1</w:t>
        </w:r>
      </w:hyperlink>
      <w:r w:rsidRPr="00A76C07">
        <w:t>.</w:t>
      </w:r>
    </w:p>
  </w:footnote>
  <w:footnote w:id="16">
    <w:p w:rsidR="00EB52CF" w:rsidRPr="00A76C07" w:rsidRDefault="00EB52CF" w:rsidP="00EB52CF">
      <w:pPr>
        <w:pStyle w:val="FootnoteText"/>
      </w:pPr>
      <w:r>
        <w:rPr>
          <w:rStyle w:val="FootnoteReference"/>
        </w:rPr>
        <w:footnoteRef/>
      </w:r>
      <w:r w:rsidRPr="00A76C07">
        <w:tab/>
        <w:t>Sklep Sveta 2014/283/EU z dne 14. aprila 2014 o sklenitvi Nagojskega protokola o dostopu do genskih virov ter pošteni in pravični delitvi koristi, ki izhajajo iz njihove uporabe, h Konvenciji o biološki raznovrstnosti, v imenu Unije.</w:t>
      </w:r>
    </w:p>
  </w:footnote>
  <w:footnote w:id="17">
    <w:p w:rsidR="00EB52CF" w:rsidRPr="00A76C07" w:rsidRDefault="00EB52CF" w:rsidP="00EB52CF">
      <w:pPr>
        <w:pStyle w:val="FootnoteText"/>
      </w:pPr>
      <w:r>
        <w:rPr>
          <w:rStyle w:val="FootnoteReference"/>
        </w:rPr>
        <w:footnoteRef/>
      </w:r>
      <w:r w:rsidRPr="00A76C07">
        <w:tab/>
        <w:t>Direktiva (EU) 2019/1024 Evropskega parlamenta in Sveta z dne 20. junija 2019 o odprtih podatkih in ponovni uporabi informacij javnega sektorja (prenovitev), UL L 172, 26.6.2019, str. 56.</w:t>
      </w:r>
    </w:p>
  </w:footnote>
  <w:footnote w:id="18">
    <w:p w:rsidR="00EB52CF" w:rsidRPr="00A76C07" w:rsidRDefault="00EB52CF" w:rsidP="00EB52CF">
      <w:pPr>
        <w:pStyle w:val="FootnoteText"/>
        <w:rPr>
          <w:rFonts w:eastAsia="Times New Roman"/>
        </w:rPr>
      </w:pPr>
      <w:r>
        <w:rPr>
          <w:rStyle w:val="FootnoteReference"/>
        </w:rPr>
        <w:footnoteRef/>
      </w:r>
      <w:r w:rsidRPr="00A76C07">
        <w:tab/>
      </w:r>
      <w:r w:rsidRPr="00A76C07">
        <w:rPr>
          <w:color w:val="333333"/>
        </w:rPr>
        <w:t>UL L 26, 28.1.2012, str. 1</w:t>
      </w:r>
      <w:r w:rsidRPr="00A76C07">
        <w:t>.</w:t>
      </w:r>
    </w:p>
  </w:footnote>
  <w:footnote w:id="19">
    <w:p w:rsidR="42AA313F" w:rsidRPr="00A76C07" w:rsidRDefault="42AA313F" w:rsidP="005C33A0">
      <w:pPr>
        <w:pStyle w:val="FootnoteText"/>
        <w:rPr>
          <w:rFonts w:eastAsia="Times New Roman"/>
        </w:rPr>
      </w:pPr>
      <w:r>
        <w:rPr>
          <w:rStyle w:val="FootnoteReference"/>
        </w:rPr>
        <w:footnoteRef/>
      </w:r>
      <w:r w:rsidRPr="00A76C07">
        <w:tab/>
        <w:t xml:space="preserve">Kot so </w:t>
      </w:r>
      <w:r w:rsidRPr="00A76C07">
        <w:rPr>
          <w:color w:val="333333"/>
        </w:rPr>
        <w:t>Direktiva (EU) 2023/2413 Evropskega parlamenta in Sveta z dne 18. oktobra 2023 o spremembi Direktive (EU) 2018/2001, Uredbe (EU) 2018/1999 in Direktive 98/70/ES glede spodbujanja energije iz obnovljivih virov ter razveljavitvi Direktive Sveta (EU) 2015/652, Uredba (EU) 2024/1252 Evropskega parlamenta in Sveta z dne 11. aprila 2024 o vzpostavitvi okvira za zagotavljanje zanesljive in trajnostne oskrbe s kritičnimi surovinami ter spremembi uredb (EU) št. 168/2013, (EU) 2018/858, (EU) 2018/1724 in (EU) 2019/1020, Uredba (EU) 2024/1735 Evropskega parlamenta in Sveta z dne 13. junija 2024 o vzpostavitvi okvira ukrepov za krepitev evropskega ekosistema proizvodnje neto ničelnih tehnologij in spremembi Uredbe (EU) 2018/1724</w:t>
      </w:r>
      <w:r w:rsidRPr="00A76C07">
        <w:t>.</w:t>
      </w:r>
    </w:p>
  </w:footnote>
  <w:footnote w:id="20">
    <w:p w:rsidR="00EB52CF" w:rsidRPr="00A76C07" w:rsidRDefault="00EB52CF" w:rsidP="00EB52CF">
      <w:pPr>
        <w:pStyle w:val="FootnoteText"/>
        <w:rPr>
          <w:rFonts w:eastAsia="Times New Roman"/>
        </w:rPr>
      </w:pPr>
      <w:r>
        <w:rPr>
          <w:rStyle w:val="FootnoteReference"/>
        </w:rPr>
        <w:footnoteRef/>
      </w:r>
      <w:r w:rsidRPr="00A76C07">
        <w:tab/>
      </w:r>
      <w:r w:rsidRPr="00A76C07">
        <w:rPr>
          <w:color w:val="333333"/>
        </w:rPr>
        <w:t>UL L 197, 21.7.2001, str. 30</w:t>
      </w:r>
      <w:r w:rsidRPr="00A76C07">
        <w:t>.</w:t>
      </w:r>
    </w:p>
  </w:footnote>
  <w:footnote w:id="21">
    <w:p w:rsidR="00B356CF" w:rsidRPr="00A76C07" w:rsidRDefault="00B356CF">
      <w:pPr>
        <w:pStyle w:val="FootnoteText"/>
      </w:pPr>
      <w:r>
        <w:rPr>
          <w:rStyle w:val="FootnoteReference"/>
        </w:rPr>
        <w:footnoteRef/>
      </w:r>
      <w:r w:rsidRPr="00A76C07">
        <w:tab/>
      </w:r>
      <w:r w:rsidRPr="00A76C07">
        <w:rPr>
          <w:color w:val="333333"/>
        </w:rPr>
        <w:t>UL L 369, 17.12.2011, str. 14</w:t>
      </w:r>
      <w:r w:rsidRPr="00A76C07">
        <w:t>.</w:t>
      </w:r>
    </w:p>
  </w:footnote>
  <w:footnote w:id="22">
    <w:p w:rsidR="00B356CF" w:rsidRPr="00A76C07" w:rsidRDefault="00B356CF">
      <w:pPr>
        <w:pStyle w:val="FootnoteText"/>
      </w:pPr>
      <w:r>
        <w:rPr>
          <w:rStyle w:val="FootnoteReference"/>
        </w:rPr>
        <w:footnoteRef/>
      </w:r>
      <w:r w:rsidRPr="00A76C07">
        <w:tab/>
        <w:t>Sodba Sodišča z dne 8. julija 2019 v zadevi Komisija/Belgija, C-543/17, ECLI:EU:C:2019:573.</w:t>
      </w:r>
    </w:p>
  </w:footnote>
  <w:footnote w:id="23">
    <w:p w:rsidR="005E08AC" w:rsidRPr="00A76C07" w:rsidRDefault="005E08AC" w:rsidP="005E08AC">
      <w:pPr>
        <w:pStyle w:val="FootnoteText"/>
        <w:rPr>
          <w:lang w:val="it-IT"/>
        </w:rPr>
      </w:pPr>
      <w:r>
        <w:rPr>
          <w:rStyle w:val="FootnoteReference"/>
        </w:rPr>
        <w:footnoteRef/>
      </w:r>
      <w:r w:rsidRPr="00A76C07">
        <w:rPr>
          <w:lang w:val="it-IT"/>
        </w:rPr>
        <w:tab/>
        <w:t>Po členu 58(2), točka (a) oz. (b), finančne uredbe.</w:t>
      </w:r>
    </w:p>
  </w:footnote>
  <w:footnote w:id="24">
    <w:p w:rsidR="005E08AC" w:rsidRPr="00A76C07" w:rsidRDefault="005E08AC" w:rsidP="005E08AC">
      <w:pPr>
        <w:pStyle w:val="FootnoteText"/>
        <w:jc w:val="left"/>
        <w:rPr>
          <w:szCs w:val="24"/>
          <w:lang w:val="it-IT"/>
        </w:rPr>
      </w:pPr>
      <w:r>
        <w:rPr>
          <w:rStyle w:val="FootnoteReference"/>
        </w:rPr>
        <w:footnoteRef/>
      </w:r>
      <w:r w:rsidRPr="00A76C07">
        <w:rPr>
          <w:lang w:val="it-IT"/>
        </w:rPr>
        <w:tab/>
        <w:t xml:space="preserve">Pojasnila o načinih izvrševanja proračuna in sklici na finančno uredbo so na voljo na spletišču BUDGpedia: </w:t>
      </w:r>
      <w:hyperlink r:id="rId12" w:history="1">
        <w:r w:rsidRPr="00A76C07">
          <w:rPr>
            <w:rStyle w:val="Hyperlink"/>
            <w:lang w:val="it-IT"/>
          </w:rPr>
          <w:t>https://myintracomm.ec.europa.eu/corp/budget/financial-rules/budget-implementation/Pages/implementation-methods.aspx</w:t>
        </w:r>
      </w:hyperlink>
      <w:r w:rsidRPr="00A76C07">
        <w:rPr>
          <w:lang w:val="it-IT"/>
        </w:rPr>
        <w:t>.</w:t>
      </w:r>
    </w:p>
  </w:footnote>
  <w:footnote w:id="25">
    <w:p w:rsidR="005E08AC" w:rsidRPr="00A76C07" w:rsidRDefault="005E08AC" w:rsidP="005E08AC">
      <w:pPr>
        <w:pStyle w:val="FootnoteText"/>
        <w:rPr>
          <w:szCs w:val="24"/>
          <w:lang w:val="it-IT"/>
        </w:rPr>
      </w:pPr>
      <w:r>
        <w:rPr>
          <w:rStyle w:val="FootnoteReference"/>
        </w:rPr>
        <w:footnoteRef/>
      </w:r>
      <w:r w:rsidRPr="00A76C07">
        <w:rPr>
          <w:lang w:val="it-IT"/>
        </w:rPr>
        <w:tab/>
        <w:t>Dif. = diferencirana sredstva / nedif. = nediferencirana sredstva.</w:t>
      </w:r>
    </w:p>
  </w:footnote>
  <w:footnote w:id="26">
    <w:p w:rsidR="005E08AC" w:rsidRPr="00A76C07" w:rsidRDefault="005E08AC" w:rsidP="005E08AC">
      <w:pPr>
        <w:pStyle w:val="FootnoteText"/>
        <w:rPr>
          <w:szCs w:val="24"/>
          <w:lang w:val="it-IT"/>
        </w:rPr>
      </w:pPr>
      <w:r>
        <w:rPr>
          <w:rStyle w:val="FootnoteReference"/>
        </w:rPr>
        <w:footnoteRef/>
      </w:r>
      <w:r w:rsidRPr="00A76C07">
        <w:rPr>
          <w:lang w:val="it-IT"/>
        </w:rPr>
        <w:tab/>
        <w:t xml:space="preserve">Efta: Evropsko združenje za prosto trgovino. </w:t>
      </w:r>
    </w:p>
  </w:footnote>
  <w:footnote w:id="27">
    <w:p w:rsidR="005E08AC" w:rsidRPr="00A76C07" w:rsidRDefault="005E08AC" w:rsidP="005E08AC">
      <w:pPr>
        <w:pStyle w:val="FootnoteText"/>
        <w:rPr>
          <w:szCs w:val="24"/>
          <w:lang w:val="it-IT"/>
        </w:rPr>
      </w:pPr>
      <w:r>
        <w:rPr>
          <w:rStyle w:val="FootnoteReference"/>
        </w:rPr>
        <w:footnoteRef/>
      </w:r>
      <w:r w:rsidRPr="00A76C07">
        <w:rPr>
          <w:lang w:val="it-IT"/>
        </w:rPr>
        <w:tab/>
        <w:t>Države kandidatke in po potrebi potencialne kandidatke z Zahodnega Balkana.</w:t>
      </w:r>
    </w:p>
  </w:footnote>
  <w:footnote w:id="28">
    <w:p w:rsidR="005E08AC" w:rsidRPr="00A76C07" w:rsidRDefault="005E08AC" w:rsidP="005E08AC">
      <w:pPr>
        <w:pStyle w:val="FootnoteText"/>
        <w:rPr>
          <w:lang w:val="it-IT"/>
        </w:rPr>
      </w:pPr>
      <w:r>
        <w:rPr>
          <w:rStyle w:val="FootnoteReference"/>
        </w:rPr>
        <w:footnoteRef/>
      </w:r>
      <w:r w:rsidRPr="00A76C07">
        <w:rPr>
          <w:lang w:val="it-IT"/>
        </w:rPr>
        <w:tab/>
      </w:r>
      <w:r w:rsidRPr="00A76C07">
        <w:rPr>
          <w:sz w:val="18"/>
          <w:lang w:val="it-IT"/>
        </w:rPr>
        <w:t>Tehnična in/ali upravna pomoč ter odhodki za podporo izvajanja programov in/ali ukrepov EU (prej vrstice BA), posredne raziskave, neposredne raziskave.</w:t>
      </w:r>
    </w:p>
  </w:footnote>
  <w:footnote w:id="29">
    <w:p w:rsidR="005E08AC" w:rsidRPr="00A76C07" w:rsidRDefault="005E08AC" w:rsidP="005E08AC">
      <w:pPr>
        <w:pStyle w:val="FootnoteText"/>
        <w:rPr>
          <w:lang w:val="it-IT"/>
        </w:rPr>
      </w:pPr>
      <w:r>
        <w:rPr>
          <w:rStyle w:val="FootnoteReference"/>
        </w:rPr>
        <w:footnoteRef/>
      </w:r>
      <w:r w:rsidRPr="00A76C07">
        <w:rPr>
          <w:lang w:val="it-IT"/>
        </w:rPr>
        <w:tab/>
      </w:r>
      <w:r w:rsidRPr="00A76C07">
        <w:rPr>
          <w:color w:val="374151"/>
          <w:sz w:val="18"/>
          <w:lang w:val="it-IT"/>
        </w:rPr>
        <w:t>Potrebne odobritve je treba določiti na podlagi povprečnih letnih stroškov, ki so na voljo na ustrezni spletni strani BUDGpedie</w:t>
      </w:r>
      <w:r w:rsidRPr="00A76C07">
        <w:rPr>
          <w:color w:val="374151"/>
          <w:lang w:val="it-IT"/>
        </w:rPr>
        <w:t>.</w:t>
      </w:r>
    </w:p>
  </w:footnote>
  <w:footnote w:id="30">
    <w:p w:rsidR="00DF007B" w:rsidRPr="00A76C07" w:rsidRDefault="00DF007B" w:rsidP="00DF007B">
      <w:pPr>
        <w:pStyle w:val="FootnoteText"/>
        <w:rPr>
          <w:szCs w:val="24"/>
          <w:lang w:val="it-IT"/>
        </w:rPr>
      </w:pPr>
      <w:r>
        <w:rPr>
          <w:rStyle w:val="FootnoteReference"/>
        </w:rPr>
        <w:footnoteRef/>
      </w:r>
      <w:r w:rsidRPr="00A76C07">
        <w:rPr>
          <w:lang w:val="it-IT"/>
        </w:rPr>
        <w:tab/>
        <w:t>Realizacije so dobavljeni proizvodi in opravljene storitve (npr. število financiranih izmenjav študentov, število kilometrov novozgrajenih cest …).</w:t>
      </w:r>
    </w:p>
  </w:footnote>
  <w:footnote w:id="31">
    <w:p w:rsidR="00DF007B" w:rsidRPr="00A76C07" w:rsidRDefault="00DF007B" w:rsidP="00DF007B">
      <w:pPr>
        <w:pStyle w:val="FootnoteText"/>
        <w:rPr>
          <w:szCs w:val="24"/>
          <w:lang w:val="de-DE"/>
        </w:rPr>
      </w:pPr>
      <w:r>
        <w:rPr>
          <w:rStyle w:val="FootnoteReference"/>
        </w:rPr>
        <w:footnoteRef/>
      </w:r>
      <w:r w:rsidRPr="00A76C07">
        <w:rPr>
          <w:lang w:val="de-DE"/>
        </w:rPr>
        <w:tab/>
        <w:t xml:space="preserve">Kakor je opisan v oddelku 1.3.2. Specifični cilji. </w:t>
      </w:r>
    </w:p>
  </w:footnote>
  <w:footnote w:id="32">
    <w:p w:rsidR="005E08AC" w:rsidRPr="00A76C07" w:rsidRDefault="005E08AC" w:rsidP="005E08AC">
      <w:pPr>
        <w:pStyle w:val="FootnoteText"/>
        <w:rPr>
          <w:lang w:val="de-DE"/>
        </w:rPr>
      </w:pPr>
      <w:r>
        <w:rPr>
          <w:rStyle w:val="FootnoteReference"/>
        </w:rPr>
        <w:footnoteRef/>
      </w:r>
      <w:r w:rsidRPr="00A76C07">
        <w:rPr>
          <w:lang w:val="de-DE"/>
        </w:rPr>
        <w:tab/>
        <w:t>Pod tabelo navedite, koliko ekvivalentov polnega delovnega časa od navedenih je že dodeljenih za upravljanje ukrepa in/ali jih je mogoče prerazporediti znotraj vašega generalnega direktorata ter kakšne so vaše neto potrebe.</w:t>
      </w:r>
    </w:p>
  </w:footnote>
  <w:footnote w:id="33">
    <w:p w:rsidR="005E08AC" w:rsidRPr="00A76C07" w:rsidRDefault="005E08AC" w:rsidP="005E08AC">
      <w:pPr>
        <w:pStyle w:val="FootnoteText"/>
        <w:rPr>
          <w:szCs w:val="24"/>
          <w:lang w:val="de-DE"/>
        </w:rPr>
      </w:pPr>
      <w:r>
        <w:rPr>
          <w:rStyle w:val="FootnoteReference"/>
        </w:rPr>
        <w:footnoteRef/>
      </w:r>
      <w:r w:rsidRPr="00A76C07">
        <w:rPr>
          <w:lang w:val="de-DE"/>
        </w:rPr>
        <w:tab/>
        <w:t>Pri tradicionalnih lastnih sredstvih (carine, prelevmani na sladkor) se navedejo neto zneski, tj. bruto zneski po odbitku 20 % stroškov pobiranja.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Default="00746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Default="00746C9A" w:rsidP="00746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9A" w:rsidRPr="00746C9A" w:rsidRDefault="00746C9A" w:rsidP="00746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62A4F7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FF86C0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D24A6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D3A449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FFCD1E"/>
    <w:multiLevelType w:val="hybridMultilevel"/>
    <w:tmpl w:val="7654E9B4"/>
    <w:lvl w:ilvl="0" w:tplc="1B9690F4">
      <w:start w:val="1"/>
      <w:numFmt w:val="bullet"/>
      <w:lvlText w:val="·"/>
      <w:lvlJc w:val="left"/>
      <w:pPr>
        <w:ind w:left="720" w:hanging="360"/>
      </w:pPr>
      <w:rPr>
        <w:rFonts w:ascii="Symbol" w:hAnsi="Symbol" w:hint="default"/>
      </w:rPr>
    </w:lvl>
    <w:lvl w:ilvl="1" w:tplc="834EDE06">
      <w:start w:val="1"/>
      <w:numFmt w:val="bullet"/>
      <w:lvlText w:val="o"/>
      <w:lvlJc w:val="left"/>
      <w:pPr>
        <w:ind w:left="1440" w:hanging="360"/>
      </w:pPr>
      <w:rPr>
        <w:rFonts w:ascii="Courier New" w:hAnsi="Courier New" w:hint="default"/>
      </w:rPr>
    </w:lvl>
    <w:lvl w:ilvl="2" w:tplc="061CC4D4">
      <w:start w:val="1"/>
      <w:numFmt w:val="bullet"/>
      <w:lvlText w:val=""/>
      <w:lvlJc w:val="left"/>
      <w:pPr>
        <w:ind w:left="2160" w:hanging="360"/>
      </w:pPr>
      <w:rPr>
        <w:rFonts w:ascii="Wingdings" w:hAnsi="Wingdings" w:hint="default"/>
      </w:rPr>
    </w:lvl>
    <w:lvl w:ilvl="3" w:tplc="837CAF8A">
      <w:start w:val="1"/>
      <w:numFmt w:val="bullet"/>
      <w:lvlText w:val=""/>
      <w:lvlJc w:val="left"/>
      <w:pPr>
        <w:ind w:left="2880" w:hanging="360"/>
      </w:pPr>
      <w:rPr>
        <w:rFonts w:ascii="Symbol" w:hAnsi="Symbol" w:hint="default"/>
      </w:rPr>
    </w:lvl>
    <w:lvl w:ilvl="4" w:tplc="C8CE054C">
      <w:start w:val="1"/>
      <w:numFmt w:val="bullet"/>
      <w:lvlText w:val="o"/>
      <w:lvlJc w:val="left"/>
      <w:pPr>
        <w:ind w:left="3600" w:hanging="360"/>
      </w:pPr>
      <w:rPr>
        <w:rFonts w:ascii="Courier New" w:hAnsi="Courier New" w:hint="default"/>
      </w:rPr>
    </w:lvl>
    <w:lvl w:ilvl="5" w:tplc="AD4A9E8A">
      <w:start w:val="1"/>
      <w:numFmt w:val="bullet"/>
      <w:lvlText w:val=""/>
      <w:lvlJc w:val="left"/>
      <w:pPr>
        <w:ind w:left="4320" w:hanging="360"/>
      </w:pPr>
      <w:rPr>
        <w:rFonts w:ascii="Wingdings" w:hAnsi="Wingdings" w:hint="default"/>
      </w:rPr>
    </w:lvl>
    <w:lvl w:ilvl="6" w:tplc="8160C2F6">
      <w:start w:val="1"/>
      <w:numFmt w:val="bullet"/>
      <w:lvlText w:val=""/>
      <w:lvlJc w:val="left"/>
      <w:pPr>
        <w:ind w:left="5040" w:hanging="360"/>
      </w:pPr>
      <w:rPr>
        <w:rFonts w:ascii="Symbol" w:hAnsi="Symbol" w:hint="default"/>
      </w:rPr>
    </w:lvl>
    <w:lvl w:ilvl="7" w:tplc="D4E4C886">
      <w:start w:val="1"/>
      <w:numFmt w:val="bullet"/>
      <w:lvlText w:val="o"/>
      <w:lvlJc w:val="left"/>
      <w:pPr>
        <w:ind w:left="5760" w:hanging="360"/>
      </w:pPr>
      <w:rPr>
        <w:rFonts w:ascii="Courier New" w:hAnsi="Courier New" w:hint="default"/>
      </w:rPr>
    </w:lvl>
    <w:lvl w:ilvl="8" w:tplc="4EB4B032">
      <w:start w:val="1"/>
      <w:numFmt w:val="bullet"/>
      <w:lvlText w:val=""/>
      <w:lvlJc w:val="left"/>
      <w:pPr>
        <w:ind w:left="6480" w:hanging="360"/>
      </w:pPr>
      <w:rPr>
        <w:rFonts w:ascii="Wingdings" w:hAnsi="Wingdings"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5A9B685"/>
    <w:multiLevelType w:val="hybridMultilevel"/>
    <w:tmpl w:val="ED9AB290"/>
    <w:lvl w:ilvl="0" w:tplc="E9CCB398">
      <w:start w:val="1"/>
      <w:numFmt w:val="bullet"/>
      <w:lvlText w:val="·"/>
      <w:lvlJc w:val="left"/>
      <w:pPr>
        <w:ind w:left="720" w:hanging="360"/>
      </w:pPr>
      <w:rPr>
        <w:rFonts w:ascii="Symbol" w:hAnsi="Symbol" w:hint="default"/>
      </w:rPr>
    </w:lvl>
    <w:lvl w:ilvl="1" w:tplc="4D30B57E">
      <w:start w:val="1"/>
      <w:numFmt w:val="bullet"/>
      <w:lvlText w:val="o"/>
      <w:lvlJc w:val="left"/>
      <w:pPr>
        <w:ind w:left="1440" w:hanging="360"/>
      </w:pPr>
      <w:rPr>
        <w:rFonts w:ascii="Courier New" w:hAnsi="Courier New" w:hint="default"/>
      </w:rPr>
    </w:lvl>
    <w:lvl w:ilvl="2" w:tplc="1994B6F2">
      <w:start w:val="1"/>
      <w:numFmt w:val="bullet"/>
      <w:lvlText w:val=""/>
      <w:lvlJc w:val="left"/>
      <w:pPr>
        <w:ind w:left="2160" w:hanging="360"/>
      </w:pPr>
      <w:rPr>
        <w:rFonts w:ascii="Wingdings" w:hAnsi="Wingdings" w:hint="default"/>
      </w:rPr>
    </w:lvl>
    <w:lvl w:ilvl="3" w:tplc="D35291E6">
      <w:start w:val="1"/>
      <w:numFmt w:val="bullet"/>
      <w:lvlText w:val=""/>
      <w:lvlJc w:val="left"/>
      <w:pPr>
        <w:ind w:left="2880" w:hanging="360"/>
      </w:pPr>
      <w:rPr>
        <w:rFonts w:ascii="Symbol" w:hAnsi="Symbol" w:hint="default"/>
      </w:rPr>
    </w:lvl>
    <w:lvl w:ilvl="4" w:tplc="B4CED8FC">
      <w:start w:val="1"/>
      <w:numFmt w:val="bullet"/>
      <w:lvlText w:val="o"/>
      <w:lvlJc w:val="left"/>
      <w:pPr>
        <w:ind w:left="3600" w:hanging="360"/>
      </w:pPr>
      <w:rPr>
        <w:rFonts w:ascii="Courier New" w:hAnsi="Courier New" w:hint="default"/>
      </w:rPr>
    </w:lvl>
    <w:lvl w:ilvl="5" w:tplc="B9EE6064">
      <w:start w:val="1"/>
      <w:numFmt w:val="bullet"/>
      <w:lvlText w:val=""/>
      <w:lvlJc w:val="left"/>
      <w:pPr>
        <w:ind w:left="4320" w:hanging="360"/>
      </w:pPr>
      <w:rPr>
        <w:rFonts w:ascii="Wingdings" w:hAnsi="Wingdings" w:hint="default"/>
      </w:rPr>
    </w:lvl>
    <w:lvl w:ilvl="6" w:tplc="3A68349A">
      <w:start w:val="1"/>
      <w:numFmt w:val="bullet"/>
      <w:lvlText w:val=""/>
      <w:lvlJc w:val="left"/>
      <w:pPr>
        <w:ind w:left="5040" w:hanging="360"/>
      </w:pPr>
      <w:rPr>
        <w:rFonts w:ascii="Symbol" w:hAnsi="Symbol" w:hint="default"/>
      </w:rPr>
    </w:lvl>
    <w:lvl w:ilvl="7" w:tplc="4A5AEF2A">
      <w:start w:val="1"/>
      <w:numFmt w:val="bullet"/>
      <w:lvlText w:val="o"/>
      <w:lvlJc w:val="left"/>
      <w:pPr>
        <w:ind w:left="5760" w:hanging="360"/>
      </w:pPr>
      <w:rPr>
        <w:rFonts w:ascii="Courier New" w:hAnsi="Courier New" w:hint="default"/>
      </w:rPr>
    </w:lvl>
    <w:lvl w:ilvl="8" w:tplc="D4C416D8">
      <w:start w:val="1"/>
      <w:numFmt w:val="bullet"/>
      <w:lvlText w:val=""/>
      <w:lvlJc w:val="left"/>
      <w:pPr>
        <w:ind w:left="6480" w:hanging="360"/>
      </w:pPr>
      <w:rPr>
        <w:rFonts w:ascii="Wingdings" w:hAnsi="Wingdings" w:hint="default"/>
      </w:rPr>
    </w:lvl>
  </w:abstractNum>
  <w:abstractNum w:abstractNumId="17"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A2A0327"/>
    <w:multiLevelType w:val="hybridMultilevel"/>
    <w:tmpl w:val="A184C43C"/>
    <w:lvl w:ilvl="0" w:tplc="D884D0AC">
      <w:start w:val="1"/>
      <w:numFmt w:val="bullet"/>
      <w:lvlText w:val="-"/>
      <w:lvlJc w:val="left"/>
      <w:pPr>
        <w:ind w:left="720" w:hanging="360"/>
      </w:pPr>
      <w:rPr>
        <w:rFonts w:ascii="&quot;Calibri&quot;,sans-serif" w:hAnsi="&quot;Calibri&quot;,sans-serif" w:hint="default"/>
      </w:rPr>
    </w:lvl>
    <w:lvl w:ilvl="1" w:tplc="FDE02328">
      <w:start w:val="1"/>
      <w:numFmt w:val="bullet"/>
      <w:lvlText w:val="o"/>
      <w:lvlJc w:val="left"/>
      <w:pPr>
        <w:ind w:left="1440" w:hanging="360"/>
      </w:pPr>
      <w:rPr>
        <w:rFonts w:ascii="Courier New" w:hAnsi="Courier New" w:hint="default"/>
      </w:rPr>
    </w:lvl>
    <w:lvl w:ilvl="2" w:tplc="41EED6A4">
      <w:start w:val="1"/>
      <w:numFmt w:val="bullet"/>
      <w:lvlText w:val=""/>
      <w:lvlJc w:val="left"/>
      <w:pPr>
        <w:ind w:left="2160" w:hanging="360"/>
      </w:pPr>
      <w:rPr>
        <w:rFonts w:ascii="Wingdings" w:hAnsi="Wingdings" w:hint="default"/>
      </w:rPr>
    </w:lvl>
    <w:lvl w:ilvl="3" w:tplc="0F0E06C4">
      <w:start w:val="1"/>
      <w:numFmt w:val="bullet"/>
      <w:lvlText w:val=""/>
      <w:lvlJc w:val="left"/>
      <w:pPr>
        <w:ind w:left="2880" w:hanging="360"/>
      </w:pPr>
      <w:rPr>
        <w:rFonts w:ascii="Symbol" w:hAnsi="Symbol" w:hint="default"/>
      </w:rPr>
    </w:lvl>
    <w:lvl w:ilvl="4" w:tplc="D84A19AA">
      <w:start w:val="1"/>
      <w:numFmt w:val="bullet"/>
      <w:lvlText w:val="o"/>
      <w:lvlJc w:val="left"/>
      <w:pPr>
        <w:ind w:left="3600" w:hanging="360"/>
      </w:pPr>
      <w:rPr>
        <w:rFonts w:ascii="Courier New" w:hAnsi="Courier New" w:hint="default"/>
      </w:rPr>
    </w:lvl>
    <w:lvl w:ilvl="5" w:tplc="1624AA2A">
      <w:start w:val="1"/>
      <w:numFmt w:val="bullet"/>
      <w:lvlText w:val=""/>
      <w:lvlJc w:val="left"/>
      <w:pPr>
        <w:ind w:left="4320" w:hanging="360"/>
      </w:pPr>
      <w:rPr>
        <w:rFonts w:ascii="Wingdings" w:hAnsi="Wingdings" w:hint="default"/>
      </w:rPr>
    </w:lvl>
    <w:lvl w:ilvl="6" w:tplc="8E305CB8">
      <w:start w:val="1"/>
      <w:numFmt w:val="bullet"/>
      <w:lvlText w:val=""/>
      <w:lvlJc w:val="left"/>
      <w:pPr>
        <w:ind w:left="5040" w:hanging="360"/>
      </w:pPr>
      <w:rPr>
        <w:rFonts w:ascii="Symbol" w:hAnsi="Symbol" w:hint="default"/>
      </w:rPr>
    </w:lvl>
    <w:lvl w:ilvl="7" w:tplc="65EEE4CA">
      <w:start w:val="1"/>
      <w:numFmt w:val="bullet"/>
      <w:lvlText w:val="o"/>
      <w:lvlJc w:val="left"/>
      <w:pPr>
        <w:ind w:left="5760" w:hanging="360"/>
      </w:pPr>
      <w:rPr>
        <w:rFonts w:ascii="Courier New" w:hAnsi="Courier New" w:hint="default"/>
      </w:rPr>
    </w:lvl>
    <w:lvl w:ilvl="8" w:tplc="AF5E565E">
      <w:start w:val="1"/>
      <w:numFmt w:val="bullet"/>
      <w:lvlText w:val=""/>
      <w:lvlJc w:val="left"/>
      <w:pPr>
        <w:ind w:left="6480"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5"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4"/>
  </w:num>
  <w:num w:numId="3">
    <w:abstractNumId w:val="16"/>
  </w:num>
  <w:num w:numId="4">
    <w:abstractNumId w:val="3"/>
  </w:num>
  <w:num w:numId="5">
    <w:abstractNumId w:val="2"/>
  </w:num>
  <w:num w:numId="6">
    <w:abstractNumId w:val="1"/>
  </w:num>
  <w:num w:numId="7">
    <w:abstractNumId w:val="0"/>
  </w:num>
  <w:num w:numId="8">
    <w:abstractNumId w:val="5"/>
  </w:num>
  <w:num w:numId="9">
    <w:abstractNumId w:val="13"/>
  </w:num>
  <w:num w:numId="10">
    <w:abstractNumId w:val="24"/>
  </w:num>
  <w:num w:numId="11">
    <w:abstractNumId w:val="23"/>
  </w:num>
  <w:num w:numId="12">
    <w:abstractNumId w:val="32"/>
  </w:num>
  <w:num w:numId="13">
    <w:abstractNumId w:val="6"/>
  </w:num>
  <w:num w:numId="14">
    <w:abstractNumId w:val="15"/>
  </w:num>
  <w:num w:numId="15">
    <w:abstractNumId w:val="7"/>
  </w:num>
  <w:num w:numId="16">
    <w:abstractNumId w:val="17"/>
  </w:num>
  <w:num w:numId="17">
    <w:abstractNumId w:val="14"/>
  </w:num>
  <w:num w:numId="18">
    <w:abstractNumId w:val="25"/>
  </w:num>
  <w:num w:numId="19">
    <w:abstractNumId w:val="12"/>
  </w:num>
  <w:num w:numId="20">
    <w:abstractNumId w:val="33"/>
    <w:lvlOverride w:ilvl="0">
      <w:startOverride w:val="1"/>
    </w:lvlOverride>
  </w:num>
  <w:num w:numId="21">
    <w:abstractNumId w:val="29"/>
  </w:num>
  <w:num w:numId="22">
    <w:abstractNumId w:val="19"/>
  </w:num>
  <w:num w:numId="23">
    <w:abstractNumId w:val="31"/>
  </w:num>
  <w:num w:numId="24">
    <w:abstractNumId w:val="11"/>
  </w:num>
  <w:num w:numId="25">
    <w:abstractNumId w:val="20"/>
  </w:num>
  <w:num w:numId="26">
    <w:abstractNumId w:val="21"/>
  </w:num>
  <w:num w:numId="27">
    <w:abstractNumId w:val="9"/>
  </w:num>
  <w:num w:numId="28">
    <w:abstractNumId w:val="30"/>
  </w:num>
  <w:num w:numId="29">
    <w:abstractNumId w:val="8"/>
  </w:num>
  <w:num w:numId="30">
    <w:abstractNumId w:val="22"/>
  </w:num>
  <w:num w:numId="31">
    <w:abstractNumId w:val="27"/>
  </w:num>
  <w:num w:numId="32">
    <w:abstractNumId w:val="28"/>
  </w:num>
  <w:num w:numId="33">
    <w:abstractNumId w:val="10"/>
  </w:num>
  <w:num w:numId="34">
    <w:abstractNumId w:val="26"/>
  </w:num>
  <w:num w:numId="35">
    <w:abstractNumId w:val="33"/>
  </w:num>
  <w:num w:numId="36">
    <w:abstractNumId w:val="29"/>
  </w:num>
  <w:num w:numId="37">
    <w:abstractNumId w:val="19"/>
  </w:num>
  <w:num w:numId="38">
    <w:abstractNumId w:val="31"/>
  </w:num>
  <w:num w:numId="39">
    <w:abstractNumId w:val="11"/>
  </w:num>
  <w:num w:numId="40">
    <w:abstractNumId w:val="20"/>
  </w:num>
  <w:num w:numId="41">
    <w:abstractNumId w:val="21"/>
  </w:num>
  <w:num w:numId="42">
    <w:abstractNumId w:val="9"/>
  </w:num>
  <w:num w:numId="43">
    <w:abstractNumId w:val="30"/>
  </w:num>
  <w:num w:numId="44">
    <w:abstractNumId w:val="8"/>
  </w:num>
  <w:num w:numId="45">
    <w:abstractNumId w:val="22"/>
  </w:num>
  <w:num w:numId="46">
    <w:abstractNumId w:val="27"/>
  </w:num>
  <w:num w:numId="47">
    <w:abstractNumId w:val="28"/>
  </w:num>
  <w:num w:numId="48">
    <w:abstractNumId w:val="10"/>
  </w:num>
  <w:num w:numId="49">
    <w:abstractNumId w:val="26"/>
  </w:num>
  <w:num w:numId="5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5-29 14:24: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A082155-8FF8-477C-9825-B57698F1E15E"/>
    <w:docVar w:name="LW_COVERPAGE_TYPE" w:val="1"/>
    <w:docVar w:name="LW_CROSSREFERENCE" w:val="&lt;UNUSED&gt;"/>
    <w:docVar w:name="LW_DocType" w:val="COM"/>
    <w:docVar w:name="LW_EMISSION" w:val="24.4.2025"/>
    <w:docVar w:name="LW_EMISSION_ISODATE" w:val="2025-04-24"/>
    <w:docVar w:name="LW_EMISSION_LOCATION" w:val="BRX"/>
    <w:docVar w:name="LW_EMISSION_PREFIX" w:val="Bruselj,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090"/>
    <w:docVar w:name="LW_REF.II.NEW.CP_YEAR" w:val="2025"/>
    <w:docVar w:name="LW_REF.INST.NEW" w:val="COM"/>
    <w:docVar w:name="LW_REF.INST.NEW_ADOPTED" w:val="final"/>
    <w:docVar w:name="LW_REF.INST.NEW_TEXT" w:val="(2025) 17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ohranjanju in trajnostni rabi morske biotske raznovrstnosti na obmo\u269?jih zunaj nacionalne jurisdikcije"/>
    <w:docVar w:name="LW_TYPE.DOC.CP" w:val="DIREKTIVA EVROPSKEGA PARLAMENTA IN SVETA"/>
    <w:docVar w:name="LwApiVersions" w:val="LW4CoDe 1.24.5.0; LW 9.0, Build 20240221"/>
  </w:docVars>
  <w:rsids>
    <w:rsidRoot w:val="002F79F5"/>
    <w:rsid w:val="000008AC"/>
    <w:rsid w:val="00004570"/>
    <w:rsid w:val="0000666D"/>
    <w:rsid w:val="00007817"/>
    <w:rsid w:val="00010115"/>
    <w:rsid w:val="0001146C"/>
    <w:rsid w:val="00013D9E"/>
    <w:rsid w:val="00013DFF"/>
    <w:rsid w:val="00014398"/>
    <w:rsid w:val="000148D6"/>
    <w:rsid w:val="00015685"/>
    <w:rsid w:val="0001572C"/>
    <w:rsid w:val="00016AC2"/>
    <w:rsid w:val="0001758A"/>
    <w:rsid w:val="00020119"/>
    <w:rsid w:val="000203C9"/>
    <w:rsid w:val="00021DA1"/>
    <w:rsid w:val="00024850"/>
    <w:rsid w:val="000252BB"/>
    <w:rsid w:val="00025791"/>
    <w:rsid w:val="0002780A"/>
    <w:rsid w:val="0003030E"/>
    <w:rsid w:val="00030439"/>
    <w:rsid w:val="000338D3"/>
    <w:rsid w:val="00033C3A"/>
    <w:rsid w:val="00035176"/>
    <w:rsid w:val="00036C5C"/>
    <w:rsid w:val="00041204"/>
    <w:rsid w:val="00041C90"/>
    <w:rsid w:val="00046FF7"/>
    <w:rsid w:val="0005022D"/>
    <w:rsid w:val="000552B3"/>
    <w:rsid w:val="00056772"/>
    <w:rsid w:val="00056F6D"/>
    <w:rsid w:val="000626A0"/>
    <w:rsid w:val="000647ED"/>
    <w:rsid w:val="00064A45"/>
    <w:rsid w:val="00065743"/>
    <w:rsid w:val="00066AD8"/>
    <w:rsid w:val="00067313"/>
    <w:rsid w:val="0007517B"/>
    <w:rsid w:val="0007599D"/>
    <w:rsid w:val="00076647"/>
    <w:rsid w:val="000808A2"/>
    <w:rsid w:val="00080E56"/>
    <w:rsid w:val="00081788"/>
    <w:rsid w:val="00083380"/>
    <w:rsid w:val="00086444"/>
    <w:rsid w:val="00090F18"/>
    <w:rsid w:val="00091491"/>
    <w:rsid w:val="00092B37"/>
    <w:rsid w:val="000936C4"/>
    <w:rsid w:val="000A171B"/>
    <w:rsid w:val="000A5197"/>
    <w:rsid w:val="000A6E32"/>
    <w:rsid w:val="000B0638"/>
    <w:rsid w:val="000B2194"/>
    <w:rsid w:val="000B5689"/>
    <w:rsid w:val="000C117C"/>
    <w:rsid w:val="000C3F27"/>
    <w:rsid w:val="000C485A"/>
    <w:rsid w:val="000C5AD9"/>
    <w:rsid w:val="000C6509"/>
    <w:rsid w:val="000C7E8B"/>
    <w:rsid w:val="000D1236"/>
    <w:rsid w:val="000D3129"/>
    <w:rsid w:val="000D37A5"/>
    <w:rsid w:val="000D395B"/>
    <w:rsid w:val="000D72AA"/>
    <w:rsid w:val="000D7CA8"/>
    <w:rsid w:val="000E10E9"/>
    <w:rsid w:val="000E553B"/>
    <w:rsid w:val="000E5963"/>
    <w:rsid w:val="000E7456"/>
    <w:rsid w:val="000E7511"/>
    <w:rsid w:val="000E7E65"/>
    <w:rsid w:val="000F224D"/>
    <w:rsid w:val="000F2BE8"/>
    <w:rsid w:val="000F2D31"/>
    <w:rsid w:val="000F340B"/>
    <w:rsid w:val="000F4AA6"/>
    <w:rsid w:val="000F6FF5"/>
    <w:rsid w:val="000F7FE4"/>
    <w:rsid w:val="0010026E"/>
    <w:rsid w:val="00100603"/>
    <w:rsid w:val="001027A2"/>
    <w:rsid w:val="00103300"/>
    <w:rsid w:val="001061ED"/>
    <w:rsid w:val="001065F5"/>
    <w:rsid w:val="00107002"/>
    <w:rsid w:val="001124EF"/>
    <w:rsid w:val="00114E85"/>
    <w:rsid w:val="00115961"/>
    <w:rsid w:val="0011777D"/>
    <w:rsid w:val="00123406"/>
    <w:rsid w:val="001238EF"/>
    <w:rsid w:val="001328D4"/>
    <w:rsid w:val="00132EF6"/>
    <w:rsid w:val="001330E3"/>
    <w:rsid w:val="00133726"/>
    <w:rsid w:val="00141AA9"/>
    <w:rsid w:val="00153221"/>
    <w:rsid w:val="001544E1"/>
    <w:rsid w:val="00154782"/>
    <w:rsid w:val="00157737"/>
    <w:rsid w:val="001613AB"/>
    <w:rsid w:val="001614D3"/>
    <w:rsid w:val="001628C5"/>
    <w:rsid w:val="00162EE7"/>
    <w:rsid w:val="001631F6"/>
    <w:rsid w:val="00165575"/>
    <w:rsid w:val="00165948"/>
    <w:rsid w:val="0016643B"/>
    <w:rsid w:val="00166BA3"/>
    <w:rsid w:val="0016773F"/>
    <w:rsid w:val="001705D5"/>
    <w:rsid w:val="00173F96"/>
    <w:rsid w:val="0017538F"/>
    <w:rsid w:val="00175C43"/>
    <w:rsid w:val="0017662C"/>
    <w:rsid w:val="00182F84"/>
    <w:rsid w:val="001838C5"/>
    <w:rsid w:val="00186D16"/>
    <w:rsid w:val="00191005"/>
    <w:rsid w:val="00191C99"/>
    <w:rsid w:val="00194388"/>
    <w:rsid w:val="00196AAC"/>
    <w:rsid w:val="00197613"/>
    <w:rsid w:val="001A2323"/>
    <w:rsid w:val="001A272F"/>
    <w:rsid w:val="001A2F12"/>
    <w:rsid w:val="001A3A59"/>
    <w:rsid w:val="001A3AF5"/>
    <w:rsid w:val="001A509D"/>
    <w:rsid w:val="001A6307"/>
    <w:rsid w:val="001B1EF0"/>
    <w:rsid w:val="001B6086"/>
    <w:rsid w:val="001B65F6"/>
    <w:rsid w:val="001B6EE8"/>
    <w:rsid w:val="001C4850"/>
    <w:rsid w:val="001C4F4D"/>
    <w:rsid w:val="001C69A4"/>
    <w:rsid w:val="001C7B1A"/>
    <w:rsid w:val="001D375E"/>
    <w:rsid w:val="001D4879"/>
    <w:rsid w:val="001D6284"/>
    <w:rsid w:val="001D67E0"/>
    <w:rsid w:val="001E3FFA"/>
    <w:rsid w:val="001E4C27"/>
    <w:rsid w:val="001E52C9"/>
    <w:rsid w:val="001F420B"/>
    <w:rsid w:val="001F692A"/>
    <w:rsid w:val="001F7148"/>
    <w:rsid w:val="0020026B"/>
    <w:rsid w:val="002003AF"/>
    <w:rsid w:val="002020AC"/>
    <w:rsid w:val="002024B3"/>
    <w:rsid w:val="002065D3"/>
    <w:rsid w:val="00206F51"/>
    <w:rsid w:val="002073C2"/>
    <w:rsid w:val="0021138F"/>
    <w:rsid w:val="002115DB"/>
    <w:rsid w:val="00213E99"/>
    <w:rsid w:val="00221E3F"/>
    <w:rsid w:val="00224E78"/>
    <w:rsid w:val="002273DF"/>
    <w:rsid w:val="00230F02"/>
    <w:rsid w:val="00231B72"/>
    <w:rsid w:val="00232FDD"/>
    <w:rsid w:val="00233DC7"/>
    <w:rsid w:val="0023577E"/>
    <w:rsid w:val="0024129E"/>
    <w:rsid w:val="00242526"/>
    <w:rsid w:val="002453F1"/>
    <w:rsid w:val="00245661"/>
    <w:rsid w:val="00247779"/>
    <w:rsid w:val="00250878"/>
    <w:rsid w:val="0025290A"/>
    <w:rsid w:val="00253DE3"/>
    <w:rsid w:val="0025527F"/>
    <w:rsid w:val="00256DBD"/>
    <w:rsid w:val="0025770E"/>
    <w:rsid w:val="0026335E"/>
    <w:rsid w:val="00264EAD"/>
    <w:rsid w:val="002679EA"/>
    <w:rsid w:val="00267AA4"/>
    <w:rsid w:val="0027084F"/>
    <w:rsid w:val="00272B59"/>
    <w:rsid w:val="00275B1A"/>
    <w:rsid w:val="0028171B"/>
    <w:rsid w:val="002822CC"/>
    <w:rsid w:val="00282482"/>
    <w:rsid w:val="002828A1"/>
    <w:rsid w:val="00283C25"/>
    <w:rsid w:val="002841B7"/>
    <w:rsid w:val="00284367"/>
    <w:rsid w:val="00285BEE"/>
    <w:rsid w:val="002864AD"/>
    <w:rsid w:val="00287DEC"/>
    <w:rsid w:val="002901BF"/>
    <w:rsid w:val="002920C2"/>
    <w:rsid w:val="0029533F"/>
    <w:rsid w:val="00296422"/>
    <w:rsid w:val="002A765D"/>
    <w:rsid w:val="002B1B8C"/>
    <w:rsid w:val="002B30AF"/>
    <w:rsid w:val="002B3237"/>
    <w:rsid w:val="002B325D"/>
    <w:rsid w:val="002B3A13"/>
    <w:rsid w:val="002B467D"/>
    <w:rsid w:val="002B5306"/>
    <w:rsid w:val="002B6916"/>
    <w:rsid w:val="002B7332"/>
    <w:rsid w:val="002B7950"/>
    <w:rsid w:val="002C09E5"/>
    <w:rsid w:val="002C18B0"/>
    <w:rsid w:val="002C1C0A"/>
    <w:rsid w:val="002C2DF1"/>
    <w:rsid w:val="002C3806"/>
    <w:rsid w:val="002C4704"/>
    <w:rsid w:val="002C706C"/>
    <w:rsid w:val="002C7C60"/>
    <w:rsid w:val="002D3D28"/>
    <w:rsid w:val="002D3E0C"/>
    <w:rsid w:val="002D5AFD"/>
    <w:rsid w:val="002D6514"/>
    <w:rsid w:val="002E7D40"/>
    <w:rsid w:val="002F0A2D"/>
    <w:rsid w:val="002F0DCB"/>
    <w:rsid w:val="002F1FEC"/>
    <w:rsid w:val="002F2FD8"/>
    <w:rsid w:val="002F517C"/>
    <w:rsid w:val="002F79F5"/>
    <w:rsid w:val="00301DD0"/>
    <w:rsid w:val="003025F5"/>
    <w:rsid w:val="00302689"/>
    <w:rsid w:val="00303D09"/>
    <w:rsid w:val="0030631A"/>
    <w:rsid w:val="00306598"/>
    <w:rsid w:val="00307694"/>
    <w:rsid w:val="003077D0"/>
    <w:rsid w:val="0030953E"/>
    <w:rsid w:val="00310D70"/>
    <w:rsid w:val="0031125C"/>
    <w:rsid w:val="0031333A"/>
    <w:rsid w:val="00314E31"/>
    <w:rsid w:val="00314EBC"/>
    <w:rsid w:val="003152A6"/>
    <w:rsid w:val="00315B41"/>
    <w:rsid w:val="003178FD"/>
    <w:rsid w:val="00322C68"/>
    <w:rsid w:val="00326ED6"/>
    <w:rsid w:val="00327280"/>
    <w:rsid w:val="00327564"/>
    <w:rsid w:val="00331EB0"/>
    <w:rsid w:val="0033344A"/>
    <w:rsid w:val="00335621"/>
    <w:rsid w:val="00336D35"/>
    <w:rsid w:val="00340281"/>
    <w:rsid w:val="00341158"/>
    <w:rsid w:val="003415ED"/>
    <w:rsid w:val="0034265B"/>
    <w:rsid w:val="003435AD"/>
    <w:rsid w:val="00344CAE"/>
    <w:rsid w:val="00344E30"/>
    <w:rsid w:val="003450A4"/>
    <w:rsid w:val="00346293"/>
    <w:rsid w:val="00350370"/>
    <w:rsid w:val="00351C4E"/>
    <w:rsid w:val="0035253B"/>
    <w:rsid w:val="00352C95"/>
    <w:rsid w:val="00360EAE"/>
    <w:rsid w:val="00361406"/>
    <w:rsid w:val="00361952"/>
    <w:rsid w:val="00361BA6"/>
    <w:rsid w:val="003624E8"/>
    <w:rsid w:val="0036497E"/>
    <w:rsid w:val="00370CFF"/>
    <w:rsid w:val="00371D73"/>
    <w:rsid w:val="003720E8"/>
    <w:rsid w:val="00372DF5"/>
    <w:rsid w:val="00372EAD"/>
    <w:rsid w:val="00375DBA"/>
    <w:rsid w:val="00376CC8"/>
    <w:rsid w:val="003803BD"/>
    <w:rsid w:val="00380A6A"/>
    <w:rsid w:val="003821D4"/>
    <w:rsid w:val="00390095"/>
    <w:rsid w:val="00391898"/>
    <w:rsid w:val="00394342"/>
    <w:rsid w:val="003951AE"/>
    <w:rsid w:val="00396405"/>
    <w:rsid w:val="00397E2D"/>
    <w:rsid w:val="003A07C1"/>
    <w:rsid w:val="003A2973"/>
    <w:rsid w:val="003A2FC9"/>
    <w:rsid w:val="003A39DA"/>
    <w:rsid w:val="003A5ED2"/>
    <w:rsid w:val="003A72AB"/>
    <w:rsid w:val="003B0B5D"/>
    <w:rsid w:val="003B1247"/>
    <w:rsid w:val="003B174E"/>
    <w:rsid w:val="003B4558"/>
    <w:rsid w:val="003C0441"/>
    <w:rsid w:val="003C5505"/>
    <w:rsid w:val="003C562F"/>
    <w:rsid w:val="003C5654"/>
    <w:rsid w:val="003C611F"/>
    <w:rsid w:val="003C62D0"/>
    <w:rsid w:val="003D0692"/>
    <w:rsid w:val="003D23F3"/>
    <w:rsid w:val="003D2552"/>
    <w:rsid w:val="003D2C7D"/>
    <w:rsid w:val="003D6A3F"/>
    <w:rsid w:val="003E045A"/>
    <w:rsid w:val="003E2773"/>
    <w:rsid w:val="003E7185"/>
    <w:rsid w:val="003F0E05"/>
    <w:rsid w:val="003F0E45"/>
    <w:rsid w:val="003F232C"/>
    <w:rsid w:val="003F2645"/>
    <w:rsid w:val="003F2C5D"/>
    <w:rsid w:val="003F3B43"/>
    <w:rsid w:val="003F4BBE"/>
    <w:rsid w:val="003F63E3"/>
    <w:rsid w:val="003F6BB5"/>
    <w:rsid w:val="003F766D"/>
    <w:rsid w:val="004027EF"/>
    <w:rsid w:val="00405655"/>
    <w:rsid w:val="00405807"/>
    <w:rsid w:val="0040591E"/>
    <w:rsid w:val="004064AA"/>
    <w:rsid w:val="00407ECD"/>
    <w:rsid w:val="00410E47"/>
    <w:rsid w:val="004143E9"/>
    <w:rsid w:val="00417529"/>
    <w:rsid w:val="00421CC7"/>
    <w:rsid w:val="00422CF7"/>
    <w:rsid w:val="004241E3"/>
    <w:rsid w:val="00424645"/>
    <w:rsid w:val="00424786"/>
    <w:rsid w:val="00424CCC"/>
    <w:rsid w:val="00424F03"/>
    <w:rsid w:val="00425146"/>
    <w:rsid w:val="0042648E"/>
    <w:rsid w:val="00430805"/>
    <w:rsid w:val="00432C22"/>
    <w:rsid w:val="00434A25"/>
    <w:rsid w:val="0044074D"/>
    <w:rsid w:val="0044288E"/>
    <w:rsid w:val="00443312"/>
    <w:rsid w:val="00443661"/>
    <w:rsid w:val="00444523"/>
    <w:rsid w:val="0045209C"/>
    <w:rsid w:val="004529A5"/>
    <w:rsid w:val="00452F4F"/>
    <w:rsid w:val="004540D2"/>
    <w:rsid w:val="004545E3"/>
    <w:rsid w:val="00454E51"/>
    <w:rsid w:val="0045531B"/>
    <w:rsid w:val="004561BD"/>
    <w:rsid w:val="00457101"/>
    <w:rsid w:val="00457BA8"/>
    <w:rsid w:val="0046075F"/>
    <w:rsid w:val="00461889"/>
    <w:rsid w:val="00463364"/>
    <w:rsid w:val="004639AD"/>
    <w:rsid w:val="00464376"/>
    <w:rsid w:val="00464436"/>
    <w:rsid w:val="004646C2"/>
    <w:rsid w:val="00466BBB"/>
    <w:rsid w:val="00467C0E"/>
    <w:rsid w:val="00467CA1"/>
    <w:rsid w:val="00470A4F"/>
    <w:rsid w:val="004727E5"/>
    <w:rsid w:val="004732EA"/>
    <w:rsid w:val="00474D84"/>
    <w:rsid w:val="0047591A"/>
    <w:rsid w:val="0047620B"/>
    <w:rsid w:val="00481615"/>
    <w:rsid w:val="00483DCB"/>
    <w:rsid w:val="00486F6F"/>
    <w:rsid w:val="004927B0"/>
    <w:rsid w:val="004928D6"/>
    <w:rsid w:val="004936D2"/>
    <w:rsid w:val="00493F5C"/>
    <w:rsid w:val="00494EE2"/>
    <w:rsid w:val="00495650"/>
    <w:rsid w:val="0049607E"/>
    <w:rsid w:val="004A13D7"/>
    <w:rsid w:val="004A273A"/>
    <w:rsid w:val="004A3B81"/>
    <w:rsid w:val="004A6488"/>
    <w:rsid w:val="004B03EF"/>
    <w:rsid w:val="004B2073"/>
    <w:rsid w:val="004B3A2F"/>
    <w:rsid w:val="004B5894"/>
    <w:rsid w:val="004C11FA"/>
    <w:rsid w:val="004C1292"/>
    <w:rsid w:val="004C1AF0"/>
    <w:rsid w:val="004C2D25"/>
    <w:rsid w:val="004C3690"/>
    <w:rsid w:val="004C4125"/>
    <w:rsid w:val="004C5861"/>
    <w:rsid w:val="004D2B8F"/>
    <w:rsid w:val="004D6F8C"/>
    <w:rsid w:val="004E34DC"/>
    <w:rsid w:val="004E3F05"/>
    <w:rsid w:val="004E4CEA"/>
    <w:rsid w:val="004E56B9"/>
    <w:rsid w:val="004F0ED3"/>
    <w:rsid w:val="004F3162"/>
    <w:rsid w:val="004F35E3"/>
    <w:rsid w:val="004F36A7"/>
    <w:rsid w:val="004F6631"/>
    <w:rsid w:val="004F6976"/>
    <w:rsid w:val="00501D21"/>
    <w:rsid w:val="00502553"/>
    <w:rsid w:val="00506F44"/>
    <w:rsid w:val="00507C06"/>
    <w:rsid w:val="0051072E"/>
    <w:rsid w:val="00512533"/>
    <w:rsid w:val="005130D8"/>
    <w:rsid w:val="00514B9F"/>
    <w:rsid w:val="00520A8D"/>
    <w:rsid w:val="00520F17"/>
    <w:rsid w:val="005269A7"/>
    <w:rsid w:val="0052C30F"/>
    <w:rsid w:val="005306FD"/>
    <w:rsid w:val="00531FB0"/>
    <w:rsid w:val="005326DC"/>
    <w:rsid w:val="00534287"/>
    <w:rsid w:val="00537323"/>
    <w:rsid w:val="00537EC7"/>
    <w:rsid w:val="00542641"/>
    <w:rsid w:val="00542CC7"/>
    <w:rsid w:val="00543CF4"/>
    <w:rsid w:val="00546298"/>
    <w:rsid w:val="00547C7F"/>
    <w:rsid w:val="00547D87"/>
    <w:rsid w:val="005500AA"/>
    <w:rsid w:val="005507A1"/>
    <w:rsid w:val="005516DB"/>
    <w:rsid w:val="00551F8B"/>
    <w:rsid w:val="00553C24"/>
    <w:rsid w:val="005541CE"/>
    <w:rsid w:val="00555B66"/>
    <w:rsid w:val="00556D3A"/>
    <w:rsid w:val="00563391"/>
    <w:rsid w:val="0056410A"/>
    <w:rsid w:val="0056612A"/>
    <w:rsid w:val="00567002"/>
    <w:rsid w:val="00567BCA"/>
    <w:rsid w:val="005701CD"/>
    <w:rsid w:val="00571A37"/>
    <w:rsid w:val="00574BBE"/>
    <w:rsid w:val="00574C53"/>
    <w:rsid w:val="00574E5D"/>
    <w:rsid w:val="00577B09"/>
    <w:rsid w:val="00581B8C"/>
    <w:rsid w:val="00581D91"/>
    <w:rsid w:val="0058380D"/>
    <w:rsid w:val="00583FDC"/>
    <w:rsid w:val="005862CD"/>
    <w:rsid w:val="005873DE"/>
    <w:rsid w:val="00587EE8"/>
    <w:rsid w:val="00590050"/>
    <w:rsid w:val="0059129A"/>
    <w:rsid w:val="005924A1"/>
    <w:rsid w:val="00592F61"/>
    <w:rsid w:val="00594252"/>
    <w:rsid w:val="005952BF"/>
    <w:rsid w:val="005970CB"/>
    <w:rsid w:val="005A14A4"/>
    <w:rsid w:val="005A305C"/>
    <w:rsid w:val="005A7C5A"/>
    <w:rsid w:val="005B1EB6"/>
    <w:rsid w:val="005B2BE1"/>
    <w:rsid w:val="005B60A3"/>
    <w:rsid w:val="005C33A0"/>
    <w:rsid w:val="005C35E5"/>
    <w:rsid w:val="005C3D1F"/>
    <w:rsid w:val="005C6ABE"/>
    <w:rsid w:val="005C7CC1"/>
    <w:rsid w:val="005D0BAC"/>
    <w:rsid w:val="005D33C3"/>
    <w:rsid w:val="005D3720"/>
    <w:rsid w:val="005D4EFB"/>
    <w:rsid w:val="005D6F3E"/>
    <w:rsid w:val="005D78EC"/>
    <w:rsid w:val="005D7980"/>
    <w:rsid w:val="005E068C"/>
    <w:rsid w:val="005E08AC"/>
    <w:rsid w:val="005E162E"/>
    <w:rsid w:val="005E4B43"/>
    <w:rsid w:val="005E51E5"/>
    <w:rsid w:val="005F0658"/>
    <w:rsid w:val="005F1E0C"/>
    <w:rsid w:val="005F2950"/>
    <w:rsid w:val="005F7878"/>
    <w:rsid w:val="00602FF7"/>
    <w:rsid w:val="0060737D"/>
    <w:rsid w:val="0060781C"/>
    <w:rsid w:val="00616026"/>
    <w:rsid w:val="0061716C"/>
    <w:rsid w:val="006211CF"/>
    <w:rsid w:val="006242CD"/>
    <w:rsid w:val="00626BD4"/>
    <w:rsid w:val="00626D6F"/>
    <w:rsid w:val="00633646"/>
    <w:rsid w:val="006370F8"/>
    <w:rsid w:val="00641A0A"/>
    <w:rsid w:val="00642E3B"/>
    <w:rsid w:val="00643C28"/>
    <w:rsid w:val="006471EB"/>
    <w:rsid w:val="00653D48"/>
    <w:rsid w:val="0065504F"/>
    <w:rsid w:val="0065549E"/>
    <w:rsid w:val="00656158"/>
    <w:rsid w:val="00657A77"/>
    <w:rsid w:val="00660961"/>
    <w:rsid w:val="00661F24"/>
    <w:rsid w:val="00662C9A"/>
    <w:rsid w:val="00662DEB"/>
    <w:rsid w:val="0066359B"/>
    <w:rsid w:val="00663848"/>
    <w:rsid w:val="00664007"/>
    <w:rsid w:val="00664F18"/>
    <w:rsid w:val="00665D13"/>
    <w:rsid w:val="006670A1"/>
    <w:rsid w:val="00671ACB"/>
    <w:rsid w:val="00673BE1"/>
    <w:rsid w:val="006748FF"/>
    <w:rsid w:val="00680049"/>
    <w:rsid w:val="0068004F"/>
    <w:rsid w:val="006821B0"/>
    <w:rsid w:val="006825CD"/>
    <w:rsid w:val="00690C5A"/>
    <w:rsid w:val="00691A81"/>
    <w:rsid w:val="00694831"/>
    <w:rsid w:val="00697D8B"/>
    <w:rsid w:val="006A07F3"/>
    <w:rsid w:val="006A1672"/>
    <w:rsid w:val="006A250D"/>
    <w:rsid w:val="006A2E2D"/>
    <w:rsid w:val="006A4044"/>
    <w:rsid w:val="006A4FE0"/>
    <w:rsid w:val="006A6262"/>
    <w:rsid w:val="006A6461"/>
    <w:rsid w:val="006A73A4"/>
    <w:rsid w:val="006A7789"/>
    <w:rsid w:val="006B08DC"/>
    <w:rsid w:val="006B31B1"/>
    <w:rsid w:val="006B3E2E"/>
    <w:rsid w:val="006B3FE1"/>
    <w:rsid w:val="006B4CDC"/>
    <w:rsid w:val="006C21AC"/>
    <w:rsid w:val="006C2D8F"/>
    <w:rsid w:val="006C7AB1"/>
    <w:rsid w:val="006D3A0C"/>
    <w:rsid w:val="006E294B"/>
    <w:rsid w:val="006E3AEE"/>
    <w:rsid w:val="006E46E8"/>
    <w:rsid w:val="006E581D"/>
    <w:rsid w:val="006E71BA"/>
    <w:rsid w:val="006E75F1"/>
    <w:rsid w:val="006F0A2E"/>
    <w:rsid w:val="006F3C55"/>
    <w:rsid w:val="007014A1"/>
    <w:rsid w:val="00701B64"/>
    <w:rsid w:val="0070219E"/>
    <w:rsid w:val="00704DFA"/>
    <w:rsid w:val="007056F4"/>
    <w:rsid w:val="00706A9D"/>
    <w:rsid w:val="00710631"/>
    <w:rsid w:val="00713DBC"/>
    <w:rsid w:val="00715D5A"/>
    <w:rsid w:val="007210F3"/>
    <w:rsid w:val="0072197B"/>
    <w:rsid w:val="00722E6B"/>
    <w:rsid w:val="00727A08"/>
    <w:rsid w:val="0073255A"/>
    <w:rsid w:val="00732C50"/>
    <w:rsid w:val="00733148"/>
    <w:rsid w:val="00733674"/>
    <w:rsid w:val="007359A9"/>
    <w:rsid w:val="00746AB5"/>
    <w:rsid w:val="00746C9A"/>
    <w:rsid w:val="0075128E"/>
    <w:rsid w:val="00751A36"/>
    <w:rsid w:val="00752145"/>
    <w:rsid w:val="00757696"/>
    <w:rsid w:val="007620FB"/>
    <w:rsid w:val="00762280"/>
    <w:rsid w:val="007630E2"/>
    <w:rsid w:val="00773331"/>
    <w:rsid w:val="00775E79"/>
    <w:rsid w:val="0078011A"/>
    <w:rsid w:val="00782B9B"/>
    <w:rsid w:val="00782DD3"/>
    <w:rsid w:val="00784FE9"/>
    <w:rsid w:val="00786366"/>
    <w:rsid w:val="007877B6"/>
    <w:rsid w:val="007914EA"/>
    <w:rsid w:val="00791EAE"/>
    <w:rsid w:val="00791F16"/>
    <w:rsid w:val="007932EF"/>
    <w:rsid w:val="00793E5C"/>
    <w:rsid w:val="00794023"/>
    <w:rsid w:val="007A01EA"/>
    <w:rsid w:val="007A026A"/>
    <w:rsid w:val="007A2666"/>
    <w:rsid w:val="007A3151"/>
    <w:rsid w:val="007A4B02"/>
    <w:rsid w:val="007A635D"/>
    <w:rsid w:val="007A75FC"/>
    <w:rsid w:val="007A7C60"/>
    <w:rsid w:val="007B04F5"/>
    <w:rsid w:val="007B0617"/>
    <w:rsid w:val="007B6328"/>
    <w:rsid w:val="007C0E51"/>
    <w:rsid w:val="007C1799"/>
    <w:rsid w:val="007C1F35"/>
    <w:rsid w:val="007C3540"/>
    <w:rsid w:val="007C36E6"/>
    <w:rsid w:val="007C3C8F"/>
    <w:rsid w:val="007C552C"/>
    <w:rsid w:val="007C58FC"/>
    <w:rsid w:val="007D0B71"/>
    <w:rsid w:val="007D1A7D"/>
    <w:rsid w:val="007D2950"/>
    <w:rsid w:val="007D41D7"/>
    <w:rsid w:val="007E05B0"/>
    <w:rsid w:val="007E120C"/>
    <w:rsid w:val="007E1DCF"/>
    <w:rsid w:val="007E3C49"/>
    <w:rsid w:val="007E4BF4"/>
    <w:rsid w:val="007E660C"/>
    <w:rsid w:val="007F3BD0"/>
    <w:rsid w:val="007F4560"/>
    <w:rsid w:val="007F5676"/>
    <w:rsid w:val="00804084"/>
    <w:rsid w:val="00804EDA"/>
    <w:rsid w:val="008053EB"/>
    <w:rsid w:val="0080548E"/>
    <w:rsid w:val="00807B05"/>
    <w:rsid w:val="00807CBD"/>
    <w:rsid w:val="0080AF7C"/>
    <w:rsid w:val="00810A77"/>
    <w:rsid w:val="008153E8"/>
    <w:rsid w:val="008155BB"/>
    <w:rsid w:val="00821059"/>
    <w:rsid w:val="00832397"/>
    <w:rsid w:val="00832E35"/>
    <w:rsid w:val="00833EE7"/>
    <w:rsid w:val="008345F2"/>
    <w:rsid w:val="00834AC4"/>
    <w:rsid w:val="00836BF6"/>
    <w:rsid w:val="00842CA1"/>
    <w:rsid w:val="00843802"/>
    <w:rsid w:val="008453C1"/>
    <w:rsid w:val="00851AE6"/>
    <w:rsid w:val="00853D89"/>
    <w:rsid w:val="00854EA7"/>
    <w:rsid w:val="00857C0C"/>
    <w:rsid w:val="00866846"/>
    <w:rsid w:val="00871218"/>
    <w:rsid w:val="008736C4"/>
    <w:rsid w:val="00874818"/>
    <w:rsid w:val="00874D22"/>
    <w:rsid w:val="00875C68"/>
    <w:rsid w:val="00880C87"/>
    <w:rsid w:val="008866B6"/>
    <w:rsid w:val="0088718C"/>
    <w:rsid w:val="00893EBA"/>
    <w:rsid w:val="00894C91"/>
    <w:rsid w:val="00894FDC"/>
    <w:rsid w:val="0089548A"/>
    <w:rsid w:val="008961FB"/>
    <w:rsid w:val="00896AC2"/>
    <w:rsid w:val="008A2914"/>
    <w:rsid w:val="008A481C"/>
    <w:rsid w:val="008A544B"/>
    <w:rsid w:val="008A6416"/>
    <w:rsid w:val="008B0407"/>
    <w:rsid w:val="008B369B"/>
    <w:rsid w:val="008C04CA"/>
    <w:rsid w:val="008C0AD1"/>
    <w:rsid w:val="008C5B65"/>
    <w:rsid w:val="008C6133"/>
    <w:rsid w:val="008C7EDF"/>
    <w:rsid w:val="008D0408"/>
    <w:rsid w:val="008D0884"/>
    <w:rsid w:val="008D0AF0"/>
    <w:rsid w:val="008D2D98"/>
    <w:rsid w:val="008D3AD7"/>
    <w:rsid w:val="008D52B0"/>
    <w:rsid w:val="008D73E8"/>
    <w:rsid w:val="008D7646"/>
    <w:rsid w:val="008D782F"/>
    <w:rsid w:val="008D7F2B"/>
    <w:rsid w:val="008E0AB9"/>
    <w:rsid w:val="008E26D7"/>
    <w:rsid w:val="008E4886"/>
    <w:rsid w:val="008E4D8E"/>
    <w:rsid w:val="008E7029"/>
    <w:rsid w:val="008E73CF"/>
    <w:rsid w:val="008F77D5"/>
    <w:rsid w:val="009018D6"/>
    <w:rsid w:val="00901B45"/>
    <w:rsid w:val="00904FA2"/>
    <w:rsid w:val="00905B97"/>
    <w:rsid w:val="0091065C"/>
    <w:rsid w:val="00910750"/>
    <w:rsid w:val="00911302"/>
    <w:rsid w:val="0091249D"/>
    <w:rsid w:val="00912A2A"/>
    <w:rsid w:val="00920C50"/>
    <w:rsid w:val="00922545"/>
    <w:rsid w:val="00922C0E"/>
    <w:rsid w:val="00923A1F"/>
    <w:rsid w:val="0092402F"/>
    <w:rsid w:val="00925166"/>
    <w:rsid w:val="00926811"/>
    <w:rsid w:val="00935732"/>
    <w:rsid w:val="00942452"/>
    <w:rsid w:val="00943A31"/>
    <w:rsid w:val="00943E9D"/>
    <w:rsid w:val="009454EC"/>
    <w:rsid w:val="0094678C"/>
    <w:rsid w:val="00950E4F"/>
    <w:rsid w:val="009524D6"/>
    <w:rsid w:val="00953CE3"/>
    <w:rsid w:val="009547CB"/>
    <w:rsid w:val="00954E96"/>
    <w:rsid w:val="009558A4"/>
    <w:rsid w:val="00960A6D"/>
    <w:rsid w:val="009631DB"/>
    <w:rsid w:val="00964EA9"/>
    <w:rsid w:val="0097257C"/>
    <w:rsid w:val="00972DDF"/>
    <w:rsid w:val="00985B7B"/>
    <w:rsid w:val="0098708E"/>
    <w:rsid w:val="009917FC"/>
    <w:rsid w:val="00992618"/>
    <w:rsid w:val="0099406E"/>
    <w:rsid w:val="00994F13"/>
    <w:rsid w:val="00994F7E"/>
    <w:rsid w:val="009A1B93"/>
    <w:rsid w:val="009A33EB"/>
    <w:rsid w:val="009A45A7"/>
    <w:rsid w:val="009A4F01"/>
    <w:rsid w:val="009B0EF9"/>
    <w:rsid w:val="009B1C0C"/>
    <w:rsid w:val="009B38A6"/>
    <w:rsid w:val="009B3B17"/>
    <w:rsid w:val="009B4B80"/>
    <w:rsid w:val="009B4C49"/>
    <w:rsid w:val="009B5033"/>
    <w:rsid w:val="009B6F1E"/>
    <w:rsid w:val="009B7181"/>
    <w:rsid w:val="009C304D"/>
    <w:rsid w:val="009C37E8"/>
    <w:rsid w:val="009C4F5E"/>
    <w:rsid w:val="009C5297"/>
    <w:rsid w:val="009C5FED"/>
    <w:rsid w:val="009C7B90"/>
    <w:rsid w:val="009E19DE"/>
    <w:rsid w:val="009E4340"/>
    <w:rsid w:val="009E4D59"/>
    <w:rsid w:val="009E5B69"/>
    <w:rsid w:val="009E7271"/>
    <w:rsid w:val="009F037F"/>
    <w:rsid w:val="009F0F69"/>
    <w:rsid w:val="009F1136"/>
    <w:rsid w:val="009F647E"/>
    <w:rsid w:val="009F7139"/>
    <w:rsid w:val="00A00FE3"/>
    <w:rsid w:val="00A01D03"/>
    <w:rsid w:val="00A03CE6"/>
    <w:rsid w:val="00A03FB6"/>
    <w:rsid w:val="00A047EF"/>
    <w:rsid w:val="00A11247"/>
    <w:rsid w:val="00A1152D"/>
    <w:rsid w:val="00A12219"/>
    <w:rsid w:val="00A1368D"/>
    <w:rsid w:val="00A1471E"/>
    <w:rsid w:val="00A17B43"/>
    <w:rsid w:val="00A21616"/>
    <w:rsid w:val="00A22A99"/>
    <w:rsid w:val="00A2400C"/>
    <w:rsid w:val="00A27A24"/>
    <w:rsid w:val="00A324A2"/>
    <w:rsid w:val="00A364EF"/>
    <w:rsid w:val="00A366F4"/>
    <w:rsid w:val="00A37FE5"/>
    <w:rsid w:val="00A4013D"/>
    <w:rsid w:val="00A40909"/>
    <w:rsid w:val="00A4364A"/>
    <w:rsid w:val="00A44B4E"/>
    <w:rsid w:val="00A46565"/>
    <w:rsid w:val="00A4770A"/>
    <w:rsid w:val="00A540C5"/>
    <w:rsid w:val="00A540EE"/>
    <w:rsid w:val="00A55CA7"/>
    <w:rsid w:val="00A57121"/>
    <w:rsid w:val="00A57F8D"/>
    <w:rsid w:val="00A6056A"/>
    <w:rsid w:val="00A61059"/>
    <w:rsid w:val="00A661D8"/>
    <w:rsid w:val="00A67FD1"/>
    <w:rsid w:val="00A72025"/>
    <w:rsid w:val="00A72737"/>
    <w:rsid w:val="00A7582E"/>
    <w:rsid w:val="00A75C2F"/>
    <w:rsid w:val="00A76C07"/>
    <w:rsid w:val="00A77CF8"/>
    <w:rsid w:val="00A817D4"/>
    <w:rsid w:val="00A839EB"/>
    <w:rsid w:val="00A83EF4"/>
    <w:rsid w:val="00A926CD"/>
    <w:rsid w:val="00A94A57"/>
    <w:rsid w:val="00A9642B"/>
    <w:rsid w:val="00A965FD"/>
    <w:rsid w:val="00A96F3A"/>
    <w:rsid w:val="00AA08E0"/>
    <w:rsid w:val="00AA0910"/>
    <w:rsid w:val="00AA10AE"/>
    <w:rsid w:val="00AA1FCB"/>
    <w:rsid w:val="00AA23C5"/>
    <w:rsid w:val="00AA28FA"/>
    <w:rsid w:val="00AA2B3A"/>
    <w:rsid w:val="00AA32F1"/>
    <w:rsid w:val="00AA6C09"/>
    <w:rsid w:val="00AA7336"/>
    <w:rsid w:val="00AA79C2"/>
    <w:rsid w:val="00AA7B8D"/>
    <w:rsid w:val="00AB0E76"/>
    <w:rsid w:val="00AB14C1"/>
    <w:rsid w:val="00AB1D32"/>
    <w:rsid w:val="00AB30F7"/>
    <w:rsid w:val="00AB461C"/>
    <w:rsid w:val="00AB66F2"/>
    <w:rsid w:val="00AC526C"/>
    <w:rsid w:val="00AC5E30"/>
    <w:rsid w:val="00AC7859"/>
    <w:rsid w:val="00AC7A38"/>
    <w:rsid w:val="00AC7A71"/>
    <w:rsid w:val="00AD31BC"/>
    <w:rsid w:val="00AD4DFD"/>
    <w:rsid w:val="00AD5640"/>
    <w:rsid w:val="00AE00EC"/>
    <w:rsid w:val="00AE1290"/>
    <w:rsid w:val="00AE1EA5"/>
    <w:rsid w:val="00AE2EF9"/>
    <w:rsid w:val="00AE6A05"/>
    <w:rsid w:val="00AF2141"/>
    <w:rsid w:val="00AF2AB7"/>
    <w:rsid w:val="00AF4DCB"/>
    <w:rsid w:val="00AF52A0"/>
    <w:rsid w:val="00AF5831"/>
    <w:rsid w:val="00AF7CEF"/>
    <w:rsid w:val="00B019BB"/>
    <w:rsid w:val="00B04564"/>
    <w:rsid w:val="00B055B3"/>
    <w:rsid w:val="00B10103"/>
    <w:rsid w:val="00B1143C"/>
    <w:rsid w:val="00B133EF"/>
    <w:rsid w:val="00B1477E"/>
    <w:rsid w:val="00B14D7D"/>
    <w:rsid w:val="00B15250"/>
    <w:rsid w:val="00B158FB"/>
    <w:rsid w:val="00B166F1"/>
    <w:rsid w:val="00B22DAB"/>
    <w:rsid w:val="00B25209"/>
    <w:rsid w:val="00B30050"/>
    <w:rsid w:val="00B3056D"/>
    <w:rsid w:val="00B356CF"/>
    <w:rsid w:val="00B369AA"/>
    <w:rsid w:val="00B37050"/>
    <w:rsid w:val="00B3775C"/>
    <w:rsid w:val="00B377FC"/>
    <w:rsid w:val="00B40D67"/>
    <w:rsid w:val="00B4282A"/>
    <w:rsid w:val="00B43B3A"/>
    <w:rsid w:val="00B44B73"/>
    <w:rsid w:val="00B45C43"/>
    <w:rsid w:val="00B46B3E"/>
    <w:rsid w:val="00B52679"/>
    <w:rsid w:val="00B52943"/>
    <w:rsid w:val="00B56775"/>
    <w:rsid w:val="00B647CC"/>
    <w:rsid w:val="00B64A83"/>
    <w:rsid w:val="00B65CA2"/>
    <w:rsid w:val="00B67328"/>
    <w:rsid w:val="00B67BC0"/>
    <w:rsid w:val="00B7139A"/>
    <w:rsid w:val="00B718F4"/>
    <w:rsid w:val="00B72E2B"/>
    <w:rsid w:val="00B73AD8"/>
    <w:rsid w:val="00B74271"/>
    <w:rsid w:val="00B74B75"/>
    <w:rsid w:val="00B811BE"/>
    <w:rsid w:val="00B8214C"/>
    <w:rsid w:val="00B8267B"/>
    <w:rsid w:val="00B831B5"/>
    <w:rsid w:val="00B83A41"/>
    <w:rsid w:val="00B84329"/>
    <w:rsid w:val="00B932E6"/>
    <w:rsid w:val="00B952A6"/>
    <w:rsid w:val="00BA6FA4"/>
    <w:rsid w:val="00BA71D4"/>
    <w:rsid w:val="00BB0857"/>
    <w:rsid w:val="00BB48AB"/>
    <w:rsid w:val="00BC73DC"/>
    <w:rsid w:val="00BC7B98"/>
    <w:rsid w:val="00BCCFA7"/>
    <w:rsid w:val="00BD465B"/>
    <w:rsid w:val="00BD533E"/>
    <w:rsid w:val="00BD63EB"/>
    <w:rsid w:val="00BE0EE7"/>
    <w:rsid w:val="00BE135C"/>
    <w:rsid w:val="00BE36D4"/>
    <w:rsid w:val="00BE6F84"/>
    <w:rsid w:val="00BE7D9F"/>
    <w:rsid w:val="00BF17E8"/>
    <w:rsid w:val="00BF310B"/>
    <w:rsid w:val="00BF3BFE"/>
    <w:rsid w:val="00BF3C00"/>
    <w:rsid w:val="00BF4070"/>
    <w:rsid w:val="00BF4B68"/>
    <w:rsid w:val="00BF5229"/>
    <w:rsid w:val="00BF589E"/>
    <w:rsid w:val="00BF5D08"/>
    <w:rsid w:val="00BF6714"/>
    <w:rsid w:val="00C00F63"/>
    <w:rsid w:val="00C03DA8"/>
    <w:rsid w:val="00C10C3B"/>
    <w:rsid w:val="00C12301"/>
    <w:rsid w:val="00C13399"/>
    <w:rsid w:val="00C1436B"/>
    <w:rsid w:val="00C15A3C"/>
    <w:rsid w:val="00C16810"/>
    <w:rsid w:val="00C168A4"/>
    <w:rsid w:val="00C17D72"/>
    <w:rsid w:val="00C229BC"/>
    <w:rsid w:val="00C22DC1"/>
    <w:rsid w:val="00C23581"/>
    <w:rsid w:val="00C26325"/>
    <w:rsid w:val="00C26A8F"/>
    <w:rsid w:val="00C316B1"/>
    <w:rsid w:val="00C32631"/>
    <w:rsid w:val="00C32A74"/>
    <w:rsid w:val="00C33148"/>
    <w:rsid w:val="00C33AD2"/>
    <w:rsid w:val="00C33B5B"/>
    <w:rsid w:val="00C34017"/>
    <w:rsid w:val="00C34C50"/>
    <w:rsid w:val="00C370BB"/>
    <w:rsid w:val="00C37EDE"/>
    <w:rsid w:val="00C40FD2"/>
    <w:rsid w:val="00C45C11"/>
    <w:rsid w:val="00C4632F"/>
    <w:rsid w:val="00C463F2"/>
    <w:rsid w:val="00C54106"/>
    <w:rsid w:val="00C54EC6"/>
    <w:rsid w:val="00C57A02"/>
    <w:rsid w:val="00C6140B"/>
    <w:rsid w:val="00C630F3"/>
    <w:rsid w:val="00C63DCA"/>
    <w:rsid w:val="00C6470B"/>
    <w:rsid w:val="00C7146B"/>
    <w:rsid w:val="00C74232"/>
    <w:rsid w:val="00C75B73"/>
    <w:rsid w:val="00C75BB4"/>
    <w:rsid w:val="00C80834"/>
    <w:rsid w:val="00C82033"/>
    <w:rsid w:val="00C843A6"/>
    <w:rsid w:val="00C90355"/>
    <w:rsid w:val="00C919DE"/>
    <w:rsid w:val="00C92C71"/>
    <w:rsid w:val="00C92E30"/>
    <w:rsid w:val="00C9560C"/>
    <w:rsid w:val="00C96314"/>
    <w:rsid w:val="00CA0067"/>
    <w:rsid w:val="00CA2D1F"/>
    <w:rsid w:val="00CA430F"/>
    <w:rsid w:val="00CA6D99"/>
    <w:rsid w:val="00CA713C"/>
    <w:rsid w:val="00CB00FB"/>
    <w:rsid w:val="00CB2D60"/>
    <w:rsid w:val="00CB4F6C"/>
    <w:rsid w:val="00CB7FBC"/>
    <w:rsid w:val="00CC026D"/>
    <w:rsid w:val="00CC1DE4"/>
    <w:rsid w:val="00CC1E13"/>
    <w:rsid w:val="00CC5BB6"/>
    <w:rsid w:val="00CC6ED3"/>
    <w:rsid w:val="00CD4D48"/>
    <w:rsid w:val="00CD554C"/>
    <w:rsid w:val="00CE1456"/>
    <w:rsid w:val="00CE29B0"/>
    <w:rsid w:val="00CE2C0E"/>
    <w:rsid w:val="00CE39E9"/>
    <w:rsid w:val="00CE59DE"/>
    <w:rsid w:val="00CE7953"/>
    <w:rsid w:val="00CF1502"/>
    <w:rsid w:val="00CF1838"/>
    <w:rsid w:val="00CF1D89"/>
    <w:rsid w:val="00CF3DFF"/>
    <w:rsid w:val="00CF71B1"/>
    <w:rsid w:val="00D025E9"/>
    <w:rsid w:val="00D03A05"/>
    <w:rsid w:val="00D06683"/>
    <w:rsid w:val="00D07E35"/>
    <w:rsid w:val="00D20381"/>
    <w:rsid w:val="00D21310"/>
    <w:rsid w:val="00D244C7"/>
    <w:rsid w:val="00D24A1B"/>
    <w:rsid w:val="00D25159"/>
    <w:rsid w:val="00D26551"/>
    <w:rsid w:val="00D26A6A"/>
    <w:rsid w:val="00D270CB"/>
    <w:rsid w:val="00D31D35"/>
    <w:rsid w:val="00D366E3"/>
    <w:rsid w:val="00D40BC5"/>
    <w:rsid w:val="00D43F1C"/>
    <w:rsid w:val="00D479F8"/>
    <w:rsid w:val="00D51FB0"/>
    <w:rsid w:val="00D538D1"/>
    <w:rsid w:val="00D53EAA"/>
    <w:rsid w:val="00D64038"/>
    <w:rsid w:val="00D650DC"/>
    <w:rsid w:val="00D72290"/>
    <w:rsid w:val="00D72B5A"/>
    <w:rsid w:val="00D73C44"/>
    <w:rsid w:val="00D807C1"/>
    <w:rsid w:val="00D80A88"/>
    <w:rsid w:val="00D81564"/>
    <w:rsid w:val="00D82181"/>
    <w:rsid w:val="00D871F5"/>
    <w:rsid w:val="00D8773E"/>
    <w:rsid w:val="00D9035C"/>
    <w:rsid w:val="00D92690"/>
    <w:rsid w:val="00D92AB0"/>
    <w:rsid w:val="00D934F2"/>
    <w:rsid w:val="00DA1BD2"/>
    <w:rsid w:val="00DA7513"/>
    <w:rsid w:val="00DB0555"/>
    <w:rsid w:val="00DB1FF4"/>
    <w:rsid w:val="00DB4C29"/>
    <w:rsid w:val="00DC015A"/>
    <w:rsid w:val="00DC63AF"/>
    <w:rsid w:val="00DD18C2"/>
    <w:rsid w:val="00DD48C7"/>
    <w:rsid w:val="00DD5846"/>
    <w:rsid w:val="00DD6770"/>
    <w:rsid w:val="00DD696B"/>
    <w:rsid w:val="00DD7387"/>
    <w:rsid w:val="00DE08AE"/>
    <w:rsid w:val="00DE1AF3"/>
    <w:rsid w:val="00DE29A7"/>
    <w:rsid w:val="00DE2DDC"/>
    <w:rsid w:val="00DE5BC6"/>
    <w:rsid w:val="00DF007B"/>
    <w:rsid w:val="00DF0335"/>
    <w:rsid w:val="00DF0A44"/>
    <w:rsid w:val="00DF47D3"/>
    <w:rsid w:val="00DF7C9D"/>
    <w:rsid w:val="00E02F69"/>
    <w:rsid w:val="00E02FED"/>
    <w:rsid w:val="00E03223"/>
    <w:rsid w:val="00E04FD6"/>
    <w:rsid w:val="00E062D0"/>
    <w:rsid w:val="00E06F0A"/>
    <w:rsid w:val="00E11E70"/>
    <w:rsid w:val="00E12F98"/>
    <w:rsid w:val="00E13010"/>
    <w:rsid w:val="00E16E23"/>
    <w:rsid w:val="00E17C85"/>
    <w:rsid w:val="00E20DFE"/>
    <w:rsid w:val="00E21889"/>
    <w:rsid w:val="00E2254F"/>
    <w:rsid w:val="00E23B8E"/>
    <w:rsid w:val="00E24FD5"/>
    <w:rsid w:val="00E2695C"/>
    <w:rsid w:val="00E27683"/>
    <w:rsid w:val="00E339BD"/>
    <w:rsid w:val="00E34429"/>
    <w:rsid w:val="00E35A08"/>
    <w:rsid w:val="00E41372"/>
    <w:rsid w:val="00E413AA"/>
    <w:rsid w:val="00E4247B"/>
    <w:rsid w:val="00E43311"/>
    <w:rsid w:val="00E449DA"/>
    <w:rsid w:val="00E44AA8"/>
    <w:rsid w:val="00E50DC8"/>
    <w:rsid w:val="00E5156E"/>
    <w:rsid w:val="00E547D0"/>
    <w:rsid w:val="00E576AC"/>
    <w:rsid w:val="00E6270E"/>
    <w:rsid w:val="00E63160"/>
    <w:rsid w:val="00E662C9"/>
    <w:rsid w:val="00E66374"/>
    <w:rsid w:val="00E67A41"/>
    <w:rsid w:val="00E705E9"/>
    <w:rsid w:val="00E738B1"/>
    <w:rsid w:val="00E73F89"/>
    <w:rsid w:val="00E74740"/>
    <w:rsid w:val="00E74BA1"/>
    <w:rsid w:val="00E751EB"/>
    <w:rsid w:val="00E75D90"/>
    <w:rsid w:val="00E829A8"/>
    <w:rsid w:val="00E8462B"/>
    <w:rsid w:val="00E86A7B"/>
    <w:rsid w:val="00E87B0D"/>
    <w:rsid w:val="00E937E3"/>
    <w:rsid w:val="00E95A93"/>
    <w:rsid w:val="00E97B7E"/>
    <w:rsid w:val="00EA0BC5"/>
    <w:rsid w:val="00EA1DFD"/>
    <w:rsid w:val="00EA2A6C"/>
    <w:rsid w:val="00EA4797"/>
    <w:rsid w:val="00EA4DC0"/>
    <w:rsid w:val="00EA580B"/>
    <w:rsid w:val="00EA6478"/>
    <w:rsid w:val="00EB00B0"/>
    <w:rsid w:val="00EB0B56"/>
    <w:rsid w:val="00EB0F37"/>
    <w:rsid w:val="00EB22D2"/>
    <w:rsid w:val="00EB2E1A"/>
    <w:rsid w:val="00EB3F6B"/>
    <w:rsid w:val="00EB52CF"/>
    <w:rsid w:val="00EC57CF"/>
    <w:rsid w:val="00ED1040"/>
    <w:rsid w:val="00EE0805"/>
    <w:rsid w:val="00EE3779"/>
    <w:rsid w:val="00EE3B93"/>
    <w:rsid w:val="00EE4C79"/>
    <w:rsid w:val="00EE67F9"/>
    <w:rsid w:val="00EE7C53"/>
    <w:rsid w:val="00EEBA6A"/>
    <w:rsid w:val="00EF1E44"/>
    <w:rsid w:val="00EF30A9"/>
    <w:rsid w:val="00EF6104"/>
    <w:rsid w:val="00EF63F9"/>
    <w:rsid w:val="00EF6526"/>
    <w:rsid w:val="00EF6B34"/>
    <w:rsid w:val="00EF6D7A"/>
    <w:rsid w:val="00EF7515"/>
    <w:rsid w:val="00F0055D"/>
    <w:rsid w:val="00F019D7"/>
    <w:rsid w:val="00F0227C"/>
    <w:rsid w:val="00F026CA"/>
    <w:rsid w:val="00F03CC7"/>
    <w:rsid w:val="00F03E08"/>
    <w:rsid w:val="00F10543"/>
    <w:rsid w:val="00F10C23"/>
    <w:rsid w:val="00F12178"/>
    <w:rsid w:val="00F14202"/>
    <w:rsid w:val="00F148AD"/>
    <w:rsid w:val="00F152D4"/>
    <w:rsid w:val="00F152EA"/>
    <w:rsid w:val="00F16A26"/>
    <w:rsid w:val="00F17BAE"/>
    <w:rsid w:val="00F17CEA"/>
    <w:rsid w:val="00F223B8"/>
    <w:rsid w:val="00F22EAF"/>
    <w:rsid w:val="00F243F3"/>
    <w:rsid w:val="00F24C25"/>
    <w:rsid w:val="00F25A39"/>
    <w:rsid w:val="00F262E9"/>
    <w:rsid w:val="00F31A86"/>
    <w:rsid w:val="00F34366"/>
    <w:rsid w:val="00F3607D"/>
    <w:rsid w:val="00F40033"/>
    <w:rsid w:val="00F40303"/>
    <w:rsid w:val="00F41920"/>
    <w:rsid w:val="00F46195"/>
    <w:rsid w:val="00F46A57"/>
    <w:rsid w:val="00F479E3"/>
    <w:rsid w:val="00F5357A"/>
    <w:rsid w:val="00F54301"/>
    <w:rsid w:val="00F5433C"/>
    <w:rsid w:val="00F57B4B"/>
    <w:rsid w:val="00F57E8A"/>
    <w:rsid w:val="00F614CE"/>
    <w:rsid w:val="00F66D8B"/>
    <w:rsid w:val="00F75848"/>
    <w:rsid w:val="00F779CB"/>
    <w:rsid w:val="00F803B6"/>
    <w:rsid w:val="00F8059F"/>
    <w:rsid w:val="00F84229"/>
    <w:rsid w:val="00F91456"/>
    <w:rsid w:val="00F91D71"/>
    <w:rsid w:val="00F93537"/>
    <w:rsid w:val="00F93953"/>
    <w:rsid w:val="00F93DBF"/>
    <w:rsid w:val="00F946DA"/>
    <w:rsid w:val="00F94B16"/>
    <w:rsid w:val="00F94C6A"/>
    <w:rsid w:val="00FA40EA"/>
    <w:rsid w:val="00FA685F"/>
    <w:rsid w:val="00FB634A"/>
    <w:rsid w:val="00FB6A6C"/>
    <w:rsid w:val="00FC1ED9"/>
    <w:rsid w:val="00FC38F8"/>
    <w:rsid w:val="00FC3B33"/>
    <w:rsid w:val="00FC54E3"/>
    <w:rsid w:val="00FC6510"/>
    <w:rsid w:val="00FC7034"/>
    <w:rsid w:val="00FC7176"/>
    <w:rsid w:val="00FD0340"/>
    <w:rsid w:val="00FD1D3F"/>
    <w:rsid w:val="00FD231E"/>
    <w:rsid w:val="00FD30A3"/>
    <w:rsid w:val="00FD465D"/>
    <w:rsid w:val="00FD4E92"/>
    <w:rsid w:val="00FD5379"/>
    <w:rsid w:val="00FE2F1B"/>
    <w:rsid w:val="00FE3ADD"/>
    <w:rsid w:val="00FE44AA"/>
    <w:rsid w:val="00FF09DB"/>
    <w:rsid w:val="00FF2E29"/>
    <w:rsid w:val="00FF3232"/>
    <w:rsid w:val="00FF325D"/>
    <w:rsid w:val="00FF4F7E"/>
    <w:rsid w:val="00FF51AA"/>
    <w:rsid w:val="00FF64E3"/>
    <w:rsid w:val="0143AB71"/>
    <w:rsid w:val="016267BE"/>
    <w:rsid w:val="01723732"/>
    <w:rsid w:val="019AC295"/>
    <w:rsid w:val="01E0A659"/>
    <w:rsid w:val="01E0F6F7"/>
    <w:rsid w:val="01E608D6"/>
    <w:rsid w:val="0201DB17"/>
    <w:rsid w:val="020A1A11"/>
    <w:rsid w:val="020D0FF9"/>
    <w:rsid w:val="021431EB"/>
    <w:rsid w:val="021AB22C"/>
    <w:rsid w:val="02481E70"/>
    <w:rsid w:val="0254FC34"/>
    <w:rsid w:val="02B46093"/>
    <w:rsid w:val="02B8DB68"/>
    <w:rsid w:val="02C4EEB1"/>
    <w:rsid w:val="030B0AF8"/>
    <w:rsid w:val="0320833D"/>
    <w:rsid w:val="036F4E9A"/>
    <w:rsid w:val="037F8880"/>
    <w:rsid w:val="0381A613"/>
    <w:rsid w:val="03946E1B"/>
    <w:rsid w:val="03C7A425"/>
    <w:rsid w:val="03EBE6CB"/>
    <w:rsid w:val="040B363C"/>
    <w:rsid w:val="042E29F5"/>
    <w:rsid w:val="046EFBA0"/>
    <w:rsid w:val="04A6FE84"/>
    <w:rsid w:val="04AD2ADC"/>
    <w:rsid w:val="04C3CDF5"/>
    <w:rsid w:val="04CED717"/>
    <w:rsid w:val="04D69CCF"/>
    <w:rsid w:val="04E76701"/>
    <w:rsid w:val="050F9511"/>
    <w:rsid w:val="0553BA53"/>
    <w:rsid w:val="055BC924"/>
    <w:rsid w:val="057AD68C"/>
    <w:rsid w:val="05AFA1AF"/>
    <w:rsid w:val="05C3D315"/>
    <w:rsid w:val="05DE9E87"/>
    <w:rsid w:val="05E4CDFC"/>
    <w:rsid w:val="06035476"/>
    <w:rsid w:val="060ABFD5"/>
    <w:rsid w:val="06152D19"/>
    <w:rsid w:val="061992FF"/>
    <w:rsid w:val="063C0488"/>
    <w:rsid w:val="06660E4D"/>
    <w:rsid w:val="067457CF"/>
    <w:rsid w:val="06776F40"/>
    <w:rsid w:val="070421C1"/>
    <w:rsid w:val="0708BFFB"/>
    <w:rsid w:val="0736F6D3"/>
    <w:rsid w:val="073C2532"/>
    <w:rsid w:val="075BDBD1"/>
    <w:rsid w:val="07609424"/>
    <w:rsid w:val="07893D40"/>
    <w:rsid w:val="079680B7"/>
    <w:rsid w:val="07FDE379"/>
    <w:rsid w:val="08487C06"/>
    <w:rsid w:val="0855FC83"/>
    <w:rsid w:val="0856E790"/>
    <w:rsid w:val="0863623E"/>
    <w:rsid w:val="08B723E7"/>
    <w:rsid w:val="0923F67A"/>
    <w:rsid w:val="093B18DB"/>
    <w:rsid w:val="096690C9"/>
    <w:rsid w:val="096F122C"/>
    <w:rsid w:val="0991BA14"/>
    <w:rsid w:val="09A96BAF"/>
    <w:rsid w:val="09CA120A"/>
    <w:rsid w:val="09CCEF66"/>
    <w:rsid w:val="09DE9700"/>
    <w:rsid w:val="09E6A222"/>
    <w:rsid w:val="09E72946"/>
    <w:rsid w:val="0A12D9A5"/>
    <w:rsid w:val="0A30EBE0"/>
    <w:rsid w:val="0A3156CC"/>
    <w:rsid w:val="0A411B9E"/>
    <w:rsid w:val="0A8C9078"/>
    <w:rsid w:val="0A9628DE"/>
    <w:rsid w:val="0AA2F0B8"/>
    <w:rsid w:val="0AB9DD16"/>
    <w:rsid w:val="0ADA4F44"/>
    <w:rsid w:val="0B1C0D6F"/>
    <w:rsid w:val="0BC31BBE"/>
    <w:rsid w:val="0BCA8CF2"/>
    <w:rsid w:val="0BDAF860"/>
    <w:rsid w:val="0BE65014"/>
    <w:rsid w:val="0C0B4F05"/>
    <w:rsid w:val="0C3E2C52"/>
    <w:rsid w:val="0C3ECCED"/>
    <w:rsid w:val="0C4A09AC"/>
    <w:rsid w:val="0C5C647F"/>
    <w:rsid w:val="0CB2AB54"/>
    <w:rsid w:val="0CCDAB81"/>
    <w:rsid w:val="0D3AD788"/>
    <w:rsid w:val="0D4174ED"/>
    <w:rsid w:val="0D770AFF"/>
    <w:rsid w:val="0D915F3D"/>
    <w:rsid w:val="0D9A7972"/>
    <w:rsid w:val="0DD38C1E"/>
    <w:rsid w:val="0DE00F52"/>
    <w:rsid w:val="0E234454"/>
    <w:rsid w:val="0E35C5E9"/>
    <w:rsid w:val="0E87239C"/>
    <w:rsid w:val="0E97E761"/>
    <w:rsid w:val="0E9AF0AD"/>
    <w:rsid w:val="0EA57D62"/>
    <w:rsid w:val="0EBC3331"/>
    <w:rsid w:val="0EDE2CD6"/>
    <w:rsid w:val="0F0A6FCB"/>
    <w:rsid w:val="0F0C8A35"/>
    <w:rsid w:val="0F1FF93C"/>
    <w:rsid w:val="0F85BEA2"/>
    <w:rsid w:val="0FBB3B68"/>
    <w:rsid w:val="0FC31CCA"/>
    <w:rsid w:val="0FEC6FEA"/>
    <w:rsid w:val="1027485C"/>
    <w:rsid w:val="108D9567"/>
    <w:rsid w:val="10A04516"/>
    <w:rsid w:val="10F36200"/>
    <w:rsid w:val="11238409"/>
    <w:rsid w:val="1158FAD8"/>
    <w:rsid w:val="117BD78A"/>
    <w:rsid w:val="119C8E9F"/>
    <w:rsid w:val="11B6ACB3"/>
    <w:rsid w:val="12058047"/>
    <w:rsid w:val="120D4F41"/>
    <w:rsid w:val="12176B6C"/>
    <w:rsid w:val="121CF75A"/>
    <w:rsid w:val="121D9C94"/>
    <w:rsid w:val="122AF628"/>
    <w:rsid w:val="128D7E9A"/>
    <w:rsid w:val="128E7DEE"/>
    <w:rsid w:val="1299B5F3"/>
    <w:rsid w:val="12D2FC93"/>
    <w:rsid w:val="12DFC3C8"/>
    <w:rsid w:val="12FD5383"/>
    <w:rsid w:val="1308A024"/>
    <w:rsid w:val="13107E6F"/>
    <w:rsid w:val="133FA359"/>
    <w:rsid w:val="1343416A"/>
    <w:rsid w:val="134B4C01"/>
    <w:rsid w:val="135D2302"/>
    <w:rsid w:val="137DE465"/>
    <w:rsid w:val="138888F5"/>
    <w:rsid w:val="13BF555F"/>
    <w:rsid w:val="13D8EDE3"/>
    <w:rsid w:val="141D2CAE"/>
    <w:rsid w:val="142A0D5D"/>
    <w:rsid w:val="142DCCEB"/>
    <w:rsid w:val="143596A0"/>
    <w:rsid w:val="143B0B63"/>
    <w:rsid w:val="143DFCB8"/>
    <w:rsid w:val="144090ED"/>
    <w:rsid w:val="1468B665"/>
    <w:rsid w:val="14732E39"/>
    <w:rsid w:val="1476063A"/>
    <w:rsid w:val="14B54CC6"/>
    <w:rsid w:val="14BE504D"/>
    <w:rsid w:val="14DF486F"/>
    <w:rsid w:val="14E90757"/>
    <w:rsid w:val="152FEE95"/>
    <w:rsid w:val="15667418"/>
    <w:rsid w:val="156D0E64"/>
    <w:rsid w:val="1584A4B8"/>
    <w:rsid w:val="15B67740"/>
    <w:rsid w:val="15D76A1F"/>
    <w:rsid w:val="15E15449"/>
    <w:rsid w:val="15F0EED8"/>
    <w:rsid w:val="163F3FC6"/>
    <w:rsid w:val="164E923A"/>
    <w:rsid w:val="1671C6CA"/>
    <w:rsid w:val="168B1DEC"/>
    <w:rsid w:val="16A50FD3"/>
    <w:rsid w:val="16AD32D2"/>
    <w:rsid w:val="17030ACB"/>
    <w:rsid w:val="172F56D9"/>
    <w:rsid w:val="173A4E3B"/>
    <w:rsid w:val="177BD577"/>
    <w:rsid w:val="177EE598"/>
    <w:rsid w:val="17C0A47B"/>
    <w:rsid w:val="17C56283"/>
    <w:rsid w:val="17EDAAC9"/>
    <w:rsid w:val="18190774"/>
    <w:rsid w:val="1828BDB0"/>
    <w:rsid w:val="182A5AB6"/>
    <w:rsid w:val="18481A90"/>
    <w:rsid w:val="184A053B"/>
    <w:rsid w:val="189A210C"/>
    <w:rsid w:val="18A4FFB4"/>
    <w:rsid w:val="18A579F1"/>
    <w:rsid w:val="18A5CD36"/>
    <w:rsid w:val="18DD0425"/>
    <w:rsid w:val="18E52D96"/>
    <w:rsid w:val="18F98864"/>
    <w:rsid w:val="19C1FB0B"/>
    <w:rsid w:val="19E723C8"/>
    <w:rsid w:val="1A7F375C"/>
    <w:rsid w:val="1A9C4CF2"/>
    <w:rsid w:val="1AA1830F"/>
    <w:rsid w:val="1AE6BD26"/>
    <w:rsid w:val="1AE978EE"/>
    <w:rsid w:val="1B2518D7"/>
    <w:rsid w:val="1B848016"/>
    <w:rsid w:val="1B891ECF"/>
    <w:rsid w:val="1BAC9F40"/>
    <w:rsid w:val="1BBDACE1"/>
    <w:rsid w:val="1BC8EBBC"/>
    <w:rsid w:val="1BCDB544"/>
    <w:rsid w:val="1BDF26AC"/>
    <w:rsid w:val="1C2BCD05"/>
    <w:rsid w:val="1C2CBE77"/>
    <w:rsid w:val="1C30DBC3"/>
    <w:rsid w:val="1C3310F5"/>
    <w:rsid w:val="1C3C6A72"/>
    <w:rsid w:val="1C7E8A9E"/>
    <w:rsid w:val="1C96A885"/>
    <w:rsid w:val="1CA35E70"/>
    <w:rsid w:val="1CCE3FFA"/>
    <w:rsid w:val="1CDF04BD"/>
    <w:rsid w:val="1CEA3189"/>
    <w:rsid w:val="1CFD52A0"/>
    <w:rsid w:val="1D02CEF7"/>
    <w:rsid w:val="1D4C5EC2"/>
    <w:rsid w:val="1D54DA69"/>
    <w:rsid w:val="1D7AC61E"/>
    <w:rsid w:val="1D90575A"/>
    <w:rsid w:val="1DAC1DE5"/>
    <w:rsid w:val="1DB4ADAD"/>
    <w:rsid w:val="1DDF515E"/>
    <w:rsid w:val="1E01217F"/>
    <w:rsid w:val="1E1D1427"/>
    <w:rsid w:val="1E73A51E"/>
    <w:rsid w:val="1EAD68DD"/>
    <w:rsid w:val="1EC4FBC0"/>
    <w:rsid w:val="1EE3D7D2"/>
    <w:rsid w:val="1EF8FFB2"/>
    <w:rsid w:val="1F08A6CB"/>
    <w:rsid w:val="1F3D6131"/>
    <w:rsid w:val="1F78CD5B"/>
    <w:rsid w:val="1FB45ACF"/>
    <w:rsid w:val="1FC73EB3"/>
    <w:rsid w:val="1FECCE56"/>
    <w:rsid w:val="1FF1EAC8"/>
    <w:rsid w:val="200F753D"/>
    <w:rsid w:val="2011D817"/>
    <w:rsid w:val="202B6710"/>
    <w:rsid w:val="20537D4C"/>
    <w:rsid w:val="20795DE0"/>
    <w:rsid w:val="207FC1C4"/>
    <w:rsid w:val="20BCD882"/>
    <w:rsid w:val="20C0ABC8"/>
    <w:rsid w:val="20CEC92E"/>
    <w:rsid w:val="210E55D0"/>
    <w:rsid w:val="213FE9A0"/>
    <w:rsid w:val="2170D1AC"/>
    <w:rsid w:val="217DD851"/>
    <w:rsid w:val="218325B9"/>
    <w:rsid w:val="21EF027F"/>
    <w:rsid w:val="220FF9B0"/>
    <w:rsid w:val="222A8372"/>
    <w:rsid w:val="2266FD5B"/>
    <w:rsid w:val="2290842F"/>
    <w:rsid w:val="2297C054"/>
    <w:rsid w:val="22A0C8AF"/>
    <w:rsid w:val="22DC8639"/>
    <w:rsid w:val="22E77C27"/>
    <w:rsid w:val="23137054"/>
    <w:rsid w:val="231B20A1"/>
    <w:rsid w:val="2357C8A0"/>
    <w:rsid w:val="236AA810"/>
    <w:rsid w:val="23DEF6BB"/>
    <w:rsid w:val="23F46D4C"/>
    <w:rsid w:val="2401719F"/>
    <w:rsid w:val="24661C02"/>
    <w:rsid w:val="2472AA72"/>
    <w:rsid w:val="249AF07D"/>
    <w:rsid w:val="24C550AC"/>
    <w:rsid w:val="24FB6319"/>
    <w:rsid w:val="25081F5C"/>
    <w:rsid w:val="25250D37"/>
    <w:rsid w:val="2531605D"/>
    <w:rsid w:val="2532D6A5"/>
    <w:rsid w:val="253FE596"/>
    <w:rsid w:val="25821442"/>
    <w:rsid w:val="25D214A0"/>
    <w:rsid w:val="25D72F41"/>
    <w:rsid w:val="26101138"/>
    <w:rsid w:val="261D61A2"/>
    <w:rsid w:val="2632F749"/>
    <w:rsid w:val="264EF7BF"/>
    <w:rsid w:val="2664D229"/>
    <w:rsid w:val="269C4913"/>
    <w:rsid w:val="26AD67F1"/>
    <w:rsid w:val="26BDEA53"/>
    <w:rsid w:val="26C225B1"/>
    <w:rsid w:val="26CB04D0"/>
    <w:rsid w:val="26D3A911"/>
    <w:rsid w:val="26DB9F8F"/>
    <w:rsid w:val="26E49EAB"/>
    <w:rsid w:val="27033D40"/>
    <w:rsid w:val="27449B05"/>
    <w:rsid w:val="27B20319"/>
    <w:rsid w:val="27C0BDAC"/>
    <w:rsid w:val="27C3AAF7"/>
    <w:rsid w:val="27EB42D3"/>
    <w:rsid w:val="2806A1EB"/>
    <w:rsid w:val="281D2A81"/>
    <w:rsid w:val="2898BC08"/>
    <w:rsid w:val="28B52E6D"/>
    <w:rsid w:val="28D27874"/>
    <w:rsid w:val="28DB7C32"/>
    <w:rsid w:val="28E03D97"/>
    <w:rsid w:val="29046A30"/>
    <w:rsid w:val="29216B73"/>
    <w:rsid w:val="296A540D"/>
    <w:rsid w:val="298952FD"/>
    <w:rsid w:val="29897494"/>
    <w:rsid w:val="29943B85"/>
    <w:rsid w:val="29D3EABB"/>
    <w:rsid w:val="29E022D4"/>
    <w:rsid w:val="29E7B53C"/>
    <w:rsid w:val="29F6587A"/>
    <w:rsid w:val="2A522A4C"/>
    <w:rsid w:val="2AB1D71C"/>
    <w:rsid w:val="2ACD1EA7"/>
    <w:rsid w:val="2B02CFCA"/>
    <w:rsid w:val="2B64AB9A"/>
    <w:rsid w:val="2B7A5928"/>
    <w:rsid w:val="2B90A622"/>
    <w:rsid w:val="2BA86E15"/>
    <w:rsid w:val="2BB96E0C"/>
    <w:rsid w:val="2BBE0525"/>
    <w:rsid w:val="2BEC05EC"/>
    <w:rsid w:val="2BF30D96"/>
    <w:rsid w:val="2C0AF5D3"/>
    <w:rsid w:val="2C3A94E9"/>
    <w:rsid w:val="2C618835"/>
    <w:rsid w:val="2C6C7862"/>
    <w:rsid w:val="2C758AD1"/>
    <w:rsid w:val="2CA725FE"/>
    <w:rsid w:val="2CAC656B"/>
    <w:rsid w:val="2CBB62EA"/>
    <w:rsid w:val="2D2E1738"/>
    <w:rsid w:val="2D45BEDA"/>
    <w:rsid w:val="2D4EA835"/>
    <w:rsid w:val="2D577E5D"/>
    <w:rsid w:val="2D5C6861"/>
    <w:rsid w:val="2D5E2BAB"/>
    <w:rsid w:val="2D8B3ADF"/>
    <w:rsid w:val="2D9B6FC0"/>
    <w:rsid w:val="2DA952CF"/>
    <w:rsid w:val="2DB89802"/>
    <w:rsid w:val="2E13BDCD"/>
    <w:rsid w:val="2E32C52F"/>
    <w:rsid w:val="2E893615"/>
    <w:rsid w:val="2E9388CA"/>
    <w:rsid w:val="2EB02A21"/>
    <w:rsid w:val="2ED3C8BE"/>
    <w:rsid w:val="2F23658A"/>
    <w:rsid w:val="2F487537"/>
    <w:rsid w:val="2F4FEB87"/>
    <w:rsid w:val="2F5BFEC9"/>
    <w:rsid w:val="2F6134FA"/>
    <w:rsid w:val="2F705E83"/>
    <w:rsid w:val="2F784B73"/>
    <w:rsid w:val="2F8CFB57"/>
    <w:rsid w:val="2FA12FD6"/>
    <w:rsid w:val="2FA8CD4A"/>
    <w:rsid w:val="2FAE9D42"/>
    <w:rsid w:val="2FAF7EFE"/>
    <w:rsid w:val="2FBB63C1"/>
    <w:rsid w:val="2FE38D48"/>
    <w:rsid w:val="2FEA7AC2"/>
    <w:rsid w:val="2FFF3B2F"/>
    <w:rsid w:val="30375DAC"/>
    <w:rsid w:val="303C6A84"/>
    <w:rsid w:val="3042464A"/>
    <w:rsid w:val="307F66F3"/>
    <w:rsid w:val="308651F1"/>
    <w:rsid w:val="309A35FC"/>
    <w:rsid w:val="30AB2802"/>
    <w:rsid w:val="30BAFC7B"/>
    <w:rsid w:val="30BC43A0"/>
    <w:rsid w:val="311AA8A3"/>
    <w:rsid w:val="31541FA0"/>
    <w:rsid w:val="317C1A89"/>
    <w:rsid w:val="31819ADA"/>
    <w:rsid w:val="31D25FE0"/>
    <w:rsid w:val="3201931E"/>
    <w:rsid w:val="320DD01B"/>
    <w:rsid w:val="32124573"/>
    <w:rsid w:val="3252E704"/>
    <w:rsid w:val="3254D90D"/>
    <w:rsid w:val="3273E08E"/>
    <w:rsid w:val="3276DC23"/>
    <w:rsid w:val="3294B57F"/>
    <w:rsid w:val="329BD368"/>
    <w:rsid w:val="32B5065E"/>
    <w:rsid w:val="32B857D6"/>
    <w:rsid w:val="32BC309C"/>
    <w:rsid w:val="32CD0E2A"/>
    <w:rsid w:val="32E054D4"/>
    <w:rsid w:val="32F04E44"/>
    <w:rsid w:val="32FDE316"/>
    <w:rsid w:val="331A8C73"/>
    <w:rsid w:val="338B0556"/>
    <w:rsid w:val="33906304"/>
    <w:rsid w:val="33960641"/>
    <w:rsid w:val="33CEBCC0"/>
    <w:rsid w:val="33DA642D"/>
    <w:rsid w:val="346807CA"/>
    <w:rsid w:val="347742D6"/>
    <w:rsid w:val="3486844D"/>
    <w:rsid w:val="3489274A"/>
    <w:rsid w:val="34AC29F5"/>
    <w:rsid w:val="34ACBB33"/>
    <w:rsid w:val="34DCB98D"/>
    <w:rsid w:val="34E00CEA"/>
    <w:rsid w:val="350C7BB3"/>
    <w:rsid w:val="351AB4E9"/>
    <w:rsid w:val="353FC941"/>
    <w:rsid w:val="358AFA8D"/>
    <w:rsid w:val="358E8E1D"/>
    <w:rsid w:val="35D1A2ED"/>
    <w:rsid w:val="35D8C33B"/>
    <w:rsid w:val="35D92975"/>
    <w:rsid w:val="35F6981B"/>
    <w:rsid w:val="36607487"/>
    <w:rsid w:val="36692EC3"/>
    <w:rsid w:val="366C4D22"/>
    <w:rsid w:val="36708078"/>
    <w:rsid w:val="36895DF5"/>
    <w:rsid w:val="368D4026"/>
    <w:rsid w:val="369F11C6"/>
    <w:rsid w:val="36A24A41"/>
    <w:rsid w:val="36EE9206"/>
    <w:rsid w:val="36F7E980"/>
    <w:rsid w:val="371C3B2C"/>
    <w:rsid w:val="374AB30A"/>
    <w:rsid w:val="3754DCEC"/>
    <w:rsid w:val="375837E0"/>
    <w:rsid w:val="375F6325"/>
    <w:rsid w:val="376EA262"/>
    <w:rsid w:val="376F9029"/>
    <w:rsid w:val="378A7E9F"/>
    <w:rsid w:val="37AA2D4B"/>
    <w:rsid w:val="37B572A5"/>
    <w:rsid w:val="37F1B1C3"/>
    <w:rsid w:val="37F601AD"/>
    <w:rsid w:val="38049F3F"/>
    <w:rsid w:val="380B260F"/>
    <w:rsid w:val="380BB613"/>
    <w:rsid w:val="382228FE"/>
    <w:rsid w:val="386200B2"/>
    <w:rsid w:val="38B28CB2"/>
    <w:rsid w:val="38B65BFD"/>
    <w:rsid w:val="38C33586"/>
    <w:rsid w:val="38DBFBE5"/>
    <w:rsid w:val="38EB5D00"/>
    <w:rsid w:val="38FDB762"/>
    <w:rsid w:val="3900CFAA"/>
    <w:rsid w:val="39213700"/>
    <w:rsid w:val="3930E087"/>
    <w:rsid w:val="393626FE"/>
    <w:rsid w:val="393A14E3"/>
    <w:rsid w:val="3944CEA9"/>
    <w:rsid w:val="3948556E"/>
    <w:rsid w:val="394CE59A"/>
    <w:rsid w:val="39DB4B0E"/>
    <w:rsid w:val="39F7D63A"/>
    <w:rsid w:val="3A2963A4"/>
    <w:rsid w:val="3A55F693"/>
    <w:rsid w:val="3A5916A8"/>
    <w:rsid w:val="3A608214"/>
    <w:rsid w:val="3A7BFA60"/>
    <w:rsid w:val="3A801441"/>
    <w:rsid w:val="3ACC31AB"/>
    <w:rsid w:val="3AEC6FB8"/>
    <w:rsid w:val="3AF645A1"/>
    <w:rsid w:val="3B03ACDC"/>
    <w:rsid w:val="3B15DFC6"/>
    <w:rsid w:val="3B16603D"/>
    <w:rsid w:val="3B1E9B4E"/>
    <w:rsid w:val="3B3540FC"/>
    <w:rsid w:val="3B3560AA"/>
    <w:rsid w:val="3B9A0A15"/>
    <w:rsid w:val="3C1C1F33"/>
    <w:rsid w:val="3C439D04"/>
    <w:rsid w:val="3C6F3B58"/>
    <w:rsid w:val="3C7F3A20"/>
    <w:rsid w:val="3C995CE9"/>
    <w:rsid w:val="3CB34948"/>
    <w:rsid w:val="3CBE5BFC"/>
    <w:rsid w:val="3D40D976"/>
    <w:rsid w:val="3D45C598"/>
    <w:rsid w:val="3D502B35"/>
    <w:rsid w:val="3DBE2330"/>
    <w:rsid w:val="3DC4942A"/>
    <w:rsid w:val="3DC83259"/>
    <w:rsid w:val="3DDB7FE6"/>
    <w:rsid w:val="3DE58863"/>
    <w:rsid w:val="3E0BD67D"/>
    <w:rsid w:val="3E1ECB1A"/>
    <w:rsid w:val="3E919AEA"/>
    <w:rsid w:val="3EA56C93"/>
    <w:rsid w:val="3EA9DB83"/>
    <w:rsid w:val="3EDF8622"/>
    <w:rsid w:val="3EEE75D9"/>
    <w:rsid w:val="3F825CD6"/>
    <w:rsid w:val="3FA4F330"/>
    <w:rsid w:val="3FD3A2AB"/>
    <w:rsid w:val="401FDD8E"/>
    <w:rsid w:val="403A0E52"/>
    <w:rsid w:val="4044B4B3"/>
    <w:rsid w:val="407AD4CE"/>
    <w:rsid w:val="409EE204"/>
    <w:rsid w:val="40B07E63"/>
    <w:rsid w:val="40BC1475"/>
    <w:rsid w:val="40E376D9"/>
    <w:rsid w:val="40E9B91C"/>
    <w:rsid w:val="40EB5664"/>
    <w:rsid w:val="40FD404C"/>
    <w:rsid w:val="40FD9C6E"/>
    <w:rsid w:val="4123BED4"/>
    <w:rsid w:val="4135C33B"/>
    <w:rsid w:val="41510EAE"/>
    <w:rsid w:val="417B88D7"/>
    <w:rsid w:val="4186E7A9"/>
    <w:rsid w:val="418C0B4E"/>
    <w:rsid w:val="41CD4119"/>
    <w:rsid w:val="41D3D218"/>
    <w:rsid w:val="41D92497"/>
    <w:rsid w:val="41F1DB87"/>
    <w:rsid w:val="42001A0B"/>
    <w:rsid w:val="423A32D8"/>
    <w:rsid w:val="427415E4"/>
    <w:rsid w:val="42817062"/>
    <w:rsid w:val="42AA313F"/>
    <w:rsid w:val="42B5B373"/>
    <w:rsid w:val="42C3FD6C"/>
    <w:rsid w:val="42D45818"/>
    <w:rsid w:val="42E27EBC"/>
    <w:rsid w:val="4318D6CC"/>
    <w:rsid w:val="4338E700"/>
    <w:rsid w:val="43448593"/>
    <w:rsid w:val="435FD6AF"/>
    <w:rsid w:val="43A6D370"/>
    <w:rsid w:val="43C0A825"/>
    <w:rsid w:val="43C3AB40"/>
    <w:rsid w:val="43DAE87E"/>
    <w:rsid w:val="43EB4A3C"/>
    <w:rsid w:val="4425A008"/>
    <w:rsid w:val="445C473A"/>
    <w:rsid w:val="445ED9B4"/>
    <w:rsid w:val="446003DC"/>
    <w:rsid w:val="44653FC5"/>
    <w:rsid w:val="44784121"/>
    <w:rsid w:val="448B2E5C"/>
    <w:rsid w:val="44BCCB2B"/>
    <w:rsid w:val="44C8B73F"/>
    <w:rsid w:val="450E4DAD"/>
    <w:rsid w:val="456103F0"/>
    <w:rsid w:val="4579CA4D"/>
    <w:rsid w:val="457EDCCB"/>
    <w:rsid w:val="45899FFE"/>
    <w:rsid w:val="458C9105"/>
    <w:rsid w:val="45AE9160"/>
    <w:rsid w:val="45F37767"/>
    <w:rsid w:val="463CDDC1"/>
    <w:rsid w:val="46503482"/>
    <w:rsid w:val="4672A67E"/>
    <w:rsid w:val="4679B33C"/>
    <w:rsid w:val="46816028"/>
    <w:rsid w:val="468ABDC0"/>
    <w:rsid w:val="46BCEA94"/>
    <w:rsid w:val="46D0FE86"/>
    <w:rsid w:val="4713C44F"/>
    <w:rsid w:val="47207D4E"/>
    <w:rsid w:val="4764AB6E"/>
    <w:rsid w:val="4768701F"/>
    <w:rsid w:val="476E0548"/>
    <w:rsid w:val="47856D69"/>
    <w:rsid w:val="4797BEFD"/>
    <w:rsid w:val="47982555"/>
    <w:rsid w:val="47A5B9A6"/>
    <w:rsid w:val="47BBE4B9"/>
    <w:rsid w:val="47C8492F"/>
    <w:rsid w:val="47CE0B2E"/>
    <w:rsid w:val="47DF3F9A"/>
    <w:rsid w:val="47F324C5"/>
    <w:rsid w:val="4852ACB7"/>
    <w:rsid w:val="486ACEC1"/>
    <w:rsid w:val="4871352E"/>
    <w:rsid w:val="487A1B2F"/>
    <w:rsid w:val="4893D3C9"/>
    <w:rsid w:val="48AA5F3B"/>
    <w:rsid w:val="48CE8BFD"/>
    <w:rsid w:val="4932F04D"/>
    <w:rsid w:val="493AA809"/>
    <w:rsid w:val="494671D8"/>
    <w:rsid w:val="494AF89F"/>
    <w:rsid w:val="49509236"/>
    <w:rsid w:val="49567DCB"/>
    <w:rsid w:val="496FDD18"/>
    <w:rsid w:val="4999DEED"/>
    <w:rsid w:val="49A1286F"/>
    <w:rsid w:val="49A2BE67"/>
    <w:rsid w:val="49A33CEE"/>
    <w:rsid w:val="49A9378F"/>
    <w:rsid w:val="49BEB7D0"/>
    <w:rsid w:val="49FFE051"/>
    <w:rsid w:val="4A0EA528"/>
    <w:rsid w:val="4A12362F"/>
    <w:rsid w:val="4A18C08E"/>
    <w:rsid w:val="4A1D89D4"/>
    <w:rsid w:val="4A2B0117"/>
    <w:rsid w:val="4ABAF209"/>
    <w:rsid w:val="4AD07941"/>
    <w:rsid w:val="4B114D95"/>
    <w:rsid w:val="4B6BDCC7"/>
    <w:rsid w:val="4B72114D"/>
    <w:rsid w:val="4B98077E"/>
    <w:rsid w:val="4BB70389"/>
    <w:rsid w:val="4C00599B"/>
    <w:rsid w:val="4C13F6C9"/>
    <w:rsid w:val="4C357B51"/>
    <w:rsid w:val="4C6F3B4D"/>
    <w:rsid w:val="4C8CF8AF"/>
    <w:rsid w:val="4CB50F24"/>
    <w:rsid w:val="4CBC5AD2"/>
    <w:rsid w:val="4CD31056"/>
    <w:rsid w:val="4D0BD847"/>
    <w:rsid w:val="4D0D3EE0"/>
    <w:rsid w:val="4D29F24B"/>
    <w:rsid w:val="4D5CCB3C"/>
    <w:rsid w:val="4D937B2E"/>
    <w:rsid w:val="4DA07EB1"/>
    <w:rsid w:val="4DA1D982"/>
    <w:rsid w:val="4E0BE6EC"/>
    <w:rsid w:val="4E56711D"/>
    <w:rsid w:val="4E653389"/>
    <w:rsid w:val="4E872606"/>
    <w:rsid w:val="4E94CF54"/>
    <w:rsid w:val="4E9702BE"/>
    <w:rsid w:val="4EBA6519"/>
    <w:rsid w:val="4EC88B5B"/>
    <w:rsid w:val="4ED7554D"/>
    <w:rsid w:val="4EE544D5"/>
    <w:rsid w:val="4EF5AC46"/>
    <w:rsid w:val="4F1BE87F"/>
    <w:rsid w:val="4F3D5521"/>
    <w:rsid w:val="4F423D8A"/>
    <w:rsid w:val="4F443D0F"/>
    <w:rsid w:val="4F4B256D"/>
    <w:rsid w:val="4F4BFDDF"/>
    <w:rsid w:val="4F8C6CAF"/>
    <w:rsid w:val="4FAEA045"/>
    <w:rsid w:val="4FD3205E"/>
    <w:rsid w:val="4FFCEDBF"/>
    <w:rsid w:val="5004179C"/>
    <w:rsid w:val="5020F584"/>
    <w:rsid w:val="503134F0"/>
    <w:rsid w:val="5039DD93"/>
    <w:rsid w:val="50509980"/>
    <w:rsid w:val="5070F953"/>
    <w:rsid w:val="509376BB"/>
    <w:rsid w:val="50B84410"/>
    <w:rsid w:val="50C4E096"/>
    <w:rsid w:val="50F9B74B"/>
    <w:rsid w:val="511D16A7"/>
    <w:rsid w:val="51216A65"/>
    <w:rsid w:val="5123E84C"/>
    <w:rsid w:val="5136EEE0"/>
    <w:rsid w:val="516535E8"/>
    <w:rsid w:val="5195E000"/>
    <w:rsid w:val="51961233"/>
    <w:rsid w:val="51B59291"/>
    <w:rsid w:val="51C1A84C"/>
    <w:rsid w:val="522A6F92"/>
    <w:rsid w:val="525F87C2"/>
    <w:rsid w:val="52684F28"/>
    <w:rsid w:val="5292CDA4"/>
    <w:rsid w:val="52966E40"/>
    <w:rsid w:val="52984BCC"/>
    <w:rsid w:val="529B678F"/>
    <w:rsid w:val="52C7665D"/>
    <w:rsid w:val="52D0E8F4"/>
    <w:rsid w:val="52D99072"/>
    <w:rsid w:val="52E7AA15"/>
    <w:rsid w:val="52F23247"/>
    <w:rsid w:val="52F6CBC9"/>
    <w:rsid w:val="533745AF"/>
    <w:rsid w:val="53443CB0"/>
    <w:rsid w:val="537B3896"/>
    <w:rsid w:val="537F64DD"/>
    <w:rsid w:val="5387C518"/>
    <w:rsid w:val="53A1CE1F"/>
    <w:rsid w:val="53CEC7DB"/>
    <w:rsid w:val="53D45685"/>
    <w:rsid w:val="53F05737"/>
    <w:rsid w:val="5410358E"/>
    <w:rsid w:val="5436E450"/>
    <w:rsid w:val="546ACE0D"/>
    <w:rsid w:val="54CC208E"/>
    <w:rsid w:val="54D336EA"/>
    <w:rsid w:val="54F012EB"/>
    <w:rsid w:val="5501C2E0"/>
    <w:rsid w:val="554F5D0C"/>
    <w:rsid w:val="557417D9"/>
    <w:rsid w:val="55AA5766"/>
    <w:rsid w:val="55B40104"/>
    <w:rsid w:val="55F71F87"/>
    <w:rsid w:val="55FEA454"/>
    <w:rsid w:val="5624FB58"/>
    <w:rsid w:val="56711DB6"/>
    <w:rsid w:val="567622AB"/>
    <w:rsid w:val="567B6395"/>
    <w:rsid w:val="56AC931E"/>
    <w:rsid w:val="56FEF392"/>
    <w:rsid w:val="57641C8B"/>
    <w:rsid w:val="577F2CDE"/>
    <w:rsid w:val="57B6273F"/>
    <w:rsid w:val="58055618"/>
    <w:rsid w:val="58256CAF"/>
    <w:rsid w:val="582E1484"/>
    <w:rsid w:val="5885EEBC"/>
    <w:rsid w:val="58940BDE"/>
    <w:rsid w:val="58BA7AA4"/>
    <w:rsid w:val="58D728A9"/>
    <w:rsid w:val="58F3CE3F"/>
    <w:rsid w:val="5903E82C"/>
    <w:rsid w:val="5957136F"/>
    <w:rsid w:val="5975B542"/>
    <w:rsid w:val="598143F0"/>
    <w:rsid w:val="59C90E77"/>
    <w:rsid w:val="5A2FB33D"/>
    <w:rsid w:val="5A4D3DAD"/>
    <w:rsid w:val="5A69600D"/>
    <w:rsid w:val="5A69C0DA"/>
    <w:rsid w:val="5A81693E"/>
    <w:rsid w:val="5A842B95"/>
    <w:rsid w:val="5AAACC5F"/>
    <w:rsid w:val="5AC0CDA4"/>
    <w:rsid w:val="5AC68F7A"/>
    <w:rsid w:val="5AD4C51B"/>
    <w:rsid w:val="5AFB550A"/>
    <w:rsid w:val="5B2AB7F1"/>
    <w:rsid w:val="5B5BE395"/>
    <w:rsid w:val="5B7AC998"/>
    <w:rsid w:val="5B81292F"/>
    <w:rsid w:val="5B8AA40B"/>
    <w:rsid w:val="5BB26DE9"/>
    <w:rsid w:val="5BF79E2D"/>
    <w:rsid w:val="5C1A33E0"/>
    <w:rsid w:val="5C1EE4B3"/>
    <w:rsid w:val="5C21C78E"/>
    <w:rsid w:val="5C28EEF3"/>
    <w:rsid w:val="5C3BD843"/>
    <w:rsid w:val="5C3E5561"/>
    <w:rsid w:val="5C43FCF5"/>
    <w:rsid w:val="5C8BE190"/>
    <w:rsid w:val="5CC1E87A"/>
    <w:rsid w:val="5CECD18F"/>
    <w:rsid w:val="5D1F502F"/>
    <w:rsid w:val="5D4A8649"/>
    <w:rsid w:val="5D54F76F"/>
    <w:rsid w:val="5D5FF8DC"/>
    <w:rsid w:val="5D68DB27"/>
    <w:rsid w:val="5D6E1391"/>
    <w:rsid w:val="5D7C3375"/>
    <w:rsid w:val="5DA27761"/>
    <w:rsid w:val="5DBE50A9"/>
    <w:rsid w:val="5DCE7ADB"/>
    <w:rsid w:val="5DE07326"/>
    <w:rsid w:val="5DE4D319"/>
    <w:rsid w:val="5DFBB286"/>
    <w:rsid w:val="5E165349"/>
    <w:rsid w:val="5E1C085D"/>
    <w:rsid w:val="5E53009D"/>
    <w:rsid w:val="5E8FFAC0"/>
    <w:rsid w:val="5E96E583"/>
    <w:rsid w:val="5E9BAF5F"/>
    <w:rsid w:val="5EDBAED0"/>
    <w:rsid w:val="5EEA4D84"/>
    <w:rsid w:val="5EFFA6B8"/>
    <w:rsid w:val="5F34B5BA"/>
    <w:rsid w:val="5F361E39"/>
    <w:rsid w:val="5F3C7E2E"/>
    <w:rsid w:val="5F40DF18"/>
    <w:rsid w:val="5F49FF83"/>
    <w:rsid w:val="5F5EC65F"/>
    <w:rsid w:val="5F8CB7BA"/>
    <w:rsid w:val="5F903BA8"/>
    <w:rsid w:val="5F9D6FE0"/>
    <w:rsid w:val="5F9E005D"/>
    <w:rsid w:val="5FA8917B"/>
    <w:rsid w:val="5FB9932A"/>
    <w:rsid w:val="5FE95AFA"/>
    <w:rsid w:val="601AD307"/>
    <w:rsid w:val="6030DA90"/>
    <w:rsid w:val="6093D0A8"/>
    <w:rsid w:val="60CA831D"/>
    <w:rsid w:val="613FD6EC"/>
    <w:rsid w:val="618388A3"/>
    <w:rsid w:val="618AB60B"/>
    <w:rsid w:val="619B39E1"/>
    <w:rsid w:val="61AD15BC"/>
    <w:rsid w:val="61BCC901"/>
    <w:rsid w:val="61C1313F"/>
    <w:rsid w:val="61EB1DAA"/>
    <w:rsid w:val="61F35372"/>
    <w:rsid w:val="6208B7C7"/>
    <w:rsid w:val="62167B5E"/>
    <w:rsid w:val="62235240"/>
    <w:rsid w:val="6225F29A"/>
    <w:rsid w:val="62820851"/>
    <w:rsid w:val="628A2695"/>
    <w:rsid w:val="629290CC"/>
    <w:rsid w:val="6296BA42"/>
    <w:rsid w:val="62B011AB"/>
    <w:rsid w:val="62C8E32B"/>
    <w:rsid w:val="62CA4DA7"/>
    <w:rsid w:val="62DA3373"/>
    <w:rsid w:val="62DEB531"/>
    <w:rsid w:val="62E1BA7D"/>
    <w:rsid w:val="632E72C6"/>
    <w:rsid w:val="634090B2"/>
    <w:rsid w:val="63513E1E"/>
    <w:rsid w:val="637ABF5B"/>
    <w:rsid w:val="6395B7BB"/>
    <w:rsid w:val="6395E3F6"/>
    <w:rsid w:val="639981E8"/>
    <w:rsid w:val="63A4EEF8"/>
    <w:rsid w:val="63B495E5"/>
    <w:rsid w:val="6488C73B"/>
    <w:rsid w:val="64A986EF"/>
    <w:rsid w:val="64CAC6F4"/>
    <w:rsid w:val="64D6970B"/>
    <w:rsid w:val="650E5235"/>
    <w:rsid w:val="6520123D"/>
    <w:rsid w:val="654A8A15"/>
    <w:rsid w:val="654CD96E"/>
    <w:rsid w:val="654FC563"/>
    <w:rsid w:val="655746B0"/>
    <w:rsid w:val="6572A984"/>
    <w:rsid w:val="6572AF9E"/>
    <w:rsid w:val="657B4481"/>
    <w:rsid w:val="65889182"/>
    <w:rsid w:val="65928E46"/>
    <w:rsid w:val="65BBAE64"/>
    <w:rsid w:val="65C84ED6"/>
    <w:rsid w:val="65F1D8B0"/>
    <w:rsid w:val="664DF08C"/>
    <w:rsid w:val="66C9541F"/>
    <w:rsid w:val="66D47998"/>
    <w:rsid w:val="66FA8D74"/>
    <w:rsid w:val="670AC693"/>
    <w:rsid w:val="679D3F2F"/>
    <w:rsid w:val="67A71EDC"/>
    <w:rsid w:val="67AA7E84"/>
    <w:rsid w:val="67BFD6F0"/>
    <w:rsid w:val="67CED8C4"/>
    <w:rsid w:val="680C2F69"/>
    <w:rsid w:val="6843191F"/>
    <w:rsid w:val="687062D9"/>
    <w:rsid w:val="687F50E3"/>
    <w:rsid w:val="6886CDCE"/>
    <w:rsid w:val="68A49E18"/>
    <w:rsid w:val="68A71E86"/>
    <w:rsid w:val="68C504B7"/>
    <w:rsid w:val="68E03BDD"/>
    <w:rsid w:val="68E2FFBE"/>
    <w:rsid w:val="68F25C6D"/>
    <w:rsid w:val="6949EA62"/>
    <w:rsid w:val="69613069"/>
    <w:rsid w:val="697FF55B"/>
    <w:rsid w:val="698026B0"/>
    <w:rsid w:val="69923E79"/>
    <w:rsid w:val="69AEE610"/>
    <w:rsid w:val="69B39086"/>
    <w:rsid w:val="69D1A5A9"/>
    <w:rsid w:val="6A152C12"/>
    <w:rsid w:val="6A37F0D9"/>
    <w:rsid w:val="6A51C4EB"/>
    <w:rsid w:val="6A5A748B"/>
    <w:rsid w:val="6A6C0951"/>
    <w:rsid w:val="6AB67911"/>
    <w:rsid w:val="6AD8AD71"/>
    <w:rsid w:val="6ADF7671"/>
    <w:rsid w:val="6B2A9E52"/>
    <w:rsid w:val="6B7199F1"/>
    <w:rsid w:val="6BCE1610"/>
    <w:rsid w:val="6BD03AAB"/>
    <w:rsid w:val="6BDD0AB3"/>
    <w:rsid w:val="6BDDFE6B"/>
    <w:rsid w:val="6C12E099"/>
    <w:rsid w:val="6C214C74"/>
    <w:rsid w:val="6C3D173B"/>
    <w:rsid w:val="6C3F8E3E"/>
    <w:rsid w:val="6C48E987"/>
    <w:rsid w:val="6C544A5F"/>
    <w:rsid w:val="6CA86448"/>
    <w:rsid w:val="6CBC418D"/>
    <w:rsid w:val="6CEB139D"/>
    <w:rsid w:val="6CECAFE8"/>
    <w:rsid w:val="6CF4FBD5"/>
    <w:rsid w:val="6D1490F3"/>
    <w:rsid w:val="6D355EB7"/>
    <w:rsid w:val="6D7EEAD2"/>
    <w:rsid w:val="6DA0D802"/>
    <w:rsid w:val="6DBFC031"/>
    <w:rsid w:val="6DC2F849"/>
    <w:rsid w:val="6DCE7D0D"/>
    <w:rsid w:val="6E0028DC"/>
    <w:rsid w:val="6E0419BA"/>
    <w:rsid w:val="6E1B801D"/>
    <w:rsid w:val="6E359552"/>
    <w:rsid w:val="6E3A44B1"/>
    <w:rsid w:val="6E440A51"/>
    <w:rsid w:val="6E4596F0"/>
    <w:rsid w:val="6E48F320"/>
    <w:rsid w:val="6E4F9B74"/>
    <w:rsid w:val="6E6A0FEB"/>
    <w:rsid w:val="6E73FFF6"/>
    <w:rsid w:val="6E7FDA10"/>
    <w:rsid w:val="6E85383E"/>
    <w:rsid w:val="6EBD6279"/>
    <w:rsid w:val="6EC224B4"/>
    <w:rsid w:val="6ECBDAA4"/>
    <w:rsid w:val="6F0254F6"/>
    <w:rsid w:val="6F1BFDD7"/>
    <w:rsid w:val="6F2EF3CF"/>
    <w:rsid w:val="6F638FC7"/>
    <w:rsid w:val="6F659E6C"/>
    <w:rsid w:val="6F666D35"/>
    <w:rsid w:val="6F7C552E"/>
    <w:rsid w:val="6FC8862C"/>
    <w:rsid w:val="6FD0B027"/>
    <w:rsid w:val="701E469B"/>
    <w:rsid w:val="7067D1E3"/>
    <w:rsid w:val="70691362"/>
    <w:rsid w:val="708CB5F7"/>
    <w:rsid w:val="708F32F5"/>
    <w:rsid w:val="70C1B33C"/>
    <w:rsid w:val="70C2B06E"/>
    <w:rsid w:val="70CB134B"/>
    <w:rsid w:val="70E9B024"/>
    <w:rsid w:val="70EE0308"/>
    <w:rsid w:val="70EF8D09"/>
    <w:rsid w:val="7102E9D7"/>
    <w:rsid w:val="71200077"/>
    <w:rsid w:val="7129C44A"/>
    <w:rsid w:val="713A4046"/>
    <w:rsid w:val="714A0EC5"/>
    <w:rsid w:val="716DC597"/>
    <w:rsid w:val="71B27BD7"/>
    <w:rsid w:val="71B431D0"/>
    <w:rsid w:val="71F7380C"/>
    <w:rsid w:val="720692CA"/>
    <w:rsid w:val="722A41C3"/>
    <w:rsid w:val="723B1B94"/>
    <w:rsid w:val="7283184A"/>
    <w:rsid w:val="728E26C2"/>
    <w:rsid w:val="72B3DDFE"/>
    <w:rsid w:val="72D1D3C4"/>
    <w:rsid w:val="72D483A9"/>
    <w:rsid w:val="72EE6D72"/>
    <w:rsid w:val="72FDC192"/>
    <w:rsid w:val="732FD421"/>
    <w:rsid w:val="7334FAFE"/>
    <w:rsid w:val="73463251"/>
    <w:rsid w:val="736292E5"/>
    <w:rsid w:val="737AC7BE"/>
    <w:rsid w:val="73E46699"/>
    <w:rsid w:val="73F9FFC7"/>
    <w:rsid w:val="74028FC3"/>
    <w:rsid w:val="7441C4B5"/>
    <w:rsid w:val="744729EA"/>
    <w:rsid w:val="74531030"/>
    <w:rsid w:val="746FE4EF"/>
    <w:rsid w:val="7475BD70"/>
    <w:rsid w:val="7491F011"/>
    <w:rsid w:val="749A613B"/>
    <w:rsid w:val="74B9F555"/>
    <w:rsid w:val="74C9CFB1"/>
    <w:rsid w:val="74E1862B"/>
    <w:rsid w:val="74EFFD9C"/>
    <w:rsid w:val="7529A8AC"/>
    <w:rsid w:val="7530FE32"/>
    <w:rsid w:val="753CB32A"/>
    <w:rsid w:val="758E6472"/>
    <w:rsid w:val="759248C4"/>
    <w:rsid w:val="76203BCE"/>
    <w:rsid w:val="76240358"/>
    <w:rsid w:val="7626AB38"/>
    <w:rsid w:val="7636917C"/>
    <w:rsid w:val="764CC119"/>
    <w:rsid w:val="76569E43"/>
    <w:rsid w:val="76686C94"/>
    <w:rsid w:val="7675F44D"/>
    <w:rsid w:val="768D2E7D"/>
    <w:rsid w:val="76F96E27"/>
    <w:rsid w:val="772BE564"/>
    <w:rsid w:val="772FF12F"/>
    <w:rsid w:val="774710E9"/>
    <w:rsid w:val="77825C08"/>
    <w:rsid w:val="779B7F97"/>
    <w:rsid w:val="77B4585C"/>
    <w:rsid w:val="77C9C2AF"/>
    <w:rsid w:val="77CD784B"/>
    <w:rsid w:val="77EAE560"/>
    <w:rsid w:val="77FADAB1"/>
    <w:rsid w:val="7807EE86"/>
    <w:rsid w:val="781F1B98"/>
    <w:rsid w:val="7843BF6F"/>
    <w:rsid w:val="787B13D6"/>
    <w:rsid w:val="78AD6A0C"/>
    <w:rsid w:val="79006A12"/>
    <w:rsid w:val="791C6DA4"/>
    <w:rsid w:val="792B1010"/>
    <w:rsid w:val="79332A31"/>
    <w:rsid w:val="79675031"/>
    <w:rsid w:val="798B70A1"/>
    <w:rsid w:val="79A0CD31"/>
    <w:rsid w:val="79ACC75A"/>
    <w:rsid w:val="79BB24EF"/>
    <w:rsid w:val="79BC03B6"/>
    <w:rsid w:val="79D6E200"/>
    <w:rsid w:val="79DF016F"/>
    <w:rsid w:val="79F6BF32"/>
    <w:rsid w:val="7A6F9C25"/>
    <w:rsid w:val="7AA6105A"/>
    <w:rsid w:val="7AD455F9"/>
    <w:rsid w:val="7B0A9C5A"/>
    <w:rsid w:val="7B2B2465"/>
    <w:rsid w:val="7B2C063A"/>
    <w:rsid w:val="7B579F24"/>
    <w:rsid w:val="7B88D62B"/>
    <w:rsid w:val="7BBD8A74"/>
    <w:rsid w:val="7BDDF18A"/>
    <w:rsid w:val="7BFA1FC5"/>
    <w:rsid w:val="7C3DFCAD"/>
    <w:rsid w:val="7C415CB9"/>
    <w:rsid w:val="7C4DD31F"/>
    <w:rsid w:val="7C4F2DAE"/>
    <w:rsid w:val="7C808B0F"/>
    <w:rsid w:val="7C90CBB0"/>
    <w:rsid w:val="7C913FDB"/>
    <w:rsid w:val="7C9AA221"/>
    <w:rsid w:val="7C9C4CA5"/>
    <w:rsid w:val="7CBBC968"/>
    <w:rsid w:val="7CD387D1"/>
    <w:rsid w:val="7CE338DE"/>
    <w:rsid w:val="7CF5D087"/>
    <w:rsid w:val="7D32015F"/>
    <w:rsid w:val="7D3B9DA3"/>
    <w:rsid w:val="7D3DFCED"/>
    <w:rsid w:val="7D458378"/>
    <w:rsid w:val="7D501D73"/>
    <w:rsid w:val="7D60C7D7"/>
    <w:rsid w:val="7D7D87BF"/>
    <w:rsid w:val="7D8492DD"/>
    <w:rsid w:val="7D9584AB"/>
    <w:rsid w:val="7DAA826C"/>
    <w:rsid w:val="7DD0EBE8"/>
    <w:rsid w:val="7E4A6BAF"/>
    <w:rsid w:val="7E531B11"/>
    <w:rsid w:val="7E62C031"/>
    <w:rsid w:val="7EB84C0D"/>
    <w:rsid w:val="7EB8867E"/>
    <w:rsid w:val="7EC1A087"/>
    <w:rsid w:val="7ECDF70A"/>
    <w:rsid w:val="7F083486"/>
    <w:rsid w:val="7F102762"/>
    <w:rsid w:val="7F2C903C"/>
    <w:rsid w:val="7F4D797D"/>
    <w:rsid w:val="7F5A3A3B"/>
    <w:rsid w:val="7F68B0C9"/>
    <w:rsid w:val="7F873F2E"/>
    <w:rsid w:val="7FC4B27C"/>
    <w:rsid w:val="7FC7D03C"/>
    <w:rsid w:val="7FD91F22"/>
    <w:rsid w:val="7FF53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29AC6D3-6921-4DFB-851A-307967EA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2CF"/>
    <w:rPr>
      <w:color w:val="0000FF" w:themeColor="hyperlink"/>
      <w:u w:val="single"/>
    </w:rPr>
  </w:style>
  <w:style w:type="paragraph" w:styleId="ListParagraph">
    <w:name w:val="List Paragraph"/>
    <w:basedOn w:val="Normal"/>
    <w:uiPriority w:val="34"/>
    <w:qFormat/>
    <w:rsid w:val="000F340B"/>
    <w:pPr>
      <w:spacing w:before="0" w:after="160" w:line="259" w:lineRule="auto"/>
      <w:ind w:left="720"/>
      <w:contextualSpacing/>
      <w:jc w:val="left"/>
    </w:pPr>
    <w:rPr>
      <w:rFonts w:asciiTheme="minorHAnsi" w:hAnsiTheme="minorHAnsi" w:cstheme="minorBidi"/>
      <w:kern w:val="2"/>
      <w:sz w:val="22"/>
      <w14:ligatures w14:val="standardContextual"/>
    </w:rPr>
  </w:style>
  <w:style w:type="paragraph" w:styleId="CommentText">
    <w:name w:val="annotation text"/>
    <w:basedOn w:val="Normal"/>
    <w:link w:val="CommentTextChar"/>
    <w:unhideWhenUsed/>
    <w:rsid w:val="000F340B"/>
    <w:pPr>
      <w:spacing w:before="0" w:after="160"/>
      <w:jc w:val="left"/>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rsid w:val="000F340B"/>
    <w:rPr>
      <w:kern w:val="2"/>
      <w:sz w:val="20"/>
      <w:szCs w:val="20"/>
      <w:lang w:val="sl-SI"/>
      <w14:ligatures w14:val="standardContextual"/>
    </w:rPr>
  </w:style>
  <w:style w:type="character" w:styleId="CommentReference">
    <w:name w:val="annotation reference"/>
    <w:basedOn w:val="DefaultParagraphFont"/>
    <w:unhideWhenUsed/>
    <w:rsid w:val="000F340B"/>
    <w:rPr>
      <w:sz w:val="16"/>
      <w:szCs w:val="16"/>
    </w:rPr>
  </w:style>
  <w:style w:type="paragraph" w:customStyle="1" w:styleId="Default">
    <w:name w:val="Default"/>
    <w:rsid w:val="000F340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Bullet">
    <w:name w:val="List Bullet"/>
    <w:basedOn w:val="Normal"/>
    <w:unhideWhenUsed/>
    <w:rsid w:val="00DF7C9D"/>
    <w:pPr>
      <w:numPr>
        <w:numId w:val="4"/>
      </w:numPr>
      <w:contextualSpacing/>
    </w:pPr>
  </w:style>
  <w:style w:type="paragraph" w:styleId="ListBullet2">
    <w:name w:val="List Bullet 2"/>
    <w:basedOn w:val="Normal"/>
    <w:unhideWhenUsed/>
    <w:rsid w:val="00DF7C9D"/>
    <w:pPr>
      <w:numPr>
        <w:numId w:val="5"/>
      </w:numPr>
      <w:contextualSpacing/>
    </w:pPr>
  </w:style>
  <w:style w:type="paragraph" w:styleId="ListBullet3">
    <w:name w:val="List Bullet 3"/>
    <w:basedOn w:val="Normal"/>
    <w:unhideWhenUsed/>
    <w:rsid w:val="00DF7C9D"/>
    <w:pPr>
      <w:numPr>
        <w:numId w:val="6"/>
      </w:numPr>
      <w:contextualSpacing/>
    </w:pPr>
  </w:style>
  <w:style w:type="paragraph" w:styleId="ListBullet4">
    <w:name w:val="List Bullet 4"/>
    <w:basedOn w:val="Normal"/>
    <w:unhideWhenUsed/>
    <w:rsid w:val="00DF7C9D"/>
    <w:pPr>
      <w:numPr>
        <w:numId w:val="7"/>
      </w:numPr>
      <w:contextualSpacing/>
    </w:pPr>
  </w:style>
  <w:style w:type="paragraph" w:styleId="CommentSubject">
    <w:name w:val="annotation subject"/>
    <w:basedOn w:val="CommentText"/>
    <w:next w:val="CommentText"/>
    <w:link w:val="CommentSubjectChar"/>
    <w:unhideWhenUsed/>
    <w:rsid w:val="006A7789"/>
    <w:pPr>
      <w:spacing w:before="120" w:after="120"/>
      <w:jc w:val="both"/>
    </w:pPr>
    <w:rPr>
      <w:rFonts w:ascii="Times New Roman" w:hAnsi="Times New Roman" w:cs="Times New Roman"/>
      <w:b/>
      <w:bCs/>
      <w:kern w:val="0"/>
      <w14:ligatures w14:val="none"/>
    </w:rPr>
  </w:style>
  <w:style w:type="character" w:customStyle="1" w:styleId="CommentSubjectChar">
    <w:name w:val="Comment Subject Char"/>
    <w:basedOn w:val="CommentTextChar"/>
    <w:link w:val="CommentSubject"/>
    <w:rsid w:val="006A7789"/>
    <w:rPr>
      <w:rFonts w:ascii="Times New Roman" w:hAnsi="Times New Roman" w:cs="Times New Roman"/>
      <w:b/>
      <w:bCs/>
      <w:kern w:val="2"/>
      <w:sz w:val="20"/>
      <w:szCs w:val="20"/>
      <w:lang w:val="sl-SI"/>
      <w14:ligatures w14:val="standardContextual"/>
    </w:rPr>
  </w:style>
  <w:style w:type="character" w:customStyle="1" w:styleId="normaltextrun">
    <w:name w:val="normaltextrun"/>
    <w:basedOn w:val="DefaultParagraphFont"/>
    <w:rsid w:val="00BA6FA4"/>
  </w:style>
  <w:style w:type="paragraph" w:styleId="Revision">
    <w:name w:val="Revision"/>
    <w:hidden/>
    <w:uiPriority w:val="99"/>
    <w:semiHidden/>
    <w:rsid w:val="002A765D"/>
    <w:pPr>
      <w:spacing w:after="0" w:line="240" w:lineRule="auto"/>
    </w:pPr>
    <w:rPr>
      <w:rFonts w:ascii="Times New Roman" w:hAnsi="Times New Roman" w:cs="Times New Roman"/>
      <w:sz w:val="24"/>
    </w:rPr>
  </w:style>
  <w:style w:type="paragraph" w:styleId="ListNumber">
    <w:name w:val="List Number"/>
    <w:basedOn w:val="Normal"/>
    <w:rsid w:val="005E08AC"/>
    <w:pPr>
      <w:numPr>
        <w:numId w:val="12"/>
      </w:numPr>
    </w:pPr>
    <w:rPr>
      <w:rFonts w:eastAsia="Times New Roman"/>
      <w:lang w:eastAsia="de-DE"/>
    </w:rPr>
  </w:style>
  <w:style w:type="paragraph" w:customStyle="1" w:styleId="ListBullet1">
    <w:name w:val="List Bullet 1"/>
    <w:basedOn w:val="Normal"/>
    <w:rsid w:val="005E08AC"/>
    <w:pPr>
      <w:numPr>
        <w:numId w:val="8"/>
      </w:numPr>
    </w:pPr>
    <w:rPr>
      <w:rFonts w:eastAsia="Times New Roman"/>
      <w:lang w:eastAsia="de-DE"/>
    </w:rPr>
  </w:style>
  <w:style w:type="paragraph" w:customStyle="1" w:styleId="ListDash">
    <w:name w:val="List Dash"/>
    <w:basedOn w:val="Normal"/>
    <w:rsid w:val="005E08AC"/>
    <w:pPr>
      <w:numPr>
        <w:numId w:val="9"/>
      </w:numPr>
    </w:pPr>
    <w:rPr>
      <w:rFonts w:eastAsia="Times New Roman"/>
      <w:lang w:eastAsia="de-DE"/>
    </w:rPr>
  </w:style>
  <w:style w:type="paragraph" w:customStyle="1" w:styleId="ListDash1">
    <w:name w:val="List Dash 1"/>
    <w:basedOn w:val="Normal"/>
    <w:rsid w:val="005E08AC"/>
    <w:pPr>
      <w:numPr>
        <w:numId w:val="10"/>
      </w:numPr>
    </w:pPr>
    <w:rPr>
      <w:rFonts w:eastAsia="Times New Roman"/>
      <w:lang w:eastAsia="de-DE"/>
    </w:rPr>
  </w:style>
  <w:style w:type="paragraph" w:customStyle="1" w:styleId="ListDash2">
    <w:name w:val="List Dash 2"/>
    <w:basedOn w:val="Normal"/>
    <w:rsid w:val="005E08AC"/>
    <w:pPr>
      <w:numPr>
        <w:numId w:val="11"/>
      </w:numPr>
    </w:pPr>
    <w:rPr>
      <w:rFonts w:eastAsia="Times New Roman"/>
      <w:lang w:eastAsia="de-DE"/>
    </w:rPr>
  </w:style>
  <w:style w:type="paragraph" w:customStyle="1" w:styleId="ListNumberLevel2">
    <w:name w:val="List Number (Level 2)"/>
    <w:basedOn w:val="Normal"/>
    <w:rsid w:val="005E08AC"/>
    <w:pPr>
      <w:numPr>
        <w:ilvl w:val="1"/>
        <w:numId w:val="12"/>
      </w:numPr>
    </w:pPr>
    <w:rPr>
      <w:rFonts w:eastAsia="Times New Roman"/>
      <w:lang w:eastAsia="de-DE"/>
    </w:rPr>
  </w:style>
  <w:style w:type="paragraph" w:customStyle="1" w:styleId="ListNumberLevel3">
    <w:name w:val="List Number (Level 3)"/>
    <w:basedOn w:val="Normal"/>
    <w:rsid w:val="005E08AC"/>
    <w:pPr>
      <w:numPr>
        <w:ilvl w:val="2"/>
        <w:numId w:val="12"/>
      </w:numPr>
    </w:pPr>
    <w:rPr>
      <w:rFonts w:eastAsia="Times New Roman"/>
      <w:lang w:eastAsia="de-DE"/>
    </w:rPr>
  </w:style>
  <w:style w:type="paragraph" w:customStyle="1" w:styleId="ListNumberLevel4">
    <w:name w:val="List Number (Level 4)"/>
    <w:basedOn w:val="Normal"/>
    <w:rsid w:val="005E08AC"/>
    <w:pPr>
      <w:numPr>
        <w:ilvl w:val="3"/>
        <w:numId w:val="12"/>
      </w:numPr>
    </w:pPr>
    <w:rPr>
      <w:rFonts w:eastAsia="Times New Roman"/>
      <w:lang w:eastAsia="de-DE"/>
    </w:rPr>
  </w:style>
  <w:style w:type="table" w:styleId="TableGrid">
    <w:name w:val="Table Grid"/>
    <w:basedOn w:val="TableNormal"/>
    <w:rsid w:val="005E08AC"/>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5E08AC"/>
    <w:pPr>
      <w:numPr>
        <w:numId w:val="16"/>
      </w:numPr>
    </w:pPr>
    <w:rPr>
      <w:rFonts w:eastAsia="Times New Roman"/>
      <w:lang w:eastAsia="en-GB"/>
    </w:rPr>
  </w:style>
  <w:style w:type="paragraph" w:styleId="ListNumber3">
    <w:name w:val="List Number 3"/>
    <w:basedOn w:val="Normal"/>
    <w:rsid w:val="005E08AC"/>
    <w:pPr>
      <w:numPr>
        <w:numId w:val="17"/>
      </w:numPr>
    </w:pPr>
    <w:rPr>
      <w:rFonts w:eastAsia="Times New Roman"/>
      <w:lang w:eastAsia="en-GB"/>
    </w:rPr>
  </w:style>
  <w:style w:type="paragraph" w:styleId="ListNumber4">
    <w:name w:val="List Number 4"/>
    <w:basedOn w:val="Normal"/>
    <w:rsid w:val="005E08AC"/>
    <w:pPr>
      <w:numPr>
        <w:numId w:val="18"/>
      </w:numPr>
    </w:pPr>
    <w:rPr>
      <w:rFonts w:eastAsia="Times New Roman"/>
      <w:lang w:eastAsia="en-GB"/>
    </w:rPr>
  </w:style>
  <w:style w:type="paragraph" w:customStyle="1" w:styleId="ListDash3">
    <w:name w:val="List Dash 3"/>
    <w:basedOn w:val="Normal"/>
    <w:rsid w:val="005E08AC"/>
    <w:pPr>
      <w:numPr>
        <w:numId w:val="13"/>
      </w:numPr>
    </w:pPr>
    <w:rPr>
      <w:rFonts w:eastAsia="Times New Roman"/>
      <w:lang w:eastAsia="en-GB"/>
    </w:rPr>
  </w:style>
  <w:style w:type="paragraph" w:customStyle="1" w:styleId="ListDash4">
    <w:name w:val="List Dash 4"/>
    <w:basedOn w:val="Normal"/>
    <w:rsid w:val="005E08AC"/>
    <w:pPr>
      <w:numPr>
        <w:numId w:val="14"/>
      </w:numPr>
    </w:pPr>
    <w:rPr>
      <w:rFonts w:eastAsia="Times New Roman"/>
      <w:lang w:eastAsia="en-GB"/>
    </w:rPr>
  </w:style>
  <w:style w:type="paragraph" w:customStyle="1" w:styleId="ListNumber1">
    <w:name w:val="List Number 1"/>
    <w:basedOn w:val="Text1"/>
    <w:rsid w:val="005E08AC"/>
    <w:pPr>
      <w:numPr>
        <w:numId w:val="15"/>
      </w:numPr>
    </w:pPr>
    <w:rPr>
      <w:rFonts w:eastAsia="Times New Roman"/>
      <w:lang w:eastAsia="en-GB"/>
    </w:rPr>
  </w:style>
  <w:style w:type="paragraph" w:customStyle="1" w:styleId="ListNumber1Level2">
    <w:name w:val="List Number 1 (Level 2)"/>
    <w:basedOn w:val="Text1"/>
    <w:rsid w:val="005E08AC"/>
    <w:pPr>
      <w:numPr>
        <w:ilvl w:val="1"/>
        <w:numId w:val="15"/>
      </w:numPr>
    </w:pPr>
    <w:rPr>
      <w:rFonts w:eastAsia="Times New Roman"/>
      <w:lang w:eastAsia="en-GB"/>
    </w:rPr>
  </w:style>
  <w:style w:type="paragraph" w:customStyle="1" w:styleId="ListNumber2Level2">
    <w:name w:val="List Number 2 (Level 2)"/>
    <w:basedOn w:val="Text2"/>
    <w:rsid w:val="005E08AC"/>
    <w:pPr>
      <w:numPr>
        <w:ilvl w:val="1"/>
        <w:numId w:val="16"/>
      </w:numPr>
    </w:pPr>
    <w:rPr>
      <w:rFonts w:eastAsia="Times New Roman"/>
      <w:lang w:eastAsia="en-GB"/>
    </w:rPr>
  </w:style>
  <w:style w:type="paragraph" w:customStyle="1" w:styleId="ListNumber3Level2">
    <w:name w:val="List Number 3 (Level 2)"/>
    <w:basedOn w:val="Text3"/>
    <w:rsid w:val="005E08AC"/>
    <w:pPr>
      <w:numPr>
        <w:ilvl w:val="1"/>
        <w:numId w:val="17"/>
      </w:numPr>
    </w:pPr>
    <w:rPr>
      <w:rFonts w:eastAsia="Times New Roman"/>
      <w:lang w:eastAsia="en-GB"/>
    </w:rPr>
  </w:style>
  <w:style w:type="paragraph" w:customStyle="1" w:styleId="ListNumber4Level2">
    <w:name w:val="List Number 4 (Level 2)"/>
    <w:basedOn w:val="Text4"/>
    <w:rsid w:val="005E08AC"/>
    <w:pPr>
      <w:numPr>
        <w:ilvl w:val="1"/>
        <w:numId w:val="18"/>
      </w:numPr>
    </w:pPr>
    <w:rPr>
      <w:rFonts w:eastAsia="Times New Roman"/>
      <w:lang w:eastAsia="en-GB"/>
    </w:rPr>
  </w:style>
  <w:style w:type="paragraph" w:customStyle="1" w:styleId="ListNumber1Level3">
    <w:name w:val="List Number 1 (Level 3)"/>
    <w:basedOn w:val="Text1"/>
    <w:rsid w:val="005E08AC"/>
    <w:pPr>
      <w:numPr>
        <w:ilvl w:val="2"/>
        <w:numId w:val="15"/>
      </w:numPr>
    </w:pPr>
    <w:rPr>
      <w:rFonts w:eastAsia="Times New Roman"/>
      <w:lang w:eastAsia="en-GB"/>
    </w:rPr>
  </w:style>
  <w:style w:type="paragraph" w:customStyle="1" w:styleId="ListNumber2Level3">
    <w:name w:val="List Number 2 (Level 3)"/>
    <w:basedOn w:val="Text2"/>
    <w:rsid w:val="005E08AC"/>
    <w:pPr>
      <w:numPr>
        <w:ilvl w:val="2"/>
        <w:numId w:val="16"/>
      </w:numPr>
    </w:pPr>
    <w:rPr>
      <w:rFonts w:eastAsia="Times New Roman"/>
      <w:lang w:eastAsia="en-GB"/>
    </w:rPr>
  </w:style>
  <w:style w:type="paragraph" w:customStyle="1" w:styleId="ListNumber3Level3">
    <w:name w:val="List Number 3 (Level 3)"/>
    <w:basedOn w:val="Text3"/>
    <w:rsid w:val="005E08AC"/>
    <w:pPr>
      <w:numPr>
        <w:ilvl w:val="2"/>
        <w:numId w:val="17"/>
      </w:numPr>
    </w:pPr>
    <w:rPr>
      <w:rFonts w:eastAsia="Times New Roman"/>
      <w:lang w:eastAsia="en-GB"/>
    </w:rPr>
  </w:style>
  <w:style w:type="paragraph" w:customStyle="1" w:styleId="ListNumber4Level3">
    <w:name w:val="List Number 4 (Level 3)"/>
    <w:basedOn w:val="Text4"/>
    <w:rsid w:val="005E08AC"/>
    <w:pPr>
      <w:numPr>
        <w:ilvl w:val="2"/>
        <w:numId w:val="18"/>
      </w:numPr>
    </w:pPr>
    <w:rPr>
      <w:rFonts w:eastAsia="Times New Roman"/>
      <w:lang w:eastAsia="en-GB"/>
    </w:rPr>
  </w:style>
  <w:style w:type="paragraph" w:customStyle="1" w:styleId="ListNumber1Level4">
    <w:name w:val="List Number 1 (Level 4)"/>
    <w:basedOn w:val="Text1"/>
    <w:rsid w:val="005E08AC"/>
    <w:pPr>
      <w:numPr>
        <w:ilvl w:val="3"/>
        <w:numId w:val="15"/>
      </w:numPr>
    </w:pPr>
    <w:rPr>
      <w:rFonts w:eastAsia="Times New Roman"/>
      <w:lang w:eastAsia="en-GB"/>
    </w:rPr>
  </w:style>
  <w:style w:type="paragraph" w:customStyle="1" w:styleId="ListNumber2Level4">
    <w:name w:val="List Number 2 (Level 4)"/>
    <w:basedOn w:val="Text2"/>
    <w:rsid w:val="005E08AC"/>
    <w:pPr>
      <w:numPr>
        <w:ilvl w:val="3"/>
        <w:numId w:val="16"/>
      </w:numPr>
    </w:pPr>
    <w:rPr>
      <w:rFonts w:eastAsia="Times New Roman"/>
      <w:lang w:eastAsia="en-GB"/>
    </w:rPr>
  </w:style>
  <w:style w:type="paragraph" w:customStyle="1" w:styleId="ListNumber3Level4">
    <w:name w:val="List Number 3 (Level 4)"/>
    <w:basedOn w:val="Text3"/>
    <w:rsid w:val="005E08AC"/>
    <w:pPr>
      <w:numPr>
        <w:ilvl w:val="3"/>
        <w:numId w:val="17"/>
      </w:numPr>
    </w:pPr>
    <w:rPr>
      <w:rFonts w:eastAsia="Times New Roman"/>
      <w:lang w:eastAsia="en-GB"/>
    </w:rPr>
  </w:style>
  <w:style w:type="paragraph" w:customStyle="1" w:styleId="ListNumber4Level4">
    <w:name w:val="List Number 4 (Level 4)"/>
    <w:basedOn w:val="Text4"/>
    <w:rsid w:val="005E08AC"/>
    <w:pPr>
      <w:numPr>
        <w:ilvl w:val="3"/>
        <w:numId w:val="18"/>
      </w:numPr>
    </w:pPr>
    <w:rPr>
      <w:rFonts w:eastAsia="Times New Roman"/>
      <w:lang w:eastAsia="en-GB"/>
    </w:rPr>
  </w:style>
  <w:style w:type="paragraph" w:customStyle="1" w:styleId="Annexetitreacte">
    <w:name w:val="Annexe titre (acte)"/>
    <w:basedOn w:val="Normal"/>
    <w:next w:val="Normal"/>
    <w:rsid w:val="005E08AC"/>
    <w:pPr>
      <w:jc w:val="center"/>
    </w:pPr>
    <w:rPr>
      <w:rFonts w:eastAsia="Times New Roman"/>
      <w:b/>
      <w:u w:val="single"/>
      <w:lang w:eastAsia="en-GB"/>
    </w:rPr>
  </w:style>
  <w:style w:type="paragraph" w:customStyle="1" w:styleId="Annexetitreexposglobal">
    <w:name w:val="Annexe titre (exposé global)"/>
    <w:basedOn w:val="Normal"/>
    <w:next w:val="Normal"/>
    <w:rsid w:val="005E08AC"/>
    <w:pPr>
      <w:jc w:val="center"/>
    </w:pPr>
    <w:rPr>
      <w:rFonts w:eastAsia="Times New Roman"/>
      <w:b/>
      <w:u w:val="single"/>
      <w:lang w:eastAsia="en-GB"/>
    </w:rPr>
  </w:style>
  <w:style w:type="paragraph" w:customStyle="1" w:styleId="Annexetitrefichefinacte">
    <w:name w:val="Annexe titre (fiche fin. acte)"/>
    <w:basedOn w:val="Normal"/>
    <w:next w:val="Normal"/>
    <w:rsid w:val="005E08AC"/>
    <w:pPr>
      <w:jc w:val="center"/>
    </w:pPr>
    <w:rPr>
      <w:rFonts w:eastAsia="Times New Roman"/>
      <w:b/>
      <w:u w:val="single"/>
      <w:lang w:eastAsia="en-GB"/>
    </w:rPr>
  </w:style>
  <w:style w:type="paragraph" w:customStyle="1" w:styleId="Annexetitrefichefinglobale">
    <w:name w:val="Annexe titre (fiche fin. globale)"/>
    <w:basedOn w:val="Normal"/>
    <w:next w:val="Normal"/>
    <w:rsid w:val="005E08AC"/>
    <w:pPr>
      <w:jc w:val="center"/>
    </w:pPr>
    <w:rPr>
      <w:rFonts w:eastAsia="Times New Roman"/>
      <w:b/>
      <w:u w:val="single"/>
      <w:lang w:eastAsia="en-GB"/>
    </w:rPr>
  </w:style>
  <w:style w:type="paragraph" w:customStyle="1" w:styleId="Annexetitreglobale">
    <w:name w:val="Annexe titre (globale)"/>
    <w:basedOn w:val="Normal"/>
    <w:next w:val="Normal"/>
    <w:rsid w:val="005E08AC"/>
    <w:pPr>
      <w:jc w:val="center"/>
    </w:pPr>
    <w:rPr>
      <w:rFonts w:eastAsia="Times New Roman"/>
      <w:b/>
      <w:u w:val="single"/>
      <w:lang w:eastAsia="en-GB"/>
    </w:rPr>
  </w:style>
  <w:style w:type="paragraph" w:customStyle="1" w:styleId="Exposdesmotifstitreglobal">
    <w:name w:val="Exposé des motifs titre (global)"/>
    <w:basedOn w:val="Normal"/>
    <w:next w:val="Normal"/>
    <w:rsid w:val="005E08AC"/>
    <w:pPr>
      <w:jc w:val="center"/>
    </w:pPr>
    <w:rPr>
      <w:rFonts w:eastAsia="Times New Roman"/>
      <w:b/>
      <w:u w:val="single"/>
      <w:lang w:eastAsia="en-GB"/>
    </w:rPr>
  </w:style>
  <w:style w:type="paragraph" w:customStyle="1" w:styleId="Langueoriginale">
    <w:name w:val="Langue originale"/>
    <w:basedOn w:val="Normal"/>
    <w:rsid w:val="005E08AC"/>
    <w:pPr>
      <w:spacing w:before="360"/>
      <w:jc w:val="center"/>
    </w:pPr>
    <w:rPr>
      <w:rFonts w:eastAsia="Times New Roman"/>
      <w:caps/>
      <w:lang w:eastAsia="en-GB"/>
    </w:rPr>
  </w:style>
  <w:style w:type="paragraph" w:customStyle="1" w:styleId="Phrasefinale">
    <w:name w:val="Phrase finale"/>
    <w:basedOn w:val="Normal"/>
    <w:next w:val="Normal"/>
    <w:rsid w:val="005E08AC"/>
    <w:pPr>
      <w:spacing w:before="360" w:after="0"/>
      <w:jc w:val="center"/>
    </w:pPr>
    <w:rPr>
      <w:rFonts w:eastAsia="Times New Roman"/>
      <w:lang w:eastAsia="en-GB"/>
    </w:rPr>
  </w:style>
  <w:style w:type="paragraph" w:customStyle="1" w:styleId="Prliminairetitre">
    <w:name w:val="Préliminaire titre"/>
    <w:basedOn w:val="Normal"/>
    <w:next w:val="Normal"/>
    <w:rsid w:val="005E08AC"/>
    <w:pPr>
      <w:spacing w:before="360" w:after="360"/>
      <w:jc w:val="center"/>
    </w:pPr>
    <w:rPr>
      <w:rFonts w:eastAsia="Times New Roman"/>
      <w:b/>
      <w:lang w:eastAsia="en-GB"/>
    </w:rPr>
  </w:style>
  <w:style w:type="paragraph" w:customStyle="1" w:styleId="Prliminairetype">
    <w:name w:val="Préliminaire type"/>
    <w:basedOn w:val="Normal"/>
    <w:next w:val="Normal"/>
    <w:rsid w:val="005E08A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5E08A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5E08A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5E08AC"/>
    <w:pPr>
      <w:spacing w:before="0" w:after="0"/>
      <w:ind w:left="5103"/>
      <w:jc w:val="left"/>
    </w:pPr>
    <w:rPr>
      <w:rFonts w:eastAsia="Times New Roman"/>
      <w:lang w:eastAsia="en-GB"/>
    </w:rPr>
  </w:style>
  <w:style w:type="paragraph" w:customStyle="1" w:styleId="Sous-titreobjetprliminaire">
    <w:name w:val="Sous-titre objet (préliminaire)"/>
    <w:basedOn w:val="Normal"/>
    <w:rsid w:val="005E08AC"/>
    <w:pPr>
      <w:spacing w:before="0" w:after="0"/>
      <w:jc w:val="center"/>
    </w:pPr>
    <w:rPr>
      <w:rFonts w:eastAsia="Times New Roman"/>
      <w:b/>
      <w:lang w:eastAsia="en-GB"/>
    </w:rPr>
  </w:style>
  <w:style w:type="paragraph" w:customStyle="1" w:styleId="Statutprliminaire">
    <w:name w:val="Statut (préliminaire)"/>
    <w:basedOn w:val="Normal"/>
    <w:next w:val="Normal"/>
    <w:rsid w:val="005E08AC"/>
    <w:pPr>
      <w:spacing w:before="360" w:after="0"/>
      <w:jc w:val="center"/>
    </w:pPr>
    <w:rPr>
      <w:rFonts w:eastAsia="Times New Roman"/>
      <w:lang w:eastAsia="en-GB"/>
    </w:rPr>
  </w:style>
  <w:style w:type="paragraph" w:customStyle="1" w:styleId="Titreobjetprliminaire">
    <w:name w:val="Titre objet (préliminaire)"/>
    <w:basedOn w:val="Normal"/>
    <w:next w:val="Normal"/>
    <w:rsid w:val="005E08A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5E08A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5E08A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5E08AC"/>
    <w:pPr>
      <w:jc w:val="center"/>
    </w:pPr>
    <w:rPr>
      <w:rFonts w:eastAsia="Times New Roman"/>
      <w:b/>
      <w:u w:val="single"/>
      <w:lang w:eastAsia="en-GB"/>
    </w:rPr>
  </w:style>
  <w:style w:type="paragraph" w:customStyle="1" w:styleId="Fichefinanciretravailtitre">
    <w:name w:val="Fiche financière (travail) titre"/>
    <w:basedOn w:val="Normal"/>
    <w:next w:val="Normal"/>
    <w:rsid w:val="005E08A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5E08A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5E08A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5E08AC"/>
    <w:pPr>
      <w:jc w:val="center"/>
    </w:pPr>
    <w:rPr>
      <w:rFonts w:eastAsia="Times New Roman"/>
      <w:b/>
      <w:u w:val="single"/>
      <w:lang w:eastAsia="en-GB"/>
    </w:rPr>
  </w:style>
  <w:style w:type="paragraph" w:styleId="BalloonText">
    <w:name w:val="Balloon Text"/>
    <w:basedOn w:val="Normal"/>
    <w:link w:val="BalloonTextChar"/>
    <w:rsid w:val="005E08A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E08AC"/>
    <w:rPr>
      <w:rFonts w:ascii="Tahoma" w:eastAsia="Times New Roman" w:hAnsi="Tahoma" w:cs="Tahoma"/>
      <w:sz w:val="16"/>
      <w:szCs w:val="16"/>
      <w:lang w:val="sl-SI" w:eastAsia="en-GB"/>
    </w:rPr>
  </w:style>
  <w:style w:type="paragraph" w:styleId="Caption">
    <w:name w:val="caption"/>
    <w:basedOn w:val="Normal"/>
    <w:next w:val="Normal"/>
    <w:qFormat/>
    <w:rsid w:val="005E08AC"/>
    <w:rPr>
      <w:rFonts w:eastAsia="Times New Roman"/>
      <w:b/>
      <w:bCs/>
      <w:sz w:val="20"/>
      <w:szCs w:val="20"/>
      <w:lang w:eastAsia="en-GB"/>
    </w:rPr>
  </w:style>
  <w:style w:type="paragraph" w:styleId="TableofFigures">
    <w:name w:val="table of figures"/>
    <w:basedOn w:val="Normal"/>
    <w:next w:val="Normal"/>
    <w:rsid w:val="005E08AC"/>
    <w:rPr>
      <w:rFonts w:eastAsia="Times New Roman"/>
      <w:lang w:eastAsia="en-GB"/>
    </w:rPr>
  </w:style>
  <w:style w:type="character" w:styleId="PageNumber">
    <w:name w:val="page number"/>
    <w:rsid w:val="005E08AC"/>
  </w:style>
  <w:style w:type="character" w:customStyle="1" w:styleId="tw4winMark">
    <w:name w:val="tw4winMark"/>
    <w:rsid w:val="005E08AC"/>
    <w:rPr>
      <w:vanish/>
      <w:color w:val="800080"/>
      <w:vertAlign w:val="subscript"/>
    </w:rPr>
  </w:style>
  <w:style w:type="character" w:styleId="FollowedHyperlink">
    <w:name w:val="FollowedHyperlink"/>
    <w:rsid w:val="005E08AC"/>
    <w:rPr>
      <w:color w:val="800080"/>
      <w:u w:val="single"/>
    </w:rPr>
  </w:style>
  <w:style w:type="paragraph" w:customStyle="1" w:styleId="Sous-titreobjet">
    <w:name w:val="Sous-titre objet"/>
    <w:basedOn w:val="Normal"/>
    <w:rsid w:val="005E08A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E08AC"/>
  </w:style>
  <w:style w:type="paragraph" w:customStyle="1" w:styleId="FooterCoverPage">
    <w:name w:val="Footer Cover Page"/>
    <w:basedOn w:val="Normal"/>
    <w:link w:val="FooterCoverPageChar"/>
    <w:rsid w:val="005E08A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5E08AC"/>
    <w:rPr>
      <w:rFonts w:ascii="Times New Roman" w:hAnsi="Times New Roman" w:cs="Times New Roman"/>
      <w:b/>
      <w:sz w:val="28"/>
      <w:lang w:val="sl-SI"/>
    </w:rPr>
  </w:style>
  <w:style w:type="character" w:customStyle="1" w:styleId="FooterCoverPageChar">
    <w:name w:val="Footer Cover Page Char"/>
    <w:link w:val="FooterCoverPage"/>
    <w:rsid w:val="005E08AC"/>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5E08A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E08AC"/>
    <w:rPr>
      <w:rFonts w:ascii="Times New Roman" w:eastAsia="Calibri" w:hAnsi="Times New Roman" w:cs="Times New Roman"/>
      <w:sz w:val="24"/>
      <w:lang w:val="sl-SI" w:eastAsia="en-GB"/>
    </w:rPr>
  </w:style>
  <w:style w:type="character" w:customStyle="1" w:styleId="FooterSensitivityChar">
    <w:name w:val="Footer Sensitivity Char"/>
    <w:rsid w:val="005E08AC"/>
    <w:rPr>
      <w:rFonts w:ascii="Times New Roman" w:hAnsi="Times New Roman" w:cs="Times New Roman"/>
      <w:b/>
      <w:sz w:val="32"/>
      <w:lang w:val="sl-SI"/>
    </w:rPr>
  </w:style>
  <w:style w:type="character" w:customStyle="1" w:styleId="HeaderSensitivityChar">
    <w:name w:val="Header Sensitivity Char"/>
    <w:rsid w:val="005E08AC"/>
    <w:rPr>
      <w:rFonts w:ascii="Times New Roman" w:hAnsi="Times New Roman" w:cs="Times New Roman"/>
      <w:b/>
      <w:sz w:val="32"/>
      <w:lang w:val="sl-SI"/>
    </w:rPr>
  </w:style>
  <w:style w:type="character" w:customStyle="1" w:styleId="HeaderSensitivityRightChar">
    <w:name w:val="Header Sensitivity Right Char"/>
    <w:rsid w:val="005E08AC"/>
    <w:rPr>
      <w:rFonts w:ascii="Times New Roman" w:hAnsi="Times New Roman" w:cs="Times New Roman"/>
      <w:sz w:val="28"/>
      <w:lang w:val="sl-SI"/>
    </w:rPr>
  </w:style>
  <w:style w:type="paragraph" w:customStyle="1" w:styleId="LegalNumPar">
    <w:name w:val="LegalNumPar"/>
    <w:basedOn w:val="Normal"/>
    <w:rsid w:val="005E08AC"/>
    <w:pPr>
      <w:numPr>
        <w:numId w:val="19"/>
      </w:numPr>
      <w:spacing w:line="360" w:lineRule="auto"/>
    </w:pPr>
    <w:rPr>
      <w:rFonts w:eastAsia="Times New Roman"/>
      <w:lang w:eastAsia="en-GB"/>
    </w:rPr>
  </w:style>
  <w:style w:type="paragraph" w:customStyle="1" w:styleId="LegalNumPar2">
    <w:name w:val="LegalNumPar2"/>
    <w:basedOn w:val="Normal"/>
    <w:rsid w:val="005E08AC"/>
    <w:pPr>
      <w:numPr>
        <w:ilvl w:val="1"/>
        <w:numId w:val="19"/>
      </w:numPr>
      <w:spacing w:line="360" w:lineRule="auto"/>
    </w:pPr>
    <w:rPr>
      <w:rFonts w:eastAsia="Times New Roman"/>
      <w:lang w:eastAsia="en-GB"/>
    </w:rPr>
  </w:style>
  <w:style w:type="paragraph" w:customStyle="1" w:styleId="LegalNumPar3">
    <w:name w:val="LegalNumPar3"/>
    <w:basedOn w:val="Normal"/>
    <w:rsid w:val="005E08AC"/>
    <w:pPr>
      <w:numPr>
        <w:ilvl w:val="2"/>
        <w:numId w:val="19"/>
      </w:numPr>
      <w:spacing w:line="360" w:lineRule="auto"/>
    </w:pPr>
    <w:rPr>
      <w:rFonts w:eastAsia="Times New Roman"/>
      <w:lang w:eastAsia="en-GB"/>
    </w:rPr>
  </w:style>
  <w:style w:type="character" w:customStyle="1" w:styleId="UnresolvedMention">
    <w:name w:val="Unresolved Mention"/>
    <w:basedOn w:val="DefaultParagraphFont"/>
    <w:uiPriority w:val="99"/>
    <w:semiHidden/>
    <w:unhideWhenUsed/>
    <w:rsid w:val="005E08AC"/>
    <w:rPr>
      <w:color w:val="605E5C"/>
      <w:shd w:val="clear" w:color="auto" w:fill="E1DFDD"/>
    </w:rPr>
  </w:style>
  <w:style w:type="character" w:styleId="Strong">
    <w:name w:val="Strong"/>
    <w:basedOn w:val="DefaultParagraphFont"/>
    <w:qFormat/>
    <w:rsid w:val="005E08AC"/>
    <w:rPr>
      <w:b/>
      <w:bCs/>
    </w:rPr>
  </w:style>
  <w:style w:type="character" w:styleId="Emphasis">
    <w:name w:val="Emphasis"/>
    <w:basedOn w:val="DefaultParagraphFont"/>
    <w:qFormat/>
    <w:rsid w:val="005E08AC"/>
    <w:rPr>
      <w:i/>
      <w:iCs/>
    </w:rPr>
  </w:style>
  <w:style w:type="character" w:customStyle="1" w:styleId="Mention">
    <w:name w:val="Mention"/>
    <w:basedOn w:val="DefaultParagraphFont"/>
    <w:uiPriority w:val="99"/>
    <w:unhideWhenUsed/>
    <w:rsid w:val="005E08AC"/>
    <w:rPr>
      <w:color w:val="2B579A"/>
      <w:shd w:val="clear" w:color="auto" w:fill="E1DFDD"/>
    </w:rPr>
  </w:style>
  <w:style w:type="character" w:customStyle="1" w:styleId="eop">
    <w:name w:val="eop"/>
    <w:basedOn w:val="DefaultParagraphFont"/>
    <w:rsid w:val="005E08AC"/>
  </w:style>
  <w:style w:type="character" w:customStyle="1" w:styleId="findhit">
    <w:name w:val="findhit"/>
    <w:basedOn w:val="DefaultParagraphFont"/>
    <w:rsid w:val="005E08AC"/>
  </w:style>
  <w:style w:type="character" w:customStyle="1" w:styleId="HeaderChar">
    <w:name w:val="Header Char"/>
    <w:basedOn w:val="DefaultParagraphFont"/>
    <w:link w:val="Header"/>
    <w:uiPriority w:val="99"/>
    <w:rsid w:val="00746C9A"/>
    <w:rPr>
      <w:rFonts w:ascii="Times New Roman" w:hAnsi="Times New Roman" w:cs="Times New Roman"/>
      <w:sz w:val="24"/>
      <w:lang w:val="sl-SI"/>
    </w:rPr>
  </w:style>
  <w:style w:type="character" w:customStyle="1" w:styleId="FooterChar">
    <w:name w:val="Footer Char"/>
    <w:basedOn w:val="DefaultParagraphFont"/>
    <w:link w:val="Footer"/>
    <w:uiPriority w:val="99"/>
    <w:rsid w:val="00746C9A"/>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46C9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46C9A"/>
    <w:pPr>
      <w:spacing w:before="0"/>
      <w:jc w:val="right"/>
    </w:pPr>
    <w:rPr>
      <w:sz w:val="28"/>
    </w:rPr>
  </w:style>
  <w:style w:type="paragraph" w:customStyle="1" w:styleId="FooterSensitivity">
    <w:name w:val="Footer Sensitivity"/>
    <w:basedOn w:val="Normal"/>
    <w:rsid w:val="00746C9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46C9A"/>
    <w:pPr>
      <w:tabs>
        <w:tab w:val="center" w:pos="4535"/>
        <w:tab w:val="right" w:pos="9071"/>
      </w:tabs>
      <w:spacing w:before="0"/>
    </w:pPr>
  </w:style>
  <w:style w:type="paragraph" w:customStyle="1" w:styleId="HeaderLandscape">
    <w:name w:val="HeaderLandscape"/>
    <w:basedOn w:val="Normal"/>
    <w:rsid w:val="00746C9A"/>
    <w:pPr>
      <w:tabs>
        <w:tab w:val="center" w:pos="7285"/>
        <w:tab w:val="right" w:pos="14003"/>
      </w:tabs>
      <w:spacing w:before="0"/>
    </w:pPr>
  </w:style>
  <w:style w:type="paragraph" w:styleId="Footer">
    <w:name w:val="footer"/>
    <w:basedOn w:val="Normal"/>
    <w:link w:val="FooterChar"/>
    <w:uiPriority w:val="99"/>
    <w:unhideWhenUsed/>
    <w:rsid w:val="00746C9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46C9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431690">
      <w:bodyDiv w:val="1"/>
      <w:marLeft w:val="0"/>
      <w:marRight w:val="0"/>
      <w:marTop w:val="0"/>
      <w:marBottom w:val="0"/>
      <w:divBdr>
        <w:top w:val="none" w:sz="0" w:space="0" w:color="auto"/>
        <w:left w:val="none" w:sz="0" w:space="0" w:color="auto"/>
        <w:bottom w:val="none" w:sz="0" w:space="0" w:color="auto"/>
        <w:right w:val="none" w:sz="0" w:space="0" w:color="auto"/>
      </w:divBdr>
    </w:div>
    <w:div w:id="1612977090">
      <w:bodyDiv w:val="1"/>
      <w:marLeft w:val="0"/>
      <w:marRight w:val="0"/>
      <w:marTop w:val="0"/>
      <w:marBottom w:val="0"/>
      <w:divBdr>
        <w:top w:val="none" w:sz="0" w:space="0" w:color="auto"/>
        <w:left w:val="none" w:sz="0" w:space="0" w:color="auto"/>
        <w:bottom w:val="none" w:sz="0" w:space="0" w:color="auto"/>
        <w:right w:val="none" w:sz="0" w:space="0" w:color="auto"/>
      </w:divBdr>
    </w:div>
    <w:div w:id="1668628880">
      <w:bodyDiv w:val="1"/>
      <w:marLeft w:val="0"/>
      <w:marRight w:val="0"/>
      <w:marTop w:val="0"/>
      <w:marBottom w:val="0"/>
      <w:divBdr>
        <w:top w:val="none" w:sz="0" w:space="0" w:color="auto"/>
        <w:left w:val="none" w:sz="0" w:space="0" w:color="auto"/>
        <w:bottom w:val="none" w:sz="0" w:space="0" w:color="auto"/>
        <w:right w:val="none" w:sz="0" w:space="0" w:color="auto"/>
      </w:divBdr>
    </w:div>
    <w:div w:id="21403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OJ%3AL_202401833" TargetMode="External"/><Relationship Id="rId3" Type="http://schemas.openxmlformats.org/officeDocument/2006/relationships/hyperlink" Target="https://eur-lex.europa.eu/legal-content/SL/TXT/?uri=OJ%3AL%3A1993%3A309%3ATOC" TargetMode="External"/><Relationship Id="rId7" Type="http://schemas.openxmlformats.org/officeDocument/2006/relationships/hyperlink" Target="https://unece.org/environment-policy/public-participation/aarhus-convention/text" TargetMode="External"/><Relationship Id="rId12"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treaties.un.org/pages/ViewDetailsIII.aspx?src=TREATY&amp;mtdsg_no=XXI-6&amp;chapter=21&amp;Temp=mtdsg3&amp;clang=_en" TargetMode="External"/><Relationship Id="rId1" Type="http://schemas.openxmlformats.org/officeDocument/2006/relationships/hyperlink" Target="https://eur-lex.europa.eu/legal-content/SL/TXT/?uri=OJ:L_202401830" TargetMode="External"/><Relationship Id="rId6" Type="http://schemas.openxmlformats.org/officeDocument/2006/relationships/hyperlink" Target="https://unece.org/environment-policy/public-participation/aarhus-convention/text" TargetMode="External"/><Relationship Id="rId11" Type="http://schemas.openxmlformats.org/officeDocument/2006/relationships/hyperlink" Target="https://eur-lex.europa.eu/legal-content/SL/TXT/?uri=OJ%3AL%3A1993%3A309%3ATOC" TargetMode="External"/><Relationship Id="rId5" Type="http://schemas.openxmlformats.org/officeDocument/2006/relationships/hyperlink" Target="https://unece.org/environment-policyenvironmental-assessment/text-convention" TargetMode="External"/><Relationship Id="rId10" Type="http://schemas.openxmlformats.org/officeDocument/2006/relationships/hyperlink" Target="https://treaties.un.org/Pages/ViewDetails.aspx?src=TREATY&amp;mtdsg_no=XXI-10&amp;chapter=21&amp;clang=_en" TargetMode="External"/><Relationship Id="rId4" Type="http://schemas.openxmlformats.org/officeDocument/2006/relationships/hyperlink" Target="https://unece.org/environment-policyenvironmental-assessment/text-convention" TargetMode="External"/><Relationship Id="rId9" Type="http://schemas.openxmlformats.org/officeDocument/2006/relationships/hyperlink" Target="https://eur-lex.europa.eu/legal-content/SL/TXT/?uri=CELEX%3A32011L00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67FD-2C09-436F-A122-832C8222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60</TotalTime>
  <Pages>16</Pages>
  <Words>18164</Words>
  <Characters>103538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2025-04-02T11:55:00Z</cp:lastPrinted>
  <dcterms:created xsi:type="dcterms:W3CDTF">2025-04-11T16:12:00Z</dcterms:created>
  <dcterms:modified xsi:type="dcterms:W3CDTF">2025-05-29T12:24:00Z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2024-11-29T10:29:49Z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707151e8-1460-44c8-8441-4b005417224f</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